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0"/>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5"/>
      </w:tblGrid>
      <w:tr w14:paraId="6A222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66" w:hRule="atLeast"/>
        </w:trPr>
        <w:tc>
          <w:tcPr>
            <w:tcW w:w="9025" w:type="dxa"/>
            <w:vAlign w:val="top"/>
          </w:tcPr>
          <w:p w14:paraId="335AC5EC">
            <w:pPr>
              <w:tabs>
                <w:tab w:val="left" w:pos="6477"/>
              </w:tabs>
              <w:jc w:val="center"/>
              <w:rPr>
                <w:rFonts w:ascii="宋体" w:hAnsi="宋体"/>
                <w:b/>
                <w:color w:val="auto"/>
                <w:sz w:val="36"/>
                <w:highlight w:val="none"/>
              </w:rPr>
            </w:pPr>
          </w:p>
          <w:p w14:paraId="23B05CE1">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14:paraId="2006A5B8">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14:paraId="69B14E01">
            <w:pPr>
              <w:spacing w:line="440" w:lineRule="exact"/>
              <w:ind w:left="1148" w:firstLine="1968" w:firstLineChars="700"/>
              <w:rPr>
                <w:rFonts w:hint="eastAsia" w:ascii="宋体" w:hAnsi="宋体"/>
                <w:b/>
                <w:bCs/>
                <w:color w:val="auto"/>
                <w:sz w:val="28"/>
                <w:highlight w:val="none"/>
              </w:rPr>
            </w:pPr>
            <w:r>
              <w:rPr>
                <w:rFonts w:hint="eastAsia" w:ascii="宋体" w:hAnsi="宋体"/>
                <w:b/>
                <w:bCs/>
                <w:color w:val="auto"/>
                <w:sz w:val="28"/>
                <w:highlight w:val="none"/>
              </w:rPr>
              <w:t>（线上电子招投标）</w:t>
            </w:r>
          </w:p>
          <w:p w14:paraId="715B66A2">
            <w:pPr>
              <w:widowControl/>
              <w:tabs>
                <w:tab w:val="left" w:pos="2019"/>
              </w:tabs>
              <w:rPr>
                <w:rFonts w:hint="eastAsia" w:ascii="宋体" w:hAnsi="宋体"/>
                <w:b/>
                <w:bCs/>
                <w:color w:val="auto"/>
                <w:sz w:val="28"/>
                <w:highlight w:val="none"/>
              </w:rPr>
            </w:pPr>
          </w:p>
          <w:p w14:paraId="7FE2376D">
            <w:pPr>
              <w:widowControl/>
              <w:tabs>
                <w:tab w:val="left" w:pos="2019"/>
              </w:tabs>
              <w:ind w:left="3606" w:leftChars="1000" w:hanging="1506" w:hangingChars="500"/>
              <w:rPr>
                <w:rFonts w:hint="eastAsia" w:ascii="宋体" w:hAnsi="宋体"/>
                <w:b/>
                <w:color w:val="auto"/>
                <w:sz w:val="30"/>
                <w:szCs w:val="30"/>
                <w:highlight w:val="none"/>
              </w:rPr>
            </w:pPr>
            <w:r>
              <w:rPr>
                <w:rFonts w:hint="eastAsia" w:ascii="宋体" w:hAnsi="宋体"/>
                <w:b/>
                <w:color w:val="auto"/>
                <w:sz w:val="30"/>
                <w:szCs w:val="30"/>
                <w:highlight w:val="none"/>
              </w:rPr>
              <w:t>项目名称</w:t>
            </w:r>
            <w:r>
              <w:rPr>
                <w:rFonts w:hint="eastAsia" w:ascii="宋体" w:hAnsi="宋体"/>
                <w:b/>
                <w:color w:val="auto"/>
                <w:sz w:val="30"/>
                <w:szCs w:val="30"/>
                <w:highlight w:val="none"/>
                <w:lang w:val="en-US" w:eastAsia="zh-CN"/>
              </w:rPr>
              <w:t xml:space="preserve">: </w:t>
            </w:r>
            <w:r>
              <w:rPr>
                <w:rFonts w:hint="eastAsia" w:ascii="宋体" w:hAnsi="宋体"/>
                <w:b/>
                <w:color w:val="auto"/>
                <w:sz w:val="30"/>
                <w:szCs w:val="30"/>
                <w:highlight w:val="none"/>
                <w:lang w:eastAsia="zh-CN"/>
              </w:rPr>
              <w:t>平阳县社会</w:t>
            </w:r>
            <w:bookmarkStart w:id="564" w:name="_GoBack"/>
            <w:bookmarkEnd w:id="564"/>
            <w:r>
              <w:rPr>
                <w:rFonts w:hint="eastAsia" w:ascii="宋体" w:hAnsi="宋体"/>
                <w:b/>
                <w:color w:val="auto"/>
                <w:sz w:val="30"/>
                <w:szCs w:val="30"/>
                <w:highlight w:val="none"/>
                <w:lang w:eastAsia="zh-CN"/>
              </w:rPr>
              <w:t>心理服务综合体装修、办公家具软装及设备采购(重)</w:t>
            </w:r>
          </w:p>
          <w:p w14:paraId="052C4CD6">
            <w:pPr>
              <w:wordWrap w:val="0"/>
              <w:rPr>
                <w:rFonts w:hint="eastAsia" w:ascii="宋体" w:hAnsi="宋体"/>
                <w:b/>
                <w:color w:val="auto"/>
                <w:sz w:val="30"/>
                <w:szCs w:val="30"/>
                <w:highlight w:val="none"/>
              </w:rPr>
            </w:pPr>
            <w:r>
              <w:rPr>
                <w:rFonts w:hint="eastAsia" w:ascii="宋体" w:hAnsi="宋体"/>
                <w:b/>
                <w:color w:val="auto"/>
                <w:sz w:val="30"/>
                <w:szCs w:val="30"/>
                <w:highlight w:val="none"/>
              </w:rPr>
              <w:t xml:space="preserve">              招标编</w:t>
            </w:r>
            <w:r>
              <w:rPr>
                <w:rFonts w:hint="eastAsia" w:ascii="宋体" w:hAnsi="宋体" w:eastAsia="宋体"/>
                <w:b/>
                <w:color w:val="auto"/>
                <w:sz w:val="30"/>
                <w:szCs w:val="30"/>
                <w:highlight w:val="none"/>
              </w:rPr>
              <w:t>号：</w:t>
            </w:r>
            <w:r>
              <w:rPr>
                <w:rFonts w:hint="eastAsia" w:ascii="宋体" w:hAnsi="宋体"/>
                <w:b/>
                <w:color w:val="auto"/>
                <w:sz w:val="30"/>
                <w:szCs w:val="30"/>
                <w:highlight w:val="none"/>
                <w:lang w:eastAsia="zh-CN"/>
              </w:rPr>
              <w:t>PYCG250731080(重)</w:t>
            </w:r>
          </w:p>
          <w:p w14:paraId="654575D2">
            <w:pPr>
              <w:widowControl/>
              <w:tabs>
                <w:tab w:val="left" w:pos="2019"/>
              </w:tabs>
              <w:rPr>
                <w:rFonts w:hint="eastAsia" w:ascii="宋体" w:hAnsi="宋体"/>
                <w:b/>
                <w:color w:val="auto"/>
                <w:sz w:val="30"/>
                <w:szCs w:val="30"/>
                <w:highlight w:val="none"/>
              </w:rPr>
            </w:pPr>
          </w:p>
          <w:p w14:paraId="3700A86E">
            <w:pPr>
              <w:spacing w:line="440" w:lineRule="exact"/>
              <w:rPr>
                <w:rFonts w:hint="eastAsia" w:ascii="宋体" w:hAnsi="宋体"/>
                <w:b/>
                <w:color w:val="auto"/>
                <w:sz w:val="30"/>
                <w:szCs w:val="30"/>
                <w:highlight w:val="none"/>
              </w:rPr>
            </w:pPr>
          </w:p>
          <w:p w14:paraId="5502E9FA">
            <w:pPr>
              <w:spacing w:line="440" w:lineRule="exact"/>
              <w:rPr>
                <w:rFonts w:ascii="宋体" w:hAnsi="宋体"/>
                <w:b/>
                <w:color w:val="auto"/>
                <w:sz w:val="30"/>
                <w:szCs w:val="30"/>
                <w:highlight w:val="none"/>
              </w:rPr>
            </w:pPr>
          </w:p>
          <w:p w14:paraId="5CE4EFBE">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采 购 人：</w:t>
            </w:r>
            <w:r>
              <w:rPr>
                <w:rFonts w:hint="eastAsia" w:ascii="宋体" w:hAnsi="宋体"/>
                <w:b/>
                <w:color w:val="auto"/>
                <w:sz w:val="30"/>
                <w:szCs w:val="30"/>
                <w:highlight w:val="none"/>
                <w:lang w:eastAsia="zh-CN"/>
              </w:rPr>
              <w:t>平阳县兴阳控股集团有限公司</w:t>
            </w:r>
          </w:p>
          <w:p w14:paraId="01CFE58C">
            <w:pPr>
              <w:spacing w:line="440" w:lineRule="exact"/>
              <w:ind w:firstLine="2117" w:firstLineChars="703"/>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联 系 人：</w:t>
            </w:r>
            <w:r>
              <w:rPr>
                <w:rFonts w:hint="eastAsia" w:ascii="宋体" w:hAnsi="宋体"/>
                <w:b/>
                <w:color w:val="auto"/>
                <w:sz w:val="30"/>
                <w:szCs w:val="30"/>
                <w:highlight w:val="none"/>
                <w:lang w:eastAsia="zh-CN"/>
              </w:rPr>
              <w:t>张先生</w:t>
            </w:r>
          </w:p>
          <w:p w14:paraId="2D5F2C18">
            <w:pPr>
              <w:spacing w:line="440" w:lineRule="exact"/>
              <w:ind w:firstLine="2117" w:firstLineChars="703"/>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联系电话</w:t>
            </w:r>
            <w:r>
              <w:rPr>
                <w:rFonts w:hint="eastAsia" w:ascii="宋体" w:hAnsi="宋体"/>
                <w:b/>
                <w:color w:val="auto"/>
                <w:sz w:val="30"/>
                <w:szCs w:val="30"/>
                <w:highlight w:val="none"/>
                <w:lang w:eastAsia="zh-CN"/>
              </w:rPr>
              <w:t>：</w:t>
            </w:r>
            <w:r>
              <w:rPr>
                <w:rFonts w:hint="eastAsia" w:ascii="宋体" w:hAnsi="宋体"/>
                <w:b/>
                <w:color w:val="auto"/>
                <w:sz w:val="30"/>
                <w:szCs w:val="30"/>
                <w:highlight w:val="none"/>
                <w:lang w:val="en-US" w:eastAsia="zh-CN"/>
              </w:rPr>
              <w:t>0577-63168033</w:t>
            </w:r>
          </w:p>
          <w:p w14:paraId="0EB2BB7B">
            <w:pPr>
              <w:spacing w:line="440" w:lineRule="exact"/>
              <w:rPr>
                <w:rFonts w:hint="eastAsia" w:ascii="宋体" w:hAnsi="宋体"/>
                <w:b/>
                <w:color w:val="auto"/>
                <w:sz w:val="30"/>
                <w:szCs w:val="30"/>
                <w:highlight w:val="none"/>
              </w:rPr>
            </w:pPr>
          </w:p>
          <w:p w14:paraId="5AB728F1">
            <w:pPr>
              <w:spacing w:line="440" w:lineRule="exact"/>
              <w:rPr>
                <w:rFonts w:ascii="宋体" w:hAnsi="宋体"/>
                <w:b/>
                <w:color w:val="auto"/>
                <w:sz w:val="30"/>
                <w:szCs w:val="30"/>
                <w:highlight w:val="none"/>
              </w:rPr>
            </w:pPr>
          </w:p>
          <w:p w14:paraId="1C88DA66">
            <w:pPr>
              <w:pStyle w:val="31"/>
              <w:rPr>
                <w:color w:val="auto"/>
                <w:highlight w:val="none"/>
              </w:rPr>
            </w:pPr>
          </w:p>
          <w:p w14:paraId="518069EA">
            <w:pPr>
              <w:widowControl/>
              <w:snapToGrid w:val="0"/>
              <w:spacing w:line="360" w:lineRule="auto"/>
              <w:ind w:firstLine="2117"/>
              <w:jc w:val="left"/>
              <w:rPr>
                <w:rFonts w:hint="eastAsia" w:ascii="宋体" w:hAnsi="宋体"/>
                <w:b/>
                <w:color w:val="auto"/>
                <w:sz w:val="30"/>
                <w:szCs w:val="30"/>
                <w:highlight w:val="none"/>
              </w:rPr>
            </w:pPr>
            <w:r>
              <w:rPr>
                <w:rFonts w:hint="eastAsia" w:ascii="宋体" w:hAnsi="宋体"/>
                <w:b/>
                <w:color w:val="auto"/>
                <w:sz w:val="30"/>
                <w:szCs w:val="30"/>
                <w:highlight w:val="none"/>
              </w:rPr>
              <w:t>采购机构：</w:t>
            </w:r>
            <w:r>
              <w:rPr>
                <w:rFonts w:hint="eastAsia"/>
                <w:b/>
                <w:color w:val="auto"/>
                <w:sz w:val="30"/>
                <w:highlight w:val="none"/>
              </w:rPr>
              <w:t>浙江品信工程项目管理有限公司</w:t>
            </w:r>
          </w:p>
          <w:p w14:paraId="3BF13957">
            <w:pPr>
              <w:widowControl/>
              <w:snapToGrid w:val="0"/>
              <w:spacing w:line="360" w:lineRule="auto"/>
              <w:ind w:firstLine="2117"/>
              <w:jc w:val="left"/>
              <w:rPr>
                <w:b/>
                <w:color w:val="auto"/>
                <w:sz w:val="30"/>
                <w:highlight w:val="none"/>
              </w:rPr>
            </w:pPr>
            <w:r>
              <w:rPr>
                <w:b/>
                <w:color w:val="auto"/>
                <w:sz w:val="30"/>
                <w:highlight w:val="none"/>
              </w:rPr>
              <w:t>联 系 人：</w:t>
            </w:r>
            <w:r>
              <w:rPr>
                <w:rFonts w:hint="eastAsia"/>
                <w:b/>
                <w:color w:val="auto"/>
                <w:sz w:val="30"/>
                <w:highlight w:val="none"/>
              </w:rPr>
              <w:t>吴女士</w:t>
            </w:r>
          </w:p>
          <w:p w14:paraId="0D610661">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0577-63682718（15669781333）</w:t>
            </w:r>
          </w:p>
          <w:p w14:paraId="155A5805">
            <w:pPr>
              <w:spacing w:line="440" w:lineRule="exact"/>
              <w:ind w:firstLine="2117" w:firstLineChars="703"/>
              <w:rPr>
                <w:b/>
                <w:color w:val="auto"/>
                <w:sz w:val="30"/>
                <w:szCs w:val="30"/>
                <w:highlight w:val="none"/>
              </w:rPr>
            </w:pPr>
            <w:r>
              <w:rPr>
                <w:b/>
                <w:color w:val="auto"/>
                <w:sz w:val="30"/>
                <w:szCs w:val="30"/>
                <w:highlight w:val="none"/>
              </w:rPr>
              <w:t>联系传真：</w:t>
            </w:r>
            <w:r>
              <w:rPr>
                <w:rFonts w:hint="eastAsia" w:ascii="宋体" w:hAnsi="宋体"/>
                <w:b/>
                <w:color w:val="auto"/>
                <w:sz w:val="30"/>
                <w:szCs w:val="30"/>
                <w:highlight w:val="none"/>
              </w:rPr>
              <w:t>0577-63682718</w:t>
            </w:r>
          </w:p>
          <w:p w14:paraId="35E17599">
            <w:pPr>
              <w:spacing w:line="440" w:lineRule="exact"/>
              <w:rPr>
                <w:rFonts w:ascii="宋体" w:hAnsi="宋体"/>
                <w:b/>
                <w:color w:val="auto"/>
                <w:sz w:val="30"/>
                <w:szCs w:val="30"/>
                <w:highlight w:val="none"/>
              </w:rPr>
            </w:pPr>
          </w:p>
          <w:p w14:paraId="3AB7978F">
            <w:pPr>
              <w:pStyle w:val="31"/>
              <w:rPr>
                <w:rFonts w:ascii="宋体" w:hAnsi="宋体"/>
                <w:b/>
                <w:color w:val="auto"/>
                <w:sz w:val="30"/>
                <w:szCs w:val="30"/>
                <w:highlight w:val="none"/>
              </w:rPr>
            </w:pPr>
          </w:p>
          <w:p w14:paraId="62691FEA">
            <w:pPr>
              <w:pStyle w:val="33"/>
              <w:rPr>
                <w:color w:val="auto"/>
                <w:highlight w:val="none"/>
              </w:rPr>
            </w:pPr>
          </w:p>
          <w:p w14:paraId="5B75D684">
            <w:pPr>
              <w:pStyle w:val="41"/>
              <w:ind w:left="0" w:leftChars="0"/>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    </w:t>
            </w:r>
          </w:p>
          <w:p w14:paraId="6E6EACFD">
            <w:pPr>
              <w:spacing w:line="44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eastAsia="zh-CN"/>
              </w:rPr>
              <w:t>五</w:t>
            </w:r>
            <w:r>
              <w:rPr>
                <w:rFonts w:hint="eastAsia" w:ascii="宋体" w:hAnsi="宋体"/>
                <w:b/>
                <w:color w:val="auto"/>
                <w:sz w:val="30"/>
                <w:szCs w:val="30"/>
                <w:highlight w:val="none"/>
              </w:rPr>
              <w:t>年</w:t>
            </w:r>
            <w:r>
              <w:rPr>
                <w:rFonts w:hint="eastAsia" w:ascii="宋体" w:hAnsi="宋体"/>
                <w:b/>
                <w:color w:val="auto"/>
                <w:sz w:val="30"/>
                <w:szCs w:val="30"/>
                <w:highlight w:val="none"/>
                <w:lang w:eastAsia="zh-CN"/>
              </w:rPr>
              <w:t>九</w:t>
            </w:r>
            <w:r>
              <w:rPr>
                <w:rFonts w:hint="eastAsia" w:ascii="宋体" w:hAnsi="宋体"/>
                <w:b/>
                <w:color w:val="auto"/>
                <w:sz w:val="30"/>
                <w:szCs w:val="30"/>
                <w:highlight w:val="none"/>
              </w:rPr>
              <w:t>月</w:t>
            </w:r>
          </w:p>
          <w:p w14:paraId="0A5D62C1">
            <w:pPr>
              <w:spacing w:line="440" w:lineRule="exact"/>
              <w:jc w:val="center"/>
              <w:rPr>
                <w:rFonts w:ascii="宋体" w:hAnsi="宋体"/>
                <w:b/>
                <w:color w:val="auto"/>
                <w:sz w:val="84"/>
                <w:highlight w:val="none"/>
              </w:rPr>
            </w:pPr>
          </w:p>
        </w:tc>
      </w:tr>
    </w:tbl>
    <w:p w14:paraId="5D67C03E">
      <w:pPr>
        <w:rPr>
          <w:rFonts w:ascii="宋体" w:hAnsi="宋体"/>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start="0"/>
          <w:cols w:space="720" w:num="1"/>
          <w:docGrid w:linePitch="312" w:charSpace="0"/>
        </w:sectPr>
      </w:pPr>
    </w:p>
    <w:p w14:paraId="2FB8299C">
      <w:pPr>
        <w:widowControl/>
        <w:tabs>
          <w:tab w:val="left" w:pos="2019"/>
        </w:tabs>
        <w:jc w:val="center"/>
        <w:rPr>
          <w:rFonts w:hint="eastAsia" w:ascii="宋体" w:hAnsi="宋体"/>
          <w:b/>
          <w:bCs/>
          <w:color w:val="auto"/>
          <w:kern w:val="0"/>
          <w:sz w:val="28"/>
          <w:szCs w:val="28"/>
          <w:highlight w:val="none"/>
          <w:lang w:eastAsia="zh-CN"/>
        </w:rPr>
      </w:pPr>
      <w:bookmarkStart w:id="0" w:name="OLE_LINK1"/>
      <w:bookmarkStart w:id="1" w:name="OLE_LINK2"/>
      <w:bookmarkStart w:id="2" w:name="OLE_LINK3"/>
      <w:r>
        <w:rPr>
          <w:rFonts w:hint="eastAsia" w:ascii="宋体" w:hAnsi="宋体"/>
          <w:b/>
          <w:bCs/>
          <w:color w:val="auto"/>
          <w:kern w:val="0"/>
          <w:sz w:val="28"/>
          <w:szCs w:val="28"/>
          <w:highlight w:val="none"/>
          <w:lang w:eastAsia="zh-CN"/>
        </w:rPr>
        <w:t>浙江品信工程项目管理有限公司</w:t>
      </w:r>
      <w:r>
        <w:rPr>
          <w:rFonts w:hint="eastAsia" w:ascii="宋体" w:hAnsi="宋体" w:eastAsia="宋体"/>
          <w:b/>
          <w:bCs/>
          <w:color w:val="auto"/>
          <w:kern w:val="0"/>
          <w:sz w:val="28"/>
          <w:szCs w:val="28"/>
          <w:highlight w:val="none"/>
        </w:rPr>
        <w:t>关于</w:t>
      </w:r>
      <w:r>
        <w:rPr>
          <w:rFonts w:hint="eastAsia" w:ascii="宋体" w:hAnsi="宋体"/>
          <w:b/>
          <w:bCs/>
          <w:color w:val="auto"/>
          <w:kern w:val="0"/>
          <w:sz w:val="28"/>
          <w:szCs w:val="28"/>
          <w:highlight w:val="none"/>
          <w:lang w:eastAsia="zh-CN"/>
        </w:rPr>
        <w:t>平阳县社会心理服务综合体装修、办公家具软装及设备采购(重)</w:t>
      </w:r>
      <w:r>
        <w:rPr>
          <w:rFonts w:hint="eastAsia" w:ascii="宋体" w:hAnsi="宋体" w:eastAsia="宋体"/>
          <w:b/>
          <w:bCs/>
          <w:color w:val="auto"/>
          <w:kern w:val="0"/>
          <w:sz w:val="28"/>
          <w:szCs w:val="28"/>
          <w:highlight w:val="none"/>
        </w:rPr>
        <w:t>的公开招标公告</w:t>
      </w:r>
    </w:p>
    <w:p w14:paraId="10DD9449">
      <w:pPr>
        <w:tabs>
          <w:tab w:val="left" w:pos="0"/>
        </w:tabs>
        <w:spacing w:line="460" w:lineRule="exact"/>
        <w:ind w:left="2" w:firstLine="2"/>
        <w:jc w:val="center"/>
        <w:rPr>
          <w:rFonts w:hint="eastAsia" w:ascii="宋体" w:hAnsi="宋体" w:eastAsia="宋体"/>
          <w:b/>
          <w:bCs/>
          <w:color w:val="auto"/>
          <w:sz w:val="28"/>
          <w:szCs w:val="28"/>
          <w:highlight w:val="none"/>
        </w:rPr>
      </w:pPr>
      <w:r>
        <w:rPr>
          <w:rFonts w:hint="eastAsia" w:ascii="宋体" w:hAnsi="宋体" w:eastAsia="宋体"/>
          <w:b/>
          <w:bCs/>
          <w:color w:val="auto"/>
          <w:sz w:val="28"/>
          <w:szCs w:val="28"/>
          <w:highlight w:val="none"/>
        </w:rPr>
        <w:t>（线上电子招投标）</w:t>
      </w:r>
    </w:p>
    <w:p w14:paraId="05B92F7E">
      <w:pPr>
        <w:widowControl/>
        <w:tabs>
          <w:tab w:val="left" w:pos="2019"/>
        </w:tabs>
        <w:spacing w:line="420" w:lineRule="exact"/>
        <w:ind w:left="2778" w:leftChars="1" w:hanging="2776" w:hangingChars="1152"/>
        <w:jc w:val="center"/>
        <w:rPr>
          <w:rFonts w:hint="eastAsia" w:ascii="宋体" w:hAnsi="宋体"/>
          <w:b/>
          <w:color w:val="auto"/>
          <w:sz w:val="24"/>
          <w:szCs w:val="24"/>
          <w:highlight w:val="none"/>
        </w:rPr>
      </w:pPr>
      <w:r>
        <w:rPr>
          <w:rFonts w:hint="eastAsia" w:ascii="宋体" w:hAnsi="宋体"/>
          <w:b/>
          <w:color w:val="auto"/>
          <w:sz w:val="24"/>
          <w:szCs w:val="24"/>
          <w:highlight w:val="none"/>
        </w:rPr>
        <w:t>公告日期：</w:t>
      </w:r>
      <w:r>
        <w:rPr>
          <w:rFonts w:hint="eastAsia" w:ascii="宋体" w:hAnsi="宋体"/>
          <w:b/>
          <w:color w:val="auto"/>
          <w:sz w:val="24"/>
          <w:szCs w:val="24"/>
          <w:highlight w:val="none"/>
          <w:lang w:eastAsia="zh-CN"/>
        </w:rPr>
        <w:t>2025年</w:t>
      </w:r>
      <w:r>
        <w:rPr>
          <w:rFonts w:hint="eastAsia" w:ascii="宋体" w:hAnsi="宋体"/>
          <w:b/>
          <w:color w:val="auto"/>
          <w:sz w:val="24"/>
          <w:szCs w:val="24"/>
          <w:highlight w:val="none"/>
          <w:lang w:val="en-US" w:eastAsia="zh-CN"/>
        </w:rPr>
        <w:t>09</w:t>
      </w:r>
      <w:r>
        <w:rPr>
          <w:rFonts w:hint="eastAsia" w:ascii="宋体" w:hAnsi="宋体"/>
          <w:b/>
          <w:color w:val="auto"/>
          <w:sz w:val="24"/>
          <w:szCs w:val="24"/>
          <w:highlight w:val="none"/>
          <w:lang w:eastAsia="zh-CN"/>
        </w:rPr>
        <w:t>月</w:t>
      </w:r>
      <w:r>
        <w:rPr>
          <w:rFonts w:hint="eastAsia" w:ascii="宋体" w:hAnsi="宋体"/>
          <w:b/>
          <w:color w:val="auto"/>
          <w:sz w:val="24"/>
          <w:szCs w:val="24"/>
          <w:highlight w:val="none"/>
          <w:lang w:val="en-US" w:eastAsia="zh-CN"/>
        </w:rPr>
        <w:t>04</w:t>
      </w:r>
      <w:r>
        <w:rPr>
          <w:rFonts w:hint="eastAsia" w:ascii="宋体" w:hAnsi="宋体"/>
          <w:b/>
          <w:color w:val="auto"/>
          <w:sz w:val="24"/>
          <w:szCs w:val="24"/>
          <w:highlight w:val="none"/>
          <w:lang w:eastAsia="zh-CN"/>
        </w:rPr>
        <w:t>日</w:t>
      </w:r>
    </w:p>
    <w:p w14:paraId="75BACC3D">
      <w:pPr>
        <w:pStyle w:val="49"/>
        <w:keepNext w:val="0"/>
        <w:keepLines w:val="0"/>
        <w:widowControl/>
        <w:suppressLineNumbers w:val="0"/>
        <w:shd w:val="clear" w:color="auto" w:fill="FFFFFF"/>
        <w:spacing w:before="0" w:beforeAutospacing="0" w:after="0" w:afterAutospacing="0" w:line="460" w:lineRule="atLeast"/>
        <w:ind w:left="0" w:right="0"/>
        <w:jc w:val="both"/>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项目概况</w:t>
      </w:r>
    </w:p>
    <w:p w14:paraId="785CF598">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平阳县社会心理服务综合体装修、办公家具软装及设备采购(重)</w:t>
      </w:r>
      <w:r>
        <w:rPr>
          <w:rFonts w:hint="eastAsia" w:ascii="宋体" w:hAnsi="宋体" w:eastAsia="宋体"/>
          <w:color w:val="auto"/>
          <w:sz w:val="22"/>
          <w:szCs w:val="22"/>
          <w:highlight w:val="none"/>
          <w:shd w:val="clear" w:color="auto" w:fill="FFFFFF"/>
        </w:rPr>
        <w:t>招标项目的潜在</w:t>
      </w:r>
      <w:r>
        <w:rPr>
          <w:rFonts w:hint="eastAsia" w:ascii="宋体" w:hAnsi="宋体"/>
          <w:color w:val="auto"/>
          <w:sz w:val="22"/>
          <w:szCs w:val="22"/>
          <w:highlight w:val="none"/>
          <w:shd w:val="clear" w:color="auto" w:fill="FFFFFF"/>
          <w:lang w:eastAsia="zh-CN"/>
        </w:rPr>
        <w:t>投标供应商</w:t>
      </w:r>
      <w:r>
        <w:rPr>
          <w:rFonts w:hint="eastAsia" w:ascii="宋体" w:hAnsi="宋体" w:eastAsia="宋体"/>
          <w:color w:val="auto"/>
          <w:sz w:val="22"/>
          <w:szCs w:val="22"/>
          <w:highlight w:val="none"/>
          <w:shd w:val="clear" w:color="auto" w:fill="FFFFFF"/>
        </w:rPr>
        <w:t>应在供应商登录</w:t>
      </w:r>
      <w:r>
        <w:rPr>
          <w:rFonts w:hint="eastAsia" w:ascii="宋体" w:hAnsi="宋体"/>
          <w:color w:val="auto"/>
          <w:sz w:val="22"/>
          <w:szCs w:val="22"/>
          <w:highlight w:val="none"/>
          <w:shd w:val="clear" w:color="auto" w:fill="FFFFFF"/>
          <w:lang w:eastAsia="zh-CN"/>
        </w:rPr>
        <w:t>乐采云平台https://www.lecaiyun.com/</w:t>
      </w:r>
      <w:r>
        <w:rPr>
          <w:rFonts w:hint="eastAsia" w:ascii="宋体" w:hAnsi="宋体" w:eastAsia="宋体"/>
          <w:color w:val="auto"/>
          <w:sz w:val="22"/>
          <w:szCs w:val="22"/>
          <w:highlight w:val="none"/>
          <w:shd w:val="clear" w:color="auto" w:fill="FFFFFF"/>
        </w:rPr>
        <w:t>在线申请获取采购文件（进入“项目采购”应用，在获取采购文件菜单中选择项目，申请获取采购文件）获取招标文件，并于</w:t>
      </w:r>
      <w:r>
        <w:rPr>
          <w:rFonts w:hint="eastAsia" w:ascii="宋体" w:hAnsi="宋体"/>
          <w:color w:val="auto"/>
          <w:sz w:val="22"/>
          <w:szCs w:val="22"/>
          <w:highlight w:val="none"/>
          <w:shd w:val="clear" w:color="auto" w:fill="FFFFFF"/>
          <w:lang w:eastAsia="zh-CN"/>
        </w:rPr>
        <w:t>2025年</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:30（北京时间）前递交投标文件。</w:t>
      </w:r>
    </w:p>
    <w:p w14:paraId="110F1314">
      <w:pPr>
        <w:pStyle w:val="4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一、项目基本情况</w:t>
      </w:r>
    </w:p>
    <w:p w14:paraId="068BAF8D">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项目编号：</w:t>
      </w:r>
      <w:r>
        <w:rPr>
          <w:rFonts w:hint="eastAsia" w:ascii="宋体" w:hAnsi="宋体"/>
          <w:color w:val="auto"/>
          <w:sz w:val="22"/>
          <w:szCs w:val="22"/>
          <w:highlight w:val="none"/>
          <w:lang w:eastAsia="zh-CN"/>
        </w:rPr>
        <w:t>PYCG250731080(重)</w:t>
      </w:r>
    </w:p>
    <w:p w14:paraId="1DCB298D">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项目名称：</w:t>
      </w:r>
      <w:r>
        <w:rPr>
          <w:rFonts w:hint="eastAsia" w:ascii="宋体" w:hAnsi="宋体"/>
          <w:color w:val="auto"/>
          <w:sz w:val="22"/>
          <w:szCs w:val="22"/>
          <w:highlight w:val="none"/>
          <w:u w:val="none"/>
          <w:shd w:val="clear" w:color="auto" w:fill="FFFFFF"/>
          <w:lang w:eastAsia="zh-CN"/>
        </w:rPr>
        <w:t>平阳县社会心理服务综合体装修、办公家具软装及设备采购(重)</w:t>
      </w:r>
    </w:p>
    <w:p w14:paraId="062E4EB7">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eastAsia="zh-CN"/>
        </w:rPr>
      </w:pPr>
      <w:r>
        <w:rPr>
          <w:rFonts w:hint="eastAsia" w:ascii="宋体" w:hAnsi="宋体" w:eastAsia="宋体"/>
          <w:color w:val="auto"/>
          <w:sz w:val="22"/>
          <w:szCs w:val="22"/>
          <w:highlight w:val="none"/>
          <w:shd w:val="clear" w:color="auto" w:fill="FFFFFF"/>
        </w:rPr>
        <w:t>预算金额</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w:t>
      </w:r>
      <w:r>
        <w:rPr>
          <w:rFonts w:hint="eastAsia" w:ascii="宋体" w:hAnsi="宋体"/>
          <w:color w:val="auto"/>
          <w:sz w:val="22"/>
          <w:szCs w:val="22"/>
          <w:highlight w:val="none"/>
          <w:shd w:val="clear" w:color="auto" w:fill="FFFFFF"/>
          <w:lang w:eastAsia="zh-CN"/>
        </w:rPr>
        <w:t>3545366.38</w:t>
      </w:r>
    </w:p>
    <w:p w14:paraId="37AFC2D1">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lang w:val="en-US" w:eastAsia="zh-CN"/>
        </w:rPr>
      </w:pPr>
      <w:r>
        <w:rPr>
          <w:rFonts w:hint="eastAsia" w:ascii="宋体" w:hAnsi="宋体" w:eastAsia="宋体"/>
          <w:color w:val="auto"/>
          <w:sz w:val="22"/>
          <w:szCs w:val="22"/>
          <w:highlight w:val="none"/>
          <w:shd w:val="clear" w:color="auto" w:fill="FFFFFF"/>
        </w:rPr>
        <w:t>最高限价</w:t>
      </w:r>
      <w:r>
        <w:rPr>
          <w:rFonts w:hint="eastAsia" w:ascii="宋体" w:hAnsi="宋体"/>
          <w:color w:val="auto"/>
          <w:sz w:val="22"/>
          <w:szCs w:val="22"/>
          <w:highlight w:val="none"/>
          <w:shd w:val="clear" w:color="auto" w:fill="FFFFFF"/>
          <w:lang w:eastAsia="zh-CN"/>
        </w:rPr>
        <w:t>（</w:t>
      </w:r>
      <w:r>
        <w:rPr>
          <w:rFonts w:hint="eastAsia" w:ascii="宋体" w:hAnsi="宋体"/>
          <w:color w:val="auto"/>
          <w:sz w:val="22"/>
          <w:szCs w:val="22"/>
          <w:highlight w:val="none"/>
          <w:shd w:val="clear" w:color="auto" w:fill="FFFFFF"/>
          <w:lang w:val="en-US" w:eastAsia="zh-CN"/>
        </w:rPr>
        <w:t>元</w:t>
      </w:r>
      <w:r>
        <w:rPr>
          <w:rFonts w:hint="eastAsia" w:ascii="宋体" w:hAnsi="宋体"/>
          <w:color w:val="auto"/>
          <w:sz w:val="22"/>
          <w:szCs w:val="22"/>
          <w:highlight w:val="none"/>
          <w:shd w:val="clear" w:color="auto" w:fill="FFFFFF"/>
          <w:lang w:eastAsia="zh-CN"/>
        </w:rPr>
        <w:t>）</w:t>
      </w:r>
      <w:r>
        <w:rPr>
          <w:rFonts w:hint="eastAsia" w:ascii="宋体" w:hAnsi="宋体" w:eastAsia="宋体"/>
          <w:color w:val="auto"/>
          <w:sz w:val="22"/>
          <w:szCs w:val="22"/>
          <w:highlight w:val="none"/>
          <w:shd w:val="clear" w:color="auto" w:fill="FFFFFF"/>
        </w:rPr>
        <w:t>：</w:t>
      </w:r>
      <w:r>
        <w:rPr>
          <w:rFonts w:hint="eastAsia" w:ascii="宋体" w:hAnsi="宋体"/>
          <w:color w:val="auto"/>
          <w:sz w:val="22"/>
          <w:szCs w:val="22"/>
          <w:highlight w:val="none"/>
          <w:shd w:val="clear" w:color="auto" w:fill="FFFFFF"/>
          <w:lang w:val="en-US" w:eastAsia="zh-CN"/>
        </w:rPr>
        <w:t>/</w:t>
      </w:r>
    </w:p>
    <w:p w14:paraId="71269E7C">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采购需求：详见招标文件</w:t>
      </w:r>
    </w:p>
    <w:p w14:paraId="5BB83C04">
      <w:pPr>
        <w:pStyle w:val="49"/>
        <w:keepNext w:val="0"/>
        <w:keepLines w:val="0"/>
        <w:widowControl/>
        <w:suppressLineNumbers w:val="0"/>
        <w:shd w:val="clear" w:color="auto" w:fill="FFFFFF"/>
        <w:spacing w:before="0" w:beforeAutospacing="0" w:after="0" w:afterAutospacing="0" w:line="420" w:lineRule="atLeast"/>
        <w:ind w:left="1541" w:leftChars="210" w:right="0" w:hanging="1100" w:hangingChars="50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标项名称: </w:t>
      </w:r>
      <w:r>
        <w:rPr>
          <w:rFonts w:hint="eastAsia" w:ascii="宋体" w:hAnsi="宋体"/>
          <w:color w:val="auto"/>
          <w:sz w:val="22"/>
          <w:szCs w:val="22"/>
          <w:highlight w:val="none"/>
          <w:shd w:val="clear" w:color="auto" w:fill="FFFFFF"/>
          <w:lang w:eastAsia="zh-CN"/>
        </w:rPr>
        <w:t>平阳县社会心理服务综合体装修、办公家具软装及设备采购(重)</w:t>
      </w:r>
      <w:r>
        <w:rPr>
          <w:rFonts w:ascii="宋体" w:hAnsi="宋体" w:eastAsia="宋体"/>
          <w:color w:val="auto"/>
          <w:sz w:val="22"/>
          <w:szCs w:val="22"/>
          <w:highlight w:val="none"/>
          <w:shd w:val="clear" w:color="auto" w:fill="FFFFFF"/>
        </w:rPr>
        <w:t xml:space="preserve"> </w:t>
      </w:r>
    </w:p>
    <w:p w14:paraId="411A8F1D">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数量: 不限   </w:t>
      </w:r>
    </w:p>
    <w:p w14:paraId="55C70733">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olor w:val="auto"/>
          <w:sz w:val="22"/>
          <w:szCs w:val="22"/>
          <w:highlight w:val="none"/>
          <w:shd w:val="clear" w:color="auto" w:fill="FFFFFF"/>
          <w:lang w:val="en-US"/>
        </w:rPr>
      </w:pPr>
      <w:r>
        <w:rPr>
          <w:rFonts w:ascii="宋体" w:hAnsi="宋体" w:eastAsia="宋体"/>
          <w:color w:val="auto"/>
          <w:sz w:val="22"/>
          <w:szCs w:val="22"/>
          <w:highlight w:val="none"/>
          <w:shd w:val="clear" w:color="auto" w:fill="FFFFFF"/>
        </w:rPr>
        <w:t>预算金额（元）:</w:t>
      </w:r>
      <w:r>
        <w:rPr>
          <w:rFonts w:hint="eastAsia" w:ascii="宋体" w:hAnsi="宋体"/>
          <w:color w:val="auto"/>
          <w:sz w:val="22"/>
          <w:szCs w:val="22"/>
          <w:highlight w:val="none"/>
          <w:lang w:val="en-US" w:eastAsia="zh-CN"/>
        </w:rPr>
        <w:t xml:space="preserve"> </w:t>
      </w:r>
      <w:r>
        <w:rPr>
          <w:rFonts w:hint="eastAsia" w:ascii="宋体" w:hAnsi="宋体"/>
          <w:color w:val="auto"/>
          <w:sz w:val="22"/>
          <w:szCs w:val="22"/>
          <w:highlight w:val="none"/>
          <w:shd w:val="clear" w:color="auto" w:fill="FFFFFF"/>
          <w:lang w:eastAsia="zh-CN"/>
        </w:rPr>
        <w:t>3545366.38</w:t>
      </w:r>
    </w:p>
    <w:p w14:paraId="174580A8">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ascii="宋体" w:hAnsi="宋体" w:eastAsia="宋体"/>
          <w:color w:val="auto"/>
          <w:sz w:val="22"/>
          <w:szCs w:val="22"/>
          <w:highlight w:val="none"/>
          <w:shd w:val="clear" w:color="auto" w:fill="FFFFFF"/>
        </w:rPr>
      </w:pPr>
      <w:r>
        <w:rPr>
          <w:rFonts w:ascii="宋体" w:hAnsi="宋体" w:eastAsia="宋体"/>
          <w:color w:val="auto"/>
          <w:sz w:val="22"/>
          <w:szCs w:val="22"/>
          <w:highlight w:val="none"/>
          <w:shd w:val="clear" w:color="auto" w:fill="FFFFFF"/>
        </w:rPr>
        <w:t xml:space="preserve">简要规格描述或项目基本概况介绍、用途：详见招标文件 </w:t>
      </w:r>
    </w:p>
    <w:p w14:paraId="6A03BD6C">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b/>
          <w:color w:val="auto"/>
          <w:sz w:val="22"/>
          <w:highlight w:val="none"/>
          <w:lang w:val="en-US" w:eastAsia="zh-CN"/>
        </w:rPr>
      </w:pPr>
      <w:r>
        <w:rPr>
          <w:rFonts w:ascii="宋体" w:hAnsi="宋体" w:eastAsia="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rPr>
        <w:t xml:space="preserve">项目按实结算，采用单价统一折扣率报价总价不折扣的方式。 </w:t>
      </w:r>
    </w:p>
    <w:p w14:paraId="292A595B">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合同履约期限：标项 1，详见招标文件</w:t>
      </w:r>
    </w:p>
    <w:p w14:paraId="68B36283">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本项目（</w:t>
      </w:r>
      <w:r>
        <w:rPr>
          <w:rFonts w:hint="eastAsia" w:ascii="宋体" w:hAnsi="宋体"/>
          <w:color w:val="auto"/>
          <w:sz w:val="22"/>
          <w:szCs w:val="22"/>
          <w:highlight w:val="none"/>
          <w:shd w:val="clear" w:color="auto" w:fill="FFFFFF"/>
          <w:lang w:eastAsia="zh-CN"/>
        </w:rPr>
        <w:t>是</w:t>
      </w:r>
      <w:r>
        <w:rPr>
          <w:rFonts w:hint="eastAsia" w:ascii="宋体" w:hAnsi="宋体" w:eastAsia="宋体"/>
          <w:color w:val="auto"/>
          <w:sz w:val="22"/>
          <w:szCs w:val="22"/>
          <w:highlight w:val="none"/>
          <w:shd w:val="clear" w:color="auto" w:fill="FFFFFF"/>
        </w:rPr>
        <w:t>）联合体投标。</w:t>
      </w:r>
    </w:p>
    <w:p w14:paraId="1CD2467F">
      <w:pPr>
        <w:pStyle w:val="4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二、申请人的资格要求</w:t>
      </w:r>
    </w:p>
    <w:p w14:paraId="0ADA449B">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1.满足《平阳县县属国有企业采购管理办法（试行）》第十四条规定；未被“信用中国”（www.creditchina.gov.cn)、中国政府采购网（www.ccgp.gov.cn）列入失信被执行人、重大税收违法案件当事人名单、政府采购严重违法失信行为记录名单。</w:t>
      </w:r>
    </w:p>
    <w:p w14:paraId="5B2D10B4">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2.落实政府采购政策需满足的资格要求：无 </w:t>
      </w:r>
    </w:p>
    <w:p w14:paraId="28252596">
      <w:pPr>
        <w:spacing w:line="400" w:lineRule="exact"/>
        <w:ind w:firstLine="220" w:firstLineChars="1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w:t>
      </w:r>
      <w:r>
        <w:rPr>
          <w:rFonts w:hint="eastAsia" w:ascii="宋体" w:hAnsi="宋体" w:eastAsia="宋体"/>
          <w:color w:val="auto"/>
          <w:sz w:val="22"/>
          <w:szCs w:val="22"/>
          <w:highlight w:val="none"/>
          <w:lang w:val="en-US" w:eastAsia="zh-CN"/>
        </w:rPr>
        <w:t xml:space="preserve"> </w:t>
      </w:r>
      <w:r>
        <w:rPr>
          <w:rFonts w:hint="eastAsia" w:ascii="宋体" w:hAnsi="宋体" w:eastAsia="宋体"/>
          <w:color w:val="auto"/>
          <w:sz w:val="22"/>
          <w:szCs w:val="22"/>
          <w:highlight w:val="none"/>
        </w:rPr>
        <w:t>3.本项目的特定资格要求：</w:t>
      </w:r>
      <w:r>
        <w:rPr>
          <w:rFonts w:hint="eastAsia" w:ascii="宋体" w:hAnsi="宋体" w:eastAsia="宋体" w:cs="宋体"/>
          <w:color w:val="auto"/>
          <w:sz w:val="22"/>
          <w:szCs w:val="22"/>
          <w:highlight w:val="none"/>
          <w:lang w:val="en-US" w:eastAsia="zh-CN"/>
        </w:rPr>
        <w:t>投标供应商</w:t>
      </w:r>
      <w:r>
        <w:rPr>
          <w:rFonts w:hint="eastAsia" w:ascii="Times New Roman" w:hAnsi="Times New Roman" w:eastAsia="宋体" w:cs="Times New Roman"/>
          <w:color w:val="auto"/>
          <w:sz w:val="22"/>
          <w:szCs w:val="22"/>
          <w:highlight w:val="none"/>
          <w:lang w:val="en-US" w:eastAsia="zh-CN"/>
        </w:rPr>
        <w:t>具有有效期内的建筑装修装饰工程专业承包二级及以上资质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且</w:t>
      </w:r>
      <w:r>
        <w:rPr>
          <w:rFonts w:hint="eastAsia" w:ascii="宋体" w:hAnsi="宋体" w:eastAsia="宋体" w:cs="宋体"/>
          <w:color w:val="auto"/>
          <w:sz w:val="22"/>
          <w:szCs w:val="22"/>
          <w:highlight w:val="none"/>
          <w:lang w:eastAsia="zh-CN"/>
        </w:rPr>
        <w:t>具有有效期内</w:t>
      </w:r>
      <w:r>
        <w:rPr>
          <w:rFonts w:hint="eastAsia" w:ascii="宋体" w:hAnsi="宋体" w:eastAsia="宋体" w:cs="宋体"/>
          <w:color w:val="auto"/>
          <w:sz w:val="22"/>
          <w:szCs w:val="22"/>
          <w:highlight w:val="none"/>
          <w:lang w:val="en-US" w:eastAsia="zh-CN"/>
        </w:rPr>
        <w:t>的</w:t>
      </w:r>
      <w:r>
        <w:rPr>
          <w:rFonts w:hint="eastAsia" w:ascii="宋体" w:hAnsi="宋体" w:eastAsia="宋体" w:cs="宋体"/>
          <w:color w:val="auto"/>
          <w:sz w:val="22"/>
          <w:szCs w:val="22"/>
          <w:highlight w:val="none"/>
          <w:lang w:eastAsia="zh-CN"/>
        </w:rPr>
        <w:t>安全生产许可证。</w:t>
      </w:r>
    </w:p>
    <w:p w14:paraId="0219F747">
      <w:pPr>
        <w:pStyle w:val="4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三、获取招标文件</w:t>
      </w:r>
    </w:p>
    <w:p w14:paraId="41C8A083">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时间：</w:t>
      </w:r>
      <w:r>
        <w:rPr>
          <w:rFonts w:hint="eastAsia" w:ascii="宋体" w:hAnsi="宋体" w:eastAsia="宋体" w:cs="宋体"/>
          <w:color w:val="auto"/>
          <w:sz w:val="22"/>
          <w:szCs w:val="22"/>
          <w:highlight w:val="none"/>
          <w:shd w:val="clear" w:color="auto" w:fill="FFFFFF"/>
        </w:rPr>
        <w:t>至</w:t>
      </w:r>
      <w:r>
        <w:rPr>
          <w:rFonts w:hint="eastAsia" w:ascii="宋体" w:hAnsi="宋体" w:cs="宋体"/>
          <w:color w:val="auto"/>
          <w:sz w:val="22"/>
          <w:szCs w:val="22"/>
          <w:highlight w:val="none"/>
          <w:shd w:val="clear" w:color="auto" w:fill="FFFFFF"/>
          <w:lang w:eastAsia="zh-CN"/>
        </w:rPr>
        <w:t>2025年</w:t>
      </w:r>
      <w:r>
        <w:rPr>
          <w:rFonts w:hint="eastAsia" w:ascii="宋体" w:hAnsi="宋体" w:cs="宋体"/>
          <w:color w:val="auto"/>
          <w:sz w:val="22"/>
          <w:szCs w:val="22"/>
          <w:highlight w:val="none"/>
          <w:shd w:val="clear" w:color="auto" w:fill="FFFFFF"/>
          <w:lang w:val="en-US" w:eastAsia="zh-CN"/>
        </w:rPr>
        <w:t>09</w:t>
      </w:r>
      <w:r>
        <w:rPr>
          <w:rFonts w:hint="eastAsia" w:ascii="宋体" w:hAnsi="宋体" w:cs="宋体"/>
          <w:color w:val="auto"/>
          <w:sz w:val="22"/>
          <w:szCs w:val="22"/>
          <w:highlight w:val="none"/>
          <w:shd w:val="clear" w:color="auto" w:fill="FFFFFF"/>
          <w:lang w:eastAsia="zh-CN"/>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cs="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，每天上午00:00至12:00，下午12:00至23:59（北京时间，线上获取法定节假日均可，线下获取文件法定节假日除外）</w:t>
      </w:r>
    </w:p>
    <w:p w14:paraId="4ED86403">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地点（网址）：</w:t>
      </w:r>
      <w:r>
        <w:rPr>
          <w:rFonts w:hint="eastAsia" w:ascii="宋体" w:hAnsi="宋体"/>
          <w:color w:val="auto"/>
          <w:sz w:val="22"/>
          <w:szCs w:val="22"/>
          <w:highlight w:val="none"/>
          <w:shd w:val="clear" w:color="auto" w:fill="FFFFFF"/>
          <w:lang w:eastAsia="zh-CN"/>
        </w:rPr>
        <w:t>乐采云平台（https://www.lecaiyun.com/）</w:t>
      </w:r>
      <w:r>
        <w:rPr>
          <w:rFonts w:hint="eastAsia" w:ascii="宋体" w:hAnsi="宋体" w:eastAsia="宋体"/>
          <w:color w:val="auto"/>
          <w:sz w:val="22"/>
          <w:szCs w:val="22"/>
          <w:highlight w:val="none"/>
          <w:shd w:val="clear" w:color="auto" w:fill="FFFFFF"/>
        </w:rPr>
        <w:t>；</w:t>
      </w:r>
    </w:p>
    <w:p w14:paraId="68C9EF99">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方式：供应商登录</w:t>
      </w:r>
      <w:r>
        <w:rPr>
          <w:rFonts w:hint="eastAsia" w:ascii="宋体" w:hAnsi="宋体"/>
          <w:color w:val="auto"/>
          <w:sz w:val="22"/>
          <w:szCs w:val="22"/>
          <w:highlight w:val="none"/>
          <w:shd w:val="clear" w:color="auto" w:fill="FFFFFF"/>
          <w:lang w:eastAsia="zh-CN"/>
        </w:rPr>
        <w:t>乐采云平台https://www.lecaiyun.com/</w:t>
      </w:r>
      <w:r>
        <w:rPr>
          <w:rFonts w:hint="eastAsia" w:ascii="宋体" w:hAnsi="宋体" w:eastAsia="宋体"/>
          <w:color w:val="auto"/>
          <w:sz w:val="22"/>
          <w:szCs w:val="22"/>
          <w:highlight w:val="none"/>
          <w:shd w:val="clear" w:color="auto" w:fill="FFFFFF"/>
        </w:rPr>
        <w:t>在线申请获取采购文件（进入“项目采购”应用，在获取采购文件菜单中选择项目，申请获取采购文件）；</w:t>
      </w:r>
    </w:p>
    <w:p w14:paraId="08A922F0">
      <w:pPr>
        <w:pStyle w:val="4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四、提交投标文件截止时间、开标时间和地点</w:t>
      </w:r>
    </w:p>
    <w:p w14:paraId="27FEA573">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提交投标文件截止时间：</w:t>
      </w:r>
      <w:r>
        <w:rPr>
          <w:rFonts w:hint="eastAsia" w:ascii="宋体" w:hAnsi="宋体"/>
          <w:color w:val="auto"/>
          <w:sz w:val="22"/>
          <w:szCs w:val="22"/>
          <w:highlight w:val="none"/>
          <w:shd w:val="clear" w:color="auto" w:fill="FFFFFF"/>
          <w:lang w:eastAsia="zh-CN"/>
        </w:rPr>
        <w:t>2025年</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:30（北京时间）</w:t>
      </w:r>
    </w:p>
    <w:p w14:paraId="2E7E8F26">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投标地点（网址）：</w:t>
      </w:r>
      <w:r>
        <w:rPr>
          <w:rFonts w:hint="eastAsia" w:ascii="宋体" w:hAnsi="宋体" w:eastAsia="宋体" w:cs="宋体"/>
          <w:color w:val="auto"/>
          <w:sz w:val="22"/>
          <w:szCs w:val="22"/>
          <w:highlight w:val="none"/>
          <w:shd w:val="clear" w:color="auto" w:fill="FFFFFF"/>
          <w:lang w:eastAsia="zh-CN"/>
        </w:rPr>
        <w:t>乐</w:t>
      </w:r>
      <w:r>
        <w:rPr>
          <w:rFonts w:hint="eastAsia" w:ascii="宋体" w:hAnsi="宋体" w:eastAsia="宋体" w:cs="宋体"/>
          <w:color w:val="auto"/>
          <w:sz w:val="22"/>
          <w:szCs w:val="22"/>
          <w:highlight w:val="none"/>
          <w:shd w:val="clear" w:color="auto" w:fill="FFFFFF"/>
        </w:rPr>
        <w:t>采云平台在线投标</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客户端下载地址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https://sitecdn.zcycdn.com/zcy-client/bidding-client-new/official/lcy/LeCaiYunSetup.latest.exe</w:t>
      </w:r>
      <w:r>
        <w:rPr>
          <w:rFonts w:hint="eastAsia" w:ascii="宋体" w:hAnsi="宋体" w:eastAsia="宋体" w:cs="宋体"/>
          <w:color w:val="auto"/>
          <w:sz w:val="22"/>
          <w:szCs w:val="22"/>
          <w:highlight w:val="none"/>
          <w:shd w:val="clear" w:color="auto" w:fill="FFFFFF"/>
          <w:lang w:eastAsia="zh-CN"/>
        </w:rPr>
        <w:t>）</w:t>
      </w:r>
    </w:p>
    <w:p w14:paraId="287F7D5E">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开标时间：</w:t>
      </w:r>
      <w:r>
        <w:rPr>
          <w:rFonts w:hint="eastAsia" w:ascii="宋体" w:hAnsi="宋体"/>
          <w:color w:val="auto"/>
          <w:sz w:val="22"/>
          <w:szCs w:val="22"/>
          <w:highlight w:val="none"/>
          <w:shd w:val="clear" w:color="auto" w:fill="FFFFFF"/>
          <w:lang w:eastAsia="zh-CN"/>
        </w:rPr>
        <w:t>2025年</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 （北京时间）</w:t>
      </w:r>
    </w:p>
    <w:p w14:paraId="6B6ADC0B">
      <w:pPr>
        <w:pStyle w:val="49"/>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开标地点（网址）：</w:t>
      </w:r>
      <w:r>
        <w:rPr>
          <w:rFonts w:hint="eastAsia" w:ascii="宋体" w:hAnsi="宋体" w:eastAsia="宋体" w:cs="宋体"/>
          <w:color w:val="auto"/>
          <w:sz w:val="22"/>
          <w:szCs w:val="22"/>
          <w:highlight w:val="none"/>
          <w:shd w:val="clear" w:color="auto" w:fill="FFFFFF"/>
          <w:lang w:eastAsia="zh-CN"/>
        </w:rPr>
        <w:t>乐</w:t>
      </w:r>
      <w:r>
        <w:rPr>
          <w:rFonts w:hint="eastAsia" w:ascii="宋体" w:hAnsi="宋体" w:eastAsia="宋体" w:cs="宋体"/>
          <w:color w:val="auto"/>
          <w:sz w:val="22"/>
          <w:szCs w:val="22"/>
          <w:highlight w:val="none"/>
          <w:shd w:val="clear" w:color="auto" w:fill="FFFFFF"/>
        </w:rPr>
        <w:t>采云平台在线投标</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客户端下载地址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https://sitecdn.zcycdn.com/zcy-client/bidding-client-new/official/lcy/LeCaiYunSetup.latest.exe</w:t>
      </w:r>
      <w:r>
        <w:rPr>
          <w:rFonts w:hint="eastAsia" w:ascii="宋体" w:hAnsi="宋体" w:eastAsia="宋体" w:cs="宋体"/>
          <w:color w:val="auto"/>
          <w:sz w:val="22"/>
          <w:szCs w:val="22"/>
          <w:highlight w:val="none"/>
          <w:shd w:val="clear" w:color="auto" w:fill="FFFFFF"/>
          <w:lang w:eastAsia="zh-CN"/>
        </w:rPr>
        <w:t>）</w:t>
      </w:r>
    </w:p>
    <w:p w14:paraId="6DA17F6D">
      <w:pPr>
        <w:pStyle w:val="49"/>
        <w:keepNext w:val="0"/>
        <w:keepLines w:val="0"/>
        <w:widowControl/>
        <w:numPr>
          <w:ilvl w:val="0"/>
          <w:numId w:val="5"/>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公告期限:自本公告发布之日起5个工作日</w:t>
      </w:r>
    </w:p>
    <w:p w14:paraId="35851289">
      <w:pPr>
        <w:pStyle w:val="49"/>
        <w:keepNext w:val="0"/>
        <w:keepLines w:val="0"/>
        <w:widowControl/>
        <w:numPr>
          <w:ilvl w:val="0"/>
          <w:numId w:val="5"/>
        </w:numPr>
        <w:suppressLineNumbers w:val="0"/>
        <w:shd w:val="clear" w:color="auto" w:fill="FFFFFF"/>
        <w:spacing w:before="0" w:beforeAutospacing="0" w:after="0" w:afterAutospacing="0" w:line="420" w:lineRule="atLeast"/>
        <w:ind w:right="0"/>
        <w:jc w:val="lef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投标保证金：</w:t>
      </w:r>
      <w:r>
        <w:rPr>
          <w:rFonts w:hint="eastAsia" w:ascii="宋体" w:hAnsi="宋体" w:eastAsia="宋体"/>
          <w:b/>
          <w:color w:val="auto"/>
          <w:sz w:val="22"/>
          <w:szCs w:val="22"/>
          <w:highlight w:val="none"/>
          <w:shd w:val="clear" w:color="auto" w:fill="FFFFFF"/>
          <w:lang w:val="en-US" w:eastAsia="zh-CN"/>
        </w:rPr>
        <w:t>无</w:t>
      </w:r>
    </w:p>
    <w:p w14:paraId="3FAF6DBE">
      <w:pPr>
        <w:pStyle w:val="4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七、</w:t>
      </w:r>
      <w:r>
        <w:rPr>
          <w:rFonts w:hint="eastAsia" w:ascii="宋体" w:hAnsi="宋体" w:eastAsia="宋体"/>
          <w:b/>
          <w:color w:val="auto"/>
          <w:sz w:val="22"/>
          <w:szCs w:val="22"/>
          <w:highlight w:val="none"/>
          <w:shd w:val="clear" w:color="auto" w:fill="FFFFFF"/>
        </w:rPr>
        <w:t>其他补充事宜</w:t>
      </w:r>
    </w:p>
    <w:p w14:paraId="20162DC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14:paraId="411E44B2">
      <w:pPr>
        <w:spacing w:line="40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投诉。</w:t>
      </w:r>
    </w:p>
    <w:p w14:paraId="14745D92">
      <w:pPr>
        <w:pStyle w:val="1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auto"/>
          <w:spacing w:val="0"/>
          <w:sz w:val="22"/>
          <w:szCs w:val="22"/>
          <w:highlight w:val="none"/>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.其他事项：</w:t>
      </w:r>
      <w:r>
        <w:rPr>
          <w:rFonts w:hint="eastAsia" w:ascii="宋体" w:hAnsi="宋体" w:eastAsia="宋体" w:cs="宋体"/>
          <w:i w:val="0"/>
          <w:iCs w:val="0"/>
          <w:caps w:val="0"/>
          <w:color w:val="auto"/>
          <w:spacing w:val="0"/>
          <w:sz w:val="22"/>
          <w:szCs w:val="22"/>
          <w:highlight w:val="none"/>
        </w:rPr>
        <w:t>①本项目通过“乐采云-政企采购开放平台https://www.lecaiyun.com/”实行在线投标响应（电子投标），供应商应先安装“</w:t>
      </w:r>
      <w:r>
        <w:rPr>
          <w:rFonts w:hint="eastAsia" w:ascii="宋体" w:hAnsi="宋体" w:eastAsia="宋体" w:cs="宋体"/>
          <w:i w:val="0"/>
          <w:iCs w:val="0"/>
          <w:caps w:val="0"/>
          <w:color w:val="auto"/>
          <w:spacing w:val="0"/>
          <w:sz w:val="22"/>
          <w:szCs w:val="22"/>
          <w:highlight w:val="none"/>
          <w:lang w:eastAsia="zh-CN"/>
        </w:rPr>
        <w:t>乐采云</w:t>
      </w:r>
      <w:r>
        <w:rPr>
          <w:rFonts w:hint="eastAsia" w:ascii="宋体" w:hAnsi="宋体" w:eastAsia="宋体" w:cs="宋体"/>
          <w:i w:val="0"/>
          <w:iCs w:val="0"/>
          <w:caps w:val="0"/>
          <w:color w:val="auto"/>
          <w:spacing w:val="0"/>
          <w:sz w:val="22"/>
          <w:szCs w:val="22"/>
          <w:highlight w:val="none"/>
        </w:rPr>
        <w:t>电子交易客户端”，并按照本招标文件和“</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”的要求，通过“</w:t>
      </w:r>
      <w:r>
        <w:rPr>
          <w:rFonts w:hint="eastAsia" w:ascii="宋体" w:hAnsi="宋体" w:eastAsia="宋体" w:cs="宋体"/>
          <w:i w:val="0"/>
          <w:iCs w:val="0"/>
          <w:caps w:val="0"/>
          <w:color w:val="auto"/>
          <w:spacing w:val="0"/>
          <w:sz w:val="22"/>
          <w:szCs w:val="22"/>
          <w:highlight w:val="none"/>
          <w:lang w:eastAsia="zh-CN"/>
        </w:rPr>
        <w:t>乐采云</w:t>
      </w:r>
      <w:r>
        <w:rPr>
          <w:rFonts w:hint="eastAsia" w:ascii="宋体" w:hAnsi="宋体" w:eastAsia="宋体" w:cs="宋体"/>
          <w:i w:val="0"/>
          <w:iCs w:val="0"/>
          <w:caps w:val="0"/>
          <w:color w:val="auto"/>
          <w:spacing w:val="0"/>
          <w:sz w:val="22"/>
          <w:szCs w:val="22"/>
          <w:highlight w:val="none"/>
        </w:rPr>
        <w:t>电子交易客户端”编制并加密投标文件。供应商未按规定加密的投标文件，“</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”将予以拒收。 “</w:t>
      </w:r>
      <w:r>
        <w:rPr>
          <w:rFonts w:hint="eastAsia" w:ascii="宋体" w:hAnsi="宋体" w:eastAsia="宋体" w:cs="宋体"/>
          <w:i w:val="0"/>
          <w:iCs w:val="0"/>
          <w:caps w:val="0"/>
          <w:color w:val="auto"/>
          <w:spacing w:val="0"/>
          <w:sz w:val="22"/>
          <w:szCs w:val="22"/>
          <w:highlight w:val="none"/>
          <w:lang w:eastAsia="zh-CN"/>
        </w:rPr>
        <w:t>乐采云</w:t>
      </w:r>
      <w:r>
        <w:rPr>
          <w:rFonts w:hint="eastAsia" w:ascii="宋体" w:hAnsi="宋体" w:eastAsia="宋体" w:cs="宋体"/>
          <w:i w:val="0"/>
          <w:iCs w:val="0"/>
          <w:caps w:val="0"/>
          <w:color w:val="auto"/>
          <w:spacing w:val="0"/>
          <w:sz w:val="22"/>
          <w:szCs w:val="22"/>
          <w:highlight w:val="none"/>
        </w:rPr>
        <w:t>电子交易客户端”请自行前往“</w:t>
      </w:r>
      <w:r>
        <w:rPr>
          <w:rFonts w:hint="eastAsia" w:ascii="宋体" w:hAnsi="宋体" w:eastAsia="宋体" w:cs="宋体"/>
          <w:i w:val="0"/>
          <w:iCs w:val="0"/>
          <w:caps w:val="0"/>
          <w:color w:val="auto"/>
          <w:spacing w:val="0"/>
          <w:sz w:val="22"/>
          <w:szCs w:val="22"/>
          <w:highlight w:val="none"/>
          <w:lang w:eastAsia="zh-CN"/>
        </w:rPr>
        <w:t>乐采云-政企采购开放平台</w:t>
      </w:r>
      <w:r>
        <w:rPr>
          <w:rFonts w:hint="eastAsia" w:ascii="宋体" w:hAnsi="宋体" w:eastAsia="宋体" w:cs="宋体"/>
          <w:i w:val="0"/>
          <w:iCs w:val="0"/>
          <w:caps w:val="0"/>
          <w:color w:val="auto"/>
          <w:spacing w:val="0"/>
          <w:sz w:val="22"/>
          <w:szCs w:val="22"/>
          <w:highlight w:val="none"/>
        </w:rPr>
        <w:t>下载专区-</w:t>
      </w:r>
      <w:r>
        <w:rPr>
          <w:rFonts w:hint="eastAsia" w:ascii="宋体" w:hAnsi="宋体" w:eastAsia="宋体" w:cs="宋体"/>
          <w:i w:val="0"/>
          <w:iCs w:val="0"/>
          <w:caps w:val="0"/>
          <w:color w:val="auto"/>
          <w:spacing w:val="0"/>
          <w:sz w:val="22"/>
          <w:szCs w:val="22"/>
          <w:highlight w:val="none"/>
          <w:lang w:eastAsia="zh-CN"/>
        </w:rPr>
        <w:t>投标客户端</w:t>
      </w:r>
      <w:r>
        <w:rPr>
          <w:rFonts w:hint="eastAsia" w:ascii="宋体" w:hAnsi="宋体" w:eastAsia="宋体" w:cs="宋体"/>
          <w:i w:val="0"/>
          <w:iCs w:val="0"/>
          <w:caps w:val="0"/>
          <w:color w:val="auto"/>
          <w:spacing w:val="0"/>
          <w:sz w:val="22"/>
          <w:szCs w:val="22"/>
          <w:highlight w:val="none"/>
        </w:rPr>
        <w:t>”进行下载；通过“</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”参与在线投标时如遇平台技术问题详询400-881-7190。</w:t>
      </w:r>
    </w:p>
    <w:p w14:paraId="4A9F020E">
      <w:pPr>
        <w:pStyle w:val="1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②为确保网上操作合法、有效和安全，投标供应商应当在投标截止时间前完成在“</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”的身份认证，确保在电子投标过程中能够对相关数据电文进行加密和使用电子签章。使用“</w:t>
      </w:r>
      <w:r>
        <w:rPr>
          <w:rFonts w:hint="eastAsia" w:ascii="宋体" w:hAnsi="宋体" w:eastAsia="宋体" w:cs="宋体"/>
          <w:i w:val="0"/>
          <w:iCs w:val="0"/>
          <w:caps w:val="0"/>
          <w:color w:val="auto"/>
          <w:spacing w:val="0"/>
          <w:sz w:val="22"/>
          <w:szCs w:val="22"/>
          <w:highlight w:val="none"/>
          <w:lang w:eastAsia="zh-CN"/>
        </w:rPr>
        <w:t>乐采云</w:t>
      </w:r>
      <w:r>
        <w:rPr>
          <w:rFonts w:hint="eastAsia" w:ascii="宋体" w:hAnsi="宋体" w:eastAsia="宋体" w:cs="宋体"/>
          <w:i w:val="0"/>
          <w:iCs w:val="0"/>
          <w:caps w:val="0"/>
          <w:color w:val="auto"/>
          <w:spacing w:val="0"/>
          <w:sz w:val="22"/>
          <w:szCs w:val="22"/>
          <w:highlight w:val="none"/>
        </w:rPr>
        <w:t>电子交易客户端”需要提前申领CA数字证书，申领流程请自行前往“乐采云-操作手册-注册与系统管理-CA管理”进行查阅；（供应商应在开标前完成CA数字证书办理。</w:t>
      </w:r>
    </w:p>
    <w:p w14:paraId="388A4B06">
      <w:pPr>
        <w:pStyle w:val="1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③投标供应商应当在投标截止时间前，将生成的“电子加密投标文件”上传递交至“</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”。投标截止时间以后上传递交的投标文件将被“</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”拒收。</w:t>
      </w:r>
    </w:p>
    <w:p w14:paraId="14DE021D">
      <w:pPr>
        <w:pStyle w:val="1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④投标供应商在“</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w:t>
      </w:r>
    </w:p>
    <w:p w14:paraId="4BF279FE">
      <w:pPr>
        <w:pStyle w:val="1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auto"/>
          <w:spacing w:val="0"/>
          <w:sz w:val="22"/>
          <w:szCs w:val="22"/>
          <w:highlight w:val="none"/>
        </w:rPr>
      </w:pPr>
      <w:r>
        <w:rPr>
          <w:rFonts w:hint="eastAsia" w:ascii="宋体" w:hAnsi="宋体" w:eastAsia="宋体" w:cs="宋体"/>
          <w:i w:val="0"/>
          <w:iCs w:val="0"/>
          <w:caps w:val="0"/>
          <w:color w:val="auto"/>
          <w:spacing w:val="0"/>
          <w:sz w:val="22"/>
          <w:szCs w:val="22"/>
          <w:highlight w:val="none"/>
        </w:rPr>
        <w:t>⑤通过“</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”上传递交的“电子加密投标文件”无法按时解密，投标供应商递交了备份投标文件的，以备份投标文件为依据，否则视为投标文件撤回。通过“</w:t>
      </w:r>
      <w:r>
        <w:rPr>
          <w:rFonts w:hint="eastAsia" w:ascii="宋体" w:hAnsi="宋体" w:eastAsia="宋体" w:cs="宋体"/>
          <w:i w:val="0"/>
          <w:iCs w:val="0"/>
          <w:caps w:val="0"/>
          <w:color w:val="auto"/>
          <w:spacing w:val="0"/>
          <w:sz w:val="22"/>
          <w:szCs w:val="22"/>
          <w:highlight w:val="none"/>
          <w:lang w:eastAsia="zh-CN"/>
        </w:rPr>
        <w:t xml:space="preserve">乐采云-政企采购开放平台 </w:t>
      </w:r>
      <w:r>
        <w:rPr>
          <w:rFonts w:hint="eastAsia" w:ascii="宋体" w:hAnsi="宋体" w:eastAsia="宋体" w:cs="宋体"/>
          <w:i w:val="0"/>
          <w:iCs w:val="0"/>
          <w:caps w:val="0"/>
          <w:color w:val="auto"/>
          <w:spacing w:val="0"/>
          <w:sz w:val="22"/>
          <w:szCs w:val="22"/>
          <w:highlight w:val="none"/>
        </w:rPr>
        <w:t>”上传递交的“电子加密投标文件”已按时解密的，“备份投标文件”自动失效。投标供应商仅递交备份投标文件的，投标无效。</w:t>
      </w:r>
    </w:p>
    <w:p w14:paraId="662C4FC4">
      <w:pPr>
        <w:pStyle w:val="17"/>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color w:val="auto"/>
          <w:sz w:val="22"/>
          <w:szCs w:val="22"/>
          <w:highlight w:val="none"/>
          <w:lang w:val="en-US" w:eastAsia="zh-CN"/>
        </w:rPr>
      </w:pPr>
      <w:r>
        <w:rPr>
          <w:rFonts w:hint="eastAsia" w:ascii="宋体" w:hAnsi="宋体" w:eastAsia="宋体" w:cs="宋体"/>
          <w:i w:val="0"/>
          <w:iCs w:val="0"/>
          <w:caps w:val="0"/>
          <w:color w:val="auto"/>
          <w:spacing w:val="0"/>
          <w:sz w:val="22"/>
          <w:szCs w:val="22"/>
          <w:highlight w:val="none"/>
        </w:rPr>
        <w:t>⑥供应商在法定质疑期内一次性提出针对同一采购程序环节的质疑。</w:t>
      </w:r>
    </w:p>
    <w:p w14:paraId="277956C5">
      <w:pPr>
        <w:pStyle w:val="49"/>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b/>
          <w:color w:val="auto"/>
          <w:sz w:val="22"/>
          <w:szCs w:val="22"/>
          <w:highlight w:val="none"/>
          <w:shd w:val="clear" w:color="auto" w:fill="FFFFFF"/>
          <w:lang w:val="en-US" w:eastAsia="zh-CN"/>
        </w:rPr>
      </w:pPr>
      <w:r>
        <w:rPr>
          <w:rFonts w:hint="eastAsia" w:ascii="宋体" w:hAnsi="宋体"/>
          <w:b/>
          <w:color w:val="auto"/>
          <w:sz w:val="22"/>
          <w:szCs w:val="22"/>
          <w:highlight w:val="none"/>
          <w:shd w:val="clear" w:color="auto" w:fill="FFFFFF"/>
          <w:lang w:val="en-US" w:eastAsia="zh-CN"/>
        </w:rPr>
        <w:t>八</w:t>
      </w:r>
      <w:r>
        <w:rPr>
          <w:rFonts w:hint="eastAsia" w:ascii="宋体" w:hAnsi="宋体" w:eastAsia="宋体"/>
          <w:b/>
          <w:color w:val="auto"/>
          <w:sz w:val="22"/>
          <w:szCs w:val="22"/>
          <w:highlight w:val="none"/>
          <w:shd w:val="clear" w:color="auto" w:fill="FFFFFF"/>
        </w:rPr>
        <w:t>、对本次采购提出询问、质疑、投诉，请按以下方式联系：</w:t>
      </w:r>
    </w:p>
    <w:bookmarkEnd w:id="0"/>
    <w:bookmarkEnd w:id="1"/>
    <w:bookmarkEnd w:id="2"/>
    <w:p w14:paraId="33B2DCF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1、采购人：</w:t>
      </w:r>
      <w:r>
        <w:rPr>
          <w:rFonts w:hint="eastAsia" w:ascii="宋体" w:hAnsi="宋体"/>
          <w:color w:val="auto"/>
          <w:kern w:val="0"/>
          <w:sz w:val="22"/>
          <w:szCs w:val="22"/>
          <w:highlight w:val="none"/>
          <w:lang w:eastAsia="zh-CN"/>
        </w:rPr>
        <w:t>平阳县兴阳控股集团有限公司</w:t>
      </w:r>
    </w:p>
    <w:p w14:paraId="4498C653">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采购人地址：</w:t>
      </w:r>
      <w:r>
        <w:rPr>
          <w:rFonts w:hint="eastAsia" w:ascii="宋体" w:hAnsi="宋体"/>
          <w:color w:val="auto"/>
          <w:kern w:val="0"/>
          <w:sz w:val="22"/>
          <w:szCs w:val="22"/>
          <w:highlight w:val="none"/>
          <w:lang w:eastAsia="zh-CN"/>
        </w:rPr>
        <w:t>平阳县昆阳镇公园路5号</w:t>
      </w:r>
    </w:p>
    <w:p w14:paraId="6A44B384">
      <w:pPr>
        <w:widowControl/>
        <w:snapToGrid w:val="0"/>
        <w:spacing w:line="480" w:lineRule="exact"/>
        <w:ind w:firstLine="431" w:firstLineChars="196"/>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 xml:space="preserve">联 系 </w:t>
      </w:r>
      <w:r>
        <w:rPr>
          <w:rFonts w:hint="eastAsia" w:ascii="宋体" w:hAnsi="宋体" w:eastAsia="宋体" w:cs="Times New Roman"/>
          <w:color w:val="auto"/>
          <w:kern w:val="0"/>
          <w:sz w:val="22"/>
          <w:szCs w:val="22"/>
          <w:highlight w:val="none"/>
          <w:lang w:eastAsia="zh-CN"/>
        </w:rPr>
        <w:t>人：张先生</w:t>
      </w:r>
    </w:p>
    <w:p w14:paraId="2D0309F8">
      <w:pPr>
        <w:widowControl/>
        <w:snapToGrid w:val="0"/>
        <w:spacing w:line="480" w:lineRule="exact"/>
        <w:ind w:firstLine="431" w:firstLineChars="196"/>
        <w:jc w:val="left"/>
        <w:rPr>
          <w:rFonts w:hint="eastAsia" w:ascii="宋体" w:hAnsi="宋体" w:eastAsia="宋体" w:cs="Times New Roman"/>
          <w:color w:val="auto"/>
          <w:kern w:val="0"/>
          <w:sz w:val="22"/>
          <w:szCs w:val="22"/>
          <w:highlight w:val="none"/>
          <w:lang w:eastAsia="zh-CN"/>
        </w:rPr>
      </w:pPr>
      <w:r>
        <w:rPr>
          <w:rFonts w:hint="eastAsia" w:ascii="宋体" w:hAnsi="宋体" w:eastAsia="宋体" w:cs="Times New Roman"/>
          <w:color w:val="auto"/>
          <w:kern w:val="0"/>
          <w:sz w:val="22"/>
          <w:szCs w:val="22"/>
          <w:highlight w:val="none"/>
          <w:lang w:eastAsia="zh-CN"/>
        </w:rPr>
        <w:t>联系电话：</w:t>
      </w:r>
      <w:r>
        <w:rPr>
          <w:rFonts w:hint="eastAsia" w:ascii="宋体" w:hAnsi="宋体" w:eastAsia="宋体" w:cs="Times New Roman"/>
          <w:color w:val="auto"/>
          <w:kern w:val="0"/>
          <w:sz w:val="22"/>
          <w:szCs w:val="22"/>
          <w:highlight w:val="none"/>
          <w:lang w:val="en-US" w:eastAsia="zh-CN"/>
        </w:rPr>
        <w:t>0577-63168033</w:t>
      </w:r>
    </w:p>
    <w:p w14:paraId="0D96BD67">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2、采购代理机构名称：浙江品信工程项目管理有限公司</w:t>
      </w:r>
    </w:p>
    <w:p w14:paraId="52BC256D">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机构地点：平阳县鳌江镇曙东路588号高通大厦2号楼7楼</w:t>
      </w:r>
      <w:bookmarkStart w:id="3" w:name="B38_联系人"/>
      <w:bookmarkEnd w:id="3"/>
    </w:p>
    <w:p w14:paraId="20AF00C6">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联系人：吴女士</w:t>
      </w:r>
    </w:p>
    <w:p w14:paraId="4186EC4A">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联系电话：0577-63682718（15669781333）</w:t>
      </w:r>
    </w:p>
    <w:p w14:paraId="38C12C95">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传真：0577-63682718</w:t>
      </w:r>
    </w:p>
    <w:p w14:paraId="3759049F">
      <w:pPr>
        <w:widowControl/>
        <w:snapToGrid w:val="0"/>
        <w:spacing w:line="480" w:lineRule="exact"/>
        <w:ind w:firstLine="431" w:firstLineChars="196"/>
        <w:jc w:val="left"/>
        <w:rPr>
          <w:rFonts w:hint="eastAsia" w:ascii="宋体" w:hAnsi="宋体" w:eastAsia="宋体" w:cs="Times New Roman"/>
          <w:color w:val="auto"/>
          <w:kern w:val="0"/>
          <w:sz w:val="22"/>
          <w:szCs w:val="22"/>
          <w:highlight w:val="none"/>
          <w:lang w:eastAsia="zh-CN"/>
        </w:rPr>
      </w:pPr>
      <w:r>
        <w:rPr>
          <w:rFonts w:hint="eastAsia" w:ascii="宋体" w:hAnsi="宋体" w:eastAsia="宋体" w:cs="Times New Roman"/>
          <w:color w:val="auto"/>
          <w:kern w:val="0"/>
          <w:sz w:val="22"/>
          <w:szCs w:val="22"/>
          <w:highlight w:val="none"/>
          <w:lang w:eastAsia="zh-CN"/>
        </w:rPr>
        <w:t>3、同级采购监督管理部门名称：平阳县兴阳控股集团有限公司</w:t>
      </w:r>
    </w:p>
    <w:p w14:paraId="3A1732BE">
      <w:pPr>
        <w:widowControl/>
        <w:snapToGrid w:val="0"/>
        <w:spacing w:line="480" w:lineRule="exact"/>
        <w:ind w:firstLine="431" w:firstLineChars="196"/>
        <w:jc w:val="left"/>
        <w:rPr>
          <w:rFonts w:hint="eastAsia" w:ascii="宋体" w:hAnsi="宋体" w:eastAsia="宋体" w:cs="Times New Roman"/>
          <w:color w:val="auto"/>
          <w:kern w:val="0"/>
          <w:sz w:val="22"/>
          <w:szCs w:val="22"/>
          <w:highlight w:val="none"/>
          <w:lang w:val="en-US" w:eastAsia="zh-CN"/>
        </w:rPr>
      </w:pPr>
      <w:r>
        <w:rPr>
          <w:rFonts w:hint="eastAsia" w:ascii="宋体" w:hAnsi="宋体" w:eastAsia="宋体" w:cs="Times New Roman"/>
          <w:color w:val="auto"/>
          <w:kern w:val="0"/>
          <w:sz w:val="22"/>
          <w:szCs w:val="22"/>
          <w:highlight w:val="none"/>
          <w:lang w:eastAsia="zh-CN"/>
        </w:rPr>
        <w:t>联系人：章先生</w:t>
      </w:r>
    </w:p>
    <w:p w14:paraId="1F9FC40C">
      <w:pPr>
        <w:widowControl/>
        <w:snapToGrid w:val="0"/>
        <w:spacing w:line="480" w:lineRule="exact"/>
        <w:ind w:firstLine="431" w:firstLineChars="196"/>
        <w:jc w:val="left"/>
        <w:rPr>
          <w:rFonts w:hint="eastAsia" w:ascii="宋体" w:hAnsi="宋体" w:eastAsia="宋体" w:cs="Times New Roman"/>
          <w:color w:val="auto"/>
          <w:kern w:val="0"/>
          <w:sz w:val="22"/>
          <w:szCs w:val="22"/>
          <w:highlight w:val="none"/>
          <w:lang w:eastAsia="zh-CN"/>
        </w:rPr>
      </w:pPr>
      <w:r>
        <w:rPr>
          <w:rFonts w:hint="eastAsia" w:ascii="宋体" w:hAnsi="宋体" w:eastAsia="宋体" w:cs="Times New Roman"/>
          <w:color w:val="auto"/>
          <w:kern w:val="0"/>
          <w:sz w:val="22"/>
          <w:szCs w:val="22"/>
          <w:highlight w:val="none"/>
          <w:lang w:eastAsia="zh-CN"/>
        </w:rPr>
        <w:t>监督投诉电话：</w:t>
      </w:r>
      <w:r>
        <w:rPr>
          <w:rFonts w:hint="eastAsia" w:ascii="宋体" w:hAnsi="宋体" w:eastAsia="宋体" w:cs="Times New Roman"/>
          <w:color w:val="auto"/>
          <w:kern w:val="0"/>
          <w:sz w:val="22"/>
          <w:szCs w:val="22"/>
          <w:highlight w:val="none"/>
          <w:lang w:val="en-US" w:eastAsia="zh-CN"/>
        </w:rPr>
        <w:t>0577-63168022</w:t>
      </w:r>
    </w:p>
    <w:p w14:paraId="72B0C79A">
      <w:pPr>
        <w:widowControl/>
        <w:snapToGrid w:val="0"/>
        <w:spacing w:line="480" w:lineRule="exact"/>
        <w:ind w:firstLine="431" w:firstLineChars="196"/>
        <w:jc w:val="left"/>
        <w:rPr>
          <w:rFonts w:hint="eastAsia" w:ascii="宋体" w:hAnsi="宋体" w:eastAsia="宋体" w:cs="Times New Roman"/>
          <w:color w:val="auto"/>
          <w:kern w:val="0"/>
          <w:sz w:val="22"/>
          <w:szCs w:val="22"/>
          <w:highlight w:val="none"/>
          <w:lang w:eastAsia="zh-CN"/>
        </w:rPr>
      </w:pPr>
      <w:r>
        <w:rPr>
          <w:rFonts w:hint="eastAsia" w:ascii="宋体" w:hAnsi="宋体" w:eastAsia="宋体" w:cs="Times New Roman"/>
          <w:color w:val="auto"/>
          <w:kern w:val="0"/>
          <w:sz w:val="22"/>
          <w:szCs w:val="22"/>
          <w:highlight w:val="none"/>
          <w:lang w:eastAsia="zh-CN"/>
        </w:rPr>
        <w:t>传真：</w:t>
      </w:r>
      <w:r>
        <w:rPr>
          <w:rFonts w:hint="eastAsia" w:ascii="宋体" w:hAnsi="宋体" w:eastAsia="宋体" w:cs="Times New Roman"/>
          <w:color w:val="auto"/>
          <w:kern w:val="0"/>
          <w:sz w:val="22"/>
          <w:szCs w:val="22"/>
          <w:highlight w:val="none"/>
          <w:lang w:val="en-US" w:eastAsia="zh-CN"/>
        </w:rPr>
        <w:t>/</w:t>
      </w:r>
    </w:p>
    <w:p w14:paraId="37CAB22F">
      <w:pPr>
        <w:widowControl/>
        <w:snapToGrid w:val="0"/>
        <w:spacing w:line="480" w:lineRule="exact"/>
        <w:ind w:firstLine="431" w:firstLineChars="196"/>
        <w:jc w:val="left"/>
        <w:rPr>
          <w:rFonts w:hint="eastAsia" w:ascii="宋体" w:hAnsi="宋体" w:eastAsia="宋体" w:cs="Times New Roman"/>
          <w:color w:val="auto"/>
          <w:kern w:val="0"/>
          <w:sz w:val="22"/>
          <w:szCs w:val="22"/>
          <w:highlight w:val="none"/>
          <w:lang w:eastAsia="zh-CN"/>
        </w:rPr>
      </w:pPr>
      <w:r>
        <w:rPr>
          <w:rFonts w:hint="eastAsia" w:ascii="宋体" w:hAnsi="宋体" w:eastAsia="宋体" w:cs="Times New Roman"/>
          <w:color w:val="auto"/>
          <w:kern w:val="0"/>
          <w:sz w:val="22"/>
          <w:szCs w:val="22"/>
          <w:highlight w:val="none"/>
          <w:lang w:eastAsia="zh-CN"/>
        </w:rPr>
        <w:t>地址</w:t>
      </w:r>
      <w:r>
        <w:rPr>
          <w:rFonts w:hint="eastAsia" w:ascii="宋体" w:hAnsi="宋体" w:eastAsia="宋体" w:cs="Times New Roman"/>
          <w:color w:val="auto"/>
          <w:kern w:val="0"/>
          <w:sz w:val="22"/>
          <w:szCs w:val="22"/>
          <w:highlight w:val="none"/>
          <w:lang w:val="en-US" w:eastAsia="zh-CN"/>
        </w:rPr>
        <w:t>:平阳县昆阳镇公园路5号</w:t>
      </w:r>
    </w:p>
    <w:p w14:paraId="23B63813">
      <w:pPr>
        <w:jc w:val="cente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r>
        <w:rPr>
          <w:rFonts w:hint="eastAsia" w:ascii="宋体" w:hAnsi="宋体"/>
          <w:b/>
          <w:bCs/>
          <w:color w:val="auto"/>
          <w:sz w:val="36"/>
          <w:szCs w:val="36"/>
          <w:highlight w:val="none"/>
        </w:rPr>
        <w:t>投 标 通 知 (邀 请) 书</w:t>
      </w:r>
    </w:p>
    <w:p w14:paraId="516D753A">
      <w:pPr>
        <w:snapToGrid w:val="0"/>
        <w:spacing w:line="360" w:lineRule="auto"/>
        <w:ind w:firstLine="440" w:firstLineChars="200"/>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浙江品信工程项目管理有限公司</w:t>
      </w:r>
      <w:r>
        <w:rPr>
          <w:rFonts w:hint="eastAsia" w:ascii="宋体" w:hAnsi="宋体"/>
          <w:color w:val="auto"/>
          <w:kern w:val="0"/>
          <w:sz w:val="22"/>
          <w:szCs w:val="22"/>
          <w:highlight w:val="none"/>
        </w:rPr>
        <w:t>对</w:t>
      </w:r>
      <w:r>
        <w:rPr>
          <w:rFonts w:hint="eastAsia" w:ascii="宋体" w:hAnsi="宋体"/>
          <w:color w:val="auto"/>
          <w:kern w:val="0"/>
          <w:sz w:val="22"/>
          <w:szCs w:val="22"/>
          <w:highlight w:val="none"/>
          <w:lang w:eastAsia="zh-CN"/>
        </w:rPr>
        <w:t>平阳县社会心理服务综合体装修、办公家具软装及设备采购(重)</w:t>
      </w:r>
      <w:r>
        <w:rPr>
          <w:rFonts w:hint="eastAsia" w:ascii="宋体" w:hAnsi="宋体"/>
          <w:color w:val="auto"/>
          <w:kern w:val="0"/>
          <w:sz w:val="22"/>
          <w:szCs w:val="22"/>
          <w:highlight w:val="none"/>
        </w:rPr>
        <w:t>进行公开招标，特通知贵公司（企业）前来投标。并请按招标文件的要求认真准备好投标文件，按时前来投标。</w:t>
      </w:r>
    </w:p>
    <w:tbl>
      <w:tblPr>
        <w:tblStyle w:val="20"/>
        <w:tblW w:w="1017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553"/>
        <w:gridCol w:w="7776"/>
      </w:tblGrid>
      <w:tr w14:paraId="24490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7B8A520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序号</w:t>
            </w:r>
          </w:p>
        </w:tc>
        <w:tc>
          <w:tcPr>
            <w:tcW w:w="1553" w:type="dxa"/>
            <w:vAlign w:val="center"/>
          </w:tcPr>
          <w:p w14:paraId="0D00587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内容</w:t>
            </w:r>
          </w:p>
        </w:tc>
        <w:tc>
          <w:tcPr>
            <w:tcW w:w="7776" w:type="dxa"/>
            <w:vAlign w:val="center"/>
          </w:tcPr>
          <w:p w14:paraId="773F7BC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说明与要求</w:t>
            </w:r>
          </w:p>
        </w:tc>
      </w:tr>
      <w:tr w14:paraId="2C67C9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3E4EF3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6E293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项目名称</w:t>
            </w:r>
          </w:p>
        </w:tc>
        <w:tc>
          <w:tcPr>
            <w:tcW w:w="7776" w:type="dxa"/>
            <w:vAlign w:val="center"/>
          </w:tcPr>
          <w:p w14:paraId="6CB59994">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平阳县社会心理服务综合体装修、办公家具软装及设备采购(重)</w:t>
            </w:r>
          </w:p>
        </w:tc>
      </w:tr>
      <w:tr w14:paraId="19F5D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61B83F6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D5C4B7C">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项目编号</w:t>
            </w:r>
          </w:p>
        </w:tc>
        <w:tc>
          <w:tcPr>
            <w:tcW w:w="7776" w:type="dxa"/>
            <w:vAlign w:val="center"/>
          </w:tcPr>
          <w:p w14:paraId="2C0AD119">
            <w:pPr>
              <w:spacing w:line="360" w:lineRule="auto"/>
              <w:rPr>
                <w:rFonts w:hint="eastAsia" w:ascii="宋体" w:hAnsi="宋体"/>
                <w:color w:val="auto"/>
                <w:kern w:val="0"/>
                <w:sz w:val="22"/>
                <w:szCs w:val="22"/>
                <w:highlight w:val="none"/>
                <w:lang w:eastAsia="zh-CN"/>
              </w:rPr>
            </w:pPr>
            <w:r>
              <w:rPr>
                <w:rFonts w:hint="eastAsia" w:ascii="宋体" w:hAnsi="宋体"/>
                <w:color w:val="auto"/>
                <w:kern w:val="0"/>
                <w:sz w:val="22"/>
                <w:szCs w:val="22"/>
                <w:highlight w:val="none"/>
                <w:lang w:eastAsia="zh-CN"/>
              </w:rPr>
              <w:t>PYCG250731080(重)</w:t>
            </w:r>
          </w:p>
        </w:tc>
      </w:tr>
      <w:tr w14:paraId="4DCB7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05AE7C9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843CBE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资金来源</w:t>
            </w:r>
          </w:p>
        </w:tc>
        <w:tc>
          <w:tcPr>
            <w:tcW w:w="7776" w:type="dxa"/>
            <w:vAlign w:val="center"/>
          </w:tcPr>
          <w:p w14:paraId="0CA40D4A">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自筹资金</w:t>
            </w:r>
          </w:p>
        </w:tc>
      </w:tr>
      <w:tr w14:paraId="22249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50" w:hRule="atLeast"/>
          <w:jc w:val="center"/>
        </w:trPr>
        <w:tc>
          <w:tcPr>
            <w:tcW w:w="842" w:type="dxa"/>
            <w:vAlign w:val="center"/>
          </w:tcPr>
          <w:p w14:paraId="30A14FE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6C6C74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采购预算</w:t>
            </w:r>
          </w:p>
          <w:p w14:paraId="2ED4389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（最高限价）</w:t>
            </w:r>
          </w:p>
        </w:tc>
        <w:tc>
          <w:tcPr>
            <w:tcW w:w="7776" w:type="dxa"/>
            <w:vAlign w:val="center"/>
          </w:tcPr>
          <w:p w14:paraId="14E5F45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具体见招标公告</w:t>
            </w:r>
          </w:p>
        </w:tc>
      </w:tr>
      <w:tr w14:paraId="5D79CF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56B455D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1397D1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采购方式</w:t>
            </w:r>
          </w:p>
        </w:tc>
        <w:tc>
          <w:tcPr>
            <w:tcW w:w="7776" w:type="dxa"/>
            <w:vAlign w:val="center"/>
          </w:tcPr>
          <w:p w14:paraId="711B2893">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公开招标</w:t>
            </w:r>
          </w:p>
        </w:tc>
      </w:tr>
      <w:tr w14:paraId="58BA52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A1221D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199D7FC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采购人</w:t>
            </w:r>
          </w:p>
        </w:tc>
        <w:tc>
          <w:tcPr>
            <w:tcW w:w="7776" w:type="dxa"/>
            <w:vAlign w:val="center"/>
          </w:tcPr>
          <w:p w14:paraId="2C7F68A6">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采购人：</w:t>
            </w:r>
            <w:r>
              <w:rPr>
                <w:rFonts w:hint="eastAsia" w:ascii="宋体" w:hAnsi="宋体"/>
                <w:color w:val="auto"/>
                <w:kern w:val="0"/>
                <w:sz w:val="22"/>
                <w:szCs w:val="22"/>
                <w:highlight w:val="none"/>
                <w:lang w:eastAsia="zh-CN"/>
              </w:rPr>
              <w:t>平阳县兴阳控股集团有限公司</w:t>
            </w:r>
          </w:p>
          <w:p w14:paraId="23814DD9">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rPr>
              <w:t>采购人地址：</w:t>
            </w:r>
            <w:r>
              <w:rPr>
                <w:rFonts w:hint="eastAsia" w:ascii="宋体" w:hAnsi="宋体"/>
                <w:color w:val="auto"/>
                <w:kern w:val="0"/>
                <w:sz w:val="22"/>
                <w:szCs w:val="22"/>
                <w:highlight w:val="none"/>
                <w:lang w:eastAsia="zh-CN"/>
              </w:rPr>
              <w:t>平阳县昆阳镇公园路5号</w:t>
            </w:r>
          </w:p>
          <w:p w14:paraId="556FADDC">
            <w:pPr>
              <w:widowControl/>
              <w:snapToGrid w:val="0"/>
              <w:spacing w:line="480" w:lineRule="exact"/>
              <w:jc w:val="left"/>
              <w:rPr>
                <w:rFonts w:hint="default" w:ascii="宋体" w:hAnsi="宋体" w:eastAsia="宋体"/>
                <w:color w:val="auto"/>
                <w:kern w:val="0"/>
                <w:sz w:val="22"/>
                <w:szCs w:val="22"/>
                <w:highlight w:val="none"/>
                <w:lang w:val="en-US" w:eastAsia="zh-CN"/>
              </w:rPr>
            </w:pPr>
            <w:r>
              <w:rPr>
                <w:rFonts w:hint="eastAsia" w:ascii="宋体" w:hAnsi="宋体" w:eastAsia="宋体"/>
                <w:color w:val="auto"/>
                <w:kern w:val="0"/>
                <w:sz w:val="22"/>
                <w:szCs w:val="22"/>
                <w:highlight w:val="none"/>
                <w:lang w:eastAsia="zh-CN"/>
              </w:rPr>
              <w:t>联 系 人：</w:t>
            </w:r>
            <w:r>
              <w:rPr>
                <w:rFonts w:hint="eastAsia" w:ascii="宋体" w:hAnsi="宋体"/>
                <w:color w:val="auto"/>
                <w:kern w:val="0"/>
                <w:sz w:val="22"/>
                <w:szCs w:val="22"/>
                <w:highlight w:val="none"/>
                <w:lang w:eastAsia="zh-CN"/>
              </w:rPr>
              <w:t>张先生</w:t>
            </w:r>
          </w:p>
          <w:p w14:paraId="2083E592">
            <w:pPr>
              <w:widowControl/>
              <w:snapToGrid w:val="0"/>
              <w:spacing w:line="480" w:lineRule="exact"/>
              <w:jc w:val="left"/>
              <w:rPr>
                <w:rFonts w:hint="eastAsia" w:ascii="宋体" w:hAnsi="宋体" w:eastAsia="宋体"/>
                <w:color w:val="auto"/>
                <w:kern w:val="0"/>
                <w:sz w:val="22"/>
                <w:szCs w:val="22"/>
                <w:highlight w:val="none"/>
              </w:rPr>
            </w:pPr>
            <w:r>
              <w:rPr>
                <w:rFonts w:hint="eastAsia" w:ascii="宋体" w:hAnsi="宋体" w:cs="Times New Roman"/>
                <w:color w:val="auto"/>
                <w:kern w:val="0"/>
                <w:sz w:val="22"/>
                <w:szCs w:val="22"/>
                <w:highlight w:val="none"/>
                <w:lang w:eastAsia="zh-CN"/>
              </w:rPr>
              <w:t>联系电话：</w:t>
            </w:r>
            <w:r>
              <w:rPr>
                <w:rFonts w:hint="eastAsia" w:ascii="宋体" w:hAnsi="宋体" w:cs="Times New Roman"/>
                <w:color w:val="auto"/>
                <w:kern w:val="0"/>
                <w:sz w:val="22"/>
                <w:szCs w:val="22"/>
                <w:highlight w:val="none"/>
                <w:lang w:val="en-US" w:eastAsia="zh-CN"/>
              </w:rPr>
              <w:t>0577-63168033</w:t>
            </w:r>
          </w:p>
        </w:tc>
      </w:tr>
      <w:tr w14:paraId="40A4F4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84AAFE0">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28D79F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采购代理机构</w:t>
            </w:r>
          </w:p>
        </w:tc>
        <w:tc>
          <w:tcPr>
            <w:tcW w:w="7776" w:type="dxa"/>
            <w:vAlign w:val="center"/>
          </w:tcPr>
          <w:p w14:paraId="43205EC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3139B35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w:t>
            </w:r>
          </w:p>
          <w:p w14:paraId="3CCA3E24">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 系 人：吴女士</w:t>
            </w:r>
          </w:p>
          <w:p w14:paraId="29B5515F">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联系电话：0577-63682718（15669781333）</w:t>
            </w:r>
          </w:p>
          <w:p w14:paraId="755B0385">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传真：0577-63682718</w:t>
            </w:r>
          </w:p>
        </w:tc>
      </w:tr>
      <w:tr w14:paraId="5960A7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3E449826">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1220B02">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评标办法</w:t>
            </w:r>
          </w:p>
        </w:tc>
        <w:tc>
          <w:tcPr>
            <w:tcW w:w="7776" w:type="dxa"/>
            <w:vAlign w:val="center"/>
          </w:tcPr>
          <w:p w14:paraId="58BE415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综合评分法</w:t>
            </w:r>
          </w:p>
        </w:tc>
      </w:tr>
      <w:tr w14:paraId="4AED95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14:paraId="4779FFB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711E25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招标内容</w:t>
            </w:r>
          </w:p>
        </w:tc>
        <w:tc>
          <w:tcPr>
            <w:tcW w:w="7776" w:type="dxa"/>
            <w:vAlign w:val="center"/>
          </w:tcPr>
          <w:p w14:paraId="2DCF060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具体内容见招标文件</w:t>
            </w:r>
          </w:p>
        </w:tc>
      </w:tr>
      <w:tr w14:paraId="154997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EBC5B9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6D4C00C">
            <w:pPr>
              <w:spacing w:line="360" w:lineRule="auto"/>
              <w:jc w:val="center"/>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投标供应商</w:t>
            </w:r>
          </w:p>
          <w:p w14:paraId="39522D4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资格要求</w:t>
            </w:r>
          </w:p>
        </w:tc>
        <w:tc>
          <w:tcPr>
            <w:tcW w:w="7776" w:type="dxa"/>
            <w:vAlign w:val="center"/>
          </w:tcPr>
          <w:p w14:paraId="2FB17CF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详见招标公告</w:t>
            </w:r>
          </w:p>
        </w:tc>
      </w:tr>
      <w:tr w14:paraId="41DE20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7F889790">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BDC770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是否接受联合体投标</w:t>
            </w:r>
          </w:p>
        </w:tc>
        <w:tc>
          <w:tcPr>
            <w:tcW w:w="7776" w:type="dxa"/>
            <w:vAlign w:val="center"/>
          </w:tcPr>
          <w:p w14:paraId="7B535BB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不接受</w:t>
            </w:r>
          </w:p>
          <w:p w14:paraId="7EA1E63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color w:val="auto"/>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接受</w:t>
            </w:r>
            <w:r>
              <w:rPr>
                <w:rFonts w:hint="eastAsia" w:ascii="宋体" w:hAnsi="宋体" w:eastAsia="宋体"/>
                <w:color w:val="auto"/>
                <w:sz w:val="22"/>
                <w:szCs w:val="22"/>
                <w:highlight w:val="none"/>
                <w:lang w:eastAsia="zh-CN"/>
              </w:rPr>
              <w:t>。</w:t>
            </w:r>
          </w:p>
        </w:tc>
      </w:tr>
      <w:tr w14:paraId="2F5204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06E759D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4DE247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踏勘现场</w:t>
            </w:r>
          </w:p>
        </w:tc>
        <w:tc>
          <w:tcPr>
            <w:tcW w:w="7776" w:type="dxa"/>
            <w:vAlign w:val="center"/>
          </w:tcPr>
          <w:p w14:paraId="6BB4F54D">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不组织</w:t>
            </w:r>
          </w:p>
        </w:tc>
      </w:tr>
      <w:tr w14:paraId="5BEA3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14:paraId="4B28C3AE">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27E068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是否允许递交备选投标方案</w:t>
            </w:r>
          </w:p>
        </w:tc>
        <w:tc>
          <w:tcPr>
            <w:tcW w:w="7776" w:type="dxa"/>
            <w:vAlign w:val="center"/>
          </w:tcPr>
          <w:p w14:paraId="5270CC2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eq \o\ac(□</w:instrText>
            </w:r>
            <w:r>
              <w:rPr>
                <w:rFonts w:hint="eastAsia" w:ascii="宋体" w:hAnsi="宋体" w:eastAsia="宋体"/>
                <w:color w:val="auto"/>
                <w:sz w:val="22"/>
                <w:szCs w:val="22"/>
                <w:highlight w:val="none"/>
                <w:lang w:eastAsia="zh-CN"/>
              </w:rPr>
              <w:instrText xml:space="preserve">,</w:instrText>
            </w:r>
            <w:r>
              <w:rPr>
                <w:rFonts w:hint="eastAsia" w:ascii="宋体" w:hAnsi="宋体" w:eastAsia="宋体"/>
                <w:color w:val="auto"/>
                <w:position w:val="2"/>
                <w:sz w:val="22"/>
                <w:szCs w:val="22"/>
                <w:highlight w:val="none"/>
                <w:lang w:eastAsia="zh-CN"/>
              </w:rPr>
              <w:instrText xml:space="preserve">√</w:instrText>
            </w:r>
            <w:r>
              <w:rPr>
                <w:rFonts w:hint="eastAsia" w:ascii="宋体" w:hAnsi="宋体" w:eastAsia="宋体"/>
                <w:color w:val="auto"/>
                <w:sz w:val="22"/>
                <w:szCs w:val="22"/>
                <w:highlight w:val="none"/>
              </w:rPr>
              <w:instrText xml:space="preserve">)</w:instrTex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不允许</w:t>
            </w:r>
          </w:p>
        </w:tc>
      </w:tr>
      <w:tr w14:paraId="3B409C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91" w:hRule="atLeast"/>
          <w:jc w:val="center"/>
        </w:trPr>
        <w:tc>
          <w:tcPr>
            <w:tcW w:w="842" w:type="dxa"/>
            <w:vAlign w:val="center"/>
          </w:tcPr>
          <w:p w14:paraId="16498D7B">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D21D9C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投标货币</w:t>
            </w:r>
          </w:p>
        </w:tc>
        <w:tc>
          <w:tcPr>
            <w:tcW w:w="7776" w:type="dxa"/>
            <w:vAlign w:val="center"/>
          </w:tcPr>
          <w:p w14:paraId="5B7776A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人民币</w:t>
            </w:r>
          </w:p>
        </w:tc>
      </w:tr>
      <w:tr w14:paraId="5B496A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5ACB2999">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FB4A877">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投标语言</w:t>
            </w:r>
          </w:p>
        </w:tc>
        <w:tc>
          <w:tcPr>
            <w:tcW w:w="7776" w:type="dxa"/>
            <w:vAlign w:val="center"/>
          </w:tcPr>
          <w:p w14:paraId="5962EF0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中文</w:t>
            </w:r>
          </w:p>
        </w:tc>
      </w:tr>
      <w:tr w14:paraId="547CF2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7F3ADA08">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8195F1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投标文件的组成</w:t>
            </w:r>
          </w:p>
        </w:tc>
        <w:tc>
          <w:tcPr>
            <w:tcW w:w="7776" w:type="dxa"/>
            <w:vAlign w:val="center"/>
          </w:tcPr>
          <w:p w14:paraId="42D49A2C">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完整的《投标文件》由“资格文件”、“报价文件”和“商务技术文件”三个部分组成。</w:t>
            </w:r>
          </w:p>
        </w:tc>
      </w:tr>
      <w:tr w14:paraId="6D3886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0BE5B0F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8B30459">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投标文件的编制</w:t>
            </w:r>
          </w:p>
        </w:tc>
        <w:tc>
          <w:tcPr>
            <w:tcW w:w="7776" w:type="dxa"/>
            <w:vAlign w:val="center"/>
          </w:tcPr>
          <w:p w14:paraId="2E563B9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供应商应先安装“</w:t>
            </w:r>
            <w:r>
              <w:rPr>
                <w:rFonts w:hint="eastAsia" w:ascii="宋体" w:hAnsi="宋体"/>
                <w:color w:val="auto"/>
                <w:sz w:val="22"/>
                <w:szCs w:val="22"/>
                <w:highlight w:val="none"/>
                <w:lang w:eastAsia="zh-CN"/>
              </w:rPr>
              <w:t>乐采云电子交易客户端</w:t>
            </w:r>
            <w:r>
              <w:rPr>
                <w:rFonts w:hint="eastAsia" w:ascii="宋体" w:hAnsi="宋体" w:eastAsia="宋体"/>
                <w:color w:val="auto"/>
                <w:sz w:val="22"/>
                <w:szCs w:val="22"/>
                <w:highlight w:val="none"/>
              </w:rPr>
              <w:t>”，并按照本招标文件和“</w:t>
            </w:r>
            <w:r>
              <w:rPr>
                <w:rFonts w:hint="eastAsia" w:ascii="宋体" w:hAnsi="宋体"/>
                <w:color w:val="auto"/>
                <w:sz w:val="22"/>
                <w:szCs w:val="22"/>
                <w:highlight w:val="none"/>
                <w:lang w:eastAsia="zh-CN"/>
              </w:rPr>
              <w:t>乐采云-政企采购开放平台</w:t>
            </w:r>
            <w:r>
              <w:rPr>
                <w:rFonts w:hint="eastAsia" w:ascii="宋体" w:hAnsi="宋体" w:eastAsia="宋体"/>
                <w:color w:val="auto"/>
                <w:sz w:val="22"/>
                <w:szCs w:val="22"/>
                <w:highlight w:val="none"/>
              </w:rPr>
              <w:t>”的要求，通过“</w:t>
            </w:r>
            <w:r>
              <w:rPr>
                <w:rFonts w:hint="eastAsia" w:ascii="宋体" w:hAnsi="宋体"/>
                <w:color w:val="auto"/>
                <w:sz w:val="22"/>
                <w:szCs w:val="22"/>
                <w:highlight w:val="none"/>
                <w:lang w:eastAsia="zh-CN"/>
              </w:rPr>
              <w:t>乐采云电子交易客户端</w:t>
            </w:r>
            <w:r>
              <w:rPr>
                <w:rFonts w:hint="eastAsia" w:ascii="宋体" w:hAnsi="宋体" w:eastAsia="宋体"/>
                <w:color w:val="auto"/>
                <w:sz w:val="22"/>
                <w:szCs w:val="22"/>
                <w:highlight w:val="none"/>
              </w:rPr>
              <w:t>”编制并加密投标文件。</w:t>
            </w:r>
          </w:p>
        </w:tc>
      </w:tr>
      <w:tr w14:paraId="3C1085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7A07783E">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2D31C6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签字或盖章要求</w:t>
            </w:r>
          </w:p>
        </w:tc>
        <w:tc>
          <w:tcPr>
            <w:tcW w:w="7776" w:type="dxa"/>
            <w:vAlign w:val="center"/>
          </w:tcPr>
          <w:p w14:paraId="02EB7E63">
            <w:pPr>
              <w:snapToGrid w:val="0"/>
              <w:spacing w:line="360" w:lineRule="auto"/>
              <w:rPr>
                <w:rFonts w:hint="eastAsia" w:ascii="宋体" w:hAnsi="宋体" w:eastAsia="宋体"/>
                <w:b/>
                <w:color w:val="auto"/>
                <w:sz w:val="22"/>
                <w:szCs w:val="22"/>
                <w:highlight w:val="none"/>
                <w:lang w:bidi="ar"/>
              </w:rPr>
            </w:pPr>
            <w:r>
              <w:rPr>
                <w:rFonts w:hint="eastAsia" w:ascii="宋体" w:hAnsi="宋体" w:eastAsia="宋体"/>
                <w:b/>
                <w:color w:val="auto"/>
                <w:sz w:val="22"/>
                <w:szCs w:val="22"/>
                <w:highlight w:val="none"/>
                <w:lang w:bidi="ar"/>
              </w:rPr>
              <w:t>电子签章。</w:t>
            </w:r>
            <w:r>
              <w:rPr>
                <w:rFonts w:hint="eastAsia" w:ascii="宋体" w:hAnsi="宋体" w:eastAsia="宋体"/>
                <w:color w:val="auto"/>
                <w:sz w:val="22"/>
                <w:szCs w:val="22"/>
                <w:highlight w:val="none"/>
              </w:rPr>
              <w:t>采购文件所指的加盖单位公章为电子签章。</w:t>
            </w:r>
          </w:p>
          <w:p w14:paraId="6E35F42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投标文件须按采购文件格式要求，由供应商加盖单位公章和法定代表人或其授权代表印章（或签字）。</w:t>
            </w:r>
            <w:r>
              <w:rPr>
                <w:rFonts w:hint="eastAsia" w:ascii="宋体" w:hAnsi="宋体" w:cs="宋体"/>
                <w:color w:val="auto"/>
                <w:sz w:val="22"/>
                <w:szCs w:val="22"/>
                <w:highlight w:val="none"/>
                <w:lang w:val="en-US" w:eastAsia="zh-CN"/>
              </w:rPr>
              <w:t>若为联合体投标，供应商须加盖单位公章的地方均须使用电子签章，联合体成员仅需在联合体协议书上加盖单位实物公章后扫描上传。</w:t>
            </w:r>
          </w:p>
        </w:tc>
      </w:tr>
      <w:tr w14:paraId="03DAF3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2F5FE2F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FA9A6F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投标文件的形式</w:t>
            </w:r>
          </w:p>
        </w:tc>
        <w:tc>
          <w:tcPr>
            <w:tcW w:w="7776" w:type="dxa"/>
            <w:vAlign w:val="center"/>
          </w:tcPr>
          <w:p w14:paraId="45D3D033">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电子投标文件（包括“电子加密投标文件”和“备份投标文件”，在投标文件编制完成后同时生成）；</w:t>
            </w:r>
          </w:p>
          <w:p w14:paraId="23042B55">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（1）“电子加密投标文件”是指通过“</w:t>
            </w:r>
            <w:r>
              <w:rPr>
                <w:rFonts w:hint="eastAsia" w:ascii="宋体" w:hAnsi="宋体"/>
                <w:color w:val="auto"/>
                <w:sz w:val="22"/>
                <w:szCs w:val="22"/>
                <w:highlight w:val="none"/>
                <w:lang w:eastAsia="zh-CN"/>
              </w:rPr>
              <w:t>乐采云电子交易客户端</w:t>
            </w:r>
            <w:r>
              <w:rPr>
                <w:rFonts w:hint="eastAsia" w:ascii="宋体" w:hAnsi="宋体" w:eastAsia="宋体"/>
                <w:color w:val="auto"/>
                <w:sz w:val="22"/>
                <w:szCs w:val="22"/>
                <w:highlight w:val="none"/>
              </w:rPr>
              <w:t>”完成投标文件编制后生成并加密的数据电文形式的投标文件。</w:t>
            </w:r>
          </w:p>
          <w:p w14:paraId="66273F5E">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（2）“备份投标文件”是指与“电子加密投标文件”同时生成的数据电文形式的电子文件（备份标书），其他方式编制的备份投标文件视为无效备份投标文件。</w:t>
            </w:r>
          </w:p>
        </w:tc>
      </w:tr>
      <w:tr w14:paraId="19B51E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215" w:hRule="atLeast"/>
          <w:jc w:val="center"/>
        </w:trPr>
        <w:tc>
          <w:tcPr>
            <w:tcW w:w="842" w:type="dxa"/>
            <w:vAlign w:val="center"/>
          </w:tcPr>
          <w:p w14:paraId="7CB54556">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42494C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投标文件份数</w:t>
            </w:r>
          </w:p>
        </w:tc>
        <w:tc>
          <w:tcPr>
            <w:tcW w:w="7776" w:type="dxa"/>
            <w:vAlign w:val="center"/>
          </w:tcPr>
          <w:p w14:paraId="08664164">
            <w:pPr>
              <w:keepNext w:val="0"/>
              <w:keepLines w:val="0"/>
              <w:pageBreakBefore w:val="0"/>
              <w:widowControl w:val="0"/>
              <w:kinsoku/>
              <w:wordWrap/>
              <w:overflowPunct/>
              <w:topLinePunct w:val="0"/>
              <w:autoSpaceDE/>
              <w:autoSpaceDN/>
              <w:bidi w:val="0"/>
              <w:snapToGrid w:val="0"/>
              <w:spacing w:line="360" w:lineRule="auto"/>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1</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rPr>
              <w:t>“电子加密投标文件”：在线上传递交、一份。</w:t>
            </w:r>
          </w:p>
          <w:p w14:paraId="28B99A71">
            <w:pPr>
              <w:pStyle w:val="31"/>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（2）“备份投标文件”：</w:t>
            </w:r>
            <w:r>
              <w:rPr>
                <w:rFonts w:hint="eastAsia" w:ascii="宋体" w:hAnsi="宋体" w:eastAsia="宋体"/>
                <w:color w:val="auto"/>
                <w:sz w:val="22"/>
                <w:szCs w:val="22"/>
                <w:highlight w:val="none"/>
                <w:lang w:val="en-US" w:eastAsia="zh-CN"/>
              </w:rPr>
              <w:t>U盘注明“备份投标文件”，密封包装后，在</w:t>
            </w:r>
            <w:r>
              <w:rPr>
                <w:rFonts w:hint="eastAsia" w:ascii="宋体" w:hAnsi="宋体" w:eastAsia="宋体"/>
                <w:color w:val="auto"/>
                <w:sz w:val="22"/>
                <w:szCs w:val="22"/>
                <w:highlight w:val="none"/>
              </w:rPr>
              <w:t>投标截止时间前</w:t>
            </w:r>
            <w:r>
              <w:rPr>
                <w:rFonts w:hint="eastAsia" w:ascii="宋体" w:hAnsi="宋体" w:eastAsia="宋体"/>
                <w:color w:val="auto"/>
                <w:sz w:val="22"/>
                <w:szCs w:val="22"/>
                <w:highlight w:val="none"/>
                <w:lang w:val="en-US" w:eastAsia="zh-CN"/>
              </w:rPr>
              <w:t>线下送达或以</w:t>
            </w:r>
            <w:r>
              <w:rPr>
                <w:rFonts w:hint="eastAsia" w:ascii="宋体" w:hAnsi="宋体" w:eastAsia="宋体"/>
                <w:color w:val="auto"/>
                <w:sz w:val="22"/>
                <w:szCs w:val="22"/>
                <w:highlight w:val="none"/>
              </w:rPr>
              <w:t>邮寄形式递交</w:t>
            </w:r>
            <w:r>
              <w:rPr>
                <w:rFonts w:hint="eastAsia" w:ascii="宋体" w:hAnsi="宋体" w:eastAsia="宋体"/>
                <w:color w:val="auto"/>
                <w:sz w:val="22"/>
                <w:szCs w:val="22"/>
                <w:highlight w:val="none"/>
                <w:lang w:val="en-US" w:eastAsia="zh-CN"/>
              </w:rPr>
              <w:t>至浙江品信工程项目管理有限公司（</w:t>
            </w:r>
            <w:r>
              <w:rPr>
                <w:rFonts w:hint="eastAsia" w:ascii="宋体" w:hAnsi="宋体"/>
                <w:color w:val="auto"/>
                <w:kern w:val="0"/>
                <w:sz w:val="22"/>
                <w:szCs w:val="22"/>
                <w:highlight w:val="none"/>
                <w:lang w:eastAsia="zh-CN"/>
              </w:rPr>
              <w:t>平阳县鳌江镇曙东路588号高通大厦2号楼7楼</w:t>
            </w:r>
            <w:r>
              <w:rPr>
                <w:rFonts w:hint="eastAsia" w:ascii="宋体" w:hAnsi="宋体"/>
                <w:color w:val="auto"/>
                <w:kern w:val="0"/>
                <w:sz w:val="22"/>
                <w:szCs w:val="22"/>
                <w:highlight w:val="none"/>
                <w:lang w:val="en-US" w:eastAsia="zh-CN"/>
              </w:rPr>
              <w:t xml:space="preserve">  </w:t>
            </w:r>
            <w:r>
              <w:rPr>
                <w:rFonts w:hint="eastAsia" w:ascii="宋体" w:hAnsi="宋体" w:eastAsia="宋体"/>
                <w:color w:val="auto"/>
                <w:sz w:val="22"/>
                <w:szCs w:val="22"/>
                <w:highlight w:val="none"/>
                <w:lang w:val="en-US" w:eastAsia="zh-CN"/>
              </w:rPr>
              <w:t>吴女士  15669781333，若以邮寄形式送达的，运输过程中造成投标文件破损、密封不完整的，由供应商自行负责，代理机构及采购人均不对此承担任何责任</w:t>
            </w:r>
            <w:r>
              <w:rPr>
                <w:rFonts w:hint="eastAsia" w:ascii="宋体" w:hAnsi="宋体" w:eastAsia="宋体"/>
                <w:color w:val="auto"/>
                <w:sz w:val="22"/>
                <w:szCs w:val="22"/>
                <w:highlight w:val="none"/>
              </w:rPr>
              <w:t>）。</w:t>
            </w:r>
          </w:p>
          <w:p w14:paraId="3DFC7CFD">
            <w:pPr>
              <w:pStyle w:val="31"/>
              <w:keepNext w:val="0"/>
              <w:keepLines w:val="0"/>
              <w:pageBreakBefore w:val="0"/>
              <w:widowControl w:val="0"/>
              <w:kinsoku/>
              <w:wordWrap/>
              <w:overflowPunct/>
              <w:topLinePunct w:val="0"/>
              <w:autoSpaceDE/>
              <w:autoSpaceDN/>
              <w:bidi w:val="0"/>
              <w:spacing w:line="360" w:lineRule="auto"/>
              <w:ind w:left="0" w:leftChars="0" w:firstLine="0" w:firstLineChars="0"/>
              <w:rPr>
                <w:rFonts w:hint="eastAsia" w:ascii="宋体" w:hAnsi="宋体" w:eastAsia="宋体"/>
                <w:color w:val="auto"/>
                <w:sz w:val="22"/>
                <w:szCs w:val="22"/>
                <w:highlight w:val="none"/>
                <w:lang w:eastAsia="zh-CN"/>
              </w:rPr>
            </w:pPr>
            <w:r>
              <w:rPr>
                <w:rFonts w:hint="eastAsia" w:ascii="宋体" w:hAnsi="宋体" w:eastAsia="宋体" w:cs="Times New Roman"/>
                <w:b/>
                <w:bCs/>
                <w:color w:val="auto"/>
                <w:sz w:val="22"/>
                <w:szCs w:val="22"/>
                <w:highlight w:val="none"/>
                <w:lang w:val="en-US" w:eastAsia="zh-CN"/>
              </w:rPr>
              <w:t>（3）“系统功能演示”：U盘注明“系统功能演示”，密封包装后，在投标截止时间前线下送达或以邮寄形式递交至浙江品信工程项目管理有限公司（平阳县鳌江镇曙东路588号高通大厦2号楼7楼  吴女士  15669781333，若以邮寄形式送达的，运输过程中造成投标文件破损、密封不完整的，由供应商自行负责，代理机构及采购人均不对此承担任何责任）。</w:t>
            </w:r>
          </w:p>
        </w:tc>
      </w:tr>
      <w:tr w14:paraId="308701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14:paraId="42642AB7">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4C3BBA3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投标文件的上传和递交</w:t>
            </w:r>
          </w:p>
        </w:tc>
        <w:tc>
          <w:tcPr>
            <w:tcW w:w="7776" w:type="dxa"/>
            <w:vAlign w:val="center"/>
          </w:tcPr>
          <w:p w14:paraId="5E511F31">
            <w:pPr>
              <w:snapToGrid w:val="0"/>
              <w:spacing w:line="360" w:lineRule="auto"/>
              <w:rPr>
                <w:rFonts w:hint="eastAsia"/>
                <w:color w:val="auto"/>
                <w:sz w:val="22"/>
                <w:szCs w:val="22"/>
                <w:highlight w:val="none"/>
              </w:rPr>
            </w:pPr>
            <w:r>
              <w:rPr>
                <w:rFonts w:hint="eastAsia"/>
                <w:color w:val="auto"/>
                <w:sz w:val="22"/>
                <w:szCs w:val="22"/>
                <w:highlight w:val="none"/>
              </w:rPr>
              <w:t>（1）“电子加密投标文件”的上传、递交：</w:t>
            </w:r>
          </w:p>
          <w:p w14:paraId="51F2694A">
            <w:pPr>
              <w:snapToGrid w:val="0"/>
              <w:spacing w:line="360" w:lineRule="auto"/>
              <w:rPr>
                <w:rFonts w:hint="eastAsia"/>
                <w:color w:val="auto"/>
                <w:sz w:val="22"/>
                <w:szCs w:val="22"/>
                <w:highlight w:val="none"/>
              </w:rPr>
            </w:pPr>
            <w:r>
              <w:rPr>
                <w:rFonts w:hint="eastAsia"/>
                <w:color w:val="auto"/>
                <w:sz w:val="22"/>
                <w:szCs w:val="22"/>
                <w:highlight w:val="none"/>
              </w:rPr>
              <w:t>a.投标供应商应在投标截止时间前将“电子加密投标文件”成功上传递交至“</w:t>
            </w:r>
            <w:r>
              <w:rPr>
                <w:rFonts w:hint="eastAsia"/>
                <w:color w:val="auto"/>
                <w:sz w:val="22"/>
                <w:szCs w:val="22"/>
                <w:highlight w:val="none"/>
                <w:lang w:eastAsia="zh-CN"/>
              </w:rPr>
              <w:t>乐采云-政企采购开放平台</w:t>
            </w:r>
            <w:r>
              <w:rPr>
                <w:rFonts w:hint="eastAsia"/>
                <w:color w:val="auto"/>
                <w:sz w:val="22"/>
                <w:szCs w:val="22"/>
                <w:highlight w:val="none"/>
              </w:rPr>
              <w:t>”，否则投标无效。</w:t>
            </w:r>
          </w:p>
          <w:p w14:paraId="23EE40F0">
            <w:pPr>
              <w:snapToGrid w:val="0"/>
              <w:spacing w:line="360" w:lineRule="auto"/>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14:paraId="55871274">
            <w:pPr>
              <w:snapToGrid w:val="0"/>
              <w:spacing w:line="360" w:lineRule="auto"/>
              <w:rPr>
                <w:rFonts w:hint="eastAsia"/>
                <w:color w:val="auto"/>
                <w:sz w:val="22"/>
                <w:szCs w:val="22"/>
                <w:highlight w:val="none"/>
              </w:rPr>
            </w:pPr>
            <w:r>
              <w:rPr>
                <w:rFonts w:hint="eastAsia"/>
                <w:color w:val="auto"/>
                <w:sz w:val="22"/>
                <w:szCs w:val="22"/>
                <w:highlight w:val="none"/>
              </w:rPr>
              <w:t>（2）“备份投标文件”的密封包装、递交：</w:t>
            </w:r>
          </w:p>
          <w:p w14:paraId="2D079E46">
            <w:pPr>
              <w:snapToGrid w:val="0"/>
              <w:spacing w:line="360" w:lineRule="auto"/>
              <w:rPr>
                <w:rFonts w:hint="eastAsia"/>
                <w:color w:val="auto"/>
                <w:sz w:val="22"/>
                <w:szCs w:val="22"/>
                <w:highlight w:val="none"/>
              </w:rPr>
            </w:pPr>
            <w:r>
              <w:rPr>
                <w:rFonts w:hint="eastAsia"/>
                <w:color w:val="auto"/>
                <w:sz w:val="22"/>
                <w:szCs w:val="22"/>
                <w:highlight w:val="none"/>
              </w:rPr>
              <w:t>a.投标供应商在“</w:t>
            </w:r>
            <w:r>
              <w:rPr>
                <w:rFonts w:hint="eastAsia"/>
                <w:color w:val="auto"/>
                <w:sz w:val="22"/>
                <w:szCs w:val="22"/>
                <w:highlight w:val="none"/>
                <w:lang w:eastAsia="zh-CN"/>
              </w:rPr>
              <w:t>乐采云-政企采购开放平台</w:t>
            </w:r>
            <w:r>
              <w:rPr>
                <w:rFonts w:hint="eastAsia"/>
                <w:color w:val="auto"/>
                <w:sz w:val="22"/>
                <w:szCs w:val="22"/>
                <w:highlight w:val="none"/>
              </w:rPr>
              <w:t>”完成“电子加密投标文件”的上传递交后，还可以（</w:t>
            </w:r>
            <w:r>
              <w:rPr>
                <w:rFonts w:hint="eastAsia"/>
                <w:color w:val="auto"/>
                <w:sz w:val="22"/>
                <w:szCs w:val="22"/>
                <w:highlight w:val="none"/>
                <w:lang w:val="en-US" w:eastAsia="zh-CN"/>
              </w:rPr>
              <w:t>线下送达或</w:t>
            </w:r>
            <w:r>
              <w:rPr>
                <w:rFonts w:hint="eastAsia"/>
                <w:color w:val="auto"/>
                <w:sz w:val="22"/>
                <w:szCs w:val="22"/>
                <w:highlight w:val="none"/>
              </w:rPr>
              <w:t>邮寄形式）在投标截止时间前递交以介质（U盘）存储的“备份投标文件”（一份）；</w:t>
            </w:r>
          </w:p>
          <w:p w14:paraId="27B40933">
            <w:pPr>
              <w:snapToGrid w:val="0"/>
              <w:spacing w:line="360" w:lineRule="auto"/>
              <w:rPr>
                <w:rFonts w:hint="eastAsia"/>
                <w:color w:val="auto"/>
                <w:sz w:val="22"/>
                <w:szCs w:val="22"/>
                <w:highlight w:val="none"/>
              </w:rPr>
            </w:pPr>
            <w:r>
              <w:rPr>
                <w:rFonts w:hint="eastAsia"/>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14:paraId="12157180">
            <w:pPr>
              <w:snapToGrid w:val="0"/>
              <w:spacing w:line="360" w:lineRule="auto"/>
              <w:rPr>
                <w:rFonts w:hint="eastAsia"/>
                <w:color w:val="auto"/>
                <w:sz w:val="22"/>
                <w:szCs w:val="22"/>
                <w:highlight w:val="none"/>
              </w:rPr>
            </w:pPr>
            <w:r>
              <w:rPr>
                <w:rFonts w:hint="eastAsia"/>
                <w:color w:val="auto"/>
                <w:sz w:val="22"/>
                <w:szCs w:val="22"/>
                <w:highlight w:val="none"/>
              </w:rPr>
              <w:t>c.通过“</w:t>
            </w:r>
            <w:r>
              <w:rPr>
                <w:rFonts w:hint="eastAsia"/>
                <w:color w:val="auto"/>
                <w:sz w:val="22"/>
                <w:szCs w:val="22"/>
                <w:highlight w:val="none"/>
                <w:lang w:eastAsia="zh-CN"/>
              </w:rPr>
              <w:t>乐采云-政企采购开放平台</w:t>
            </w:r>
            <w:r>
              <w:rPr>
                <w:rFonts w:hint="eastAsia" w:ascii="Times New Roman" w:hAnsi="Times New Roman" w:eastAsia="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color w:val="auto"/>
                <w:sz w:val="22"/>
                <w:szCs w:val="22"/>
                <w:highlight w:val="none"/>
                <w:lang w:eastAsia="zh-CN"/>
              </w:rPr>
              <w:t>乐采云-政企采购开放平台</w:t>
            </w:r>
            <w:r>
              <w:rPr>
                <w:rFonts w:hint="eastAsia" w:ascii="Times New Roman" w:hAnsi="Times New Roman" w:eastAsia="宋体"/>
                <w:color w:val="auto"/>
                <w:sz w:val="22"/>
                <w:szCs w:val="22"/>
                <w:highlight w:val="none"/>
              </w:rPr>
              <w:t>”的，投标无效。</w:t>
            </w:r>
          </w:p>
        </w:tc>
      </w:tr>
      <w:tr w14:paraId="17166A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76B3DB0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BF21F9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电子加密投标文件的解密和异常情况处理</w:t>
            </w:r>
          </w:p>
        </w:tc>
        <w:tc>
          <w:tcPr>
            <w:tcW w:w="7776" w:type="dxa"/>
            <w:vAlign w:val="center"/>
          </w:tcPr>
          <w:p w14:paraId="682D25EB">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14:paraId="6A699D50">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（2）通过“</w:t>
            </w:r>
            <w:r>
              <w:rPr>
                <w:rFonts w:hint="eastAsia" w:ascii="宋体" w:hAnsi="宋体"/>
                <w:color w:val="auto"/>
                <w:sz w:val="22"/>
                <w:szCs w:val="22"/>
                <w:highlight w:val="none"/>
                <w:lang w:eastAsia="zh-CN"/>
              </w:rPr>
              <w:t>乐采云-政企采购开放平台</w:t>
            </w:r>
            <w:r>
              <w:rPr>
                <w:rFonts w:hint="eastAsia" w:ascii="宋体" w:hAnsi="宋体" w:eastAsia="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color w:val="auto"/>
                <w:sz w:val="22"/>
                <w:szCs w:val="22"/>
                <w:highlight w:val="none"/>
                <w:lang w:eastAsia="zh-CN"/>
              </w:rPr>
              <w:t>乐采云-政企采购开放平台</w:t>
            </w:r>
            <w:r>
              <w:rPr>
                <w:rFonts w:hint="eastAsia" w:ascii="宋体" w:hAnsi="宋体" w:eastAsia="宋体"/>
                <w:color w:val="auto"/>
                <w:sz w:val="22"/>
                <w:szCs w:val="22"/>
                <w:highlight w:val="none"/>
              </w:rPr>
              <w:t>”操作规范将“备份投标文件”上传至“</w:t>
            </w:r>
            <w:r>
              <w:rPr>
                <w:rFonts w:hint="eastAsia" w:ascii="宋体" w:hAnsi="宋体"/>
                <w:color w:val="auto"/>
                <w:sz w:val="22"/>
                <w:szCs w:val="22"/>
                <w:highlight w:val="none"/>
                <w:lang w:eastAsia="zh-CN"/>
              </w:rPr>
              <w:t>乐采云-政企采购开放平台</w:t>
            </w:r>
            <w:r>
              <w:rPr>
                <w:rFonts w:hint="eastAsia" w:ascii="宋体" w:hAnsi="宋体" w:eastAsia="宋体"/>
                <w:color w:val="auto"/>
                <w:sz w:val="22"/>
                <w:szCs w:val="22"/>
                <w:highlight w:val="none"/>
              </w:rPr>
              <w:t>”，上传成功后，“电子加密投标文件”自动失效），否则视为投标文件撤回。</w:t>
            </w:r>
          </w:p>
          <w:p w14:paraId="225585B6">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（3）投标截止时间前，投标供应商仅递交了“备份投标文件”而未将电子加密投标文件上传至“</w:t>
            </w:r>
            <w:r>
              <w:rPr>
                <w:rFonts w:hint="eastAsia" w:ascii="宋体" w:hAnsi="宋体"/>
                <w:color w:val="auto"/>
                <w:sz w:val="22"/>
                <w:szCs w:val="22"/>
                <w:highlight w:val="none"/>
                <w:lang w:eastAsia="zh-CN"/>
              </w:rPr>
              <w:t>乐采云-政企采购开放平台</w:t>
            </w:r>
            <w:r>
              <w:rPr>
                <w:rFonts w:hint="eastAsia" w:ascii="宋体" w:hAnsi="宋体" w:eastAsia="宋体"/>
                <w:color w:val="auto"/>
                <w:sz w:val="22"/>
                <w:szCs w:val="22"/>
                <w:highlight w:val="none"/>
              </w:rPr>
              <w:t>”的，投标无效。</w:t>
            </w:r>
          </w:p>
        </w:tc>
      </w:tr>
      <w:tr w14:paraId="2971E4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14:paraId="468DB79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20BE0D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投标有效期</w:t>
            </w:r>
          </w:p>
        </w:tc>
        <w:tc>
          <w:tcPr>
            <w:tcW w:w="7776" w:type="dxa"/>
            <w:vAlign w:val="center"/>
          </w:tcPr>
          <w:p w14:paraId="7AB79127">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提交投标文件截止日起90天内</w:t>
            </w:r>
          </w:p>
        </w:tc>
      </w:tr>
      <w:tr w14:paraId="4B9C44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26" w:hRule="atLeast"/>
          <w:jc w:val="center"/>
        </w:trPr>
        <w:tc>
          <w:tcPr>
            <w:tcW w:w="842" w:type="dxa"/>
            <w:vAlign w:val="center"/>
          </w:tcPr>
          <w:p w14:paraId="39E5FD9C">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79C1BA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投标样品</w:t>
            </w:r>
          </w:p>
        </w:tc>
        <w:tc>
          <w:tcPr>
            <w:tcW w:w="7776" w:type="dxa"/>
            <w:vAlign w:val="center"/>
          </w:tcPr>
          <w:p w14:paraId="2B5A91E6">
            <w:pPr>
              <w:spacing w:line="300" w:lineRule="exact"/>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14:paraId="3C4F1613">
            <w:pPr>
              <w:spacing w:line="360" w:lineRule="auto"/>
              <w:rPr>
                <w:rFonts w:hint="eastAsia"/>
                <w:color w:val="auto"/>
                <w:sz w:val="22"/>
                <w:szCs w:val="22"/>
                <w:highlight w:val="none"/>
              </w:rPr>
            </w:pPr>
            <w:r>
              <w:rPr>
                <w:rFonts w:hint="eastAsia"/>
                <w:color w:val="auto"/>
                <w:sz w:val="22"/>
                <w:szCs w:val="22"/>
                <w:highlight w:val="none"/>
              </w:rPr>
              <w:t>□需要</w:t>
            </w:r>
          </w:p>
        </w:tc>
      </w:tr>
      <w:tr w14:paraId="416D7E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44" w:hRule="atLeast"/>
          <w:jc w:val="center"/>
        </w:trPr>
        <w:tc>
          <w:tcPr>
            <w:tcW w:w="842" w:type="dxa"/>
            <w:vAlign w:val="center"/>
          </w:tcPr>
          <w:p w14:paraId="1FCDC607">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D8D4EF">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履约</w:t>
            </w:r>
            <w:r>
              <w:rPr>
                <w:rFonts w:hint="eastAsia" w:ascii="宋体" w:hAnsi="宋体"/>
                <w:color w:val="auto"/>
                <w:sz w:val="22"/>
                <w:szCs w:val="22"/>
                <w:highlight w:val="none"/>
                <w:lang w:val="en-US" w:eastAsia="zh-CN"/>
              </w:rPr>
              <w:t>保证金</w:t>
            </w:r>
          </w:p>
        </w:tc>
        <w:tc>
          <w:tcPr>
            <w:tcW w:w="7776" w:type="dxa"/>
            <w:vAlign w:val="center"/>
          </w:tcPr>
          <w:p w14:paraId="2C76597C">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p>
          <w:p w14:paraId="7CA6A7AF">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position w:val="-4"/>
                <w:sz w:val="22"/>
                <w:szCs w:val="22"/>
                <w:highlight w:val="none"/>
                <w:lang w:eastAsia="zh-CN"/>
              </w:rPr>
              <w:instrText xml:space="preserve">,</w:instrText>
            </w:r>
            <w:r>
              <w:rPr>
                <w:rFonts w:hint="eastAsia"/>
                <w:color w:val="auto"/>
                <w:position w:val="-1"/>
                <w:sz w:val="15"/>
                <w:szCs w:val="22"/>
                <w:highlight w:val="none"/>
                <w:lang w:eastAsia="zh-CN"/>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 xml:space="preserve">需要  </w:t>
            </w:r>
          </w:p>
        </w:tc>
      </w:tr>
      <w:tr w14:paraId="64BC9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790" w:hRule="atLeast"/>
          <w:jc w:val="center"/>
        </w:trPr>
        <w:tc>
          <w:tcPr>
            <w:tcW w:w="842" w:type="dxa"/>
            <w:vAlign w:val="center"/>
          </w:tcPr>
          <w:p w14:paraId="4FAC3A0A">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6DFD44D">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投标保证金</w:t>
            </w:r>
          </w:p>
        </w:tc>
        <w:tc>
          <w:tcPr>
            <w:tcW w:w="7776" w:type="dxa"/>
            <w:vAlign w:val="center"/>
          </w:tcPr>
          <w:p w14:paraId="5B6021AA">
            <w:pPr>
              <w:spacing w:line="300" w:lineRule="exact"/>
              <w:rPr>
                <w:rFonts w:hint="eastAsia"/>
                <w:color w:val="auto"/>
                <w:sz w:val="22"/>
                <w:szCs w:val="22"/>
                <w:highlight w:val="none"/>
                <w:lang w:eastAsia="zh-CN"/>
              </w:rPr>
            </w:pPr>
            <w:r>
              <w:rPr>
                <w:rFonts w:hint="eastAsia"/>
                <w:color w:val="auto"/>
                <w:sz w:val="22"/>
                <w:szCs w:val="22"/>
                <w:highlight w:val="none"/>
                <w:lang w:eastAsia="zh-CN"/>
              </w:rPr>
              <w:t>☑</w:t>
            </w:r>
            <w:r>
              <w:rPr>
                <w:rFonts w:hint="eastAsia"/>
                <w:color w:val="auto"/>
                <w:sz w:val="22"/>
                <w:szCs w:val="22"/>
                <w:highlight w:val="none"/>
              </w:rPr>
              <w:t>不需要</w:t>
            </w:r>
            <w:r>
              <w:rPr>
                <w:rFonts w:hint="eastAsia"/>
                <w:color w:val="auto"/>
                <w:sz w:val="22"/>
                <w:szCs w:val="22"/>
                <w:highlight w:val="none"/>
                <w:lang w:eastAsia="zh-CN"/>
              </w:rPr>
              <w:t>，</w:t>
            </w:r>
            <w:r>
              <w:rPr>
                <w:rFonts w:hint="eastAsia" w:ascii="宋体" w:hAnsi="宋体" w:eastAsia="宋体"/>
                <w:color w:val="auto"/>
                <w:sz w:val="22"/>
                <w:szCs w:val="22"/>
                <w:highlight w:val="none"/>
                <w:lang w:val="en-US" w:eastAsia="zh-CN"/>
              </w:rPr>
              <w:t>详见招标公告</w:t>
            </w:r>
          </w:p>
          <w:p w14:paraId="3E2A2FA0">
            <w:pPr>
              <w:spacing w:line="360" w:lineRule="auto"/>
              <w:rPr>
                <w:rFonts w:hint="eastAsia"/>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需要</w:t>
            </w:r>
          </w:p>
        </w:tc>
      </w:tr>
      <w:tr w14:paraId="31B284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06" w:hRule="atLeast"/>
          <w:jc w:val="center"/>
        </w:trPr>
        <w:tc>
          <w:tcPr>
            <w:tcW w:w="842" w:type="dxa"/>
            <w:vAlign w:val="center"/>
          </w:tcPr>
          <w:p w14:paraId="7040CA6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AF1B704">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质疑受理联系方式</w:t>
            </w:r>
          </w:p>
        </w:tc>
        <w:tc>
          <w:tcPr>
            <w:tcW w:w="7776" w:type="dxa"/>
            <w:vAlign w:val="center"/>
          </w:tcPr>
          <w:p w14:paraId="1EC8AFFD">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代理机构名称：</w:t>
            </w:r>
            <w:r>
              <w:rPr>
                <w:rFonts w:hint="eastAsia" w:ascii="宋体" w:hAnsi="宋体"/>
                <w:color w:val="auto"/>
                <w:sz w:val="22"/>
                <w:szCs w:val="22"/>
                <w:highlight w:val="none"/>
                <w:lang w:eastAsia="zh-CN"/>
              </w:rPr>
              <w:t>浙江品信工程项目管理有限公司</w:t>
            </w:r>
          </w:p>
          <w:p w14:paraId="48A509A9">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机构地址：</w:t>
            </w:r>
            <w:r>
              <w:rPr>
                <w:rFonts w:hint="eastAsia" w:ascii="宋体" w:hAnsi="宋体"/>
                <w:color w:val="auto"/>
                <w:kern w:val="0"/>
                <w:sz w:val="22"/>
                <w:szCs w:val="22"/>
                <w:highlight w:val="none"/>
                <w:lang w:eastAsia="zh-CN"/>
              </w:rPr>
              <w:t>平阳县鳌江镇曙东路588号高通大厦2号楼7楼</w:t>
            </w:r>
          </w:p>
          <w:p w14:paraId="0A24534A">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 系 人：</w:t>
            </w:r>
            <w:r>
              <w:rPr>
                <w:rFonts w:hint="eastAsia" w:ascii="宋体" w:hAnsi="宋体"/>
                <w:color w:val="auto"/>
                <w:sz w:val="22"/>
                <w:szCs w:val="22"/>
                <w:highlight w:val="none"/>
                <w:lang w:val="en-US" w:eastAsia="zh-CN"/>
              </w:rPr>
              <w:t>吴女士</w:t>
            </w:r>
          </w:p>
          <w:p w14:paraId="33CD1864">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联系电话：</w:t>
            </w:r>
            <w:r>
              <w:rPr>
                <w:rFonts w:hint="eastAsia" w:ascii="宋体" w:hAnsi="宋体"/>
                <w:color w:val="auto"/>
                <w:sz w:val="22"/>
                <w:szCs w:val="22"/>
                <w:highlight w:val="none"/>
                <w:lang w:eastAsia="zh-CN"/>
              </w:rPr>
              <w:t>15669781333</w:t>
            </w:r>
          </w:p>
        </w:tc>
      </w:tr>
      <w:tr w14:paraId="344DB5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EFFA4B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59E53947">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w:t>
            </w:r>
          </w:p>
        </w:tc>
        <w:tc>
          <w:tcPr>
            <w:tcW w:w="7776" w:type="dxa"/>
            <w:vAlign w:val="center"/>
          </w:tcPr>
          <w:p w14:paraId="25B4ED74">
            <w:pPr>
              <w:snapToGrid w:val="0"/>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认为国有企业答疑回复处理结果不合法的，可以采购人或代理机构为对象依法向人民法院提起诉讼。</w:t>
            </w:r>
          </w:p>
        </w:tc>
      </w:tr>
      <w:tr w14:paraId="5D4F61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DF39AB4">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D586510">
            <w:pPr>
              <w:snapToGrid w:val="0"/>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投诉受理联系方式</w:t>
            </w:r>
          </w:p>
        </w:tc>
        <w:tc>
          <w:tcPr>
            <w:tcW w:w="7776" w:type="dxa"/>
            <w:vAlign w:val="center"/>
          </w:tcPr>
          <w:p w14:paraId="02121699">
            <w:pPr>
              <w:widowControl/>
              <w:snapToGrid w:val="0"/>
              <w:spacing w:line="48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同级采购监督管理部门名称：</w:t>
            </w:r>
            <w:r>
              <w:rPr>
                <w:rFonts w:hint="eastAsia" w:ascii="宋体" w:hAnsi="宋体"/>
                <w:color w:val="auto"/>
                <w:sz w:val="22"/>
                <w:szCs w:val="22"/>
                <w:highlight w:val="none"/>
                <w:lang w:eastAsia="zh-CN"/>
              </w:rPr>
              <w:t>平阳县兴阳控股集团有限公司</w:t>
            </w:r>
          </w:p>
          <w:p w14:paraId="375C52D4">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联系人：</w:t>
            </w:r>
            <w:r>
              <w:rPr>
                <w:rFonts w:hint="eastAsia" w:ascii="宋体" w:hAnsi="宋体"/>
                <w:color w:val="auto"/>
                <w:sz w:val="22"/>
                <w:szCs w:val="22"/>
                <w:highlight w:val="none"/>
                <w:lang w:eastAsia="zh-CN"/>
              </w:rPr>
              <w:t>章先生</w:t>
            </w:r>
          </w:p>
          <w:p w14:paraId="77618804">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监督投诉电话：</w:t>
            </w:r>
            <w:r>
              <w:rPr>
                <w:rFonts w:hint="eastAsia" w:ascii="宋体" w:hAnsi="宋体" w:eastAsia="宋体" w:cs="Times New Roman"/>
                <w:color w:val="auto"/>
                <w:kern w:val="0"/>
                <w:sz w:val="22"/>
                <w:szCs w:val="22"/>
                <w:highlight w:val="none"/>
                <w:lang w:val="en-US" w:eastAsia="zh-CN"/>
              </w:rPr>
              <w:t>0577-63168022</w:t>
            </w:r>
          </w:p>
          <w:p w14:paraId="14F14CEF">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传真：</w:t>
            </w:r>
            <w:r>
              <w:rPr>
                <w:rFonts w:hint="eastAsia" w:ascii="宋体" w:hAnsi="宋体" w:eastAsia="宋体"/>
                <w:color w:val="auto"/>
                <w:sz w:val="22"/>
                <w:szCs w:val="22"/>
                <w:highlight w:val="none"/>
                <w:lang w:val="en-US" w:eastAsia="zh-CN"/>
              </w:rPr>
              <w:t>/</w:t>
            </w:r>
          </w:p>
          <w:p w14:paraId="3C9333FB">
            <w:pPr>
              <w:widowControl/>
              <w:snapToGrid w:val="0"/>
              <w:spacing w:line="480" w:lineRule="exact"/>
              <w:jc w:val="left"/>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地址</w:t>
            </w:r>
            <w:r>
              <w:rPr>
                <w:rFonts w:hint="eastAsia" w:ascii="宋体" w:hAnsi="宋体" w:eastAsia="宋体"/>
                <w:color w:val="auto"/>
                <w:sz w:val="22"/>
                <w:szCs w:val="22"/>
                <w:highlight w:val="none"/>
                <w:lang w:val="en-US" w:eastAsia="zh-CN"/>
              </w:rPr>
              <w:t>:</w:t>
            </w:r>
            <w:r>
              <w:rPr>
                <w:rFonts w:hint="eastAsia" w:ascii="宋体" w:hAnsi="宋体"/>
                <w:color w:val="auto"/>
                <w:sz w:val="22"/>
                <w:szCs w:val="22"/>
                <w:highlight w:val="none"/>
                <w:lang w:val="en-US" w:eastAsia="zh-CN"/>
              </w:rPr>
              <w:t>平阳县昆阳镇公园路5号</w:t>
            </w:r>
          </w:p>
        </w:tc>
      </w:tr>
      <w:tr w14:paraId="0CC5E8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4FE55AC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39A18B5E">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投标截止时间</w:t>
            </w:r>
          </w:p>
        </w:tc>
        <w:tc>
          <w:tcPr>
            <w:tcW w:w="7776" w:type="dxa"/>
            <w:vAlign w:val="center"/>
          </w:tcPr>
          <w:p w14:paraId="76CE3C13">
            <w:pPr>
              <w:spacing w:line="360" w:lineRule="auto"/>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2025年</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rPr>
              <w:t>截止(北京时间)。</w:t>
            </w:r>
          </w:p>
        </w:tc>
      </w:tr>
      <w:tr w14:paraId="2A415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14:paraId="0733EE57">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2AD86E8">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p>
          <w:p w14:paraId="69129274">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评审地点</w:t>
            </w:r>
          </w:p>
        </w:tc>
        <w:tc>
          <w:tcPr>
            <w:tcW w:w="7776" w:type="dxa"/>
            <w:vAlign w:val="center"/>
          </w:tcPr>
          <w:p w14:paraId="23E9FB99">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开标时间：</w:t>
            </w:r>
            <w:r>
              <w:rPr>
                <w:rFonts w:hint="eastAsia" w:ascii="宋体" w:hAnsi="宋体"/>
                <w:color w:val="auto"/>
                <w:sz w:val="22"/>
                <w:szCs w:val="22"/>
                <w:highlight w:val="none"/>
                <w:shd w:val="clear" w:color="auto" w:fill="FFFFFF"/>
                <w:lang w:eastAsia="zh-CN"/>
              </w:rPr>
              <w:t>2025年</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eastAsia="宋体"/>
                <w:color w:val="auto"/>
                <w:sz w:val="22"/>
                <w:szCs w:val="22"/>
                <w:highlight w:val="none"/>
                <w:shd w:val="clear" w:color="auto" w:fill="FFFFFF"/>
              </w:rPr>
              <w:t xml:space="preserve"> </w:t>
            </w:r>
            <w:r>
              <w:rPr>
                <w:rFonts w:hint="eastAsia" w:ascii="宋体" w:hAnsi="宋体"/>
                <w:color w:val="auto"/>
                <w:sz w:val="22"/>
                <w:szCs w:val="22"/>
                <w:highlight w:val="none"/>
                <w:shd w:val="clear" w:color="auto" w:fill="FFFFFF"/>
                <w:lang w:val="en-US" w:eastAsia="zh-CN"/>
              </w:rPr>
              <w:t>09</w:t>
            </w:r>
            <w:r>
              <w:rPr>
                <w:rFonts w:hint="eastAsia" w:ascii="宋体" w:hAnsi="宋体" w:eastAsia="宋体"/>
                <w:color w:val="auto"/>
                <w:sz w:val="22"/>
                <w:szCs w:val="22"/>
                <w:highlight w:val="none"/>
                <w:shd w:val="clear" w:color="auto" w:fill="FFFFFF"/>
              </w:rPr>
              <w:t>:30</w:t>
            </w:r>
            <w:r>
              <w:rPr>
                <w:rFonts w:hint="eastAsia" w:ascii="宋体" w:hAnsi="宋体" w:eastAsia="宋体"/>
                <w:color w:val="auto"/>
                <w:sz w:val="22"/>
                <w:szCs w:val="22"/>
                <w:highlight w:val="none"/>
                <w:shd w:val="clear" w:color="auto" w:fill="FFFFFF"/>
                <w:lang w:eastAsia="zh-CN"/>
              </w:rPr>
              <w:t>正 (北京时间)</w:t>
            </w:r>
          </w:p>
          <w:p w14:paraId="6D3D8C66">
            <w:pPr>
              <w:spacing w:line="360" w:lineRule="auto"/>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开标地点：平阳县公共资源交易中心</w:t>
            </w:r>
            <w:r>
              <w:rPr>
                <w:rFonts w:hint="eastAsia" w:ascii="宋体" w:hAnsi="宋体" w:eastAsia="宋体"/>
                <w:color w:val="auto"/>
                <w:sz w:val="22"/>
                <w:szCs w:val="22"/>
                <w:highlight w:val="none"/>
                <w:shd w:val="clear" w:color="auto" w:fill="FFFFFF"/>
                <w:lang w:val="en-US" w:eastAsia="zh-CN"/>
              </w:rPr>
              <w:t>三</w:t>
            </w:r>
            <w:r>
              <w:rPr>
                <w:rFonts w:hint="eastAsia" w:ascii="宋体" w:hAnsi="宋体" w:eastAsia="宋体"/>
                <w:color w:val="auto"/>
                <w:sz w:val="22"/>
                <w:szCs w:val="22"/>
                <w:highlight w:val="none"/>
                <w:shd w:val="clear" w:color="auto" w:fill="FFFFFF"/>
                <w:lang w:eastAsia="zh-CN"/>
              </w:rPr>
              <w:t>楼</w:t>
            </w:r>
            <w:r>
              <w:rPr>
                <w:rFonts w:hint="eastAsia" w:ascii="宋体" w:hAnsi="宋体" w:eastAsia="宋体"/>
                <w:color w:val="auto"/>
                <w:sz w:val="22"/>
                <w:szCs w:val="22"/>
                <w:highlight w:val="none"/>
                <w:shd w:val="clear" w:color="auto" w:fill="FFFFFF"/>
                <w:lang w:val="en-US" w:eastAsia="zh-CN"/>
              </w:rPr>
              <w:t>评标室</w:t>
            </w:r>
            <w:r>
              <w:rPr>
                <w:rFonts w:hint="eastAsia" w:ascii="宋体" w:hAnsi="宋体" w:eastAsia="宋体"/>
                <w:color w:val="auto"/>
                <w:sz w:val="22"/>
                <w:szCs w:val="22"/>
                <w:highlight w:val="none"/>
                <w:shd w:val="clear" w:color="auto" w:fill="FFFFFF"/>
                <w:lang w:eastAsia="zh-CN"/>
              </w:rPr>
              <w:t>（平</w:t>
            </w:r>
            <w:r>
              <w:rPr>
                <w:rFonts w:hint="eastAsia" w:ascii="宋体" w:hAnsi="宋体" w:eastAsia="宋体"/>
                <w:color w:val="auto"/>
                <w:sz w:val="22"/>
                <w:szCs w:val="22"/>
                <w:highlight w:val="none"/>
              </w:rPr>
              <w:t>阳县鳌江镇火车站大道和谐家园</w:t>
            </w:r>
            <w:r>
              <w:rPr>
                <w:rFonts w:hint="eastAsia" w:ascii="宋体" w:hAnsi="宋体"/>
                <w:color w:val="auto"/>
                <w:sz w:val="22"/>
                <w:szCs w:val="22"/>
                <w:highlight w:val="none"/>
                <w:lang w:val="en-US" w:eastAsia="zh-CN"/>
              </w:rPr>
              <w:t>三</w:t>
            </w:r>
            <w:r>
              <w:rPr>
                <w:rFonts w:hint="eastAsia" w:ascii="宋体" w:hAnsi="宋体" w:eastAsia="宋体"/>
                <w:color w:val="auto"/>
                <w:sz w:val="22"/>
                <w:szCs w:val="22"/>
                <w:highlight w:val="none"/>
              </w:rPr>
              <w:t>楼）。</w:t>
            </w:r>
          </w:p>
        </w:tc>
      </w:tr>
      <w:tr w14:paraId="75657A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781703B1">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7DDD570">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评审委员会的</w:t>
            </w:r>
          </w:p>
          <w:p w14:paraId="28E16CA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组建</w:t>
            </w:r>
          </w:p>
        </w:tc>
        <w:tc>
          <w:tcPr>
            <w:tcW w:w="7776" w:type="dxa"/>
            <w:vAlign w:val="center"/>
          </w:tcPr>
          <w:p w14:paraId="1C8D7AB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评标委员会构成：采购人依法组建，成员人数应当为</w:t>
            </w:r>
            <w:r>
              <w:rPr>
                <w:rFonts w:hint="eastAsia" w:ascii="宋体" w:hAnsi="宋体"/>
                <w:color w:val="auto"/>
                <w:sz w:val="22"/>
                <w:szCs w:val="22"/>
                <w:highlight w:val="none"/>
                <w:lang w:val="en-US" w:eastAsia="zh-CN"/>
              </w:rPr>
              <w:t>5</w:t>
            </w:r>
            <w:r>
              <w:rPr>
                <w:rFonts w:hint="eastAsia" w:ascii="宋体" w:hAnsi="宋体" w:eastAsia="宋体"/>
                <w:color w:val="auto"/>
                <w:sz w:val="22"/>
                <w:szCs w:val="22"/>
                <w:highlight w:val="none"/>
              </w:rPr>
              <w:t>人及以上单数，其中评审专家不得少于成员总数的三分之二；评审专家确定方式：按相关规定从专家库中抽取。</w:t>
            </w:r>
          </w:p>
        </w:tc>
      </w:tr>
      <w:tr w14:paraId="06B19D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06" w:hRule="atLeast"/>
          <w:jc w:val="center"/>
        </w:trPr>
        <w:tc>
          <w:tcPr>
            <w:tcW w:w="842" w:type="dxa"/>
            <w:vAlign w:val="center"/>
          </w:tcPr>
          <w:p w14:paraId="17B588F3">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A3140F3">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政府采购</w:t>
            </w:r>
          </w:p>
          <w:p w14:paraId="5616758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扶持政策</w:t>
            </w:r>
          </w:p>
        </w:tc>
        <w:tc>
          <w:tcPr>
            <w:tcW w:w="7776" w:type="dxa"/>
            <w:vAlign w:val="center"/>
          </w:tcPr>
          <w:p w14:paraId="53ED014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1、对符合财政扶持政策的小微企业（或监狱企业、残疾人福利性单位）给予评标价格优惠。</w:t>
            </w:r>
          </w:p>
        </w:tc>
      </w:tr>
      <w:tr w14:paraId="6F49FE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14:paraId="6B71DD2B">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465B65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供应商信用查询</w:t>
            </w:r>
          </w:p>
        </w:tc>
        <w:tc>
          <w:tcPr>
            <w:tcW w:w="7776" w:type="dxa"/>
            <w:vAlign w:val="center"/>
          </w:tcPr>
          <w:p w14:paraId="0DE05E4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信用信息查询的查询渠道：“信用中国”(</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"http://www.creditchina.gov.cn"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www.creditchina.gov.cn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)；“中国政府采购网”（http://www.ccgp.gov.cn/）；</w:t>
            </w:r>
          </w:p>
          <w:p w14:paraId="5F9875F1">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信用信息查询截止时点：至本项目投标截止时间前均可。</w:t>
            </w:r>
          </w:p>
          <w:p w14:paraId="52930D8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信用信息查询记录和证据留存的具体方式：网页截图打印；</w:t>
            </w:r>
          </w:p>
          <w:p w14:paraId="698512F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14:paraId="3DDD5C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33715F95">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216AE81">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合同备案</w:t>
            </w:r>
          </w:p>
        </w:tc>
        <w:tc>
          <w:tcPr>
            <w:tcW w:w="7776" w:type="dxa"/>
            <w:vAlign w:val="center"/>
          </w:tcPr>
          <w:p w14:paraId="1112DEF8">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1、中标供应商须在中标通知书发出之日起30日内与采购人签订合同。</w:t>
            </w:r>
          </w:p>
          <w:p w14:paraId="516ACEC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2、中标供应商与采购人签订合同后，2日历天内将合同扫描件电子版发给</w:t>
            </w:r>
            <w:r>
              <w:rPr>
                <w:rFonts w:hint="eastAsia" w:ascii="宋体" w:hAnsi="宋体"/>
                <w:color w:val="auto"/>
                <w:sz w:val="22"/>
                <w:szCs w:val="22"/>
                <w:highlight w:val="none"/>
                <w:lang w:eastAsia="zh-CN"/>
              </w:rPr>
              <w:t>浙江品信工程项目管理有限公司</w:t>
            </w:r>
            <w:r>
              <w:rPr>
                <w:rFonts w:hint="eastAsia" w:ascii="宋体" w:hAnsi="宋体" w:eastAsia="宋体"/>
                <w:color w:val="auto"/>
                <w:sz w:val="22"/>
                <w:szCs w:val="22"/>
                <w:highlight w:val="none"/>
              </w:rPr>
              <w:t>邮箱：</w:t>
            </w:r>
            <w:r>
              <w:rPr>
                <w:rStyle w:val="62"/>
                <w:rFonts w:hint="eastAsia" w:ascii="宋体" w:hAnsi="宋体"/>
                <w:color w:val="auto"/>
                <w:sz w:val="22"/>
                <w:szCs w:val="22"/>
                <w:highlight w:val="none"/>
                <w:lang w:eastAsia="zh-CN"/>
              </w:rPr>
              <w:t>513596377</w:t>
            </w:r>
            <w:r>
              <w:rPr>
                <w:rStyle w:val="62"/>
                <w:rFonts w:hint="eastAsia" w:ascii="宋体" w:hAnsi="宋体" w:eastAsia="宋体"/>
                <w:color w:val="auto"/>
                <w:sz w:val="22"/>
                <w:szCs w:val="22"/>
                <w:highlight w:val="none"/>
              </w:rPr>
              <w:t>@qq.com</w:t>
            </w:r>
            <w:r>
              <w:rPr>
                <w:rFonts w:hint="eastAsia" w:ascii="宋体" w:hAnsi="宋体" w:eastAsia="宋体"/>
                <w:color w:val="auto"/>
                <w:sz w:val="22"/>
                <w:szCs w:val="22"/>
                <w:highlight w:val="none"/>
              </w:rPr>
              <w:t>；</w:t>
            </w:r>
          </w:p>
          <w:p w14:paraId="22DFAA35">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3、本项目</w:t>
            </w:r>
            <w:r>
              <w:rPr>
                <w:rFonts w:hint="eastAsia" w:ascii="宋体" w:hAnsi="宋体"/>
                <w:color w:val="auto"/>
                <w:sz w:val="22"/>
                <w:szCs w:val="22"/>
                <w:highlight w:val="none"/>
                <w:lang w:eastAsia="zh-CN"/>
              </w:rPr>
              <w:t>国企采购</w:t>
            </w:r>
            <w:r>
              <w:rPr>
                <w:rFonts w:hint="eastAsia" w:ascii="宋体" w:hAnsi="宋体" w:eastAsia="宋体"/>
                <w:color w:val="auto"/>
                <w:sz w:val="22"/>
                <w:szCs w:val="22"/>
                <w:highlight w:val="none"/>
              </w:rPr>
              <w:t>合同按规定在浙江政府采购网（</w:t>
            </w:r>
            <w:r>
              <w:rPr>
                <w:rFonts w:hint="eastAsia" w:ascii="宋体" w:hAnsi="宋体" w:eastAsia="宋体"/>
                <w:color w:val="auto"/>
                <w:sz w:val="22"/>
                <w:szCs w:val="22"/>
                <w:highlight w:val="none"/>
              </w:rPr>
              <w:fldChar w:fldCharType="begin"/>
            </w:r>
            <w:r>
              <w:rPr>
                <w:rFonts w:hint="eastAsia" w:ascii="宋体" w:hAnsi="宋体" w:eastAsia="宋体"/>
                <w:color w:val="auto"/>
                <w:sz w:val="22"/>
                <w:szCs w:val="22"/>
                <w:highlight w:val="none"/>
              </w:rPr>
              <w:instrText xml:space="preserve"> HYPERLINK "http://www.zjzfcg.gov.cn" </w:instrText>
            </w:r>
            <w:r>
              <w:rPr>
                <w:rFonts w:hint="eastAsia" w:ascii="宋体" w:hAnsi="宋体" w:eastAsia="宋体"/>
                <w:color w:val="auto"/>
                <w:sz w:val="22"/>
                <w:szCs w:val="22"/>
                <w:highlight w:val="none"/>
              </w:rPr>
              <w:fldChar w:fldCharType="separate"/>
            </w:r>
            <w:r>
              <w:rPr>
                <w:rFonts w:hint="eastAsia" w:ascii="宋体" w:hAnsi="宋体" w:eastAsia="宋体"/>
                <w:color w:val="auto"/>
                <w:sz w:val="22"/>
                <w:szCs w:val="22"/>
                <w:highlight w:val="none"/>
              </w:rPr>
              <w:t>http://www.zjzfcg.gov.cn</w:t>
            </w:r>
            <w:r>
              <w:rPr>
                <w:rFonts w:hint="eastAsia" w:ascii="宋体" w:hAnsi="宋体" w:eastAsia="宋体"/>
                <w:color w:val="auto"/>
                <w:sz w:val="22"/>
                <w:szCs w:val="22"/>
                <w:highlight w:val="none"/>
              </w:rPr>
              <w:fldChar w:fldCharType="end"/>
            </w:r>
            <w:r>
              <w:rPr>
                <w:rFonts w:hint="eastAsia" w:ascii="宋体" w:hAnsi="宋体" w:eastAsia="宋体"/>
                <w:color w:val="auto"/>
                <w:sz w:val="22"/>
                <w:szCs w:val="22"/>
                <w:highlight w:val="none"/>
              </w:rPr>
              <w:t>）予以公告。</w:t>
            </w:r>
          </w:p>
        </w:tc>
      </w:tr>
      <w:tr w14:paraId="304768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161F11D">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048AE7DF">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合同履约管理</w:t>
            </w:r>
          </w:p>
        </w:tc>
        <w:tc>
          <w:tcPr>
            <w:tcW w:w="7776" w:type="dxa"/>
            <w:vAlign w:val="center"/>
          </w:tcPr>
          <w:p w14:paraId="6669852A">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合同签订后，采购人依法加强对合同履约进行管理，并在</w:t>
            </w:r>
            <w:r>
              <w:rPr>
                <w:rFonts w:hint="eastAsia" w:ascii="宋体" w:hAnsi="宋体"/>
                <w:color w:val="auto"/>
                <w:sz w:val="22"/>
                <w:szCs w:val="22"/>
                <w:highlight w:val="none"/>
                <w:lang w:eastAsia="zh-CN"/>
              </w:rPr>
              <w:t>中标供应商</w:t>
            </w:r>
            <w:r>
              <w:rPr>
                <w:rFonts w:hint="eastAsia" w:ascii="宋体" w:hAnsi="宋体" w:eastAsia="宋体"/>
                <w:color w:val="auto"/>
                <w:sz w:val="22"/>
                <w:szCs w:val="22"/>
                <w:highlight w:val="none"/>
              </w:rPr>
              <w:t>供货、项目验收等重要关节，如实填写《合同验收报告》（或考核资料），并及时向同级财政部门报告验收过程中遇到的问题。</w:t>
            </w:r>
          </w:p>
        </w:tc>
      </w:tr>
      <w:tr w14:paraId="69446F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4474FB3F">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691EC2FB">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免则声明</w:t>
            </w:r>
          </w:p>
        </w:tc>
        <w:tc>
          <w:tcPr>
            <w:tcW w:w="7776" w:type="dxa"/>
            <w:vAlign w:val="center"/>
          </w:tcPr>
          <w:p w14:paraId="32472DB9">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自行承担投标过程中产生的费用。无论何种因素导致采购项目延期开标、废标（流标）、</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未中标、项目终止采购的，采购人与代理机构均不承担供应商投标费用。</w:t>
            </w:r>
          </w:p>
          <w:p w14:paraId="3BD17FBF">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在投标、合同履行过程中必须做好安全保障工作，不因项目实施而危及自身及第三方人员、财产安全。若发生任何安全事故，由中标供应商自行承担一切责任并赔偿损失。</w:t>
            </w:r>
          </w:p>
        </w:tc>
      </w:tr>
      <w:tr w14:paraId="275C2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6FEDF0DB">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75A9C345">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解释权</w:t>
            </w:r>
          </w:p>
        </w:tc>
        <w:tc>
          <w:tcPr>
            <w:tcW w:w="7776" w:type="dxa"/>
            <w:vAlign w:val="center"/>
          </w:tcPr>
          <w:p w14:paraId="2E60CE22">
            <w:pPr>
              <w:spacing w:line="360" w:lineRule="auto"/>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w:t>
            </w:r>
            <w:r>
              <w:rPr>
                <w:rFonts w:hint="eastAsia" w:ascii="宋体" w:hAnsi="宋体"/>
                <w:color w:val="auto"/>
                <w:sz w:val="22"/>
                <w:szCs w:val="22"/>
                <w:highlight w:val="none"/>
                <w:lang w:eastAsia="zh-CN"/>
              </w:rPr>
              <w:t>投标供应商</w:t>
            </w:r>
            <w:r>
              <w:rPr>
                <w:rFonts w:hint="eastAsia" w:ascii="宋体" w:hAnsi="宋体" w:eastAsia="宋体"/>
                <w:color w:val="auto"/>
                <w:sz w:val="22"/>
                <w:szCs w:val="22"/>
                <w:highlight w:val="none"/>
              </w:rPr>
              <w:t>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14:paraId="36267A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14:paraId="768763D8">
            <w:pPr>
              <w:widowControl/>
              <w:numPr>
                <w:ilvl w:val="0"/>
                <w:numId w:val="6"/>
              </w:numPr>
              <w:tabs>
                <w:tab w:val="clear" w:pos="720"/>
              </w:tabs>
              <w:spacing w:line="360" w:lineRule="auto"/>
              <w:ind w:left="420" w:hanging="420"/>
              <w:jc w:val="right"/>
              <w:rPr>
                <w:rFonts w:hint="eastAsia" w:ascii="宋体" w:hAnsi="宋体" w:eastAsia="宋体"/>
                <w:color w:val="auto"/>
                <w:sz w:val="22"/>
                <w:szCs w:val="22"/>
                <w:highlight w:val="none"/>
              </w:rPr>
            </w:pPr>
          </w:p>
        </w:tc>
        <w:tc>
          <w:tcPr>
            <w:tcW w:w="1553" w:type="dxa"/>
            <w:vAlign w:val="center"/>
          </w:tcPr>
          <w:p w14:paraId="26B82A66">
            <w:pPr>
              <w:spacing w:line="360" w:lineRule="auto"/>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特别说明</w:t>
            </w:r>
          </w:p>
        </w:tc>
        <w:tc>
          <w:tcPr>
            <w:tcW w:w="7776" w:type="dxa"/>
            <w:vAlign w:val="center"/>
          </w:tcPr>
          <w:p w14:paraId="5306B3E0">
            <w:pPr>
              <w:snapToGrid w:val="0"/>
              <w:spacing w:line="360" w:lineRule="auto"/>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14:paraId="43691D7C">
      <w:pPr>
        <w:autoSpaceDE w:val="0"/>
        <w:autoSpaceDN w:val="0"/>
        <w:spacing w:line="440" w:lineRule="atLeast"/>
        <w:jc w:val="center"/>
        <w:rPr>
          <w:rFonts w:ascii="宋体" w:hAnsi="宋体"/>
          <w:color w:val="auto"/>
          <w:sz w:val="36"/>
          <w:highlight w:val="none"/>
        </w:rPr>
      </w:pPr>
    </w:p>
    <w:p w14:paraId="36E3FDB5">
      <w:pPr>
        <w:pStyle w:val="32"/>
        <w:rPr>
          <w:color w:val="auto"/>
          <w:highlight w:val="none"/>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5AAD3C11">
      <w:pPr>
        <w:autoSpaceDE w:val="0"/>
        <w:autoSpaceDN w:val="0"/>
        <w:spacing w:line="440" w:lineRule="atLeast"/>
        <w:jc w:val="center"/>
        <w:rPr>
          <w:rFonts w:hint="eastAsia" w:ascii="宋体" w:hAnsi="宋体"/>
          <w:color w:val="auto"/>
          <w:sz w:val="36"/>
          <w:highlight w:val="none"/>
        </w:rPr>
      </w:pPr>
      <w:r>
        <w:rPr>
          <w:rFonts w:hint="eastAsia" w:ascii="宋体" w:hAnsi="宋体"/>
          <w:color w:val="auto"/>
          <w:sz w:val="36"/>
          <w:highlight w:val="none"/>
        </w:rPr>
        <w:t>招标文件目录</w:t>
      </w:r>
    </w:p>
    <w:p w14:paraId="10606999">
      <w:pPr>
        <w:autoSpaceDE w:val="0"/>
        <w:autoSpaceDN w:val="0"/>
        <w:spacing w:line="360" w:lineRule="auto"/>
        <w:ind w:firstLine="323" w:firstLineChars="147"/>
        <w:rPr>
          <w:rFonts w:hint="eastAsia" w:ascii="宋体" w:hAnsi="宋体"/>
          <w:color w:val="auto"/>
          <w:sz w:val="22"/>
          <w:szCs w:val="22"/>
          <w:highlight w:val="none"/>
        </w:rPr>
      </w:pPr>
      <w:r>
        <w:rPr>
          <w:rFonts w:hint="eastAsia" w:ascii="宋体" w:hAnsi="宋体"/>
          <w:color w:val="auto"/>
          <w:sz w:val="22"/>
          <w:szCs w:val="22"/>
          <w:highlight w:val="none"/>
        </w:rPr>
        <w:t>第一部分、项目简介</w:t>
      </w:r>
    </w:p>
    <w:p w14:paraId="1B6DD94A">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第二部分、招标内容及要求</w:t>
      </w:r>
    </w:p>
    <w:p w14:paraId="62F0C197">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第三部分、供应商须知</w:t>
      </w:r>
    </w:p>
    <w:p w14:paraId="734706E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一、说明</w:t>
      </w:r>
    </w:p>
    <w:p w14:paraId="6C8B8B1B">
      <w:pPr>
        <w:autoSpaceDE w:val="0"/>
        <w:autoSpaceDN w:val="0"/>
        <w:snapToGrid w:val="0"/>
        <w:spacing w:line="360" w:lineRule="auto"/>
        <w:ind w:firstLine="1419" w:firstLineChars="645"/>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757F436F">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三、招标文件</w:t>
      </w:r>
    </w:p>
    <w:p w14:paraId="494E98E2">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四、投标文件</w:t>
      </w:r>
    </w:p>
    <w:p w14:paraId="0D45EEF7">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五、投标文件的递交</w:t>
      </w:r>
    </w:p>
    <w:p w14:paraId="6E5BECAB">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六、开标和评标</w:t>
      </w:r>
    </w:p>
    <w:p w14:paraId="6C9264C9">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七、授予合同</w:t>
      </w:r>
    </w:p>
    <w:p w14:paraId="7BF802F6">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第四部分、政府采购政策功能相关说明</w:t>
      </w:r>
    </w:p>
    <w:p w14:paraId="3372DBB6">
      <w:pPr>
        <w:tabs>
          <w:tab w:val="left" w:pos="560"/>
        </w:tabs>
        <w:autoSpaceDE w:val="0"/>
        <w:autoSpaceDN w:val="0"/>
        <w:snapToGrid w:val="0"/>
        <w:spacing w:line="360" w:lineRule="auto"/>
        <w:ind w:firstLine="330" w:firstLineChars="150"/>
        <w:rPr>
          <w:rFonts w:hint="eastAsia" w:ascii="宋体" w:hAnsi="宋体"/>
          <w:color w:val="auto"/>
          <w:sz w:val="22"/>
          <w:szCs w:val="22"/>
          <w:highlight w:val="none"/>
        </w:rPr>
      </w:pPr>
      <w:r>
        <w:rPr>
          <w:rFonts w:hint="eastAsia" w:ascii="宋体" w:hAnsi="宋体"/>
          <w:color w:val="auto"/>
          <w:sz w:val="22"/>
          <w:szCs w:val="22"/>
          <w:highlight w:val="none"/>
        </w:rPr>
        <w:t>第五部分、合同格式</w:t>
      </w:r>
    </w:p>
    <w:p w14:paraId="3518D587">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第六部分、附件：投标文件格式</w:t>
      </w:r>
    </w:p>
    <w:p w14:paraId="25D2E685">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第七部分、评标办法</w:t>
      </w:r>
    </w:p>
    <w:p w14:paraId="0167C754">
      <w:pPr>
        <w:pStyle w:val="38"/>
        <w:spacing w:before="120" w:after="120"/>
        <w:ind w:left="0" w:firstLine="0" w:firstLineChars="0"/>
        <w:rPr>
          <w:color w:val="auto"/>
          <w:highlight w:val="none"/>
        </w:rPr>
      </w:pPr>
    </w:p>
    <w:p w14:paraId="23A44DC1">
      <w:pPr>
        <w:pStyle w:val="38"/>
        <w:spacing w:before="120" w:after="120"/>
        <w:ind w:left="0" w:firstLine="0" w:firstLineChars="0"/>
        <w:rPr>
          <w:color w:val="auto"/>
          <w:highlight w:val="none"/>
        </w:rPr>
      </w:pPr>
    </w:p>
    <w:p w14:paraId="0B54E57C">
      <w:pPr>
        <w:pStyle w:val="38"/>
        <w:spacing w:before="120" w:after="120"/>
        <w:ind w:left="0" w:firstLine="0" w:firstLineChars="0"/>
        <w:rPr>
          <w:color w:val="auto"/>
          <w:highlight w:val="none"/>
        </w:rPr>
      </w:pPr>
    </w:p>
    <w:p w14:paraId="5AF4AC87">
      <w:pPr>
        <w:pStyle w:val="38"/>
        <w:spacing w:before="120" w:after="120"/>
        <w:ind w:left="0" w:firstLine="0" w:firstLineChars="0"/>
        <w:rPr>
          <w:color w:val="auto"/>
          <w:highlight w:val="none"/>
        </w:rPr>
      </w:pPr>
    </w:p>
    <w:p w14:paraId="53CB9910">
      <w:pPr>
        <w:pStyle w:val="38"/>
        <w:spacing w:before="120" w:after="120"/>
        <w:ind w:left="0" w:firstLine="0" w:firstLineChars="0"/>
        <w:rPr>
          <w:color w:val="auto"/>
          <w:highlight w:val="none"/>
        </w:rPr>
      </w:pPr>
    </w:p>
    <w:p w14:paraId="258F3AD3">
      <w:pPr>
        <w:pStyle w:val="38"/>
        <w:spacing w:before="120" w:after="120"/>
        <w:ind w:left="0" w:firstLine="0" w:firstLineChars="0"/>
        <w:rPr>
          <w:color w:val="auto"/>
          <w:highlight w:val="none"/>
        </w:rPr>
      </w:pPr>
    </w:p>
    <w:p w14:paraId="1A698823">
      <w:pPr>
        <w:pStyle w:val="38"/>
        <w:spacing w:before="120" w:after="120"/>
        <w:ind w:left="0" w:firstLine="0" w:firstLineChars="0"/>
        <w:rPr>
          <w:color w:val="auto"/>
          <w:highlight w:val="none"/>
        </w:rPr>
      </w:pPr>
    </w:p>
    <w:p w14:paraId="126610A7">
      <w:pPr>
        <w:pStyle w:val="38"/>
        <w:spacing w:before="120" w:after="120"/>
        <w:ind w:left="0" w:firstLine="0" w:firstLineChars="0"/>
        <w:rPr>
          <w:color w:val="auto"/>
          <w:highlight w:val="none"/>
        </w:rPr>
      </w:pPr>
    </w:p>
    <w:p w14:paraId="34B00EEE">
      <w:pPr>
        <w:pStyle w:val="38"/>
        <w:spacing w:before="120" w:after="120"/>
        <w:ind w:left="0" w:firstLine="0" w:firstLineChars="0"/>
        <w:rPr>
          <w:color w:val="auto"/>
          <w:highlight w:val="none"/>
        </w:rPr>
      </w:pPr>
    </w:p>
    <w:p w14:paraId="59D12746">
      <w:pPr>
        <w:pStyle w:val="38"/>
        <w:spacing w:before="120" w:after="120"/>
        <w:ind w:left="0" w:firstLine="0" w:firstLineChars="0"/>
        <w:rPr>
          <w:color w:val="auto"/>
          <w:highlight w:val="none"/>
        </w:rPr>
      </w:pPr>
    </w:p>
    <w:p w14:paraId="3A15F0A4">
      <w:pPr>
        <w:pStyle w:val="38"/>
        <w:spacing w:before="120" w:after="120"/>
        <w:ind w:left="0" w:firstLine="0" w:firstLineChars="0"/>
        <w:rPr>
          <w:color w:val="auto"/>
          <w:highlight w:val="none"/>
        </w:rPr>
      </w:pPr>
    </w:p>
    <w:p w14:paraId="6C04475F">
      <w:pPr>
        <w:pStyle w:val="38"/>
        <w:spacing w:before="120" w:after="120"/>
        <w:ind w:left="0" w:firstLine="0" w:firstLineChars="0"/>
        <w:rPr>
          <w:color w:val="auto"/>
          <w:highlight w:val="none"/>
        </w:rPr>
      </w:pPr>
    </w:p>
    <w:p w14:paraId="73F3AB42">
      <w:pPr>
        <w:pStyle w:val="38"/>
        <w:spacing w:before="120" w:after="120"/>
        <w:ind w:left="0" w:firstLine="0" w:firstLineChars="0"/>
        <w:rPr>
          <w:color w:val="auto"/>
          <w:highlight w:val="none"/>
        </w:rPr>
        <w:sectPr>
          <w:pgSz w:w="11906" w:h="16838"/>
          <w:pgMar w:top="1440" w:right="1622" w:bottom="1440" w:left="1287" w:header="851" w:footer="992" w:gutter="0"/>
          <w:pgBorders>
            <w:top w:val="none" w:sz="0" w:space="0"/>
            <w:left w:val="none" w:sz="0" w:space="0"/>
            <w:bottom w:val="none" w:sz="0" w:space="0"/>
            <w:right w:val="none" w:sz="0" w:space="0"/>
          </w:pgBorders>
          <w:pgNumType w:fmt="decimal"/>
          <w:cols w:space="720" w:num="1"/>
          <w:docGrid w:linePitch="312" w:charSpace="0"/>
        </w:sectPr>
      </w:pPr>
    </w:p>
    <w:p w14:paraId="5A0E47A1">
      <w:pPr>
        <w:pStyle w:val="50"/>
        <w:spacing w:before="0" w:after="0" w:line="360" w:lineRule="auto"/>
        <w:rPr>
          <w:rFonts w:hint="eastAsia" w:ascii="宋体" w:hAnsi="宋体"/>
          <w:color w:val="auto"/>
          <w:highlight w:val="none"/>
          <w:lang w:val="zh-CN"/>
        </w:rPr>
      </w:pPr>
      <w:r>
        <w:rPr>
          <w:rFonts w:hint="eastAsia" w:ascii="宋体" w:hAnsi="宋体"/>
          <w:color w:val="auto"/>
          <w:highlight w:val="none"/>
          <w:lang w:val="zh-CN"/>
        </w:rPr>
        <w:t>第一部分  项目简介</w:t>
      </w:r>
    </w:p>
    <w:p w14:paraId="3644B38B">
      <w:pPr>
        <w:pStyle w:val="50"/>
        <w:spacing w:before="0" w:after="0" w:line="360" w:lineRule="auto"/>
        <w:jc w:val="both"/>
        <w:rPr>
          <w:rFonts w:hint="eastAsia" w:ascii="宋体" w:hAnsi="宋体"/>
          <w:color w:val="auto"/>
          <w:sz w:val="22"/>
          <w:szCs w:val="22"/>
          <w:highlight w:val="none"/>
        </w:rPr>
      </w:pPr>
      <w:bookmarkStart w:id="4" w:name="_Toc300252050"/>
      <w:bookmarkEnd w:id="4"/>
      <w:r>
        <w:rPr>
          <w:rFonts w:hint="eastAsia" w:ascii="宋体" w:hAnsi="宋体"/>
          <w:color w:val="auto"/>
          <w:sz w:val="22"/>
          <w:szCs w:val="22"/>
          <w:highlight w:val="none"/>
        </w:rPr>
        <w:t>一、项目简介</w:t>
      </w:r>
    </w:p>
    <w:p w14:paraId="191B2474">
      <w:pPr>
        <w:snapToGrid w:val="0"/>
        <w:spacing w:line="360" w:lineRule="auto"/>
        <w:ind w:firstLine="541" w:firstLineChars="246"/>
        <w:rPr>
          <w:rFonts w:hint="eastAsia" w:ascii="宋体" w:hAnsi="宋体"/>
          <w:color w:val="auto"/>
          <w:sz w:val="22"/>
          <w:szCs w:val="24"/>
          <w:highlight w:val="none"/>
          <w:lang w:eastAsia="zh-CN"/>
        </w:rPr>
      </w:pPr>
      <w:bookmarkStart w:id="5" w:name="_Toc300252051"/>
      <w:r>
        <w:rPr>
          <w:rFonts w:hint="eastAsia" w:ascii="宋体" w:hAnsi="宋体"/>
          <w:color w:val="auto"/>
          <w:sz w:val="22"/>
          <w:szCs w:val="24"/>
          <w:highlight w:val="none"/>
          <w:lang w:eastAsia="zh-CN"/>
        </w:rPr>
        <w:t>浙江品信工程项目管理有限公司</w:t>
      </w:r>
      <w:r>
        <w:rPr>
          <w:rFonts w:hint="eastAsia" w:ascii="宋体" w:hAnsi="宋体"/>
          <w:color w:val="auto"/>
          <w:sz w:val="22"/>
          <w:szCs w:val="24"/>
          <w:highlight w:val="none"/>
        </w:rPr>
        <w:t>受</w:t>
      </w:r>
      <w:r>
        <w:rPr>
          <w:rFonts w:hint="eastAsia" w:ascii="宋体" w:hAnsi="宋体"/>
          <w:color w:val="auto"/>
          <w:sz w:val="22"/>
          <w:szCs w:val="24"/>
          <w:highlight w:val="none"/>
          <w:lang w:eastAsia="zh-CN"/>
        </w:rPr>
        <w:t>平阳县兴阳控股集团有限公司</w:t>
      </w:r>
      <w:r>
        <w:rPr>
          <w:rFonts w:hint="eastAsia" w:ascii="宋体" w:hAnsi="宋体"/>
          <w:bCs/>
          <w:color w:val="auto"/>
          <w:sz w:val="22"/>
          <w:szCs w:val="24"/>
          <w:highlight w:val="none"/>
        </w:rPr>
        <w:t>委托，</w:t>
      </w:r>
      <w:r>
        <w:rPr>
          <w:rFonts w:hint="eastAsia" w:ascii="宋体" w:hAnsi="宋体"/>
          <w:color w:val="auto"/>
          <w:sz w:val="22"/>
          <w:szCs w:val="24"/>
          <w:highlight w:val="none"/>
        </w:rPr>
        <w:t>以公开招标方式采购</w:t>
      </w:r>
      <w:r>
        <w:rPr>
          <w:rFonts w:hint="eastAsia" w:ascii="宋体" w:hAnsi="宋体"/>
          <w:color w:val="auto"/>
          <w:kern w:val="0"/>
          <w:sz w:val="22"/>
          <w:szCs w:val="24"/>
          <w:highlight w:val="none"/>
          <w:lang w:eastAsia="zh-CN"/>
        </w:rPr>
        <w:t>平阳县社会心理服务综合体装修、办公家具软装及设备采购(重)</w:t>
      </w:r>
      <w:r>
        <w:rPr>
          <w:rFonts w:hint="eastAsia" w:ascii="宋体" w:hAnsi="宋体"/>
          <w:color w:val="auto"/>
          <w:sz w:val="22"/>
          <w:szCs w:val="24"/>
          <w:highlight w:val="none"/>
        </w:rPr>
        <w:t>，本次招标资金已经落实。</w:t>
      </w:r>
    </w:p>
    <w:p w14:paraId="34E0B7DA">
      <w:pPr>
        <w:snapToGrid w:val="0"/>
        <w:spacing w:line="360" w:lineRule="auto"/>
        <w:ind w:firstLine="541" w:firstLineChars="246"/>
        <w:rPr>
          <w:rFonts w:hint="eastAsia" w:ascii="宋体" w:hAnsi="宋体"/>
          <w:color w:val="auto"/>
          <w:sz w:val="22"/>
          <w:szCs w:val="24"/>
          <w:highlight w:val="none"/>
        </w:rPr>
      </w:pPr>
      <w:r>
        <w:rPr>
          <w:rFonts w:hint="eastAsia" w:ascii="宋体" w:hAnsi="宋体"/>
          <w:color w:val="auto"/>
          <w:sz w:val="22"/>
          <w:szCs w:val="24"/>
          <w:highlight w:val="none"/>
        </w:rPr>
        <w:t>我们热忱欢迎有关公司（企业）前来进行投标。</w:t>
      </w:r>
      <w:r>
        <w:rPr>
          <w:rFonts w:hint="eastAsia" w:ascii="宋体" w:hAnsi="宋体"/>
          <w:color w:val="auto"/>
          <w:szCs w:val="22"/>
          <w:highlight w:val="none"/>
        </w:rPr>
        <w:t xml:space="preserve">  </w:t>
      </w:r>
    </w:p>
    <w:p w14:paraId="448A8293">
      <w:pPr>
        <w:snapToGrid w:val="0"/>
        <w:spacing w:line="360" w:lineRule="auto"/>
        <w:ind w:firstLine="516" w:firstLineChars="246"/>
        <w:rPr>
          <w:rFonts w:hint="eastAsia" w:ascii="宋体" w:hAnsi="宋体"/>
          <w:color w:val="auto"/>
          <w:szCs w:val="22"/>
          <w:highlight w:val="none"/>
        </w:rPr>
      </w:pPr>
    </w:p>
    <w:bookmarkEnd w:id="5"/>
    <w:p w14:paraId="12C2E56E">
      <w:pPr>
        <w:pStyle w:val="50"/>
        <w:numPr>
          <w:ilvl w:val="0"/>
          <w:numId w:val="7"/>
        </w:numPr>
        <w:spacing w:before="0" w:after="0" w:line="420" w:lineRule="exact"/>
        <w:rPr>
          <w:rFonts w:hint="eastAsia" w:ascii="宋体" w:hAnsi="宋体"/>
          <w:color w:val="auto"/>
          <w:highlight w:val="none"/>
          <w:lang w:val="zh-CN"/>
        </w:rPr>
      </w:pPr>
      <w:bookmarkStart w:id="6" w:name="_Toc327258815"/>
      <w:r>
        <w:rPr>
          <w:rFonts w:hint="eastAsia" w:ascii="宋体" w:hAnsi="宋体"/>
          <w:color w:val="auto"/>
          <w:highlight w:val="none"/>
          <w:lang w:val="zh-CN"/>
        </w:rPr>
        <w:t>采购内容及要求</w:t>
      </w:r>
    </w:p>
    <w:p w14:paraId="2365913F">
      <w:pPr>
        <w:autoSpaceDE w:val="0"/>
        <w:autoSpaceDN w:val="0"/>
        <w:snapToGrid w:val="0"/>
        <w:jc w:val="center"/>
        <w:rPr>
          <w:rFonts w:ascii="宋体" w:hAnsi="宋体"/>
          <w:b/>
          <w:color w:val="auto"/>
          <w:szCs w:val="22"/>
          <w:highlight w:val="none"/>
        </w:rPr>
      </w:pPr>
    </w:p>
    <w:bookmarkEnd w:id="6"/>
    <w:p w14:paraId="5EE02357">
      <w:pPr>
        <w:autoSpaceDE w:val="0"/>
        <w:autoSpaceDN w:val="0"/>
        <w:snapToGrid w:val="0"/>
        <w:spacing w:line="460" w:lineRule="exact"/>
        <w:outlineLvl w:val="0"/>
        <w:rPr>
          <w:rFonts w:hint="eastAsia" w:ascii="宋体" w:hAnsi="宋体"/>
          <w:b/>
          <w:color w:val="auto"/>
          <w:sz w:val="22"/>
          <w:szCs w:val="22"/>
          <w:highlight w:val="none"/>
        </w:rPr>
      </w:pPr>
      <w:r>
        <w:rPr>
          <w:rFonts w:hint="eastAsia" w:ascii="宋体" w:hAnsi="宋体"/>
          <w:b/>
          <w:color w:val="auto"/>
          <w:sz w:val="22"/>
          <w:szCs w:val="22"/>
          <w:highlight w:val="none"/>
        </w:rPr>
        <w:t>一、总则</w:t>
      </w:r>
    </w:p>
    <w:p w14:paraId="6CA2E672">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1.1本技术规范要求提出的是最低限度的基本技术要求，并未对所有技术细节作出规定，供应商应提供符合本技术要求和国家标准、行业标准的优质产品。</w:t>
      </w:r>
    </w:p>
    <w:p w14:paraId="1E60A08E">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14:paraId="672B821C">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2、技术要求及标准的执行</w:t>
      </w:r>
    </w:p>
    <w:p w14:paraId="1676AEAF">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2.1供应商提供的产品应标明所执行的质量标准，若同一标准已颁发新标准，则按最新标准执行。若同一产品同时有几个标准（国际标准、国家标准、行业标准、企业标准等），则按最高层次的标准执行。</w:t>
      </w:r>
    </w:p>
    <w:p w14:paraId="7CB69CB7">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2.2供应商须按国家有关规定及标准完成本次采购产品的供货、运输、装卸、就位、安装、检验、通过有关部门验收、维保期服务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037F9149">
      <w:pPr>
        <w:autoSpaceDE w:val="0"/>
        <w:autoSpaceDN w:val="0"/>
        <w:snapToGrid w:val="0"/>
        <w:spacing w:line="460" w:lineRule="exac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2.3.在报价之前，投标供应商须仔细阅读招标文件，如发现有任何疑问、冲突或技术问题，投标供应商须在答疑截止时间前以书面形式向采购代理机构提出。逾期招标人不再作答复，有关风险及责任由投标供应商自行承担。</w:t>
      </w:r>
    </w:p>
    <w:p w14:paraId="729A061F">
      <w:pPr>
        <w:autoSpaceDE w:val="0"/>
        <w:autoSpaceDN w:val="0"/>
        <w:snapToGrid w:val="0"/>
        <w:spacing w:line="460" w:lineRule="exact"/>
        <w:ind w:firstLine="440" w:firstLineChars="200"/>
        <w:textAlignment w:val="bottom"/>
        <w:rPr>
          <w:rFonts w:hint="eastAsia" w:ascii="宋体" w:hAnsi="宋体" w:cs="宋体"/>
          <w:b/>
          <w:bCs/>
          <w:color w:val="auto"/>
          <w:sz w:val="22"/>
          <w:szCs w:val="22"/>
          <w:highlight w:val="none"/>
        </w:rPr>
      </w:pPr>
      <w:r>
        <w:rPr>
          <w:rFonts w:hint="eastAsia" w:ascii="宋体" w:hAnsi="宋体" w:cs="宋体"/>
          <w:color w:val="auto"/>
          <w:sz w:val="22"/>
          <w:szCs w:val="22"/>
          <w:highlight w:val="none"/>
        </w:rPr>
        <w:t>2.4.本项目优先采购本国货物和服务，必须进行的技术引进和转让需符合国家政策和有利于国内行业的发展。项目中涉及到的设备、材料属于政府采购节能产品、环境标志产品的，要求符合相关规定。</w:t>
      </w:r>
    </w:p>
    <w:p w14:paraId="654672F6">
      <w:pPr>
        <w:autoSpaceDE w:val="0"/>
        <w:autoSpaceDN w:val="0"/>
        <w:snapToGrid w:val="0"/>
        <w:spacing w:line="460" w:lineRule="exact"/>
        <w:rPr>
          <w:rFonts w:hint="eastAsia" w:ascii="宋体" w:hAnsi="宋体" w:eastAsia="宋体" w:cs="宋体"/>
          <w:b/>
          <w:bCs/>
          <w:color w:val="auto"/>
          <w:sz w:val="22"/>
          <w:szCs w:val="22"/>
          <w:highlight w:val="none"/>
        </w:rPr>
      </w:pPr>
      <w:r>
        <w:rPr>
          <w:rFonts w:hint="eastAsia" w:ascii="宋体" w:hAnsi="宋体" w:eastAsia="宋体"/>
          <w:b/>
          <w:bCs/>
          <w:color w:val="auto"/>
          <w:sz w:val="22"/>
          <w:szCs w:val="22"/>
          <w:highlight w:val="none"/>
          <w:lang w:val="en-US" w:eastAsia="zh-CN"/>
        </w:rPr>
        <w:t>二、</w:t>
      </w:r>
      <w:r>
        <w:rPr>
          <w:rFonts w:hint="eastAsia" w:ascii="宋体" w:hAnsi="宋体" w:eastAsia="宋体" w:cs="宋体"/>
          <w:b/>
          <w:bCs/>
          <w:color w:val="auto"/>
          <w:sz w:val="22"/>
          <w:szCs w:val="22"/>
          <w:highlight w:val="none"/>
          <w:lang w:val="en-US" w:eastAsia="zh-CN"/>
        </w:rPr>
        <w:t>采购清单及技术参数</w:t>
      </w:r>
      <w:r>
        <w:rPr>
          <w:rFonts w:hint="eastAsia" w:ascii="宋体" w:hAnsi="宋体" w:eastAsia="宋体" w:cs="宋体"/>
          <w:b/>
          <w:bCs/>
          <w:color w:val="auto"/>
          <w:sz w:val="22"/>
          <w:szCs w:val="22"/>
          <w:highlight w:val="none"/>
        </w:rPr>
        <w:t>（以下所有参数是为了对拟报价的货物的技术指标和功能要求更好的说明，欢迎其他能满足本项目技术需求且性能更优的产品参加。产品性能是否更优由采购小组按少数服从多数原则认定。）</w:t>
      </w:r>
    </w:p>
    <w:p w14:paraId="5B8CE2E1">
      <w:pPr>
        <w:spacing w:line="440" w:lineRule="exact"/>
        <w:rPr>
          <w:rFonts w:hint="eastAsia" w:ascii="宋体" w:hAnsi="宋体" w:eastAsia="宋体" w:cs="宋体"/>
          <w:b/>
          <w:bCs/>
          <w:color w:val="auto"/>
          <w:sz w:val="22"/>
          <w:szCs w:val="22"/>
          <w:highlight w:val="none"/>
          <w:u w:val="none"/>
          <w:lang w:val="en-US" w:eastAsia="zh-CN"/>
        </w:rPr>
      </w:pPr>
      <w:r>
        <w:rPr>
          <w:rFonts w:hint="eastAsia" w:ascii="宋体" w:hAnsi="宋体" w:eastAsia="宋体" w:cs="宋体"/>
          <w:b/>
          <w:bCs/>
          <w:color w:val="auto"/>
          <w:sz w:val="22"/>
          <w:szCs w:val="22"/>
          <w:highlight w:val="none"/>
          <w:u w:val="none"/>
          <w:lang w:val="en-US" w:eastAsia="zh-CN"/>
        </w:rPr>
        <w:t>注：供应商的报价须在包括但不限于包装费、运输费、装卸费、保险费、安装调试费、施工费、技术服务费、培训费以及保修费、税费、验收费、代理服务费等全部费用上进行报价，由供应商自行考虑风险。</w:t>
      </w:r>
    </w:p>
    <w:p w14:paraId="00A700BA">
      <w:pPr>
        <w:numPr>
          <w:ilvl w:val="0"/>
          <w:numId w:val="8"/>
        </w:numPr>
        <w:snapToGrid w:val="0"/>
        <w:spacing w:line="460" w:lineRule="atLeast"/>
        <w:ind w:firstLine="442" w:firstLineChars="200"/>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本项目</w:t>
      </w:r>
      <w:r>
        <w:rPr>
          <w:rFonts w:hint="eastAsia" w:ascii="宋体" w:hAnsi="宋体" w:cs="宋体"/>
          <w:b/>
          <w:bCs/>
          <w:color w:val="auto"/>
          <w:sz w:val="22"/>
          <w:szCs w:val="22"/>
          <w:highlight w:val="none"/>
          <w:lang w:val="en-US" w:eastAsia="zh-CN"/>
        </w:rPr>
        <w:t>建设规模：面积约1100</w:t>
      </w:r>
      <w:r>
        <w:rPr>
          <w:rFonts w:hint="eastAsia" w:ascii="宋体" w:hAnsi="宋体" w:eastAsia="宋体" w:cs="宋体"/>
          <w:b/>
          <w:bCs/>
          <w:color w:val="auto"/>
          <w:sz w:val="22"/>
          <w:szCs w:val="22"/>
          <w:highlight w:val="none"/>
          <w:lang w:val="en-US" w:eastAsia="zh-CN"/>
        </w:rPr>
        <w:t>平方，包括装修改造、安装和家具软装、心理设备、办公设备、空调设备等，具体详见招标控制价、图纸及现场勘查。</w:t>
      </w:r>
    </w:p>
    <w:p w14:paraId="4DEAE9B7">
      <w:pPr>
        <w:shd w:val="clear"/>
        <w:snapToGrid w:val="0"/>
        <w:spacing w:line="460" w:lineRule="atLeast"/>
        <w:ind w:firstLine="442" w:firstLineChars="200"/>
        <w:rPr>
          <w:rFonts w:hint="eastAsia" w:ascii="宋体" w:hAnsi="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2、</w:t>
      </w:r>
      <w:r>
        <w:rPr>
          <w:rFonts w:hint="eastAsia" w:ascii="宋体" w:hAnsi="宋体" w:cs="宋体"/>
          <w:b/>
          <w:bCs/>
          <w:color w:val="auto"/>
          <w:sz w:val="22"/>
          <w:szCs w:val="22"/>
          <w:highlight w:val="none"/>
          <w:lang w:val="en-US" w:eastAsia="zh-CN"/>
        </w:rPr>
        <w:t>设备参数（数量及单价详见招标控制价）</w:t>
      </w:r>
    </w:p>
    <w:p w14:paraId="11022A4B">
      <w:pPr>
        <w:pStyle w:val="6"/>
        <w:ind w:firstLine="442" w:firstLineChars="200"/>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lang w:val="en-US" w:eastAsia="zh-CN"/>
        </w:rPr>
        <w:t>2.1心理设备</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1096"/>
        <w:gridCol w:w="8920"/>
      </w:tblGrid>
      <w:tr w14:paraId="158A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7A05D1D">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序号</w:t>
            </w:r>
          </w:p>
        </w:tc>
        <w:tc>
          <w:tcPr>
            <w:tcW w:w="1096" w:type="dxa"/>
            <w:vAlign w:val="center"/>
          </w:tcPr>
          <w:p w14:paraId="4C9212CE">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设备名称</w:t>
            </w:r>
          </w:p>
        </w:tc>
        <w:tc>
          <w:tcPr>
            <w:tcW w:w="8920" w:type="dxa"/>
            <w:vAlign w:val="center"/>
          </w:tcPr>
          <w:p w14:paraId="34463ED6">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参数</w:t>
            </w:r>
          </w:p>
        </w:tc>
      </w:tr>
      <w:tr w14:paraId="0170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4A2B71D2">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一、走廊接待区</w:t>
            </w:r>
          </w:p>
        </w:tc>
      </w:tr>
      <w:tr w14:paraId="310A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4535C75">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w:t>
            </w:r>
          </w:p>
        </w:tc>
        <w:tc>
          <w:tcPr>
            <w:tcW w:w="1096" w:type="dxa"/>
            <w:vAlign w:val="center"/>
          </w:tcPr>
          <w:p w14:paraId="29B986A9">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心理自助</w:t>
            </w:r>
            <w:r>
              <w:rPr>
                <w:rFonts w:hint="eastAsia" w:ascii="宋体" w:hAnsi="宋体" w:eastAsia="宋体" w:cs="宋体"/>
                <w:color w:val="auto"/>
                <w:sz w:val="22"/>
                <w:szCs w:val="22"/>
                <w:highlight w:val="none"/>
                <w:vertAlign w:val="baseline"/>
                <w:lang w:val="en-US" w:eastAsia="zh-CN"/>
              </w:rPr>
              <w:t>仪</w:t>
            </w:r>
            <w:r>
              <w:rPr>
                <w:rFonts w:hint="eastAsia" w:ascii="宋体" w:hAnsi="宋体" w:eastAsia="宋体" w:cs="宋体"/>
                <w:color w:val="auto"/>
                <w:sz w:val="22"/>
                <w:szCs w:val="22"/>
                <w:highlight w:val="none"/>
                <w:vertAlign w:val="baseline"/>
              </w:rPr>
              <w:t>（</w:t>
            </w:r>
            <w:r>
              <w:rPr>
                <w:rFonts w:hint="eastAsia" w:ascii="宋体" w:hAnsi="宋体" w:eastAsia="宋体" w:cs="宋体"/>
                <w:color w:val="auto"/>
                <w:sz w:val="22"/>
                <w:szCs w:val="22"/>
                <w:highlight w:val="none"/>
                <w:vertAlign w:val="baseline"/>
                <w:lang w:val="en-US" w:eastAsia="zh-CN"/>
              </w:rPr>
              <w:t>含云平台系统</w:t>
            </w:r>
            <w:r>
              <w:rPr>
                <w:rFonts w:hint="eastAsia" w:ascii="宋体" w:hAnsi="宋体" w:eastAsia="宋体" w:cs="宋体"/>
                <w:color w:val="auto"/>
                <w:sz w:val="22"/>
                <w:szCs w:val="22"/>
                <w:highlight w:val="none"/>
                <w:vertAlign w:val="baseline"/>
              </w:rPr>
              <w:t>）</w:t>
            </w:r>
          </w:p>
        </w:tc>
        <w:tc>
          <w:tcPr>
            <w:tcW w:w="8920" w:type="dxa"/>
          </w:tcPr>
          <w:p w14:paraId="023292A6">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rPr>
              <w:t>1.</w:t>
            </w:r>
            <w:r>
              <w:rPr>
                <w:rFonts w:hint="eastAsia" w:ascii="宋体" w:hAnsi="宋体" w:eastAsia="宋体" w:cs="宋体"/>
                <w:i w:val="0"/>
                <w:iCs w:val="0"/>
                <w:color w:val="auto"/>
                <w:sz w:val="22"/>
                <w:szCs w:val="22"/>
                <w:highlight w:val="none"/>
                <w:lang w:val="en-US" w:eastAsia="zh-CN"/>
              </w:rPr>
              <w:t>不小于43</w:t>
            </w:r>
            <w:r>
              <w:rPr>
                <w:rFonts w:hint="eastAsia" w:ascii="宋体" w:hAnsi="宋体" w:eastAsia="宋体" w:cs="宋体"/>
                <w:i w:val="0"/>
                <w:iCs w:val="0"/>
                <w:color w:val="auto"/>
                <w:sz w:val="22"/>
                <w:szCs w:val="22"/>
                <w:highlight w:val="none"/>
              </w:rPr>
              <w:t>寸</w:t>
            </w:r>
            <w:r>
              <w:rPr>
                <w:rFonts w:hint="eastAsia" w:ascii="宋体" w:hAnsi="宋体" w:eastAsia="宋体" w:cs="宋体"/>
                <w:i w:val="0"/>
                <w:iCs w:val="0"/>
                <w:color w:val="auto"/>
                <w:sz w:val="22"/>
                <w:szCs w:val="22"/>
                <w:highlight w:val="none"/>
                <w:lang w:val="en-US" w:eastAsia="zh-CN"/>
              </w:rPr>
              <w:t>立式一体触控</w:t>
            </w:r>
            <w:r>
              <w:rPr>
                <w:rFonts w:hint="eastAsia" w:ascii="宋体" w:hAnsi="宋体" w:eastAsia="宋体" w:cs="宋体"/>
                <w:i w:val="0"/>
                <w:iCs w:val="0"/>
                <w:color w:val="auto"/>
                <w:sz w:val="22"/>
                <w:szCs w:val="22"/>
                <w:highlight w:val="none"/>
              </w:rPr>
              <w:t>显示器</w:t>
            </w:r>
            <w:r>
              <w:rPr>
                <w:rFonts w:hint="eastAsia" w:ascii="宋体" w:hAnsi="宋体" w:eastAsia="宋体" w:cs="宋体"/>
                <w:i w:val="0"/>
                <w:iCs w:val="0"/>
                <w:color w:val="auto"/>
                <w:sz w:val="22"/>
                <w:szCs w:val="22"/>
                <w:highlight w:val="none"/>
                <w:lang w:eastAsia="zh-CN"/>
              </w:rPr>
              <w:t>，</w:t>
            </w:r>
            <w:r>
              <w:rPr>
                <w:rFonts w:hint="eastAsia" w:ascii="宋体" w:hAnsi="宋体" w:eastAsia="宋体" w:cs="宋体"/>
                <w:i w:val="0"/>
                <w:iCs w:val="0"/>
                <w:color w:val="auto"/>
                <w:sz w:val="22"/>
                <w:szCs w:val="22"/>
                <w:highlight w:val="none"/>
                <w:lang w:val="en-US" w:eastAsia="zh-CN"/>
              </w:rPr>
              <w:t>高度不超过190cm</w:t>
            </w:r>
          </w:p>
          <w:p w14:paraId="72460E1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rPr>
              <w:t>2.</w:t>
            </w:r>
            <w:r>
              <w:rPr>
                <w:rFonts w:hint="eastAsia" w:ascii="宋体" w:hAnsi="宋体" w:eastAsia="宋体" w:cs="宋体"/>
                <w:i w:val="0"/>
                <w:iCs w:val="0"/>
                <w:color w:val="auto"/>
                <w:sz w:val="22"/>
                <w:szCs w:val="22"/>
                <w:highlight w:val="none"/>
                <w:lang w:val="en-US" w:eastAsia="zh-CN"/>
              </w:rPr>
              <w:t>不少于10点电容触控，方便来访者操作。</w:t>
            </w:r>
          </w:p>
          <w:p w14:paraId="6CDE8444">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3.机柜外观：全钢材料、高档烤漆、防锈、防水、防腐蚀、耐磨、防磁、 防静电。</w:t>
            </w:r>
          </w:p>
          <w:p w14:paraId="533B7685">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4.主控模块：控制面板、01开关、ATX开关、RJ45标准网络接口等。</w:t>
            </w:r>
          </w:p>
          <w:p w14:paraId="5C0B1B6C">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5.扬声器：多媒体立体声、双声道、防磁音响。</w:t>
            </w:r>
          </w:p>
          <w:p w14:paraId="59756142">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6.电源模块：双路供电，双路在线电源，主机模块与功能模块独立供电。</w:t>
            </w:r>
          </w:p>
          <w:p w14:paraId="4963A52F">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lang w:val="en-US" w:eastAsia="zh-CN"/>
              </w:rPr>
              <w:t>7</w:t>
            </w:r>
            <w:r>
              <w:rPr>
                <w:rFonts w:hint="eastAsia" w:ascii="宋体" w:hAnsi="宋体" w:eastAsia="宋体" w:cs="宋体"/>
                <w:i w:val="0"/>
                <w:iCs w:val="0"/>
                <w:color w:val="auto"/>
                <w:sz w:val="22"/>
                <w:szCs w:val="22"/>
                <w:highlight w:val="none"/>
              </w:rPr>
              <w:t>.</w:t>
            </w:r>
            <w:r>
              <w:rPr>
                <w:rFonts w:hint="eastAsia" w:ascii="宋体" w:hAnsi="宋体" w:eastAsia="宋体" w:cs="宋体"/>
                <w:i w:val="0"/>
                <w:iCs w:val="0"/>
                <w:color w:val="auto"/>
                <w:sz w:val="22"/>
                <w:szCs w:val="22"/>
                <w:highlight w:val="none"/>
                <w:lang w:val="en-US" w:eastAsia="zh-CN"/>
              </w:rPr>
              <w:t>支持</w:t>
            </w:r>
            <w:r>
              <w:rPr>
                <w:rFonts w:hint="eastAsia" w:ascii="宋体" w:hAnsi="宋体" w:eastAsia="宋体" w:cs="宋体"/>
                <w:i w:val="0"/>
                <w:iCs w:val="0"/>
                <w:color w:val="auto"/>
                <w:sz w:val="22"/>
                <w:szCs w:val="22"/>
                <w:highlight w:val="none"/>
              </w:rPr>
              <w:t>每日定时关机，</w:t>
            </w:r>
            <w:r>
              <w:rPr>
                <w:rFonts w:hint="eastAsia" w:ascii="宋体" w:hAnsi="宋体" w:eastAsia="宋体" w:cs="宋体"/>
                <w:i w:val="0"/>
                <w:iCs w:val="0"/>
                <w:color w:val="auto"/>
                <w:sz w:val="22"/>
                <w:szCs w:val="22"/>
                <w:highlight w:val="none"/>
                <w:lang w:val="en-US" w:eastAsia="zh-CN"/>
              </w:rPr>
              <w:t>启动</w:t>
            </w:r>
            <w:r>
              <w:rPr>
                <w:rFonts w:hint="eastAsia" w:ascii="宋体" w:hAnsi="宋体" w:eastAsia="宋体" w:cs="宋体"/>
                <w:i w:val="0"/>
                <w:iCs w:val="0"/>
                <w:color w:val="auto"/>
                <w:sz w:val="22"/>
                <w:szCs w:val="22"/>
                <w:highlight w:val="none"/>
              </w:rPr>
              <w:t>时一键开机并自动运行自助服务系统。</w:t>
            </w:r>
          </w:p>
          <w:p w14:paraId="52C15E4C">
            <w:pPr>
              <w:spacing w:line="240" w:lineRule="auto"/>
              <w:rPr>
                <w:rFonts w:hint="eastAsia" w:ascii="宋体" w:hAnsi="宋体" w:eastAsia="宋体" w:cs="宋体"/>
                <w:i w:val="0"/>
                <w:iCs w:val="0"/>
                <w:color w:val="auto"/>
                <w:sz w:val="22"/>
                <w:szCs w:val="22"/>
                <w:highlight w:val="none"/>
                <w:lang w:eastAsia="zh-CN"/>
              </w:rPr>
            </w:pPr>
            <w:r>
              <w:rPr>
                <w:rFonts w:hint="eastAsia" w:ascii="宋体" w:hAnsi="宋体" w:eastAsia="宋体" w:cs="宋体"/>
                <w:i w:val="0"/>
                <w:iCs w:val="0"/>
                <w:color w:val="auto"/>
                <w:sz w:val="22"/>
                <w:szCs w:val="22"/>
                <w:highlight w:val="none"/>
                <w:lang w:val="en-US" w:eastAsia="zh-CN"/>
              </w:rPr>
              <w:t>8.</w:t>
            </w:r>
            <w:r>
              <w:rPr>
                <w:rFonts w:hint="eastAsia" w:ascii="宋体" w:hAnsi="宋体" w:eastAsia="宋体" w:cs="宋体"/>
                <w:i w:val="0"/>
                <w:iCs w:val="0"/>
                <w:color w:val="auto"/>
                <w:sz w:val="22"/>
                <w:szCs w:val="22"/>
                <w:highlight w:val="none"/>
              </w:rPr>
              <w:t>系统可自定义添加自己的心得，感悟，短文，图片，心理电影，心理游戏等内容</w:t>
            </w:r>
            <w:r>
              <w:rPr>
                <w:rFonts w:hint="eastAsia" w:ascii="宋体" w:hAnsi="宋体" w:eastAsia="宋体" w:cs="宋体"/>
                <w:i w:val="0"/>
                <w:iCs w:val="0"/>
                <w:color w:val="auto"/>
                <w:sz w:val="22"/>
                <w:szCs w:val="22"/>
                <w:highlight w:val="none"/>
                <w:lang w:eastAsia="zh-CN"/>
              </w:rPr>
              <w:t>。</w:t>
            </w:r>
          </w:p>
          <w:p w14:paraId="72E7EA6A">
            <w:pPr>
              <w:pStyle w:val="6"/>
              <w:spacing w:line="240" w:lineRule="auto"/>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系统主要功能：</w:t>
            </w:r>
          </w:p>
          <w:p w14:paraId="21A4FF34">
            <w:pPr>
              <w:pStyle w:val="6"/>
              <w:spacing w:line="240" w:lineRule="auto"/>
              <w:rPr>
                <w:rFonts w:hint="eastAsia" w:ascii="宋体" w:hAnsi="宋体" w:eastAsia="宋体" w:cs="宋体"/>
                <w:i w:val="0"/>
                <w:iCs w:val="0"/>
                <w:color w:val="auto"/>
                <w:kern w:val="2"/>
                <w:sz w:val="22"/>
                <w:szCs w:val="22"/>
                <w:highlight w:val="none"/>
                <w:lang w:val="en-US" w:eastAsia="zh-CN" w:bidi="zh-CN"/>
              </w:rPr>
            </w:pPr>
            <w:r>
              <w:rPr>
                <w:rFonts w:hint="eastAsia" w:ascii="宋体" w:hAnsi="宋体" w:eastAsia="宋体" w:cs="宋体"/>
                <w:i w:val="0"/>
                <w:iCs w:val="0"/>
                <w:color w:val="auto"/>
                <w:sz w:val="22"/>
                <w:szCs w:val="22"/>
                <w:highlight w:val="none"/>
                <w:lang w:val="en-US" w:eastAsia="zh-CN"/>
              </w:rPr>
              <w:t xml:space="preserve"> 系统自带功能不少于会员中心，心理游戏，心理测试，心理教师，心理百科，心理课堂，心理教案，心理悦读，心理预约，心理影院，心理音乐，注意力训练12大功能模块。</w:t>
            </w:r>
          </w:p>
          <w:p w14:paraId="2043300F">
            <w:pPr>
              <w:tabs>
                <w:tab w:val="right" w:pos="4562"/>
              </w:tabs>
              <w:spacing w:line="240" w:lineRule="auto"/>
              <w:rPr>
                <w:rFonts w:hint="eastAsia" w:ascii="宋体" w:hAnsi="宋体" w:eastAsia="宋体" w:cs="宋体"/>
                <w:i w:val="0"/>
                <w:iCs w:val="0"/>
                <w:color w:val="auto"/>
                <w:kern w:val="2"/>
                <w:sz w:val="22"/>
                <w:szCs w:val="22"/>
                <w:highlight w:val="none"/>
                <w:lang w:val="en-US" w:eastAsia="zh-CN" w:bidi="zh-CN"/>
              </w:rPr>
            </w:pPr>
            <w:r>
              <w:rPr>
                <w:rFonts w:hint="eastAsia" w:ascii="宋体" w:hAnsi="宋体" w:eastAsia="宋体" w:cs="宋体"/>
                <w:i w:val="0"/>
                <w:iCs w:val="0"/>
                <w:color w:val="auto"/>
                <w:sz w:val="22"/>
                <w:szCs w:val="22"/>
                <w:highlight w:val="none"/>
                <w:lang w:val="en-US" w:eastAsia="zh-CN"/>
              </w:rPr>
              <w:t>★提供相应的</w:t>
            </w:r>
            <w:r>
              <w:rPr>
                <w:rFonts w:hint="eastAsia" w:ascii="宋体" w:hAnsi="宋体" w:eastAsia="宋体" w:cs="宋体"/>
                <w:i w:val="0"/>
                <w:iCs w:val="0"/>
                <w:color w:val="auto"/>
                <w:kern w:val="2"/>
                <w:sz w:val="22"/>
                <w:szCs w:val="22"/>
                <w:highlight w:val="none"/>
                <w:lang w:val="en-US" w:eastAsia="zh-CN" w:bidi="zh-CN"/>
              </w:rPr>
              <w:t>软件著作权登记证书。</w:t>
            </w:r>
          </w:p>
          <w:p w14:paraId="2E865CFE">
            <w:pPr>
              <w:tabs>
                <w:tab w:val="right" w:pos="4562"/>
              </w:tabs>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p>
        </w:tc>
      </w:tr>
      <w:tr w14:paraId="596B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21C1DB06">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二、心理测评室</w:t>
            </w:r>
          </w:p>
        </w:tc>
      </w:tr>
      <w:tr w14:paraId="3600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75F5D17">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w:t>
            </w:r>
          </w:p>
        </w:tc>
        <w:tc>
          <w:tcPr>
            <w:tcW w:w="1096" w:type="dxa"/>
            <w:vAlign w:val="center"/>
          </w:tcPr>
          <w:p w14:paraId="39B9C51C">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心理测评档案及管理系统（网络版）</w:t>
            </w:r>
          </w:p>
        </w:tc>
        <w:tc>
          <w:tcPr>
            <w:tcW w:w="8920" w:type="dxa"/>
            <w:shd w:val="clear" w:color="auto" w:fill="auto"/>
            <w:vAlign w:val="top"/>
          </w:tcPr>
          <w:p w14:paraId="29627AB7">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一：需采用先进的BS网络架构平台，只需部署一套主机服务器终端。测评端无需安装任何程序即可完成测评及管理工作。</w:t>
            </w:r>
          </w:p>
          <w:p w14:paraId="5AFCF62C">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二：系统支持多种终端访问需求，可由电脑答题、手机答题、pad答题、触控一体机答题等多终端。</w:t>
            </w:r>
          </w:p>
          <w:p w14:paraId="2167CC1E">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三：维护系统安全通过不同访问链接地址实现：电脑端答题、手机端答题、朋辈督导、管理员管理后台分析等不同入口，并配置图形校验码动态校验防止撞库。</w:t>
            </w:r>
          </w:p>
          <w:p w14:paraId="619FFB0F">
            <w:pPr>
              <w:spacing w:line="24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四：</w:t>
            </w:r>
            <w:r>
              <w:rPr>
                <w:rFonts w:hint="eastAsia" w:ascii="宋体" w:hAnsi="宋体" w:eastAsia="宋体" w:cs="宋体"/>
                <w:color w:val="auto"/>
                <w:sz w:val="22"/>
                <w:szCs w:val="22"/>
                <w:highlight w:val="none"/>
              </w:rPr>
              <w:t>测评分析系统提供150套以上心理测评工具，可以对心理健康、人格、情绪、智力、职业生涯、人际关系、学习压力等多个方面展开测评，可满足在不同环境下的测评需求</w:t>
            </w:r>
            <w:r>
              <w:rPr>
                <w:rFonts w:hint="eastAsia" w:ascii="宋体" w:hAnsi="宋体" w:eastAsia="宋体" w:cs="宋体"/>
                <w:color w:val="auto"/>
                <w:sz w:val="22"/>
                <w:szCs w:val="22"/>
                <w:highlight w:val="none"/>
                <w:lang w:eastAsia="zh-CN"/>
              </w:rPr>
              <w:t>。</w:t>
            </w:r>
          </w:p>
          <w:p w14:paraId="7A4C0302">
            <w:pPr>
              <w:spacing w:line="240" w:lineRule="auto"/>
              <w:jc w:val="left"/>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lang w:val="en-US" w:eastAsia="zh-CN"/>
              </w:rPr>
              <w:t>五：系统功能不少于13项目：系统设置、量表管理、测评计划、危机干预、档案中心、资源中心、预约管理、在线问答、调查问卷、信息发布、功能室模块、朋辈心理、科研管理。</w:t>
            </w:r>
          </w:p>
          <w:p w14:paraId="2BA747EF">
            <w:pPr>
              <w:spacing w:line="24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六：</w:t>
            </w:r>
            <w:r>
              <w:rPr>
                <w:rFonts w:hint="eastAsia" w:ascii="宋体" w:hAnsi="宋体" w:eastAsia="宋体" w:cs="宋体"/>
                <w:color w:val="auto"/>
                <w:sz w:val="22"/>
                <w:szCs w:val="22"/>
                <w:highlight w:val="none"/>
              </w:rPr>
              <w:t>系统可以自动生成心理测试报告，以HTML、WORD、EX</w:t>
            </w:r>
            <w:r>
              <w:rPr>
                <w:rFonts w:hint="eastAsia" w:ascii="宋体" w:hAnsi="宋体" w:eastAsia="宋体" w:cs="宋体"/>
                <w:color w:val="auto"/>
                <w:sz w:val="22"/>
                <w:szCs w:val="22"/>
                <w:highlight w:val="none"/>
                <w:lang w:val="en-US" w:eastAsia="zh-CN"/>
              </w:rPr>
              <w:t>CE</w:t>
            </w:r>
            <w:r>
              <w:rPr>
                <w:rFonts w:hint="eastAsia" w:ascii="宋体" w:hAnsi="宋体" w:eastAsia="宋体" w:cs="宋体"/>
                <w:color w:val="auto"/>
                <w:sz w:val="22"/>
                <w:szCs w:val="22"/>
                <w:highlight w:val="none"/>
              </w:rPr>
              <w:t>L多种格式显示，并可直接进行编辑修改。且报告根据不同的使用者权限，显示不同的报告类型，如简易报告、标准报告、完整报告等</w:t>
            </w:r>
            <w:r>
              <w:rPr>
                <w:rFonts w:hint="eastAsia" w:ascii="宋体" w:hAnsi="宋体" w:eastAsia="宋体" w:cs="宋体"/>
                <w:color w:val="auto"/>
                <w:sz w:val="22"/>
                <w:szCs w:val="22"/>
                <w:highlight w:val="none"/>
                <w:lang w:eastAsia="zh-CN"/>
              </w:rPr>
              <w:t>。</w:t>
            </w:r>
          </w:p>
          <w:p w14:paraId="5E37AE2F">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七：数据分析管理系统</w:t>
            </w:r>
          </w:p>
          <w:p w14:paraId="03B007DE">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数据统计功能：可根据人员机构、测评量表及不同程度的预警因子分值范围、测评时间、测评次数等查询条件，自动筛查出符合条件需要干预的人员。同时出具内容完备的心理健康水平综合评估报告，用于全校心理健康水平的评估与统计。系统支持分别导出选项、分值、因子等心理测查原始数据报表。</w:t>
            </w:r>
          </w:p>
          <w:p w14:paraId="613BF06A">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心理筛查功能：可根据预警因子信息，自动筛查需要干预的人员，并出具预警团体报告。后台可自由查看被预警人员的被预警因子信息、预警因子包含的题目答题选项和分值情况，生成个人异常心理报告，便于展开后续的个性化的心理干预辅导。所有报告均支持打印输出。</w:t>
            </w:r>
          </w:p>
          <w:p w14:paraId="0ABABD43">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3、综合分析功能：支持单个测试量表或者多个测试量表的多因子分值范围、多题目组合条件（或和且）查询。</w:t>
            </w:r>
          </w:p>
          <w:p w14:paraId="7428A6C8">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八：量表管理系统</w:t>
            </w:r>
          </w:p>
          <w:p w14:paraId="329602CF">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1、可自主添加、修改、删除量表，并将量表设置为显示/隐藏，所有量表为完全开放量表，可进行量表修订及科研。</w:t>
            </w:r>
          </w:p>
          <w:p w14:paraId="39C43ACB">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可新建量表及自定义量表，可自由定义量表名称、量表介绍、测试指导语、选项计分、因子计分、原始分和标准分的转换、因子图表项目的控制、常模范围、结果分析解释、指导建议、预警分值等量表信息，同时可以进一步设置量表的控制条件，如性别、年龄范围、答题时间等。</w:t>
            </w:r>
          </w:p>
          <w:p w14:paraId="376941C9">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3、可进行多级题目的导入，可批量添加量表题目、批量生成题目选项，支持逻辑条件题目跳转，支持单选、多选、填空、问答、图片形式的量表，可对测评后的数据进行自组因子分析。</w:t>
            </w:r>
          </w:p>
          <w:p w14:paraId="378B28CE">
            <w:p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九：数据展示</w:t>
            </w:r>
          </w:p>
          <w:p w14:paraId="553F3B46">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展示系统整体数据情况，包含：今日新增、系统人数、男士人数、女士人数、量表测试人数、未测试人数、咨询师人数、预警人数、精品资源、热线数据、资源数据等详细数据。</w:t>
            </w:r>
          </w:p>
          <w:p w14:paraId="57C6A4D1">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★提供心理测评系统相关的软件著作权证书。</w:t>
            </w:r>
          </w:p>
        </w:tc>
      </w:tr>
      <w:tr w14:paraId="5E96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72057097">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w:t>
            </w:r>
          </w:p>
        </w:tc>
        <w:tc>
          <w:tcPr>
            <w:tcW w:w="1096" w:type="dxa"/>
            <w:vAlign w:val="center"/>
          </w:tcPr>
          <w:p w14:paraId="0E3E3C10">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PAD平板</w:t>
            </w:r>
            <w:r>
              <w:rPr>
                <w:rFonts w:hint="eastAsia" w:ascii="宋体" w:hAnsi="宋体" w:eastAsia="宋体" w:cs="宋体"/>
                <w:color w:val="auto"/>
                <w:sz w:val="22"/>
                <w:szCs w:val="22"/>
                <w:highlight w:val="none"/>
                <w:vertAlign w:val="baseline"/>
                <w:lang w:eastAsia="zh-CN"/>
              </w:rPr>
              <w:t>（</w:t>
            </w:r>
            <w:r>
              <w:rPr>
                <w:rFonts w:hint="eastAsia" w:ascii="宋体" w:hAnsi="宋体" w:eastAsia="宋体" w:cs="宋体"/>
                <w:color w:val="auto"/>
                <w:sz w:val="22"/>
                <w:szCs w:val="22"/>
                <w:highlight w:val="none"/>
                <w:vertAlign w:val="baseline"/>
              </w:rPr>
              <w:t>用于</w:t>
            </w:r>
            <w:r>
              <w:rPr>
                <w:rFonts w:hint="eastAsia" w:ascii="宋体" w:hAnsi="宋体" w:eastAsia="宋体" w:cs="宋体"/>
                <w:color w:val="auto"/>
                <w:sz w:val="22"/>
                <w:szCs w:val="22"/>
                <w:highlight w:val="none"/>
                <w:vertAlign w:val="baseline"/>
                <w:lang w:val="en-US" w:eastAsia="zh-CN"/>
              </w:rPr>
              <w:t>心理</w:t>
            </w:r>
            <w:r>
              <w:rPr>
                <w:rFonts w:hint="eastAsia" w:ascii="宋体" w:hAnsi="宋体" w:eastAsia="宋体" w:cs="宋体"/>
                <w:color w:val="auto"/>
                <w:sz w:val="22"/>
                <w:szCs w:val="22"/>
                <w:highlight w:val="none"/>
                <w:vertAlign w:val="baseline"/>
              </w:rPr>
              <w:t>测评</w:t>
            </w:r>
            <w:r>
              <w:rPr>
                <w:rFonts w:hint="eastAsia" w:ascii="宋体" w:hAnsi="宋体" w:eastAsia="宋体" w:cs="宋体"/>
                <w:color w:val="auto"/>
                <w:sz w:val="22"/>
                <w:szCs w:val="22"/>
                <w:highlight w:val="none"/>
                <w:vertAlign w:val="baseline"/>
                <w:lang w:eastAsia="zh-CN"/>
              </w:rPr>
              <w:t>）</w:t>
            </w:r>
          </w:p>
        </w:tc>
        <w:tc>
          <w:tcPr>
            <w:tcW w:w="8920" w:type="dxa"/>
          </w:tcPr>
          <w:p w14:paraId="0923F411">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屏幕尺寸不小于13英寸</w:t>
            </w:r>
          </w:p>
          <w:p w14:paraId="01F2BE69">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内存容量不小于8GB</w:t>
            </w:r>
          </w:p>
          <w:p w14:paraId="43862396">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存储容量不小于256GB</w:t>
            </w:r>
          </w:p>
          <w:p w14:paraId="7272124D">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CPU主频不小于2.5GHZ</w:t>
            </w:r>
          </w:p>
          <w:p w14:paraId="0C760732">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安卓系统、电池续航强大</w:t>
            </w:r>
          </w:p>
          <w:p w14:paraId="62097736">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机身轻薄美观、画面清晰流畅</w:t>
            </w:r>
          </w:p>
        </w:tc>
      </w:tr>
      <w:tr w14:paraId="7AF9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6C48FEA1">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三、远程心理咨询室</w:t>
            </w:r>
          </w:p>
        </w:tc>
      </w:tr>
      <w:tr w14:paraId="70AE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55E0CD2">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w:t>
            </w:r>
          </w:p>
        </w:tc>
        <w:tc>
          <w:tcPr>
            <w:tcW w:w="1096" w:type="dxa"/>
            <w:vAlign w:val="center"/>
          </w:tcPr>
          <w:p w14:paraId="1E410D31">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情绪倾诉</w:t>
            </w:r>
            <w:r>
              <w:rPr>
                <w:rFonts w:hint="eastAsia" w:ascii="宋体" w:hAnsi="宋体" w:eastAsia="宋体" w:cs="宋体"/>
                <w:color w:val="auto"/>
                <w:sz w:val="22"/>
                <w:szCs w:val="22"/>
                <w:highlight w:val="none"/>
                <w:vertAlign w:val="baseline"/>
              </w:rPr>
              <w:t>亭</w:t>
            </w:r>
          </w:p>
          <w:p w14:paraId="5C377708">
            <w:pPr>
              <w:spacing w:line="240" w:lineRule="auto"/>
              <w:jc w:val="center"/>
              <w:rPr>
                <w:rFonts w:hint="eastAsia" w:ascii="宋体" w:hAnsi="宋体" w:eastAsia="宋体" w:cs="宋体"/>
                <w:color w:val="auto"/>
                <w:sz w:val="22"/>
                <w:szCs w:val="22"/>
                <w:highlight w:val="none"/>
                <w:vertAlign w:val="baseline"/>
              </w:rPr>
            </w:pPr>
          </w:p>
          <w:p w14:paraId="66545DA7">
            <w:pPr>
              <w:spacing w:line="240" w:lineRule="auto"/>
              <w:jc w:val="center"/>
              <w:rPr>
                <w:rFonts w:hint="eastAsia" w:ascii="宋体" w:hAnsi="宋体" w:eastAsia="宋体" w:cs="宋体"/>
                <w:color w:val="auto"/>
                <w:sz w:val="22"/>
                <w:szCs w:val="22"/>
                <w:highlight w:val="none"/>
                <w:vertAlign w:val="baseline"/>
                <w:lang w:val="en-US" w:eastAsia="zh-CN"/>
              </w:rPr>
            </w:pPr>
          </w:p>
        </w:tc>
        <w:tc>
          <w:tcPr>
            <w:tcW w:w="8920" w:type="dxa"/>
            <w:vAlign w:val="top"/>
          </w:tcPr>
          <w:p w14:paraId="0E981129">
            <w:pPr>
              <w:spacing w:line="240" w:lineRule="auto"/>
              <w:jc w:val="left"/>
              <w:rPr>
                <w:rFonts w:hint="eastAsia" w:ascii="宋体" w:hAnsi="宋体" w:eastAsia="宋体" w:cs="宋体"/>
                <w:color w:val="auto"/>
                <w:sz w:val="22"/>
                <w:szCs w:val="22"/>
                <w:highlight w:val="none"/>
                <w:vertAlign w:val="baseline"/>
                <w:lang w:eastAsia="zh-CN"/>
              </w:rPr>
            </w:pPr>
            <w:r>
              <w:rPr>
                <w:rFonts w:hint="eastAsia" w:ascii="宋体" w:hAnsi="宋体" w:eastAsia="宋体" w:cs="宋体"/>
                <w:color w:val="auto"/>
                <w:sz w:val="22"/>
                <w:szCs w:val="22"/>
                <w:highlight w:val="none"/>
                <w:vertAlign w:val="baseline"/>
              </w:rPr>
              <w:t>1.</w:t>
            </w:r>
            <w:r>
              <w:rPr>
                <w:rFonts w:hint="eastAsia" w:ascii="宋体" w:hAnsi="宋体" w:eastAsia="宋体" w:cs="宋体"/>
                <w:color w:val="auto"/>
                <w:sz w:val="22"/>
                <w:szCs w:val="22"/>
                <w:highlight w:val="none"/>
                <w:vertAlign w:val="baseline"/>
                <w:lang w:val="en-US" w:eastAsia="zh-Hans"/>
              </w:rPr>
              <w:t>倾诉</w:t>
            </w:r>
            <w:r>
              <w:rPr>
                <w:rFonts w:hint="eastAsia" w:ascii="宋体" w:hAnsi="宋体" w:eastAsia="宋体" w:cs="宋体"/>
                <w:color w:val="auto"/>
                <w:sz w:val="22"/>
                <w:szCs w:val="22"/>
                <w:highlight w:val="none"/>
                <w:vertAlign w:val="baseline"/>
              </w:rPr>
              <w:t>热线：提供7x24小时及时、专业心理倾诉服务，平台</w:t>
            </w:r>
            <w:r>
              <w:rPr>
                <w:rFonts w:hint="eastAsia" w:ascii="宋体" w:hAnsi="宋体" w:eastAsia="宋体" w:cs="宋体"/>
                <w:color w:val="auto"/>
                <w:sz w:val="22"/>
                <w:szCs w:val="22"/>
                <w:highlight w:val="none"/>
                <w:vertAlign w:val="baseline"/>
                <w:lang w:val="en-US" w:eastAsia="zh-CN"/>
              </w:rPr>
              <w:t>要不少于</w:t>
            </w:r>
            <w:r>
              <w:rPr>
                <w:rFonts w:hint="eastAsia" w:ascii="宋体" w:hAnsi="宋体" w:eastAsia="宋体" w:cs="宋体"/>
                <w:color w:val="auto"/>
                <w:sz w:val="22"/>
                <w:szCs w:val="22"/>
                <w:highlight w:val="none"/>
                <w:vertAlign w:val="baseline"/>
              </w:rPr>
              <w:t>800位国家认证的心理咨询师接听咨询电话，可以提供孩子教育、婚恋交友、家庭关系、情绪压力、危机化解、人际关系等六个模块的专业心理倾诉服务</w:t>
            </w:r>
            <w:r>
              <w:rPr>
                <w:rFonts w:hint="eastAsia" w:ascii="宋体" w:hAnsi="宋体" w:eastAsia="宋体" w:cs="宋体"/>
                <w:color w:val="auto"/>
                <w:sz w:val="22"/>
                <w:szCs w:val="22"/>
                <w:highlight w:val="none"/>
                <w:vertAlign w:val="baseline"/>
                <w:lang w:eastAsia="zh-CN"/>
              </w:rPr>
              <w:t>。</w:t>
            </w:r>
          </w:p>
          <w:p w14:paraId="2896320E">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2.</w:t>
            </w:r>
            <w:r>
              <w:rPr>
                <w:rFonts w:hint="eastAsia" w:ascii="宋体" w:hAnsi="宋体" w:eastAsia="宋体" w:cs="宋体"/>
                <w:color w:val="auto"/>
                <w:sz w:val="22"/>
                <w:szCs w:val="22"/>
                <w:highlight w:val="none"/>
                <w:vertAlign w:val="baseline"/>
                <w:lang w:val="en-US" w:eastAsia="zh-Hans"/>
              </w:rPr>
              <w:t>心理</w:t>
            </w:r>
            <w:r>
              <w:rPr>
                <w:rFonts w:hint="eastAsia" w:ascii="宋体" w:hAnsi="宋体" w:eastAsia="宋体" w:cs="宋体"/>
                <w:color w:val="auto"/>
                <w:sz w:val="22"/>
                <w:szCs w:val="22"/>
                <w:highlight w:val="none"/>
                <w:vertAlign w:val="baseline"/>
              </w:rPr>
              <w:t>课堂：平台</w:t>
            </w:r>
            <w:r>
              <w:rPr>
                <w:rFonts w:hint="eastAsia" w:ascii="宋体" w:hAnsi="宋体" w:eastAsia="宋体" w:cs="宋体"/>
                <w:color w:val="auto"/>
                <w:sz w:val="22"/>
                <w:szCs w:val="22"/>
                <w:highlight w:val="none"/>
                <w:vertAlign w:val="baseline"/>
                <w:lang w:val="en-US" w:eastAsia="zh-CN"/>
              </w:rPr>
              <w:t>不少于</w:t>
            </w:r>
            <w:r>
              <w:rPr>
                <w:rFonts w:hint="eastAsia" w:ascii="宋体" w:hAnsi="宋体" w:eastAsia="宋体" w:cs="宋体"/>
                <w:color w:val="auto"/>
                <w:sz w:val="22"/>
                <w:szCs w:val="22"/>
                <w:highlight w:val="none"/>
                <w:vertAlign w:val="baseline"/>
              </w:rPr>
              <w:t>500多学时的网络课程，内容包括</w:t>
            </w:r>
            <w:r>
              <w:rPr>
                <w:rFonts w:hint="eastAsia" w:ascii="宋体" w:hAnsi="宋体" w:eastAsia="宋体" w:cs="宋体"/>
                <w:color w:val="auto"/>
                <w:sz w:val="22"/>
                <w:szCs w:val="22"/>
                <w:highlight w:val="none"/>
                <w:vertAlign w:val="baseline"/>
                <w:lang w:val="en-US" w:eastAsia="zh-CN"/>
              </w:rPr>
              <w:t>但不限于</w:t>
            </w:r>
            <w:r>
              <w:rPr>
                <w:rFonts w:hint="eastAsia" w:ascii="宋体" w:hAnsi="宋体" w:eastAsia="宋体" w:cs="宋体"/>
                <w:color w:val="auto"/>
                <w:sz w:val="22"/>
                <w:szCs w:val="22"/>
                <w:highlight w:val="none"/>
                <w:vertAlign w:val="baseline"/>
              </w:rPr>
              <w:t>父母学堂、婚恋家庭、人际关系、情绪管理、睡眠健康、个体提升等六个模块的</w:t>
            </w:r>
            <w:r>
              <w:rPr>
                <w:rFonts w:hint="eastAsia" w:ascii="宋体" w:hAnsi="宋体" w:eastAsia="宋体" w:cs="宋体"/>
                <w:color w:val="auto"/>
                <w:sz w:val="22"/>
                <w:szCs w:val="22"/>
                <w:highlight w:val="none"/>
                <w:vertAlign w:val="baseline"/>
                <w:lang w:val="en-US" w:eastAsia="zh-CN"/>
              </w:rPr>
              <w:t>功能</w:t>
            </w:r>
            <w:r>
              <w:rPr>
                <w:rFonts w:hint="eastAsia" w:ascii="宋体" w:hAnsi="宋体" w:eastAsia="宋体" w:cs="宋体"/>
                <w:color w:val="auto"/>
                <w:sz w:val="22"/>
                <w:szCs w:val="22"/>
                <w:highlight w:val="none"/>
                <w:vertAlign w:val="baseline"/>
              </w:rPr>
              <w:t>，来访者可在</w:t>
            </w:r>
            <w:r>
              <w:rPr>
                <w:rFonts w:hint="eastAsia" w:ascii="宋体" w:hAnsi="宋体" w:eastAsia="宋体" w:cs="宋体"/>
                <w:color w:val="auto"/>
                <w:sz w:val="22"/>
                <w:szCs w:val="22"/>
                <w:highlight w:val="none"/>
                <w:vertAlign w:val="baseline"/>
                <w:lang w:val="en-US" w:eastAsia="zh-CN"/>
              </w:rPr>
              <w:t>系统内</w:t>
            </w:r>
            <w:r>
              <w:rPr>
                <w:rFonts w:hint="eastAsia" w:ascii="宋体" w:hAnsi="宋体" w:eastAsia="宋体" w:cs="宋体"/>
                <w:color w:val="auto"/>
                <w:sz w:val="22"/>
                <w:szCs w:val="22"/>
                <w:highlight w:val="none"/>
                <w:vertAlign w:val="baseline"/>
              </w:rPr>
              <w:t>里面及时收听学习，也可以通过手机微信扫码在家里及其他地方进行学习。</w:t>
            </w:r>
          </w:p>
          <w:p w14:paraId="4BC3DE52">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3.语音唤醒功能：用户在设备休眠任意时候呼叫</w:t>
            </w:r>
            <w:r>
              <w:rPr>
                <w:rFonts w:hint="eastAsia" w:ascii="宋体" w:hAnsi="宋体" w:eastAsia="宋体" w:cs="宋体"/>
                <w:color w:val="auto"/>
                <w:sz w:val="22"/>
                <w:szCs w:val="22"/>
                <w:highlight w:val="none"/>
                <w:vertAlign w:val="baseline"/>
                <w:lang w:val="en-US" w:eastAsia="zh-CN"/>
              </w:rPr>
              <w:t>语音助手</w:t>
            </w:r>
            <w:r>
              <w:rPr>
                <w:rFonts w:hint="eastAsia" w:ascii="宋体" w:hAnsi="宋体" w:eastAsia="宋体" w:cs="宋体"/>
                <w:color w:val="auto"/>
                <w:sz w:val="22"/>
                <w:szCs w:val="22"/>
                <w:highlight w:val="none"/>
                <w:vertAlign w:val="baseline"/>
              </w:rPr>
              <w:t>，即可唤醒</w:t>
            </w:r>
            <w:r>
              <w:rPr>
                <w:rFonts w:hint="eastAsia" w:ascii="宋体" w:hAnsi="宋体" w:eastAsia="宋体" w:cs="宋体"/>
                <w:color w:val="auto"/>
                <w:sz w:val="22"/>
                <w:szCs w:val="22"/>
                <w:highlight w:val="none"/>
                <w:vertAlign w:val="baseline"/>
                <w:lang w:val="en-US" w:eastAsia="zh-CN"/>
              </w:rPr>
              <w:t>设备</w:t>
            </w:r>
            <w:r>
              <w:rPr>
                <w:rFonts w:hint="eastAsia" w:ascii="宋体" w:hAnsi="宋体" w:eastAsia="宋体" w:cs="宋体"/>
                <w:color w:val="auto"/>
                <w:sz w:val="22"/>
                <w:szCs w:val="22"/>
                <w:highlight w:val="none"/>
                <w:vertAlign w:val="baseline"/>
              </w:rPr>
              <w:t>，进行服务体验。</w:t>
            </w:r>
          </w:p>
          <w:p w14:paraId="615C894B">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4.心理测评：提供免费的专业测评及趣味测评，专业测评包含心理健康、压力应对、睡眠质量等量表：趣味测评包含爱情、社交、性格、家庭等量表。系统内置量表不少于20个量表。通过心理量表，了解用户心理健康状况和心理潜能优势，并</w:t>
            </w:r>
            <w:r>
              <w:rPr>
                <w:rFonts w:hint="eastAsia" w:ascii="宋体" w:hAnsi="宋体" w:eastAsia="宋体" w:cs="宋体"/>
                <w:color w:val="auto"/>
                <w:sz w:val="22"/>
                <w:szCs w:val="22"/>
                <w:highlight w:val="none"/>
                <w:vertAlign w:val="baseline"/>
                <w:lang w:val="en-US" w:eastAsia="zh-CN"/>
              </w:rPr>
              <w:t>拥有</w:t>
            </w:r>
            <w:r>
              <w:rPr>
                <w:rFonts w:hint="eastAsia" w:ascii="宋体" w:hAnsi="宋体" w:eastAsia="宋体" w:cs="宋体"/>
                <w:color w:val="auto"/>
                <w:sz w:val="22"/>
                <w:szCs w:val="22"/>
                <w:highlight w:val="none"/>
                <w:vertAlign w:val="baseline"/>
              </w:rPr>
              <w:t>心理危机预警</w:t>
            </w:r>
            <w:r>
              <w:rPr>
                <w:rFonts w:hint="eastAsia" w:ascii="宋体" w:hAnsi="宋体" w:eastAsia="宋体" w:cs="宋体"/>
                <w:color w:val="auto"/>
                <w:sz w:val="22"/>
                <w:szCs w:val="22"/>
                <w:highlight w:val="none"/>
                <w:vertAlign w:val="baseline"/>
                <w:lang w:val="en-US" w:eastAsia="zh-CN"/>
              </w:rPr>
              <w:t>功能</w:t>
            </w:r>
            <w:r>
              <w:rPr>
                <w:rFonts w:hint="eastAsia" w:ascii="宋体" w:hAnsi="宋体" w:eastAsia="宋体" w:cs="宋体"/>
                <w:color w:val="auto"/>
                <w:sz w:val="22"/>
                <w:szCs w:val="22"/>
                <w:highlight w:val="none"/>
                <w:vertAlign w:val="baseline"/>
              </w:rPr>
              <w:t>，提醒心理咨询师重点关注，及时开展心理危机干预；</w:t>
            </w:r>
          </w:p>
          <w:p w14:paraId="7EBE9B46">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5.减压游戏：提供趣味、互动的减压游戏，减压游戏包含</w:t>
            </w:r>
            <w:r>
              <w:rPr>
                <w:rFonts w:hint="eastAsia" w:ascii="宋体" w:hAnsi="宋体" w:eastAsia="宋体" w:cs="宋体"/>
                <w:color w:val="auto"/>
                <w:sz w:val="22"/>
                <w:szCs w:val="22"/>
                <w:highlight w:val="none"/>
                <w:vertAlign w:val="baseline"/>
                <w:lang w:val="en-US" w:eastAsia="zh-CN"/>
              </w:rPr>
              <w:t>但不限于</w:t>
            </w:r>
            <w:r>
              <w:rPr>
                <w:rFonts w:hint="eastAsia" w:ascii="宋体" w:hAnsi="宋体" w:eastAsia="宋体" w:cs="宋体"/>
                <w:color w:val="auto"/>
                <w:sz w:val="22"/>
                <w:szCs w:val="22"/>
                <w:highlight w:val="none"/>
                <w:vertAlign w:val="baseline"/>
              </w:rPr>
              <w:t>5个能力内容：记忆游戏、想象力游戏、感知力游戏、反应能力游戏、推理策略类游戏，提升用户的基本心理能力。</w:t>
            </w:r>
          </w:p>
          <w:p w14:paraId="139A5778">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6.危机化解:提供一键危机化解功能。通过对来访者倾诉过程的语音、语调等数据进行分析，进行心理危机识别和预警，与社区工作人员进行线上线下联动，实现第</w:t>
            </w:r>
            <w:r>
              <w:rPr>
                <w:rFonts w:hint="eastAsia" w:ascii="宋体" w:hAnsi="宋体" w:eastAsia="宋体" w:cs="宋体"/>
                <w:color w:val="auto"/>
                <w:sz w:val="22"/>
                <w:szCs w:val="22"/>
                <w:highlight w:val="none"/>
                <w:vertAlign w:val="baseline"/>
                <w:lang w:val="en-US" w:eastAsia="zh-CN"/>
              </w:rPr>
              <w:t>一</w:t>
            </w:r>
            <w:r>
              <w:rPr>
                <w:rFonts w:hint="eastAsia" w:ascii="宋体" w:hAnsi="宋体" w:eastAsia="宋体" w:cs="宋体"/>
                <w:color w:val="auto"/>
                <w:sz w:val="22"/>
                <w:szCs w:val="22"/>
                <w:highlight w:val="none"/>
                <w:vertAlign w:val="baseline"/>
              </w:rPr>
              <w:t>时间进行危机干预。</w:t>
            </w:r>
          </w:p>
          <w:p w14:paraId="557A6F06">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7.安全健康:针对来访者个体的特点，提供安全健康教育自助视频，内容包括心理安全健康和来访者安全健康内容。不少于40个视频。</w:t>
            </w:r>
          </w:p>
          <w:p w14:paraId="4B08520C">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特点：简短、有趣、有用，以动画宣传片形式为主</w:t>
            </w:r>
          </w:p>
          <w:p w14:paraId="19E522BB">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8.治愈系电影:通过丰富、新鲜的治愈系电影，从心理学角度推电影资讯，并鼓舞用户通过电影树立积极向上的价值观、人生观。特点</w:t>
            </w:r>
            <w:r>
              <w:rPr>
                <w:rFonts w:hint="eastAsia" w:ascii="宋体" w:hAnsi="宋体" w:eastAsia="宋体" w:cs="宋体"/>
                <w:color w:val="auto"/>
                <w:sz w:val="22"/>
                <w:szCs w:val="22"/>
                <w:highlight w:val="none"/>
                <w:vertAlign w:val="baseline"/>
                <w:lang w:val="en-US" w:eastAsia="zh-CN"/>
              </w:rPr>
              <w:t>要</w:t>
            </w:r>
            <w:r>
              <w:rPr>
                <w:rFonts w:hint="eastAsia" w:ascii="宋体" w:hAnsi="宋体" w:eastAsia="宋体" w:cs="宋体"/>
                <w:color w:val="auto"/>
                <w:sz w:val="22"/>
                <w:szCs w:val="22"/>
                <w:highlight w:val="none"/>
                <w:vertAlign w:val="baseline"/>
              </w:rPr>
              <w:t>：心理、新鲜、治愈、温暖、有趣。</w:t>
            </w:r>
          </w:p>
          <w:p w14:paraId="5391D69F">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9.科技范减压:通过科技减压音频，让用户在沉浸式的环绕中，感受到支持、陪伴和鼓励，有效缓解紧张、焦虑的负面情绪，为用户补充正能量。依据用户不同的情绪，如疲劳、紧张等，或不同的症状，如失眠、神经衰弱等，提供不同类型的音乐进行放松或治疗。包括：减压音乐、放松音乐、自然音乐、呼吸音乐、正念音乐、冥想音乐、a波音乐、b波音乐及其他音乐，不少于8类，总量不少于40首。</w:t>
            </w:r>
          </w:p>
          <w:p w14:paraId="686160E6">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10.心理漫画:将趣味性和实用性相结合，内容积极阳光，形式生动有趣，深入浅出的描述日常生活中的故事，说明其中蕴含的心理学、社会学道理，帮助用户从心理学角度认识自己和周围的世界。</w:t>
            </w:r>
          </w:p>
          <w:p w14:paraId="74792F71">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11.奇趣百科:通过身边触手可及、有料的知识以及有趣的心理学知识分享，运用于日常的生活和工作。包括</w:t>
            </w:r>
            <w:r>
              <w:rPr>
                <w:rFonts w:hint="eastAsia" w:ascii="宋体" w:hAnsi="宋体" w:eastAsia="宋体" w:cs="宋体"/>
                <w:color w:val="auto"/>
                <w:sz w:val="22"/>
                <w:szCs w:val="22"/>
                <w:highlight w:val="none"/>
                <w:vertAlign w:val="baseline"/>
                <w:lang w:val="en-US" w:eastAsia="zh-CN"/>
              </w:rPr>
              <w:t>但不限于</w:t>
            </w:r>
            <w:r>
              <w:rPr>
                <w:rFonts w:hint="eastAsia" w:ascii="宋体" w:hAnsi="宋体" w:eastAsia="宋体" w:cs="宋体"/>
                <w:color w:val="auto"/>
                <w:sz w:val="22"/>
                <w:szCs w:val="22"/>
                <w:highlight w:val="none"/>
                <w:vertAlign w:val="baseline"/>
              </w:rPr>
              <w:t>：不可能图、社会定律、心理学理论、运动与心理、芳香与心理、工作方法等，</w:t>
            </w:r>
            <w:r>
              <w:rPr>
                <w:rFonts w:hint="eastAsia" w:ascii="宋体" w:hAnsi="宋体" w:eastAsia="宋体" w:cs="宋体"/>
                <w:color w:val="auto"/>
                <w:sz w:val="22"/>
                <w:szCs w:val="22"/>
                <w:highlight w:val="none"/>
                <w:vertAlign w:val="baseline"/>
                <w:lang w:val="en-US" w:eastAsia="zh-CN"/>
              </w:rPr>
              <w:t>不</w:t>
            </w:r>
            <w:r>
              <w:rPr>
                <w:rFonts w:hint="eastAsia" w:ascii="宋体" w:hAnsi="宋体" w:eastAsia="宋体" w:cs="宋体"/>
                <w:color w:val="auto"/>
                <w:sz w:val="22"/>
                <w:szCs w:val="22"/>
                <w:highlight w:val="none"/>
                <w:vertAlign w:val="baseline"/>
              </w:rPr>
              <w:t>少于40张</w:t>
            </w:r>
            <w:r>
              <w:rPr>
                <w:rFonts w:hint="eastAsia" w:ascii="宋体" w:hAnsi="宋体" w:eastAsia="宋体" w:cs="宋体"/>
                <w:color w:val="auto"/>
                <w:sz w:val="22"/>
                <w:szCs w:val="22"/>
                <w:highlight w:val="none"/>
                <w:vertAlign w:val="baseline"/>
                <w:lang w:eastAsia="zh-CN"/>
              </w:rPr>
              <w:t>，</w:t>
            </w:r>
            <w:r>
              <w:rPr>
                <w:rFonts w:hint="eastAsia" w:ascii="宋体" w:hAnsi="宋体" w:eastAsia="宋体" w:cs="宋体"/>
                <w:color w:val="auto"/>
                <w:sz w:val="22"/>
                <w:szCs w:val="22"/>
                <w:highlight w:val="none"/>
                <w:vertAlign w:val="baseline"/>
              </w:rPr>
              <w:t>通过奇缺百科，让用户开阔眼界、增长知识。</w:t>
            </w:r>
          </w:p>
          <w:p w14:paraId="3E34CA6A">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12.吃货日记:通过小知识、有趣、有料的图片，介绍日常减压食物、健康营养餐饮。包括：减压食品介绍、减肥健康餐、营养餐、 食物能量表、减压套餐等，不少于40张。</w:t>
            </w:r>
          </w:p>
          <w:p w14:paraId="13160FBF">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定制立式安卓触摸显示屏，具备语音通话功能。</w:t>
            </w:r>
          </w:p>
          <w:p w14:paraId="168921C1">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操作系统：</w:t>
            </w:r>
            <w:r>
              <w:rPr>
                <w:rFonts w:hint="eastAsia" w:ascii="宋体" w:hAnsi="宋体" w:eastAsia="宋体" w:cs="宋体"/>
                <w:b w:val="0"/>
                <w:bCs w:val="0"/>
                <w:color w:val="auto"/>
                <w:kern w:val="0"/>
                <w:sz w:val="22"/>
                <w:szCs w:val="22"/>
                <w:highlight w:val="none"/>
                <w:lang w:val="en-US" w:eastAsia="zh-CN"/>
              </w:rPr>
              <w:t>安卓3399主板</w:t>
            </w:r>
            <w:r>
              <w:rPr>
                <w:rFonts w:hint="eastAsia" w:ascii="宋体" w:hAnsi="宋体" w:eastAsia="宋体" w:cs="宋体"/>
                <w:color w:val="auto"/>
                <w:sz w:val="22"/>
                <w:szCs w:val="22"/>
                <w:highlight w:val="none"/>
                <w:vertAlign w:val="baseline"/>
              </w:rPr>
              <w:t>；内存</w:t>
            </w:r>
            <w:r>
              <w:rPr>
                <w:rFonts w:hint="eastAsia" w:ascii="宋体" w:hAnsi="宋体" w:eastAsia="宋体" w:cs="宋体"/>
                <w:color w:val="auto"/>
                <w:sz w:val="22"/>
                <w:szCs w:val="22"/>
                <w:highlight w:val="none"/>
                <w:vertAlign w:val="baseline"/>
                <w:lang w:val="en-US" w:eastAsia="zh-CN"/>
              </w:rPr>
              <w:t>不小于</w:t>
            </w:r>
            <w:r>
              <w:rPr>
                <w:rFonts w:hint="eastAsia" w:ascii="宋体" w:hAnsi="宋体" w:eastAsia="宋体" w:cs="宋体"/>
                <w:color w:val="auto"/>
                <w:sz w:val="22"/>
                <w:szCs w:val="22"/>
                <w:highlight w:val="none"/>
                <w:vertAlign w:val="baseline"/>
              </w:rPr>
              <w:t>：2GDDR3；存储器</w:t>
            </w:r>
            <w:r>
              <w:rPr>
                <w:rFonts w:hint="eastAsia" w:ascii="宋体" w:hAnsi="宋体" w:eastAsia="宋体" w:cs="宋体"/>
                <w:color w:val="auto"/>
                <w:sz w:val="22"/>
                <w:szCs w:val="22"/>
                <w:highlight w:val="none"/>
                <w:vertAlign w:val="baseline"/>
                <w:lang w:val="en-US" w:eastAsia="zh-CN"/>
              </w:rPr>
              <w:t>不低于</w:t>
            </w:r>
            <w:r>
              <w:rPr>
                <w:rFonts w:hint="eastAsia" w:ascii="宋体" w:hAnsi="宋体" w:eastAsia="宋体" w:cs="宋体"/>
                <w:color w:val="auto"/>
                <w:sz w:val="22"/>
                <w:szCs w:val="22"/>
                <w:highlight w:val="none"/>
                <w:vertAlign w:val="baseline"/>
              </w:rPr>
              <w:t>：8G（可扩展）CPU</w:t>
            </w:r>
            <w:r>
              <w:rPr>
                <w:rFonts w:hint="eastAsia" w:ascii="宋体" w:hAnsi="宋体" w:eastAsia="宋体" w:cs="宋体"/>
                <w:color w:val="auto"/>
                <w:sz w:val="22"/>
                <w:szCs w:val="22"/>
                <w:highlight w:val="none"/>
                <w:vertAlign w:val="baseline"/>
                <w:lang w:val="en-US" w:eastAsia="zh-CN"/>
              </w:rPr>
              <w:t>不低于</w:t>
            </w:r>
            <w:r>
              <w:rPr>
                <w:rFonts w:hint="eastAsia" w:ascii="宋体" w:hAnsi="宋体" w:eastAsia="宋体" w:cs="宋体"/>
                <w:color w:val="auto"/>
                <w:sz w:val="22"/>
                <w:szCs w:val="22"/>
                <w:highlight w:val="none"/>
                <w:vertAlign w:val="baseline"/>
              </w:rPr>
              <w:t>：RK3288,四核，主频 1.8GHz；解码分辨率：最高支持3840*2160；视频播放：支持wmv、avi、flv、rm、rmvb、mpeg 、ts、mp4等；图片格式：支持BMP、JPEG、PNG、GIF；WIFI、BT：内置WIFI，BT4.0；</w:t>
            </w:r>
          </w:p>
          <w:p w14:paraId="3408E571">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显示屏参数：LED显示屏；屏体分辨率：1920*1080（V）；色彩：1677万色；</w:t>
            </w:r>
          </w:p>
          <w:p w14:paraId="1448885F">
            <w:pPr>
              <w:spacing w:line="240" w:lineRule="auto"/>
              <w:jc w:val="left"/>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触摸屏参数：识别原理免维护多点红外触摸屏，防暴、防水、防尘。符合UL1950撞击测试，使用寿命测试单点位置5000万次；传输方式：USB；分辨率：4096*4096触摸精度：±2mm；触摸次数：测试单独点同一位置5000万次以上；多点触摸；工作电压：典型值+5VDC，允许范围 +4.75V ～+5.25V。</w:t>
            </w:r>
          </w:p>
          <w:p w14:paraId="1DE27995">
            <w:pPr>
              <w:pStyle w:val="18"/>
              <w:tabs>
                <w:tab w:val="left" w:pos="567"/>
              </w:tabs>
              <w:spacing w:line="24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ar-SA"/>
              </w:rPr>
              <w:t>提供相应的软件著作权登记证书。</w:t>
            </w:r>
          </w:p>
        </w:tc>
      </w:tr>
      <w:tr w14:paraId="7C302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6" w:type="dxa"/>
            <w:vAlign w:val="center"/>
          </w:tcPr>
          <w:p w14:paraId="57E7BD52">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5</w:t>
            </w:r>
          </w:p>
        </w:tc>
        <w:tc>
          <w:tcPr>
            <w:tcW w:w="1096" w:type="dxa"/>
            <w:vAlign w:val="center"/>
          </w:tcPr>
          <w:p w14:paraId="697608E0">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rPr>
              <w:t>大脑</w:t>
            </w:r>
            <w:r>
              <w:rPr>
                <w:rFonts w:hint="eastAsia" w:ascii="宋体" w:hAnsi="宋体" w:eastAsia="宋体" w:cs="宋体"/>
                <w:color w:val="auto"/>
                <w:sz w:val="22"/>
                <w:szCs w:val="22"/>
                <w:highlight w:val="none"/>
                <w:vertAlign w:val="baseline"/>
                <w:lang w:val="en-US" w:eastAsia="zh-CN"/>
              </w:rPr>
              <w:t>健康检测仪</w:t>
            </w:r>
          </w:p>
        </w:tc>
        <w:tc>
          <w:tcPr>
            <w:tcW w:w="8920" w:type="dxa"/>
            <w:shd w:val="clear" w:color="auto" w:fill="auto"/>
            <w:vAlign w:val="top"/>
          </w:tcPr>
          <w:p w14:paraId="35796D39">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检测系统由微中央处理器控制，以预设脑细胞规定共振频率脉冲刺激，由微波调制器经传感器发射。测试者诱发得到共振脑电波频率经过微波接收、滤波、放大、处理后作A/D(模拟/数码)转换后输入微中央处理器与人体信息代码数据库作比较，由微处理器分析，解读后呈现器官实时功能状态。(Nonlinealanalysis system)解读后，呈现出细胞、组织、器官的功能状态</w:t>
            </w:r>
          </w:p>
          <w:p w14:paraId="6BA53482">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1、检测区域</w:t>
            </w:r>
          </w:p>
          <w:p w14:paraId="3071ED55">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1.1分布脑区检测</w:t>
            </w:r>
          </w:p>
          <w:p w14:paraId="0E3F6608">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color w:val="auto"/>
                <w:sz w:val="22"/>
                <w:szCs w:val="22"/>
                <w:highlight w:val="none"/>
                <w:lang w:val="en-US" w:eastAsia="zh-CN"/>
              </w:rPr>
              <w:t>（1）可检测不少于十二个大脑区，分别为左脑背侧、右脑内侧、脑皮质、皮质下交叉纵横部、脑干、胼胝体、脑干延髓部、小脑、脑白质、交感神经、星形胶质、锥体细胞。其中部分大脑区包含多个小功能区。</w:t>
            </w:r>
          </w:p>
          <w:p w14:paraId="46E5AAC3">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（2）左脑背侧可检测不少于共十九个功能区：运动动作、协调、触觉、记忆、视觉、视觉处理、语言、声音、认知、空间认知、理解、味觉、嗅觉、思考、计划、判断、感受、情绪、海马体。</w:t>
            </w:r>
          </w:p>
          <w:p w14:paraId="765AD5DF">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（3）右脑内侧不少于共六个功能区：大脑额叶联合区、空间信号联合区、边缘系统联合区、体运动感觉联合区、自我约束联合区、内容信号联合区。</w:t>
            </w:r>
          </w:p>
          <w:p w14:paraId="690AC506">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（4）皮质下交叉纵横部不少于共四个功能区：眶额叶皮质联合区、丘脑功能联合区、基底神经节联合区、大脑后部感知信号分析传输功能。</w:t>
            </w:r>
          </w:p>
          <w:p w14:paraId="146FE764">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（5）胼胝体共三个功能区：胼胝体膝部、胼胝体压部、胼胝体体部</w:t>
            </w:r>
          </w:p>
          <w:p w14:paraId="02512EF2">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（6）脑干延髓部共两个功能区：脑干网状激活系统、中央灰质联合区</w:t>
            </w:r>
          </w:p>
          <w:p w14:paraId="6D3C283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（7）小脑共三个功能区：小脑（左）、小脑（右）、蚯蚓体连接处。</w:t>
            </w:r>
          </w:p>
          <w:p w14:paraId="5F229095">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1.2 总体功能区检测</w:t>
            </w:r>
          </w:p>
          <w:p w14:paraId="573825E7">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color w:val="auto"/>
                <w:sz w:val="22"/>
                <w:szCs w:val="22"/>
                <w:highlight w:val="none"/>
                <w:lang w:val="en-US" w:eastAsia="zh-CN"/>
              </w:rPr>
              <w:t>共检测不少于全脑共43个脑区及神经系统（运动动作、协调、触觉、记忆、视觉、视觉处理、语言、声音、理解、味觉、嗅觉、思考、计划、判断、感受、情绪、认知、空间认知、海马体、大脑额叶联合区、体运动感觉联合区、空间信号联合区、自我约束联合区、边缘系统联合区、内容信号联合区、大脑皮质、眶额叶皮质联合区、基底神经节联合区、丘脑功能联合区、大脑后部感知信号分析传输功能、脑干功能、胼胝体膝部、胼胝体体部、胼胝体压部、脑干网状激活系统、中央灰质联合区、小脑（左）、小脑（右）、蚯蚓体连接处、脑白质、交感神经、星形胶质、脑白质）</w:t>
            </w:r>
          </w:p>
          <w:p w14:paraId="18711FBB">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1.3 脑功能图</w:t>
            </w:r>
          </w:p>
          <w:p w14:paraId="5BDEDF68">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color w:val="auto"/>
                <w:sz w:val="22"/>
                <w:szCs w:val="22"/>
                <w:highlight w:val="none"/>
                <w:lang w:val="en-US" w:eastAsia="zh-CN"/>
              </w:rPr>
              <w:t>报告单中可出具不少于12张脑区还原示意图：左脑背侧区、右脑内侧区、脑皮质功能区、皮质下交叉纵横部功能区、脑干功能区、胼胝体功能区、脑干延髓部功能区、小脑功能区、脑白质区、交感神经功能区、星形胶质细胞功能区、锥体细胞功能区。</w:t>
            </w:r>
          </w:p>
          <w:p w14:paraId="51075CC9">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1.4 结果解释</w:t>
            </w:r>
          </w:p>
          <w:p w14:paraId="0572EC6B">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报告中关于脑区的解释: 不少于12张脑区示意图可分为至少43个区域，每个区域根据自动算分结果可划为：活跃、下降、抑制3种结果，不少于共129种结果解释供测试者解读。</w:t>
            </w:r>
          </w:p>
          <w:p w14:paraId="25998E78">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1.5 总结报告</w:t>
            </w:r>
          </w:p>
          <w:p w14:paraId="3D827313">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综合报告可自动算分得出感觉统合与敏感性、学习能力与学习效率、注意力与自我控制、情绪情感与内驱力、心理特异性与自我调节五大方面总价报告</w:t>
            </w:r>
          </w:p>
          <w:p w14:paraId="5E028725">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1.6 特异性检测点位</w:t>
            </w:r>
          </w:p>
          <w:p w14:paraId="2B0E1C0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检测点位：通过检测设备可检测全脑不少于510个活跃度检测点位。</w:t>
            </w:r>
          </w:p>
          <w:p w14:paraId="6F917207">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提供对应操作系统软件著作权登记证书。</w:t>
            </w:r>
          </w:p>
          <w:p w14:paraId="1195A8A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p>
        </w:tc>
      </w:tr>
      <w:tr w14:paraId="1571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74E6B782">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vertAlign w:val="baseline"/>
                <w:lang w:val="en-US" w:eastAsia="zh-CN"/>
              </w:rPr>
              <w:t>四、家庭心理咨询室</w:t>
            </w:r>
          </w:p>
        </w:tc>
      </w:tr>
      <w:tr w14:paraId="2EDE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546" w:type="dxa"/>
            <w:vAlign w:val="center"/>
          </w:tcPr>
          <w:p w14:paraId="569E334F">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6</w:t>
            </w:r>
          </w:p>
        </w:tc>
        <w:tc>
          <w:tcPr>
            <w:tcW w:w="1096" w:type="dxa"/>
            <w:vAlign w:val="center"/>
          </w:tcPr>
          <w:p w14:paraId="4382EA4D">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3000旗舰型沙盘套装＋团体沙盘</w:t>
            </w:r>
          </w:p>
        </w:tc>
        <w:tc>
          <w:tcPr>
            <w:tcW w:w="8920" w:type="dxa"/>
            <w:shd w:val="clear" w:color="auto" w:fill="auto"/>
            <w:vAlign w:val="top"/>
          </w:tcPr>
          <w:p w14:paraId="3DD5898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一、1个实木标准沙盘（瑞士进口松木） 57＊72＊95cm ，【喷防水石膏漆，可直接加水使用，不加塑料防水内衬】</w:t>
            </w:r>
          </w:p>
          <w:p w14:paraId="7D83163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1个团体沙盘（瑞士进口松木） 120＊72＊95cm ，【喷防水石膏漆，可直接加水使用，不加塑料防水内衬】</w:t>
            </w:r>
          </w:p>
          <w:p w14:paraId="1A04BD7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二、全实木沙盘盖，防尘防沙，加高沙盘支架；课桌沙盘2用，采用烫印技术标注铭牌，无异物突出。</w:t>
            </w:r>
          </w:p>
          <w:p w14:paraId="0E24E05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三、4个实木沙具架（九层实木板）（尺寸：120*160*33cm）  </w:t>
            </w:r>
          </w:p>
          <w:p w14:paraId="6B2B7D4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四、3000个沙具-旗舰型专业沙具。</w:t>
            </w:r>
          </w:p>
          <w:p w14:paraId="104BFCD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五、沙盘游戏治疗技术培训录像资料选辑1套</w:t>
            </w:r>
          </w:p>
          <w:p w14:paraId="4DFAB73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六、心理沙盘游戏档案软件1套</w:t>
            </w:r>
          </w:p>
          <w:p w14:paraId="7F1A6F0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七、沙盘游戏治疗指导书籍2本</w:t>
            </w:r>
          </w:p>
          <w:p w14:paraId="13C2D06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八、精选天然海沙40公斤            </w:t>
            </w:r>
          </w:p>
          <w:p w14:paraId="3BA0425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九、加高加粗实木沙箱支架2套</w:t>
            </w:r>
          </w:p>
          <w:p w14:paraId="6B06452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十、刮沙工具，清洁套装各1套</w:t>
            </w:r>
          </w:p>
          <w:p w14:paraId="699FB0BF">
            <w:pPr>
              <w:spacing w:line="240" w:lineRule="auto"/>
              <w:rPr>
                <w:rStyle w:val="76"/>
                <w:rFonts w:hint="eastAsia" w:ascii="宋体" w:hAnsi="宋体" w:eastAsia="宋体" w:cs="宋体"/>
                <w:b/>
                <w:bCs/>
                <w:color w:val="auto"/>
                <w:sz w:val="22"/>
                <w:szCs w:val="22"/>
                <w:highlight w:val="none"/>
              </w:rPr>
            </w:pPr>
            <w:r>
              <w:rPr>
                <w:rStyle w:val="76"/>
                <w:rFonts w:hint="eastAsia" w:ascii="宋体" w:hAnsi="宋体" w:eastAsia="宋体" w:cs="宋体"/>
                <w:b/>
                <w:bCs/>
                <w:color w:val="auto"/>
                <w:sz w:val="22"/>
                <w:szCs w:val="22"/>
                <w:highlight w:val="none"/>
                <w:lang w:val="en-US" w:eastAsia="zh-CN"/>
              </w:rPr>
              <w:t>技术</w:t>
            </w:r>
            <w:r>
              <w:rPr>
                <w:rStyle w:val="76"/>
                <w:rFonts w:hint="eastAsia" w:ascii="宋体" w:hAnsi="宋体" w:eastAsia="宋体" w:cs="宋体"/>
                <w:b/>
                <w:bCs/>
                <w:color w:val="auto"/>
                <w:sz w:val="22"/>
                <w:szCs w:val="22"/>
                <w:highlight w:val="none"/>
              </w:rPr>
              <w:t>要求：</w:t>
            </w:r>
          </w:p>
          <w:p w14:paraId="09F36FA3">
            <w:pPr>
              <w:pStyle w:val="6"/>
              <w:spacing w:line="240" w:lineRule="auto"/>
              <w:jc w:val="both"/>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color w:val="auto"/>
                <w:kern w:val="2"/>
                <w:sz w:val="22"/>
                <w:szCs w:val="22"/>
                <w:highlight w:val="none"/>
                <w:lang w:val="en-US" w:eastAsia="zh-CN" w:bidi="ar-SA"/>
              </w:rPr>
              <w:t>1.个体沙盘尺寸≥ 57＊72＊7cm，整体高度≥ 95cm（含轮高度）可直接加水无需塑料内衬。</w:t>
            </w:r>
          </w:p>
          <w:p w14:paraId="5AE97DBE">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color w:val="auto"/>
                <w:kern w:val="2"/>
                <w:sz w:val="22"/>
                <w:szCs w:val="22"/>
                <w:highlight w:val="none"/>
                <w:lang w:val="en-US" w:eastAsia="zh-CN" w:bidi="ar-SA"/>
              </w:rPr>
              <w:t>2.沙盘支架为纯实木材质，边长≥6cm沙盘架</w:t>
            </w:r>
          </w:p>
          <w:p w14:paraId="7CD2796A">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color w:val="auto"/>
                <w:kern w:val="2"/>
                <w:sz w:val="22"/>
                <w:szCs w:val="22"/>
                <w:highlight w:val="none"/>
                <w:lang w:val="en-US" w:eastAsia="zh-CN" w:bidi="ar-SA"/>
              </w:rPr>
              <w:t>3.沙盘架配≥ 1.25寸带刹车沙盘轮，方便整体移动</w:t>
            </w:r>
          </w:p>
          <w:p w14:paraId="0DF751A4">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color w:val="auto"/>
                <w:kern w:val="2"/>
                <w:sz w:val="22"/>
                <w:szCs w:val="22"/>
                <w:highlight w:val="none"/>
                <w:lang w:val="en-US" w:eastAsia="zh-CN" w:bidi="ar-SA"/>
              </w:rPr>
              <w:t>4.个体沙盘应配有全实木防尘沙盘盖，桌盘两用。</w:t>
            </w:r>
          </w:p>
          <w:p w14:paraId="4C5228A6">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color w:val="auto"/>
                <w:kern w:val="2"/>
                <w:sz w:val="22"/>
                <w:szCs w:val="22"/>
                <w:highlight w:val="none"/>
                <w:lang w:val="en-US" w:eastAsia="zh-CN" w:bidi="ar-SA"/>
              </w:rPr>
              <w:t>5.沙盘logo应采用烫印激光灼刻技术与木材保持一致高度，无凸起。</w:t>
            </w:r>
          </w:p>
          <w:p w14:paraId="4EB6A7A5">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color w:val="auto"/>
                <w:spacing w:val="2"/>
                <w:sz w:val="22"/>
                <w:szCs w:val="22"/>
                <w:highlight w:val="none"/>
                <w:lang w:val="en-US" w:eastAsia="zh-CN"/>
              </w:rPr>
              <w:t>资</w:t>
            </w:r>
            <w:r>
              <w:rPr>
                <w:rFonts w:hint="eastAsia" w:ascii="宋体" w:hAnsi="宋体" w:eastAsia="宋体" w:cs="宋体"/>
                <w:i w:val="0"/>
                <w:color w:val="auto"/>
                <w:kern w:val="2"/>
                <w:sz w:val="22"/>
                <w:szCs w:val="22"/>
                <w:highlight w:val="none"/>
                <w:lang w:val="en-US" w:eastAsia="zh-CN" w:bidi="ar-SA"/>
              </w:rPr>
              <w:t>质要求：</w:t>
            </w:r>
          </w:p>
          <w:p w14:paraId="39E93109">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★1.沙箱及沙具柜提供有资质的第三方检测机构出具的有效的检测报告或合格证或其他证明材料。</w:t>
            </w:r>
          </w:p>
          <w:p w14:paraId="5C4CA5E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color w:val="auto"/>
                <w:kern w:val="2"/>
                <w:sz w:val="22"/>
                <w:szCs w:val="22"/>
                <w:highlight w:val="none"/>
                <w:lang w:val="en-US" w:eastAsia="zh-CN" w:bidi="ar-SA"/>
              </w:rPr>
              <w:t>★2.提供沙盘管理软件相关的软件著作权登记证书。</w:t>
            </w:r>
          </w:p>
        </w:tc>
      </w:tr>
      <w:tr w14:paraId="1D21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4595577E">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五、个体心理咨询室</w:t>
            </w:r>
          </w:p>
        </w:tc>
      </w:tr>
      <w:tr w14:paraId="1922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82784A3">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7</w:t>
            </w:r>
          </w:p>
        </w:tc>
        <w:tc>
          <w:tcPr>
            <w:tcW w:w="1096" w:type="dxa"/>
            <w:vAlign w:val="center"/>
          </w:tcPr>
          <w:p w14:paraId="481C40F5">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rPr>
              <w:t>AR智能感应投影沙盘</w:t>
            </w:r>
          </w:p>
        </w:tc>
        <w:tc>
          <w:tcPr>
            <w:tcW w:w="8920" w:type="dxa"/>
            <w:shd w:val="clear" w:color="auto" w:fill="auto"/>
            <w:vAlign w:val="top"/>
          </w:tcPr>
          <w:p w14:paraId="36F1D1C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AR智能感应投影沙盘</w:t>
            </w:r>
          </w:p>
          <w:p w14:paraId="698665B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1、占地面积不大于标准个体沙盘面积57cm*72cm。高度不高于200cm，底部带轮。方便室内移动。</w:t>
            </w:r>
          </w:p>
          <w:p w14:paraId="65C9073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2、投影面积尺寸为57cm*72cm，100％覆盖个体沙盘。</w:t>
            </w:r>
          </w:p>
          <w:p w14:paraId="5CDC751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3、AR实景投影沙盘主体材料应该为和个体沙盘一致的实木松木（原木色）</w:t>
            </w:r>
          </w:p>
          <w:p w14:paraId="5D1ADE7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4、AR投影实景互动装置应与各类传统心理个体沙盘兼容。个体沙盘与投影互动装置可分开使用，不影响传统沙盘使用。</w:t>
            </w:r>
          </w:p>
          <w:p w14:paraId="17ACE7A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5、AR互动场景应不少于10个场景。其中应包含（水的流动、生态系统、火山爆发、泥滩体验）等多种场景。</w:t>
            </w:r>
          </w:p>
          <w:p w14:paraId="0732784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6、投影沙盘主机及投影设备可通过遥控设备一键开启。</w:t>
            </w:r>
          </w:p>
          <w:p w14:paraId="249233E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7、投影互动方式至少包含：堆高成山、挥手下雨、下挖成河、拍打驱赶、制作火山、挥手音乐等不少于6种互动方式。</w:t>
            </w:r>
          </w:p>
          <w:p w14:paraId="1FE0CC5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产品组成：</w:t>
            </w:r>
          </w:p>
          <w:p w14:paraId="63338BE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一、移动式AR投影收纳箱及投影支架一套</w:t>
            </w:r>
          </w:p>
          <w:p w14:paraId="00137D2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二、独立显卡专用投影电脑一台</w:t>
            </w:r>
          </w:p>
          <w:p w14:paraId="6387BC8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三、心理沙盘专用互动软件一套（内含10个场景）</w:t>
            </w:r>
          </w:p>
          <w:p w14:paraId="307C40F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四、微软AR距离感应器一套</w:t>
            </w:r>
          </w:p>
          <w:p w14:paraId="6245B166">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五、近距离短焦广角高流明投影一台</w:t>
            </w:r>
          </w:p>
          <w:p w14:paraId="0E574C8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六、连接加长线束一套</w:t>
            </w:r>
          </w:p>
          <w:p w14:paraId="19CC0D8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★提供相应系统软件著作权登记证书。</w:t>
            </w:r>
          </w:p>
        </w:tc>
      </w:tr>
      <w:tr w14:paraId="3E35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58F8DA94">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8</w:t>
            </w:r>
          </w:p>
        </w:tc>
        <w:tc>
          <w:tcPr>
            <w:tcW w:w="1096" w:type="dxa"/>
            <w:vAlign w:val="center"/>
          </w:tcPr>
          <w:p w14:paraId="50FF9C2D">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1200旗舰型沙盘套装</w:t>
            </w:r>
          </w:p>
        </w:tc>
        <w:tc>
          <w:tcPr>
            <w:tcW w:w="8920" w:type="dxa"/>
            <w:shd w:val="clear" w:color="auto" w:fill="auto"/>
            <w:vAlign w:val="top"/>
          </w:tcPr>
          <w:p w14:paraId="77A9B0B6">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产品简介：</w:t>
            </w:r>
          </w:p>
          <w:p w14:paraId="2775642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一、1个实木标准沙盘（瑞士进口松木） 57＊72＊95cm ，【喷防水石膏漆，可直接加水使用，不加塑料防水内衬】</w:t>
            </w:r>
          </w:p>
          <w:p w14:paraId="57B9B67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二、全实木沙盘盖，防尘防沙，加高沙盘支架；课桌沙盘2用，采用烫印技术标注铭牌，无异物突出。</w:t>
            </w:r>
          </w:p>
          <w:p w14:paraId="2265F96E">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三、2个实木沙具架（俄罗斯进口樟子松）（尺寸：</w:t>
            </w:r>
            <w:r>
              <w:rPr>
                <w:rFonts w:hint="eastAsia" w:ascii="宋体" w:hAnsi="宋体" w:eastAsia="宋体" w:cs="宋体"/>
                <w:color w:val="auto"/>
                <w:sz w:val="22"/>
                <w:szCs w:val="22"/>
                <w:highlight w:val="none"/>
                <w:lang w:val="en-US" w:eastAsia="zh-CN"/>
              </w:rPr>
              <w:t>12</w:t>
            </w:r>
            <w:r>
              <w:rPr>
                <w:rFonts w:hint="eastAsia" w:ascii="宋体" w:hAnsi="宋体" w:eastAsia="宋体" w:cs="宋体"/>
                <w:color w:val="auto"/>
                <w:sz w:val="22"/>
                <w:szCs w:val="22"/>
                <w:highlight w:val="none"/>
              </w:rPr>
              <w:t xml:space="preserve">0*160*33cm）  </w:t>
            </w:r>
          </w:p>
          <w:p w14:paraId="59056F47">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四、1200个沙具-旗舰型专业沙具(其中部分人物类专业定制开模制作满足专业沙盘师要求）</w:t>
            </w:r>
          </w:p>
          <w:p w14:paraId="6FF3398E">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五、沙盘游戏治疗技术培训录像资料选辑1套</w:t>
            </w:r>
          </w:p>
          <w:p w14:paraId="2F47C6D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六、心理沙盘游戏档案软件1套</w:t>
            </w:r>
          </w:p>
          <w:p w14:paraId="4837D267">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七、沙盘游戏治疗指导书籍2本</w:t>
            </w:r>
          </w:p>
          <w:p w14:paraId="25E9D372">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八、精选天然海沙20公斤            </w:t>
            </w:r>
          </w:p>
          <w:p w14:paraId="0EE3809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九、加高加粗实木沙箱支架1套</w:t>
            </w:r>
          </w:p>
          <w:p w14:paraId="21D5665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十、刮沙工具，清洁套装各1套</w:t>
            </w:r>
          </w:p>
          <w:p w14:paraId="1AEA8F00">
            <w:pPr>
              <w:spacing w:line="240" w:lineRule="auto"/>
              <w:rPr>
                <w:rStyle w:val="76"/>
                <w:rFonts w:hint="eastAsia" w:ascii="宋体" w:hAnsi="宋体" w:eastAsia="宋体" w:cs="宋体"/>
                <w:b/>
                <w:bCs/>
                <w:color w:val="auto"/>
                <w:sz w:val="22"/>
                <w:szCs w:val="22"/>
                <w:highlight w:val="none"/>
              </w:rPr>
            </w:pPr>
            <w:r>
              <w:rPr>
                <w:rStyle w:val="76"/>
                <w:rFonts w:hint="eastAsia" w:ascii="宋体" w:hAnsi="宋体" w:eastAsia="宋体" w:cs="宋体"/>
                <w:b/>
                <w:bCs/>
                <w:color w:val="auto"/>
                <w:sz w:val="22"/>
                <w:szCs w:val="22"/>
                <w:highlight w:val="none"/>
                <w:lang w:val="en-US" w:eastAsia="zh-CN"/>
              </w:rPr>
              <w:t>技术</w:t>
            </w:r>
            <w:r>
              <w:rPr>
                <w:rStyle w:val="76"/>
                <w:rFonts w:hint="eastAsia" w:ascii="宋体" w:hAnsi="宋体" w:eastAsia="宋体" w:cs="宋体"/>
                <w:b/>
                <w:bCs/>
                <w:color w:val="auto"/>
                <w:sz w:val="22"/>
                <w:szCs w:val="22"/>
                <w:highlight w:val="none"/>
              </w:rPr>
              <w:t>要求：</w:t>
            </w:r>
          </w:p>
          <w:p w14:paraId="19B3DD65">
            <w:pPr>
              <w:pStyle w:val="6"/>
              <w:spacing w:line="240" w:lineRule="auto"/>
              <w:jc w:val="both"/>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1.个体沙盘尺寸</w:t>
            </w:r>
            <w:r>
              <w:rPr>
                <w:rFonts w:hint="eastAsia" w:cs="宋体"/>
                <w:i w:val="0"/>
                <w:color w:val="auto"/>
                <w:kern w:val="2"/>
                <w:sz w:val="22"/>
                <w:szCs w:val="22"/>
                <w:highlight w:val="none"/>
                <w:lang w:val="en-US" w:eastAsia="zh-CN" w:bidi="ar-SA"/>
              </w:rPr>
              <w:t>≥</w:t>
            </w:r>
            <w:r>
              <w:rPr>
                <w:rFonts w:hint="eastAsia" w:ascii="宋体" w:hAnsi="宋体" w:eastAsia="宋体" w:cs="宋体"/>
                <w:i w:val="0"/>
                <w:color w:val="auto"/>
                <w:kern w:val="2"/>
                <w:sz w:val="22"/>
                <w:szCs w:val="22"/>
                <w:highlight w:val="none"/>
                <w:lang w:val="en-US" w:eastAsia="zh-CN" w:bidi="ar-SA"/>
              </w:rPr>
              <w:t xml:space="preserve"> 57＊72＊7cm，整体高度</w:t>
            </w:r>
            <w:r>
              <w:rPr>
                <w:rFonts w:hint="eastAsia" w:cs="宋体"/>
                <w:i w:val="0"/>
                <w:color w:val="auto"/>
                <w:kern w:val="2"/>
                <w:sz w:val="22"/>
                <w:szCs w:val="22"/>
                <w:highlight w:val="none"/>
                <w:lang w:val="en-US" w:eastAsia="zh-CN" w:bidi="ar-SA"/>
              </w:rPr>
              <w:t>≥</w:t>
            </w:r>
            <w:r>
              <w:rPr>
                <w:rFonts w:hint="eastAsia" w:ascii="宋体" w:hAnsi="宋体" w:eastAsia="宋体" w:cs="宋体"/>
                <w:i w:val="0"/>
                <w:color w:val="auto"/>
                <w:kern w:val="2"/>
                <w:sz w:val="22"/>
                <w:szCs w:val="22"/>
                <w:highlight w:val="none"/>
                <w:lang w:val="en-US" w:eastAsia="zh-CN" w:bidi="ar-SA"/>
              </w:rPr>
              <w:t xml:space="preserve"> 95cm（含轮高度）可直接加水无需塑料内衬。</w:t>
            </w:r>
          </w:p>
          <w:p w14:paraId="1C07489C">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2.沙盘支架为纯实木材质，边长</w:t>
            </w:r>
            <w:r>
              <w:rPr>
                <w:rFonts w:hint="eastAsia" w:cs="宋体"/>
                <w:i w:val="0"/>
                <w:color w:val="auto"/>
                <w:kern w:val="2"/>
                <w:sz w:val="22"/>
                <w:szCs w:val="22"/>
                <w:highlight w:val="none"/>
                <w:lang w:val="en-US" w:eastAsia="zh-CN" w:bidi="ar-SA"/>
              </w:rPr>
              <w:t>≥</w:t>
            </w:r>
            <w:r>
              <w:rPr>
                <w:rFonts w:hint="eastAsia" w:ascii="宋体" w:hAnsi="宋体" w:eastAsia="宋体" w:cs="宋体"/>
                <w:i w:val="0"/>
                <w:color w:val="auto"/>
                <w:kern w:val="2"/>
                <w:sz w:val="22"/>
                <w:szCs w:val="22"/>
                <w:highlight w:val="none"/>
                <w:lang w:val="en-US" w:eastAsia="zh-CN" w:bidi="ar-SA"/>
              </w:rPr>
              <w:t xml:space="preserve"> 6cm沙盘架。</w:t>
            </w:r>
          </w:p>
          <w:p w14:paraId="0309DC24">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3.沙盘架配≥1.25寸带刹车沙盘轮，方便整体移动。</w:t>
            </w:r>
          </w:p>
          <w:p w14:paraId="68CA140A">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4.个体沙盘应配有全实木防尘沙盘盖，桌盘两用。</w:t>
            </w:r>
          </w:p>
          <w:p w14:paraId="502E0C96">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5.沙盘logo应采用烫印激光灼刻技术与木材保持一致高度，无凸起。</w:t>
            </w:r>
          </w:p>
          <w:p w14:paraId="30C8F0AC">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资质要求：</w:t>
            </w:r>
          </w:p>
          <w:p w14:paraId="11DF99B6">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★沙箱及沙具柜提供有资质的第三方检测机构出具的有效的检测报告或合格证或其他证明材料。</w:t>
            </w:r>
          </w:p>
          <w:p w14:paraId="3F4337A0">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★提供沙盘管理软件软件著作权登记证书。</w:t>
            </w:r>
          </w:p>
        </w:tc>
      </w:tr>
      <w:tr w14:paraId="3F00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5425C971">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六、个体心理咨询室兼催眠室</w:t>
            </w:r>
          </w:p>
        </w:tc>
      </w:tr>
      <w:tr w14:paraId="7803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4D82A79B">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9</w:t>
            </w:r>
          </w:p>
        </w:tc>
        <w:tc>
          <w:tcPr>
            <w:tcW w:w="1096" w:type="dxa"/>
            <w:vAlign w:val="center"/>
          </w:tcPr>
          <w:p w14:paraId="07D60B5C">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佛洛依德催眠放松躺椅</w:t>
            </w:r>
          </w:p>
        </w:tc>
        <w:tc>
          <w:tcPr>
            <w:tcW w:w="8920" w:type="dxa"/>
            <w:shd w:val="clear" w:color="auto" w:fill="auto"/>
            <w:vAlign w:val="top"/>
          </w:tcPr>
          <w:p w14:paraId="058E97C9">
            <w:pPr>
              <w:spacing w:line="240" w:lineRule="auto"/>
              <w:jc w:val="left"/>
              <w:rPr>
                <w:rFonts w:hint="eastAsia" w:ascii="宋体" w:hAnsi="宋体" w:eastAsia="宋体" w:cs="宋体"/>
                <w:i w:val="0"/>
                <w:iCs w:val="0"/>
                <w:color w:val="auto"/>
                <w:sz w:val="22"/>
                <w:szCs w:val="22"/>
                <w:highlight w:val="none"/>
                <w:vertAlign w:val="baseline"/>
                <w:lang w:val="en-US" w:eastAsia="zh-CN"/>
              </w:rPr>
            </w:pPr>
            <w:r>
              <w:rPr>
                <w:rFonts w:hint="eastAsia" w:ascii="宋体" w:hAnsi="宋体" w:eastAsia="宋体" w:cs="宋体"/>
                <w:i w:val="0"/>
                <w:iCs w:val="0"/>
                <w:color w:val="auto"/>
                <w:sz w:val="22"/>
                <w:szCs w:val="22"/>
                <w:highlight w:val="none"/>
                <w:vertAlign w:val="baseline"/>
                <w:lang w:val="en-US" w:eastAsia="zh-CN"/>
              </w:rPr>
              <w:t>棉麻面料，内衬高密度不易变形海绵。内部结构为实方木，保证沙发承重。人体工学设计，让来访者以最舒适的姿势接受催眠治疗。</w:t>
            </w:r>
          </w:p>
          <w:p w14:paraId="02C2586F">
            <w:pPr>
              <w:spacing w:line="240" w:lineRule="auto"/>
              <w:jc w:val="left"/>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vertAlign w:val="baseline"/>
                <w:lang w:val="en-US" w:eastAsia="zh-CN"/>
              </w:rPr>
              <w:t>尺寸：155*65*70cm</w:t>
            </w:r>
          </w:p>
        </w:tc>
      </w:tr>
      <w:tr w14:paraId="3E20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6" w:type="dxa"/>
            <w:vAlign w:val="center"/>
          </w:tcPr>
          <w:p w14:paraId="10CC6E82">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10</w:t>
            </w:r>
          </w:p>
        </w:tc>
        <w:tc>
          <w:tcPr>
            <w:tcW w:w="1096" w:type="dxa"/>
            <w:vAlign w:val="center"/>
          </w:tcPr>
          <w:p w14:paraId="260367B3">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脑波灯反馈放松训练系统（含脑波反馈训练系统）</w:t>
            </w:r>
          </w:p>
        </w:tc>
        <w:tc>
          <w:tcPr>
            <w:tcW w:w="8920" w:type="dxa"/>
            <w:shd w:val="clear" w:color="auto" w:fill="auto"/>
            <w:vAlign w:val="top"/>
          </w:tcPr>
          <w:p w14:paraId="38D7B8F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一：便携的脑电测量耳机需满足以下功能</w:t>
            </w:r>
          </w:p>
          <w:p w14:paraId="0103C3EB">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1.自动化的无线配对功能</w:t>
            </w:r>
          </w:p>
          <w:p w14:paraId="6E37A319">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2.每台耳机配备唯一的ID号</w:t>
            </w:r>
          </w:p>
          <w:p w14:paraId="11C1C6B9">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3.充电电池供电</w:t>
            </w:r>
          </w:p>
          <w:p w14:paraId="3AAC3AFC">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4.电池可工作至少5小时</w:t>
            </w:r>
          </w:p>
          <w:p w14:paraId="64A5EAF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二：脑电测量数据</w:t>
            </w:r>
          </w:p>
          <w:p w14:paraId="097F51A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 符合神经科学标准的脑电信号功率谱参数（需测量一下数据）</w:t>
            </w:r>
          </w:p>
          <w:p w14:paraId="64D82418">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 eSense专注度参数</w:t>
            </w:r>
          </w:p>
          <w:p w14:paraId="6A3D1E95">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 eSense冥想度参数</w:t>
            </w:r>
          </w:p>
          <w:p w14:paraId="7E0E17C9">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 eSense眨眼检测</w:t>
            </w:r>
          </w:p>
          <w:p w14:paraId="18603765">
            <w:pPr>
              <w:keepNext w:val="0"/>
              <w:keepLines w:val="0"/>
              <w:pageBreakBefore w:val="0"/>
              <w:widowControl w:val="0"/>
              <w:kinsoku/>
              <w:wordWrap/>
              <w:overflowPunct/>
              <w:topLinePunct w:val="0"/>
              <w:autoSpaceDE/>
              <w:autoSpaceDN/>
              <w:bidi w:val="0"/>
              <w:adjustRightInd/>
              <w:snapToGrid/>
              <w:spacing w:line="240" w:lineRule="auto"/>
              <w:ind w:firstLine="440" w:firstLineChars="200"/>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 电极脱落检测</w:t>
            </w:r>
          </w:p>
          <w:p w14:paraId="18BD688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三：技术规格</w:t>
            </w:r>
          </w:p>
          <w:p w14:paraId="525729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1.重量不大于90克</w:t>
            </w:r>
          </w:p>
          <w:p w14:paraId="700C38D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2.30mW额定功率；50mW最大功率</w:t>
            </w:r>
          </w:p>
          <w:p w14:paraId="75990E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3.无线射频频率：2.420 - 2.471GHz</w:t>
            </w:r>
          </w:p>
          <w:p w14:paraId="620C043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4.射频最大功率：6dBm</w:t>
            </w:r>
          </w:p>
          <w:p w14:paraId="538B46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5.射频数据传输速率：250kbit/s</w:t>
            </w:r>
          </w:p>
          <w:p w14:paraId="0AD942C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6.射频传输距离：不小于10米</w:t>
            </w:r>
          </w:p>
          <w:p w14:paraId="6D2A081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7.采样率：不小于512Hz</w:t>
            </w:r>
          </w:p>
          <w:p w14:paraId="636086D0">
            <w:pPr>
              <w:spacing w:line="240" w:lineRule="auto"/>
              <w:rPr>
                <w:rFonts w:hint="eastAsia" w:ascii="宋体" w:hAnsi="宋体" w:eastAsia="宋体" w:cs="宋体"/>
                <w:b/>
                <w:bCs/>
                <w:i w:val="0"/>
                <w:iCs w:val="0"/>
                <w:color w:val="auto"/>
                <w:sz w:val="22"/>
                <w:szCs w:val="22"/>
                <w:highlight w:val="none"/>
                <w:lang w:eastAsia="zh-CN"/>
              </w:rPr>
            </w:pPr>
            <w:r>
              <w:rPr>
                <w:rFonts w:hint="eastAsia" w:ascii="宋体" w:hAnsi="宋体" w:eastAsia="宋体" w:cs="宋体"/>
                <w:b/>
                <w:bCs/>
                <w:i w:val="0"/>
                <w:iCs w:val="0"/>
                <w:color w:val="auto"/>
                <w:sz w:val="22"/>
                <w:szCs w:val="22"/>
                <w:highlight w:val="none"/>
                <w:lang w:val="en-US" w:eastAsia="zh-CN"/>
              </w:rPr>
              <w:t>软件</w:t>
            </w:r>
            <w:r>
              <w:rPr>
                <w:rFonts w:hint="eastAsia" w:ascii="宋体" w:hAnsi="宋体" w:eastAsia="宋体" w:cs="宋体"/>
                <w:b/>
                <w:bCs/>
                <w:i w:val="0"/>
                <w:iCs w:val="0"/>
                <w:color w:val="auto"/>
                <w:sz w:val="22"/>
                <w:szCs w:val="22"/>
                <w:highlight w:val="none"/>
              </w:rPr>
              <w:t>功能</w:t>
            </w:r>
            <w:r>
              <w:rPr>
                <w:rFonts w:hint="eastAsia" w:ascii="宋体" w:hAnsi="宋体" w:eastAsia="宋体" w:cs="宋体"/>
                <w:b/>
                <w:bCs/>
                <w:i w:val="0"/>
                <w:iCs w:val="0"/>
                <w:color w:val="auto"/>
                <w:sz w:val="22"/>
                <w:szCs w:val="22"/>
                <w:highlight w:val="none"/>
                <w:lang w:eastAsia="zh-CN"/>
              </w:rPr>
              <w:t>：</w:t>
            </w:r>
          </w:p>
          <w:p w14:paraId="6DEAF1EA">
            <w:pPr>
              <w:widowControl w:val="0"/>
              <w:numPr>
                <w:ilvl w:val="0"/>
                <w:numId w:val="9"/>
              </w:num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采用头戴式脑波仪戴在头上，以单通道测量头部前额叶脑波，佩戴简单，舒适，信号稳定可靠。</w:t>
            </w:r>
          </w:p>
          <w:p w14:paraId="1AB957E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kern w:val="2"/>
                <w:sz w:val="22"/>
                <w:szCs w:val="22"/>
                <w:highlight w:val="none"/>
                <w:lang w:val="en-US" w:eastAsia="zh-CN" w:bidi="ar-SA"/>
              </w:rPr>
              <w:t>2.脑波数据实时监测，能够实时动态监测和记录专注度，放松度及α波、</w:t>
            </w:r>
            <w:r>
              <w:rPr>
                <w:rFonts w:hint="eastAsia" w:ascii="宋体" w:hAnsi="宋体" w:eastAsia="宋体" w:cs="宋体"/>
                <w:i w:val="0"/>
                <w:iCs w:val="0"/>
                <w:color w:val="auto"/>
                <w:sz w:val="22"/>
                <w:szCs w:val="22"/>
                <w:highlight w:val="none"/>
                <w:lang w:val="en-US" w:eastAsia="zh-CN"/>
              </w:rPr>
              <w:t>β波、θ波、δ波、γ波8个等EET参数，专注度和放松度输出频率为1HZ。</w:t>
            </w:r>
          </w:p>
          <w:p w14:paraId="059CA8E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3.软件功能至少包含：数据监测、集中训练、放松训练、数据分析、用户管理、系统介绍、连接设置。</w:t>
            </w:r>
          </w:p>
          <w:p w14:paraId="1E281FF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4.专注度和放松度测试训练，提供至少9种注意力训练方法，提供音乐放松训练功能，所有训练自动数据记录和分析。</w:t>
            </w:r>
          </w:p>
          <w:p w14:paraId="418F14A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系统具备统计分析功能，可对采集者的训练数据进行统计分析，用曲线图，饼状图，柱状图等形式显示分析结果，对训练效果进行评价，并自动生成报告，训练报告采用WORD等格式，支持多用户管理，管理员对训练记录统一管理，可生成所有用户的报告。</w:t>
            </w:r>
          </w:p>
          <w:p w14:paraId="16B41C42">
            <w:pPr>
              <w:pStyle w:val="19"/>
              <w:spacing w:line="24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ar-SA"/>
              </w:rPr>
              <w:t>提供相应软件的软件著作权证书。</w:t>
            </w:r>
          </w:p>
        </w:tc>
      </w:tr>
      <w:tr w14:paraId="19A4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546" w:type="dxa"/>
            <w:vAlign w:val="center"/>
          </w:tcPr>
          <w:p w14:paraId="206D7C2C">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11</w:t>
            </w:r>
          </w:p>
        </w:tc>
        <w:tc>
          <w:tcPr>
            <w:tcW w:w="1096" w:type="dxa"/>
            <w:vAlign w:val="center"/>
          </w:tcPr>
          <w:p w14:paraId="2F74781E">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催眠摆设</w:t>
            </w:r>
          </w:p>
        </w:tc>
        <w:tc>
          <w:tcPr>
            <w:tcW w:w="8920" w:type="dxa"/>
            <w:shd w:val="clear" w:color="auto" w:fill="auto"/>
            <w:vAlign w:val="top"/>
          </w:tcPr>
          <w:p w14:paraId="7912CA4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美观高端，不掉色，不变形。</w:t>
            </w:r>
          </w:p>
          <w:p w14:paraId="3788E15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实心钢球，垂感更好，受力时动力比较强。尼龙细线均匀缠绕在钢支架上，做工美观，受力更均匀</w:t>
            </w:r>
            <w:r>
              <w:rPr>
                <w:rFonts w:hint="eastAsia" w:ascii="宋体" w:hAnsi="宋体" w:cs="宋体"/>
                <w:i w:val="0"/>
                <w:iCs w:val="0"/>
                <w:color w:val="auto"/>
                <w:sz w:val="22"/>
                <w:szCs w:val="22"/>
                <w:highlight w:val="none"/>
                <w:lang w:val="en-US" w:eastAsia="zh-CN"/>
              </w:rPr>
              <w:t>。</w:t>
            </w:r>
          </w:p>
          <w:p w14:paraId="631EA7EA">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170*150*180（mm）</w:t>
            </w:r>
          </w:p>
        </w:tc>
      </w:tr>
      <w:tr w14:paraId="6849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1B3A56E6">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12</w:t>
            </w:r>
          </w:p>
        </w:tc>
        <w:tc>
          <w:tcPr>
            <w:tcW w:w="1096" w:type="dxa"/>
            <w:vAlign w:val="center"/>
          </w:tcPr>
          <w:p w14:paraId="52659589">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1200旗舰型沙盘套装</w:t>
            </w:r>
          </w:p>
        </w:tc>
        <w:tc>
          <w:tcPr>
            <w:tcW w:w="8920" w:type="dxa"/>
            <w:shd w:val="clear" w:color="auto" w:fill="auto"/>
            <w:vAlign w:val="top"/>
          </w:tcPr>
          <w:p w14:paraId="22B75E4F">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产品简介：</w:t>
            </w:r>
          </w:p>
          <w:p w14:paraId="1D4AB13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一、1个实木标准沙盘（瑞士进口松木） 57＊72＊95cm ，【喷防水石膏漆，可直接加水使用，不加塑料防水内衬】</w:t>
            </w:r>
          </w:p>
          <w:p w14:paraId="364EA53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二、全实木沙盘盖，防尘防沙，加高沙盘支架；课桌沙盘2用，采用烫印技术标注铭牌，无异物突出。</w:t>
            </w:r>
          </w:p>
          <w:p w14:paraId="33B14AB9">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三、2个实木沙具架（俄罗斯进口樟子松）（尺寸：</w:t>
            </w:r>
            <w:r>
              <w:rPr>
                <w:rFonts w:hint="eastAsia" w:ascii="宋体" w:hAnsi="宋体" w:eastAsia="宋体" w:cs="宋体"/>
                <w:color w:val="auto"/>
                <w:sz w:val="22"/>
                <w:szCs w:val="22"/>
                <w:highlight w:val="none"/>
                <w:lang w:val="en-US" w:eastAsia="zh-CN"/>
              </w:rPr>
              <w:t>120</w:t>
            </w:r>
            <w:r>
              <w:rPr>
                <w:rFonts w:hint="eastAsia" w:ascii="宋体" w:hAnsi="宋体" w:eastAsia="宋体" w:cs="宋体"/>
                <w:color w:val="auto"/>
                <w:sz w:val="22"/>
                <w:szCs w:val="22"/>
                <w:highlight w:val="none"/>
              </w:rPr>
              <w:t xml:space="preserve">*160*33cm）  </w:t>
            </w:r>
          </w:p>
          <w:p w14:paraId="7D682781">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四、1200个沙具-旗舰型专业沙具(其中部分人物类专业定制开模制作满足专业沙盘师要求）</w:t>
            </w:r>
          </w:p>
          <w:p w14:paraId="1731B9AB">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五、沙盘游戏治疗技术培训录像资料选辑1套</w:t>
            </w:r>
          </w:p>
          <w:p w14:paraId="108A8727">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六、心理沙盘游戏档案软件1套</w:t>
            </w:r>
          </w:p>
          <w:p w14:paraId="512285E7">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七、沙盘游戏治疗指导书籍2本</w:t>
            </w:r>
          </w:p>
          <w:p w14:paraId="6FF1185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八、精选天然海沙20公斤            </w:t>
            </w:r>
          </w:p>
          <w:p w14:paraId="24C44A16">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九、加高加粗实木沙箱支架1套</w:t>
            </w:r>
          </w:p>
          <w:p w14:paraId="6CA755B1">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十、刮沙工具，清洁套装各1套</w:t>
            </w:r>
          </w:p>
          <w:p w14:paraId="1E2FC1EA">
            <w:pPr>
              <w:spacing w:line="240" w:lineRule="auto"/>
              <w:rPr>
                <w:rStyle w:val="76"/>
                <w:rFonts w:hint="eastAsia" w:ascii="宋体" w:hAnsi="宋体" w:eastAsia="宋体" w:cs="宋体"/>
                <w:b/>
                <w:bCs/>
                <w:color w:val="auto"/>
                <w:sz w:val="22"/>
                <w:szCs w:val="22"/>
                <w:highlight w:val="none"/>
              </w:rPr>
            </w:pPr>
            <w:r>
              <w:rPr>
                <w:rStyle w:val="76"/>
                <w:rFonts w:hint="eastAsia" w:ascii="宋体" w:hAnsi="宋体" w:eastAsia="宋体" w:cs="宋体"/>
                <w:b/>
                <w:bCs/>
                <w:color w:val="auto"/>
                <w:sz w:val="22"/>
                <w:szCs w:val="22"/>
                <w:highlight w:val="none"/>
                <w:lang w:val="en-US" w:eastAsia="zh-CN"/>
              </w:rPr>
              <w:t>技术</w:t>
            </w:r>
            <w:r>
              <w:rPr>
                <w:rStyle w:val="76"/>
                <w:rFonts w:hint="eastAsia" w:ascii="宋体" w:hAnsi="宋体" w:eastAsia="宋体" w:cs="宋体"/>
                <w:b/>
                <w:bCs/>
                <w:color w:val="auto"/>
                <w:sz w:val="22"/>
                <w:szCs w:val="22"/>
                <w:highlight w:val="none"/>
              </w:rPr>
              <w:t>要求：</w:t>
            </w:r>
          </w:p>
          <w:p w14:paraId="11B380B4">
            <w:pPr>
              <w:pStyle w:val="6"/>
              <w:spacing w:line="240" w:lineRule="auto"/>
              <w:jc w:val="both"/>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1.个体沙盘尺寸</w:t>
            </w:r>
            <w:r>
              <w:rPr>
                <w:rFonts w:hint="eastAsia" w:cs="宋体"/>
                <w:i w:val="0"/>
                <w:color w:val="auto"/>
                <w:kern w:val="2"/>
                <w:sz w:val="22"/>
                <w:szCs w:val="22"/>
                <w:highlight w:val="none"/>
                <w:lang w:val="en-US" w:eastAsia="zh-CN" w:bidi="ar-SA"/>
              </w:rPr>
              <w:t>≥</w:t>
            </w:r>
            <w:r>
              <w:rPr>
                <w:rFonts w:hint="eastAsia" w:ascii="宋体" w:hAnsi="宋体" w:eastAsia="宋体" w:cs="宋体"/>
                <w:i w:val="0"/>
                <w:color w:val="auto"/>
                <w:kern w:val="2"/>
                <w:sz w:val="22"/>
                <w:szCs w:val="22"/>
                <w:highlight w:val="none"/>
                <w:lang w:val="en-US" w:eastAsia="zh-CN" w:bidi="ar-SA"/>
              </w:rPr>
              <w:t xml:space="preserve"> 57＊72＊7cm，整体高度</w:t>
            </w:r>
            <w:r>
              <w:rPr>
                <w:rFonts w:hint="eastAsia" w:cs="宋体"/>
                <w:i w:val="0"/>
                <w:color w:val="auto"/>
                <w:kern w:val="2"/>
                <w:sz w:val="22"/>
                <w:szCs w:val="22"/>
                <w:highlight w:val="none"/>
                <w:lang w:val="en-US" w:eastAsia="zh-CN" w:bidi="ar-SA"/>
              </w:rPr>
              <w:t>≥</w:t>
            </w:r>
            <w:r>
              <w:rPr>
                <w:rFonts w:hint="eastAsia" w:ascii="宋体" w:hAnsi="宋体" w:eastAsia="宋体" w:cs="宋体"/>
                <w:i w:val="0"/>
                <w:color w:val="auto"/>
                <w:kern w:val="2"/>
                <w:sz w:val="22"/>
                <w:szCs w:val="22"/>
                <w:highlight w:val="none"/>
                <w:lang w:val="en-US" w:eastAsia="zh-CN" w:bidi="ar-SA"/>
              </w:rPr>
              <w:t xml:space="preserve"> 95cm（含轮高度）可直接加水无需塑料内衬。</w:t>
            </w:r>
          </w:p>
          <w:p w14:paraId="250963E9">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2 沙盘支架为纯实木材质，边长</w:t>
            </w:r>
            <w:r>
              <w:rPr>
                <w:rFonts w:hint="eastAsia" w:cs="宋体"/>
                <w:i w:val="0"/>
                <w:color w:val="auto"/>
                <w:kern w:val="2"/>
                <w:sz w:val="22"/>
                <w:szCs w:val="22"/>
                <w:highlight w:val="none"/>
                <w:lang w:val="en-US" w:eastAsia="zh-CN" w:bidi="ar-SA"/>
              </w:rPr>
              <w:t>≥</w:t>
            </w:r>
            <w:r>
              <w:rPr>
                <w:rFonts w:hint="eastAsia" w:ascii="宋体" w:hAnsi="宋体" w:eastAsia="宋体" w:cs="宋体"/>
                <w:i w:val="0"/>
                <w:color w:val="auto"/>
                <w:kern w:val="2"/>
                <w:sz w:val="22"/>
                <w:szCs w:val="22"/>
                <w:highlight w:val="none"/>
                <w:lang w:val="en-US" w:eastAsia="zh-CN" w:bidi="ar-SA"/>
              </w:rPr>
              <w:t xml:space="preserve"> 6cm沙盘架。</w:t>
            </w:r>
          </w:p>
          <w:p w14:paraId="3940D7AE">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3.沙盘架配≥1.25寸带刹车沙盘轮，方便整体移动。</w:t>
            </w:r>
          </w:p>
          <w:p w14:paraId="6AC09575">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4.个体沙盘应配有全实木防尘沙盘盖，桌盘两用。</w:t>
            </w:r>
          </w:p>
          <w:p w14:paraId="473AAEEF">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5.沙盘logo应采用烫印激光灼刻技术与木材保持一致高度，无凸起。</w:t>
            </w:r>
          </w:p>
          <w:p w14:paraId="689027F0">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资质要求：</w:t>
            </w:r>
          </w:p>
          <w:p w14:paraId="73A488ED">
            <w:pPr>
              <w:spacing w:line="240" w:lineRule="auto"/>
              <w:rPr>
                <w:rFonts w:hint="eastAsia" w:ascii="宋体" w:hAnsi="宋体" w:eastAsia="宋体" w:cs="宋体"/>
                <w:i w:val="0"/>
                <w:color w:val="auto"/>
                <w:kern w:val="2"/>
                <w:sz w:val="22"/>
                <w:szCs w:val="22"/>
                <w:highlight w:val="none"/>
                <w:lang w:val="en-US" w:eastAsia="zh-CN" w:bidi="ar-SA"/>
              </w:rPr>
            </w:pPr>
            <w:r>
              <w:rPr>
                <w:rFonts w:hint="eastAsia" w:ascii="宋体" w:hAnsi="宋体" w:eastAsia="宋体" w:cs="宋体"/>
                <w:i w:val="0"/>
                <w:color w:val="auto"/>
                <w:kern w:val="2"/>
                <w:sz w:val="22"/>
                <w:szCs w:val="22"/>
                <w:highlight w:val="none"/>
                <w:lang w:val="en-US" w:eastAsia="zh-CN" w:bidi="ar-SA"/>
              </w:rPr>
              <w:t>★沙箱及沙具柜提供有资质的第三方检测机构出具的有效的检测报告或合格证或其他证明材料。</w:t>
            </w:r>
          </w:p>
          <w:p w14:paraId="0F9E18BC">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color w:val="auto"/>
                <w:kern w:val="2"/>
                <w:sz w:val="22"/>
                <w:szCs w:val="22"/>
                <w:highlight w:val="none"/>
                <w:lang w:val="en-US" w:eastAsia="zh-CN" w:bidi="ar-SA"/>
              </w:rPr>
              <w:t>★提供沙盘管理软件软件著作权登记证书。</w:t>
            </w:r>
          </w:p>
        </w:tc>
      </w:tr>
      <w:tr w14:paraId="035E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63EB91D2">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七、心理放松室</w:t>
            </w:r>
          </w:p>
        </w:tc>
      </w:tr>
      <w:tr w14:paraId="4194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9E6F85E">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13</w:t>
            </w:r>
          </w:p>
        </w:tc>
        <w:tc>
          <w:tcPr>
            <w:tcW w:w="1096" w:type="dxa"/>
            <w:vAlign w:val="center"/>
          </w:tcPr>
          <w:p w14:paraId="24465A6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HRV生物反馈系统+音乐按摩放松椅（台车版）</w:t>
            </w:r>
          </w:p>
        </w:tc>
        <w:tc>
          <w:tcPr>
            <w:tcW w:w="8920" w:type="dxa"/>
            <w:vAlign w:val="top"/>
          </w:tcPr>
          <w:p w14:paraId="0CDDF678">
            <w:pPr>
              <w:spacing w:line="24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b/>
                <w:bCs/>
                <w:color w:val="auto"/>
                <w:sz w:val="22"/>
                <w:szCs w:val="22"/>
                <w:highlight w:val="none"/>
                <w:lang w:val="en-US" w:eastAsia="zh-CN"/>
              </w:rPr>
              <w:t>尺寸要求</w:t>
            </w:r>
            <w:r>
              <w:rPr>
                <w:rFonts w:hint="eastAsia" w:ascii="宋体" w:hAnsi="宋体" w:eastAsia="宋体" w:cs="宋体"/>
                <w:b/>
                <w:bCs/>
                <w:color w:val="auto"/>
                <w:sz w:val="22"/>
                <w:szCs w:val="22"/>
                <w:highlight w:val="none"/>
                <w:lang w:eastAsia="zh-CN"/>
              </w:rPr>
              <w:t>：</w:t>
            </w:r>
          </w:p>
          <w:p w14:paraId="7700AD2D">
            <w:pPr>
              <w:spacing w:line="24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最小尺寸：</w:t>
            </w:r>
            <w:r>
              <w:rPr>
                <w:rFonts w:hint="eastAsia" w:ascii="宋体" w:hAnsi="宋体" w:eastAsia="宋体" w:cs="宋体"/>
                <w:color w:val="auto"/>
                <w:sz w:val="22"/>
                <w:szCs w:val="22"/>
                <w:highlight w:val="none"/>
              </w:rPr>
              <w:t>1780*1000*750</w:t>
            </w:r>
            <w:r>
              <w:rPr>
                <w:rFonts w:hint="eastAsia" w:ascii="宋体" w:hAnsi="宋体" w:eastAsia="宋体" w:cs="宋体"/>
                <w:color w:val="auto"/>
                <w:sz w:val="22"/>
                <w:szCs w:val="22"/>
                <w:highlight w:val="none"/>
                <w:lang w:val="en-US" w:eastAsia="zh-CN"/>
              </w:rPr>
              <w:t>m</w:t>
            </w:r>
            <w:r>
              <w:rPr>
                <w:rFonts w:hint="eastAsia" w:ascii="宋体" w:hAnsi="宋体" w:eastAsia="宋体" w:cs="宋体"/>
                <w:color w:val="auto"/>
                <w:sz w:val="22"/>
                <w:szCs w:val="22"/>
                <w:highlight w:val="none"/>
              </w:rPr>
              <w:t>m（椅背展开）</w:t>
            </w:r>
          </w:p>
          <w:p w14:paraId="5FFA9572">
            <w:pPr>
              <w:spacing w:line="240" w:lineRule="auto"/>
              <w:ind w:firstLine="1100" w:firstLineChars="5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1380*1000*1080（椅背收起）</w:t>
            </w:r>
          </w:p>
          <w:p w14:paraId="099F474B">
            <w:pPr>
              <w:spacing w:line="24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产品净重：</w:t>
            </w:r>
            <w:r>
              <w:rPr>
                <w:rFonts w:hint="eastAsia" w:ascii="宋体" w:hAnsi="宋体" w:eastAsia="宋体" w:cs="宋体"/>
                <w:color w:val="auto"/>
                <w:sz w:val="22"/>
                <w:szCs w:val="22"/>
                <w:highlight w:val="none"/>
                <w:lang w:val="en-US" w:eastAsia="zh-CN"/>
              </w:rPr>
              <w:t>不低于</w:t>
            </w:r>
            <w:r>
              <w:rPr>
                <w:rFonts w:hint="eastAsia" w:ascii="宋体" w:hAnsi="宋体" w:eastAsia="宋体" w:cs="宋体"/>
                <w:color w:val="auto"/>
                <w:sz w:val="22"/>
                <w:szCs w:val="22"/>
                <w:highlight w:val="none"/>
              </w:rPr>
              <w:t>45KG</w:t>
            </w:r>
          </w:p>
          <w:p w14:paraId="7DC9D9CD">
            <w:pPr>
              <w:spacing w:line="24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最大承载量：</w:t>
            </w:r>
            <w:r>
              <w:rPr>
                <w:rFonts w:hint="eastAsia" w:ascii="宋体" w:hAnsi="宋体" w:eastAsia="宋体" w:cs="宋体"/>
                <w:color w:val="auto"/>
                <w:sz w:val="22"/>
                <w:szCs w:val="22"/>
                <w:highlight w:val="none"/>
                <w:lang w:val="en-US" w:eastAsia="zh-CN"/>
              </w:rPr>
              <w:t>不低于</w:t>
            </w:r>
            <w:r>
              <w:rPr>
                <w:rFonts w:hint="eastAsia" w:ascii="宋体" w:hAnsi="宋体" w:eastAsia="宋体" w:cs="宋体"/>
                <w:color w:val="auto"/>
                <w:sz w:val="22"/>
                <w:szCs w:val="22"/>
                <w:highlight w:val="none"/>
              </w:rPr>
              <w:t>120KG</w:t>
            </w:r>
          </w:p>
          <w:p w14:paraId="1B43DE4B">
            <w:pPr>
              <w:spacing w:line="240" w:lineRule="auto"/>
              <w:rPr>
                <w:rFonts w:hint="eastAsia" w:ascii="宋体" w:hAnsi="宋体" w:eastAsia="宋体" w:cs="宋体"/>
                <w:b/>
                <w:bCs/>
                <w:i w:val="0"/>
                <w:iCs w:val="0"/>
                <w:color w:val="auto"/>
                <w:sz w:val="22"/>
                <w:szCs w:val="22"/>
                <w:highlight w:val="none"/>
              </w:rPr>
            </w:pPr>
            <w:r>
              <w:rPr>
                <w:rFonts w:hint="eastAsia" w:ascii="宋体" w:hAnsi="宋体" w:eastAsia="宋体" w:cs="宋体"/>
                <w:b/>
                <w:bCs/>
                <w:i w:val="0"/>
                <w:iCs w:val="0"/>
                <w:color w:val="auto"/>
                <w:sz w:val="22"/>
                <w:szCs w:val="22"/>
                <w:highlight w:val="none"/>
              </w:rPr>
              <w:t>主要功能：</w:t>
            </w:r>
          </w:p>
          <w:p w14:paraId="2A09A723">
            <w:pPr>
              <w:spacing w:line="240" w:lineRule="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主要功能：</w:t>
            </w:r>
          </w:p>
          <w:p w14:paraId="11EA6CF4">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一、数据中心（可以建立多个账号，建立不同人员的账号，快速的可以了解个人的使用状况。</w:t>
            </w:r>
          </w:p>
          <w:p w14:paraId="3959A3D2">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二、压力评估（通过权威压力评估常模进行压力测试，从生理，情绪，行为和认知全方面进行评估，评估后训练者可以准确的了解自己当前的压力指数，并可以获得压力管理指导建议。</w:t>
            </w:r>
          </w:p>
          <w:p w14:paraId="648ED108">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三</w:t>
            </w:r>
            <w:r>
              <w:rPr>
                <w:rFonts w:hint="eastAsia" w:ascii="宋体" w:hAnsi="宋体" w:eastAsia="宋体" w:cs="宋体"/>
                <w:color w:val="auto"/>
                <w:sz w:val="22"/>
                <w:szCs w:val="22"/>
                <w:highlight w:val="none"/>
              </w:rPr>
              <w:t>、调节训练（主要包含放松训练，音乐调试与自主调三大类调节训练模式，通过评估训练后的指导建议进行不同方面的训练。</w:t>
            </w:r>
          </w:p>
          <w:p w14:paraId="013383FB">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四</w:t>
            </w:r>
            <w:r>
              <w:rPr>
                <w:rFonts w:hint="eastAsia" w:ascii="宋体" w:hAnsi="宋体" w:eastAsia="宋体" w:cs="宋体"/>
                <w:color w:val="auto"/>
                <w:sz w:val="22"/>
                <w:szCs w:val="22"/>
                <w:highlight w:val="none"/>
              </w:rPr>
              <w:t>、自主调节</w:t>
            </w:r>
          </w:p>
          <w:p w14:paraId="63629B73">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自主调节包含三大类共六个以生物反馈技术为基础开发的画面精美、背景丰富的调节训练。不仅可以帮助使用者更有效地调节情绪，而且充满乐趣，能大大降低多次训练带来的枯燥感。</w:t>
            </w:r>
          </w:p>
          <w:p w14:paraId="194846F6">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五</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数据中心</w:t>
            </w:r>
          </w:p>
          <w:p w14:paraId="1D1F220B">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点击“数据中心”按钮进入“数据中心”界面。在这里用户可以进行音乐管理，修改个人信息，查看、导出、打印、删除本人的压力评估、调节训练报告。</w:t>
            </w:r>
          </w:p>
          <w:p w14:paraId="0A2E39EA">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六、生理指标采集设备采用USB有线连接防止丢失。</w:t>
            </w:r>
          </w:p>
          <w:p w14:paraId="3A15C276">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★提供相应软件软件著作权证书。</w:t>
            </w:r>
          </w:p>
          <w:p w14:paraId="0580AC2E">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★提供有资质的第三方检测机构出具的有效的检测报告或合格证或其他证明材料。</w:t>
            </w:r>
          </w:p>
        </w:tc>
      </w:tr>
      <w:tr w14:paraId="44E4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6" w:type="dxa"/>
            <w:vAlign w:val="center"/>
          </w:tcPr>
          <w:p w14:paraId="54C6800A">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14</w:t>
            </w:r>
          </w:p>
        </w:tc>
        <w:tc>
          <w:tcPr>
            <w:tcW w:w="1096" w:type="dxa"/>
            <w:vAlign w:val="center"/>
          </w:tcPr>
          <w:p w14:paraId="4D2EDBD6">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音乐放松椅（一体版）</w:t>
            </w:r>
          </w:p>
        </w:tc>
        <w:tc>
          <w:tcPr>
            <w:tcW w:w="8920" w:type="dxa"/>
            <w:vAlign w:val="top"/>
          </w:tcPr>
          <w:p w14:paraId="53BCB29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产品尺寸：</w:t>
            </w:r>
          </w:p>
          <w:p w14:paraId="474FFAF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不小于105CM×90CM×105CM(椅背收起)，</w:t>
            </w:r>
          </w:p>
          <w:p w14:paraId="078A930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不小于170CM×90CM×60CM（椅背展开）。</w:t>
            </w:r>
          </w:p>
          <w:p w14:paraId="42DE888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产品净重：不小于45KG;</w:t>
            </w:r>
          </w:p>
          <w:p w14:paraId="105181A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产品系统组成：</w:t>
            </w:r>
          </w:p>
          <w:p w14:paraId="5724526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1.独立电动控制系统：音乐椅靠背、腿部电动控制设计，靠背100度-180度，腿部90度-180度任意调节。</w:t>
            </w:r>
          </w:p>
          <w:p w14:paraId="0746627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2.数字播放系统：15寸超大液晶播放器，无线遥控，支持音乐、心理图片、心理文章、心理电影等多种格式文件。</w:t>
            </w:r>
          </w:p>
          <w:p w14:paraId="7E1154D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3.音乐放松系统：专业减压、放松、催眠系列音乐包。</w:t>
            </w:r>
          </w:p>
          <w:p w14:paraId="770D34B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4.播音系统:内置日本山水高品质音响。</w:t>
            </w:r>
          </w:p>
          <w:p w14:paraId="07B2B69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5.存储系统：内置8G高速存储卡，可无限扩充，支持SD卡及USB存储设备等。</w:t>
            </w:r>
          </w:p>
          <w:p w14:paraId="5D06DAF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6.头等舱设计开发真皮座椅</w:t>
            </w:r>
          </w:p>
          <w:p w14:paraId="6F80466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7.专业指导放松书籍</w:t>
            </w:r>
          </w:p>
          <w:p w14:paraId="65E86B3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8.内置专业心理音乐、专业心理图片和专业心理视频等相关资料。</w:t>
            </w:r>
          </w:p>
          <w:p w14:paraId="0CC9972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视频：催眠用摇摆钟视频、肌肉放松，呼吸放松等放松训练教学视频、经典眩晕视频；太空遐想视频。</w:t>
            </w:r>
          </w:p>
          <w:p w14:paraId="3ADC9A2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放松音乐：公司独有的中医五行身心放松音乐、音乐放松诱导训练（可以不在心理老师指导下用来自我催眠放松）、α波脑电波同步音乐放松、纯音乐放松训练，专业合成a波、放松指导语、大自然声，中国风音乐，国外著名放松音乐等，</w:t>
            </w:r>
          </w:p>
          <w:p w14:paraId="05281D4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放松图片：错觉图，不可能图，多角度图</w:t>
            </w:r>
          </w:p>
          <w:p w14:paraId="7559826A">
            <w:pPr>
              <w:numPr>
                <w:ilvl w:val="0"/>
                <w:numId w:val="0"/>
              </w:num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w:t>
            </w:r>
            <w:r>
              <w:rPr>
                <w:rFonts w:hint="eastAsia" w:ascii="宋体" w:hAnsi="宋体" w:eastAsia="宋体" w:cs="宋体"/>
                <w:color w:val="auto"/>
                <w:sz w:val="22"/>
                <w:szCs w:val="22"/>
                <w:highlight w:val="none"/>
                <w:lang w:val="en-US" w:eastAsia="zh-CN"/>
              </w:rPr>
              <w:t>相应软件的软件著作权证书。</w:t>
            </w:r>
          </w:p>
          <w:p w14:paraId="03F1D46A">
            <w:pPr>
              <w:pStyle w:val="19"/>
              <w:spacing w:line="24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p>
        </w:tc>
      </w:tr>
      <w:tr w14:paraId="4000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trPr>
        <w:tc>
          <w:tcPr>
            <w:tcW w:w="546" w:type="dxa"/>
            <w:vAlign w:val="center"/>
          </w:tcPr>
          <w:p w14:paraId="34BE11D2">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15</w:t>
            </w:r>
          </w:p>
        </w:tc>
        <w:tc>
          <w:tcPr>
            <w:tcW w:w="1096" w:type="dxa"/>
            <w:vAlign w:val="center"/>
          </w:tcPr>
          <w:p w14:paraId="5BBA3697">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便携式PAD生物反馈音乐按摩放松椅</w:t>
            </w:r>
          </w:p>
        </w:tc>
        <w:tc>
          <w:tcPr>
            <w:tcW w:w="8920" w:type="dxa"/>
            <w:vAlign w:val="top"/>
          </w:tcPr>
          <w:p w14:paraId="45F6710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产品尺寸：</w:t>
            </w:r>
          </w:p>
          <w:p w14:paraId="0CB52BD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放松椅</w:t>
            </w:r>
          </w:p>
          <w:p w14:paraId="4C8B97D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产品尺寸：不小于1520*750*1400mm</w:t>
            </w:r>
          </w:p>
          <w:p w14:paraId="3CED25C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额定功率：不低于90W</w:t>
            </w:r>
          </w:p>
          <w:p w14:paraId="70FD84E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安装方式：一体免安装</w:t>
            </w:r>
          </w:p>
          <w:p w14:paraId="3C01DC2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适用部位：全身</w:t>
            </w:r>
          </w:p>
          <w:p w14:paraId="3E8C81B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产品介绍及配置：</w:t>
            </w:r>
          </w:p>
          <w:p w14:paraId="2205E15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1、蓝牙音乐一体舱，整机至少需要52个揉捏推拿按摩球，颈部四个，背部六个，上腰六个，下腰部六个。</w:t>
            </w:r>
          </w:p>
          <w:p w14:paraId="15313A5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2、按摩速度可调，按摩方式正反转可调。</w:t>
            </w:r>
          </w:p>
          <w:p w14:paraId="6F199C2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3、臀部6D滚轮，大腿6D滚轮，腿肚子6D滚轮，肩部气囊、手臂气囊、腿部气囊，腿脚踝气囊按摩，腰背还有温感热敷功能。</w:t>
            </w:r>
          </w:p>
          <w:p w14:paraId="565A4E1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4、脚底12D滚轮，电动推杆设计，任意调节椅子角度，最低躺平170度，大液晶屏遥控、快捷按键一键操作、附加充电功能、语音智能操控功能。</w:t>
            </w:r>
          </w:p>
          <w:p w14:paraId="0424625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软件参数：</w:t>
            </w:r>
          </w:p>
          <w:p w14:paraId="5572FEC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智能减压调适训练系统是一款运用临床生物反馈医学技术开发的一款集压力调节系统，运用专业的心理压力量表与HRV数据评估心理状态，并且通过生物反馈技术进行身心调试，帮助使用者习得快速缓解压力的能力，提高抗压能力与情绪的稳定性。</w:t>
            </w:r>
          </w:p>
          <w:p w14:paraId="1406916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1.压力自测：运用PSTR专业压力测试量表，从生理、情绪、行为、认知等维度对来访者的心理压力进行评估。评估完成后出具详细的报告文件，且提供食疗建议，帮助用户调节生理状态。</w:t>
            </w:r>
          </w:p>
          <w:p w14:paraId="367B378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健康监测：运专业身心评估算法采集用户各项生理指标数据，专用生理指标采集仪采集用户HRV/心率/血氧/RR间接/PNN50等数据解析并且生成图文报告，由柱形图、散点图呈现用户的抗压、血液活性、情绪稳定、自助神经、疲劳程度、呼吸、情绪状态、RR间接的数据，并且根据这些数据自动给出心率脉搏/血氧饱和度/HRV变异性的指标建议，并提供训练建议以及食疗建议。根据所采集的用户生理数据自动推荐适合用户的调适音乐。</w:t>
            </w:r>
          </w:p>
          <w:p w14:paraId="15E1ACA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氛围催眠：运用各类生活音频，为用户营造一个舒适的催眠环境，通过组合各类音频形成催眠处方，最多可选择6种音频为用户营造舒适的想象环境，提供80种以上的无损SQ氛围音频，例如：化学课、夏日虫鸣、夜阑听雨、语文课等音频，用户最多可以选择三种音频组合成能够让自己形成睡眠反射的音频，快速进入让自己的场景。</w:t>
            </w:r>
          </w:p>
          <w:p w14:paraId="185ADF7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4.音乐调试：≥22大类心理音乐</w:t>
            </w:r>
          </w:p>
          <w:p w14:paraId="1737162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5.冥想放松：学生减压≥3节、学习冥想≥2节、做情绪的主人≥6节、高考冥想≥10节、5天情绪自调冥想5节、6天缓解焦虑6节、7天基础冥想7节、7天舒眠冥想 7节、7天幸福冥想 7节、7天专注冥想 7节、7自愈安眠7节、 8天修禅冥想8节、30天冥想训练营30节、大自然的声乐 ≥10节、聆听内心的声音 ≥2节、放松静心≥ 9节。  </w:t>
            </w:r>
          </w:p>
          <w:p w14:paraId="57224CE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6.视频放松：鼻腔放松、腹式放松、肌肉放松、控制呼吸法、放松训练，等。</w:t>
            </w:r>
          </w:p>
          <w:p w14:paraId="2485457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7.调节训练：菩提树、秘密花园、神箭手、蒲公英、破土而生等游戏，设置简单、一般、困难三个级别，训练结束后系统自动生成关于训练的各项数据报告提供给心理工作者进行参考。</w:t>
            </w:r>
          </w:p>
          <w:p w14:paraId="3B7DF10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8.趣味测试：提供大量心理趣味测试量表，提升用户的心情指数以及普及心理健康知识。</w:t>
            </w:r>
          </w:p>
          <w:p w14:paraId="7ACADD0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9.心理电影：为用户提供多个心理相关电影，丰富心理教育相关知识。</w:t>
            </w:r>
          </w:p>
          <w:p w14:paraId="7BF72D2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10.心理科普：提供丰富的心理学相关知识，包含：社会心理学、心理学定律、心理学效应等心理知识。</w:t>
            </w:r>
          </w:p>
          <w:p w14:paraId="7A297DD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11.个人中心：记录用户的所有使用数据，帮助心理老师与用户对比多次训练后的效果。</w:t>
            </w:r>
          </w:p>
          <w:p w14:paraId="040C6B4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12.无线数据传输：采用指脉式采集仪设计，蓝牙匹配方式连接，有效距离为10米。</w:t>
            </w:r>
          </w:p>
          <w:p w14:paraId="082CE72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13.EMDR眼动脱敏：EMDR是一个治疗创伤后应激障碍（PTSD）非常有效果的心理治疗方法，并且EMDR是在国外治疗PTSD的方法中使用最广泛的心理治疗方法，提供包含家暴、车祸、泥石流等10余种治疗场景，系统由评估-脱敏-自我调节三个大步骤与历史采集与治疗计划、准备阶段、评估、脱敏、置入、身体扫描、收尾、重新评估8个治疗流程严格组成，从评估到脱敏以及自我调节完成整个系统的治疗闭环。</w:t>
            </w:r>
          </w:p>
          <w:p w14:paraId="6CEDFF0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14.应激训练：提供≥10余种包含家暴、泥石流、车祸、地震、战争等应激场景，通过问卷式的互动方式训练与植入来访者在面对以外情况发生时的应处方式。</w:t>
            </w:r>
          </w:p>
          <w:p w14:paraId="3F3D10E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15.多用户注册及脸部识别登录。</w:t>
            </w:r>
          </w:p>
          <w:p w14:paraId="7E2A5A0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★提供相应系统的软件著作。</w:t>
            </w:r>
          </w:p>
          <w:p w14:paraId="517A5A4D">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★提供有资质的第三方检测机构出具的有效的检测报告或合格证或其他证明材料。</w:t>
            </w:r>
          </w:p>
        </w:tc>
      </w:tr>
      <w:tr w14:paraId="39DE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124C3C0B">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16</w:t>
            </w:r>
          </w:p>
        </w:tc>
        <w:tc>
          <w:tcPr>
            <w:tcW w:w="1096" w:type="dxa"/>
            <w:vAlign w:val="center"/>
          </w:tcPr>
          <w:p w14:paraId="64D88127">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VR/AR望远镜</w:t>
            </w:r>
          </w:p>
        </w:tc>
        <w:tc>
          <w:tcPr>
            <w:tcW w:w="8920" w:type="dxa"/>
            <w:vAlign w:val="center"/>
          </w:tcPr>
          <w:p w14:paraId="107A4857">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4k高清屏幕及以上</w:t>
            </w:r>
          </w:p>
          <w:p w14:paraId="03071167">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6G运行内存及以上</w:t>
            </w:r>
          </w:p>
          <w:p w14:paraId="0D3FD3E9">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128G存储及以上</w:t>
            </w:r>
          </w:p>
          <w:p w14:paraId="6E8DBFA3">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90HZ刷新率及以上</w:t>
            </w:r>
          </w:p>
          <w:p w14:paraId="75D58F16">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材质：钣金，轴承。"</w:t>
            </w:r>
          </w:p>
          <w:p w14:paraId="0500254D">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450*450*1300-1700mm</w:t>
            </w:r>
          </w:p>
          <w:p w14:paraId="3AFDD551">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额定电压:220V</w:t>
            </w:r>
          </w:p>
          <w:p w14:paraId="02868BB8">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额定功率:100W</w:t>
            </w:r>
          </w:p>
          <w:p w14:paraId="0FF62ABD">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菲涅耳镜片，FOV：98°</w:t>
            </w:r>
          </w:p>
          <w:p w14:paraId="7E93F10D">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头&amp;手6Dof交互</w:t>
            </w:r>
          </w:p>
          <w:p w14:paraId="0D0E9911">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双Mic降噪</w:t>
            </w:r>
          </w:p>
          <w:p w14:paraId="3E536A97">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高通骁龙XR2平台</w:t>
            </w:r>
          </w:p>
          <w:p w14:paraId="7F0402EB">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软绑带设计全景片源</w:t>
            </w:r>
          </w:p>
          <w:p w14:paraId="4EBA8894">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功能介绍：</w:t>
            </w:r>
          </w:p>
          <w:p w14:paraId="0249AE95">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1.相比传统的视频内容，它具备360度全景画面，用户也就是主角可以身临其境，通过声音、全面影响感受气氛和氛围，空间感、距离感都会更有层次。</w:t>
            </w:r>
          </w:p>
          <w:p w14:paraId="7D78334A">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2.将虚拟现实头部显示、动态特效平台和虚拟现实内容无缝融合，提供视觉、听觉、触觉、嗅觉等感官的逼真模拟，让您全方位沉浸在虚拟空间中，走进另一个属于您的世界以前从没来过</w:t>
            </w:r>
          </w:p>
          <w:p w14:paraId="012A82ED">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3.用户可在无人看守下体验</w:t>
            </w:r>
          </w:p>
          <w:p w14:paraId="682B8B4B">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4.在线影院，可浏览20个及以上VR场景</w:t>
            </w:r>
          </w:p>
        </w:tc>
      </w:tr>
      <w:tr w14:paraId="5041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FF52723">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17</w:t>
            </w:r>
          </w:p>
        </w:tc>
        <w:tc>
          <w:tcPr>
            <w:tcW w:w="1096" w:type="dxa"/>
            <w:vAlign w:val="center"/>
          </w:tcPr>
          <w:p w14:paraId="11AEB726">
            <w:pPr>
              <w:spacing w:line="240" w:lineRule="auto"/>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lang w:val="en-US" w:eastAsia="zh-CN"/>
              </w:rPr>
              <w:t>互动绘画台</w:t>
            </w:r>
          </w:p>
        </w:tc>
        <w:tc>
          <w:tcPr>
            <w:tcW w:w="8920" w:type="dxa"/>
            <w:vAlign w:val="top"/>
          </w:tcPr>
          <w:p w14:paraId="2D9677E8">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设备参数</w:t>
            </w:r>
          </w:p>
          <w:p w14:paraId="1DAE5051">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1.投影尺寸不可以小于3.15*2.15</w:t>
            </w:r>
          </w:p>
          <w:p w14:paraId="26979658">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2.主机不低于I5工业级主机，独立显卡，支持多级输出，处理器不少于双核，内存不低于8GB，固态硬盘不小于128GB</w:t>
            </w:r>
          </w:p>
          <w:p w14:paraId="44051D1E">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3.短焦投影仪*1台，纯蓝色激光光源DLP投影系统亮度≥3500 流明工作电压AC100~240V,50/60HZ；额定电源AC220V功耗低功耗设计，工作功率≤300W，待机功率≤0.5W</w:t>
            </w:r>
          </w:p>
          <w:p w14:paraId="6A3C688C">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4.互动装置激光感应器*1台</w:t>
            </w:r>
          </w:p>
          <w:p w14:paraId="36BF9C31">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5.其他(线材，音箱，支架)</w:t>
            </w:r>
          </w:p>
          <w:p w14:paraId="6F1B878B">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6.不小于43寸电容屏触摸桌，支持6点以上的多点触控，</w:t>
            </w:r>
          </w:p>
          <w:p w14:paraId="02A17678">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7.不低于7种场景呈现，必备海底、森林、农场场景</w:t>
            </w:r>
          </w:p>
          <w:p w14:paraId="44383713">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8.HDMI信号传输线和投影安装支架x1套; 雷柏无线键鼠套装；</w:t>
            </w:r>
          </w:p>
          <w:p w14:paraId="17D455F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9.系统应支持自定义模型，上传大屏后还可以触摸互动</w:t>
            </w:r>
          </w:p>
          <w:p w14:paraId="26A8D22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功能介绍：孩子们使用涂色卡上色，完成绘画作品后，通过扫描仪识别触摸屏甩屏后，孩子们创作的绘画作品可以出现在墙面的投影屏幕中，小朋友们会惊喜的发现自己的绘画作品变活了，同时小朋友们跟自己绘画的内容进行有趣的互动，互动性锻炼了孩子的社交及创造能力。该系统包含了7种主题场景，丰富性、多彩性让孩子们更能激发想象空间、接触全新的体验。孩子们可以是“海底”中自由游动、森林中快乐奔跑、农场里惬意漫步........</w:t>
            </w:r>
          </w:p>
          <w:p w14:paraId="64ECAC9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w:t>
            </w:r>
            <w:r>
              <w:rPr>
                <w:rFonts w:hint="eastAsia" w:ascii="宋体" w:hAnsi="宋体" w:eastAsia="宋体" w:cs="宋体"/>
                <w:color w:val="auto"/>
                <w:sz w:val="22"/>
                <w:szCs w:val="22"/>
                <w:highlight w:val="none"/>
                <w:lang w:val="en-US" w:eastAsia="zh-CN"/>
              </w:rPr>
              <w:t>画画交互工具的系统软件著作登记证书。</w:t>
            </w:r>
          </w:p>
        </w:tc>
      </w:tr>
      <w:tr w14:paraId="22549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FC24DB0">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18</w:t>
            </w:r>
          </w:p>
        </w:tc>
        <w:tc>
          <w:tcPr>
            <w:tcW w:w="1096" w:type="dxa"/>
            <w:vAlign w:val="center"/>
          </w:tcPr>
          <w:p w14:paraId="116EEE0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脑波反馈肌肉按摩放松一体机</w:t>
            </w:r>
          </w:p>
        </w:tc>
        <w:tc>
          <w:tcPr>
            <w:tcW w:w="8920" w:type="dxa"/>
            <w:vAlign w:val="top"/>
          </w:tcPr>
          <w:p w14:paraId="245BF148">
            <w:pPr>
              <w:spacing w:line="240" w:lineRule="auto"/>
              <w:rPr>
                <w:rFonts w:hint="eastAsia" w:ascii="宋体" w:hAnsi="宋体" w:eastAsia="宋体" w:cs="宋体"/>
                <w:b/>
                <w:bCs/>
                <w:i w:val="0"/>
                <w:iCs w:val="0"/>
                <w:color w:val="auto"/>
                <w:sz w:val="22"/>
                <w:szCs w:val="22"/>
                <w:highlight w:val="none"/>
                <w:lang w:eastAsia="zh-CN"/>
              </w:rPr>
            </w:pPr>
            <w:r>
              <w:rPr>
                <w:rFonts w:hint="eastAsia" w:ascii="宋体" w:hAnsi="宋体" w:eastAsia="宋体" w:cs="宋体"/>
                <w:b/>
                <w:bCs/>
                <w:i w:val="0"/>
                <w:iCs w:val="0"/>
                <w:color w:val="auto"/>
                <w:sz w:val="22"/>
                <w:szCs w:val="22"/>
                <w:highlight w:val="none"/>
              </w:rPr>
              <w:t>产品尺寸</w:t>
            </w:r>
            <w:r>
              <w:rPr>
                <w:rFonts w:hint="eastAsia" w:ascii="宋体" w:hAnsi="宋体" w:eastAsia="宋体" w:cs="宋体"/>
                <w:b/>
                <w:bCs/>
                <w:i w:val="0"/>
                <w:iCs w:val="0"/>
                <w:color w:val="auto"/>
                <w:sz w:val="22"/>
                <w:szCs w:val="22"/>
                <w:highlight w:val="none"/>
                <w:lang w:eastAsia="zh-CN"/>
              </w:rPr>
              <w:t>：</w:t>
            </w:r>
          </w:p>
          <w:p w14:paraId="74EF0550">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按摩椅尺寸：</w:t>
            </w:r>
            <w:r>
              <w:rPr>
                <w:rFonts w:hint="eastAsia" w:ascii="宋体" w:hAnsi="宋体" w:eastAsia="宋体" w:cs="宋体"/>
                <w:i w:val="0"/>
                <w:iCs w:val="0"/>
                <w:color w:val="auto"/>
                <w:sz w:val="22"/>
                <w:szCs w:val="22"/>
                <w:highlight w:val="none"/>
                <w:lang w:val="en-US" w:eastAsia="zh-CN"/>
              </w:rPr>
              <w:t>不小于</w:t>
            </w:r>
            <w:r>
              <w:rPr>
                <w:rFonts w:hint="eastAsia" w:ascii="宋体" w:hAnsi="宋体" w:eastAsia="宋体" w:cs="宋体"/>
                <w:i w:val="0"/>
                <w:iCs w:val="0"/>
                <w:color w:val="auto"/>
                <w:sz w:val="22"/>
                <w:szCs w:val="22"/>
                <w:highlight w:val="none"/>
              </w:rPr>
              <w:t>1225</w:t>
            </w: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sz w:val="22"/>
                <w:szCs w:val="22"/>
                <w:highlight w:val="none"/>
              </w:rPr>
              <w:t>825</w:t>
            </w: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sz w:val="22"/>
                <w:szCs w:val="22"/>
                <w:highlight w:val="none"/>
              </w:rPr>
              <w:t>123</w:t>
            </w:r>
            <w:r>
              <w:rPr>
                <w:rFonts w:hint="eastAsia" w:ascii="宋体" w:hAnsi="宋体" w:eastAsia="宋体" w:cs="宋体"/>
                <w:i w:val="0"/>
                <w:iCs w:val="0"/>
                <w:color w:val="auto"/>
                <w:sz w:val="22"/>
                <w:szCs w:val="22"/>
                <w:highlight w:val="none"/>
                <w:lang w:val="en-US" w:eastAsia="zh-CN"/>
              </w:rPr>
              <w:t>0mm</w:t>
            </w:r>
          </w:p>
          <w:p w14:paraId="7EAC318C">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产品净重：</w:t>
            </w:r>
            <w:r>
              <w:rPr>
                <w:rFonts w:hint="eastAsia" w:ascii="宋体" w:hAnsi="宋体" w:eastAsia="宋体" w:cs="宋体"/>
                <w:i w:val="0"/>
                <w:iCs w:val="0"/>
                <w:color w:val="auto"/>
                <w:sz w:val="22"/>
                <w:szCs w:val="22"/>
                <w:highlight w:val="none"/>
                <w:lang w:val="en-US" w:eastAsia="zh-CN"/>
              </w:rPr>
              <w:t>不小于</w:t>
            </w:r>
            <w:r>
              <w:rPr>
                <w:rFonts w:hint="eastAsia" w:ascii="宋体" w:hAnsi="宋体" w:eastAsia="宋体" w:cs="宋体"/>
                <w:i w:val="0"/>
                <w:iCs w:val="0"/>
                <w:color w:val="auto"/>
                <w:sz w:val="22"/>
                <w:szCs w:val="22"/>
                <w:highlight w:val="none"/>
              </w:rPr>
              <w:t>100KG，功率：</w:t>
            </w:r>
            <w:r>
              <w:rPr>
                <w:rFonts w:hint="eastAsia" w:ascii="宋体" w:hAnsi="宋体" w:eastAsia="宋体" w:cs="宋体"/>
                <w:i w:val="0"/>
                <w:iCs w:val="0"/>
                <w:color w:val="auto"/>
                <w:sz w:val="22"/>
                <w:szCs w:val="22"/>
                <w:highlight w:val="none"/>
                <w:lang w:val="en-US" w:eastAsia="zh-CN"/>
              </w:rPr>
              <w:t>不大于</w:t>
            </w:r>
            <w:r>
              <w:rPr>
                <w:rFonts w:hint="eastAsia" w:ascii="宋体" w:hAnsi="宋体" w:eastAsia="宋体" w:cs="宋体"/>
                <w:i w:val="0"/>
                <w:iCs w:val="0"/>
                <w:color w:val="auto"/>
                <w:sz w:val="22"/>
                <w:szCs w:val="22"/>
                <w:highlight w:val="none"/>
              </w:rPr>
              <w:t>280W。</w:t>
            </w:r>
          </w:p>
          <w:p w14:paraId="3454FC60">
            <w:pPr>
              <w:spacing w:line="240" w:lineRule="auto"/>
              <w:rPr>
                <w:rFonts w:hint="eastAsia" w:ascii="宋体" w:hAnsi="宋体" w:eastAsia="宋体" w:cs="宋体"/>
                <w:b/>
                <w:bCs/>
                <w:i w:val="0"/>
                <w:iCs w:val="0"/>
                <w:color w:val="auto"/>
                <w:sz w:val="22"/>
                <w:szCs w:val="22"/>
                <w:highlight w:val="none"/>
                <w:lang w:eastAsia="zh-CN"/>
              </w:rPr>
            </w:pPr>
            <w:r>
              <w:rPr>
                <w:rFonts w:hint="eastAsia" w:ascii="宋体" w:hAnsi="宋体" w:eastAsia="宋体" w:cs="宋体"/>
                <w:b/>
                <w:bCs/>
                <w:i w:val="0"/>
                <w:iCs w:val="0"/>
                <w:color w:val="auto"/>
                <w:sz w:val="22"/>
                <w:szCs w:val="22"/>
                <w:highlight w:val="none"/>
                <w:lang w:val="en-US" w:eastAsia="zh-CN"/>
              </w:rPr>
              <w:t>产品</w:t>
            </w:r>
            <w:r>
              <w:rPr>
                <w:rFonts w:hint="eastAsia" w:ascii="宋体" w:hAnsi="宋体" w:eastAsia="宋体" w:cs="宋体"/>
                <w:b/>
                <w:bCs/>
                <w:i w:val="0"/>
                <w:iCs w:val="0"/>
                <w:color w:val="auto"/>
                <w:sz w:val="22"/>
                <w:szCs w:val="22"/>
                <w:highlight w:val="none"/>
              </w:rPr>
              <w:t>功能</w:t>
            </w:r>
            <w:r>
              <w:rPr>
                <w:rFonts w:hint="eastAsia" w:ascii="宋体" w:hAnsi="宋体" w:eastAsia="宋体" w:cs="宋体"/>
                <w:b/>
                <w:bCs/>
                <w:i w:val="0"/>
                <w:iCs w:val="0"/>
                <w:color w:val="auto"/>
                <w:sz w:val="22"/>
                <w:szCs w:val="22"/>
                <w:highlight w:val="none"/>
                <w:lang w:eastAsia="zh-CN"/>
              </w:rPr>
              <w:t>：</w:t>
            </w:r>
          </w:p>
          <w:p w14:paraId="2A286569">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1、产品具有自动检测功能，可以针对不同身高和体型的人进行精准按摩。</w:t>
            </w:r>
          </w:p>
          <w:p w14:paraId="38183B64">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2、音乐放松椅背部、座部、腿部的角度可单独调节，实现舒适的零重力状态，还可以实现脚步略高于头部的体位姿势，实现改善脑部血液循环，促进脑部充氧，更具人性化和舒适度；扶手与靠背连动，无论后背怎么变化，都保持手臂时刻舒适的按摩状态。</w:t>
            </w:r>
          </w:p>
          <w:p w14:paraId="2F32E1B7">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3、小腿有加热功能，能够促进血液循环，独特的拉伸功能，使人达到充分舒展。</w:t>
            </w:r>
          </w:p>
          <w:p w14:paraId="3CF27701">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lang w:val="en-US" w:eastAsia="zh-CN"/>
              </w:rPr>
              <w:t>4、</w:t>
            </w:r>
            <w:r>
              <w:rPr>
                <w:rFonts w:hint="eastAsia" w:ascii="宋体" w:hAnsi="宋体" w:eastAsia="宋体" w:cs="宋体"/>
                <w:i w:val="0"/>
                <w:iCs w:val="0"/>
                <w:color w:val="auto"/>
                <w:sz w:val="22"/>
                <w:szCs w:val="22"/>
                <w:highlight w:val="none"/>
              </w:rPr>
              <w:t>机芯上设计独特的热疗按摩球可对肩、颈、腰等部位进行温暖按摩，缓解身体酸痛，促进人体血液循环。全新太空舱式手臂气压采用整体内嵌式气压按摩，通过不同气囊的动作组合实现活动手腕及前臂、上臂全方位的捏拿按摩，配合座部、腿部的气压按摩和零重力功能。更加舒适通畅。</w:t>
            </w:r>
          </w:p>
          <w:p w14:paraId="5F1D4872">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lang w:val="en-US" w:eastAsia="zh-CN"/>
              </w:rPr>
              <w:t>5、</w:t>
            </w:r>
            <w:r>
              <w:rPr>
                <w:rFonts w:hint="eastAsia" w:ascii="宋体" w:hAnsi="宋体" w:eastAsia="宋体" w:cs="宋体"/>
                <w:i w:val="0"/>
                <w:iCs w:val="0"/>
                <w:color w:val="auto"/>
                <w:sz w:val="22"/>
                <w:szCs w:val="22"/>
                <w:highlight w:val="none"/>
              </w:rPr>
              <w:t>腿脚部自由弹性伸缩，适合不同身高的人使用；脚步具有足部理疗功能，可实现真人手感的滚压按摩。</w:t>
            </w:r>
          </w:p>
          <w:p w14:paraId="15DB5F24">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lang w:val="en-US" w:eastAsia="zh-CN"/>
              </w:rPr>
              <w:t>6、</w:t>
            </w:r>
            <w:r>
              <w:rPr>
                <w:rFonts w:hint="eastAsia" w:ascii="宋体" w:hAnsi="宋体" w:eastAsia="宋体" w:cs="宋体"/>
                <w:i w:val="0"/>
                <w:iCs w:val="0"/>
                <w:color w:val="auto"/>
                <w:sz w:val="22"/>
                <w:szCs w:val="22"/>
                <w:highlight w:val="none"/>
              </w:rPr>
              <w:t>手控器采用高分辨率的全彩大液晶屏，实时显示按摩的部位、手法及状态。</w:t>
            </w:r>
          </w:p>
          <w:p w14:paraId="5485555B">
            <w:pPr>
              <w:spacing w:line="240" w:lineRule="auto"/>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rPr>
              <w:t>气压按摩程序运用了人体工程学理论。座部和腰部气囊的组合动作能实现气压舒展，侧翻和扭转的功能。</w:t>
            </w:r>
          </w:p>
          <w:p w14:paraId="5843EB34">
            <w:pPr>
              <w:pStyle w:val="6"/>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kern w:val="2"/>
                <w:sz w:val="22"/>
                <w:szCs w:val="22"/>
                <w:highlight w:val="none"/>
                <w:lang w:val="en-US" w:eastAsia="zh-CN" w:bidi="ar-SA"/>
              </w:rPr>
              <w:t>7</w:t>
            </w:r>
            <w:r>
              <w:rPr>
                <w:rFonts w:hint="eastAsia" w:cs="宋体"/>
                <w:i w:val="0"/>
                <w:iCs w:val="0"/>
                <w:color w:val="auto"/>
                <w:kern w:val="2"/>
                <w:sz w:val="22"/>
                <w:szCs w:val="22"/>
                <w:highlight w:val="none"/>
                <w:lang w:val="en-US" w:eastAsia="zh-CN" w:bidi="ar-SA"/>
              </w:rPr>
              <w:t>、</w:t>
            </w:r>
            <w:r>
              <w:rPr>
                <w:rFonts w:hint="eastAsia" w:ascii="宋体" w:hAnsi="宋体" w:eastAsia="宋体" w:cs="宋体"/>
                <w:i w:val="0"/>
                <w:iCs w:val="0"/>
                <w:color w:val="auto"/>
                <w:kern w:val="2"/>
                <w:sz w:val="22"/>
                <w:szCs w:val="22"/>
                <w:highlight w:val="none"/>
                <w:lang w:val="en-US" w:eastAsia="zh-CN" w:bidi="ar-SA"/>
              </w:rPr>
              <w:t>可播放U盘歌曲，并可对喇叭或耳机收听进行选择。同时将音乐的律动技术融入到按摩手法中。提升了按摩效果，缓解心理压力</w:t>
            </w:r>
          </w:p>
          <w:p w14:paraId="65A1B280">
            <w:pPr>
              <w:spacing w:line="240" w:lineRule="auto"/>
              <w:rPr>
                <w:rFonts w:hint="eastAsia" w:ascii="宋体" w:hAnsi="宋体" w:eastAsia="宋体" w:cs="宋体"/>
                <w:i w:val="0"/>
                <w:iCs w:val="0"/>
                <w:color w:val="auto"/>
                <w:sz w:val="22"/>
                <w:szCs w:val="22"/>
                <w:highlight w:val="none"/>
                <w:lang w:eastAsia="zh-CN"/>
              </w:rPr>
            </w:pPr>
            <w:r>
              <w:rPr>
                <w:rFonts w:hint="eastAsia" w:ascii="宋体" w:hAnsi="宋体" w:eastAsia="宋体" w:cs="宋体"/>
                <w:i w:val="0"/>
                <w:iCs w:val="0"/>
                <w:color w:val="auto"/>
                <w:sz w:val="22"/>
                <w:szCs w:val="22"/>
                <w:highlight w:val="none"/>
                <w:lang w:val="en-US" w:eastAsia="zh-CN"/>
              </w:rPr>
              <w:t>8</w:t>
            </w:r>
            <w:r>
              <w:rPr>
                <w:rFonts w:hint="eastAsia" w:ascii="宋体" w:hAnsi="宋体" w:eastAsia="宋体" w:cs="宋体"/>
                <w:i w:val="0"/>
                <w:iCs w:val="0"/>
                <w:color w:val="auto"/>
                <w:sz w:val="22"/>
                <w:szCs w:val="22"/>
                <w:highlight w:val="none"/>
              </w:rPr>
              <w:t>、采用头戴脑波设备可实时获取被测试者的脑电数据以及反映测试者心理状况的多项指标参数。依据生物反馈原理，采用游戏，音乐，图像等多种训练方式进行训练，起到消除紧张，忧郁，缓解压力，实现心理健康，提升心理调节能力等作用</w:t>
            </w:r>
            <w:r>
              <w:rPr>
                <w:rFonts w:hint="eastAsia" w:ascii="宋体" w:hAnsi="宋体" w:eastAsia="宋体" w:cs="宋体"/>
                <w:i w:val="0"/>
                <w:iCs w:val="0"/>
                <w:color w:val="auto"/>
                <w:sz w:val="22"/>
                <w:szCs w:val="22"/>
                <w:highlight w:val="none"/>
                <w:lang w:eastAsia="zh-CN"/>
              </w:rPr>
              <w:t>。</w:t>
            </w:r>
          </w:p>
          <w:p w14:paraId="46B44773">
            <w:pPr>
              <w:spacing w:line="240" w:lineRule="auto"/>
              <w:rPr>
                <w:rFonts w:hint="eastAsia" w:ascii="宋体" w:hAnsi="宋体" w:eastAsia="宋体" w:cs="宋体"/>
                <w:b/>
                <w:bCs/>
                <w:i w:val="0"/>
                <w:iCs w:val="0"/>
                <w:color w:val="auto"/>
                <w:sz w:val="22"/>
                <w:szCs w:val="22"/>
                <w:highlight w:val="none"/>
                <w:lang w:eastAsia="zh-CN"/>
              </w:rPr>
            </w:pPr>
            <w:r>
              <w:rPr>
                <w:rFonts w:hint="eastAsia" w:ascii="宋体" w:hAnsi="宋体" w:eastAsia="宋体" w:cs="宋体"/>
                <w:b/>
                <w:bCs/>
                <w:i w:val="0"/>
                <w:iCs w:val="0"/>
                <w:color w:val="auto"/>
                <w:sz w:val="22"/>
                <w:szCs w:val="22"/>
                <w:highlight w:val="none"/>
                <w:lang w:val="en-US" w:eastAsia="zh-CN"/>
              </w:rPr>
              <w:t>软件</w:t>
            </w:r>
            <w:r>
              <w:rPr>
                <w:rFonts w:hint="eastAsia" w:ascii="宋体" w:hAnsi="宋体" w:eastAsia="宋体" w:cs="宋体"/>
                <w:b/>
                <w:bCs/>
                <w:i w:val="0"/>
                <w:iCs w:val="0"/>
                <w:color w:val="auto"/>
                <w:sz w:val="22"/>
                <w:szCs w:val="22"/>
                <w:highlight w:val="none"/>
              </w:rPr>
              <w:t>功能</w:t>
            </w:r>
            <w:r>
              <w:rPr>
                <w:rFonts w:hint="eastAsia" w:ascii="宋体" w:hAnsi="宋体" w:eastAsia="宋体" w:cs="宋体"/>
                <w:b/>
                <w:bCs/>
                <w:i w:val="0"/>
                <w:iCs w:val="0"/>
                <w:color w:val="auto"/>
                <w:sz w:val="22"/>
                <w:szCs w:val="22"/>
                <w:highlight w:val="none"/>
                <w:lang w:eastAsia="zh-CN"/>
              </w:rPr>
              <w:t>：</w:t>
            </w:r>
          </w:p>
          <w:p w14:paraId="48DC35A2">
            <w:pPr>
              <w:pStyle w:val="6"/>
              <w:numPr>
                <w:ilvl w:val="0"/>
                <w:numId w:val="0"/>
              </w:num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1.采用头戴式脑波仪戴在头上，以单通道测量头部前额叶脑波，佩戴简单，舒适，信号稳定可靠。</w:t>
            </w:r>
          </w:p>
          <w:p w14:paraId="3A402085">
            <w:pPr>
              <w:widowControl w:val="0"/>
              <w:numPr>
                <w:ilvl w:val="0"/>
                <w:numId w:val="0"/>
              </w:num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2.脑波数据实时监测，能够实时动态监测和记录专注度，放松度及α波、β波、θ波、δ波、γ波8个等EET参数，专注度和放松度输出频率为1HZ。</w:t>
            </w:r>
          </w:p>
          <w:p w14:paraId="2C3ABC79">
            <w:pPr>
              <w:pStyle w:val="83"/>
              <w:spacing w:line="240" w:lineRule="auto"/>
              <w:ind w:left="0" w:leftChars="0" w:firstLine="0" w:firstLineChars="0"/>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3.软件功能至少包含：数据监测、集中训练、放松训练、数据分析、用户管理、系统介绍、连接设置。</w:t>
            </w:r>
          </w:p>
          <w:p w14:paraId="66226213">
            <w:pPr>
              <w:pStyle w:val="83"/>
              <w:spacing w:line="240" w:lineRule="auto"/>
              <w:ind w:left="0" w:leftChars="0" w:firstLine="0" w:firstLineChars="0"/>
              <w:rPr>
                <w:rFonts w:hint="eastAsia" w:ascii="宋体" w:hAnsi="宋体" w:eastAsia="宋体" w:cs="宋体"/>
                <w:i w:val="0"/>
                <w:iCs w:val="0"/>
                <w:color w:val="auto"/>
                <w:sz w:val="22"/>
                <w:szCs w:val="22"/>
                <w:highlight w:val="none"/>
              </w:rPr>
            </w:pPr>
            <w:r>
              <w:rPr>
                <w:rFonts w:hint="eastAsia" w:ascii="宋体" w:hAnsi="宋体" w:eastAsia="宋体" w:cs="宋体"/>
                <w:i w:val="0"/>
                <w:iCs w:val="0"/>
                <w:color w:val="auto"/>
                <w:sz w:val="22"/>
                <w:szCs w:val="22"/>
                <w:highlight w:val="none"/>
                <w:lang w:val="en-US" w:eastAsia="zh-CN"/>
              </w:rPr>
              <w:t>4.</w:t>
            </w:r>
            <w:r>
              <w:rPr>
                <w:rFonts w:hint="eastAsia" w:ascii="宋体" w:hAnsi="宋体" w:eastAsia="宋体" w:cs="宋体"/>
                <w:i w:val="0"/>
                <w:iCs w:val="0"/>
                <w:color w:val="auto"/>
                <w:sz w:val="22"/>
                <w:szCs w:val="22"/>
                <w:highlight w:val="none"/>
              </w:rPr>
              <w:t>专注度和放松度测试训练，提供至少9种注意力训练方法，提供音乐放松训练功能，所有训练自动数据记录和分析。</w:t>
            </w:r>
          </w:p>
          <w:p w14:paraId="364949CF">
            <w:pPr>
              <w:pStyle w:val="83"/>
              <w:spacing w:line="240" w:lineRule="auto"/>
              <w:ind w:left="0" w:leftChars="0" w:firstLine="0" w:firstLineChars="0"/>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5.</w:t>
            </w:r>
            <w:r>
              <w:rPr>
                <w:rFonts w:hint="eastAsia" w:ascii="宋体" w:hAnsi="宋体" w:eastAsia="宋体" w:cs="宋体"/>
                <w:i w:val="0"/>
                <w:iCs w:val="0"/>
                <w:color w:val="auto"/>
                <w:sz w:val="22"/>
                <w:szCs w:val="22"/>
                <w:highlight w:val="none"/>
              </w:rPr>
              <w:t>系统具备统计分析功能，可对采集者的训练数据进行统计分析，用曲线图，饼状图，柱状图等形式显示分析结果，对训练效果进行评价，并自动生成报告，训练报告采用WORD等格式，支持多用户管理，管理员对</w:t>
            </w:r>
            <w:r>
              <w:rPr>
                <w:rFonts w:hint="eastAsia" w:ascii="宋体" w:hAnsi="宋体" w:eastAsia="宋体" w:cs="宋体"/>
                <w:i w:val="0"/>
                <w:iCs w:val="0"/>
                <w:color w:val="auto"/>
                <w:kern w:val="2"/>
                <w:sz w:val="22"/>
                <w:szCs w:val="22"/>
                <w:highlight w:val="none"/>
                <w:lang w:val="en-US" w:eastAsia="zh-CN" w:bidi="ar-SA"/>
              </w:rPr>
              <w:t>训练记录统一管理，可生成所有用户的报告。</w:t>
            </w:r>
          </w:p>
          <w:p w14:paraId="20F22C9D">
            <w:pPr>
              <w:pStyle w:val="83"/>
              <w:spacing w:line="240" w:lineRule="auto"/>
              <w:ind w:left="0" w:leftChars="0" w:firstLine="0" w:firstLineChars="0"/>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ar-SA"/>
              </w:rPr>
              <w:t>提供相关的系统的软件著作权证书。</w:t>
            </w:r>
          </w:p>
          <w:p w14:paraId="718EE664">
            <w:pPr>
              <w:pStyle w:val="83"/>
              <w:spacing w:line="240" w:lineRule="auto"/>
              <w:ind w:left="0" w:leftChars="0" w:firstLine="0" w:firstLineChars="0"/>
              <w:rPr>
                <w:rFonts w:hint="eastAsia" w:ascii="宋体" w:hAnsi="宋体" w:eastAsia="宋体" w:cs="宋体"/>
                <w:color w:val="auto"/>
                <w:sz w:val="22"/>
                <w:szCs w:val="22"/>
                <w:highlight w:val="none"/>
                <w:lang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p>
        </w:tc>
      </w:tr>
      <w:tr w14:paraId="5F38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A2C8B03">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19</w:t>
            </w:r>
          </w:p>
        </w:tc>
        <w:tc>
          <w:tcPr>
            <w:tcW w:w="1096" w:type="dxa"/>
            <w:vAlign w:val="center"/>
          </w:tcPr>
          <w:p w14:paraId="533BE1F1">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VR音乐放松宣泄系统（团体版）1拖4平台含放松椅</w:t>
            </w:r>
          </w:p>
        </w:tc>
        <w:tc>
          <w:tcPr>
            <w:tcW w:w="8920" w:type="dxa"/>
            <w:vAlign w:val="top"/>
          </w:tcPr>
          <w:p w14:paraId="4AF0F690">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利用虚拟现实技术根据抑郁症、焦虑症等患者心理障碍特点，在专业心理咨询师的指导下建立相应高度仿真的虚拟场景。通过多源信息融合的、交互式的三维动态视景和实体行为的系统仿真，使用户沉浸到该环境中，达到康复训练效果。</w:t>
            </w:r>
          </w:p>
          <w:p w14:paraId="22A8BA87">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color w:val="auto"/>
                <w:sz w:val="22"/>
                <w:szCs w:val="22"/>
                <w:highlight w:val="none"/>
                <w:lang w:val="en-US" w:eastAsia="zh-CN"/>
              </w:rPr>
              <w:t>系统需采用C/S结构一对一的模式，分为心理咨询师操作端、用户端、综合数据管理平台。由综合数据管理平台对用户端进行全程管理，软件场景库系统具有9大训练模块（自然治疗、催眠治疗、共振呼吸、脱敏疗法、音乐治疗、认知引导、松弛治疗、中医五行、智能治疗（团体端独有），系统包含生物反馈设备：脉率检测设备、动态血氧实时监测，自动档案评估系统和阈值测定系统等。</w:t>
            </w:r>
          </w:p>
          <w:p w14:paraId="3E530CF5">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二、中央数据管理平台：</w:t>
            </w:r>
          </w:p>
          <w:p w14:paraId="659D3BE5">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中央数据管理平台是团体VR心理调适系统的任务管理中心，用于对子端口所有用户的实时管理、数据统筹、任务下发等综合团体管理。为团体的心理调适与治疗以及干预提供专业化的运作能力。</w:t>
            </w:r>
          </w:p>
          <w:p w14:paraId="275E06AE">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一、系统采用C/S结构一对多的模式，分为心理咨询师操作端与用户以及综合数据管理平台。支持管理多个用户端，并可同时扩展多个用户端。</w:t>
            </w:r>
          </w:p>
          <w:p w14:paraId="7B97B6C4">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二、同步性：个体治疗实时监控用户端使用者的操作状态，数据的有效传输；团体治疗实现一个中控平台最多控制80台团体VR终端。</w:t>
            </w:r>
          </w:p>
          <w:p w14:paraId="07A38EED">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三、流畅性：在系统运行时，综合数据管理平台可实时监控用户的每个场景完成进度，可随时干预、暂停、重置或停止训练。综合数据管理端具有训练场景的选择以及对用户端进行场景的开始、切换、暂停、结束操作的功能，和场景进度的查询。实时呈现用户端头戴显示器设备的工作状态以及场景训练的进程状态。并可同时添加显示并控制多台用户端设备训练。</w:t>
            </w:r>
          </w:p>
          <w:p w14:paraId="2625DE9F">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四、丰富场景选择：51种自然场景包括：浩瀚星辰、草原之春、呼吸放松、中式田园 宁静草原、森林深处、夜晚火焰、冰雪之城等，并可根据场景不同属性分类自主匹配训练项目，点击即可自由从动态全景和静态全景之间做自由切换。</w:t>
            </w:r>
          </w:p>
          <w:p w14:paraId="7DDDE811">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五、自动化报告：调适结束后可点击查看当前训练疗程内各个训练场景的训练情况、自评情况，医师可对本次训练进行评估、记录、并保存所有训练数据，结束训练后，系统数据自动上传并生成报告。</w:t>
            </w:r>
          </w:p>
          <w:p w14:paraId="3710F2DA">
            <w:pPr>
              <w:numPr>
                <w:ilvl w:val="0"/>
                <w:numId w:val="0"/>
              </w:numPr>
              <w:spacing w:line="24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六、档案管理系统：可查询系统内所有训练疗程包含心理咨询师自定义和系统自定义，点击任意疗程可以展示此疗程内所有场景信息，起止时间，生理指标，心理咨询师可新增疗程、编辑疗程、和删除疗程。心理咨询师自由调节关键指标，可设置内容的选择，可以及时根据情况进行调整。可以设置管理个人基本信息。</w:t>
            </w:r>
          </w:p>
          <w:p w14:paraId="34EE91D8">
            <w:pPr>
              <w:pStyle w:val="83"/>
              <w:spacing w:line="240" w:lineRule="auto"/>
              <w:ind w:left="0" w:leftChars="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color w:val="auto"/>
                <w:kern w:val="2"/>
                <w:sz w:val="22"/>
                <w:szCs w:val="22"/>
                <w:highlight w:val="none"/>
                <w:lang w:val="en-US" w:eastAsia="zh-CN" w:bidi="ar-SA"/>
              </w:rPr>
              <w:t>提供对应软件的软件著作权证书。</w:t>
            </w:r>
          </w:p>
          <w:p w14:paraId="328956E0">
            <w:pPr>
              <w:pStyle w:val="19"/>
              <w:spacing w:line="240" w:lineRule="auto"/>
              <w:ind w:left="0" w:leftChars="0" w:firstLine="0" w:firstLineChars="0"/>
              <w:rPr>
                <w:rFonts w:hint="eastAsia" w:ascii="宋体" w:hAnsi="宋体" w:eastAsia="宋体" w:cs="宋体"/>
                <w:color w:val="auto"/>
                <w:sz w:val="22"/>
                <w:szCs w:val="22"/>
                <w:highlight w:val="none"/>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p>
        </w:tc>
      </w:tr>
      <w:tr w14:paraId="1F01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6043A405">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八、心理宣泄室</w:t>
            </w:r>
          </w:p>
        </w:tc>
      </w:tr>
      <w:tr w14:paraId="5BCF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77A7CAAD">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20</w:t>
            </w:r>
          </w:p>
        </w:tc>
        <w:tc>
          <w:tcPr>
            <w:tcW w:w="1096" w:type="dxa"/>
            <w:vAlign w:val="center"/>
          </w:tcPr>
          <w:p w14:paraId="52EDA00E">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宣泄沙袋（立式击打版）</w:t>
            </w:r>
          </w:p>
        </w:tc>
        <w:tc>
          <w:tcPr>
            <w:tcW w:w="8920" w:type="dxa"/>
            <w:vAlign w:val="center"/>
          </w:tcPr>
          <w:p w14:paraId="1CF60573">
            <w:pPr>
              <w:spacing w:line="240" w:lineRule="auto"/>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儿童宣泄沙袋*1，高度140cm</w:t>
            </w:r>
          </w:p>
          <w:p w14:paraId="27DA0DC5">
            <w:pPr>
              <w:spacing w:line="240" w:lineRule="auto"/>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成人沙袋*1，高度168cm</w:t>
            </w:r>
          </w:p>
          <w:p w14:paraId="00D92E39">
            <w:pPr>
              <w:spacing w:line="240" w:lineRule="auto"/>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加粗尼龙线封口，更耐用</w:t>
            </w:r>
          </w:p>
          <w:p w14:paraId="39974CF6">
            <w:pPr>
              <w:spacing w:line="240" w:lineRule="auto"/>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加大底座 强力吸盘</w:t>
            </w:r>
          </w:p>
          <w:p w14:paraId="4BCAA03D">
            <w:pPr>
              <w:spacing w:line="240" w:lineRule="auto"/>
              <w:jc w:val="both"/>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i w:val="0"/>
                <w:iCs w:val="0"/>
                <w:color w:val="auto"/>
                <w:sz w:val="22"/>
                <w:szCs w:val="22"/>
                <w:highlight w:val="none"/>
                <w:lang w:val="en-US" w:eastAsia="zh-CN"/>
              </w:rPr>
              <w:t>注水注沙打倒包退</w:t>
            </w:r>
          </w:p>
        </w:tc>
      </w:tr>
      <w:tr w14:paraId="7A08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1C732A14">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21</w:t>
            </w:r>
          </w:p>
        </w:tc>
        <w:tc>
          <w:tcPr>
            <w:tcW w:w="1096" w:type="dxa"/>
            <w:vAlign w:val="center"/>
          </w:tcPr>
          <w:p w14:paraId="6825AD70">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智能击打呐喊宣泄仪</w:t>
            </w:r>
          </w:p>
        </w:tc>
        <w:tc>
          <w:tcPr>
            <w:tcW w:w="8920" w:type="dxa"/>
            <w:shd w:val="clear" w:color="auto" w:fill="auto"/>
            <w:vAlign w:val="top"/>
          </w:tcPr>
          <w:p w14:paraId="31CBF10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技术要求</w:t>
            </w:r>
          </w:p>
          <w:p w14:paraId="0C9FB99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系统由安卓平台开发，系统安全稳定、易用、技术前沿、兼容性好、内容丰富、的智能化宣泄设备。</w:t>
            </w:r>
          </w:p>
          <w:p w14:paraId="5329FE4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系统基于“人机互动”概念设计，具有击打、呐喊、自信引导三模式功能，支持一键切换。系统提供多主题训练方案和多款互动训练游戏，通过采集训练者击打力度、呐喊分贝值以及持续时间智能匹配互动指导语音，以新颖独特的游戏方式完成情绪调节，消除焦虑、紧张、冲动、抑郁等负面情绪，达到调节身心、减缓压力、疏解情绪的宣泄效果。</w:t>
            </w:r>
          </w:p>
          <w:p w14:paraId="0CF80D9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设备参数：</w:t>
            </w:r>
          </w:p>
          <w:p w14:paraId="187F63B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安卓一体机平台，屏幕尺寸：不小于42寸，高度：不小于1600mm，显示比例：16：9；分辩率：1920(RGB)×1080(FHD)；</w:t>
            </w:r>
          </w:p>
          <w:p w14:paraId="669B0CC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硬件采用基于Nvidia tegra2平台的定制主板。</w:t>
            </w:r>
          </w:p>
          <w:p w14:paraId="2C510DE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2、击打靶：高度750-800mm，击打范围30-40mm，外层高强度PU皮革皮材质，立体采集端。</w:t>
            </w:r>
          </w:p>
          <w:p w14:paraId="5F214BF5">
            <w:pPr>
              <w:spacing w:line="240" w:lineRule="auto"/>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产品功能需求：</w:t>
            </w:r>
          </w:p>
          <w:p w14:paraId="179632B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1、多声音主题模式：系统内置男声、女声、卡通声三种主题音模式，符合不同群体用户需求。</w:t>
            </w:r>
          </w:p>
          <w:p w14:paraId="0AEFFDD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2、模式切换：用户可随意切换击打或者呐喊模式。</w:t>
            </w:r>
          </w:p>
          <w:p w14:paraId="08018DD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3、多种注册登录模式：系统提供账号注册、人脸识别、方便用户进行快速登录与注册。</w:t>
            </w:r>
          </w:p>
          <w:p w14:paraId="2F171E7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4、9大宣泄主题：系统内置了9大宣泄主题供用户选择使用（时间生命、情感、综合常规、压力、自信、鼓励、家庭生活、学习、挫折）</w:t>
            </w:r>
          </w:p>
          <w:p w14:paraId="43FAB03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5、全程语音引导：为方便来访者使用设备，达到无说明书也能操作的标准，系统从软件启动后全程都有语音指导用户使用，包括菜单语音，视频放松流程、呐喊引导等。</w:t>
            </w:r>
          </w:p>
          <w:p w14:paraId="4AB7456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6、动态呐喊场景：提供十余种呐喊动态场景选择，为用户系统更为有带入感的呐喊宣泄环境。</w:t>
            </w:r>
          </w:p>
          <w:p w14:paraId="1DA909B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7、结果报告：呐喊结束后即出示产品结果报告，为来访者提供一份自我了解的解析报告，为心理老师提供更多的心理疏导参考资料，并且在出具呐喊结果时提示用户是否进行压力与情绪自评。</w:t>
            </w:r>
          </w:p>
          <w:p w14:paraId="2A6D169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8、视频放松：催眠用摇摆钟视频、放松训练教学视频、经典眩晕视频、太空遐想视频、鼻腔放松训练视频、呼吸放松训练视频、腹式呼吸法。</w:t>
            </w:r>
          </w:p>
          <w:p w14:paraId="7F4E675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9、音乐放松：22大类心理音乐（补充心理“维生素”、催眠气功系列、催眠圣经配套、催眠音乐、放松类、抚慰悲伤治疗曲目、缓解身心疲劳、激发脉轮神奇音乐、激扬类、精神忧郁治疗曲目、冥想放松、失去信心的音乐处方、实用催眠、抒发类、睡前催眠、调节身心、消除敌对、消除焦虑治疗曲目、心灵成长系列、振奋精神、振奋类、中医五行类）不少于154首心理音乐。</w:t>
            </w:r>
          </w:p>
          <w:p w14:paraId="54DBB46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10、游戏体验：多款趣味游戏，由分贝与击打力度驱动。</w:t>
            </w:r>
          </w:p>
          <w:p w14:paraId="5D37045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11、自信引导：系统内置了多种自信引导主题供用户选择使用（时间生命、情感、综合常规、压力、自信、鼓励、家庭生活、学习、挫折）。通过系统精美FALSH人物带动用户，同步进行自信引导帮助来访者提升自信。</w:t>
            </w:r>
          </w:p>
          <w:p w14:paraId="7080985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12、个人中心：查看个人的登录与使用信息。</w:t>
            </w:r>
          </w:p>
          <w:p w14:paraId="69D4314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13、自主添加呐喊与击打主题：通过后台，心理老师可以自行添加呐喊或者击打主题，极大的方便用户进行自定义的设置。</w:t>
            </w:r>
          </w:p>
          <w:p w14:paraId="0F61A34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14、无线连接：击打靶与触控操作平台进行蓝牙无线连接，用户连接电源与主机匹配即可进行操作。</w:t>
            </w:r>
          </w:p>
          <w:p w14:paraId="2E4BEF0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15、EMDR眼动脱敏：EMDR是一个治疗创伤后应激障碍（PTSD）非常有效果的心理治疗方法，并且EMDR是在国外治疗PTSD的方法中使用最广泛的心理治疗方法，提供包含家暴、车祸、泥石流等10余种治疗场景，系统由评估-脱敏-自我调节三个大步骤与历史采集与治疗计划、准备阶段、评估、脱敏、置入、身体扫描、收尾、重新评估8个治疗流程严格组成，从评估到脱敏以及自我调节完成整个系统的治疗闭环。</w:t>
            </w:r>
          </w:p>
          <w:p w14:paraId="6E30213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①开始脱敏之前系统自动提示咨询师是否完全告知用户EMDR脱敏的相关流程与原理效果等技术资料，并且再系统界面具备相关信息。</w:t>
            </w:r>
          </w:p>
          <w:p w14:paraId="6456091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②系统运行之前自动弹出SUD自评量表，1-10等级。</w:t>
            </w:r>
          </w:p>
          <w:p w14:paraId="32E4FFC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③系统包含（泥石流、洪灾、火灾、车祸、空难、地震）等不少于15种脱敏场景，并且系统内置弹窗式生理指标数据。</w:t>
            </w:r>
          </w:p>
          <w:p w14:paraId="43752CD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④每一小轮脱敏完毕系统自动弹出SUD自评量表，达到系统设置的分值时脱敏完成。</w:t>
            </w:r>
          </w:p>
          <w:p w14:paraId="1F44DD9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⑤脱敏结束后脱敏结束给予用户积极自调节图表储存， 且提示用户保存，待下一次用户来访时，系统提醒用户是否遵照积极自我准则图表对自我就行调节。</w:t>
            </w:r>
          </w:p>
          <w:p w14:paraId="5D1FD6F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16、生物反馈技术：所有界面提供漂浮窗功能，实时显示用户心率、血氧等数据。</w:t>
            </w:r>
          </w:p>
          <w:p w14:paraId="0521F8B6">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17、调节训练：运用生物反馈技术结合精美的FLASH游戏，通过用户自我调节呼吸保持生理指标数据稳定，达到自我调适自我训练的目的，培养用户在紧张的紧张、焦虑的环境中能自我调节心理状态。游戏主题包含菩提树、小画家。</w:t>
            </w:r>
          </w:p>
          <w:p w14:paraId="7C81525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18、压力评估：运用PSTR专业压力测试量表，从生理、情绪、行为、认知等维度对来访者的心理压力进行评估。评估完成后出具详细的报告文件，且提供食疗建议，帮助用户调节生理状态。</w:t>
            </w:r>
          </w:p>
          <w:p w14:paraId="384D2A15">
            <w:pPr>
              <w:numPr>
                <w:ilvl w:val="0"/>
                <w:numId w:val="10"/>
              </w:num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情绪自评：系统提供正负面情绪自评量表评分、情绪自评量表DASS-21、情绪自制力测试量表，帮助来访者了解自我情绪状态。</w:t>
            </w:r>
          </w:p>
          <w:p w14:paraId="3F13C388">
            <w:pPr>
              <w:pStyle w:val="83"/>
              <w:spacing w:line="240" w:lineRule="auto"/>
              <w:ind w:left="0" w:leftChars="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color w:val="auto"/>
                <w:kern w:val="2"/>
                <w:sz w:val="22"/>
                <w:szCs w:val="22"/>
                <w:highlight w:val="none"/>
                <w:lang w:val="en-US" w:eastAsia="zh-CN" w:bidi="ar-SA"/>
              </w:rPr>
              <w:t>提供产品对应的软件著作权证书。</w:t>
            </w:r>
          </w:p>
          <w:p w14:paraId="7D3C6EF1">
            <w:pPr>
              <w:pStyle w:val="19"/>
              <w:spacing w:line="24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p>
        </w:tc>
      </w:tr>
      <w:tr w14:paraId="7C160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7A999839">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22</w:t>
            </w:r>
          </w:p>
        </w:tc>
        <w:tc>
          <w:tcPr>
            <w:tcW w:w="1096" w:type="dxa"/>
            <w:vAlign w:val="center"/>
          </w:tcPr>
          <w:p w14:paraId="04BF08C2">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智能体感互动宣泄仪（系统）</w:t>
            </w:r>
          </w:p>
        </w:tc>
        <w:tc>
          <w:tcPr>
            <w:tcW w:w="8920" w:type="dxa"/>
            <w:vAlign w:val="top"/>
          </w:tcPr>
          <w:p w14:paraId="36169A2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一、产品参数</w:t>
            </w:r>
          </w:p>
          <w:p w14:paraId="23A88DD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1.不小于42寸超清液晶屏作为搭载平台。</w:t>
            </w:r>
          </w:p>
          <w:p w14:paraId="0211EE0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3.内置红外热感应人体骨架扫描仪，通过肢体动作控制互动游戏（无需任何手持设备即可操作）。</w:t>
            </w:r>
          </w:p>
          <w:p w14:paraId="581D531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4.不少于30款中英文体感心理游戏，包含肢体协调、反应力训练、虚拟宣泄、智力训练等（可扩展至150个心理游戏，10款为中文心理游戏）。</w:t>
            </w:r>
          </w:p>
          <w:p w14:paraId="6D8F89B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5.采用微软开发系统，内置主机硬件：采用3核心的IBM PowerPC微处理器，频率为3.2GH。音频系统音频系统采用多声道环绕输出,320独立压缩音轨,32位处理,256音轨，采用5个扬声器，2个低音，2个中音，1个高音。</w:t>
            </w:r>
          </w:p>
          <w:p w14:paraId="09D2308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6.智能体感互动宣泄系统采用3D多媒体技术，通过虚拟现实场景，借助无线传感技术采集使用者的肢体动作，实现人机互动，让使用者身临其境参与各项现实运动项目，通过系统引导来访者采用合理方法释放心理压力，消除负性情绪困扰，提升心理健康水平。更为重要的是，该系统摆脱了传统的击打宣泄方式，避免暴力倾向滋生，使宣泄者学会培养一种平衡而适宜的心态，轻松愉悦地去面对压力，更好地享受美好的生活。</w:t>
            </w:r>
          </w:p>
          <w:p w14:paraId="105E3B7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二、产品功能需求：</w:t>
            </w:r>
          </w:p>
          <w:p w14:paraId="2F372AB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 身心平衡训练：利用游戏的方式，依靠传感器捕捉三维空间中玩家的运动，不需要任何的辅助器材，控制游戏角色进行游戏训练，达到身心平衡训练的效果；</w:t>
            </w:r>
          </w:p>
          <w:p w14:paraId="1C3E9E8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 自闭症辅助训练：通过传感器捕捉三维空间中玩家的运动，让使用者与虚拟角色实现肢体互动，并且系统可自动扑捉使用者过程中的一些经典动作，让使用发现互动交流中的愉悦，有助于自闭症辅助训练；</w:t>
            </w:r>
          </w:p>
          <w:p w14:paraId="6FC54B7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 系统可实现多人互动宣泄，两个使用者分别扮演不同的角色，在游戏中实现合作,对打等等训练，有助于提高沟通配合能力；</w:t>
            </w:r>
          </w:p>
          <w:p w14:paraId="3520C34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 感觉统合训练：摸动物游戏，通过抚摸动物，当手触摸到动物是，动物会给出相应的反应，具备多种动物可以选择；</w:t>
            </w:r>
          </w:p>
          <w:p w14:paraId="0507689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 特殊康复训练 ：系统提供的具有交互性、竞争性及娱乐性的活动能增加使用者的积极参与互动的愿望，从而使被动的心理辅导成为使用者的主动参与互动，实现了心理咨询工作的及时发现、主动解决、预防突发的作用；</w:t>
            </w:r>
          </w:p>
          <w:p w14:paraId="32B2F8B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6. 左右脑协调：奇幻漂流，可以通过身体的向左向右向前跳跃来控制漂流小船，达到左右大脑协调，还可以2个同时游戏；</w:t>
            </w:r>
          </w:p>
          <w:p w14:paraId="723EAEA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7. 注意力矫正：忍者水果，可以通过手画动来切水果，当切到地雷游戏及结束，对注意力和肢体协调进行锻炼；</w:t>
            </w:r>
          </w:p>
          <w:p w14:paraId="6705A6C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8. 可以观看专业心理电影；</w:t>
            </w:r>
          </w:p>
          <w:p w14:paraId="00E23B2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9. 动画心理音乐辅助播放。</w:t>
            </w:r>
          </w:p>
          <w:p w14:paraId="341D6345">
            <w:pPr>
              <w:pStyle w:val="83"/>
              <w:spacing w:line="240" w:lineRule="auto"/>
              <w:ind w:left="0" w:leftChars="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color w:val="auto"/>
                <w:kern w:val="2"/>
                <w:sz w:val="22"/>
                <w:szCs w:val="22"/>
                <w:highlight w:val="none"/>
                <w:lang w:val="en-US" w:eastAsia="zh-CN" w:bidi="ar-SA"/>
              </w:rPr>
              <w:t>提供体感互动软件著作权证书。</w:t>
            </w:r>
          </w:p>
          <w:p w14:paraId="04BD24F7">
            <w:pPr>
              <w:widowControl w:val="0"/>
              <w:numPr>
                <w:ilvl w:val="0"/>
                <w:numId w:val="0"/>
              </w:numPr>
              <w:spacing w:line="240" w:lineRule="auto"/>
              <w:jc w:val="both"/>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r>
              <w:rPr>
                <w:rFonts w:hint="eastAsia" w:ascii="宋体" w:hAnsi="宋体" w:eastAsia="宋体" w:cs="宋体"/>
                <w:color w:val="auto"/>
                <w:kern w:val="2"/>
                <w:sz w:val="22"/>
                <w:szCs w:val="22"/>
                <w:highlight w:val="none"/>
                <w:lang w:val="en-US" w:eastAsia="zh-CN" w:bidi="ar-SA"/>
              </w:rPr>
              <w:t>。</w:t>
            </w:r>
          </w:p>
        </w:tc>
      </w:tr>
      <w:tr w14:paraId="1AD2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39EF5FF">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23</w:t>
            </w:r>
          </w:p>
        </w:tc>
        <w:tc>
          <w:tcPr>
            <w:tcW w:w="1096" w:type="dxa"/>
            <w:vAlign w:val="center"/>
          </w:tcPr>
          <w:p w14:paraId="7D708772">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VR互动自行车</w:t>
            </w:r>
          </w:p>
        </w:tc>
        <w:tc>
          <w:tcPr>
            <w:tcW w:w="8920" w:type="dxa"/>
            <w:vAlign w:val="top"/>
          </w:tcPr>
          <w:p w14:paraId="31754BFB">
            <w:pPr>
              <w:numPr>
                <w:ilvl w:val="0"/>
                <w:numId w:val="0"/>
              </w:numPr>
              <w:spacing w:line="240" w:lineRule="auto"/>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整体尺寸要求：</w:t>
            </w:r>
          </w:p>
          <w:p w14:paraId="220132E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整体尺寸不小于：210*80*220cm</w:t>
            </w:r>
          </w:p>
          <w:p w14:paraId="22E5A98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占地面积不大于：1.44㎡</w:t>
            </w:r>
          </w:p>
          <w:p w14:paraId="4B61DFF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最大承重不小于150KG</w:t>
            </w:r>
          </w:p>
          <w:p w14:paraId="4DAD8DC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重量不大于200KG</w:t>
            </w:r>
          </w:p>
          <w:p w14:paraId="6626723E">
            <w:pPr>
              <w:numPr>
                <w:ilvl w:val="0"/>
                <w:numId w:val="0"/>
              </w:numPr>
              <w:spacing w:line="240" w:lineRule="auto"/>
              <w:jc w:val="left"/>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产品功能要求：</w:t>
            </w:r>
          </w:p>
          <w:p w14:paraId="39D0F4C9">
            <w:pPr>
              <w:spacing w:line="240" w:lineRule="auto"/>
              <w:ind w:firstLine="220" w:firstLineChars="100"/>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采用VR虚拟现实技术，模拟自行车运动的设计理念，符合骑行状态下人体工学的运动轨迹，为使用者提供高沉浸性与自由度的虚拟现实体验，通过与虚拟现实场景的交互，结合动感单车骑行运动调试方式，实时监测采集使用者的生物反馈数据，配合心理场景、心理游戏、心理音乐等方式，缓解使用者的心理压力，提升自主身心平衡能力。</w:t>
            </w:r>
          </w:p>
          <w:p w14:paraId="6727D234">
            <w:pPr>
              <w:spacing w:line="240" w:lineRule="auto"/>
              <w:rPr>
                <w:rFonts w:hint="eastAsia" w:ascii="宋体" w:hAnsi="宋体" w:eastAsia="宋体" w:cs="宋体"/>
                <w:b/>
                <w:bCs/>
                <w:i w:val="0"/>
                <w:iCs w:val="0"/>
                <w:color w:val="auto"/>
                <w:sz w:val="22"/>
                <w:szCs w:val="22"/>
                <w:highlight w:val="none"/>
                <w:lang w:val="en-US" w:eastAsia="zh-CN"/>
              </w:rPr>
            </w:pPr>
            <w:r>
              <w:rPr>
                <w:rFonts w:hint="eastAsia" w:ascii="宋体" w:hAnsi="宋体" w:eastAsia="宋体" w:cs="宋体"/>
                <w:b/>
                <w:bCs/>
                <w:i w:val="0"/>
                <w:iCs w:val="0"/>
                <w:color w:val="auto"/>
                <w:sz w:val="22"/>
                <w:szCs w:val="22"/>
                <w:highlight w:val="none"/>
                <w:lang w:val="en-US" w:eastAsia="zh-CN"/>
              </w:rPr>
              <w:t>场景要求：</w:t>
            </w:r>
          </w:p>
          <w:p w14:paraId="1A89E058">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 1.心理放松骑行，用户骑着自行车在树林和湖边休闲的骑行，看看周围的风景，模拟在户外运动放松状态，达到身心放松的效果。</w:t>
            </w:r>
          </w:p>
          <w:p w14:paraId="61A3A5C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 xml:space="preserve"> 2.运动宣泄骑行，用户化身摩托车手，驾驶摩托车在山上进行各种跳跃，躲避不同障碍物，充分调动用户积极性，达到运动宣泄的作用。</w:t>
            </w:r>
          </w:p>
          <w:p w14:paraId="5E20780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3.高空骑行，用户骑着自行车在云端，体验在高空中走玻璃栈道，走独木桥，如果有恐高或紧张情绪就会从云端掉落。可作为高空心理体验或系统脱敏项目。</w:t>
            </w:r>
          </w:p>
          <w:p w14:paraId="29EE0002">
            <w:pPr>
              <w:pStyle w:val="6"/>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4.互动射击情绪调节，用户时而在黑暗的星空中骑行，并躲避机甲，时而在星空当中漫游欣赏美妙的太空场景。利用紧张和放松场景的不断交替来调节和训练个体情绪激起的控制和反应能力。</w:t>
            </w:r>
          </w:p>
          <w:p w14:paraId="36B3A6A9">
            <w:pPr>
              <w:pStyle w:val="18"/>
              <w:tabs>
                <w:tab w:val="left" w:pos="567"/>
              </w:tabs>
              <w:spacing w:line="24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ar-SA"/>
              </w:rPr>
              <w:t>提供VR互动单车相关软件著作权。</w:t>
            </w:r>
          </w:p>
        </w:tc>
      </w:tr>
      <w:tr w14:paraId="3F20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75B0DD2E">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九、青少年活动区</w:t>
            </w:r>
          </w:p>
        </w:tc>
      </w:tr>
      <w:tr w14:paraId="1783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49C1BD65">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24</w:t>
            </w:r>
          </w:p>
        </w:tc>
        <w:tc>
          <w:tcPr>
            <w:tcW w:w="1096" w:type="dxa"/>
            <w:vAlign w:val="center"/>
          </w:tcPr>
          <w:p w14:paraId="0F8291DA">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脑波对抗机</w:t>
            </w:r>
          </w:p>
        </w:tc>
        <w:tc>
          <w:tcPr>
            <w:tcW w:w="8920" w:type="dxa"/>
          </w:tcPr>
          <w:p w14:paraId="68A6AA2C">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参数：</w:t>
            </w:r>
          </w:p>
          <w:p w14:paraId="2C72CFF2">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一：脑波检测仪</w:t>
            </w:r>
          </w:p>
          <w:p w14:paraId="0A22698D">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功能：</w:t>
            </w:r>
          </w:p>
          <w:p w14:paraId="02ADE6E0">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i w:val="0"/>
                <w:iCs w:val="0"/>
                <w:color w:val="auto"/>
                <w:kern w:val="2"/>
                <w:sz w:val="22"/>
                <w:szCs w:val="22"/>
                <w:highlight w:val="none"/>
                <w:lang w:val="en-US" w:eastAsia="zh-CN" w:bidi="ar-SA"/>
              </w:rPr>
              <w:t>脑波检测仪为固定在主控台两侧的U型支架结构，训练者在使用时将前额清洁后，确保前额皮肤贴紧支架内侧的三个电极，实时采集前额脑波数据。提供设计图稿或产品实拍图或视频。</w:t>
            </w:r>
          </w:p>
          <w:p w14:paraId="48F644AC">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规格：</w:t>
            </w:r>
          </w:p>
          <w:p w14:paraId="41778C6C">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(1)使用EEG脑电生物传感器，信号采样频率为512Hz；</w:t>
            </w:r>
          </w:p>
          <w:p w14:paraId="50D84284">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(2)采用非侵入式单导干电极采集脑电，使用时无需涂导电膏或导电液；</w:t>
            </w:r>
          </w:p>
          <w:p w14:paraId="7F7C4321">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 xml:space="preserve">(3)基于TGAT的智能脑电芯片，实现脑电信号的采集、滤波、放大、A/D转换、数据处理及分析等功能，并通过UART标准接口对外输出脑电参数； </w:t>
            </w:r>
          </w:p>
          <w:p w14:paraId="2D8499E4">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(4)采集原始脑电波、α波、β波、θ波、δ波、γ波、专注度、放松度等参数指标；</w:t>
            </w:r>
          </w:p>
          <w:p w14:paraId="5B85DF84">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(5)内置蓝牙模块，将采集的脑电数据通过无线方式发送至主控台；</w:t>
            </w:r>
          </w:p>
          <w:p w14:paraId="53A49ABE">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检测仪由主控台进行充电，无需人工充电。</w:t>
            </w:r>
          </w:p>
          <w:p w14:paraId="3CD73442">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二：对抗灯带</w:t>
            </w:r>
          </w:p>
          <w:p w14:paraId="094C9E36">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功能：</w:t>
            </w:r>
          </w:p>
          <w:p w14:paraId="326C86B7">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对抗灯带通过无线方式接收脑波检测仪实时发送的脑波数据，根据专注模式或放松模式来提取相应的脑波参数，实现对灯带颜色的变化控制。</w:t>
            </w:r>
          </w:p>
          <w:p w14:paraId="4552C015">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两套检测仪分别对应灯带两边的灯光颜色（左红右蓝）。</w:t>
            </w:r>
          </w:p>
          <w:p w14:paraId="2C703E6D">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规格：</w:t>
            </w:r>
          </w:p>
          <w:p w14:paraId="200547CD">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(1)*通过数码管显示器，实时显示脑波参数的变化；</w:t>
            </w:r>
          </w:p>
          <w:p w14:paraId="6E78B5C1">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(2)通过双人对抗的方式实现双方的脑力对抗；</w:t>
            </w:r>
          </w:p>
          <w:p w14:paraId="03C84EBC">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(3)</w:t>
            </w: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i w:val="0"/>
                <w:iCs w:val="0"/>
                <w:color w:val="auto"/>
                <w:kern w:val="2"/>
                <w:sz w:val="22"/>
                <w:szCs w:val="22"/>
                <w:highlight w:val="none"/>
                <w:lang w:val="en-US" w:eastAsia="zh-CN" w:bidi="ar-SA"/>
              </w:rPr>
              <w:t>可切换专注度训练模式和放松度训练模式；</w:t>
            </w:r>
          </w:p>
          <w:p w14:paraId="717096BD">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(4)当其中一方的参数值高于对方时，自己的灯光颜色向对方前进一格，直到灯带全部变为红色或蓝色，则左边或右边的训练者获胜；</w:t>
            </w:r>
          </w:p>
          <w:p w14:paraId="23100569">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(5)主控台上设置开机指示灯、连接状态指示灯；</w:t>
            </w:r>
          </w:p>
          <w:p w14:paraId="7E46D362">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(6)</w:t>
            </w: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i w:val="0"/>
                <w:iCs w:val="0"/>
                <w:color w:val="auto"/>
                <w:kern w:val="2"/>
                <w:sz w:val="22"/>
                <w:szCs w:val="22"/>
                <w:highlight w:val="none"/>
                <w:lang w:val="en-US" w:eastAsia="zh-CN" w:bidi="ar-SA"/>
              </w:rPr>
              <w:t>内置音响，提供比赛开始、比赛获胜、背景音乐、加油助威等声音效果。</w:t>
            </w:r>
          </w:p>
          <w:p w14:paraId="671DB4FA">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三：主控台与椅子</w:t>
            </w:r>
          </w:p>
          <w:p w14:paraId="2CC23826">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功能：</w:t>
            </w:r>
          </w:p>
          <w:p w14:paraId="15E4CD95">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对抗灯带的承载平台和训练者座椅。</w:t>
            </w:r>
          </w:p>
          <w:p w14:paraId="10F72A0A">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规格：</w:t>
            </w:r>
          </w:p>
          <w:p w14:paraId="5451314F">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(1)主控台尺寸约1.5米*0.8米，高约1米；</w:t>
            </w:r>
          </w:p>
          <w:p w14:paraId="463C83B9">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（2）安全耐用座椅两只。</w:t>
            </w:r>
          </w:p>
          <w:p w14:paraId="17307D0A">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四：配套软件系统</w:t>
            </w:r>
          </w:p>
          <w:p w14:paraId="3C199422">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功能：</w:t>
            </w:r>
          </w:p>
          <w:p w14:paraId="38B99E29">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显示训练者的实时脑波数据，比赛结束可以生成分析报告。</w:t>
            </w:r>
          </w:p>
          <w:p w14:paraId="60A4EC0B">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规格：</w:t>
            </w:r>
          </w:p>
          <w:p w14:paraId="070935B0">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实时显示参赛双方的脑力参数值；</w:t>
            </w:r>
          </w:p>
          <w:p w14:paraId="734E9F8E">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比赛结束，显示双方比赛胜负结果和参数统计报告。</w:t>
            </w:r>
          </w:p>
          <w:p w14:paraId="4FA533A8">
            <w:pPr>
              <w:pStyle w:val="83"/>
              <w:spacing w:line="240" w:lineRule="auto"/>
              <w:ind w:left="0" w:leftChars="0" w:firstLine="0" w:firstLineChars="0"/>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color w:val="auto"/>
                <w:kern w:val="2"/>
                <w:sz w:val="22"/>
                <w:szCs w:val="22"/>
                <w:highlight w:val="none"/>
                <w:lang w:val="en-US" w:eastAsia="zh-CN" w:bidi="ar-SA"/>
              </w:rPr>
              <w:t>提供脑波对抗平台相关软件著作权证书。</w:t>
            </w:r>
          </w:p>
        </w:tc>
      </w:tr>
      <w:tr w14:paraId="2EBA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3747B6B6">
            <w:pPr>
              <w:spacing w:line="240" w:lineRule="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vertAlign w:val="baseline"/>
                <w:lang w:val="en-US" w:eastAsia="zh-CN"/>
              </w:rPr>
              <w:t>十、团体辅导室兼分析研判室</w:t>
            </w:r>
          </w:p>
        </w:tc>
      </w:tr>
      <w:tr w14:paraId="04EC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5F40F613">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25</w:t>
            </w:r>
          </w:p>
        </w:tc>
        <w:tc>
          <w:tcPr>
            <w:tcW w:w="1096" w:type="dxa"/>
            <w:shd w:val="clear" w:color="auto" w:fill="auto"/>
            <w:vAlign w:val="center"/>
          </w:tcPr>
          <w:p w14:paraId="28680928">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团体辅导桌椅</w:t>
            </w:r>
          </w:p>
        </w:tc>
        <w:tc>
          <w:tcPr>
            <w:tcW w:w="8920" w:type="dxa"/>
          </w:tcPr>
          <w:p w14:paraId="57C1AF45">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80公分，6桌6椅</w:t>
            </w:r>
          </w:p>
          <w:p w14:paraId="274E157B">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加厚板材：板材加厚设计，增加承重，选用进口封边机封边，长期</w:t>
            </w:r>
          </w:p>
          <w:p w14:paraId="79A69524">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使用不易爆边。</w:t>
            </w:r>
          </w:p>
          <w:p w14:paraId="5F7E0EA1">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圆柱稳固钢架：加粗钢腿设计，稳固支撑，不易摇晃，平衡性佳。</w:t>
            </w:r>
          </w:p>
          <w:p w14:paraId="3A257F74">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防滑脚垫：桌脚脚垫设计，防止刮伤地板，控制平衡。</w:t>
            </w:r>
          </w:p>
          <w:p w14:paraId="19E2589C">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创意多功能组合方式，适用于各种团辅活动</w:t>
            </w:r>
          </w:p>
          <w:p w14:paraId="19DAB20E">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光滑桌面·无毛刺：桌面光滑无毛刺、安全和高品质的使用体验</w:t>
            </w:r>
          </w:p>
          <w:p w14:paraId="4ECB3614">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安装简单，节省时间</w:t>
            </w:r>
          </w:p>
          <w:p w14:paraId="03A01CC8">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活动椅；海绵填充，舒适柔软圆角座面，防止磕碰优质金属，安全稳固，承重性强!</w:t>
            </w:r>
          </w:p>
        </w:tc>
      </w:tr>
      <w:tr w14:paraId="0D85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4490EBC">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26</w:t>
            </w:r>
          </w:p>
        </w:tc>
        <w:tc>
          <w:tcPr>
            <w:tcW w:w="1096" w:type="dxa"/>
            <w:shd w:val="clear" w:color="auto" w:fill="auto"/>
            <w:vAlign w:val="center"/>
          </w:tcPr>
          <w:p w14:paraId="7277ABDE">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蒲团</w:t>
            </w:r>
          </w:p>
        </w:tc>
        <w:tc>
          <w:tcPr>
            <w:tcW w:w="8920" w:type="dxa"/>
            <w:vAlign w:val="center"/>
          </w:tcPr>
          <w:p w14:paraId="18726B7A">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直径不小于60cm，高10cm</w:t>
            </w:r>
          </w:p>
          <w:p w14:paraId="0E02DE1D">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卡其色,咖啡色,浅灰色,黄色,米色,蓝色咖格子,咖啡格子颜色可选</w:t>
            </w:r>
          </w:p>
          <w:p w14:paraId="24601F1F">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手工编织，四季可用</w:t>
            </w:r>
          </w:p>
          <w:p w14:paraId="3FAE13DB">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亚麻坐面，舒适透气，干净易打理</w:t>
            </w:r>
          </w:p>
          <w:p w14:paraId="027A934F">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优质棉线，柔韧可靠，舒适亲肤</w:t>
            </w:r>
          </w:p>
          <w:p w14:paraId="2DBF3043">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承重300斤不塌陷</w:t>
            </w:r>
          </w:p>
        </w:tc>
      </w:tr>
      <w:tr w14:paraId="4185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23F6F86">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27</w:t>
            </w:r>
          </w:p>
        </w:tc>
        <w:tc>
          <w:tcPr>
            <w:tcW w:w="1096" w:type="dxa"/>
            <w:shd w:val="clear" w:color="auto" w:fill="auto"/>
            <w:vAlign w:val="center"/>
          </w:tcPr>
          <w:p w14:paraId="1F78CD84">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团体辅导箱（ABCD）</w:t>
            </w:r>
          </w:p>
        </w:tc>
        <w:tc>
          <w:tcPr>
            <w:tcW w:w="8920" w:type="dxa"/>
            <w:vAlign w:val="top"/>
          </w:tcPr>
          <w:p w14:paraId="2F14C86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产品参数</w:t>
            </w:r>
          </w:p>
          <w:p w14:paraId="1FBF617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【品名】团体心理游戏活动工具箱</w:t>
            </w:r>
          </w:p>
          <w:p w14:paraId="5D2E300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【版本】中小学版</w:t>
            </w:r>
          </w:p>
          <w:p w14:paraId="6B1F45F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【箱体尺寸】46*35*15cm，ABCD四箱</w:t>
            </w:r>
          </w:p>
          <w:p w14:paraId="13B71ED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【装箱配件】活动工具若干，指导手册一本，资料光盘一张，用户手册一份。</w:t>
            </w:r>
          </w:p>
          <w:p w14:paraId="5EDB91CA">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活动项目要求：</w:t>
            </w:r>
          </w:p>
          <w:p w14:paraId="7AFADB6B">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【环境适应】包含活动项目：有缘相识、寻人心动、个性名片、“松鼠”搬家、多元排队、体验放松、“蜈蚣”翻身、寻找归属。</w:t>
            </w:r>
          </w:p>
          <w:p w14:paraId="01BFFC7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【沟通交往】包含活动项目：“变形虫”、我说你画、“盲人”旅行、最佳配图、我说你剪、风雨同行、找“领袖”、人体“拷贝”。</w:t>
            </w:r>
          </w:p>
          <w:p w14:paraId="7A6EF32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【竞争合作】包含活动项目：“啄木鸟”行动、广告设计、圈之魅力、解开“手链”、同舟共济、造“房子”、巧渡“小河”。</w:t>
            </w:r>
          </w:p>
          <w:p w14:paraId="1E980A6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【自我意识】包含活动项目：画“自画像”、百花园、音乐与意向、我要……、留舍最爱、价值拍卖、背后留言、目标搜索。</w:t>
            </w:r>
          </w:p>
          <w:p w14:paraId="570D3697">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【创新实践】包含活动项目：卖梳子、遵从指导、心中的塔、传球夺秒、比比谁高、高空飞蛋、畅想拼图、平面魔方。</w:t>
            </w:r>
          </w:p>
          <w:p w14:paraId="5F2755A2">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【意志责任】包含活动项目：举手仪式、突出重围、护蛋行动、手指的力量、祝福花篮、接收现实、承担责任、信任后仰。</w:t>
            </w:r>
          </w:p>
          <w:p w14:paraId="48989B8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【学习管理】包含活动项目：时间分割、于无声处、时装秀、用途无限、资源共享、寻找变化、一分钟价值、集思广益。</w:t>
            </w:r>
          </w:p>
          <w:p w14:paraId="62990086">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【心灵成长】包含活动项目：走出“舒服圈”、收获“糖弹”、看我“走过来”、规则的意义、寻宝记、心灵电报、感恩父母、命运之牌。</w:t>
            </w:r>
          </w:p>
          <w:p w14:paraId="6F17AABC">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七.适用对象</w:t>
            </w:r>
          </w:p>
          <w:p w14:paraId="32BF28C3">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小学、中学、特殊教育学校及各类青少年中心。</w:t>
            </w:r>
          </w:p>
          <w:p w14:paraId="4356393D">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配置物品简介</w:t>
            </w:r>
          </w:p>
          <w:p w14:paraId="197222D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1. 电子设备类：MP3播放器，秒表，教学扩音器，专业录音笔等；</w:t>
            </w:r>
          </w:p>
          <w:p w14:paraId="200259F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2. 自制道具类：定制纸牌等各类定制道具；</w:t>
            </w:r>
          </w:p>
          <w:p w14:paraId="66C8E9F5">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3. 常规活动工具类：活动眼罩/口罩，活动长绳，头饰等道具；</w:t>
            </w:r>
          </w:p>
          <w:p w14:paraId="4043D0A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4. 常用小物件类：剪刀，铝制直尺，回形针，橡皮筋等各类用品。</w:t>
            </w:r>
          </w:p>
          <w:p w14:paraId="4657A51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5. 音乐资源类：活动音乐，放松音乐等。</w:t>
            </w:r>
          </w:p>
          <w:p w14:paraId="0C09132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团体心理活动，是心理工作最重要的工作内容之一，因为它可以通过游戏来释放人们的创造力、内在感觉和记忆，并将它们带到外在现实，因此正逐步在学校、企业等各种团队中兴起。相关的指导书籍、活动器材及相关培训等，都是开展工作的必须工具。为了满足广大心理老师的这一需求，方便团体心理训练有声有色的开展，研发人员结合热门团体心理游戏，精心研发了此款团体心理活动工具包。</w:t>
            </w:r>
          </w:p>
          <w:p w14:paraId="38E9F8A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使用说明</w:t>
            </w:r>
          </w:p>
          <w:p w14:paraId="373B1DC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器材箱内配置了包括扩音机等开展心理辅导活动所需的常用工具。团体心理辅导活动指导手册详细介绍了各个活动：每个活动的名称、目的、时间、活动所需器材、场地、程序、活动评价以及注意事项。</w:t>
            </w:r>
          </w:p>
          <w:p w14:paraId="059897D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中小学版团体心理辅导工具箱包含了八大类活动主题，共六十四个小项目。整套设备设计合理制作精良，是学校心理咨询辅导及心理健康教育工作机构理想的心理辅导器材之一。</w:t>
            </w:r>
          </w:p>
          <w:p w14:paraId="6FA89982">
            <w:pPr>
              <w:spacing w:line="240" w:lineRule="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color w:val="auto"/>
                <w:sz w:val="22"/>
                <w:szCs w:val="22"/>
                <w:highlight w:val="none"/>
                <w:vertAlign w:val="baseline"/>
                <w:lang w:val="en-US" w:eastAsia="zh-CN"/>
              </w:rPr>
              <w:t>提供团体辅导教学相关软件著作权证书。</w:t>
            </w:r>
          </w:p>
        </w:tc>
      </w:tr>
      <w:tr w14:paraId="05B6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5D257378">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十一、游戏体验室</w:t>
            </w:r>
          </w:p>
        </w:tc>
      </w:tr>
      <w:tr w14:paraId="4CA9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436A88B">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28</w:t>
            </w:r>
          </w:p>
        </w:tc>
        <w:tc>
          <w:tcPr>
            <w:tcW w:w="1096" w:type="dxa"/>
            <w:vAlign w:val="center"/>
          </w:tcPr>
          <w:p w14:paraId="3B1FE909">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游戏地垫</w:t>
            </w:r>
          </w:p>
        </w:tc>
        <w:tc>
          <w:tcPr>
            <w:tcW w:w="8920" w:type="dxa"/>
            <w:vAlign w:val="top"/>
          </w:tcPr>
          <w:p w14:paraId="3661412F">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3*4（m）</w:t>
            </w:r>
          </w:p>
          <w:p w14:paraId="7C2E279A">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材质：混纺</w:t>
            </w:r>
          </w:p>
          <w:p w14:paraId="6519EBE9">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探索思考新世界</w:t>
            </w:r>
          </w:p>
          <w:p w14:paraId="2238DA63">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优质水晶绒原料</w:t>
            </w:r>
          </w:p>
          <w:p w14:paraId="71815DFA">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lang w:val="en-US" w:eastAsia="zh-CN"/>
              </w:rPr>
              <w:t>塑造儿童的学习能力和想象能力</w:t>
            </w:r>
          </w:p>
        </w:tc>
      </w:tr>
      <w:tr w14:paraId="7243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D726056">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29</w:t>
            </w:r>
          </w:p>
        </w:tc>
        <w:tc>
          <w:tcPr>
            <w:tcW w:w="1096" w:type="dxa"/>
            <w:vAlign w:val="center"/>
          </w:tcPr>
          <w:p w14:paraId="1620B237">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玩具套装</w:t>
            </w:r>
          </w:p>
          <w:p w14:paraId="5FD1A908">
            <w:pPr>
              <w:spacing w:line="240" w:lineRule="auto"/>
              <w:jc w:val="center"/>
              <w:rPr>
                <w:rFonts w:hint="eastAsia" w:ascii="宋体" w:hAnsi="宋体" w:eastAsia="宋体" w:cs="宋体"/>
                <w:color w:val="auto"/>
                <w:sz w:val="22"/>
                <w:szCs w:val="22"/>
                <w:highlight w:val="none"/>
                <w:vertAlign w:val="baseline"/>
                <w:lang w:val="en-US" w:eastAsia="zh-CN"/>
              </w:rPr>
            </w:pPr>
          </w:p>
          <w:p w14:paraId="2D39D420">
            <w:pPr>
              <w:spacing w:line="240" w:lineRule="auto"/>
              <w:jc w:val="center"/>
              <w:rPr>
                <w:rFonts w:hint="eastAsia" w:ascii="宋体" w:hAnsi="宋体" w:eastAsia="宋体" w:cs="宋体"/>
                <w:color w:val="auto"/>
                <w:sz w:val="22"/>
                <w:szCs w:val="22"/>
                <w:highlight w:val="none"/>
                <w:vertAlign w:val="baseline"/>
                <w:lang w:val="en-US" w:eastAsia="zh-CN"/>
              </w:rPr>
            </w:pPr>
          </w:p>
        </w:tc>
        <w:tc>
          <w:tcPr>
            <w:tcW w:w="8920" w:type="dxa"/>
            <w:vAlign w:val="top"/>
          </w:tcPr>
          <w:p w14:paraId="29B1D933">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玩具类别包含：</w:t>
            </w:r>
          </w:p>
          <w:p w14:paraId="43E2DAB9">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创造性玩具：包含超轻黏土、粉蜡笔、彩色笔、铅笔、图画纸、A4影印纸、钝头剪刀、色纸、积木，这些媒材要随时确认和补充足够的数量，如果能为儿童准备一个画架并在画架上夹好图画纸，也能提高儿童的使用频率。</w:t>
            </w:r>
          </w:p>
          <w:p w14:paraId="347754BF">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（2）抚育型玩具：包含婴儿、塑胶奶瓶、奶嘴、芭比娃娃（衣服、梳子）、茶具组、厨房组、各种玩具食物、医疗玩具组、玩具电话等。</w:t>
            </w:r>
          </w:p>
          <w:p w14:paraId="16215E5C">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（3）攻击性玩具：包含塑胶刀、玩具枪、手铐、玩具兵及军队装备（坦克车、战车、国旗）、警察、塑胶汽车、不倒翁立式拳击袋、出气棒、童军绳、磁性射标、标靶、软质球等。</w:t>
            </w:r>
          </w:p>
          <w:p w14:paraId="4454E4CA">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（4）戏剧扮演玩具：包含娃娃家族、娃娃屋及家具、面具、动物组、宝石饰品、布袋戏偶（手偶）、布袋戏舞台架、天使棒、皇冠、化妆品玩具、假钱及收银机、帐篷或蒙古包等。</w:t>
            </w:r>
          </w:p>
          <w:p w14:paraId="74617D65">
            <w:pPr>
              <w:spacing w:line="24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（5）其他：包含棋类玩具、水陆空交通工具、治疗性卡片、叠叠乐、木工类工具、乐器、沙盘等。</w:t>
            </w:r>
          </w:p>
          <w:p w14:paraId="6DCFB5C2">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w:t>
            </w:r>
            <w:r>
              <w:rPr>
                <w:rFonts w:hint="eastAsia" w:ascii="宋体" w:hAnsi="宋体" w:eastAsia="宋体" w:cs="宋体"/>
                <w:i w:val="0"/>
                <w:iCs w:val="0"/>
                <w:color w:val="auto"/>
                <w:kern w:val="2"/>
                <w:sz w:val="22"/>
                <w:szCs w:val="22"/>
                <w:highlight w:val="none"/>
                <w:lang w:val="en-US" w:eastAsia="zh-CN" w:bidi="zh-CN"/>
              </w:rPr>
              <w:t>提供有资质的第三方检测机构出具的有效的检测报告或合格证或其他证明材料</w:t>
            </w:r>
            <w:r>
              <w:rPr>
                <w:rFonts w:hint="eastAsia" w:ascii="宋体" w:hAnsi="宋体" w:eastAsia="宋体" w:cs="宋体"/>
                <w:color w:val="auto"/>
                <w:sz w:val="22"/>
                <w:szCs w:val="22"/>
                <w:highlight w:val="none"/>
                <w:lang w:val="en-US" w:eastAsia="zh-CN"/>
              </w:rPr>
              <w:t>不少于5份。</w:t>
            </w:r>
          </w:p>
        </w:tc>
      </w:tr>
      <w:tr w14:paraId="54D8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1E5690E">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30</w:t>
            </w:r>
          </w:p>
        </w:tc>
        <w:tc>
          <w:tcPr>
            <w:tcW w:w="1096" w:type="dxa"/>
            <w:vAlign w:val="center"/>
          </w:tcPr>
          <w:p w14:paraId="666868CC">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储物柜套装</w:t>
            </w:r>
          </w:p>
        </w:tc>
        <w:tc>
          <w:tcPr>
            <w:tcW w:w="8920" w:type="dxa"/>
            <w:vAlign w:val="top"/>
          </w:tcPr>
          <w:p w14:paraId="108C7561">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产品尺寸：</w:t>
            </w:r>
          </w:p>
          <w:p w14:paraId="78750904">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储物柜：长2m高1.5m深0.24m（×3个）</w:t>
            </w:r>
          </w:p>
          <w:p w14:paraId="016E5FEE">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宝宝巴士造型玩具柜：408*30*130cm</w:t>
            </w:r>
          </w:p>
          <w:p w14:paraId="4BAF774F">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多龄适用、稳固不晃</w:t>
            </w:r>
          </w:p>
          <w:p w14:paraId="758A42D0">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实木板材、拒绝异味</w:t>
            </w:r>
          </w:p>
          <w:p w14:paraId="4D6317B8">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lang w:val="en-US" w:eastAsia="zh-CN"/>
              </w:rPr>
              <w:t>承重力强、安装方便</w:t>
            </w:r>
          </w:p>
        </w:tc>
      </w:tr>
      <w:tr w14:paraId="6652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6AF602B0">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十二、艺术梦工场</w:t>
            </w:r>
          </w:p>
        </w:tc>
      </w:tr>
      <w:tr w14:paraId="3FC9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546" w:type="dxa"/>
            <w:vAlign w:val="center"/>
          </w:tcPr>
          <w:p w14:paraId="51EC19A7">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31</w:t>
            </w:r>
          </w:p>
        </w:tc>
        <w:tc>
          <w:tcPr>
            <w:tcW w:w="1096" w:type="dxa"/>
            <w:vAlign w:val="center"/>
          </w:tcPr>
          <w:p w14:paraId="4FE04D90">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曼陀罗绘画</w:t>
            </w:r>
          </w:p>
        </w:tc>
        <w:tc>
          <w:tcPr>
            <w:tcW w:w="8920" w:type="dxa"/>
            <w:vAlign w:val="top"/>
          </w:tcPr>
          <w:p w14:paraId="716C7C43">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产品配置：</w:t>
            </w:r>
          </w:p>
          <w:p w14:paraId="07F4CEE5">
            <w:pPr>
              <w:pStyle w:val="6"/>
              <w:spacing w:line="240" w:lineRule="auto"/>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100色铁盒彩铅*4</w:t>
            </w:r>
          </w:p>
          <w:p w14:paraId="01784AE6">
            <w:pPr>
              <w:pStyle w:val="12"/>
              <w:spacing w:line="240" w:lineRule="auto"/>
              <w:ind w:left="0" w:leftChars="0" w:firstLine="0" w:firstLineChars="0"/>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曼陀罗减压绘画本：</w:t>
            </w:r>
          </w:p>
          <w:p w14:paraId="778BD9C4">
            <w:pPr>
              <w:spacing w:line="240" w:lineRule="auto"/>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遇见莲花*4、如花时光*4</w:t>
            </w:r>
          </w:p>
          <w:p w14:paraId="1136ECFB">
            <w:pPr>
              <w:pStyle w:val="12"/>
              <w:spacing w:line="240" w:lineRule="auto"/>
              <w:ind w:left="0" w:leftChars="0" w:firstLine="0" w:firstLineChars="0"/>
              <w:rPr>
                <w:rFonts w:hint="eastAsia" w:ascii="宋体" w:hAnsi="宋体" w:eastAsia="宋体" w:cs="宋体"/>
                <w:color w:val="auto"/>
                <w:sz w:val="22"/>
                <w:szCs w:val="22"/>
                <w:highlight w:val="none"/>
                <w:vertAlign w:val="baseline"/>
              </w:rPr>
            </w:pPr>
            <w:r>
              <w:rPr>
                <w:rFonts w:hint="eastAsia" w:ascii="宋体" w:hAnsi="宋体" w:eastAsia="宋体" w:cs="宋体"/>
                <w:i w:val="0"/>
                <w:iCs/>
                <w:color w:val="auto"/>
                <w:sz w:val="22"/>
                <w:szCs w:val="22"/>
                <w:highlight w:val="none"/>
                <w:lang w:val="en-US" w:eastAsia="zh-CN"/>
              </w:rPr>
              <w:t>绿野仙踪*4、我想静静*4</w:t>
            </w:r>
          </w:p>
        </w:tc>
      </w:tr>
      <w:tr w14:paraId="12E4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8BE9119">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32</w:t>
            </w:r>
          </w:p>
        </w:tc>
        <w:tc>
          <w:tcPr>
            <w:tcW w:w="1096" w:type="dxa"/>
            <w:vAlign w:val="center"/>
          </w:tcPr>
          <w:p w14:paraId="3D47BF90">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沙画箱</w:t>
            </w:r>
          </w:p>
        </w:tc>
        <w:tc>
          <w:tcPr>
            <w:tcW w:w="8920" w:type="dxa"/>
            <w:vAlign w:val="top"/>
          </w:tcPr>
          <w:p w14:paraId="47F7F854">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产品配置：</w:t>
            </w:r>
          </w:p>
          <w:p w14:paraId="05D7B153">
            <w:pPr>
              <w:pStyle w:val="6"/>
              <w:spacing w:line="240" w:lineRule="auto"/>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少年款*1</w:t>
            </w:r>
          </w:p>
          <w:p w14:paraId="69465789">
            <w:pPr>
              <w:pStyle w:val="12"/>
              <w:spacing w:line="240" w:lineRule="auto"/>
              <w:ind w:left="0" w:leftChars="0" w:firstLine="0" w:firstLineChars="0"/>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外尺寸：70*50*18cm、作画区：50*40cm</w:t>
            </w:r>
          </w:p>
          <w:p w14:paraId="4C56A57A">
            <w:pPr>
              <w:pStyle w:val="6"/>
              <w:spacing w:line="240" w:lineRule="auto"/>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成人款*1</w:t>
            </w:r>
          </w:p>
          <w:p w14:paraId="4737AE15">
            <w:pPr>
              <w:pStyle w:val="12"/>
              <w:spacing w:line="240" w:lineRule="auto"/>
              <w:ind w:left="0" w:leftChars="0" w:firstLine="0" w:firstLineChars="0"/>
              <w:rPr>
                <w:rFonts w:hint="eastAsia" w:ascii="宋体" w:hAnsi="宋体" w:eastAsia="宋体" w:cs="宋体"/>
                <w:i w:val="0"/>
                <w:iCs/>
                <w:color w:val="auto"/>
                <w:sz w:val="22"/>
                <w:szCs w:val="22"/>
                <w:highlight w:val="none"/>
                <w:lang w:val="en-US" w:eastAsia="zh-CN"/>
              </w:rPr>
            </w:pPr>
            <w:r>
              <w:rPr>
                <w:rFonts w:hint="eastAsia" w:ascii="宋体" w:hAnsi="宋体" w:eastAsia="宋体" w:cs="宋体"/>
                <w:i w:val="0"/>
                <w:iCs/>
                <w:color w:val="auto"/>
                <w:sz w:val="22"/>
                <w:szCs w:val="22"/>
                <w:highlight w:val="none"/>
                <w:lang w:val="en-US" w:eastAsia="zh-CN"/>
              </w:rPr>
              <w:t>外尺寸：85*55*18cm、作画区：60*45cm</w:t>
            </w:r>
          </w:p>
          <w:p w14:paraId="780C1E4A">
            <w:pPr>
              <w:pStyle w:val="12"/>
              <w:spacing w:line="240" w:lineRule="auto"/>
              <w:ind w:left="0" w:leftChars="0" w:firstLine="0" w:firstLineChars="0"/>
              <w:rPr>
                <w:rFonts w:hint="eastAsia" w:ascii="宋体" w:hAnsi="宋体" w:eastAsia="宋体" w:cs="宋体"/>
                <w:color w:val="auto"/>
                <w:sz w:val="22"/>
                <w:szCs w:val="22"/>
                <w:highlight w:val="none"/>
                <w:vertAlign w:val="baseline"/>
              </w:rPr>
            </w:pPr>
            <w:r>
              <w:rPr>
                <w:rFonts w:hint="eastAsia" w:ascii="宋体" w:hAnsi="宋体" w:eastAsia="宋体" w:cs="宋体"/>
                <w:i w:val="0"/>
                <w:iCs/>
                <w:color w:val="auto"/>
                <w:kern w:val="2"/>
                <w:sz w:val="22"/>
                <w:szCs w:val="22"/>
                <w:highlight w:val="none"/>
                <w:lang w:val="en-US" w:eastAsia="zh-CN" w:bidi="ar-SA"/>
              </w:rPr>
              <w:t>沙子4斤、清理套装*2套</w:t>
            </w:r>
          </w:p>
        </w:tc>
      </w:tr>
      <w:tr w14:paraId="2EC3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FDA8B4D">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33</w:t>
            </w:r>
          </w:p>
        </w:tc>
        <w:tc>
          <w:tcPr>
            <w:tcW w:w="1096" w:type="dxa"/>
            <w:vAlign w:val="center"/>
          </w:tcPr>
          <w:p w14:paraId="658C0664">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团体艺术器材箱</w:t>
            </w:r>
          </w:p>
          <w:p w14:paraId="515A4A19">
            <w:pPr>
              <w:spacing w:line="240" w:lineRule="auto"/>
              <w:jc w:val="center"/>
              <w:rPr>
                <w:rFonts w:hint="eastAsia" w:ascii="宋体" w:hAnsi="宋体" w:eastAsia="宋体" w:cs="宋体"/>
                <w:color w:val="auto"/>
                <w:sz w:val="22"/>
                <w:szCs w:val="22"/>
                <w:highlight w:val="none"/>
                <w:vertAlign w:val="baseline"/>
                <w:lang w:val="en-US" w:eastAsia="zh-CN"/>
              </w:rPr>
            </w:pPr>
          </w:p>
          <w:p w14:paraId="6E0AF114">
            <w:pPr>
              <w:spacing w:line="240" w:lineRule="auto"/>
              <w:jc w:val="center"/>
              <w:rPr>
                <w:rFonts w:hint="eastAsia" w:ascii="宋体" w:hAnsi="宋体" w:eastAsia="宋体" w:cs="宋体"/>
                <w:color w:val="auto"/>
                <w:sz w:val="22"/>
                <w:szCs w:val="22"/>
                <w:highlight w:val="none"/>
                <w:vertAlign w:val="baseline"/>
                <w:lang w:val="en-US" w:eastAsia="zh-CN"/>
              </w:rPr>
            </w:pPr>
          </w:p>
        </w:tc>
        <w:tc>
          <w:tcPr>
            <w:tcW w:w="8920" w:type="dxa"/>
            <w:vAlign w:val="center"/>
          </w:tcPr>
          <w:p w14:paraId="33A2A345">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美工刀</w:t>
            </w:r>
          </w:p>
          <w:p w14:paraId="4C974086">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粉笔、调色盘（小）、调色盘（大）</w:t>
            </w:r>
          </w:p>
          <w:p w14:paraId="3C1BEA7A">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彩砂纸、炫彩刮画纸</w:t>
            </w:r>
          </w:p>
          <w:p w14:paraId="5CF55BFD">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素描纸、水粉纸</w:t>
            </w:r>
          </w:p>
          <w:p w14:paraId="7BA5EADD">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折纸手册、木炭条（圆）</w:t>
            </w:r>
          </w:p>
          <w:p w14:paraId="6817DE47">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毛笔组合、马克纸、铅笔套装</w:t>
            </w:r>
          </w:p>
          <w:p w14:paraId="0911F13F">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剪刀、固体胶、粉笔擦</w:t>
            </w:r>
          </w:p>
          <w:p w14:paraId="4E03B0C1">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记号笔、折纸（小）</w:t>
            </w:r>
          </w:p>
          <w:p w14:paraId="76E3401D">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折纸（中）、勾线笔套装</w:t>
            </w:r>
          </w:p>
          <w:p w14:paraId="6B364C1E">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木制画板、速写板</w:t>
            </w:r>
          </w:p>
          <w:p w14:paraId="56B4B326">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双肩画板、画板支架</w:t>
            </w:r>
          </w:p>
          <w:p w14:paraId="2DF0905B">
            <w:pPr>
              <w:spacing w:line="240" w:lineRule="auto"/>
              <w:jc w:val="both"/>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kern w:val="2"/>
                <w:sz w:val="22"/>
                <w:szCs w:val="22"/>
                <w:highlight w:val="none"/>
                <w:lang w:val="en-US" w:eastAsia="zh-CN" w:bidi="ar-SA"/>
              </w:rPr>
              <w:t>绘画心理治疗、墨囊</w:t>
            </w:r>
          </w:p>
          <w:p w14:paraId="67EE156B">
            <w:pPr>
              <w:spacing w:line="240" w:lineRule="auto"/>
              <w:jc w:val="both"/>
              <w:rPr>
                <w:rFonts w:hint="eastAsia" w:ascii="宋体" w:hAnsi="宋体" w:eastAsia="宋体" w:cs="宋体"/>
                <w:color w:val="auto"/>
                <w:sz w:val="22"/>
                <w:szCs w:val="22"/>
                <w:highlight w:val="none"/>
                <w:vertAlign w:val="baseline"/>
              </w:rPr>
            </w:pPr>
            <w:r>
              <w:rPr>
                <w:rFonts w:hint="eastAsia" w:ascii="宋体" w:hAnsi="宋体" w:eastAsia="宋体" w:cs="宋体"/>
                <w:i w:val="0"/>
                <w:iCs w:val="0"/>
                <w:color w:val="auto"/>
                <w:kern w:val="2"/>
                <w:sz w:val="22"/>
                <w:szCs w:val="22"/>
                <w:highlight w:val="none"/>
                <w:lang w:val="en-US" w:eastAsia="zh-CN" w:bidi="ar-SA"/>
              </w:rPr>
              <w:t>跳舞毯、手花</w:t>
            </w:r>
            <w:r>
              <w:rPr>
                <w:rFonts w:hint="eastAsia" w:ascii="宋体" w:hAnsi="宋体" w:eastAsia="宋体" w:cs="宋体"/>
                <w:i w:val="0"/>
                <w:iCs w:val="0"/>
                <w:color w:val="auto"/>
                <w:kern w:val="2"/>
                <w:sz w:val="22"/>
                <w:szCs w:val="22"/>
                <w:highlight w:val="none"/>
                <w:lang w:val="en-US" w:eastAsia="zh-CN" w:bidi="ar-SA"/>
              </w:rPr>
              <w:tab/>
            </w:r>
            <w:r>
              <w:rPr>
                <w:rFonts w:hint="eastAsia" w:ascii="宋体" w:hAnsi="宋体" w:eastAsia="宋体" w:cs="宋体"/>
                <w:i w:val="0"/>
                <w:iCs w:val="0"/>
                <w:color w:val="auto"/>
                <w:kern w:val="2"/>
                <w:sz w:val="22"/>
                <w:szCs w:val="22"/>
                <w:highlight w:val="none"/>
                <w:lang w:val="en-US" w:eastAsia="zh-CN" w:bidi="ar-SA"/>
              </w:rPr>
              <w:t>、扇子</w:t>
            </w:r>
          </w:p>
        </w:tc>
      </w:tr>
      <w:tr w14:paraId="641D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116E6BB7">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十三、音乐放松室</w:t>
            </w:r>
          </w:p>
        </w:tc>
      </w:tr>
      <w:tr w14:paraId="6493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5" w:hRule="atLeast"/>
        </w:trPr>
        <w:tc>
          <w:tcPr>
            <w:tcW w:w="546" w:type="dxa"/>
            <w:vAlign w:val="center"/>
          </w:tcPr>
          <w:p w14:paraId="126C17D0">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34</w:t>
            </w:r>
          </w:p>
        </w:tc>
        <w:tc>
          <w:tcPr>
            <w:tcW w:w="1096" w:type="dxa"/>
            <w:vAlign w:val="center"/>
          </w:tcPr>
          <w:p w14:paraId="5BD3631B">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音乐治疗器械套装</w:t>
            </w:r>
          </w:p>
          <w:p w14:paraId="730C1808">
            <w:pPr>
              <w:spacing w:line="240" w:lineRule="auto"/>
              <w:jc w:val="center"/>
              <w:rPr>
                <w:rFonts w:hint="eastAsia" w:ascii="宋体" w:hAnsi="宋体" w:eastAsia="宋体" w:cs="宋体"/>
                <w:color w:val="auto"/>
                <w:sz w:val="22"/>
                <w:szCs w:val="22"/>
                <w:highlight w:val="none"/>
                <w:vertAlign w:val="baseline"/>
                <w:lang w:val="en-US" w:eastAsia="zh-CN"/>
              </w:rPr>
            </w:pPr>
          </w:p>
          <w:p w14:paraId="0CAC3356">
            <w:pPr>
              <w:spacing w:line="240" w:lineRule="auto"/>
              <w:jc w:val="center"/>
              <w:rPr>
                <w:rFonts w:hint="eastAsia" w:ascii="宋体" w:hAnsi="宋体" w:eastAsia="宋体" w:cs="宋体"/>
                <w:color w:val="auto"/>
                <w:sz w:val="22"/>
                <w:szCs w:val="22"/>
                <w:highlight w:val="none"/>
                <w:vertAlign w:val="baseline"/>
                <w:lang w:val="en-US" w:eastAsia="zh-CN"/>
              </w:rPr>
            </w:pPr>
          </w:p>
        </w:tc>
        <w:tc>
          <w:tcPr>
            <w:tcW w:w="8920" w:type="dxa"/>
            <w:shd w:val="clear" w:color="auto" w:fill="auto"/>
            <w:vAlign w:val="top"/>
          </w:tcPr>
          <w:p w14:paraId="7198025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音疗钵体</w:t>
            </w:r>
          </w:p>
          <w:p w14:paraId="6BB3E71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大军鼓、快板</w:t>
            </w:r>
          </w:p>
          <w:p w14:paraId="1AFA08C1">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八音摇铃 （套）、空灵鼓</w:t>
            </w:r>
          </w:p>
          <w:p w14:paraId="0A3EF91E">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节奏棒、铜锣</w:t>
            </w:r>
          </w:p>
          <w:p w14:paraId="034E2DE4">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音疗铃鼓、伴奏撞铃（对）</w:t>
            </w:r>
          </w:p>
          <w:p w14:paraId="004939D0">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木箱鼓、音疗音锤</w:t>
            </w:r>
          </w:p>
          <w:p w14:paraId="10901B4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非洲鼓、双响锤</w:t>
            </w:r>
          </w:p>
          <w:p w14:paraId="2B7770E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多音桶、双音响桶</w:t>
            </w:r>
          </w:p>
          <w:p w14:paraId="4062134F">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便携手鼓、椰壳手环响音</w:t>
            </w:r>
          </w:p>
          <w:p w14:paraId="4CEA3BBA">
            <w:pPr>
              <w:spacing w:line="240" w:lineRule="auto"/>
              <w:rPr>
                <w:rFonts w:hint="eastAsia" w:ascii="宋体" w:hAnsi="宋体" w:eastAsia="宋体" w:cs="宋体"/>
                <w:i w:val="0"/>
                <w:iCs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小号沙锤</w:t>
            </w:r>
          </w:p>
        </w:tc>
      </w:tr>
      <w:tr w14:paraId="407F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230C609">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35</w:t>
            </w:r>
          </w:p>
        </w:tc>
        <w:tc>
          <w:tcPr>
            <w:tcW w:w="1096" w:type="dxa"/>
            <w:vAlign w:val="center"/>
          </w:tcPr>
          <w:p w14:paraId="307D9209">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音乐器材储物柜</w:t>
            </w:r>
          </w:p>
        </w:tc>
        <w:tc>
          <w:tcPr>
            <w:tcW w:w="8920" w:type="dxa"/>
            <w:shd w:val="clear" w:color="auto" w:fill="auto"/>
            <w:vAlign w:val="top"/>
          </w:tcPr>
          <w:p w14:paraId="79B432D9">
            <w:pPr>
              <w:spacing w:line="240" w:lineRule="auto"/>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产品尺寸：</w:t>
            </w:r>
          </w:p>
          <w:p w14:paraId="3B19AF3A">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储物柜：120*160*24cm</w:t>
            </w:r>
            <w:r>
              <w:rPr>
                <w:rFonts w:hint="eastAsia" w:ascii="宋体" w:hAnsi="宋体" w:eastAsia="宋体" w:cs="宋体"/>
                <w:color w:val="auto"/>
                <w:sz w:val="22"/>
                <w:szCs w:val="22"/>
                <w:highlight w:val="none"/>
                <w:lang w:val="en-US" w:eastAsia="zh-CN"/>
              </w:rPr>
              <w:t>（×2个）</w:t>
            </w:r>
          </w:p>
          <w:p w14:paraId="26037EAC">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简约设计美观实用</w:t>
            </w:r>
          </w:p>
          <w:p w14:paraId="59EF8879">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木质紧密,坚固耐磨</w:t>
            </w:r>
          </w:p>
          <w:p w14:paraId="40FC90EB">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质地坚硬 握钉力好</w:t>
            </w:r>
          </w:p>
          <w:p w14:paraId="26538E43">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纹理清晰色调柔和</w:t>
            </w:r>
          </w:p>
          <w:p w14:paraId="3231C104">
            <w:pPr>
              <w:spacing w:line="24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拒绝异味 健康环保</w:t>
            </w:r>
          </w:p>
          <w:p w14:paraId="7ABF5A26">
            <w:pPr>
              <w:spacing w:line="240" w:lineRule="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承重力好结构稳定</w:t>
            </w:r>
          </w:p>
        </w:tc>
      </w:tr>
      <w:tr w14:paraId="64A4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62" w:type="dxa"/>
            <w:gridSpan w:val="3"/>
            <w:vAlign w:val="center"/>
          </w:tcPr>
          <w:p w14:paraId="7C34784E">
            <w:pPr>
              <w:spacing w:line="240" w:lineRule="auto"/>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lang w:val="en-US" w:eastAsia="zh-CN"/>
              </w:rPr>
              <w:t>十四、系统</w:t>
            </w:r>
          </w:p>
        </w:tc>
      </w:tr>
      <w:tr w14:paraId="4E0E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5BFF2942">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36</w:t>
            </w:r>
          </w:p>
        </w:tc>
        <w:tc>
          <w:tcPr>
            <w:tcW w:w="1096" w:type="dxa"/>
            <w:vAlign w:val="center"/>
          </w:tcPr>
          <w:p w14:paraId="4CDB5997">
            <w:pPr>
              <w:spacing w:line="240" w:lineRule="auto"/>
              <w:jc w:val="center"/>
              <w:rPr>
                <w:rFonts w:hint="eastAsia" w:ascii="宋体" w:hAnsi="宋体" w:eastAsia="宋体" w:cs="宋体"/>
                <w:color w:val="auto"/>
                <w:sz w:val="22"/>
                <w:szCs w:val="22"/>
                <w:highlight w:val="none"/>
                <w:vertAlign w:val="baseline"/>
              </w:rPr>
            </w:pPr>
            <w:r>
              <w:rPr>
                <w:rFonts w:hint="eastAsia" w:ascii="宋体" w:hAnsi="宋体" w:eastAsia="宋体" w:cs="宋体"/>
                <w:color w:val="auto"/>
                <w:sz w:val="22"/>
                <w:szCs w:val="22"/>
                <w:highlight w:val="none"/>
                <w:vertAlign w:val="baseline"/>
              </w:rPr>
              <w:t>静态UI数据系统</w:t>
            </w:r>
          </w:p>
        </w:tc>
        <w:tc>
          <w:tcPr>
            <w:tcW w:w="8920" w:type="dxa"/>
            <w:shd w:val="clear" w:color="auto" w:fill="auto"/>
            <w:vAlign w:val="top"/>
          </w:tcPr>
          <w:p w14:paraId="49E2A4C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1.区域内人口统计学信息支持环形图，饼状图或柱状图。</w:t>
            </w:r>
          </w:p>
          <w:p w14:paraId="6CD64DC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2.心理测评数据展示≥3项目。</w:t>
            </w:r>
          </w:p>
          <w:p w14:paraId="02B592D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3.UI数据标题支持自定义修改。</w:t>
            </w:r>
          </w:p>
          <w:p w14:paraId="0060C85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4.来访人数或预约到访人数支持自定义修改。</w:t>
            </w:r>
          </w:p>
          <w:p w14:paraId="27305D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5.行政地图模块支持放大缩小展示，并与百度地图保持同步自动更新。</w:t>
            </w:r>
          </w:p>
          <w:p w14:paraId="2420FB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i w:val="0"/>
                <w:iCs w:val="0"/>
                <w:color w:val="auto"/>
                <w:kern w:val="0"/>
                <w:sz w:val="22"/>
                <w:szCs w:val="22"/>
                <w:highlight w:val="none"/>
                <w:u w:val="none"/>
                <w:lang w:val="en-US" w:eastAsia="zh-CN" w:bidi="ar"/>
              </w:rPr>
              <w:t>6.三色预警模块支持管理后台自定义数据及颜色分类管理，支持鼠标滑动详情展示。</w:t>
            </w:r>
          </w:p>
          <w:p w14:paraId="4985073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sz w:val="22"/>
                <w:szCs w:val="22"/>
                <w:highlight w:val="none"/>
                <w:lang w:val="en-US" w:eastAsia="zh-CN"/>
              </w:rPr>
              <w:t xml:space="preserve"> </w:t>
            </w:r>
            <w:r>
              <w:rPr>
                <w:rFonts w:hint="eastAsia" w:ascii="宋体" w:hAnsi="宋体" w:eastAsia="宋体" w:cs="宋体"/>
                <w:i w:val="0"/>
                <w:iCs w:val="0"/>
                <w:color w:val="auto"/>
                <w:kern w:val="0"/>
                <w:sz w:val="22"/>
                <w:szCs w:val="22"/>
                <w:highlight w:val="none"/>
                <w:u w:val="none"/>
                <w:lang w:val="en-US" w:eastAsia="zh-CN" w:bidi="ar"/>
              </w:rPr>
              <w:t>7.实时天气及数据位置信息通过互联网实时更新展示。</w:t>
            </w:r>
          </w:p>
          <w:p w14:paraId="7B1680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8.播放视频窗口支持多种常见格式固定分辨率展示，点击窗口可最大化展示。</w:t>
            </w:r>
          </w:p>
          <w:p w14:paraId="7ADF443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9.滚动人员信息及信息类展示支持自定义编辑和修改。</w:t>
            </w:r>
          </w:p>
          <w:p w14:paraId="7DAE7D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10.底部二维码信息图片可根据用户需求进行实时更换。</w:t>
            </w:r>
          </w:p>
          <w:p w14:paraId="63F2FCF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11.管理后台及前端应用支持本地化单机部署或网络云端部署。</w:t>
            </w:r>
          </w:p>
          <w:p w14:paraId="1DFC983A">
            <w:pPr>
              <w:spacing w:line="240" w:lineRule="auto"/>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12.独立管理后台账号，可做到模块实时数据更新和替换。</w:t>
            </w:r>
          </w:p>
          <w:p w14:paraId="1552F497">
            <w:pPr>
              <w:pStyle w:val="18"/>
              <w:tabs>
                <w:tab w:val="left" w:pos="567"/>
              </w:tabs>
              <w:spacing w:line="240" w:lineRule="auto"/>
              <w:ind w:left="0" w:leftChars="0" w:firstLine="0" w:firstLineChars="0"/>
              <w:rPr>
                <w:rFonts w:hint="eastAsia" w:ascii="宋体" w:hAnsi="宋体" w:eastAsia="宋体" w:cs="宋体"/>
                <w:i w:val="0"/>
                <w:iCs w:val="0"/>
                <w:color w:val="auto"/>
                <w:sz w:val="22"/>
                <w:szCs w:val="22"/>
                <w:highlight w:val="none"/>
                <w:lang w:val="en-US" w:eastAsia="zh-CN"/>
              </w:rPr>
            </w:pPr>
            <w:r>
              <w:rPr>
                <w:rFonts w:hint="eastAsia" w:ascii="宋体" w:hAnsi="宋体" w:eastAsia="宋体" w:cs="宋体"/>
                <w:i w:val="0"/>
                <w:iCs w:val="0"/>
                <w:color w:val="auto"/>
                <w:sz w:val="22"/>
                <w:szCs w:val="22"/>
                <w:highlight w:val="none"/>
                <w:lang w:val="en-US" w:eastAsia="zh-CN"/>
              </w:rPr>
              <w:t>★提供对应软件的软件著作权登记证书。</w:t>
            </w:r>
          </w:p>
        </w:tc>
      </w:tr>
      <w:tr w14:paraId="05A5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51AE60F3">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37</w:t>
            </w:r>
          </w:p>
        </w:tc>
        <w:tc>
          <w:tcPr>
            <w:tcW w:w="1096" w:type="dxa"/>
            <w:vAlign w:val="center"/>
          </w:tcPr>
          <w:p w14:paraId="1E910249">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大数据心理服务云平台</w:t>
            </w:r>
          </w:p>
        </w:tc>
        <w:tc>
          <w:tcPr>
            <w:tcW w:w="8920" w:type="dxa"/>
          </w:tcPr>
          <w:p w14:paraId="5392F7A5">
            <w:pPr>
              <w:pStyle w:val="6"/>
              <w:pageBreakBefore w:val="0"/>
              <w:widowControl w:val="0"/>
              <w:kinsoku/>
              <w:wordWrap/>
              <w:overflowPunct/>
              <w:topLinePunct w:val="0"/>
              <w:autoSpaceDE/>
              <w:autoSpaceDN/>
              <w:bidi w:val="0"/>
              <w:adjustRightInd/>
              <w:snapToGrid/>
              <w:spacing w:line="240" w:lineRule="auto"/>
              <w:ind w:right="306"/>
              <w:jc w:val="both"/>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线上大数据心理服务云平台是以“自助、互助、他助”为核心理念，需集心理科普宣传、线上心理微课、心理资讯、心理倾诉服务及心理危机干预为一体的一站式线上心理服务平台。平台设置咨询师/管理员端和来访者端，具体功能需包含线上心理微课、7*24小时心理倾诉、心理测评服务、心理自助科普、危机干预及平台后端管理等功能模块。</w:t>
            </w:r>
          </w:p>
          <w:p w14:paraId="6444C8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服务要求：</w:t>
            </w:r>
          </w:p>
          <w:p w14:paraId="2A7FCE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1.线上心理微课</w:t>
            </w:r>
          </w:p>
          <w:p w14:paraId="01008250">
            <w:pPr>
              <w:pStyle w:val="6"/>
              <w:pageBreakBefore w:val="0"/>
              <w:widowControl w:val="0"/>
              <w:kinsoku/>
              <w:wordWrap/>
              <w:overflowPunct/>
              <w:topLinePunct w:val="0"/>
              <w:autoSpaceDE/>
              <w:autoSpaceDN/>
              <w:bidi w:val="0"/>
              <w:adjustRightInd/>
              <w:snapToGrid/>
              <w:spacing w:line="240" w:lineRule="auto"/>
              <w:ind w:left="0" w:leftChars="0" w:right="306" w:firstLine="0" w:firstLineChars="0"/>
              <w:jc w:val="both"/>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以常见心理方面的问题导向、需求导向，定制心理学相关的学习课程，通过音频课的形式进行自主自助式学习。主要内容至少包括亲子教育、职场压力、婚姻家庭、人际关系、情绪管理、个人成长等主题，微课不少于200课时，且每月更新不少于5节课程。</w:t>
            </w:r>
          </w:p>
          <w:p w14:paraId="5D7B73E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2.7×24 小时倾诉服务</w:t>
            </w:r>
          </w:p>
          <w:p w14:paraId="359F13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需提供即时心理服务，随时随地心理咨询师真人在线提供贴心帮助，缓解情绪压力、解决工作和日常生活中常见的烦恼和难题。</w:t>
            </w:r>
          </w:p>
          <w:p w14:paraId="2390C637">
            <w:pPr>
              <w:pStyle w:val="6"/>
              <w:pageBreakBefore w:val="0"/>
              <w:widowControl w:val="0"/>
              <w:kinsoku/>
              <w:wordWrap/>
              <w:overflowPunct/>
              <w:topLinePunct w:val="0"/>
              <w:autoSpaceDE/>
              <w:autoSpaceDN/>
              <w:bidi w:val="0"/>
              <w:adjustRightInd/>
              <w:snapToGrid/>
              <w:spacing w:before="1" w:line="240" w:lineRule="auto"/>
              <w:ind w:left="0" w:leftChars="0" w:right="326"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倾诉服务需具备以下要求：</w:t>
            </w:r>
          </w:p>
          <w:p w14:paraId="59EFE66E">
            <w:pPr>
              <w:pStyle w:val="6"/>
              <w:pageBreakBefore w:val="0"/>
              <w:widowControl w:val="0"/>
              <w:numPr>
                <w:ilvl w:val="0"/>
                <w:numId w:val="11"/>
              </w:numPr>
              <w:kinsoku/>
              <w:wordWrap/>
              <w:overflowPunct/>
              <w:topLinePunct w:val="0"/>
              <w:autoSpaceDE/>
              <w:autoSpaceDN/>
              <w:bidi w:val="0"/>
              <w:adjustRightInd/>
              <w:snapToGrid/>
              <w:spacing w:before="1" w:line="240" w:lineRule="auto"/>
              <w:ind w:left="0" w:leftChars="0" w:right="326" w:righ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咨询师真人在线提供服务，且经过严格筛选，要求具备1000小时以上咨询时长、接受过专业热线咨询师岗前培训。热线接听咨询师不少于20人。</w:t>
            </w:r>
          </w:p>
          <w:p w14:paraId="1E3B3825">
            <w:pPr>
              <w:pStyle w:val="6"/>
              <w:pageBreakBefore w:val="0"/>
              <w:widowControl w:val="0"/>
              <w:numPr>
                <w:ilvl w:val="0"/>
                <w:numId w:val="11"/>
              </w:numPr>
              <w:kinsoku/>
              <w:wordWrap/>
              <w:overflowPunct/>
              <w:topLinePunct w:val="0"/>
              <w:autoSpaceDE/>
              <w:autoSpaceDN/>
              <w:bidi w:val="0"/>
              <w:adjustRightInd/>
              <w:snapToGrid/>
              <w:spacing w:before="1" w:line="240" w:lineRule="auto"/>
              <w:ind w:left="0" w:leftChars="0" w:right="326" w:righ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实时在线，无需预约，全年 7×24 小时无休。</w:t>
            </w:r>
          </w:p>
          <w:p w14:paraId="5BCD1EA1">
            <w:pPr>
              <w:pStyle w:val="6"/>
              <w:pageBreakBefore w:val="0"/>
              <w:widowControl w:val="0"/>
              <w:numPr>
                <w:ilvl w:val="0"/>
                <w:numId w:val="0"/>
              </w:numPr>
              <w:kinsoku/>
              <w:wordWrap/>
              <w:overflowPunct/>
              <w:topLinePunct w:val="0"/>
              <w:autoSpaceDE/>
              <w:autoSpaceDN/>
              <w:bidi w:val="0"/>
              <w:adjustRightInd/>
              <w:snapToGrid/>
              <w:spacing w:before="1" w:line="240" w:lineRule="auto"/>
              <w:ind w:leftChars="0" w:right="326" w:right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（3）需提供亲子教育、职场压力、婚姻家庭、人际关系、情绪管理、个人成长等板块的咨询。</w:t>
            </w:r>
          </w:p>
          <w:p w14:paraId="58C299DF">
            <w:pPr>
              <w:pStyle w:val="6"/>
              <w:pageBreakBefore w:val="0"/>
              <w:widowControl w:val="0"/>
              <w:numPr>
                <w:ilvl w:val="0"/>
                <w:numId w:val="0"/>
              </w:numPr>
              <w:kinsoku/>
              <w:wordWrap/>
              <w:overflowPunct/>
              <w:topLinePunct w:val="0"/>
              <w:autoSpaceDE/>
              <w:autoSpaceDN/>
              <w:bidi w:val="0"/>
              <w:adjustRightInd/>
              <w:snapToGrid/>
              <w:spacing w:before="1" w:line="240" w:lineRule="auto"/>
              <w:ind w:left="0" w:leftChars="0" w:right="326" w:righ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（4）完全匿名通话，保障个人隐私。</w:t>
            </w:r>
          </w:p>
          <w:p w14:paraId="722786A4">
            <w:pPr>
              <w:pStyle w:val="6"/>
              <w:pageBreakBefore w:val="0"/>
              <w:widowControl w:val="0"/>
              <w:numPr>
                <w:ilvl w:val="0"/>
                <w:numId w:val="0"/>
              </w:numPr>
              <w:kinsoku/>
              <w:wordWrap/>
              <w:overflowPunct/>
              <w:topLinePunct w:val="0"/>
              <w:autoSpaceDE/>
              <w:autoSpaceDN/>
              <w:bidi w:val="0"/>
              <w:adjustRightInd/>
              <w:snapToGrid/>
              <w:spacing w:before="1" w:line="240" w:lineRule="auto"/>
              <w:ind w:left="0" w:leftChars="0" w:right="326" w:righ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（5）有后台危机预警机制，平台需及时跟进解决突发心理危机事件。</w:t>
            </w:r>
          </w:p>
          <w:p w14:paraId="17B0170D">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bookmarkStart w:id="7" w:name="_Toc11951"/>
            <w:bookmarkStart w:id="8" w:name="_Toc7975"/>
            <w:r>
              <w:rPr>
                <w:rFonts w:hint="eastAsia" w:ascii="宋体" w:hAnsi="宋体" w:eastAsia="宋体" w:cs="宋体"/>
                <w:b w:val="0"/>
                <w:bCs w:val="0"/>
                <w:i w:val="0"/>
                <w:color w:val="auto"/>
                <w:kern w:val="2"/>
                <w:sz w:val="22"/>
                <w:szCs w:val="22"/>
                <w:highlight w:val="none"/>
                <w:lang w:val="en-US" w:eastAsia="zh-CN" w:bidi="ar-SA"/>
              </w:rPr>
              <w:t>3.心理测评</w:t>
            </w:r>
            <w:bookmarkEnd w:id="7"/>
            <w:bookmarkEnd w:id="8"/>
          </w:p>
          <w:p w14:paraId="49052DFC">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提供包含人际测试、性格测试、健康自评、亲子测试、能力测试、职业测试等方面专业及兴趣测试100个以上。</w:t>
            </w:r>
          </w:p>
          <w:p w14:paraId="4379A4E4">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4.心理自助科普</w:t>
            </w:r>
            <w:bookmarkStart w:id="9" w:name="_Toc5395"/>
            <w:bookmarkStart w:id="10" w:name="_Toc2099"/>
          </w:p>
          <w:p w14:paraId="73D91E43">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由专业心理作家、心理咨询师撰稿，对大众群体特别是人群高发的心理问题和集中的心理需求开展科普工作，包含四大板块：</w:t>
            </w:r>
            <w:bookmarkEnd w:id="9"/>
            <w:bookmarkEnd w:id="10"/>
          </w:p>
          <w:p w14:paraId="079E34EB">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bookmarkStart w:id="11" w:name="_Toc32164"/>
            <w:bookmarkStart w:id="12" w:name="_Toc27663"/>
            <w:r>
              <w:rPr>
                <w:rFonts w:hint="eastAsia" w:ascii="宋体" w:hAnsi="宋体" w:eastAsia="宋体" w:cs="宋体"/>
                <w:b w:val="0"/>
                <w:bCs w:val="0"/>
                <w:i w:val="0"/>
                <w:color w:val="auto"/>
                <w:kern w:val="2"/>
                <w:sz w:val="22"/>
                <w:szCs w:val="22"/>
                <w:highlight w:val="none"/>
                <w:lang w:val="en-US" w:eastAsia="zh-CN" w:bidi="ar-SA"/>
              </w:rPr>
              <w:t>（1）自助驿站：通过心理知识技巧的传授，使具备调节个人心理状态，用心理学技巧处理生活中各类问题的能力。</w:t>
            </w:r>
            <w:bookmarkEnd w:id="11"/>
            <w:bookmarkEnd w:id="12"/>
          </w:p>
          <w:p w14:paraId="67511138">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bookmarkStart w:id="13" w:name="_Toc31301"/>
            <w:bookmarkStart w:id="14" w:name="_Toc12833"/>
            <w:r>
              <w:rPr>
                <w:rFonts w:hint="eastAsia" w:ascii="宋体" w:hAnsi="宋体" w:eastAsia="宋体" w:cs="宋体"/>
                <w:b w:val="0"/>
                <w:bCs w:val="0"/>
                <w:i w:val="0"/>
                <w:color w:val="auto"/>
                <w:kern w:val="2"/>
                <w:sz w:val="22"/>
                <w:szCs w:val="22"/>
                <w:highlight w:val="none"/>
                <w:lang w:val="en-US" w:eastAsia="zh-CN" w:bidi="ar-SA"/>
              </w:rPr>
              <w:t>（2）社会关注：针对当今社会高发的心理问题，提供精准的专业指导，使具备更好的工作状态。</w:t>
            </w:r>
            <w:bookmarkEnd w:id="13"/>
            <w:bookmarkEnd w:id="14"/>
          </w:p>
          <w:p w14:paraId="4125FFC4">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bookmarkStart w:id="15" w:name="_Toc31798"/>
            <w:bookmarkStart w:id="16" w:name="_Toc1161"/>
            <w:r>
              <w:rPr>
                <w:rFonts w:hint="eastAsia" w:ascii="宋体" w:hAnsi="宋体" w:eastAsia="宋体" w:cs="宋体"/>
                <w:b w:val="0"/>
                <w:bCs w:val="0"/>
                <w:i w:val="0"/>
                <w:color w:val="auto"/>
                <w:kern w:val="2"/>
                <w:sz w:val="22"/>
                <w:szCs w:val="22"/>
                <w:highlight w:val="none"/>
                <w:lang w:val="en-US" w:eastAsia="zh-CN" w:bidi="ar-SA"/>
              </w:rPr>
              <w:t>（3）危机干预：对遇到各类突发的紧急危机状况时，民警职工心理危机事件的处置、个人或团队创伤后应激障碍的修复等，在这个板块中，由心理专家提供初步的专业指导。</w:t>
            </w:r>
            <w:bookmarkEnd w:id="15"/>
            <w:bookmarkEnd w:id="16"/>
          </w:p>
          <w:p w14:paraId="15F6AEC0">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bookmarkStart w:id="17" w:name="_Toc20068"/>
            <w:bookmarkStart w:id="18" w:name="_Toc8918"/>
            <w:r>
              <w:rPr>
                <w:rFonts w:hint="eastAsia" w:ascii="宋体" w:hAnsi="宋体" w:eastAsia="宋体" w:cs="宋体"/>
                <w:b w:val="0"/>
                <w:bCs w:val="0"/>
                <w:i w:val="0"/>
                <w:color w:val="auto"/>
                <w:kern w:val="2"/>
                <w:sz w:val="22"/>
                <w:szCs w:val="22"/>
                <w:highlight w:val="none"/>
                <w:lang w:val="en-US" w:eastAsia="zh-CN" w:bidi="ar-SA"/>
              </w:rPr>
              <w:t>（4）心理FM：提供不同类型的音乐进行放松或治疗。包括：减压音乐、放松音乐、自然音乐、呼吸音乐、正念音乐、冥想音乐、a波音乐、b波音乐及其他音乐。</w:t>
            </w:r>
            <w:bookmarkEnd w:id="17"/>
            <w:bookmarkEnd w:id="18"/>
          </w:p>
          <w:p w14:paraId="3450BA17">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5.专家预约</w:t>
            </w:r>
          </w:p>
          <w:p w14:paraId="3FB68581">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具备心理咨询师预约功能，可以预约本单位固有咨询师，也需具备预约外界合作机构的专业心理咨询师功能。需具备咨询师预约管理后台，能及时处理咨询师预约服务。</w:t>
            </w:r>
          </w:p>
          <w:p w14:paraId="2F797E06">
            <w:pPr>
              <w:pStyle w:val="2"/>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6.心事问答</w:t>
            </w:r>
          </w:p>
          <w:p w14:paraId="76469FC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平台需具备图文留言咨询功能，支持上传文字和图片进行心事提问，由单位固有咨询师或合作机构的专业咨询师通过管理后台进行互动解答。</w:t>
            </w:r>
          </w:p>
          <w:p w14:paraId="7EEA0757">
            <w:pPr>
              <w:pStyle w:val="6"/>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7.平台后台管理</w:t>
            </w:r>
          </w:p>
          <w:p w14:paraId="4C261D03">
            <w:pPr>
              <w:pStyle w:val="1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（1）模块化设计：平台模拟心理咨询中心的工作流程，科学管理及安排咨询中心日常工作，采用模块式结构，方便升级和功能添加，更贴合实际工作需求；</w:t>
            </w:r>
          </w:p>
          <w:p w14:paraId="2C29CF99">
            <w:pPr>
              <w:pStyle w:val="1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（2）分级管理：支持三级管理的机构设置，并跟数据管理权限关联，各个机构只能查看自己所属机构的数据。只有经过授权的用户才能访问特定资源。</w:t>
            </w:r>
          </w:p>
          <w:p w14:paraId="4BA8118E">
            <w:pPr>
              <w:pStyle w:val="1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3）大数据分析：根据来访者点击平台模块及测评情况，结合倾诉热线等情况，及时发现来访者心理异常情况，第一时间在平台预警或推送消息给管理人员。平台对各模块运行情况具有统计汇总分析导出等功能。</w:t>
            </w:r>
          </w:p>
          <w:p w14:paraId="76DD7914">
            <w:pPr>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b w:val="0"/>
                <w:bCs w:val="0"/>
                <w:i w:val="0"/>
                <w:color w:val="auto"/>
                <w:kern w:val="2"/>
                <w:sz w:val="22"/>
                <w:szCs w:val="22"/>
                <w:highlight w:val="none"/>
                <w:lang w:val="en-US" w:eastAsia="zh-CN" w:bidi="ar-SA"/>
              </w:rPr>
              <w:t>（4）采用H5页面制作，其中外网镶嵌在公众号上。</w:t>
            </w:r>
          </w:p>
          <w:p w14:paraId="0A014FE7">
            <w:pPr>
              <w:pStyle w:val="18"/>
              <w:tabs>
                <w:tab w:val="left" w:pos="567"/>
              </w:tabs>
              <w:spacing w:line="240" w:lineRule="auto"/>
              <w:ind w:left="0" w:leftChars="0" w:firstLine="0" w:firstLineChars="0"/>
              <w:rPr>
                <w:rFonts w:hint="eastAsia" w:ascii="宋体" w:hAnsi="宋体" w:eastAsia="宋体" w:cs="宋体"/>
                <w:b w:val="0"/>
                <w:bCs w:val="0"/>
                <w:i w:val="0"/>
                <w:color w:val="auto"/>
                <w:kern w:val="2"/>
                <w:sz w:val="22"/>
                <w:szCs w:val="22"/>
                <w:highlight w:val="none"/>
                <w:lang w:val="en-US" w:eastAsia="zh-CN" w:bidi="ar-SA"/>
              </w:rPr>
            </w:pPr>
            <w:r>
              <w:rPr>
                <w:rFonts w:hint="eastAsia" w:ascii="宋体" w:hAnsi="宋体" w:eastAsia="宋体" w:cs="宋体"/>
                <w:i w:val="0"/>
                <w:iCs w:val="0"/>
                <w:color w:val="auto"/>
                <w:sz w:val="22"/>
                <w:szCs w:val="22"/>
                <w:highlight w:val="none"/>
                <w:lang w:val="en-US" w:eastAsia="zh-CN"/>
              </w:rPr>
              <w:t>★提供对应软件的软件著作权登记证书。</w:t>
            </w:r>
          </w:p>
        </w:tc>
      </w:tr>
      <w:tr w14:paraId="2479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trPr>
        <w:tc>
          <w:tcPr>
            <w:tcW w:w="546" w:type="dxa"/>
            <w:vAlign w:val="center"/>
          </w:tcPr>
          <w:p w14:paraId="54807406">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38</w:t>
            </w:r>
          </w:p>
        </w:tc>
        <w:tc>
          <w:tcPr>
            <w:tcW w:w="1096" w:type="dxa"/>
            <w:vAlign w:val="center"/>
          </w:tcPr>
          <w:p w14:paraId="6204554C">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人工智能AI倾诉系统</w:t>
            </w:r>
          </w:p>
        </w:tc>
        <w:tc>
          <w:tcPr>
            <w:tcW w:w="8920" w:type="dxa"/>
          </w:tcPr>
          <w:p w14:paraId="7976638F">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人工智能AI倾诉系统，为用户提供 7x24 小时的专属陪伴。​</w:t>
            </w:r>
          </w:p>
          <w:p w14:paraId="02FF8A63">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通过运用长短期记忆等先进技术，AI能够与用户进行深度互动，为用户带来更加贴心和个性化的体验。​</w:t>
            </w:r>
          </w:p>
          <w:p w14:paraId="27A2BDE1">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操作方式：</w:t>
            </w:r>
          </w:p>
          <w:p w14:paraId="3BBD0C7D">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用户进入后可查看到自己的可用时间；在可用的时间范围内，用户可以进行文字和语音沟通。AI能够模拟心理服务人员给用户回复。</w:t>
            </w:r>
          </w:p>
          <w:p w14:paraId="7277E8D2">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系统拥有触发风控管理功能：</w:t>
            </w:r>
          </w:p>
          <w:p w14:paraId="2E61B56E">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在检测到可能涉及敏感内容的信息时，系统需采取一种温和而谨慎的方式回应，旨在保护用户并引导对话向更加积极、健康的方向发展，同时鼓励用户分享任何想表达的心情或需求，持续提供陪伴与支持。</w:t>
            </w:r>
          </w:p>
        </w:tc>
      </w:tr>
      <w:tr w14:paraId="5C6B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46" w:type="dxa"/>
            <w:vAlign w:val="center"/>
          </w:tcPr>
          <w:p w14:paraId="3D70E5AE">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39</w:t>
            </w:r>
          </w:p>
        </w:tc>
        <w:tc>
          <w:tcPr>
            <w:tcW w:w="1096" w:type="dxa"/>
            <w:vAlign w:val="center"/>
          </w:tcPr>
          <w:p w14:paraId="6AF77397">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沉浸式三维互动系统全息投影</w:t>
            </w:r>
          </w:p>
        </w:tc>
        <w:tc>
          <w:tcPr>
            <w:tcW w:w="8920" w:type="dxa"/>
            <w:vAlign w:val="top"/>
          </w:tcPr>
          <w:p w14:paraId="5E66787D">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 xml:space="preserve">产品类型 激光投影机 </w:t>
            </w:r>
          </w:p>
          <w:p w14:paraId="1147F764">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投影技术 DLP</w:t>
            </w:r>
          </w:p>
          <w:p w14:paraId="1E5C650E">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 xml:space="preserve">亮度不低于4500流明 </w:t>
            </w:r>
          </w:p>
          <w:p w14:paraId="175E29FD">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 xml:space="preserve">亮度均匀值 90% </w:t>
            </w:r>
          </w:p>
          <w:p w14:paraId="11213BF4">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 xml:space="preserve">对比度 5000000:1 </w:t>
            </w:r>
          </w:p>
          <w:p w14:paraId="20942BB6">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分辨率 WXGA（1280×800）</w:t>
            </w:r>
          </w:p>
          <w:p w14:paraId="70216552">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灯泡：20000小时 寿命</w:t>
            </w:r>
          </w:p>
          <w:p w14:paraId="05EBDB83">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 xml:space="preserve">融合镜头：（高清版）基于CUDA开发，可以实现弧面、直面混合校正，且曲面的复杂程度不影响运算速度、自动梯形校正、无缝边缘融合、完美流畅视频画面输出。无缝融合曲面校正系统 </w:t>
            </w:r>
          </w:p>
          <w:p w14:paraId="38868322">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识别捕捉设备：专业图像采集摄像机-红外摄像机/精工变焦镜头/红外灯</w:t>
            </w:r>
          </w:p>
          <w:p w14:paraId="3A062889">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影像识别系统：自研，识别观众在投影区域内的位置及动作</w:t>
            </w:r>
          </w:p>
          <w:p w14:paraId="07972B55">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系统控制软件：自研，根据捕捉观众的动作信号，产生相应的互动效果,支持多人同行游戏.</w:t>
            </w:r>
          </w:p>
          <w:p w14:paraId="1C90F4FC">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多媒体服务器：高性能图形机(I5/16G内存/工业级定制显卡/1TB固态/工控机箱）</w:t>
            </w:r>
          </w:p>
        </w:tc>
      </w:tr>
      <w:tr w14:paraId="6CD7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8C9E1E7">
            <w:pPr>
              <w:spacing w:line="240" w:lineRule="auto"/>
              <w:jc w:val="center"/>
              <w:rPr>
                <w:rFonts w:hint="default"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40</w:t>
            </w:r>
          </w:p>
        </w:tc>
        <w:tc>
          <w:tcPr>
            <w:tcW w:w="1096" w:type="dxa"/>
            <w:vAlign w:val="center"/>
          </w:tcPr>
          <w:p w14:paraId="708E5D13">
            <w:pPr>
              <w:spacing w:line="240" w:lineRule="auto"/>
              <w:jc w:val="center"/>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氛围营造装饰摆件等</w:t>
            </w:r>
          </w:p>
        </w:tc>
        <w:tc>
          <w:tcPr>
            <w:tcW w:w="8920" w:type="dxa"/>
            <w:vAlign w:val="center"/>
          </w:tcPr>
          <w:p w14:paraId="215443DC">
            <w:pPr>
              <w:spacing w:line="240" w:lineRule="auto"/>
              <w:jc w:val="left"/>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场馆其他氛围装饰，桌面摆件一组5个，桌面纸巾盒、沙漏、香薰摆件等5组</w:t>
            </w:r>
          </w:p>
        </w:tc>
      </w:tr>
    </w:tbl>
    <w:p w14:paraId="74605EBA">
      <w:pPr>
        <w:pStyle w:val="18"/>
        <w:ind w:left="0" w:leftChars="0" w:firstLine="221" w:firstLineChars="100"/>
        <w:rPr>
          <w:rFonts w:hint="eastAsia"/>
          <w:b/>
          <w:bCs/>
          <w:color w:val="auto"/>
          <w:sz w:val="22"/>
          <w:szCs w:val="24"/>
          <w:highlight w:val="none"/>
          <w:lang w:val="en-US" w:eastAsia="zh-CN"/>
        </w:rPr>
      </w:pPr>
      <w:r>
        <w:rPr>
          <w:rFonts w:hint="eastAsia"/>
          <w:b/>
          <w:bCs/>
          <w:color w:val="auto"/>
          <w:sz w:val="22"/>
          <w:szCs w:val="24"/>
          <w:highlight w:val="none"/>
          <w:lang w:val="en-US" w:eastAsia="zh-CN"/>
        </w:rPr>
        <w:t>2.2家具软装</w:t>
      </w:r>
    </w:p>
    <w:p w14:paraId="5A0BE209">
      <w:pPr>
        <w:pStyle w:val="18"/>
        <w:ind w:left="0" w:leftChars="0" w:firstLine="0" w:firstLineChars="0"/>
        <w:rPr>
          <w:rFonts w:hint="default"/>
          <w:b/>
          <w:bCs/>
          <w:color w:val="auto"/>
          <w:sz w:val="22"/>
          <w:szCs w:val="24"/>
          <w:highlight w:val="none"/>
          <w:lang w:val="en-US" w:eastAsia="zh-CN"/>
        </w:rPr>
      </w:pPr>
      <w:r>
        <w:rPr>
          <w:rFonts w:hint="eastAsia"/>
          <w:b/>
          <w:bCs/>
          <w:color w:val="auto"/>
          <w:sz w:val="22"/>
          <w:szCs w:val="24"/>
          <w:highlight w:val="none"/>
          <w:lang w:val="en-US" w:eastAsia="zh-CN"/>
        </w:rPr>
        <w:t xml:space="preserve"> </w:t>
      </w:r>
    </w:p>
    <w:tbl>
      <w:tblPr>
        <w:tblStyle w:val="20"/>
        <w:tblW w:w="49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9"/>
        <w:gridCol w:w="1408"/>
        <w:gridCol w:w="2232"/>
        <w:gridCol w:w="6133"/>
      </w:tblGrid>
      <w:tr w14:paraId="2B66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377" w:type="pct"/>
            <w:shd w:val="clear" w:color="auto" w:fill="auto"/>
            <w:noWrap/>
            <w:vAlign w:val="center"/>
          </w:tcPr>
          <w:p w14:paraId="36BECC9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序号</w:t>
            </w:r>
          </w:p>
        </w:tc>
        <w:tc>
          <w:tcPr>
            <w:tcW w:w="665" w:type="pct"/>
            <w:shd w:val="clear" w:color="auto" w:fill="auto"/>
            <w:vAlign w:val="center"/>
          </w:tcPr>
          <w:p w14:paraId="4C456C4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名称</w:t>
            </w:r>
          </w:p>
        </w:tc>
        <w:tc>
          <w:tcPr>
            <w:tcW w:w="1055" w:type="pct"/>
            <w:shd w:val="clear" w:color="auto" w:fill="auto"/>
            <w:noWrap/>
            <w:vAlign w:val="center"/>
          </w:tcPr>
          <w:p w14:paraId="53CF01F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bdr w:val="single" w:color="000000" w:sz="4" w:space="0"/>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参考图片</w:t>
            </w:r>
          </w:p>
        </w:tc>
        <w:tc>
          <w:tcPr>
            <w:tcW w:w="2900" w:type="pct"/>
            <w:shd w:val="clear" w:color="auto" w:fill="auto"/>
            <w:vAlign w:val="center"/>
          </w:tcPr>
          <w:p w14:paraId="6A300E4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参数</w:t>
            </w:r>
          </w:p>
        </w:tc>
      </w:tr>
      <w:tr w14:paraId="1D56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trPr>
        <w:tc>
          <w:tcPr>
            <w:tcW w:w="377" w:type="pct"/>
            <w:shd w:val="clear" w:color="auto" w:fill="auto"/>
            <w:noWrap/>
            <w:vAlign w:val="center"/>
          </w:tcPr>
          <w:p w14:paraId="6ACF38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65" w:type="pct"/>
            <w:shd w:val="clear" w:color="auto" w:fill="auto"/>
            <w:vAlign w:val="center"/>
          </w:tcPr>
          <w:p w14:paraId="497835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办公椅</w:t>
            </w:r>
          </w:p>
        </w:tc>
        <w:tc>
          <w:tcPr>
            <w:tcW w:w="1055" w:type="pct"/>
            <w:shd w:val="clear" w:color="auto" w:fill="auto"/>
            <w:noWrap/>
            <w:vAlign w:val="center"/>
          </w:tcPr>
          <w:p w14:paraId="7F8667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95960" cy="894080"/>
                  <wp:effectExtent l="0" t="0" r="8890" b="1270"/>
                  <wp:docPr id="9" name="图片_54"/>
                  <wp:cNvGraphicFramePr/>
                  <a:graphic xmlns:a="http://schemas.openxmlformats.org/drawingml/2006/main">
                    <a:graphicData uri="http://schemas.openxmlformats.org/drawingml/2006/picture">
                      <pic:pic xmlns:pic="http://schemas.openxmlformats.org/drawingml/2006/picture">
                        <pic:nvPicPr>
                          <pic:cNvPr id="9" name="图片_54"/>
                          <pic:cNvPicPr/>
                        </pic:nvPicPr>
                        <pic:blipFill>
                          <a:blip r:embed="rId19"/>
                          <a:stretch>
                            <a:fillRect/>
                          </a:stretch>
                        </pic:blipFill>
                        <pic:spPr>
                          <a:xfrm>
                            <a:off x="0" y="0"/>
                            <a:ext cx="695960" cy="894080"/>
                          </a:xfrm>
                          <a:prstGeom prst="rect">
                            <a:avLst/>
                          </a:prstGeom>
                          <a:noFill/>
                          <a:ln>
                            <a:noFill/>
                          </a:ln>
                        </pic:spPr>
                      </pic:pic>
                    </a:graphicData>
                  </a:graphic>
                </wp:inline>
              </w:drawing>
            </w:r>
          </w:p>
        </w:tc>
        <w:tc>
          <w:tcPr>
            <w:tcW w:w="2900" w:type="pct"/>
            <w:shd w:val="clear" w:color="auto" w:fill="auto"/>
            <w:vAlign w:val="center"/>
          </w:tcPr>
          <w:p w14:paraId="1ED835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规格：常规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尼龙脚</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固定扶手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高弹海绵坐垫</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符合环保要求。</w:t>
            </w:r>
          </w:p>
        </w:tc>
      </w:tr>
      <w:tr w14:paraId="16D9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377" w:type="pct"/>
            <w:shd w:val="clear" w:color="auto" w:fill="auto"/>
            <w:noWrap/>
            <w:vAlign w:val="center"/>
          </w:tcPr>
          <w:p w14:paraId="1FD6E7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65" w:type="pct"/>
            <w:shd w:val="clear" w:color="auto" w:fill="auto"/>
            <w:vAlign w:val="center"/>
          </w:tcPr>
          <w:p w14:paraId="1F7C15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卡座桌椅组合</w:t>
            </w:r>
          </w:p>
        </w:tc>
        <w:tc>
          <w:tcPr>
            <w:tcW w:w="1055" w:type="pct"/>
            <w:shd w:val="clear" w:color="auto" w:fill="auto"/>
            <w:noWrap/>
            <w:vAlign w:val="center"/>
          </w:tcPr>
          <w:p w14:paraId="159FBE8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932180" cy="667385"/>
                  <wp:effectExtent l="0" t="0" r="1270" b="18415"/>
                  <wp:docPr id="10" name="图片_17"/>
                  <wp:cNvGraphicFramePr/>
                  <a:graphic xmlns:a="http://schemas.openxmlformats.org/drawingml/2006/main">
                    <a:graphicData uri="http://schemas.openxmlformats.org/drawingml/2006/picture">
                      <pic:pic xmlns:pic="http://schemas.openxmlformats.org/drawingml/2006/picture">
                        <pic:nvPicPr>
                          <pic:cNvPr id="10" name="图片_17"/>
                          <pic:cNvPicPr/>
                        </pic:nvPicPr>
                        <pic:blipFill>
                          <a:blip r:embed="rId20"/>
                          <a:stretch>
                            <a:fillRect/>
                          </a:stretch>
                        </pic:blipFill>
                        <pic:spPr>
                          <a:xfrm>
                            <a:off x="0" y="0"/>
                            <a:ext cx="932180" cy="667385"/>
                          </a:xfrm>
                          <a:prstGeom prst="rect">
                            <a:avLst/>
                          </a:prstGeom>
                          <a:noFill/>
                          <a:ln>
                            <a:noFill/>
                          </a:ln>
                        </pic:spPr>
                      </pic:pic>
                    </a:graphicData>
                  </a:graphic>
                </wp:inline>
              </w:drawing>
            </w:r>
          </w:p>
        </w:tc>
        <w:tc>
          <w:tcPr>
            <w:tcW w:w="2900" w:type="pct"/>
            <w:shd w:val="clear" w:color="auto" w:fill="auto"/>
            <w:vAlign w:val="center"/>
          </w:tcPr>
          <w:p w14:paraId="00C0871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规格：1820*750*430/720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实木框架/密度海绵/麻布饰面/不锈钢框架</w:t>
            </w:r>
          </w:p>
        </w:tc>
      </w:tr>
      <w:tr w14:paraId="6807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rPr>
        <w:tc>
          <w:tcPr>
            <w:tcW w:w="377" w:type="pct"/>
            <w:shd w:val="clear" w:color="auto" w:fill="auto"/>
            <w:noWrap/>
            <w:vAlign w:val="center"/>
          </w:tcPr>
          <w:p w14:paraId="383BA2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665" w:type="pct"/>
            <w:shd w:val="clear" w:color="auto" w:fill="auto"/>
            <w:vAlign w:val="center"/>
          </w:tcPr>
          <w:p w14:paraId="623CB9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圆凳</w:t>
            </w:r>
          </w:p>
        </w:tc>
        <w:tc>
          <w:tcPr>
            <w:tcW w:w="1055" w:type="pct"/>
            <w:shd w:val="clear" w:color="auto" w:fill="auto"/>
            <w:noWrap/>
            <w:vAlign w:val="center"/>
          </w:tcPr>
          <w:p w14:paraId="05340A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76935" cy="833755"/>
                  <wp:effectExtent l="0" t="0" r="18415" b="4445"/>
                  <wp:docPr id="11" name="图片_19"/>
                  <wp:cNvGraphicFramePr/>
                  <a:graphic xmlns:a="http://schemas.openxmlformats.org/drawingml/2006/main">
                    <a:graphicData uri="http://schemas.openxmlformats.org/drawingml/2006/picture">
                      <pic:pic xmlns:pic="http://schemas.openxmlformats.org/drawingml/2006/picture">
                        <pic:nvPicPr>
                          <pic:cNvPr id="11" name="图片_19"/>
                          <pic:cNvPicPr/>
                        </pic:nvPicPr>
                        <pic:blipFill>
                          <a:blip r:embed="rId21"/>
                          <a:stretch>
                            <a:fillRect/>
                          </a:stretch>
                        </pic:blipFill>
                        <pic:spPr>
                          <a:xfrm>
                            <a:off x="0" y="0"/>
                            <a:ext cx="876935" cy="833755"/>
                          </a:xfrm>
                          <a:prstGeom prst="rect">
                            <a:avLst/>
                          </a:prstGeom>
                          <a:noFill/>
                          <a:ln>
                            <a:noFill/>
                          </a:ln>
                        </pic:spPr>
                      </pic:pic>
                    </a:graphicData>
                  </a:graphic>
                </wp:inline>
              </w:drawing>
            </w:r>
          </w:p>
        </w:tc>
        <w:tc>
          <w:tcPr>
            <w:tcW w:w="2900" w:type="pct"/>
            <w:shd w:val="clear" w:color="auto" w:fill="auto"/>
            <w:vAlign w:val="center"/>
          </w:tcPr>
          <w:p w14:paraId="29468E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规格：390*430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实木框架/密度海绵/西皮布艺均可/15号胶脚</w:t>
            </w:r>
          </w:p>
        </w:tc>
      </w:tr>
      <w:tr w14:paraId="2564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trPr>
        <w:tc>
          <w:tcPr>
            <w:tcW w:w="377" w:type="pct"/>
            <w:shd w:val="clear" w:color="auto" w:fill="auto"/>
            <w:noWrap/>
            <w:vAlign w:val="center"/>
          </w:tcPr>
          <w:p w14:paraId="7185F0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65" w:type="pct"/>
            <w:shd w:val="clear" w:color="auto" w:fill="auto"/>
            <w:vAlign w:val="center"/>
          </w:tcPr>
          <w:p w14:paraId="4B4EFE1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方凳</w:t>
            </w:r>
          </w:p>
        </w:tc>
        <w:tc>
          <w:tcPr>
            <w:tcW w:w="1055" w:type="pct"/>
            <w:shd w:val="clear" w:color="auto" w:fill="auto"/>
            <w:noWrap/>
            <w:vAlign w:val="center"/>
          </w:tcPr>
          <w:p w14:paraId="4E758A6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954405" cy="828040"/>
                  <wp:effectExtent l="0" t="0" r="17145" b="10160"/>
                  <wp:docPr id="12" name="图片_20"/>
                  <wp:cNvGraphicFramePr/>
                  <a:graphic xmlns:a="http://schemas.openxmlformats.org/drawingml/2006/main">
                    <a:graphicData uri="http://schemas.openxmlformats.org/drawingml/2006/picture">
                      <pic:pic xmlns:pic="http://schemas.openxmlformats.org/drawingml/2006/picture">
                        <pic:nvPicPr>
                          <pic:cNvPr id="12" name="图片_20"/>
                          <pic:cNvPicPr/>
                        </pic:nvPicPr>
                        <pic:blipFill>
                          <a:blip r:embed="rId22"/>
                          <a:stretch>
                            <a:fillRect/>
                          </a:stretch>
                        </pic:blipFill>
                        <pic:spPr>
                          <a:xfrm>
                            <a:off x="0" y="0"/>
                            <a:ext cx="954405" cy="828040"/>
                          </a:xfrm>
                          <a:prstGeom prst="rect">
                            <a:avLst/>
                          </a:prstGeom>
                          <a:noFill/>
                          <a:ln>
                            <a:noFill/>
                          </a:ln>
                        </pic:spPr>
                      </pic:pic>
                    </a:graphicData>
                  </a:graphic>
                </wp:inline>
              </w:drawing>
            </w:r>
          </w:p>
        </w:tc>
        <w:tc>
          <w:tcPr>
            <w:tcW w:w="2900" w:type="pct"/>
            <w:shd w:val="clear" w:color="auto" w:fill="auto"/>
            <w:vAlign w:val="center"/>
          </w:tcPr>
          <w:p w14:paraId="44B97E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规格：470*470*420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实木框架/密度海绵/布艺西皮均可/15号胶脚</w:t>
            </w:r>
          </w:p>
        </w:tc>
      </w:tr>
      <w:tr w14:paraId="255C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377" w:type="pct"/>
            <w:shd w:val="clear" w:color="auto" w:fill="auto"/>
            <w:noWrap/>
            <w:vAlign w:val="center"/>
          </w:tcPr>
          <w:p w14:paraId="70296B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665" w:type="pct"/>
            <w:shd w:val="clear" w:color="auto" w:fill="auto"/>
            <w:vAlign w:val="center"/>
          </w:tcPr>
          <w:p w14:paraId="40FB53D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茶几</w:t>
            </w:r>
          </w:p>
        </w:tc>
        <w:tc>
          <w:tcPr>
            <w:tcW w:w="1055" w:type="pct"/>
            <w:shd w:val="clear" w:color="auto" w:fill="auto"/>
            <w:noWrap/>
            <w:vAlign w:val="center"/>
          </w:tcPr>
          <w:p w14:paraId="1B7CC40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33730" cy="733425"/>
                  <wp:effectExtent l="0" t="0" r="13970" b="9525"/>
                  <wp:docPr id="13" name="图片_21"/>
                  <wp:cNvGraphicFramePr/>
                  <a:graphic xmlns:a="http://schemas.openxmlformats.org/drawingml/2006/main">
                    <a:graphicData uri="http://schemas.openxmlformats.org/drawingml/2006/picture">
                      <pic:pic xmlns:pic="http://schemas.openxmlformats.org/drawingml/2006/picture">
                        <pic:nvPicPr>
                          <pic:cNvPr id="13" name="图片_21"/>
                          <pic:cNvPicPr/>
                        </pic:nvPicPr>
                        <pic:blipFill>
                          <a:blip r:embed="rId23"/>
                          <a:stretch>
                            <a:fillRect/>
                          </a:stretch>
                        </pic:blipFill>
                        <pic:spPr>
                          <a:xfrm>
                            <a:off x="0" y="0"/>
                            <a:ext cx="633730" cy="733425"/>
                          </a:xfrm>
                          <a:prstGeom prst="rect">
                            <a:avLst/>
                          </a:prstGeom>
                          <a:noFill/>
                          <a:ln>
                            <a:noFill/>
                          </a:ln>
                        </pic:spPr>
                      </pic:pic>
                    </a:graphicData>
                  </a:graphic>
                </wp:inline>
              </w:drawing>
            </w:r>
          </w:p>
        </w:tc>
        <w:tc>
          <w:tcPr>
            <w:tcW w:w="2900" w:type="pct"/>
            <w:shd w:val="clear" w:color="auto" w:fill="auto"/>
            <w:vAlign w:val="center"/>
          </w:tcPr>
          <w:p w14:paraId="60A1B5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规格：600*480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桌面为高密度板烤漆配铁脚喷白漆铁脚</w:t>
            </w:r>
          </w:p>
        </w:tc>
      </w:tr>
      <w:tr w14:paraId="26ED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trPr>
        <w:tc>
          <w:tcPr>
            <w:tcW w:w="377" w:type="pct"/>
            <w:shd w:val="clear" w:color="auto" w:fill="auto"/>
            <w:noWrap/>
            <w:vAlign w:val="center"/>
          </w:tcPr>
          <w:p w14:paraId="08AAC9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665" w:type="pct"/>
            <w:shd w:val="clear" w:color="auto" w:fill="auto"/>
            <w:vAlign w:val="center"/>
          </w:tcPr>
          <w:p w14:paraId="4F4B64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书柜</w:t>
            </w:r>
          </w:p>
        </w:tc>
        <w:tc>
          <w:tcPr>
            <w:tcW w:w="1055" w:type="pct"/>
            <w:shd w:val="clear" w:color="auto" w:fill="auto"/>
            <w:noWrap/>
            <w:vAlign w:val="center"/>
          </w:tcPr>
          <w:p w14:paraId="7FB94A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54050" cy="958850"/>
                  <wp:effectExtent l="0" t="0" r="12700" b="12700"/>
                  <wp:docPr id="14" name="图片_51"/>
                  <wp:cNvGraphicFramePr/>
                  <a:graphic xmlns:a="http://schemas.openxmlformats.org/drawingml/2006/main">
                    <a:graphicData uri="http://schemas.openxmlformats.org/drawingml/2006/picture">
                      <pic:pic xmlns:pic="http://schemas.openxmlformats.org/drawingml/2006/picture">
                        <pic:nvPicPr>
                          <pic:cNvPr id="14" name="图片_51"/>
                          <pic:cNvPicPr/>
                        </pic:nvPicPr>
                        <pic:blipFill>
                          <a:blip r:embed="rId24"/>
                          <a:stretch>
                            <a:fillRect/>
                          </a:stretch>
                        </pic:blipFill>
                        <pic:spPr>
                          <a:xfrm>
                            <a:off x="0" y="0"/>
                            <a:ext cx="654050" cy="958850"/>
                          </a:xfrm>
                          <a:prstGeom prst="rect">
                            <a:avLst/>
                          </a:prstGeom>
                          <a:noFill/>
                          <a:ln>
                            <a:noFill/>
                          </a:ln>
                        </pic:spPr>
                      </pic:pic>
                    </a:graphicData>
                  </a:graphic>
                </wp:inline>
              </w:drawing>
            </w:r>
          </w:p>
        </w:tc>
        <w:tc>
          <w:tcPr>
            <w:tcW w:w="2900" w:type="pct"/>
            <w:shd w:val="clear" w:color="auto" w:fill="auto"/>
            <w:vAlign w:val="center"/>
          </w:tcPr>
          <w:p w14:paraId="5369BE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规格：460*1280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360度可旋转书架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加大转盘设计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稳定强势升级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采用不锈钢地盘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钢珠轴承稳固耐用</w:t>
            </w:r>
          </w:p>
        </w:tc>
      </w:tr>
      <w:tr w14:paraId="2FFD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7" w:type="pct"/>
            <w:shd w:val="clear" w:color="auto" w:fill="auto"/>
            <w:noWrap/>
            <w:vAlign w:val="center"/>
          </w:tcPr>
          <w:p w14:paraId="627598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665" w:type="pct"/>
            <w:shd w:val="clear" w:color="auto" w:fill="auto"/>
            <w:vAlign w:val="center"/>
          </w:tcPr>
          <w:p w14:paraId="3C7368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桌上绿植摆件</w:t>
            </w:r>
          </w:p>
        </w:tc>
        <w:tc>
          <w:tcPr>
            <w:tcW w:w="1055" w:type="pct"/>
            <w:shd w:val="clear" w:color="auto" w:fill="auto"/>
            <w:noWrap/>
            <w:vAlign w:val="center"/>
          </w:tcPr>
          <w:p w14:paraId="0AAF28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87070" cy="738505"/>
                  <wp:effectExtent l="0" t="0" r="17780" b="4445"/>
                  <wp:docPr id="15" name="图片_3"/>
                  <wp:cNvGraphicFramePr/>
                  <a:graphic xmlns:a="http://schemas.openxmlformats.org/drawingml/2006/main">
                    <a:graphicData uri="http://schemas.openxmlformats.org/drawingml/2006/picture">
                      <pic:pic xmlns:pic="http://schemas.openxmlformats.org/drawingml/2006/picture">
                        <pic:nvPicPr>
                          <pic:cNvPr id="15" name="图片_3"/>
                          <pic:cNvPicPr/>
                        </pic:nvPicPr>
                        <pic:blipFill>
                          <a:blip r:embed="rId25"/>
                          <a:stretch>
                            <a:fillRect/>
                          </a:stretch>
                        </pic:blipFill>
                        <pic:spPr>
                          <a:xfrm>
                            <a:off x="0" y="0"/>
                            <a:ext cx="687070" cy="738505"/>
                          </a:xfrm>
                          <a:prstGeom prst="rect">
                            <a:avLst/>
                          </a:prstGeom>
                          <a:noFill/>
                          <a:ln>
                            <a:noFill/>
                          </a:ln>
                        </pic:spPr>
                      </pic:pic>
                    </a:graphicData>
                  </a:graphic>
                </wp:inline>
              </w:drawing>
            </w:r>
          </w:p>
        </w:tc>
        <w:tc>
          <w:tcPr>
            <w:tcW w:w="2900" w:type="pct"/>
            <w:shd w:val="clear" w:color="auto" w:fill="auto"/>
            <w:vAlign w:val="center"/>
          </w:tcPr>
          <w:p w14:paraId="6944721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干花盆景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符合环保要求。</w:t>
            </w:r>
          </w:p>
        </w:tc>
      </w:tr>
      <w:tr w14:paraId="429D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377" w:type="pct"/>
            <w:shd w:val="clear" w:color="auto" w:fill="auto"/>
            <w:noWrap/>
            <w:vAlign w:val="center"/>
          </w:tcPr>
          <w:p w14:paraId="7FA7A3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665" w:type="pct"/>
            <w:shd w:val="clear" w:color="auto" w:fill="auto"/>
            <w:vAlign w:val="center"/>
          </w:tcPr>
          <w:p w14:paraId="414E64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饮水机</w:t>
            </w:r>
          </w:p>
        </w:tc>
        <w:tc>
          <w:tcPr>
            <w:tcW w:w="1055" w:type="pct"/>
            <w:shd w:val="clear" w:color="auto" w:fill="auto"/>
            <w:noWrap/>
            <w:vAlign w:val="center"/>
          </w:tcPr>
          <w:p w14:paraId="293452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349885" cy="873760"/>
                  <wp:effectExtent l="0" t="0" r="12065" b="2540"/>
                  <wp:docPr id="16" name="图片_1"/>
                  <wp:cNvGraphicFramePr/>
                  <a:graphic xmlns:a="http://schemas.openxmlformats.org/drawingml/2006/main">
                    <a:graphicData uri="http://schemas.openxmlformats.org/drawingml/2006/picture">
                      <pic:pic xmlns:pic="http://schemas.openxmlformats.org/drawingml/2006/picture">
                        <pic:nvPicPr>
                          <pic:cNvPr id="16" name="图片_1"/>
                          <pic:cNvPicPr/>
                        </pic:nvPicPr>
                        <pic:blipFill>
                          <a:blip r:embed="rId26"/>
                          <a:stretch>
                            <a:fillRect/>
                          </a:stretch>
                        </pic:blipFill>
                        <pic:spPr>
                          <a:xfrm>
                            <a:off x="0" y="0"/>
                            <a:ext cx="349885" cy="873760"/>
                          </a:xfrm>
                          <a:prstGeom prst="rect">
                            <a:avLst/>
                          </a:prstGeom>
                          <a:noFill/>
                          <a:ln>
                            <a:noFill/>
                          </a:ln>
                        </pic:spPr>
                      </pic:pic>
                    </a:graphicData>
                  </a:graphic>
                </wp:inline>
              </w:drawing>
            </w:r>
          </w:p>
        </w:tc>
        <w:tc>
          <w:tcPr>
            <w:tcW w:w="2900" w:type="pct"/>
            <w:shd w:val="clear" w:color="auto" w:fill="auto"/>
            <w:vAlign w:val="center"/>
          </w:tcPr>
          <w:p w14:paraId="3097B0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规格：500*460*1710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不锈钢黑钛材质≥0.8mm，水槽304不锈钢厚度≥1.0mm，食品级不锈钢304内胆厚度为≥1.0mm，供约60人饮用</w:t>
            </w:r>
          </w:p>
        </w:tc>
      </w:tr>
      <w:tr w14:paraId="0D78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377" w:type="pct"/>
            <w:shd w:val="clear" w:color="auto" w:fill="auto"/>
            <w:noWrap/>
            <w:vAlign w:val="center"/>
          </w:tcPr>
          <w:p w14:paraId="27F95A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665" w:type="pct"/>
            <w:shd w:val="clear" w:color="auto" w:fill="auto"/>
            <w:vAlign w:val="center"/>
          </w:tcPr>
          <w:p w14:paraId="01EDFD0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心理图书</w:t>
            </w:r>
          </w:p>
        </w:tc>
        <w:tc>
          <w:tcPr>
            <w:tcW w:w="1055" w:type="pct"/>
            <w:shd w:val="clear" w:color="auto" w:fill="auto"/>
            <w:noWrap/>
            <w:vAlign w:val="center"/>
          </w:tcPr>
          <w:p w14:paraId="1CE2547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wp:posOffset>
                  </wp:positionH>
                  <wp:positionV relativeFrom="paragraph">
                    <wp:posOffset>-1036320</wp:posOffset>
                  </wp:positionV>
                  <wp:extent cx="997585" cy="3036570"/>
                  <wp:effectExtent l="0" t="0" r="12065" b="11430"/>
                  <wp:wrapNone/>
                  <wp:docPr id="17" name="图片_72"/>
                  <wp:cNvGraphicFramePr/>
                  <a:graphic xmlns:a="http://schemas.openxmlformats.org/drawingml/2006/main">
                    <a:graphicData uri="http://schemas.openxmlformats.org/drawingml/2006/picture">
                      <pic:pic xmlns:pic="http://schemas.openxmlformats.org/drawingml/2006/picture">
                        <pic:nvPicPr>
                          <pic:cNvPr id="17" name="图片_72"/>
                          <pic:cNvPicPr/>
                        </pic:nvPicPr>
                        <pic:blipFill>
                          <a:blip r:embed="rId27"/>
                          <a:stretch>
                            <a:fillRect/>
                          </a:stretch>
                        </pic:blipFill>
                        <pic:spPr>
                          <a:xfrm>
                            <a:off x="0" y="0"/>
                            <a:ext cx="997585" cy="3036570"/>
                          </a:xfrm>
                          <a:prstGeom prst="rect">
                            <a:avLst/>
                          </a:prstGeom>
                          <a:noFill/>
                          <a:ln>
                            <a:noFill/>
                          </a:ln>
                        </pic:spPr>
                      </pic:pic>
                    </a:graphicData>
                  </a:graphic>
                </wp:anchor>
              </w:drawing>
            </w:r>
          </w:p>
        </w:tc>
        <w:tc>
          <w:tcPr>
            <w:tcW w:w="2900" w:type="pct"/>
            <w:shd w:val="clear" w:color="auto" w:fill="auto"/>
            <w:vAlign w:val="center"/>
          </w:tcPr>
          <w:p w14:paraId="0BCBA1B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自在力</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智慧书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自控力</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20几岁要懂得的智慧和策略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微幸福心理学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思维解码--商用心理学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微行为心理学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洞察力--玩的就是心计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北大必修课--北大心理课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识人用人管人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说话心理学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沟通心理学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办事心理学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深度影响--如何自然的赢得人心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博本心理学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微表情心理学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高情商聊天术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人际关系心理学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读心术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九型人格</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心理学与社交策略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高情商交际学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自卑与超越</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微管理心理学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顾客行为心理学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心理学与生活</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幽默沟通学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瞬间读懂人心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高情商交际学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微动作心理学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乌合之众：大众心理学研究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心理学入门基础</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心理学与经济学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失眠心理学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销售就是会玩转情商别人不说，你一定要懂的销售心理学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微人格心理学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藏在幽微人性中的心理学秘密真香定律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为人三会--会说话会办事会做人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修心三不一不抱怨不生气不失控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口才三绝--会赞美会幽默会拒绝</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销售心理学销售技巧客户心态</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灵魂摆渡人：重四味心理咨询实录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自领族心理减压90法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正思维心理学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这样担绝不伤人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不懂心理操控，你怎么带团队</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九型人格应用心理学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婚姻心理学：你要的是幸福还是对错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销售中的心埋学策略全书【天厚书】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"人际交往心理学拥有良好的人际关系， 一切问题都能迎刀而解【天厚书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心理学的诡计大全集【天厚书】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心理学一本通【天厚书】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活学活用心理学【天厚书】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(藏版)学会选择懂得放弃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教育孩子要懂的心理学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正面管教：儿童沟通心理学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不急不躁好妈妈调教孩子的100个心理细节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鬼谷子的心理智慧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影响一生的销售心理学一本书读懂销售心理学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小心理蕴藏大道理--—本书掌握社交心理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你某实不懂心理学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典藏精装--沟通心理学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微行为心埋学所有的秘密都在小动作里</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心理学沟通技巧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人际关系理学</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义母心埋学义母沟通，孩子动作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心理卫生自我保健</w:t>
            </w:r>
          </w:p>
        </w:tc>
      </w:tr>
      <w:tr w14:paraId="7434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377" w:type="pct"/>
            <w:shd w:val="clear" w:color="auto" w:fill="auto"/>
            <w:noWrap/>
            <w:vAlign w:val="center"/>
          </w:tcPr>
          <w:p w14:paraId="396D40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665" w:type="pct"/>
            <w:shd w:val="clear" w:color="auto" w:fill="auto"/>
            <w:vAlign w:val="center"/>
          </w:tcPr>
          <w:p w14:paraId="62DA35D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办公桌</w:t>
            </w:r>
          </w:p>
        </w:tc>
        <w:tc>
          <w:tcPr>
            <w:tcW w:w="1055" w:type="pct"/>
            <w:shd w:val="clear" w:color="auto" w:fill="auto"/>
            <w:noWrap/>
            <w:vAlign w:val="center"/>
          </w:tcPr>
          <w:p w14:paraId="722AE6B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939165" cy="796290"/>
                  <wp:effectExtent l="0" t="0" r="13335" b="3810"/>
                  <wp:docPr id="18" name="图片_62"/>
                  <wp:cNvGraphicFramePr/>
                  <a:graphic xmlns:a="http://schemas.openxmlformats.org/drawingml/2006/main">
                    <a:graphicData uri="http://schemas.openxmlformats.org/drawingml/2006/picture">
                      <pic:pic xmlns:pic="http://schemas.openxmlformats.org/drawingml/2006/picture">
                        <pic:nvPicPr>
                          <pic:cNvPr id="18" name="图片_62"/>
                          <pic:cNvPicPr/>
                        </pic:nvPicPr>
                        <pic:blipFill>
                          <a:blip r:embed="rId28"/>
                          <a:stretch>
                            <a:fillRect/>
                          </a:stretch>
                        </pic:blipFill>
                        <pic:spPr>
                          <a:xfrm>
                            <a:off x="0" y="0"/>
                            <a:ext cx="939165" cy="796290"/>
                          </a:xfrm>
                          <a:prstGeom prst="rect">
                            <a:avLst/>
                          </a:prstGeom>
                          <a:noFill/>
                          <a:ln>
                            <a:noFill/>
                          </a:ln>
                        </pic:spPr>
                      </pic:pic>
                    </a:graphicData>
                  </a:graphic>
                </wp:inline>
              </w:drawing>
            </w:r>
          </w:p>
        </w:tc>
        <w:tc>
          <w:tcPr>
            <w:tcW w:w="2900" w:type="pct"/>
            <w:shd w:val="clear" w:color="auto" w:fill="auto"/>
            <w:vAlign w:val="center"/>
          </w:tcPr>
          <w:p w14:paraId="428AE2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规格：1400*700*750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0498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377" w:type="pct"/>
            <w:shd w:val="clear" w:color="auto" w:fill="auto"/>
            <w:noWrap/>
            <w:vAlign w:val="center"/>
          </w:tcPr>
          <w:p w14:paraId="7FD107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665" w:type="pct"/>
            <w:shd w:val="clear" w:color="auto" w:fill="auto"/>
            <w:vAlign w:val="center"/>
          </w:tcPr>
          <w:p w14:paraId="4B6FB51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防爆器材柜</w:t>
            </w:r>
          </w:p>
        </w:tc>
        <w:tc>
          <w:tcPr>
            <w:tcW w:w="1055" w:type="pct"/>
            <w:shd w:val="clear" w:color="auto" w:fill="auto"/>
            <w:noWrap/>
            <w:vAlign w:val="center"/>
          </w:tcPr>
          <w:p w14:paraId="556D57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1002665" cy="960755"/>
                  <wp:effectExtent l="0" t="0" r="6985" b="10795"/>
                  <wp:docPr id="19" name="图片_3_SpCnt_1"/>
                  <wp:cNvGraphicFramePr/>
                  <a:graphic xmlns:a="http://schemas.openxmlformats.org/drawingml/2006/main">
                    <a:graphicData uri="http://schemas.openxmlformats.org/drawingml/2006/picture">
                      <pic:pic xmlns:pic="http://schemas.openxmlformats.org/drawingml/2006/picture">
                        <pic:nvPicPr>
                          <pic:cNvPr id="19" name="图片_3_SpCnt_1"/>
                          <pic:cNvPicPr/>
                        </pic:nvPicPr>
                        <pic:blipFill>
                          <a:blip r:embed="rId29"/>
                          <a:stretch>
                            <a:fillRect/>
                          </a:stretch>
                        </pic:blipFill>
                        <pic:spPr>
                          <a:xfrm>
                            <a:off x="0" y="0"/>
                            <a:ext cx="1002665" cy="960755"/>
                          </a:xfrm>
                          <a:prstGeom prst="rect">
                            <a:avLst/>
                          </a:prstGeom>
                          <a:noFill/>
                          <a:ln>
                            <a:noFill/>
                          </a:ln>
                        </pic:spPr>
                      </pic:pic>
                    </a:graphicData>
                  </a:graphic>
                </wp:inline>
              </w:drawing>
            </w:r>
          </w:p>
        </w:tc>
        <w:tc>
          <w:tcPr>
            <w:tcW w:w="2900" w:type="pct"/>
            <w:shd w:val="clear" w:color="auto" w:fill="auto"/>
            <w:vAlign w:val="center"/>
          </w:tcPr>
          <w:p w14:paraId="37AD04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规格：1200*400*1600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防爆器材：方盾+头盔+背心+手套+钢叉+橡胶棍+电筒+脚叉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应急物资柜</w:t>
            </w:r>
          </w:p>
        </w:tc>
      </w:tr>
      <w:tr w14:paraId="2C6D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trPr>
        <w:tc>
          <w:tcPr>
            <w:tcW w:w="377" w:type="pct"/>
            <w:shd w:val="clear" w:color="auto" w:fill="auto"/>
            <w:noWrap/>
            <w:vAlign w:val="center"/>
          </w:tcPr>
          <w:p w14:paraId="6251F1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665" w:type="pct"/>
            <w:shd w:val="clear" w:color="auto" w:fill="auto"/>
            <w:vAlign w:val="center"/>
          </w:tcPr>
          <w:p w14:paraId="097A7E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办公桌</w:t>
            </w:r>
          </w:p>
        </w:tc>
        <w:tc>
          <w:tcPr>
            <w:tcW w:w="1055" w:type="pct"/>
            <w:shd w:val="clear" w:color="auto" w:fill="auto"/>
            <w:noWrap/>
            <w:vAlign w:val="center"/>
          </w:tcPr>
          <w:p w14:paraId="23661C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1157605" cy="882015"/>
                  <wp:effectExtent l="0" t="0" r="4445" b="13335"/>
                  <wp:docPr id="20" name="图片_16"/>
                  <wp:cNvGraphicFramePr/>
                  <a:graphic xmlns:a="http://schemas.openxmlformats.org/drawingml/2006/main">
                    <a:graphicData uri="http://schemas.openxmlformats.org/drawingml/2006/picture">
                      <pic:pic xmlns:pic="http://schemas.openxmlformats.org/drawingml/2006/picture">
                        <pic:nvPicPr>
                          <pic:cNvPr id="20" name="图片_16"/>
                          <pic:cNvPicPr/>
                        </pic:nvPicPr>
                        <pic:blipFill>
                          <a:blip r:embed="rId30"/>
                          <a:stretch>
                            <a:fillRect/>
                          </a:stretch>
                        </pic:blipFill>
                        <pic:spPr>
                          <a:xfrm>
                            <a:off x="0" y="0"/>
                            <a:ext cx="1157605" cy="882015"/>
                          </a:xfrm>
                          <a:prstGeom prst="rect">
                            <a:avLst/>
                          </a:prstGeom>
                          <a:noFill/>
                          <a:ln>
                            <a:noFill/>
                          </a:ln>
                        </pic:spPr>
                      </pic:pic>
                    </a:graphicData>
                  </a:graphic>
                </wp:inline>
              </w:drawing>
            </w:r>
          </w:p>
        </w:tc>
        <w:tc>
          <w:tcPr>
            <w:tcW w:w="2900" w:type="pct"/>
            <w:shd w:val="clear" w:color="auto" w:fill="auto"/>
            <w:vAlign w:val="center"/>
          </w:tcPr>
          <w:p w14:paraId="7A0AFD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规格：2000*800*750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E1级MFC贴面，优质刨花板基材,同色PVC封边,采用优质五金配件、优质钢架</w:t>
            </w:r>
          </w:p>
        </w:tc>
      </w:tr>
      <w:tr w14:paraId="3523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377" w:type="pct"/>
            <w:shd w:val="clear" w:color="auto" w:fill="auto"/>
            <w:noWrap/>
            <w:vAlign w:val="center"/>
          </w:tcPr>
          <w:p w14:paraId="29AE11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665" w:type="pct"/>
            <w:shd w:val="clear" w:color="auto" w:fill="auto"/>
            <w:vAlign w:val="center"/>
          </w:tcPr>
          <w:p w14:paraId="26B0EF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办公椅</w:t>
            </w:r>
          </w:p>
        </w:tc>
        <w:tc>
          <w:tcPr>
            <w:tcW w:w="1055" w:type="pct"/>
            <w:shd w:val="clear" w:color="auto" w:fill="auto"/>
            <w:noWrap/>
            <w:vAlign w:val="center"/>
          </w:tcPr>
          <w:p w14:paraId="78466B5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03580" cy="820420"/>
                  <wp:effectExtent l="0" t="0" r="1270" b="17780"/>
                  <wp:docPr id="21" name="图片_15"/>
                  <wp:cNvGraphicFramePr/>
                  <a:graphic xmlns:a="http://schemas.openxmlformats.org/drawingml/2006/main">
                    <a:graphicData uri="http://schemas.openxmlformats.org/drawingml/2006/picture">
                      <pic:pic xmlns:pic="http://schemas.openxmlformats.org/drawingml/2006/picture">
                        <pic:nvPicPr>
                          <pic:cNvPr id="21" name="图片_15"/>
                          <pic:cNvPicPr/>
                        </pic:nvPicPr>
                        <pic:blipFill>
                          <a:blip r:embed="rId31"/>
                          <a:stretch>
                            <a:fillRect/>
                          </a:stretch>
                        </pic:blipFill>
                        <pic:spPr>
                          <a:xfrm>
                            <a:off x="0" y="0"/>
                            <a:ext cx="703580" cy="820420"/>
                          </a:xfrm>
                          <a:prstGeom prst="rect">
                            <a:avLst/>
                          </a:prstGeom>
                          <a:noFill/>
                          <a:ln>
                            <a:noFill/>
                          </a:ln>
                        </pic:spPr>
                      </pic:pic>
                    </a:graphicData>
                  </a:graphic>
                </wp:inline>
              </w:drawing>
            </w:r>
          </w:p>
        </w:tc>
        <w:tc>
          <w:tcPr>
            <w:tcW w:w="2900" w:type="pct"/>
            <w:shd w:val="clear" w:color="auto" w:fill="auto"/>
            <w:vAlign w:val="center"/>
          </w:tcPr>
          <w:p w14:paraId="40A80E9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规格：常规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尼龙脚</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固定扶手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高弹海绵坐垫</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符合环保要求。</w:t>
            </w:r>
          </w:p>
        </w:tc>
      </w:tr>
      <w:tr w14:paraId="5046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377" w:type="pct"/>
            <w:shd w:val="clear" w:color="auto" w:fill="auto"/>
            <w:noWrap/>
            <w:vAlign w:val="center"/>
          </w:tcPr>
          <w:p w14:paraId="77A38E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665" w:type="pct"/>
            <w:shd w:val="clear" w:color="auto" w:fill="auto"/>
            <w:vAlign w:val="center"/>
          </w:tcPr>
          <w:p w14:paraId="01D084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吧台</w:t>
            </w:r>
          </w:p>
        </w:tc>
        <w:tc>
          <w:tcPr>
            <w:tcW w:w="1055" w:type="pct"/>
            <w:shd w:val="clear" w:color="auto" w:fill="auto"/>
            <w:noWrap/>
            <w:vAlign w:val="center"/>
          </w:tcPr>
          <w:p w14:paraId="3D581AE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927735" cy="634365"/>
                  <wp:effectExtent l="0" t="0" r="5715" b="13335"/>
                  <wp:docPr id="22" name="图片_44"/>
                  <wp:cNvGraphicFramePr/>
                  <a:graphic xmlns:a="http://schemas.openxmlformats.org/drawingml/2006/main">
                    <a:graphicData uri="http://schemas.openxmlformats.org/drawingml/2006/picture">
                      <pic:pic xmlns:pic="http://schemas.openxmlformats.org/drawingml/2006/picture">
                        <pic:nvPicPr>
                          <pic:cNvPr id="22" name="图片_44"/>
                          <pic:cNvPicPr/>
                        </pic:nvPicPr>
                        <pic:blipFill>
                          <a:blip r:embed="rId32"/>
                          <a:stretch>
                            <a:fillRect/>
                          </a:stretch>
                        </pic:blipFill>
                        <pic:spPr>
                          <a:xfrm>
                            <a:off x="0" y="0"/>
                            <a:ext cx="927735" cy="634365"/>
                          </a:xfrm>
                          <a:prstGeom prst="rect">
                            <a:avLst/>
                          </a:prstGeom>
                          <a:noFill/>
                          <a:ln>
                            <a:noFill/>
                          </a:ln>
                        </pic:spPr>
                      </pic:pic>
                    </a:graphicData>
                  </a:graphic>
                </wp:inline>
              </w:drawing>
            </w:r>
          </w:p>
        </w:tc>
        <w:tc>
          <w:tcPr>
            <w:tcW w:w="2900" w:type="pct"/>
            <w:shd w:val="clear" w:color="auto" w:fill="auto"/>
            <w:vAlign w:val="center"/>
          </w:tcPr>
          <w:p w14:paraId="62C2C4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规格：2400*400*1050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2.5公分厚多层板贴木皮/白蜡实木脚/带金属配件</w:t>
            </w:r>
          </w:p>
        </w:tc>
      </w:tr>
      <w:tr w14:paraId="68E1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377" w:type="pct"/>
            <w:shd w:val="clear" w:color="auto" w:fill="auto"/>
            <w:noWrap/>
            <w:vAlign w:val="center"/>
          </w:tcPr>
          <w:p w14:paraId="6906EB6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665" w:type="pct"/>
            <w:shd w:val="clear" w:color="auto" w:fill="auto"/>
            <w:vAlign w:val="center"/>
          </w:tcPr>
          <w:p w14:paraId="574E81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吧椅</w:t>
            </w:r>
          </w:p>
        </w:tc>
        <w:tc>
          <w:tcPr>
            <w:tcW w:w="1055" w:type="pct"/>
            <w:shd w:val="clear" w:color="auto" w:fill="auto"/>
            <w:noWrap/>
            <w:vAlign w:val="center"/>
          </w:tcPr>
          <w:p w14:paraId="4A8618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59790" cy="657225"/>
                  <wp:effectExtent l="0" t="0" r="16510" b="9525"/>
                  <wp:docPr id="23" name="图片_31"/>
                  <wp:cNvGraphicFramePr/>
                  <a:graphic xmlns:a="http://schemas.openxmlformats.org/drawingml/2006/main">
                    <a:graphicData uri="http://schemas.openxmlformats.org/drawingml/2006/picture">
                      <pic:pic xmlns:pic="http://schemas.openxmlformats.org/drawingml/2006/picture">
                        <pic:nvPicPr>
                          <pic:cNvPr id="23" name="图片_31"/>
                          <pic:cNvPicPr/>
                        </pic:nvPicPr>
                        <pic:blipFill>
                          <a:blip r:embed="rId33"/>
                          <a:stretch>
                            <a:fillRect/>
                          </a:stretch>
                        </pic:blipFill>
                        <pic:spPr>
                          <a:xfrm>
                            <a:off x="0" y="0"/>
                            <a:ext cx="859790" cy="657225"/>
                          </a:xfrm>
                          <a:prstGeom prst="rect">
                            <a:avLst/>
                          </a:prstGeom>
                          <a:noFill/>
                          <a:ln>
                            <a:noFill/>
                          </a:ln>
                        </pic:spPr>
                      </pic:pic>
                    </a:graphicData>
                  </a:graphic>
                </wp:inline>
              </w:drawing>
            </w:r>
          </w:p>
        </w:tc>
        <w:tc>
          <w:tcPr>
            <w:tcW w:w="2900" w:type="pct"/>
            <w:shd w:val="clear" w:color="auto" w:fill="auto"/>
            <w:vAlign w:val="center"/>
          </w:tcPr>
          <w:p w14:paraId="285E0E2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规格：390*300*700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全白蜡木</w:t>
            </w:r>
          </w:p>
        </w:tc>
      </w:tr>
      <w:tr w14:paraId="066B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trPr>
        <w:tc>
          <w:tcPr>
            <w:tcW w:w="377" w:type="pct"/>
            <w:shd w:val="clear" w:color="auto" w:fill="auto"/>
            <w:noWrap/>
            <w:vAlign w:val="center"/>
          </w:tcPr>
          <w:p w14:paraId="47ED2B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665" w:type="pct"/>
            <w:shd w:val="clear" w:color="auto" w:fill="auto"/>
            <w:vAlign w:val="center"/>
          </w:tcPr>
          <w:p w14:paraId="55ABFAF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档案柜</w:t>
            </w:r>
          </w:p>
        </w:tc>
        <w:tc>
          <w:tcPr>
            <w:tcW w:w="1055" w:type="pct"/>
            <w:shd w:val="clear" w:color="auto" w:fill="auto"/>
            <w:noWrap/>
            <w:vAlign w:val="center"/>
          </w:tcPr>
          <w:p w14:paraId="49888F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1023620" cy="940435"/>
                  <wp:effectExtent l="0" t="0" r="5080" b="12065"/>
                  <wp:docPr id="24" name="图片_3_SpCnt_2"/>
                  <wp:cNvGraphicFramePr/>
                  <a:graphic xmlns:a="http://schemas.openxmlformats.org/drawingml/2006/main">
                    <a:graphicData uri="http://schemas.openxmlformats.org/drawingml/2006/picture">
                      <pic:pic xmlns:pic="http://schemas.openxmlformats.org/drawingml/2006/picture">
                        <pic:nvPicPr>
                          <pic:cNvPr id="24" name="图片_3_SpCnt_2"/>
                          <pic:cNvPicPr/>
                        </pic:nvPicPr>
                        <pic:blipFill>
                          <a:blip r:embed="rId34"/>
                          <a:stretch>
                            <a:fillRect/>
                          </a:stretch>
                        </pic:blipFill>
                        <pic:spPr>
                          <a:xfrm>
                            <a:off x="0" y="0"/>
                            <a:ext cx="1023620" cy="940435"/>
                          </a:xfrm>
                          <a:prstGeom prst="rect">
                            <a:avLst/>
                          </a:prstGeom>
                          <a:noFill/>
                          <a:ln>
                            <a:noFill/>
                          </a:ln>
                        </pic:spPr>
                      </pic:pic>
                    </a:graphicData>
                  </a:graphic>
                </wp:inline>
              </w:drawing>
            </w:r>
          </w:p>
        </w:tc>
        <w:tc>
          <w:tcPr>
            <w:tcW w:w="2900" w:type="pct"/>
            <w:shd w:val="clear" w:color="auto" w:fill="auto"/>
            <w:vAlign w:val="center"/>
          </w:tcPr>
          <w:p w14:paraId="2A57933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规格：2400*400*2000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E1级MFC贴面，优质刨花板基材,同色PVC封边,采用优质五金配件，可锁，带抽屉、玻璃门。</w:t>
            </w:r>
          </w:p>
        </w:tc>
      </w:tr>
      <w:tr w14:paraId="6B0A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377" w:type="pct"/>
            <w:shd w:val="clear" w:color="auto" w:fill="auto"/>
            <w:noWrap/>
            <w:vAlign w:val="center"/>
          </w:tcPr>
          <w:p w14:paraId="0BA253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665" w:type="pct"/>
            <w:shd w:val="clear" w:color="auto" w:fill="auto"/>
            <w:vAlign w:val="center"/>
          </w:tcPr>
          <w:p w14:paraId="7344A7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单人沙发</w:t>
            </w:r>
          </w:p>
        </w:tc>
        <w:tc>
          <w:tcPr>
            <w:tcW w:w="1055" w:type="pct"/>
            <w:shd w:val="clear" w:color="auto" w:fill="auto"/>
            <w:noWrap/>
            <w:vAlign w:val="center"/>
          </w:tcPr>
          <w:p w14:paraId="42B8C04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47725" cy="647065"/>
                  <wp:effectExtent l="0" t="0" r="9525" b="635"/>
                  <wp:docPr id="25" name="图片_69"/>
                  <wp:cNvGraphicFramePr/>
                  <a:graphic xmlns:a="http://schemas.openxmlformats.org/drawingml/2006/main">
                    <a:graphicData uri="http://schemas.openxmlformats.org/drawingml/2006/picture">
                      <pic:pic xmlns:pic="http://schemas.openxmlformats.org/drawingml/2006/picture">
                        <pic:nvPicPr>
                          <pic:cNvPr id="25" name="图片_69"/>
                          <pic:cNvPicPr/>
                        </pic:nvPicPr>
                        <pic:blipFill>
                          <a:blip r:embed="rId35"/>
                          <a:stretch>
                            <a:fillRect/>
                          </a:stretch>
                        </pic:blipFill>
                        <pic:spPr>
                          <a:xfrm>
                            <a:off x="0" y="0"/>
                            <a:ext cx="847725" cy="647065"/>
                          </a:xfrm>
                          <a:prstGeom prst="rect">
                            <a:avLst/>
                          </a:prstGeom>
                          <a:noFill/>
                          <a:ln>
                            <a:noFill/>
                          </a:ln>
                        </pic:spPr>
                      </pic:pic>
                    </a:graphicData>
                  </a:graphic>
                </wp:inline>
              </w:drawing>
            </w:r>
          </w:p>
        </w:tc>
        <w:tc>
          <w:tcPr>
            <w:tcW w:w="2900" w:type="pct"/>
            <w:shd w:val="clear" w:color="auto" w:fill="auto"/>
            <w:vAlign w:val="center"/>
          </w:tcPr>
          <w:p w14:paraId="795CC7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规格：900*820*430/790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实木框架/密度海绵/实木脚/西皮/单位标配1个抱枕</w:t>
            </w:r>
          </w:p>
        </w:tc>
      </w:tr>
      <w:tr w14:paraId="5EE4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377" w:type="pct"/>
            <w:shd w:val="clear" w:color="auto" w:fill="auto"/>
            <w:noWrap/>
            <w:vAlign w:val="center"/>
          </w:tcPr>
          <w:p w14:paraId="475AD8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665" w:type="pct"/>
            <w:shd w:val="clear" w:color="auto" w:fill="auto"/>
            <w:vAlign w:val="center"/>
          </w:tcPr>
          <w:p w14:paraId="595E8F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茶几</w:t>
            </w:r>
          </w:p>
        </w:tc>
        <w:tc>
          <w:tcPr>
            <w:tcW w:w="1055" w:type="pct"/>
            <w:shd w:val="clear" w:color="auto" w:fill="auto"/>
            <w:noWrap/>
            <w:vAlign w:val="center"/>
          </w:tcPr>
          <w:p w14:paraId="3883B3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75665" cy="690880"/>
                  <wp:effectExtent l="0" t="0" r="635" b="13970"/>
                  <wp:docPr id="26" name="图片_85"/>
                  <wp:cNvGraphicFramePr/>
                  <a:graphic xmlns:a="http://schemas.openxmlformats.org/drawingml/2006/main">
                    <a:graphicData uri="http://schemas.openxmlformats.org/drawingml/2006/picture">
                      <pic:pic xmlns:pic="http://schemas.openxmlformats.org/drawingml/2006/picture">
                        <pic:nvPicPr>
                          <pic:cNvPr id="26" name="图片_85"/>
                          <pic:cNvPicPr/>
                        </pic:nvPicPr>
                        <pic:blipFill>
                          <a:blip r:embed="rId36"/>
                          <a:stretch>
                            <a:fillRect/>
                          </a:stretch>
                        </pic:blipFill>
                        <pic:spPr>
                          <a:xfrm>
                            <a:off x="0" y="0"/>
                            <a:ext cx="875665" cy="690880"/>
                          </a:xfrm>
                          <a:prstGeom prst="rect">
                            <a:avLst/>
                          </a:prstGeom>
                          <a:noFill/>
                          <a:ln>
                            <a:noFill/>
                          </a:ln>
                        </pic:spPr>
                      </pic:pic>
                    </a:graphicData>
                  </a:graphic>
                </wp:inline>
              </w:drawing>
            </w:r>
          </w:p>
        </w:tc>
        <w:tc>
          <w:tcPr>
            <w:tcW w:w="2900" w:type="pct"/>
            <w:shd w:val="clear" w:color="auto" w:fill="auto"/>
            <w:vAlign w:val="center"/>
          </w:tcPr>
          <w:p w14:paraId="676F5C1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规格：700*750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桌面为高密度板白色烤漆，原木色实木腿</w:t>
            </w:r>
          </w:p>
        </w:tc>
      </w:tr>
      <w:tr w14:paraId="54E6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377" w:type="pct"/>
            <w:shd w:val="clear" w:color="auto" w:fill="auto"/>
            <w:noWrap/>
            <w:vAlign w:val="center"/>
          </w:tcPr>
          <w:p w14:paraId="1ACAF76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665" w:type="pct"/>
            <w:shd w:val="clear" w:color="auto" w:fill="auto"/>
            <w:vAlign w:val="center"/>
          </w:tcPr>
          <w:p w14:paraId="2634B2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地毯</w:t>
            </w:r>
          </w:p>
        </w:tc>
        <w:tc>
          <w:tcPr>
            <w:tcW w:w="1055" w:type="pct"/>
            <w:shd w:val="clear" w:color="auto" w:fill="auto"/>
            <w:noWrap/>
            <w:vAlign w:val="center"/>
          </w:tcPr>
          <w:p w14:paraId="4FE703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589915" cy="485140"/>
                  <wp:effectExtent l="0" t="0" r="635" b="10160"/>
                  <wp:docPr id="27" name="图片_10"/>
                  <wp:cNvGraphicFramePr/>
                  <a:graphic xmlns:a="http://schemas.openxmlformats.org/drawingml/2006/main">
                    <a:graphicData uri="http://schemas.openxmlformats.org/drawingml/2006/picture">
                      <pic:pic xmlns:pic="http://schemas.openxmlformats.org/drawingml/2006/picture">
                        <pic:nvPicPr>
                          <pic:cNvPr id="27" name="图片_10"/>
                          <pic:cNvPicPr/>
                        </pic:nvPicPr>
                        <pic:blipFill>
                          <a:blip r:embed="rId37"/>
                          <a:stretch>
                            <a:fillRect/>
                          </a:stretch>
                        </pic:blipFill>
                        <pic:spPr>
                          <a:xfrm>
                            <a:off x="0" y="0"/>
                            <a:ext cx="589915" cy="485140"/>
                          </a:xfrm>
                          <a:prstGeom prst="rect">
                            <a:avLst/>
                          </a:prstGeom>
                          <a:noFill/>
                          <a:ln>
                            <a:noFill/>
                          </a:ln>
                        </pic:spPr>
                      </pic:pic>
                    </a:graphicData>
                  </a:graphic>
                </wp:inline>
              </w:drawing>
            </w:r>
          </w:p>
        </w:tc>
        <w:tc>
          <w:tcPr>
            <w:tcW w:w="2900" w:type="pct"/>
            <w:shd w:val="clear" w:color="auto" w:fill="auto"/>
            <w:vAlign w:val="center"/>
          </w:tcPr>
          <w:p w14:paraId="475494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规格：2000*1400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材质腈纶，厚度10mm，单位用纱量2000g/㎡</w:t>
            </w:r>
          </w:p>
        </w:tc>
      </w:tr>
      <w:tr w14:paraId="1BF5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377" w:type="pct"/>
            <w:shd w:val="clear" w:color="auto" w:fill="auto"/>
            <w:noWrap/>
            <w:vAlign w:val="center"/>
          </w:tcPr>
          <w:p w14:paraId="23D980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665" w:type="pct"/>
            <w:shd w:val="clear" w:color="auto" w:fill="auto"/>
            <w:vAlign w:val="center"/>
          </w:tcPr>
          <w:p w14:paraId="460E7A2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吧台</w:t>
            </w:r>
          </w:p>
        </w:tc>
        <w:tc>
          <w:tcPr>
            <w:tcW w:w="1055" w:type="pct"/>
            <w:shd w:val="clear" w:color="auto" w:fill="auto"/>
            <w:noWrap/>
            <w:vAlign w:val="center"/>
          </w:tcPr>
          <w:p w14:paraId="0B783EE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922020" cy="913765"/>
                  <wp:effectExtent l="0" t="0" r="11430" b="635"/>
                  <wp:docPr id="28" name="图片_14"/>
                  <wp:cNvGraphicFramePr/>
                  <a:graphic xmlns:a="http://schemas.openxmlformats.org/drawingml/2006/main">
                    <a:graphicData uri="http://schemas.openxmlformats.org/drawingml/2006/picture">
                      <pic:pic xmlns:pic="http://schemas.openxmlformats.org/drawingml/2006/picture">
                        <pic:nvPicPr>
                          <pic:cNvPr id="28" name="图片_14"/>
                          <pic:cNvPicPr/>
                        </pic:nvPicPr>
                        <pic:blipFill>
                          <a:blip r:embed="rId38"/>
                          <a:stretch>
                            <a:fillRect/>
                          </a:stretch>
                        </pic:blipFill>
                        <pic:spPr>
                          <a:xfrm>
                            <a:off x="0" y="0"/>
                            <a:ext cx="922020" cy="913765"/>
                          </a:xfrm>
                          <a:prstGeom prst="rect">
                            <a:avLst/>
                          </a:prstGeom>
                          <a:noFill/>
                          <a:ln>
                            <a:noFill/>
                          </a:ln>
                        </pic:spPr>
                      </pic:pic>
                    </a:graphicData>
                  </a:graphic>
                </wp:inline>
              </w:drawing>
            </w:r>
          </w:p>
        </w:tc>
        <w:tc>
          <w:tcPr>
            <w:tcW w:w="2900" w:type="pct"/>
            <w:shd w:val="clear" w:color="auto" w:fill="auto"/>
            <w:vAlign w:val="center"/>
          </w:tcPr>
          <w:p w14:paraId="5779B4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规格：1600*500*1100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16A9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7" w:type="pct"/>
            <w:shd w:val="clear" w:color="auto" w:fill="auto"/>
            <w:noWrap/>
            <w:vAlign w:val="center"/>
          </w:tcPr>
          <w:p w14:paraId="0B59A6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665" w:type="pct"/>
            <w:shd w:val="clear" w:color="auto" w:fill="auto"/>
            <w:vAlign w:val="center"/>
          </w:tcPr>
          <w:p w14:paraId="0D4090A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吧椅</w:t>
            </w:r>
          </w:p>
        </w:tc>
        <w:tc>
          <w:tcPr>
            <w:tcW w:w="1055" w:type="pct"/>
            <w:shd w:val="clear" w:color="auto" w:fill="auto"/>
            <w:noWrap/>
            <w:vAlign w:val="center"/>
          </w:tcPr>
          <w:p w14:paraId="755945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79475" cy="728345"/>
                  <wp:effectExtent l="0" t="0" r="15875" b="14605"/>
                  <wp:docPr id="29" name="图片_46"/>
                  <wp:cNvGraphicFramePr/>
                  <a:graphic xmlns:a="http://schemas.openxmlformats.org/drawingml/2006/main">
                    <a:graphicData uri="http://schemas.openxmlformats.org/drawingml/2006/picture">
                      <pic:pic xmlns:pic="http://schemas.openxmlformats.org/drawingml/2006/picture">
                        <pic:nvPicPr>
                          <pic:cNvPr id="29" name="图片_46"/>
                          <pic:cNvPicPr/>
                        </pic:nvPicPr>
                        <pic:blipFill>
                          <a:blip r:embed="rId39"/>
                          <a:stretch>
                            <a:fillRect/>
                          </a:stretch>
                        </pic:blipFill>
                        <pic:spPr>
                          <a:xfrm>
                            <a:off x="0" y="0"/>
                            <a:ext cx="879475" cy="728345"/>
                          </a:xfrm>
                          <a:prstGeom prst="rect">
                            <a:avLst/>
                          </a:prstGeom>
                          <a:noFill/>
                          <a:ln>
                            <a:noFill/>
                          </a:ln>
                        </pic:spPr>
                      </pic:pic>
                    </a:graphicData>
                  </a:graphic>
                </wp:inline>
              </w:drawing>
            </w:r>
          </w:p>
        </w:tc>
        <w:tc>
          <w:tcPr>
            <w:tcW w:w="2900" w:type="pct"/>
            <w:shd w:val="clear" w:color="auto" w:fill="auto"/>
            <w:vAlign w:val="center"/>
          </w:tcPr>
          <w:p w14:paraId="3CA26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规格：430*440*730/820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塑料壳，原木色实木脚</w:t>
            </w:r>
          </w:p>
        </w:tc>
      </w:tr>
      <w:tr w14:paraId="1137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377" w:type="pct"/>
            <w:shd w:val="clear" w:color="auto" w:fill="auto"/>
            <w:noWrap/>
            <w:vAlign w:val="center"/>
          </w:tcPr>
          <w:p w14:paraId="2D74F6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665" w:type="pct"/>
            <w:shd w:val="clear" w:color="auto" w:fill="auto"/>
            <w:vAlign w:val="center"/>
          </w:tcPr>
          <w:p w14:paraId="200FABB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石英钟</w:t>
            </w:r>
          </w:p>
        </w:tc>
        <w:tc>
          <w:tcPr>
            <w:tcW w:w="1055" w:type="pct"/>
            <w:shd w:val="clear" w:color="auto" w:fill="auto"/>
            <w:noWrap/>
            <w:vAlign w:val="center"/>
          </w:tcPr>
          <w:p w14:paraId="3F7458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53745" cy="706755"/>
                  <wp:effectExtent l="0" t="0" r="8255" b="17145"/>
                  <wp:docPr id="30" name="图片_16_SpCnt_1"/>
                  <wp:cNvGraphicFramePr/>
                  <a:graphic xmlns:a="http://schemas.openxmlformats.org/drawingml/2006/main">
                    <a:graphicData uri="http://schemas.openxmlformats.org/drawingml/2006/picture">
                      <pic:pic xmlns:pic="http://schemas.openxmlformats.org/drawingml/2006/picture">
                        <pic:nvPicPr>
                          <pic:cNvPr id="30" name="图片_16_SpCnt_1"/>
                          <pic:cNvPicPr/>
                        </pic:nvPicPr>
                        <pic:blipFill>
                          <a:blip r:embed="rId40"/>
                          <a:stretch>
                            <a:fillRect/>
                          </a:stretch>
                        </pic:blipFill>
                        <pic:spPr>
                          <a:xfrm>
                            <a:off x="0" y="0"/>
                            <a:ext cx="753745" cy="706755"/>
                          </a:xfrm>
                          <a:prstGeom prst="rect">
                            <a:avLst/>
                          </a:prstGeom>
                          <a:noFill/>
                          <a:ln>
                            <a:noFill/>
                          </a:ln>
                        </pic:spPr>
                      </pic:pic>
                    </a:graphicData>
                  </a:graphic>
                </wp:inline>
              </w:drawing>
            </w:r>
          </w:p>
        </w:tc>
        <w:tc>
          <w:tcPr>
            <w:tcW w:w="2900" w:type="pct"/>
            <w:shd w:val="clear" w:color="auto" w:fill="auto"/>
            <w:vAlign w:val="center"/>
          </w:tcPr>
          <w:p w14:paraId="24DCC3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规格：12英寸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石英挂钟，静音</w:t>
            </w:r>
          </w:p>
        </w:tc>
      </w:tr>
      <w:tr w14:paraId="1859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377" w:type="pct"/>
            <w:shd w:val="clear" w:color="auto" w:fill="auto"/>
            <w:noWrap/>
            <w:vAlign w:val="center"/>
          </w:tcPr>
          <w:p w14:paraId="7BA0B07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665" w:type="pct"/>
            <w:shd w:val="clear" w:color="auto" w:fill="auto"/>
            <w:vAlign w:val="center"/>
          </w:tcPr>
          <w:p w14:paraId="169801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沙发单人</w:t>
            </w:r>
          </w:p>
        </w:tc>
        <w:tc>
          <w:tcPr>
            <w:tcW w:w="1055" w:type="pct"/>
            <w:shd w:val="clear" w:color="auto" w:fill="auto"/>
            <w:noWrap/>
            <w:vAlign w:val="center"/>
          </w:tcPr>
          <w:p w14:paraId="3CB3C9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66445" cy="755650"/>
                  <wp:effectExtent l="0" t="0" r="14605" b="6350"/>
                  <wp:docPr id="31" name="图片_77"/>
                  <wp:cNvGraphicFramePr/>
                  <a:graphic xmlns:a="http://schemas.openxmlformats.org/drawingml/2006/main">
                    <a:graphicData uri="http://schemas.openxmlformats.org/drawingml/2006/picture">
                      <pic:pic xmlns:pic="http://schemas.openxmlformats.org/drawingml/2006/picture">
                        <pic:nvPicPr>
                          <pic:cNvPr id="31" name="图片_77"/>
                          <pic:cNvPicPr/>
                        </pic:nvPicPr>
                        <pic:blipFill>
                          <a:blip r:embed="rId41"/>
                          <a:stretch>
                            <a:fillRect/>
                          </a:stretch>
                        </pic:blipFill>
                        <pic:spPr>
                          <a:xfrm>
                            <a:off x="0" y="0"/>
                            <a:ext cx="766445" cy="755650"/>
                          </a:xfrm>
                          <a:prstGeom prst="rect">
                            <a:avLst/>
                          </a:prstGeom>
                          <a:noFill/>
                          <a:ln>
                            <a:noFill/>
                          </a:ln>
                        </pic:spPr>
                      </pic:pic>
                    </a:graphicData>
                  </a:graphic>
                </wp:inline>
              </w:drawing>
            </w:r>
          </w:p>
        </w:tc>
        <w:tc>
          <w:tcPr>
            <w:tcW w:w="2900" w:type="pct"/>
            <w:shd w:val="clear" w:color="auto" w:fill="auto"/>
            <w:vAlign w:val="center"/>
          </w:tcPr>
          <w:p w14:paraId="5B0CC7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规格：800*750*750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实木框架，密度海绵填充，西皮饰面，铁脚   </w:t>
            </w:r>
          </w:p>
        </w:tc>
      </w:tr>
      <w:tr w14:paraId="425F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377" w:type="pct"/>
            <w:shd w:val="clear" w:color="auto" w:fill="auto"/>
            <w:noWrap/>
            <w:vAlign w:val="center"/>
          </w:tcPr>
          <w:p w14:paraId="6E7EEB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665" w:type="pct"/>
            <w:shd w:val="clear" w:color="auto" w:fill="auto"/>
            <w:vAlign w:val="center"/>
          </w:tcPr>
          <w:p w14:paraId="554DEAD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沙发双人</w:t>
            </w:r>
          </w:p>
        </w:tc>
        <w:tc>
          <w:tcPr>
            <w:tcW w:w="1055" w:type="pct"/>
            <w:shd w:val="clear" w:color="auto" w:fill="auto"/>
            <w:noWrap/>
            <w:vAlign w:val="center"/>
          </w:tcPr>
          <w:p w14:paraId="0600910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89635" cy="716280"/>
                  <wp:effectExtent l="0" t="0" r="5715" b="7620"/>
                  <wp:docPr id="32" name="图片_52"/>
                  <wp:cNvGraphicFramePr/>
                  <a:graphic xmlns:a="http://schemas.openxmlformats.org/drawingml/2006/main">
                    <a:graphicData uri="http://schemas.openxmlformats.org/drawingml/2006/picture">
                      <pic:pic xmlns:pic="http://schemas.openxmlformats.org/drawingml/2006/picture">
                        <pic:nvPicPr>
                          <pic:cNvPr id="32" name="图片_52"/>
                          <pic:cNvPicPr/>
                        </pic:nvPicPr>
                        <pic:blipFill>
                          <a:blip r:embed="rId42"/>
                          <a:stretch>
                            <a:fillRect/>
                          </a:stretch>
                        </pic:blipFill>
                        <pic:spPr>
                          <a:xfrm>
                            <a:off x="0" y="0"/>
                            <a:ext cx="889635" cy="716280"/>
                          </a:xfrm>
                          <a:prstGeom prst="rect">
                            <a:avLst/>
                          </a:prstGeom>
                          <a:noFill/>
                          <a:ln>
                            <a:noFill/>
                          </a:ln>
                        </pic:spPr>
                      </pic:pic>
                    </a:graphicData>
                  </a:graphic>
                </wp:inline>
              </w:drawing>
            </w:r>
          </w:p>
        </w:tc>
        <w:tc>
          <w:tcPr>
            <w:tcW w:w="2900" w:type="pct"/>
            <w:shd w:val="clear" w:color="auto" w:fill="auto"/>
            <w:vAlign w:val="center"/>
          </w:tcPr>
          <w:p w14:paraId="293E08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规格：1260*670*700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实木框架，密度海绵填充，西皮饰面，铁脚   </w:t>
            </w:r>
          </w:p>
        </w:tc>
      </w:tr>
      <w:tr w14:paraId="34C1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377" w:type="pct"/>
            <w:shd w:val="clear" w:color="auto" w:fill="auto"/>
            <w:noWrap/>
            <w:vAlign w:val="center"/>
          </w:tcPr>
          <w:p w14:paraId="53F2FF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665" w:type="pct"/>
            <w:shd w:val="clear" w:color="auto" w:fill="auto"/>
            <w:vAlign w:val="center"/>
          </w:tcPr>
          <w:p w14:paraId="7C1F5E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茶几</w:t>
            </w:r>
          </w:p>
        </w:tc>
        <w:tc>
          <w:tcPr>
            <w:tcW w:w="1055" w:type="pct"/>
            <w:shd w:val="clear" w:color="auto" w:fill="auto"/>
            <w:noWrap/>
            <w:vAlign w:val="center"/>
          </w:tcPr>
          <w:p w14:paraId="618B45A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08025" cy="682625"/>
                  <wp:effectExtent l="0" t="0" r="15875" b="3175"/>
                  <wp:docPr id="33" name="图片_76"/>
                  <wp:cNvGraphicFramePr/>
                  <a:graphic xmlns:a="http://schemas.openxmlformats.org/drawingml/2006/main">
                    <a:graphicData uri="http://schemas.openxmlformats.org/drawingml/2006/picture">
                      <pic:pic xmlns:pic="http://schemas.openxmlformats.org/drawingml/2006/picture">
                        <pic:nvPicPr>
                          <pic:cNvPr id="33" name="图片_76"/>
                          <pic:cNvPicPr/>
                        </pic:nvPicPr>
                        <pic:blipFill>
                          <a:blip r:embed="rId43"/>
                          <a:stretch>
                            <a:fillRect/>
                          </a:stretch>
                        </pic:blipFill>
                        <pic:spPr>
                          <a:xfrm>
                            <a:off x="0" y="0"/>
                            <a:ext cx="708025" cy="682625"/>
                          </a:xfrm>
                          <a:prstGeom prst="rect">
                            <a:avLst/>
                          </a:prstGeom>
                          <a:noFill/>
                          <a:ln>
                            <a:noFill/>
                          </a:ln>
                        </pic:spPr>
                      </pic:pic>
                    </a:graphicData>
                  </a:graphic>
                </wp:inline>
              </w:drawing>
            </w:r>
          </w:p>
        </w:tc>
        <w:tc>
          <w:tcPr>
            <w:tcW w:w="2900" w:type="pct"/>
            <w:shd w:val="clear" w:color="auto" w:fill="auto"/>
            <w:vAlign w:val="center"/>
          </w:tcPr>
          <w:p w14:paraId="64261FD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规格：1200*600*400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碳素钢/岩板</w:t>
            </w:r>
          </w:p>
        </w:tc>
      </w:tr>
      <w:tr w14:paraId="49F4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377" w:type="pct"/>
            <w:shd w:val="clear" w:color="auto" w:fill="auto"/>
            <w:noWrap/>
            <w:vAlign w:val="center"/>
          </w:tcPr>
          <w:p w14:paraId="0F4649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665" w:type="pct"/>
            <w:shd w:val="clear" w:color="auto" w:fill="auto"/>
            <w:vAlign w:val="center"/>
          </w:tcPr>
          <w:p w14:paraId="1758A6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书架</w:t>
            </w:r>
          </w:p>
        </w:tc>
        <w:tc>
          <w:tcPr>
            <w:tcW w:w="1055" w:type="pct"/>
            <w:shd w:val="clear" w:color="auto" w:fill="auto"/>
            <w:noWrap/>
            <w:vAlign w:val="center"/>
          </w:tcPr>
          <w:p w14:paraId="5B9F88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48970" cy="708025"/>
                  <wp:effectExtent l="0" t="0" r="17780" b="15875"/>
                  <wp:docPr id="34" name="图片_18"/>
                  <wp:cNvGraphicFramePr/>
                  <a:graphic xmlns:a="http://schemas.openxmlformats.org/drawingml/2006/main">
                    <a:graphicData uri="http://schemas.openxmlformats.org/drawingml/2006/picture">
                      <pic:pic xmlns:pic="http://schemas.openxmlformats.org/drawingml/2006/picture">
                        <pic:nvPicPr>
                          <pic:cNvPr id="34" name="图片_18"/>
                          <pic:cNvPicPr/>
                        </pic:nvPicPr>
                        <pic:blipFill>
                          <a:blip r:embed="rId44"/>
                          <a:stretch>
                            <a:fillRect/>
                          </a:stretch>
                        </pic:blipFill>
                        <pic:spPr>
                          <a:xfrm>
                            <a:off x="0" y="0"/>
                            <a:ext cx="648970" cy="708025"/>
                          </a:xfrm>
                          <a:prstGeom prst="rect">
                            <a:avLst/>
                          </a:prstGeom>
                          <a:noFill/>
                          <a:ln>
                            <a:noFill/>
                          </a:ln>
                        </pic:spPr>
                      </pic:pic>
                    </a:graphicData>
                  </a:graphic>
                </wp:inline>
              </w:drawing>
            </w:r>
          </w:p>
        </w:tc>
        <w:tc>
          <w:tcPr>
            <w:tcW w:w="2900" w:type="pct"/>
            <w:shd w:val="clear" w:color="auto" w:fill="auto"/>
            <w:vAlign w:val="center"/>
          </w:tcPr>
          <w:p w14:paraId="4D78BB3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规格：2200*580*2400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1209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377" w:type="pct"/>
            <w:shd w:val="clear" w:color="auto" w:fill="auto"/>
            <w:noWrap/>
            <w:vAlign w:val="center"/>
          </w:tcPr>
          <w:p w14:paraId="51C9DE8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665" w:type="pct"/>
            <w:shd w:val="clear" w:color="auto" w:fill="auto"/>
            <w:vAlign w:val="center"/>
          </w:tcPr>
          <w:p w14:paraId="297603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单人沙发</w:t>
            </w:r>
          </w:p>
        </w:tc>
        <w:tc>
          <w:tcPr>
            <w:tcW w:w="1055" w:type="pct"/>
            <w:shd w:val="clear" w:color="auto" w:fill="auto"/>
            <w:noWrap/>
            <w:vAlign w:val="center"/>
          </w:tcPr>
          <w:p w14:paraId="71D951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68985" cy="770890"/>
                  <wp:effectExtent l="0" t="0" r="12065" b="10160"/>
                  <wp:docPr id="35" name="图片_81"/>
                  <wp:cNvGraphicFramePr/>
                  <a:graphic xmlns:a="http://schemas.openxmlformats.org/drawingml/2006/main">
                    <a:graphicData uri="http://schemas.openxmlformats.org/drawingml/2006/picture">
                      <pic:pic xmlns:pic="http://schemas.openxmlformats.org/drawingml/2006/picture">
                        <pic:nvPicPr>
                          <pic:cNvPr id="35" name="图片_81"/>
                          <pic:cNvPicPr/>
                        </pic:nvPicPr>
                        <pic:blipFill>
                          <a:blip r:embed="rId45"/>
                          <a:stretch>
                            <a:fillRect/>
                          </a:stretch>
                        </pic:blipFill>
                        <pic:spPr>
                          <a:xfrm>
                            <a:off x="0" y="0"/>
                            <a:ext cx="768985" cy="770890"/>
                          </a:xfrm>
                          <a:prstGeom prst="rect">
                            <a:avLst/>
                          </a:prstGeom>
                          <a:noFill/>
                          <a:ln>
                            <a:noFill/>
                          </a:ln>
                        </pic:spPr>
                      </pic:pic>
                    </a:graphicData>
                  </a:graphic>
                </wp:inline>
              </w:drawing>
            </w:r>
          </w:p>
        </w:tc>
        <w:tc>
          <w:tcPr>
            <w:tcW w:w="2900" w:type="pct"/>
            <w:shd w:val="clear" w:color="auto" w:fill="auto"/>
            <w:vAlign w:val="center"/>
          </w:tcPr>
          <w:p w14:paraId="0C4C7C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规格：680*830*420/770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实木框架，密度海绵，麻布饰面，五金脚</w:t>
            </w:r>
          </w:p>
        </w:tc>
      </w:tr>
      <w:tr w14:paraId="6A2C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377" w:type="pct"/>
            <w:shd w:val="clear" w:color="auto" w:fill="auto"/>
            <w:noWrap/>
            <w:vAlign w:val="center"/>
          </w:tcPr>
          <w:p w14:paraId="0CD554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665" w:type="pct"/>
            <w:shd w:val="clear" w:color="auto" w:fill="auto"/>
            <w:vAlign w:val="center"/>
          </w:tcPr>
          <w:p w14:paraId="7E40F1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双人沙发</w:t>
            </w:r>
          </w:p>
        </w:tc>
        <w:tc>
          <w:tcPr>
            <w:tcW w:w="1055" w:type="pct"/>
            <w:shd w:val="clear" w:color="auto" w:fill="auto"/>
            <w:noWrap/>
            <w:vAlign w:val="center"/>
          </w:tcPr>
          <w:p w14:paraId="3D07D0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46760" cy="718820"/>
                  <wp:effectExtent l="0" t="0" r="15240" b="5080"/>
                  <wp:docPr id="36" name="图片_80"/>
                  <wp:cNvGraphicFramePr/>
                  <a:graphic xmlns:a="http://schemas.openxmlformats.org/drawingml/2006/main">
                    <a:graphicData uri="http://schemas.openxmlformats.org/drawingml/2006/picture">
                      <pic:pic xmlns:pic="http://schemas.openxmlformats.org/drawingml/2006/picture">
                        <pic:nvPicPr>
                          <pic:cNvPr id="36" name="图片_80"/>
                          <pic:cNvPicPr/>
                        </pic:nvPicPr>
                        <pic:blipFill>
                          <a:blip r:embed="rId46"/>
                          <a:stretch>
                            <a:fillRect/>
                          </a:stretch>
                        </pic:blipFill>
                        <pic:spPr>
                          <a:xfrm>
                            <a:off x="0" y="0"/>
                            <a:ext cx="746760" cy="718820"/>
                          </a:xfrm>
                          <a:prstGeom prst="rect">
                            <a:avLst/>
                          </a:prstGeom>
                          <a:noFill/>
                          <a:ln>
                            <a:noFill/>
                          </a:ln>
                        </pic:spPr>
                      </pic:pic>
                    </a:graphicData>
                  </a:graphic>
                </wp:inline>
              </w:drawing>
            </w:r>
          </w:p>
        </w:tc>
        <w:tc>
          <w:tcPr>
            <w:tcW w:w="2900" w:type="pct"/>
            <w:shd w:val="clear" w:color="auto" w:fill="auto"/>
            <w:vAlign w:val="center"/>
          </w:tcPr>
          <w:p w14:paraId="6AEF58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规格：1660*830*420/770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实木框架，密度海绵，麻布饰面，五金脚</w:t>
            </w:r>
          </w:p>
        </w:tc>
      </w:tr>
      <w:tr w14:paraId="5885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377" w:type="pct"/>
            <w:shd w:val="clear" w:color="auto" w:fill="auto"/>
            <w:noWrap/>
            <w:vAlign w:val="center"/>
          </w:tcPr>
          <w:p w14:paraId="27B3BD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665" w:type="pct"/>
            <w:shd w:val="clear" w:color="auto" w:fill="auto"/>
            <w:vAlign w:val="center"/>
          </w:tcPr>
          <w:p w14:paraId="69EDBD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茶几</w:t>
            </w:r>
          </w:p>
        </w:tc>
        <w:tc>
          <w:tcPr>
            <w:tcW w:w="1055" w:type="pct"/>
            <w:shd w:val="clear" w:color="auto" w:fill="auto"/>
            <w:noWrap/>
            <w:vAlign w:val="center"/>
          </w:tcPr>
          <w:p w14:paraId="755595B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29615" cy="737235"/>
                  <wp:effectExtent l="0" t="0" r="13335" b="5715"/>
                  <wp:docPr id="37" name="图片_26"/>
                  <wp:cNvGraphicFramePr/>
                  <a:graphic xmlns:a="http://schemas.openxmlformats.org/drawingml/2006/main">
                    <a:graphicData uri="http://schemas.openxmlformats.org/drawingml/2006/picture">
                      <pic:pic xmlns:pic="http://schemas.openxmlformats.org/drawingml/2006/picture">
                        <pic:nvPicPr>
                          <pic:cNvPr id="37" name="图片_26"/>
                          <pic:cNvPicPr/>
                        </pic:nvPicPr>
                        <pic:blipFill>
                          <a:blip r:embed="rId47"/>
                          <a:stretch>
                            <a:fillRect/>
                          </a:stretch>
                        </pic:blipFill>
                        <pic:spPr>
                          <a:xfrm>
                            <a:off x="0" y="0"/>
                            <a:ext cx="729615" cy="737235"/>
                          </a:xfrm>
                          <a:prstGeom prst="rect">
                            <a:avLst/>
                          </a:prstGeom>
                          <a:noFill/>
                          <a:ln>
                            <a:noFill/>
                          </a:ln>
                        </pic:spPr>
                      </pic:pic>
                    </a:graphicData>
                  </a:graphic>
                </wp:inline>
              </w:drawing>
            </w:r>
          </w:p>
        </w:tc>
        <w:tc>
          <w:tcPr>
            <w:tcW w:w="2900" w:type="pct"/>
            <w:shd w:val="clear" w:color="auto" w:fill="auto"/>
            <w:vAlign w:val="center"/>
          </w:tcPr>
          <w:p w14:paraId="6D0FBB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规格：1200*600*430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碳素钢脚+岩板</w:t>
            </w:r>
          </w:p>
        </w:tc>
      </w:tr>
      <w:tr w14:paraId="5729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377" w:type="pct"/>
            <w:shd w:val="clear" w:color="auto" w:fill="auto"/>
            <w:noWrap/>
            <w:vAlign w:val="center"/>
          </w:tcPr>
          <w:p w14:paraId="1BF439E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665" w:type="pct"/>
            <w:shd w:val="clear" w:color="auto" w:fill="auto"/>
            <w:vAlign w:val="center"/>
          </w:tcPr>
          <w:p w14:paraId="561232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衣架</w:t>
            </w:r>
          </w:p>
        </w:tc>
        <w:tc>
          <w:tcPr>
            <w:tcW w:w="1055" w:type="pct"/>
            <w:shd w:val="clear" w:color="auto" w:fill="auto"/>
            <w:noWrap/>
            <w:vAlign w:val="center"/>
          </w:tcPr>
          <w:p w14:paraId="6BE3FA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196850" cy="598805"/>
                  <wp:effectExtent l="0" t="0" r="12700" b="10795"/>
                  <wp:docPr id="38" name="图片_98"/>
                  <wp:cNvGraphicFramePr/>
                  <a:graphic xmlns:a="http://schemas.openxmlformats.org/drawingml/2006/main">
                    <a:graphicData uri="http://schemas.openxmlformats.org/drawingml/2006/picture">
                      <pic:pic xmlns:pic="http://schemas.openxmlformats.org/drawingml/2006/picture">
                        <pic:nvPicPr>
                          <pic:cNvPr id="38" name="图片_98"/>
                          <pic:cNvPicPr/>
                        </pic:nvPicPr>
                        <pic:blipFill>
                          <a:blip r:embed="rId48"/>
                          <a:stretch>
                            <a:fillRect/>
                          </a:stretch>
                        </pic:blipFill>
                        <pic:spPr>
                          <a:xfrm>
                            <a:off x="0" y="0"/>
                            <a:ext cx="196850" cy="598805"/>
                          </a:xfrm>
                          <a:prstGeom prst="rect">
                            <a:avLst/>
                          </a:prstGeom>
                          <a:noFill/>
                          <a:ln>
                            <a:noFill/>
                          </a:ln>
                        </pic:spPr>
                      </pic:pic>
                    </a:graphicData>
                  </a:graphic>
                </wp:inline>
              </w:drawing>
            </w:r>
          </w:p>
        </w:tc>
        <w:tc>
          <w:tcPr>
            <w:tcW w:w="2900" w:type="pct"/>
            <w:shd w:val="clear" w:color="auto" w:fill="auto"/>
            <w:vAlign w:val="center"/>
          </w:tcPr>
          <w:p w14:paraId="196587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规格：1720*380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w:t>
            </w:r>
          </w:p>
        </w:tc>
      </w:tr>
      <w:tr w14:paraId="3B87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377" w:type="pct"/>
            <w:shd w:val="clear" w:color="auto" w:fill="auto"/>
            <w:noWrap/>
            <w:vAlign w:val="center"/>
          </w:tcPr>
          <w:p w14:paraId="65A7124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665" w:type="pct"/>
            <w:shd w:val="clear" w:color="auto" w:fill="auto"/>
            <w:vAlign w:val="center"/>
          </w:tcPr>
          <w:p w14:paraId="2B9FF43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矮柜</w:t>
            </w:r>
          </w:p>
        </w:tc>
        <w:tc>
          <w:tcPr>
            <w:tcW w:w="1055" w:type="pct"/>
            <w:shd w:val="clear" w:color="auto" w:fill="auto"/>
            <w:noWrap/>
            <w:vAlign w:val="center"/>
          </w:tcPr>
          <w:p w14:paraId="001C87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66775" cy="711835"/>
                  <wp:effectExtent l="0" t="0" r="9525" b="12065"/>
                  <wp:docPr id="39" name="图片_11"/>
                  <wp:cNvGraphicFramePr/>
                  <a:graphic xmlns:a="http://schemas.openxmlformats.org/drawingml/2006/main">
                    <a:graphicData uri="http://schemas.openxmlformats.org/drawingml/2006/picture">
                      <pic:pic xmlns:pic="http://schemas.openxmlformats.org/drawingml/2006/picture">
                        <pic:nvPicPr>
                          <pic:cNvPr id="39" name="图片_11"/>
                          <pic:cNvPicPr/>
                        </pic:nvPicPr>
                        <pic:blipFill>
                          <a:blip r:embed="rId49"/>
                          <a:stretch>
                            <a:fillRect/>
                          </a:stretch>
                        </pic:blipFill>
                        <pic:spPr>
                          <a:xfrm>
                            <a:off x="0" y="0"/>
                            <a:ext cx="866775" cy="711835"/>
                          </a:xfrm>
                          <a:prstGeom prst="rect">
                            <a:avLst/>
                          </a:prstGeom>
                          <a:noFill/>
                          <a:ln>
                            <a:noFill/>
                          </a:ln>
                        </pic:spPr>
                      </pic:pic>
                    </a:graphicData>
                  </a:graphic>
                </wp:inline>
              </w:drawing>
            </w:r>
          </w:p>
        </w:tc>
        <w:tc>
          <w:tcPr>
            <w:tcW w:w="2900" w:type="pct"/>
            <w:shd w:val="clear" w:color="auto" w:fill="auto"/>
            <w:vAlign w:val="center"/>
          </w:tcPr>
          <w:p w14:paraId="460871D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规格：2000*400*800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7D70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377" w:type="pct"/>
            <w:shd w:val="clear" w:color="auto" w:fill="auto"/>
            <w:noWrap/>
            <w:vAlign w:val="center"/>
          </w:tcPr>
          <w:p w14:paraId="0181B1D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665" w:type="pct"/>
            <w:shd w:val="clear" w:color="auto" w:fill="auto"/>
            <w:vAlign w:val="center"/>
          </w:tcPr>
          <w:p w14:paraId="5A0E43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休闲椅</w:t>
            </w:r>
          </w:p>
        </w:tc>
        <w:tc>
          <w:tcPr>
            <w:tcW w:w="1055" w:type="pct"/>
            <w:shd w:val="clear" w:color="auto" w:fill="auto"/>
            <w:noWrap/>
            <w:vAlign w:val="center"/>
          </w:tcPr>
          <w:p w14:paraId="60AED8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75665" cy="752475"/>
                  <wp:effectExtent l="0" t="0" r="635" b="9525"/>
                  <wp:docPr id="40" name="图片_75"/>
                  <wp:cNvGraphicFramePr/>
                  <a:graphic xmlns:a="http://schemas.openxmlformats.org/drawingml/2006/main">
                    <a:graphicData uri="http://schemas.openxmlformats.org/drawingml/2006/picture">
                      <pic:pic xmlns:pic="http://schemas.openxmlformats.org/drawingml/2006/picture">
                        <pic:nvPicPr>
                          <pic:cNvPr id="40" name="图片_75"/>
                          <pic:cNvPicPr/>
                        </pic:nvPicPr>
                        <pic:blipFill>
                          <a:blip r:embed="rId50"/>
                          <a:stretch>
                            <a:fillRect/>
                          </a:stretch>
                        </pic:blipFill>
                        <pic:spPr>
                          <a:xfrm>
                            <a:off x="0" y="0"/>
                            <a:ext cx="875665" cy="752475"/>
                          </a:xfrm>
                          <a:prstGeom prst="rect">
                            <a:avLst/>
                          </a:prstGeom>
                          <a:noFill/>
                          <a:ln>
                            <a:noFill/>
                          </a:ln>
                        </pic:spPr>
                      </pic:pic>
                    </a:graphicData>
                  </a:graphic>
                </wp:inline>
              </w:drawing>
            </w:r>
          </w:p>
        </w:tc>
        <w:tc>
          <w:tcPr>
            <w:tcW w:w="2900" w:type="pct"/>
            <w:shd w:val="clear" w:color="auto" w:fill="auto"/>
            <w:vAlign w:val="center"/>
          </w:tcPr>
          <w:p w14:paraId="235512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规格：800*780*440/800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绒麻布饰面，实木框架，密度海棉填充/15号胶脚 </w:t>
            </w:r>
          </w:p>
        </w:tc>
      </w:tr>
      <w:tr w14:paraId="6E5A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trPr>
        <w:tc>
          <w:tcPr>
            <w:tcW w:w="377" w:type="pct"/>
            <w:shd w:val="clear" w:color="auto" w:fill="auto"/>
            <w:noWrap/>
            <w:vAlign w:val="center"/>
          </w:tcPr>
          <w:p w14:paraId="5BEF458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665" w:type="pct"/>
            <w:shd w:val="clear" w:color="auto" w:fill="auto"/>
            <w:vAlign w:val="center"/>
          </w:tcPr>
          <w:p w14:paraId="3D31B09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茶几</w:t>
            </w:r>
          </w:p>
        </w:tc>
        <w:tc>
          <w:tcPr>
            <w:tcW w:w="1055" w:type="pct"/>
            <w:shd w:val="clear" w:color="auto" w:fill="auto"/>
            <w:noWrap/>
            <w:vAlign w:val="center"/>
          </w:tcPr>
          <w:p w14:paraId="02F7967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03275" cy="666115"/>
                  <wp:effectExtent l="0" t="0" r="15875" b="635"/>
                  <wp:docPr id="41" name="图片_100"/>
                  <wp:cNvGraphicFramePr/>
                  <a:graphic xmlns:a="http://schemas.openxmlformats.org/drawingml/2006/main">
                    <a:graphicData uri="http://schemas.openxmlformats.org/drawingml/2006/picture">
                      <pic:pic xmlns:pic="http://schemas.openxmlformats.org/drawingml/2006/picture">
                        <pic:nvPicPr>
                          <pic:cNvPr id="41" name="图片_100"/>
                          <pic:cNvPicPr/>
                        </pic:nvPicPr>
                        <pic:blipFill>
                          <a:blip r:embed="rId51"/>
                          <a:stretch>
                            <a:fillRect/>
                          </a:stretch>
                        </pic:blipFill>
                        <pic:spPr>
                          <a:xfrm>
                            <a:off x="0" y="0"/>
                            <a:ext cx="803275" cy="666115"/>
                          </a:xfrm>
                          <a:prstGeom prst="rect">
                            <a:avLst/>
                          </a:prstGeom>
                          <a:noFill/>
                          <a:ln>
                            <a:noFill/>
                          </a:ln>
                        </pic:spPr>
                      </pic:pic>
                    </a:graphicData>
                  </a:graphic>
                </wp:inline>
              </w:drawing>
            </w:r>
          </w:p>
        </w:tc>
        <w:tc>
          <w:tcPr>
            <w:tcW w:w="2900" w:type="pct"/>
            <w:shd w:val="clear" w:color="auto" w:fill="auto"/>
            <w:vAlign w:val="center"/>
          </w:tcPr>
          <w:p w14:paraId="4802D4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规格：600*510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岩板桌面，多层板扪皮脚</w:t>
            </w:r>
          </w:p>
        </w:tc>
      </w:tr>
      <w:tr w14:paraId="551E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377" w:type="pct"/>
            <w:shd w:val="clear" w:color="auto" w:fill="auto"/>
            <w:noWrap/>
            <w:vAlign w:val="center"/>
          </w:tcPr>
          <w:p w14:paraId="5A07BE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665" w:type="pct"/>
            <w:shd w:val="clear" w:color="auto" w:fill="auto"/>
            <w:vAlign w:val="center"/>
          </w:tcPr>
          <w:p w14:paraId="665CE8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办公屏风</w:t>
            </w:r>
          </w:p>
        </w:tc>
        <w:tc>
          <w:tcPr>
            <w:tcW w:w="1055" w:type="pct"/>
            <w:shd w:val="clear" w:color="auto" w:fill="auto"/>
            <w:noWrap/>
            <w:vAlign w:val="center"/>
          </w:tcPr>
          <w:p w14:paraId="52EC6E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927100" cy="785495"/>
                  <wp:effectExtent l="0" t="0" r="6350" b="14605"/>
                  <wp:docPr id="42" name="图片_1_SpCnt_1"/>
                  <wp:cNvGraphicFramePr/>
                  <a:graphic xmlns:a="http://schemas.openxmlformats.org/drawingml/2006/main">
                    <a:graphicData uri="http://schemas.openxmlformats.org/drawingml/2006/picture">
                      <pic:pic xmlns:pic="http://schemas.openxmlformats.org/drawingml/2006/picture">
                        <pic:nvPicPr>
                          <pic:cNvPr id="42" name="图片_1_SpCnt_1"/>
                          <pic:cNvPicPr/>
                        </pic:nvPicPr>
                        <pic:blipFill>
                          <a:blip r:embed="rId52"/>
                          <a:stretch>
                            <a:fillRect/>
                          </a:stretch>
                        </pic:blipFill>
                        <pic:spPr>
                          <a:xfrm>
                            <a:off x="0" y="0"/>
                            <a:ext cx="927100" cy="785495"/>
                          </a:xfrm>
                          <a:prstGeom prst="rect">
                            <a:avLst/>
                          </a:prstGeom>
                          <a:noFill/>
                          <a:ln>
                            <a:noFill/>
                          </a:ln>
                        </pic:spPr>
                      </pic:pic>
                    </a:graphicData>
                  </a:graphic>
                </wp:inline>
              </w:drawing>
            </w:r>
          </w:p>
        </w:tc>
        <w:tc>
          <w:tcPr>
            <w:tcW w:w="2900" w:type="pct"/>
            <w:shd w:val="clear" w:color="auto" w:fill="auto"/>
            <w:vAlign w:val="center"/>
          </w:tcPr>
          <w:p w14:paraId="75F5AA2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规格：2400*1200*110</w:t>
            </w:r>
          </w:p>
          <w:p w14:paraId="7B5FC29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优质铝材/E1级MFC贴面，优质刨花板基材,同色PVC封边,采用优质五金配件/玻璃</w:t>
            </w:r>
          </w:p>
        </w:tc>
      </w:tr>
      <w:tr w14:paraId="503A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377" w:type="pct"/>
            <w:shd w:val="clear" w:color="auto" w:fill="auto"/>
            <w:noWrap/>
            <w:vAlign w:val="center"/>
          </w:tcPr>
          <w:p w14:paraId="19C62E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665" w:type="pct"/>
            <w:shd w:val="clear" w:color="auto" w:fill="auto"/>
            <w:vAlign w:val="center"/>
          </w:tcPr>
          <w:p w14:paraId="778BBF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打印机柜</w:t>
            </w:r>
          </w:p>
        </w:tc>
        <w:tc>
          <w:tcPr>
            <w:tcW w:w="1055" w:type="pct"/>
            <w:shd w:val="clear" w:color="auto" w:fill="auto"/>
            <w:noWrap/>
            <w:vAlign w:val="center"/>
          </w:tcPr>
          <w:p w14:paraId="32BBF2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17855" cy="764540"/>
                  <wp:effectExtent l="0" t="0" r="10795" b="16510"/>
                  <wp:docPr id="62" name="图片_3_SpCnt_3"/>
                  <wp:cNvGraphicFramePr/>
                  <a:graphic xmlns:a="http://schemas.openxmlformats.org/drawingml/2006/main">
                    <a:graphicData uri="http://schemas.openxmlformats.org/drawingml/2006/picture">
                      <pic:pic xmlns:pic="http://schemas.openxmlformats.org/drawingml/2006/picture">
                        <pic:nvPicPr>
                          <pic:cNvPr id="62" name="图片_3_SpCnt_3"/>
                          <pic:cNvPicPr/>
                        </pic:nvPicPr>
                        <pic:blipFill>
                          <a:blip r:embed="rId53"/>
                          <a:stretch>
                            <a:fillRect/>
                          </a:stretch>
                        </pic:blipFill>
                        <pic:spPr>
                          <a:xfrm>
                            <a:off x="0" y="0"/>
                            <a:ext cx="617855" cy="764540"/>
                          </a:xfrm>
                          <a:prstGeom prst="rect">
                            <a:avLst/>
                          </a:prstGeom>
                          <a:noFill/>
                          <a:ln>
                            <a:noFill/>
                          </a:ln>
                        </pic:spPr>
                      </pic:pic>
                    </a:graphicData>
                  </a:graphic>
                </wp:inline>
              </w:drawing>
            </w:r>
          </w:p>
        </w:tc>
        <w:tc>
          <w:tcPr>
            <w:tcW w:w="2900" w:type="pct"/>
            <w:shd w:val="clear" w:color="auto" w:fill="auto"/>
            <w:vAlign w:val="center"/>
          </w:tcPr>
          <w:p w14:paraId="230D6D0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规格：600*400*900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2DC8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377" w:type="pct"/>
            <w:shd w:val="clear" w:color="auto" w:fill="auto"/>
            <w:noWrap/>
            <w:vAlign w:val="center"/>
          </w:tcPr>
          <w:p w14:paraId="367A6C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665" w:type="pct"/>
            <w:shd w:val="clear" w:color="auto" w:fill="auto"/>
            <w:vAlign w:val="center"/>
          </w:tcPr>
          <w:p w14:paraId="33DE26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储物柜</w:t>
            </w:r>
          </w:p>
        </w:tc>
        <w:tc>
          <w:tcPr>
            <w:tcW w:w="1055" w:type="pct"/>
            <w:shd w:val="clear" w:color="auto" w:fill="auto"/>
            <w:noWrap/>
            <w:vAlign w:val="center"/>
          </w:tcPr>
          <w:p w14:paraId="4026E2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23900" cy="821690"/>
                  <wp:effectExtent l="0" t="0" r="0" b="16510"/>
                  <wp:docPr id="63" name="图片_5"/>
                  <wp:cNvGraphicFramePr/>
                  <a:graphic xmlns:a="http://schemas.openxmlformats.org/drawingml/2006/main">
                    <a:graphicData uri="http://schemas.openxmlformats.org/drawingml/2006/picture">
                      <pic:pic xmlns:pic="http://schemas.openxmlformats.org/drawingml/2006/picture">
                        <pic:nvPicPr>
                          <pic:cNvPr id="63" name="图片_5"/>
                          <pic:cNvPicPr/>
                        </pic:nvPicPr>
                        <pic:blipFill>
                          <a:blip r:embed="rId54"/>
                          <a:stretch>
                            <a:fillRect/>
                          </a:stretch>
                        </pic:blipFill>
                        <pic:spPr>
                          <a:xfrm>
                            <a:off x="0" y="0"/>
                            <a:ext cx="723900" cy="821690"/>
                          </a:xfrm>
                          <a:prstGeom prst="rect">
                            <a:avLst/>
                          </a:prstGeom>
                          <a:noFill/>
                          <a:ln>
                            <a:noFill/>
                          </a:ln>
                        </pic:spPr>
                      </pic:pic>
                    </a:graphicData>
                  </a:graphic>
                </wp:inline>
              </w:drawing>
            </w:r>
          </w:p>
        </w:tc>
        <w:tc>
          <w:tcPr>
            <w:tcW w:w="2900" w:type="pct"/>
            <w:shd w:val="clear" w:color="auto" w:fill="auto"/>
            <w:vAlign w:val="center"/>
          </w:tcPr>
          <w:p w14:paraId="60CE90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规格：900*420*1800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3DB2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377" w:type="pct"/>
            <w:shd w:val="clear" w:color="auto" w:fill="auto"/>
            <w:noWrap/>
            <w:vAlign w:val="center"/>
          </w:tcPr>
          <w:p w14:paraId="3C65635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665" w:type="pct"/>
            <w:shd w:val="clear" w:color="auto" w:fill="auto"/>
            <w:vAlign w:val="center"/>
          </w:tcPr>
          <w:p w14:paraId="55B852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演讲台</w:t>
            </w:r>
          </w:p>
        </w:tc>
        <w:tc>
          <w:tcPr>
            <w:tcW w:w="1055" w:type="pct"/>
            <w:shd w:val="clear" w:color="auto" w:fill="auto"/>
            <w:noWrap/>
            <w:vAlign w:val="center"/>
          </w:tcPr>
          <w:p w14:paraId="37C79F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95655" cy="728345"/>
                  <wp:effectExtent l="0" t="0" r="4445" b="14605"/>
                  <wp:docPr id="64" name="图片_55"/>
                  <wp:cNvGraphicFramePr/>
                  <a:graphic xmlns:a="http://schemas.openxmlformats.org/drawingml/2006/main">
                    <a:graphicData uri="http://schemas.openxmlformats.org/drawingml/2006/picture">
                      <pic:pic xmlns:pic="http://schemas.openxmlformats.org/drawingml/2006/picture">
                        <pic:nvPicPr>
                          <pic:cNvPr id="64" name="图片_55"/>
                          <pic:cNvPicPr/>
                        </pic:nvPicPr>
                        <pic:blipFill>
                          <a:blip r:embed="rId55"/>
                          <a:stretch>
                            <a:fillRect/>
                          </a:stretch>
                        </pic:blipFill>
                        <pic:spPr>
                          <a:xfrm>
                            <a:off x="0" y="0"/>
                            <a:ext cx="795655" cy="728345"/>
                          </a:xfrm>
                          <a:prstGeom prst="rect">
                            <a:avLst/>
                          </a:prstGeom>
                          <a:noFill/>
                          <a:ln>
                            <a:noFill/>
                          </a:ln>
                        </pic:spPr>
                      </pic:pic>
                    </a:graphicData>
                  </a:graphic>
                </wp:inline>
              </w:drawing>
            </w:r>
          </w:p>
        </w:tc>
        <w:tc>
          <w:tcPr>
            <w:tcW w:w="2900" w:type="pct"/>
            <w:shd w:val="clear" w:color="auto" w:fill="auto"/>
            <w:vAlign w:val="center"/>
          </w:tcPr>
          <w:p w14:paraId="47926E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规格：1600*800*750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762C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377" w:type="pct"/>
            <w:shd w:val="clear" w:color="auto" w:fill="auto"/>
            <w:noWrap/>
            <w:vAlign w:val="center"/>
          </w:tcPr>
          <w:p w14:paraId="5CBCAA8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665" w:type="pct"/>
            <w:shd w:val="clear" w:color="auto" w:fill="auto"/>
            <w:vAlign w:val="center"/>
          </w:tcPr>
          <w:p w14:paraId="03F193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移动黑板</w:t>
            </w:r>
          </w:p>
        </w:tc>
        <w:tc>
          <w:tcPr>
            <w:tcW w:w="1055" w:type="pct"/>
            <w:shd w:val="clear" w:color="auto" w:fill="auto"/>
            <w:noWrap/>
            <w:vAlign w:val="center"/>
          </w:tcPr>
          <w:p w14:paraId="23B109D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00100" cy="747395"/>
                  <wp:effectExtent l="0" t="0" r="0" b="14605"/>
                  <wp:docPr id="65" name="图片_6"/>
                  <wp:cNvGraphicFramePr/>
                  <a:graphic xmlns:a="http://schemas.openxmlformats.org/drawingml/2006/main">
                    <a:graphicData uri="http://schemas.openxmlformats.org/drawingml/2006/picture">
                      <pic:pic xmlns:pic="http://schemas.openxmlformats.org/drawingml/2006/picture">
                        <pic:nvPicPr>
                          <pic:cNvPr id="65" name="图片_6"/>
                          <pic:cNvPicPr/>
                        </pic:nvPicPr>
                        <pic:blipFill>
                          <a:blip r:embed="rId56"/>
                          <a:stretch>
                            <a:fillRect/>
                          </a:stretch>
                        </pic:blipFill>
                        <pic:spPr>
                          <a:xfrm>
                            <a:off x="0" y="0"/>
                            <a:ext cx="800100" cy="747395"/>
                          </a:xfrm>
                          <a:prstGeom prst="rect">
                            <a:avLst/>
                          </a:prstGeom>
                          <a:noFill/>
                          <a:ln>
                            <a:noFill/>
                          </a:ln>
                        </pic:spPr>
                      </pic:pic>
                    </a:graphicData>
                  </a:graphic>
                </wp:inline>
              </w:drawing>
            </w:r>
          </w:p>
        </w:tc>
        <w:tc>
          <w:tcPr>
            <w:tcW w:w="2900" w:type="pct"/>
            <w:shd w:val="clear" w:color="auto" w:fill="auto"/>
            <w:vAlign w:val="center"/>
          </w:tcPr>
          <w:p w14:paraId="190F5B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规格：1000*1500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万向轮/白板</w:t>
            </w:r>
          </w:p>
        </w:tc>
      </w:tr>
      <w:tr w14:paraId="3C7F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377" w:type="pct"/>
            <w:shd w:val="clear" w:color="auto" w:fill="auto"/>
            <w:noWrap/>
            <w:vAlign w:val="center"/>
          </w:tcPr>
          <w:p w14:paraId="49F8D6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665" w:type="pct"/>
            <w:shd w:val="clear" w:color="auto" w:fill="auto"/>
            <w:vAlign w:val="center"/>
          </w:tcPr>
          <w:p w14:paraId="2C64D76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资料柜</w:t>
            </w:r>
          </w:p>
        </w:tc>
        <w:tc>
          <w:tcPr>
            <w:tcW w:w="1055" w:type="pct"/>
            <w:shd w:val="clear" w:color="auto" w:fill="auto"/>
            <w:noWrap/>
            <w:vAlign w:val="center"/>
          </w:tcPr>
          <w:p w14:paraId="26BC04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18820" cy="854710"/>
                  <wp:effectExtent l="0" t="0" r="5080" b="2540"/>
                  <wp:docPr id="66" name="图片_1_SpCnt_2"/>
                  <wp:cNvGraphicFramePr/>
                  <a:graphic xmlns:a="http://schemas.openxmlformats.org/drawingml/2006/main">
                    <a:graphicData uri="http://schemas.openxmlformats.org/drawingml/2006/picture">
                      <pic:pic xmlns:pic="http://schemas.openxmlformats.org/drawingml/2006/picture">
                        <pic:nvPicPr>
                          <pic:cNvPr id="66" name="图片_1_SpCnt_2"/>
                          <pic:cNvPicPr/>
                        </pic:nvPicPr>
                        <pic:blipFill>
                          <a:blip r:embed="rId57"/>
                          <a:stretch>
                            <a:fillRect/>
                          </a:stretch>
                        </pic:blipFill>
                        <pic:spPr>
                          <a:xfrm>
                            <a:off x="0" y="0"/>
                            <a:ext cx="718820" cy="854710"/>
                          </a:xfrm>
                          <a:prstGeom prst="rect">
                            <a:avLst/>
                          </a:prstGeom>
                          <a:noFill/>
                          <a:ln>
                            <a:noFill/>
                          </a:ln>
                        </pic:spPr>
                      </pic:pic>
                    </a:graphicData>
                  </a:graphic>
                </wp:inline>
              </w:drawing>
            </w:r>
          </w:p>
        </w:tc>
        <w:tc>
          <w:tcPr>
            <w:tcW w:w="2900" w:type="pct"/>
            <w:shd w:val="clear" w:color="auto" w:fill="auto"/>
            <w:vAlign w:val="center"/>
          </w:tcPr>
          <w:p w14:paraId="70212D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规格：850*390*1800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2BEB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trPr>
        <w:tc>
          <w:tcPr>
            <w:tcW w:w="377" w:type="pct"/>
            <w:shd w:val="clear" w:color="auto" w:fill="auto"/>
            <w:noWrap/>
            <w:vAlign w:val="center"/>
          </w:tcPr>
          <w:p w14:paraId="59F80C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665" w:type="pct"/>
            <w:shd w:val="clear" w:color="auto" w:fill="auto"/>
            <w:vAlign w:val="center"/>
          </w:tcPr>
          <w:p w14:paraId="76F15F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档案柜</w:t>
            </w:r>
          </w:p>
        </w:tc>
        <w:tc>
          <w:tcPr>
            <w:tcW w:w="1055" w:type="pct"/>
            <w:shd w:val="clear" w:color="auto" w:fill="auto"/>
            <w:noWrap/>
            <w:vAlign w:val="center"/>
          </w:tcPr>
          <w:p w14:paraId="3B9524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124460</wp:posOffset>
                  </wp:positionH>
                  <wp:positionV relativeFrom="paragraph">
                    <wp:posOffset>129540</wp:posOffset>
                  </wp:positionV>
                  <wp:extent cx="793115" cy="803910"/>
                  <wp:effectExtent l="0" t="0" r="6985" b="15240"/>
                  <wp:wrapNone/>
                  <wp:docPr id="67" name="图片_2"/>
                  <wp:cNvGraphicFramePr/>
                  <a:graphic xmlns:a="http://schemas.openxmlformats.org/drawingml/2006/main">
                    <a:graphicData uri="http://schemas.openxmlformats.org/drawingml/2006/picture">
                      <pic:pic xmlns:pic="http://schemas.openxmlformats.org/drawingml/2006/picture">
                        <pic:nvPicPr>
                          <pic:cNvPr id="67" name="图片_2"/>
                          <pic:cNvPicPr/>
                        </pic:nvPicPr>
                        <pic:blipFill>
                          <a:blip r:embed="rId58"/>
                          <a:stretch>
                            <a:fillRect/>
                          </a:stretch>
                        </pic:blipFill>
                        <pic:spPr>
                          <a:xfrm>
                            <a:off x="0" y="0"/>
                            <a:ext cx="793115" cy="803910"/>
                          </a:xfrm>
                          <a:prstGeom prst="rect">
                            <a:avLst/>
                          </a:prstGeom>
                          <a:noFill/>
                          <a:ln>
                            <a:noFill/>
                          </a:ln>
                        </pic:spPr>
                      </pic:pic>
                    </a:graphicData>
                  </a:graphic>
                </wp:anchor>
              </w:drawing>
            </w:r>
          </w:p>
        </w:tc>
        <w:tc>
          <w:tcPr>
            <w:tcW w:w="2900" w:type="pct"/>
            <w:shd w:val="clear" w:color="auto" w:fill="auto"/>
            <w:vAlign w:val="center"/>
          </w:tcPr>
          <w:p w14:paraId="303A81C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规格：2000*400*1800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4BBA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377" w:type="pct"/>
            <w:shd w:val="clear" w:color="auto" w:fill="auto"/>
            <w:noWrap/>
            <w:vAlign w:val="center"/>
          </w:tcPr>
          <w:p w14:paraId="378026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665" w:type="pct"/>
            <w:shd w:val="clear" w:color="auto" w:fill="auto"/>
            <w:vAlign w:val="center"/>
          </w:tcPr>
          <w:p w14:paraId="3897F9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会议桌</w:t>
            </w:r>
          </w:p>
        </w:tc>
        <w:tc>
          <w:tcPr>
            <w:tcW w:w="1055" w:type="pct"/>
            <w:shd w:val="clear" w:color="auto" w:fill="auto"/>
            <w:noWrap/>
            <w:vAlign w:val="center"/>
          </w:tcPr>
          <w:p w14:paraId="3EC92B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64770</wp:posOffset>
                  </wp:positionH>
                  <wp:positionV relativeFrom="paragraph">
                    <wp:posOffset>92710</wp:posOffset>
                  </wp:positionV>
                  <wp:extent cx="939800" cy="609600"/>
                  <wp:effectExtent l="0" t="0" r="12700" b="0"/>
                  <wp:wrapNone/>
                  <wp:docPr id="68" name="图片_107"/>
                  <wp:cNvGraphicFramePr/>
                  <a:graphic xmlns:a="http://schemas.openxmlformats.org/drawingml/2006/main">
                    <a:graphicData uri="http://schemas.openxmlformats.org/drawingml/2006/picture">
                      <pic:pic xmlns:pic="http://schemas.openxmlformats.org/drawingml/2006/picture">
                        <pic:nvPicPr>
                          <pic:cNvPr id="68" name="图片_107"/>
                          <pic:cNvPicPr/>
                        </pic:nvPicPr>
                        <pic:blipFill>
                          <a:blip r:embed="rId59"/>
                          <a:stretch>
                            <a:fillRect/>
                          </a:stretch>
                        </pic:blipFill>
                        <pic:spPr>
                          <a:xfrm>
                            <a:off x="0" y="0"/>
                            <a:ext cx="939800" cy="609600"/>
                          </a:xfrm>
                          <a:prstGeom prst="rect">
                            <a:avLst/>
                          </a:prstGeom>
                          <a:noFill/>
                          <a:ln>
                            <a:noFill/>
                          </a:ln>
                        </pic:spPr>
                      </pic:pic>
                    </a:graphicData>
                  </a:graphic>
                </wp:anchor>
              </w:drawing>
            </w:r>
          </w:p>
        </w:tc>
        <w:tc>
          <w:tcPr>
            <w:tcW w:w="2900" w:type="pct"/>
            <w:shd w:val="clear" w:color="auto" w:fill="auto"/>
            <w:vAlign w:val="center"/>
          </w:tcPr>
          <w:p w14:paraId="13328B5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规格：2400*1200*750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E1级MFC贴面，优质刨花板基材,同色PVC封边,采用优质五金配件、优质钢架</w:t>
            </w:r>
          </w:p>
        </w:tc>
      </w:tr>
      <w:tr w14:paraId="4C54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377" w:type="pct"/>
            <w:shd w:val="clear" w:color="auto" w:fill="auto"/>
            <w:noWrap/>
            <w:vAlign w:val="center"/>
          </w:tcPr>
          <w:p w14:paraId="32A82C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665" w:type="pct"/>
            <w:shd w:val="clear" w:color="auto" w:fill="auto"/>
            <w:vAlign w:val="center"/>
          </w:tcPr>
          <w:p w14:paraId="23767C1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会议椅</w:t>
            </w:r>
          </w:p>
        </w:tc>
        <w:tc>
          <w:tcPr>
            <w:tcW w:w="1055" w:type="pct"/>
            <w:shd w:val="clear" w:color="auto" w:fill="auto"/>
            <w:noWrap/>
            <w:vAlign w:val="center"/>
          </w:tcPr>
          <w:p w14:paraId="6D93A5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80010</wp:posOffset>
                  </wp:positionH>
                  <wp:positionV relativeFrom="paragraph">
                    <wp:posOffset>114300</wp:posOffset>
                  </wp:positionV>
                  <wp:extent cx="946785" cy="544830"/>
                  <wp:effectExtent l="0" t="0" r="5715" b="7620"/>
                  <wp:wrapNone/>
                  <wp:docPr id="69" name="图片_108"/>
                  <wp:cNvGraphicFramePr/>
                  <a:graphic xmlns:a="http://schemas.openxmlformats.org/drawingml/2006/main">
                    <a:graphicData uri="http://schemas.openxmlformats.org/drawingml/2006/picture">
                      <pic:pic xmlns:pic="http://schemas.openxmlformats.org/drawingml/2006/picture">
                        <pic:nvPicPr>
                          <pic:cNvPr id="69" name="图片_108"/>
                          <pic:cNvPicPr/>
                        </pic:nvPicPr>
                        <pic:blipFill>
                          <a:blip r:embed="rId59"/>
                          <a:stretch>
                            <a:fillRect/>
                          </a:stretch>
                        </pic:blipFill>
                        <pic:spPr>
                          <a:xfrm>
                            <a:off x="0" y="0"/>
                            <a:ext cx="946785" cy="544830"/>
                          </a:xfrm>
                          <a:prstGeom prst="rect">
                            <a:avLst/>
                          </a:prstGeom>
                          <a:noFill/>
                          <a:ln>
                            <a:noFill/>
                          </a:ln>
                        </pic:spPr>
                      </pic:pic>
                    </a:graphicData>
                  </a:graphic>
                </wp:anchor>
              </w:drawing>
            </w:r>
          </w:p>
        </w:tc>
        <w:tc>
          <w:tcPr>
            <w:tcW w:w="2900" w:type="pct"/>
            <w:shd w:val="clear" w:color="auto" w:fill="auto"/>
            <w:vAlign w:val="center"/>
          </w:tcPr>
          <w:p w14:paraId="394B3E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常规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E1级MFC贴面，优质刨花板基材,同色PVC封边,采用优质五金配件、优质钢架</w:t>
            </w:r>
          </w:p>
        </w:tc>
      </w:tr>
      <w:tr w14:paraId="2742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377" w:type="pct"/>
            <w:shd w:val="clear" w:color="auto" w:fill="auto"/>
            <w:noWrap/>
            <w:vAlign w:val="center"/>
          </w:tcPr>
          <w:p w14:paraId="0BEB8CB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665" w:type="pct"/>
            <w:shd w:val="clear" w:color="auto" w:fill="auto"/>
            <w:vAlign w:val="center"/>
          </w:tcPr>
          <w:p w14:paraId="3F864C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智能储物柜</w:t>
            </w:r>
          </w:p>
        </w:tc>
        <w:tc>
          <w:tcPr>
            <w:tcW w:w="1055" w:type="pct"/>
            <w:shd w:val="clear" w:color="auto" w:fill="auto"/>
            <w:noWrap/>
            <w:vAlign w:val="center"/>
          </w:tcPr>
          <w:p w14:paraId="57ECA2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133985</wp:posOffset>
                  </wp:positionH>
                  <wp:positionV relativeFrom="paragraph">
                    <wp:posOffset>81915</wp:posOffset>
                  </wp:positionV>
                  <wp:extent cx="773430" cy="808355"/>
                  <wp:effectExtent l="0" t="0" r="7620" b="10795"/>
                  <wp:wrapNone/>
                  <wp:docPr id="70" name="图片_5_SpCnt_1"/>
                  <wp:cNvGraphicFramePr/>
                  <a:graphic xmlns:a="http://schemas.openxmlformats.org/drawingml/2006/main">
                    <a:graphicData uri="http://schemas.openxmlformats.org/drawingml/2006/picture">
                      <pic:pic xmlns:pic="http://schemas.openxmlformats.org/drawingml/2006/picture">
                        <pic:nvPicPr>
                          <pic:cNvPr id="70" name="图片_5_SpCnt_1"/>
                          <pic:cNvPicPr/>
                        </pic:nvPicPr>
                        <pic:blipFill>
                          <a:blip r:embed="rId60"/>
                          <a:stretch>
                            <a:fillRect/>
                          </a:stretch>
                        </pic:blipFill>
                        <pic:spPr>
                          <a:xfrm>
                            <a:off x="0" y="0"/>
                            <a:ext cx="773430" cy="808355"/>
                          </a:xfrm>
                          <a:prstGeom prst="rect">
                            <a:avLst/>
                          </a:prstGeom>
                          <a:noFill/>
                          <a:ln>
                            <a:noFill/>
                          </a:ln>
                        </pic:spPr>
                      </pic:pic>
                    </a:graphicData>
                  </a:graphic>
                </wp:anchor>
              </w:drawing>
            </w:r>
          </w:p>
        </w:tc>
        <w:tc>
          <w:tcPr>
            <w:tcW w:w="2900" w:type="pct"/>
            <w:shd w:val="clear" w:color="auto" w:fill="auto"/>
            <w:vAlign w:val="center"/>
          </w:tcPr>
          <w:p w14:paraId="114455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规格：1700*460*1800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人脸识别</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材质：0.6mm冷轧钢板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箱体表面经除锈、除油、打磨、磷化处理后喷塑</w:t>
            </w:r>
          </w:p>
        </w:tc>
      </w:tr>
      <w:tr w14:paraId="05E3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377" w:type="pct"/>
            <w:shd w:val="clear" w:color="auto" w:fill="auto"/>
            <w:noWrap/>
            <w:vAlign w:val="center"/>
          </w:tcPr>
          <w:p w14:paraId="30610D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665" w:type="pct"/>
            <w:shd w:val="clear" w:color="auto" w:fill="auto"/>
            <w:vAlign w:val="center"/>
          </w:tcPr>
          <w:p w14:paraId="2251B4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培训讲台</w:t>
            </w:r>
          </w:p>
        </w:tc>
        <w:tc>
          <w:tcPr>
            <w:tcW w:w="1055" w:type="pct"/>
            <w:shd w:val="clear" w:color="auto" w:fill="auto"/>
            <w:noWrap/>
            <w:vAlign w:val="center"/>
          </w:tcPr>
          <w:p w14:paraId="656C50E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33120" cy="635635"/>
                  <wp:effectExtent l="0" t="0" r="5080" b="12065"/>
                  <wp:docPr id="71" name="图片_7"/>
                  <wp:cNvGraphicFramePr/>
                  <a:graphic xmlns:a="http://schemas.openxmlformats.org/drawingml/2006/main">
                    <a:graphicData uri="http://schemas.openxmlformats.org/drawingml/2006/picture">
                      <pic:pic xmlns:pic="http://schemas.openxmlformats.org/drawingml/2006/picture">
                        <pic:nvPicPr>
                          <pic:cNvPr id="71" name="图片_7"/>
                          <pic:cNvPicPr/>
                        </pic:nvPicPr>
                        <pic:blipFill>
                          <a:blip r:embed="rId61"/>
                          <a:stretch>
                            <a:fillRect/>
                          </a:stretch>
                        </pic:blipFill>
                        <pic:spPr>
                          <a:xfrm>
                            <a:off x="0" y="0"/>
                            <a:ext cx="833120" cy="635635"/>
                          </a:xfrm>
                          <a:prstGeom prst="rect">
                            <a:avLst/>
                          </a:prstGeom>
                          <a:noFill/>
                          <a:ln>
                            <a:noFill/>
                          </a:ln>
                        </pic:spPr>
                      </pic:pic>
                    </a:graphicData>
                  </a:graphic>
                </wp:inline>
              </w:drawing>
            </w:r>
          </w:p>
        </w:tc>
        <w:tc>
          <w:tcPr>
            <w:tcW w:w="2900" w:type="pct"/>
            <w:shd w:val="clear" w:color="auto" w:fill="auto"/>
            <w:vAlign w:val="center"/>
          </w:tcPr>
          <w:p w14:paraId="59CA63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规格：1200*600*1050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1A9A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377" w:type="pct"/>
            <w:shd w:val="clear" w:color="auto" w:fill="auto"/>
            <w:noWrap/>
            <w:vAlign w:val="center"/>
          </w:tcPr>
          <w:p w14:paraId="5CBC5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665" w:type="pct"/>
            <w:shd w:val="clear" w:color="auto" w:fill="auto"/>
            <w:vAlign w:val="center"/>
          </w:tcPr>
          <w:p w14:paraId="51BA1D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黑板</w:t>
            </w:r>
          </w:p>
        </w:tc>
        <w:tc>
          <w:tcPr>
            <w:tcW w:w="1055" w:type="pct"/>
            <w:shd w:val="clear" w:color="auto" w:fill="auto"/>
            <w:noWrap/>
            <w:vAlign w:val="center"/>
          </w:tcPr>
          <w:p w14:paraId="2A9DEC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44550" cy="665480"/>
                  <wp:effectExtent l="0" t="0" r="12700" b="1270"/>
                  <wp:docPr id="72" name="图片_16_SpCnt_2"/>
                  <wp:cNvGraphicFramePr/>
                  <a:graphic xmlns:a="http://schemas.openxmlformats.org/drawingml/2006/main">
                    <a:graphicData uri="http://schemas.openxmlformats.org/drawingml/2006/picture">
                      <pic:pic xmlns:pic="http://schemas.openxmlformats.org/drawingml/2006/picture">
                        <pic:nvPicPr>
                          <pic:cNvPr id="72" name="图片_16_SpCnt_2"/>
                          <pic:cNvPicPr/>
                        </pic:nvPicPr>
                        <pic:blipFill>
                          <a:blip r:embed="rId62"/>
                          <a:stretch>
                            <a:fillRect/>
                          </a:stretch>
                        </pic:blipFill>
                        <pic:spPr>
                          <a:xfrm>
                            <a:off x="0" y="0"/>
                            <a:ext cx="844550" cy="665480"/>
                          </a:xfrm>
                          <a:prstGeom prst="rect">
                            <a:avLst/>
                          </a:prstGeom>
                          <a:noFill/>
                          <a:ln>
                            <a:noFill/>
                          </a:ln>
                        </pic:spPr>
                      </pic:pic>
                    </a:graphicData>
                  </a:graphic>
                </wp:inline>
              </w:drawing>
            </w:r>
          </w:p>
        </w:tc>
        <w:tc>
          <w:tcPr>
            <w:tcW w:w="2900" w:type="pct"/>
            <w:shd w:val="clear" w:color="auto" w:fill="auto"/>
            <w:vAlign w:val="center"/>
          </w:tcPr>
          <w:p w14:paraId="4B8726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规格：3200*1200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黑板(粉笔书写）</w:t>
            </w:r>
          </w:p>
        </w:tc>
      </w:tr>
      <w:tr w14:paraId="0FFE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377" w:type="pct"/>
            <w:shd w:val="clear" w:color="auto" w:fill="auto"/>
            <w:noWrap/>
            <w:vAlign w:val="center"/>
          </w:tcPr>
          <w:p w14:paraId="71B202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665" w:type="pct"/>
            <w:shd w:val="clear" w:color="auto" w:fill="auto"/>
            <w:vAlign w:val="center"/>
          </w:tcPr>
          <w:p w14:paraId="59C4F5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矮柜</w:t>
            </w:r>
          </w:p>
        </w:tc>
        <w:tc>
          <w:tcPr>
            <w:tcW w:w="1055" w:type="pct"/>
            <w:shd w:val="clear" w:color="auto" w:fill="auto"/>
            <w:noWrap/>
            <w:vAlign w:val="center"/>
          </w:tcPr>
          <w:p w14:paraId="30F629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93445" cy="798830"/>
                  <wp:effectExtent l="0" t="0" r="1905" b="1270"/>
                  <wp:docPr id="73" name="图片_11_SpCnt_1"/>
                  <wp:cNvGraphicFramePr/>
                  <a:graphic xmlns:a="http://schemas.openxmlformats.org/drawingml/2006/main">
                    <a:graphicData uri="http://schemas.openxmlformats.org/drawingml/2006/picture">
                      <pic:pic xmlns:pic="http://schemas.openxmlformats.org/drawingml/2006/picture">
                        <pic:nvPicPr>
                          <pic:cNvPr id="73" name="图片_11_SpCnt_1"/>
                          <pic:cNvPicPr/>
                        </pic:nvPicPr>
                        <pic:blipFill>
                          <a:blip r:embed="rId63"/>
                          <a:stretch>
                            <a:fillRect/>
                          </a:stretch>
                        </pic:blipFill>
                        <pic:spPr>
                          <a:xfrm>
                            <a:off x="0" y="0"/>
                            <a:ext cx="893445" cy="798830"/>
                          </a:xfrm>
                          <a:prstGeom prst="rect">
                            <a:avLst/>
                          </a:prstGeom>
                          <a:noFill/>
                          <a:ln>
                            <a:noFill/>
                          </a:ln>
                        </pic:spPr>
                      </pic:pic>
                    </a:graphicData>
                  </a:graphic>
                </wp:inline>
              </w:drawing>
            </w:r>
          </w:p>
        </w:tc>
        <w:tc>
          <w:tcPr>
            <w:tcW w:w="2900" w:type="pct"/>
            <w:shd w:val="clear" w:color="auto" w:fill="auto"/>
            <w:vAlign w:val="center"/>
          </w:tcPr>
          <w:p w14:paraId="473680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规格：2400*400*800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w:t>
            </w:r>
          </w:p>
        </w:tc>
      </w:tr>
      <w:tr w14:paraId="68BF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377" w:type="pct"/>
            <w:shd w:val="clear" w:color="auto" w:fill="auto"/>
            <w:noWrap/>
            <w:vAlign w:val="center"/>
          </w:tcPr>
          <w:p w14:paraId="68DB4B2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665" w:type="pct"/>
            <w:shd w:val="clear" w:color="auto" w:fill="auto"/>
            <w:vAlign w:val="center"/>
          </w:tcPr>
          <w:p w14:paraId="05AEA9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绘画桌</w:t>
            </w:r>
          </w:p>
        </w:tc>
        <w:tc>
          <w:tcPr>
            <w:tcW w:w="1055" w:type="pct"/>
            <w:shd w:val="clear" w:color="auto" w:fill="auto"/>
            <w:noWrap/>
            <w:vAlign w:val="center"/>
          </w:tcPr>
          <w:p w14:paraId="282D66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1057910" cy="462280"/>
                  <wp:effectExtent l="0" t="0" r="8890" b="13970"/>
                  <wp:docPr id="74" name="图片_17_SpCnt_1"/>
                  <wp:cNvGraphicFramePr/>
                  <a:graphic xmlns:a="http://schemas.openxmlformats.org/drawingml/2006/main">
                    <a:graphicData uri="http://schemas.openxmlformats.org/drawingml/2006/picture">
                      <pic:pic xmlns:pic="http://schemas.openxmlformats.org/drawingml/2006/picture">
                        <pic:nvPicPr>
                          <pic:cNvPr id="74" name="图片_17_SpCnt_1"/>
                          <pic:cNvPicPr/>
                        </pic:nvPicPr>
                        <pic:blipFill>
                          <a:blip r:embed="rId64"/>
                          <a:stretch>
                            <a:fillRect/>
                          </a:stretch>
                        </pic:blipFill>
                        <pic:spPr>
                          <a:xfrm>
                            <a:off x="0" y="0"/>
                            <a:ext cx="1057910" cy="462280"/>
                          </a:xfrm>
                          <a:prstGeom prst="rect">
                            <a:avLst/>
                          </a:prstGeom>
                          <a:noFill/>
                          <a:ln>
                            <a:noFill/>
                          </a:ln>
                        </pic:spPr>
                      </pic:pic>
                    </a:graphicData>
                  </a:graphic>
                </wp:inline>
              </w:drawing>
            </w:r>
          </w:p>
        </w:tc>
        <w:tc>
          <w:tcPr>
            <w:tcW w:w="2900" w:type="pct"/>
            <w:shd w:val="clear" w:color="auto" w:fill="auto"/>
            <w:vAlign w:val="center"/>
          </w:tcPr>
          <w:p w14:paraId="464F608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规格：2800*800*650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均采用中密度纤维板，采用优质五金配件，选用环保油漆。</w:t>
            </w:r>
          </w:p>
        </w:tc>
      </w:tr>
      <w:tr w14:paraId="179D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377" w:type="pct"/>
            <w:shd w:val="clear" w:color="auto" w:fill="auto"/>
            <w:noWrap/>
            <w:vAlign w:val="center"/>
          </w:tcPr>
          <w:p w14:paraId="2D18FE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665" w:type="pct"/>
            <w:shd w:val="clear" w:color="auto" w:fill="auto"/>
            <w:vAlign w:val="center"/>
          </w:tcPr>
          <w:p w14:paraId="37F9D88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微笑太阳花地毯</w:t>
            </w:r>
          </w:p>
        </w:tc>
        <w:tc>
          <w:tcPr>
            <w:tcW w:w="1055" w:type="pct"/>
            <w:shd w:val="clear" w:color="auto" w:fill="auto"/>
            <w:noWrap/>
            <w:vAlign w:val="center"/>
          </w:tcPr>
          <w:p w14:paraId="72478B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88365" cy="537210"/>
                  <wp:effectExtent l="0" t="0" r="6985" b="15240"/>
                  <wp:docPr id="75" name="图片_21_SpCnt_1"/>
                  <wp:cNvGraphicFramePr/>
                  <a:graphic xmlns:a="http://schemas.openxmlformats.org/drawingml/2006/main">
                    <a:graphicData uri="http://schemas.openxmlformats.org/drawingml/2006/picture">
                      <pic:pic xmlns:pic="http://schemas.openxmlformats.org/drawingml/2006/picture">
                        <pic:nvPicPr>
                          <pic:cNvPr id="75" name="图片_21_SpCnt_1"/>
                          <pic:cNvPicPr/>
                        </pic:nvPicPr>
                        <pic:blipFill>
                          <a:blip r:embed="rId65"/>
                          <a:stretch>
                            <a:fillRect/>
                          </a:stretch>
                        </pic:blipFill>
                        <pic:spPr>
                          <a:xfrm>
                            <a:off x="0" y="0"/>
                            <a:ext cx="888365" cy="537210"/>
                          </a:xfrm>
                          <a:prstGeom prst="rect">
                            <a:avLst/>
                          </a:prstGeom>
                          <a:noFill/>
                          <a:ln>
                            <a:noFill/>
                          </a:ln>
                        </pic:spPr>
                      </pic:pic>
                    </a:graphicData>
                  </a:graphic>
                </wp:inline>
              </w:drawing>
            </w:r>
          </w:p>
        </w:tc>
        <w:tc>
          <w:tcPr>
            <w:tcW w:w="2900" w:type="pct"/>
            <w:shd w:val="clear" w:color="auto" w:fill="auto"/>
            <w:vAlign w:val="center"/>
          </w:tcPr>
          <w:p w14:paraId="413792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规格：直径2500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材质腈纶，厚度10mm，单位用纱量2000g/㎡</w:t>
            </w:r>
          </w:p>
        </w:tc>
      </w:tr>
      <w:tr w14:paraId="0189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377" w:type="pct"/>
            <w:shd w:val="clear" w:color="auto" w:fill="auto"/>
            <w:noWrap/>
            <w:vAlign w:val="center"/>
          </w:tcPr>
          <w:p w14:paraId="791529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665" w:type="pct"/>
            <w:shd w:val="clear" w:color="auto" w:fill="auto"/>
            <w:vAlign w:val="center"/>
          </w:tcPr>
          <w:p w14:paraId="747353A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单人椅</w:t>
            </w:r>
          </w:p>
        </w:tc>
        <w:tc>
          <w:tcPr>
            <w:tcW w:w="1055" w:type="pct"/>
            <w:shd w:val="clear" w:color="auto" w:fill="auto"/>
            <w:noWrap/>
            <w:vAlign w:val="center"/>
          </w:tcPr>
          <w:p w14:paraId="337FB6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46430" cy="600710"/>
                  <wp:effectExtent l="0" t="0" r="1270" b="8890"/>
                  <wp:docPr id="76" name="图片_50"/>
                  <wp:cNvGraphicFramePr/>
                  <a:graphic xmlns:a="http://schemas.openxmlformats.org/drawingml/2006/main">
                    <a:graphicData uri="http://schemas.openxmlformats.org/drawingml/2006/picture">
                      <pic:pic xmlns:pic="http://schemas.openxmlformats.org/drawingml/2006/picture">
                        <pic:nvPicPr>
                          <pic:cNvPr id="76" name="图片_50"/>
                          <pic:cNvPicPr/>
                        </pic:nvPicPr>
                        <pic:blipFill>
                          <a:blip r:embed="rId66"/>
                          <a:stretch>
                            <a:fillRect/>
                          </a:stretch>
                        </pic:blipFill>
                        <pic:spPr>
                          <a:xfrm>
                            <a:off x="0" y="0"/>
                            <a:ext cx="646430" cy="600710"/>
                          </a:xfrm>
                          <a:prstGeom prst="rect">
                            <a:avLst/>
                          </a:prstGeom>
                          <a:noFill/>
                          <a:ln>
                            <a:noFill/>
                          </a:ln>
                        </pic:spPr>
                      </pic:pic>
                    </a:graphicData>
                  </a:graphic>
                </wp:inline>
              </w:drawing>
            </w:r>
          </w:p>
        </w:tc>
        <w:tc>
          <w:tcPr>
            <w:tcW w:w="2900" w:type="pct"/>
            <w:shd w:val="clear" w:color="auto" w:fill="auto"/>
            <w:vAlign w:val="center"/>
          </w:tcPr>
          <w:p w14:paraId="713CDD5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规格：常规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内弯板/密度海绵/热转印脚/西皮布艺</w:t>
            </w:r>
          </w:p>
        </w:tc>
      </w:tr>
      <w:tr w14:paraId="165D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377" w:type="pct"/>
            <w:shd w:val="clear" w:color="auto" w:fill="auto"/>
            <w:noWrap/>
            <w:vAlign w:val="center"/>
          </w:tcPr>
          <w:p w14:paraId="48BEF97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665" w:type="pct"/>
            <w:shd w:val="clear" w:color="auto" w:fill="auto"/>
            <w:vAlign w:val="center"/>
          </w:tcPr>
          <w:p w14:paraId="012C0E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换鞋凳</w:t>
            </w:r>
          </w:p>
        </w:tc>
        <w:tc>
          <w:tcPr>
            <w:tcW w:w="1055" w:type="pct"/>
            <w:shd w:val="clear" w:color="auto" w:fill="auto"/>
            <w:noWrap/>
            <w:vAlign w:val="center"/>
          </w:tcPr>
          <w:p w14:paraId="1A5E5B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62635" cy="795020"/>
                  <wp:effectExtent l="0" t="0" r="18415" b="5080"/>
                  <wp:docPr id="77" name="图片_6_SpCnt_1"/>
                  <wp:cNvGraphicFramePr/>
                  <a:graphic xmlns:a="http://schemas.openxmlformats.org/drawingml/2006/main">
                    <a:graphicData uri="http://schemas.openxmlformats.org/drawingml/2006/picture">
                      <pic:pic xmlns:pic="http://schemas.openxmlformats.org/drawingml/2006/picture">
                        <pic:nvPicPr>
                          <pic:cNvPr id="77" name="图片_6_SpCnt_1"/>
                          <pic:cNvPicPr/>
                        </pic:nvPicPr>
                        <pic:blipFill>
                          <a:blip r:embed="rId67"/>
                          <a:stretch>
                            <a:fillRect/>
                          </a:stretch>
                        </pic:blipFill>
                        <pic:spPr>
                          <a:xfrm>
                            <a:off x="0" y="0"/>
                            <a:ext cx="762635" cy="795020"/>
                          </a:xfrm>
                          <a:prstGeom prst="rect">
                            <a:avLst/>
                          </a:prstGeom>
                          <a:noFill/>
                          <a:ln>
                            <a:noFill/>
                          </a:ln>
                        </pic:spPr>
                      </pic:pic>
                    </a:graphicData>
                  </a:graphic>
                </wp:inline>
              </w:drawing>
            </w:r>
          </w:p>
        </w:tc>
        <w:tc>
          <w:tcPr>
            <w:tcW w:w="2900" w:type="pct"/>
            <w:shd w:val="clear" w:color="auto" w:fill="auto"/>
            <w:vAlign w:val="center"/>
          </w:tcPr>
          <w:p w14:paraId="6EC66BD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规格：1500*400*400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E1级MFC贴面，优质刨花板基材,同色PVC封边,采用优质五金配件+密度海绵+环保皮软包</w:t>
            </w:r>
          </w:p>
        </w:tc>
      </w:tr>
      <w:tr w14:paraId="1FD6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377" w:type="pct"/>
            <w:shd w:val="clear" w:color="auto" w:fill="auto"/>
            <w:noWrap/>
            <w:vAlign w:val="center"/>
          </w:tcPr>
          <w:p w14:paraId="5F5170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665" w:type="pct"/>
            <w:shd w:val="clear" w:color="auto" w:fill="auto"/>
            <w:vAlign w:val="center"/>
          </w:tcPr>
          <w:p w14:paraId="4235CDE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换鞋凳</w:t>
            </w:r>
          </w:p>
        </w:tc>
        <w:tc>
          <w:tcPr>
            <w:tcW w:w="1055" w:type="pct"/>
            <w:shd w:val="clear" w:color="auto" w:fill="auto"/>
            <w:noWrap/>
            <w:vAlign w:val="center"/>
          </w:tcPr>
          <w:p w14:paraId="1478608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16915" cy="685165"/>
                  <wp:effectExtent l="0" t="0" r="6985" b="635"/>
                  <wp:docPr id="78" name="图片_22"/>
                  <wp:cNvGraphicFramePr/>
                  <a:graphic xmlns:a="http://schemas.openxmlformats.org/drawingml/2006/main">
                    <a:graphicData uri="http://schemas.openxmlformats.org/drawingml/2006/picture">
                      <pic:pic xmlns:pic="http://schemas.openxmlformats.org/drawingml/2006/picture">
                        <pic:nvPicPr>
                          <pic:cNvPr id="78" name="图片_22"/>
                          <pic:cNvPicPr/>
                        </pic:nvPicPr>
                        <pic:blipFill>
                          <a:blip r:embed="rId67"/>
                          <a:stretch>
                            <a:fillRect/>
                          </a:stretch>
                        </pic:blipFill>
                        <pic:spPr>
                          <a:xfrm>
                            <a:off x="0" y="0"/>
                            <a:ext cx="716915" cy="685165"/>
                          </a:xfrm>
                          <a:prstGeom prst="rect">
                            <a:avLst/>
                          </a:prstGeom>
                          <a:noFill/>
                          <a:ln>
                            <a:noFill/>
                          </a:ln>
                        </pic:spPr>
                      </pic:pic>
                    </a:graphicData>
                  </a:graphic>
                </wp:inline>
              </w:drawing>
            </w:r>
          </w:p>
        </w:tc>
        <w:tc>
          <w:tcPr>
            <w:tcW w:w="2900" w:type="pct"/>
            <w:shd w:val="clear" w:color="auto" w:fill="auto"/>
            <w:vAlign w:val="center"/>
          </w:tcPr>
          <w:p w14:paraId="28844D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规格：1100*400*400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E1级MFC贴面，优质刨花板基材,同色PVC封边,采用优质五金配件+密度海绵+环保皮软包</w:t>
            </w:r>
          </w:p>
        </w:tc>
      </w:tr>
      <w:tr w14:paraId="4380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377" w:type="pct"/>
            <w:shd w:val="clear" w:color="auto" w:fill="auto"/>
            <w:noWrap/>
            <w:vAlign w:val="center"/>
          </w:tcPr>
          <w:p w14:paraId="6945DAC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665" w:type="pct"/>
            <w:shd w:val="clear" w:color="auto" w:fill="auto"/>
            <w:vAlign w:val="center"/>
          </w:tcPr>
          <w:p w14:paraId="625FD5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造型花瓶</w:t>
            </w:r>
          </w:p>
        </w:tc>
        <w:tc>
          <w:tcPr>
            <w:tcW w:w="1055" w:type="pct"/>
            <w:shd w:val="clear" w:color="auto" w:fill="auto"/>
            <w:noWrap/>
            <w:vAlign w:val="center"/>
          </w:tcPr>
          <w:p w14:paraId="321B66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color w:val="auto"/>
                <w:highlight w:val="none"/>
              </w:rPr>
              <w:drawing>
                <wp:inline distT="0" distB="0" distL="114300" distR="114300">
                  <wp:extent cx="743585" cy="751205"/>
                  <wp:effectExtent l="0" t="0" r="18415" b="10795"/>
                  <wp:docPr id="8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7"/>
                          <pic:cNvPicPr>
                            <a:picLocks noChangeAspect="1"/>
                          </pic:cNvPicPr>
                        </pic:nvPicPr>
                        <pic:blipFill>
                          <a:blip r:embed="rId68"/>
                          <a:stretch>
                            <a:fillRect/>
                          </a:stretch>
                        </pic:blipFill>
                        <pic:spPr>
                          <a:xfrm>
                            <a:off x="0" y="0"/>
                            <a:ext cx="743585" cy="751205"/>
                          </a:xfrm>
                          <a:prstGeom prst="rect">
                            <a:avLst/>
                          </a:prstGeom>
                          <a:noFill/>
                          <a:ln w="9525">
                            <a:noFill/>
                          </a:ln>
                        </pic:spPr>
                      </pic:pic>
                    </a:graphicData>
                  </a:graphic>
                </wp:inline>
              </w:drawing>
            </w:r>
          </w:p>
        </w:tc>
        <w:tc>
          <w:tcPr>
            <w:tcW w:w="2900" w:type="pct"/>
            <w:shd w:val="clear" w:color="auto" w:fill="auto"/>
            <w:vAlign w:val="center"/>
          </w:tcPr>
          <w:p w14:paraId="7B6E39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参考图片尺寸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w:t>
            </w:r>
          </w:p>
        </w:tc>
      </w:tr>
      <w:tr w14:paraId="4EBD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377" w:type="pct"/>
            <w:shd w:val="clear" w:color="auto" w:fill="auto"/>
            <w:noWrap/>
            <w:vAlign w:val="center"/>
          </w:tcPr>
          <w:p w14:paraId="3B53010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665" w:type="pct"/>
            <w:shd w:val="clear" w:color="auto" w:fill="auto"/>
            <w:vAlign w:val="center"/>
          </w:tcPr>
          <w:p w14:paraId="31325C9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造型花瓶</w:t>
            </w:r>
          </w:p>
        </w:tc>
        <w:tc>
          <w:tcPr>
            <w:tcW w:w="1055" w:type="pct"/>
            <w:shd w:val="clear" w:color="auto" w:fill="auto"/>
            <w:vAlign w:val="center"/>
          </w:tcPr>
          <w:p w14:paraId="4D7041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color w:val="auto"/>
                <w:highlight w:val="none"/>
              </w:rPr>
              <w:drawing>
                <wp:inline distT="0" distB="0" distL="114300" distR="114300">
                  <wp:extent cx="760095" cy="719455"/>
                  <wp:effectExtent l="0" t="0" r="1905" b="4445"/>
                  <wp:docPr id="104"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3"/>
                          <pic:cNvPicPr>
                            <a:picLocks noChangeAspect="1"/>
                          </pic:cNvPicPr>
                        </pic:nvPicPr>
                        <pic:blipFill>
                          <a:blip r:embed="rId69"/>
                          <a:stretch>
                            <a:fillRect/>
                          </a:stretch>
                        </pic:blipFill>
                        <pic:spPr>
                          <a:xfrm>
                            <a:off x="0" y="0"/>
                            <a:ext cx="760095" cy="719455"/>
                          </a:xfrm>
                          <a:prstGeom prst="rect">
                            <a:avLst/>
                          </a:prstGeom>
                          <a:noFill/>
                          <a:ln w="9525">
                            <a:noFill/>
                          </a:ln>
                        </pic:spPr>
                      </pic:pic>
                    </a:graphicData>
                  </a:graphic>
                </wp:inline>
              </w:drawing>
            </w:r>
          </w:p>
        </w:tc>
        <w:tc>
          <w:tcPr>
            <w:tcW w:w="2900" w:type="pct"/>
            <w:shd w:val="clear" w:color="auto" w:fill="auto"/>
            <w:vAlign w:val="center"/>
          </w:tcPr>
          <w:p w14:paraId="50E6852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参考图片尺寸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w:t>
            </w:r>
          </w:p>
        </w:tc>
      </w:tr>
      <w:tr w14:paraId="408D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377" w:type="pct"/>
            <w:shd w:val="clear" w:color="auto" w:fill="auto"/>
            <w:noWrap/>
            <w:vAlign w:val="center"/>
          </w:tcPr>
          <w:p w14:paraId="54751B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665" w:type="pct"/>
            <w:shd w:val="clear" w:color="auto" w:fill="auto"/>
            <w:vAlign w:val="center"/>
          </w:tcPr>
          <w:p w14:paraId="036FFB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造型花瓶</w:t>
            </w:r>
          </w:p>
        </w:tc>
        <w:tc>
          <w:tcPr>
            <w:tcW w:w="1055" w:type="pct"/>
            <w:shd w:val="clear" w:color="auto" w:fill="auto"/>
            <w:vAlign w:val="center"/>
          </w:tcPr>
          <w:p w14:paraId="7ED484E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color w:val="auto"/>
                <w:highlight w:val="none"/>
              </w:rPr>
              <w:drawing>
                <wp:inline distT="0" distB="0" distL="114300" distR="114300">
                  <wp:extent cx="806450" cy="741045"/>
                  <wp:effectExtent l="0" t="0" r="12700" b="1905"/>
                  <wp:docPr id="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
                          <pic:cNvPicPr>
                            <a:picLocks noChangeAspect="1"/>
                          </pic:cNvPicPr>
                        </pic:nvPicPr>
                        <pic:blipFill>
                          <a:blip r:embed="rId70"/>
                          <a:stretch>
                            <a:fillRect/>
                          </a:stretch>
                        </pic:blipFill>
                        <pic:spPr>
                          <a:xfrm>
                            <a:off x="0" y="0"/>
                            <a:ext cx="806450" cy="741045"/>
                          </a:xfrm>
                          <a:prstGeom prst="rect">
                            <a:avLst/>
                          </a:prstGeom>
                          <a:noFill/>
                          <a:ln>
                            <a:noFill/>
                          </a:ln>
                        </pic:spPr>
                      </pic:pic>
                    </a:graphicData>
                  </a:graphic>
                </wp:inline>
              </w:drawing>
            </w:r>
          </w:p>
        </w:tc>
        <w:tc>
          <w:tcPr>
            <w:tcW w:w="2900" w:type="pct"/>
            <w:shd w:val="clear" w:color="auto" w:fill="auto"/>
            <w:vAlign w:val="center"/>
          </w:tcPr>
          <w:p w14:paraId="77C722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参考图片尺寸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w:t>
            </w:r>
          </w:p>
        </w:tc>
      </w:tr>
      <w:tr w14:paraId="35BE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7" w:type="pct"/>
            <w:shd w:val="clear" w:color="auto" w:fill="auto"/>
            <w:noWrap/>
            <w:vAlign w:val="center"/>
          </w:tcPr>
          <w:p w14:paraId="7DE0635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665" w:type="pct"/>
            <w:shd w:val="clear" w:color="auto" w:fill="auto"/>
            <w:vAlign w:val="center"/>
          </w:tcPr>
          <w:p w14:paraId="160A80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造型花瓶</w:t>
            </w:r>
          </w:p>
        </w:tc>
        <w:tc>
          <w:tcPr>
            <w:tcW w:w="1055" w:type="pct"/>
            <w:shd w:val="clear" w:color="auto" w:fill="auto"/>
            <w:vAlign w:val="center"/>
          </w:tcPr>
          <w:p w14:paraId="60900F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55015" cy="708660"/>
                  <wp:effectExtent l="0" t="0" r="6985" b="15240"/>
                  <wp:docPr id="43" name="图片_110"/>
                  <wp:cNvGraphicFramePr/>
                  <a:graphic xmlns:a="http://schemas.openxmlformats.org/drawingml/2006/main">
                    <a:graphicData uri="http://schemas.openxmlformats.org/drawingml/2006/picture">
                      <pic:pic xmlns:pic="http://schemas.openxmlformats.org/drawingml/2006/picture">
                        <pic:nvPicPr>
                          <pic:cNvPr id="43" name="图片_110"/>
                          <pic:cNvPicPr/>
                        </pic:nvPicPr>
                        <pic:blipFill>
                          <a:blip r:embed="rId71"/>
                          <a:stretch>
                            <a:fillRect/>
                          </a:stretch>
                        </pic:blipFill>
                        <pic:spPr>
                          <a:xfrm>
                            <a:off x="0" y="0"/>
                            <a:ext cx="755015" cy="708660"/>
                          </a:xfrm>
                          <a:prstGeom prst="rect">
                            <a:avLst/>
                          </a:prstGeom>
                          <a:noFill/>
                          <a:ln>
                            <a:noFill/>
                          </a:ln>
                        </pic:spPr>
                      </pic:pic>
                    </a:graphicData>
                  </a:graphic>
                </wp:inline>
              </w:drawing>
            </w:r>
          </w:p>
        </w:tc>
        <w:tc>
          <w:tcPr>
            <w:tcW w:w="2900" w:type="pct"/>
            <w:shd w:val="clear" w:color="auto" w:fill="auto"/>
            <w:vAlign w:val="center"/>
          </w:tcPr>
          <w:p w14:paraId="0033389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高20cm宽10cm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w:t>
            </w:r>
          </w:p>
        </w:tc>
      </w:tr>
      <w:tr w14:paraId="1D5E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377" w:type="pct"/>
            <w:shd w:val="clear" w:color="auto" w:fill="auto"/>
            <w:noWrap/>
            <w:vAlign w:val="center"/>
          </w:tcPr>
          <w:p w14:paraId="3BD86EC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665" w:type="pct"/>
            <w:shd w:val="clear" w:color="auto" w:fill="auto"/>
            <w:vAlign w:val="center"/>
          </w:tcPr>
          <w:p w14:paraId="64169D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造型花瓶</w:t>
            </w:r>
          </w:p>
        </w:tc>
        <w:tc>
          <w:tcPr>
            <w:tcW w:w="1055" w:type="pct"/>
            <w:shd w:val="clear" w:color="auto" w:fill="auto"/>
            <w:vAlign w:val="center"/>
          </w:tcPr>
          <w:p w14:paraId="495461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color w:val="auto"/>
                <w:highlight w:val="none"/>
              </w:rPr>
              <w:drawing>
                <wp:inline distT="0" distB="0" distL="114300" distR="114300">
                  <wp:extent cx="840740" cy="833755"/>
                  <wp:effectExtent l="0" t="0" r="16510" b="4445"/>
                  <wp:docPr id="8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0"/>
                          <pic:cNvPicPr>
                            <a:picLocks noChangeAspect="1"/>
                          </pic:cNvPicPr>
                        </pic:nvPicPr>
                        <pic:blipFill>
                          <a:blip r:embed="rId72"/>
                          <a:stretch>
                            <a:fillRect/>
                          </a:stretch>
                        </pic:blipFill>
                        <pic:spPr>
                          <a:xfrm>
                            <a:off x="0" y="0"/>
                            <a:ext cx="840740" cy="833755"/>
                          </a:xfrm>
                          <a:prstGeom prst="rect">
                            <a:avLst/>
                          </a:prstGeom>
                          <a:noFill/>
                          <a:ln w="9525">
                            <a:noFill/>
                          </a:ln>
                        </pic:spPr>
                      </pic:pic>
                    </a:graphicData>
                  </a:graphic>
                </wp:inline>
              </w:drawing>
            </w:r>
          </w:p>
        </w:tc>
        <w:tc>
          <w:tcPr>
            <w:tcW w:w="2900" w:type="pct"/>
            <w:shd w:val="clear" w:color="auto" w:fill="auto"/>
            <w:vAlign w:val="center"/>
          </w:tcPr>
          <w:p w14:paraId="5F6A043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参考图片尺寸</w:t>
            </w:r>
          </w:p>
          <w:p w14:paraId="40EB83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树脂</w:t>
            </w:r>
          </w:p>
        </w:tc>
      </w:tr>
      <w:tr w14:paraId="41F1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377" w:type="pct"/>
            <w:shd w:val="clear" w:color="auto" w:fill="auto"/>
            <w:noWrap/>
            <w:vAlign w:val="center"/>
          </w:tcPr>
          <w:p w14:paraId="163DAA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665" w:type="pct"/>
            <w:shd w:val="clear" w:color="auto" w:fill="auto"/>
            <w:vAlign w:val="center"/>
          </w:tcPr>
          <w:p w14:paraId="1055D67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造型花瓶</w:t>
            </w:r>
          </w:p>
        </w:tc>
        <w:tc>
          <w:tcPr>
            <w:tcW w:w="1055" w:type="pct"/>
            <w:shd w:val="clear" w:color="auto" w:fill="auto"/>
            <w:noWrap/>
            <w:vAlign w:val="center"/>
          </w:tcPr>
          <w:p w14:paraId="3BCBCA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color w:val="auto"/>
                <w:highlight w:val="none"/>
              </w:rPr>
              <w:drawing>
                <wp:inline distT="0" distB="0" distL="114300" distR="114300">
                  <wp:extent cx="687070" cy="801370"/>
                  <wp:effectExtent l="0" t="0" r="17780" b="17780"/>
                  <wp:docPr id="8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1"/>
                          <pic:cNvPicPr>
                            <a:picLocks noChangeAspect="1"/>
                          </pic:cNvPicPr>
                        </pic:nvPicPr>
                        <pic:blipFill>
                          <a:blip r:embed="rId73"/>
                          <a:stretch>
                            <a:fillRect/>
                          </a:stretch>
                        </pic:blipFill>
                        <pic:spPr>
                          <a:xfrm>
                            <a:off x="0" y="0"/>
                            <a:ext cx="687070" cy="801370"/>
                          </a:xfrm>
                          <a:prstGeom prst="rect">
                            <a:avLst/>
                          </a:prstGeom>
                          <a:noFill/>
                          <a:ln w="9525">
                            <a:noFill/>
                          </a:ln>
                        </pic:spPr>
                      </pic:pic>
                    </a:graphicData>
                  </a:graphic>
                </wp:inline>
              </w:drawing>
            </w:r>
          </w:p>
        </w:tc>
        <w:tc>
          <w:tcPr>
            <w:tcW w:w="2900" w:type="pct"/>
            <w:shd w:val="clear" w:color="auto" w:fill="auto"/>
            <w:vAlign w:val="center"/>
          </w:tcPr>
          <w:p w14:paraId="756AE9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参考图片尺寸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w:t>
            </w:r>
          </w:p>
        </w:tc>
      </w:tr>
      <w:tr w14:paraId="2DBC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377" w:type="pct"/>
            <w:shd w:val="clear" w:color="auto" w:fill="auto"/>
            <w:noWrap/>
            <w:vAlign w:val="center"/>
          </w:tcPr>
          <w:p w14:paraId="024B06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665" w:type="pct"/>
            <w:shd w:val="clear" w:color="auto" w:fill="auto"/>
            <w:vAlign w:val="center"/>
          </w:tcPr>
          <w:p w14:paraId="1C3F1A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糖果零食盒子</w:t>
            </w:r>
          </w:p>
        </w:tc>
        <w:tc>
          <w:tcPr>
            <w:tcW w:w="1055" w:type="pct"/>
            <w:shd w:val="clear" w:color="auto" w:fill="auto"/>
            <w:noWrap/>
            <w:vAlign w:val="center"/>
          </w:tcPr>
          <w:p w14:paraId="0C9616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00405" cy="724535"/>
                  <wp:effectExtent l="0" t="0" r="4445" b="18415"/>
                  <wp:docPr id="44" name="图片_48"/>
                  <wp:cNvGraphicFramePr/>
                  <a:graphic xmlns:a="http://schemas.openxmlformats.org/drawingml/2006/main">
                    <a:graphicData uri="http://schemas.openxmlformats.org/drawingml/2006/picture">
                      <pic:pic xmlns:pic="http://schemas.openxmlformats.org/drawingml/2006/picture">
                        <pic:nvPicPr>
                          <pic:cNvPr id="44" name="图片_48"/>
                          <pic:cNvPicPr/>
                        </pic:nvPicPr>
                        <pic:blipFill>
                          <a:blip r:embed="rId74"/>
                          <a:stretch>
                            <a:fillRect/>
                          </a:stretch>
                        </pic:blipFill>
                        <pic:spPr>
                          <a:xfrm>
                            <a:off x="0" y="0"/>
                            <a:ext cx="700405" cy="724535"/>
                          </a:xfrm>
                          <a:prstGeom prst="rect">
                            <a:avLst/>
                          </a:prstGeom>
                          <a:noFill/>
                          <a:ln>
                            <a:noFill/>
                          </a:ln>
                        </pic:spPr>
                      </pic:pic>
                    </a:graphicData>
                  </a:graphic>
                </wp:inline>
              </w:drawing>
            </w:r>
          </w:p>
        </w:tc>
        <w:tc>
          <w:tcPr>
            <w:tcW w:w="2900" w:type="pct"/>
            <w:shd w:val="clear" w:color="auto" w:fill="auto"/>
            <w:vAlign w:val="center"/>
          </w:tcPr>
          <w:p w14:paraId="3EEF61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规格：15*15*15cm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PEP材质、透明白色、自带压圈</w:t>
            </w:r>
          </w:p>
        </w:tc>
      </w:tr>
      <w:tr w14:paraId="5C4A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377" w:type="pct"/>
            <w:shd w:val="clear" w:color="auto" w:fill="auto"/>
            <w:noWrap/>
            <w:vAlign w:val="center"/>
          </w:tcPr>
          <w:p w14:paraId="17DBA5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665" w:type="pct"/>
            <w:shd w:val="clear" w:color="auto" w:fill="auto"/>
            <w:vAlign w:val="center"/>
          </w:tcPr>
          <w:p w14:paraId="2A246E2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书架挡板</w:t>
            </w:r>
          </w:p>
        </w:tc>
        <w:tc>
          <w:tcPr>
            <w:tcW w:w="1055" w:type="pct"/>
            <w:shd w:val="clear" w:color="auto" w:fill="auto"/>
            <w:noWrap/>
            <w:vAlign w:val="center"/>
          </w:tcPr>
          <w:p w14:paraId="1DB8CD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color w:val="auto"/>
                <w:highlight w:val="none"/>
              </w:rPr>
              <w:drawing>
                <wp:inline distT="0" distB="0" distL="114300" distR="114300">
                  <wp:extent cx="838835" cy="602615"/>
                  <wp:effectExtent l="0" t="0" r="18415" b="6985"/>
                  <wp:docPr id="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
                          <pic:cNvPicPr>
                            <a:picLocks noChangeAspect="1"/>
                          </pic:cNvPicPr>
                        </pic:nvPicPr>
                        <pic:blipFill>
                          <a:blip r:embed="rId75"/>
                          <a:stretch>
                            <a:fillRect/>
                          </a:stretch>
                        </pic:blipFill>
                        <pic:spPr>
                          <a:xfrm>
                            <a:off x="0" y="0"/>
                            <a:ext cx="838835" cy="602615"/>
                          </a:xfrm>
                          <a:prstGeom prst="rect">
                            <a:avLst/>
                          </a:prstGeom>
                          <a:noFill/>
                          <a:ln>
                            <a:noFill/>
                          </a:ln>
                        </pic:spPr>
                      </pic:pic>
                    </a:graphicData>
                  </a:graphic>
                </wp:inline>
              </w:drawing>
            </w:r>
          </w:p>
        </w:tc>
        <w:tc>
          <w:tcPr>
            <w:tcW w:w="2900" w:type="pct"/>
            <w:shd w:val="clear" w:color="auto" w:fill="auto"/>
            <w:vAlign w:val="center"/>
          </w:tcPr>
          <w:p w14:paraId="5746DE0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尺寸参考图片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实木</w:t>
            </w:r>
          </w:p>
        </w:tc>
      </w:tr>
      <w:tr w14:paraId="7D1B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377" w:type="pct"/>
            <w:shd w:val="clear" w:color="auto" w:fill="auto"/>
            <w:noWrap/>
            <w:vAlign w:val="center"/>
          </w:tcPr>
          <w:p w14:paraId="568C45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665" w:type="pct"/>
            <w:shd w:val="clear" w:color="auto" w:fill="auto"/>
            <w:noWrap/>
            <w:vAlign w:val="center"/>
          </w:tcPr>
          <w:p w14:paraId="0EDB76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心理学效应卡</w:t>
            </w:r>
          </w:p>
        </w:tc>
        <w:tc>
          <w:tcPr>
            <w:tcW w:w="1055" w:type="pct"/>
            <w:shd w:val="clear" w:color="auto" w:fill="auto"/>
            <w:noWrap/>
            <w:vAlign w:val="center"/>
          </w:tcPr>
          <w:p w14:paraId="7424D0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drawing>
                <wp:inline distT="0" distB="0" distL="114300" distR="114300">
                  <wp:extent cx="660400" cy="628650"/>
                  <wp:effectExtent l="0" t="0" r="6350" b="0"/>
                  <wp:docPr id="45" name="图片_42"/>
                  <wp:cNvGraphicFramePr/>
                  <a:graphic xmlns:a="http://schemas.openxmlformats.org/drawingml/2006/main">
                    <a:graphicData uri="http://schemas.openxmlformats.org/drawingml/2006/picture">
                      <pic:pic xmlns:pic="http://schemas.openxmlformats.org/drawingml/2006/picture">
                        <pic:nvPicPr>
                          <pic:cNvPr id="45" name="图片_42"/>
                          <pic:cNvPicPr/>
                        </pic:nvPicPr>
                        <pic:blipFill>
                          <a:blip r:embed="rId76"/>
                          <a:stretch>
                            <a:fillRect/>
                          </a:stretch>
                        </pic:blipFill>
                        <pic:spPr>
                          <a:xfrm>
                            <a:off x="0" y="0"/>
                            <a:ext cx="660400" cy="628650"/>
                          </a:xfrm>
                          <a:prstGeom prst="rect">
                            <a:avLst/>
                          </a:prstGeom>
                          <a:noFill/>
                          <a:ln>
                            <a:noFill/>
                          </a:ln>
                        </pic:spPr>
                      </pic:pic>
                    </a:graphicData>
                  </a:graphic>
                </wp:inline>
              </w:drawing>
            </w:r>
          </w:p>
        </w:tc>
        <w:tc>
          <w:tcPr>
            <w:tcW w:w="2900" w:type="pct"/>
            <w:shd w:val="clear" w:color="auto" w:fill="auto"/>
            <w:vAlign w:val="center"/>
          </w:tcPr>
          <w:p w14:paraId="063F969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55张/盒；卡片尺寸55*85mm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心理学科普卡片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铜卡材质</w:t>
            </w:r>
          </w:p>
        </w:tc>
      </w:tr>
      <w:tr w14:paraId="708C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377" w:type="pct"/>
            <w:shd w:val="clear" w:color="auto" w:fill="auto"/>
            <w:noWrap/>
            <w:vAlign w:val="center"/>
          </w:tcPr>
          <w:p w14:paraId="4EAE5D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61</w:t>
            </w:r>
          </w:p>
        </w:tc>
        <w:tc>
          <w:tcPr>
            <w:tcW w:w="665" w:type="pct"/>
            <w:shd w:val="clear" w:color="auto" w:fill="auto"/>
            <w:vAlign w:val="center"/>
          </w:tcPr>
          <w:p w14:paraId="2772B89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咨询室安抚毛绒娃娃</w:t>
            </w:r>
          </w:p>
        </w:tc>
        <w:tc>
          <w:tcPr>
            <w:tcW w:w="1055" w:type="pct"/>
            <w:shd w:val="clear" w:color="auto" w:fill="auto"/>
            <w:noWrap/>
            <w:vAlign w:val="center"/>
          </w:tcPr>
          <w:p w14:paraId="4BC6165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593725" cy="725170"/>
                  <wp:effectExtent l="0" t="0" r="15875" b="17780"/>
                  <wp:docPr id="46" name="图片_1_SpCnt_3"/>
                  <wp:cNvGraphicFramePr/>
                  <a:graphic xmlns:a="http://schemas.openxmlformats.org/drawingml/2006/main">
                    <a:graphicData uri="http://schemas.openxmlformats.org/drawingml/2006/picture">
                      <pic:pic xmlns:pic="http://schemas.openxmlformats.org/drawingml/2006/picture">
                        <pic:nvPicPr>
                          <pic:cNvPr id="46" name="图片_1_SpCnt_3"/>
                          <pic:cNvPicPr/>
                        </pic:nvPicPr>
                        <pic:blipFill>
                          <a:blip r:embed="rId77"/>
                          <a:stretch>
                            <a:fillRect/>
                          </a:stretch>
                        </pic:blipFill>
                        <pic:spPr>
                          <a:xfrm>
                            <a:off x="0" y="0"/>
                            <a:ext cx="593725" cy="725170"/>
                          </a:xfrm>
                          <a:prstGeom prst="rect">
                            <a:avLst/>
                          </a:prstGeom>
                          <a:noFill/>
                          <a:ln>
                            <a:noFill/>
                          </a:ln>
                        </pic:spPr>
                      </pic:pic>
                    </a:graphicData>
                  </a:graphic>
                </wp:inline>
              </w:drawing>
            </w:r>
          </w:p>
        </w:tc>
        <w:tc>
          <w:tcPr>
            <w:tcW w:w="2900" w:type="pct"/>
            <w:shd w:val="clear" w:color="auto" w:fill="auto"/>
            <w:vAlign w:val="center"/>
          </w:tcPr>
          <w:p w14:paraId="309FED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规格：100*38cm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正版，环保</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材质：毛绒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填充物：PP棉</w:t>
            </w:r>
          </w:p>
        </w:tc>
      </w:tr>
      <w:tr w14:paraId="2149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377" w:type="pct"/>
            <w:shd w:val="clear" w:color="auto" w:fill="auto"/>
            <w:noWrap/>
            <w:vAlign w:val="center"/>
          </w:tcPr>
          <w:p w14:paraId="31D44EE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62</w:t>
            </w:r>
          </w:p>
        </w:tc>
        <w:tc>
          <w:tcPr>
            <w:tcW w:w="665" w:type="pct"/>
            <w:shd w:val="clear" w:color="auto" w:fill="auto"/>
            <w:vAlign w:val="center"/>
          </w:tcPr>
          <w:p w14:paraId="6C4F57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咨询室安抚毛绒娃娃</w:t>
            </w:r>
          </w:p>
        </w:tc>
        <w:tc>
          <w:tcPr>
            <w:tcW w:w="1055" w:type="pct"/>
            <w:shd w:val="clear" w:color="auto" w:fill="auto"/>
            <w:noWrap/>
            <w:vAlign w:val="center"/>
          </w:tcPr>
          <w:p w14:paraId="56CF56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48030" cy="706755"/>
                  <wp:effectExtent l="0" t="0" r="13970" b="17145"/>
                  <wp:docPr id="47" name="图片_23"/>
                  <wp:cNvGraphicFramePr/>
                  <a:graphic xmlns:a="http://schemas.openxmlformats.org/drawingml/2006/main">
                    <a:graphicData uri="http://schemas.openxmlformats.org/drawingml/2006/picture">
                      <pic:pic xmlns:pic="http://schemas.openxmlformats.org/drawingml/2006/picture">
                        <pic:nvPicPr>
                          <pic:cNvPr id="47" name="图片_23"/>
                          <pic:cNvPicPr/>
                        </pic:nvPicPr>
                        <pic:blipFill>
                          <a:blip r:embed="rId78"/>
                          <a:stretch>
                            <a:fillRect/>
                          </a:stretch>
                        </pic:blipFill>
                        <pic:spPr>
                          <a:xfrm>
                            <a:off x="0" y="0"/>
                            <a:ext cx="748030" cy="706755"/>
                          </a:xfrm>
                          <a:prstGeom prst="rect">
                            <a:avLst/>
                          </a:prstGeom>
                          <a:noFill/>
                          <a:ln>
                            <a:noFill/>
                          </a:ln>
                        </pic:spPr>
                      </pic:pic>
                    </a:graphicData>
                  </a:graphic>
                </wp:inline>
              </w:drawing>
            </w:r>
          </w:p>
        </w:tc>
        <w:tc>
          <w:tcPr>
            <w:tcW w:w="2900" w:type="pct"/>
            <w:shd w:val="clear" w:color="auto" w:fill="auto"/>
            <w:vAlign w:val="center"/>
          </w:tcPr>
          <w:p w14:paraId="2BDA9D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规格：70cm  2.3kg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正版，环保</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材质：毛绒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填充物：PP棉</w:t>
            </w:r>
          </w:p>
        </w:tc>
      </w:tr>
      <w:tr w14:paraId="59B5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4" w:hRule="atLeast"/>
        </w:trPr>
        <w:tc>
          <w:tcPr>
            <w:tcW w:w="377" w:type="pct"/>
            <w:shd w:val="clear" w:color="auto" w:fill="auto"/>
            <w:noWrap/>
            <w:vAlign w:val="center"/>
          </w:tcPr>
          <w:p w14:paraId="07FC80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w:t>
            </w:r>
          </w:p>
        </w:tc>
        <w:tc>
          <w:tcPr>
            <w:tcW w:w="665" w:type="pct"/>
            <w:shd w:val="clear" w:color="auto" w:fill="auto"/>
            <w:vAlign w:val="center"/>
          </w:tcPr>
          <w:p w14:paraId="0A05C52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咨询室安抚毛绒娃娃</w:t>
            </w:r>
          </w:p>
        </w:tc>
        <w:tc>
          <w:tcPr>
            <w:tcW w:w="1055" w:type="pct"/>
            <w:shd w:val="clear" w:color="auto" w:fill="auto"/>
            <w:noWrap/>
            <w:vAlign w:val="center"/>
          </w:tcPr>
          <w:p w14:paraId="10240EA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693420" cy="763905"/>
                  <wp:effectExtent l="0" t="0" r="11430" b="17145"/>
                  <wp:docPr id="48" name="图片_25"/>
                  <wp:cNvGraphicFramePr/>
                  <a:graphic xmlns:a="http://schemas.openxmlformats.org/drawingml/2006/main">
                    <a:graphicData uri="http://schemas.openxmlformats.org/drawingml/2006/picture">
                      <pic:pic xmlns:pic="http://schemas.openxmlformats.org/drawingml/2006/picture">
                        <pic:nvPicPr>
                          <pic:cNvPr id="48" name="图片_25"/>
                          <pic:cNvPicPr/>
                        </pic:nvPicPr>
                        <pic:blipFill>
                          <a:blip r:embed="rId79"/>
                          <a:stretch>
                            <a:fillRect/>
                          </a:stretch>
                        </pic:blipFill>
                        <pic:spPr>
                          <a:xfrm>
                            <a:off x="0" y="0"/>
                            <a:ext cx="693420" cy="763905"/>
                          </a:xfrm>
                          <a:prstGeom prst="rect">
                            <a:avLst/>
                          </a:prstGeom>
                          <a:noFill/>
                          <a:ln>
                            <a:noFill/>
                          </a:ln>
                        </pic:spPr>
                      </pic:pic>
                    </a:graphicData>
                  </a:graphic>
                </wp:inline>
              </w:drawing>
            </w:r>
          </w:p>
        </w:tc>
        <w:tc>
          <w:tcPr>
            <w:tcW w:w="2900" w:type="pct"/>
            <w:shd w:val="clear" w:color="auto" w:fill="auto"/>
            <w:vAlign w:val="center"/>
          </w:tcPr>
          <w:p w14:paraId="3DFD13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规格：60cm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正版，环保</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材质：毛绒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填充物：PP棉</w:t>
            </w:r>
          </w:p>
        </w:tc>
      </w:tr>
      <w:tr w14:paraId="6195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377" w:type="pct"/>
            <w:shd w:val="clear" w:color="auto" w:fill="auto"/>
            <w:noWrap/>
            <w:vAlign w:val="center"/>
          </w:tcPr>
          <w:p w14:paraId="6FFA409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64</w:t>
            </w:r>
          </w:p>
        </w:tc>
        <w:tc>
          <w:tcPr>
            <w:tcW w:w="665" w:type="pct"/>
            <w:shd w:val="clear" w:color="auto" w:fill="auto"/>
            <w:vAlign w:val="center"/>
          </w:tcPr>
          <w:p w14:paraId="6AB95A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咨询室安抚毛绒娃娃</w:t>
            </w:r>
          </w:p>
        </w:tc>
        <w:tc>
          <w:tcPr>
            <w:tcW w:w="1055" w:type="pct"/>
            <w:shd w:val="clear" w:color="auto" w:fill="auto"/>
            <w:noWrap/>
            <w:vAlign w:val="center"/>
          </w:tcPr>
          <w:p w14:paraId="35137C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28980" cy="794385"/>
                  <wp:effectExtent l="0" t="0" r="13970" b="5715"/>
                  <wp:docPr id="49" name="图片_37"/>
                  <wp:cNvGraphicFramePr/>
                  <a:graphic xmlns:a="http://schemas.openxmlformats.org/drawingml/2006/main">
                    <a:graphicData uri="http://schemas.openxmlformats.org/drawingml/2006/picture">
                      <pic:pic xmlns:pic="http://schemas.openxmlformats.org/drawingml/2006/picture">
                        <pic:nvPicPr>
                          <pic:cNvPr id="49" name="图片_37"/>
                          <pic:cNvPicPr/>
                        </pic:nvPicPr>
                        <pic:blipFill>
                          <a:blip r:embed="rId80"/>
                          <a:stretch>
                            <a:fillRect/>
                          </a:stretch>
                        </pic:blipFill>
                        <pic:spPr>
                          <a:xfrm>
                            <a:off x="0" y="0"/>
                            <a:ext cx="728980" cy="794385"/>
                          </a:xfrm>
                          <a:prstGeom prst="rect">
                            <a:avLst/>
                          </a:prstGeom>
                          <a:noFill/>
                          <a:ln>
                            <a:noFill/>
                          </a:ln>
                        </pic:spPr>
                      </pic:pic>
                    </a:graphicData>
                  </a:graphic>
                </wp:inline>
              </w:drawing>
            </w:r>
          </w:p>
        </w:tc>
        <w:tc>
          <w:tcPr>
            <w:tcW w:w="2900" w:type="pct"/>
            <w:shd w:val="clear" w:color="auto" w:fill="auto"/>
            <w:vAlign w:val="center"/>
          </w:tcPr>
          <w:p w14:paraId="5353B9B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规格：60cm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正版，环保</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材质：毛绒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填充物：PP棉</w:t>
            </w:r>
          </w:p>
        </w:tc>
      </w:tr>
      <w:tr w14:paraId="5BC0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377" w:type="pct"/>
            <w:shd w:val="clear" w:color="auto" w:fill="auto"/>
            <w:noWrap/>
            <w:vAlign w:val="center"/>
          </w:tcPr>
          <w:p w14:paraId="41291E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65</w:t>
            </w:r>
          </w:p>
        </w:tc>
        <w:tc>
          <w:tcPr>
            <w:tcW w:w="665" w:type="pct"/>
            <w:shd w:val="clear" w:color="auto" w:fill="auto"/>
            <w:vAlign w:val="center"/>
          </w:tcPr>
          <w:p w14:paraId="369DC8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咨询室盖毯</w:t>
            </w:r>
          </w:p>
        </w:tc>
        <w:tc>
          <w:tcPr>
            <w:tcW w:w="1055" w:type="pct"/>
            <w:shd w:val="clear" w:color="auto" w:fill="auto"/>
            <w:noWrap/>
            <w:vAlign w:val="center"/>
          </w:tcPr>
          <w:p w14:paraId="598F75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26770" cy="633095"/>
                  <wp:effectExtent l="0" t="0" r="11430" b="14605"/>
                  <wp:docPr id="50" name="图片_35"/>
                  <wp:cNvGraphicFramePr/>
                  <a:graphic xmlns:a="http://schemas.openxmlformats.org/drawingml/2006/main">
                    <a:graphicData uri="http://schemas.openxmlformats.org/drawingml/2006/picture">
                      <pic:pic xmlns:pic="http://schemas.openxmlformats.org/drawingml/2006/picture">
                        <pic:nvPicPr>
                          <pic:cNvPr id="50" name="图片_35"/>
                          <pic:cNvPicPr/>
                        </pic:nvPicPr>
                        <pic:blipFill>
                          <a:blip r:embed="rId81"/>
                          <a:stretch>
                            <a:fillRect/>
                          </a:stretch>
                        </pic:blipFill>
                        <pic:spPr>
                          <a:xfrm>
                            <a:off x="0" y="0"/>
                            <a:ext cx="826770" cy="633095"/>
                          </a:xfrm>
                          <a:prstGeom prst="rect">
                            <a:avLst/>
                          </a:prstGeom>
                          <a:noFill/>
                          <a:ln>
                            <a:noFill/>
                          </a:ln>
                        </pic:spPr>
                      </pic:pic>
                    </a:graphicData>
                  </a:graphic>
                </wp:inline>
              </w:drawing>
            </w:r>
          </w:p>
        </w:tc>
        <w:tc>
          <w:tcPr>
            <w:tcW w:w="2900" w:type="pct"/>
            <w:shd w:val="clear" w:color="auto" w:fill="auto"/>
            <w:vAlign w:val="center"/>
          </w:tcPr>
          <w:p w14:paraId="1F4D15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规格：100*150cm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面料：牛奶绒</w:t>
            </w:r>
          </w:p>
        </w:tc>
      </w:tr>
      <w:tr w14:paraId="2A52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377" w:type="pct"/>
            <w:shd w:val="clear" w:color="auto" w:fill="auto"/>
            <w:noWrap/>
            <w:vAlign w:val="center"/>
          </w:tcPr>
          <w:p w14:paraId="369848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66</w:t>
            </w:r>
          </w:p>
        </w:tc>
        <w:tc>
          <w:tcPr>
            <w:tcW w:w="665" w:type="pct"/>
            <w:shd w:val="clear" w:color="auto" w:fill="auto"/>
            <w:vAlign w:val="center"/>
          </w:tcPr>
          <w:p w14:paraId="329F29B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步步高盆栽树</w:t>
            </w:r>
          </w:p>
        </w:tc>
        <w:tc>
          <w:tcPr>
            <w:tcW w:w="1055" w:type="pct"/>
            <w:shd w:val="clear" w:color="auto" w:fill="auto"/>
            <w:noWrap/>
            <w:vAlign w:val="center"/>
          </w:tcPr>
          <w:p w14:paraId="64E4EFF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60730" cy="688975"/>
                  <wp:effectExtent l="0" t="0" r="1270" b="15875"/>
                  <wp:docPr id="51" name="图片_36"/>
                  <wp:cNvGraphicFramePr/>
                  <a:graphic xmlns:a="http://schemas.openxmlformats.org/drawingml/2006/main">
                    <a:graphicData uri="http://schemas.openxmlformats.org/drawingml/2006/picture">
                      <pic:pic xmlns:pic="http://schemas.openxmlformats.org/drawingml/2006/picture">
                        <pic:nvPicPr>
                          <pic:cNvPr id="51" name="图片_36"/>
                          <pic:cNvPicPr/>
                        </pic:nvPicPr>
                        <pic:blipFill>
                          <a:blip r:embed="rId82"/>
                          <a:stretch>
                            <a:fillRect/>
                          </a:stretch>
                        </pic:blipFill>
                        <pic:spPr>
                          <a:xfrm>
                            <a:off x="0" y="0"/>
                            <a:ext cx="760730" cy="688975"/>
                          </a:xfrm>
                          <a:prstGeom prst="rect">
                            <a:avLst/>
                          </a:prstGeom>
                          <a:noFill/>
                          <a:ln>
                            <a:noFill/>
                          </a:ln>
                        </pic:spPr>
                      </pic:pic>
                    </a:graphicData>
                  </a:graphic>
                </wp:inline>
              </w:drawing>
            </w:r>
          </w:p>
        </w:tc>
        <w:tc>
          <w:tcPr>
            <w:tcW w:w="2900" w:type="pct"/>
            <w:shd w:val="clear" w:color="auto" w:fill="auto"/>
            <w:vAlign w:val="center"/>
          </w:tcPr>
          <w:p w14:paraId="5F8BDA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 xml:space="preserve">北欧风花盆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陶瓷盆；含盆和植物高度大于1.3米</w:t>
            </w:r>
          </w:p>
        </w:tc>
      </w:tr>
      <w:tr w14:paraId="6AEE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trPr>
        <w:tc>
          <w:tcPr>
            <w:tcW w:w="377" w:type="pct"/>
            <w:shd w:val="clear" w:color="auto" w:fill="auto"/>
            <w:noWrap/>
            <w:vAlign w:val="center"/>
          </w:tcPr>
          <w:p w14:paraId="6F4C21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67</w:t>
            </w:r>
          </w:p>
        </w:tc>
        <w:tc>
          <w:tcPr>
            <w:tcW w:w="665" w:type="pct"/>
            <w:shd w:val="clear" w:color="auto" w:fill="auto"/>
            <w:vAlign w:val="center"/>
          </w:tcPr>
          <w:p w14:paraId="4E16A3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治愈摆件</w:t>
            </w:r>
          </w:p>
        </w:tc>
        <w:tc>
          <w:tcPr>
            <w:tcW w:w="1055" w:type="pct"/>
            <w:shd w:val="clear" w:color="auto" w:fill="auto"/>
            <w:noWrap/>
            <w:vAlign w:val="center"/>
          </w:tcPr>
          <w:p w14:paraId="56A1D7B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-27305</wp:posOffset>
                  </wp:positionH>
                  <wp:positionV relativeFrom="paragraph">
                    <wp:posOffset>-328930</wp:posOffset>
                  </wp:positionV>
                  <wp:extent cx="999490" cy="812800"/>
                  <wp:effectExtent l="0" t="0" r="10160" b="6350"/>
                  <wp:wrapTopAndBottom/>
                  <wp:docPr id="52" name="图片_66"/>
                  <wp:cNvGraphicFramePr/>
                  <a:graphic xmlns:a="http://schemas.openxmlformats.org/drawingml/2006/main">
                    <a:graphicData uri="http://schemas.openxmlformats.org/drawingml/2006/picture">
                      <pic:pic xmlns:pic="http://schemas.openxmlformats.org/drawingml/2006/picture">
                        <pic:nvPicPr>
                          <pic:cNvPr id="52" name="图片_66"/>
                          <pic:cNvPicPr/>
                        </pic:nvPicPr>
                        <pic:blipFill>
                          <a:blip r:embed="rId83"/>
                          <a:stretch>
                            <a:fillRect/>
                          </a:stretch>
                        </pic:blipFill>
                        <pic:spPr>
                          <a:xfrm>
                            <a:off x="0" y="0"/>
                            <a:ext cx="999490" cy="812800"/>
                          </a:xfrm>
                          <a:prstGeom prst="rect">
                            <a:avLst/>
                          </a:prstGeom>
                          <a:noFill/>
                          <a:ln>
                            <a:noFill/>
                          </a:ln>
                        </pic:spPr>
                      </pic:pic>
                    </a:graphicData>
                  </a:graphic>
                </wp:anchor>
              </w:drawing>
            </w:r>
          </w:p>
        </w:tc>
        <w:tc>
          <w:tcPr>
            <w:tcW w:w="2900" w:type="pct"/>
            <w:shd w:val="clear" w:color="auto" w:fill="auto"/>
            <w:vAlign w:val="center"/>
          </w:tcPr>
          <w:p w14:paraId="10F08A22">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规格：15*18cm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禁止焦虑系列</w:t>
            </w: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-27305</wp:posOffset>
                  </wp:positionH>
                  <wp:positionV relativeFrom="paragraph">
                    <wp:posOffset>-1090295</wp:posOffset>
                  </wp:positionV>
                  <wp:extent cx="875665" cy="904875"/>
                  <wp:effectExtent l="0" t="0" r="635" b="9525"/>
                  <wp:wrapSquare wrapText="bothSides"/>
                  <wp:docPr id="53" name="图片_43"/>
                  <wp:cNvGraphicFramePr/>
                  <a:graphic xmlns:a="http://schemas.openxmlformats.org/drawingml/2006/main">
                    <a:graphicData uri="http://schemas.openxmlformats.org/drawingml/2006/picture">
                      <pic:pic xmlns:pic="http://schemas.openxmlformats.org/drawingml/2006/picture">
                        <pic:nvPicPr>
                          <pic:cNvPr id="53" name="图片_43"/>
                          <pic:cNvPicPr/>
                        </pic:nvPicPr>
                        <pic:blipFill>
                          <a:blip r:embed="rId84"/>
                          <a:stretch>
                            <a:fillRect/>
                          </a:stretch>
                        </pic:blipFill>
                        <pic:spPr>
                          <a:xfrm>
                            <a:off x="0" y="0"/>
                            <a:ext cx="875665" cy="904875"/>
                          </a:xfrm>
                          <a:prstGeom prst="rect">
                            <a:avLst/>
                          </a:prstGeom>
                          <a:noFill/>
                          <a:ln>
                            <a:noFill/>
                          </a:ln>
                        </pic:spPr>
                      </pic:pic>
                    </a:graphicData>
                  </a:graphic>
                </wp:anchor>
              </w:drawing>
            </w:r>
          </w:p>
        </w:tc>
      </w:tr>
      <w:tr w14:paraId="5CB7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trPr>
        <w:tc>
          <w:tcPr>
            <w:tcW w:w="377" w:type="pct"/>
            <w:shd w:val="clear" w:color="auto" w:fill="auto"/>
            <w:noWrap/>
            <w:vAlign w:val="center"/>
          </w:tcPr>
          <w:p w14:paraId="575EE1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68</w:t>
            </w:r>
          </w:p>
        </w:tc>
        <w:tc>
          <w:tcPr>
            <w:tcW w:w="665" w:type="pct"/>
            <w:shd w:val="clear" w:color="auto" w:fill="auto"/>
            <w:vAlign w:val="center"/>
          </w:tcPr>
          <w:p w14:paraId="3E84BB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落地氛围灯</w:t>
            </w:r>
          </w:p>
        </w:tc>
        <w:tc>
          <w:tcPr>
            <w:tcW w:w="1055" w:type="pct"/>
            <w:shd w:val="clear" w:color="auto" w:fill="auto"/>
            <w:noWrap/>
            <w:vAlign w:val="center"/>
          </w:tcPr>
          <w:p w14:paraId="0E28E4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2540</wp:posOffset>
                  </wp:positionH>
                  <wp:positionV relativeFrom="paragraph">
                    <wp:posOffset>-19050</wp:posOffset>
                  </wp:positionV>
                  <wp:extent cx="613410" cy="953135"/>
                  <wp:effectExtent l="0" t="0" r="15240" b="18415"/>
                  <wp:wrapSquare wrapText="bothSides"/>
                  <wp:docPr id="54" name="图片_67"/>
                  <wp:cNvGraphicFramePr/>
                  <a:graphic xmlns:a="http://schemas.openxmlformats.org/drawingml/2006/main">
                    <a:graphicData uri="http://schemas.openxmlformats.org/drawingml/2006/picture">
                      <pic:pic xmlns:pic="http://schemas.openxmlformats.org/drawingml/2006/picture">
                        <pic:nvPicPr>
                          <pic:cNvPr id="54" name="图片_67"/>
                          <pic:cNvPicPr/>
                        </pic:nvPicPr>
                        <pic:blipFill>
                          <a:blip r:embed="rId85"/>
                          <a:stretch>
                            <a:fillRect/>
                          </a:stretch>
                        </pic:blipFill>
                        <pic:spPr>
                          <a:xfrm>
                            <a:off x="0" y="0"/>
                            <a:ext cx="613410" cy="953135"/>
                          </a:xfrm>
                          <a:prstGeom prst="rect">
                            <a:avLst/>
                          </a:prstGeom>
                          <a:noFill/>
                          <a:ln>
                            <a:noFill/>
                          </a:ln>
                        </pic:spPr>
                      </pic:pic>
                    </a:graphicData>
                  </a:graphic>
                </wp:anchor>
              </w:drawing>
            </w:r>
          </w:p>
        </w:tc>
        <w:tc>
          <w:tcPr>
            <w:tcW w:w="2900" w:type="pct"/>
            <w:shd w:val="clear" w:color="auto" w:fill="auto"/>
            <w:vAlign w:val="center"/>
          </w:tcPr>
          <w:p w14:paraId="4D61D4B9">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610235</wp:posOffset>
                  </wp:positionH>
                  <wp:positionV relativeFrom="paragraph">
                    <wp:posOffset>-13335</wp:posOffset>
                  </wp:positionV>
                  <wp:extent cx="630555" cy="1054100"/>
                  <wp:effectExtent l="0" t="0" r="17145" b="12700"/>
                  <wp:wrapSquare wrapText="bothSides"/>
                  <wp:docPr id="55" name="图片_72_SpCnt_1"/>
                  <wp:cNvGraphicFramePr/>
                  <a:graphic xmlns:a="http://schemas.openxmlformats.org/drawingml/2006/main">
                    <a:graphicData uri="http://schemas.openxmlformats.org/drawingml/2006/picture">
                      <pic:pic xmlns:pic="http://schemas.openxmlformats.org/drawingml/2006/picture">
                        <pic:nvPicPr>
                          <pic:cNvPr id="55" name="图片_72_SpCnt_1"/>
                          <pic:cNvPicPr/>
                        </pic:nvPicPr>
                        <pic:blipFill>
                          <a:blip r:embed="rId86"/>
                          <a:stretch>
                            <a:fillRect/>
                          </a:stretch>
                        </pic:blipFill>
                        <pic:spPr>
                          <a:xfrm>
                            <a:off x="0" y="0"/>
                            <a:ext cx="630555" cy="1054100"/>
                          </a:xfrm>
                          <a:prstGeom prst="rect">
                            <a:avLst/>
                          </a:prstGeom>
                          <a:noFill/>
                          <a:ln>
                            <a:noFill/>
                          </a:ln>
                        </pic:spPr>
                      </pic:pic>
                    </a:graphicData>
                  </a:graphic>
                </wp:anchor>
              </w:drawing>
            </w: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1338580</wp:posOffset>
                  </wp:positionH>
                  <wp:positionV relativeFrom="paragraph">
                    <wp:posOffset>22860</wp:posOffset>
                  </wp:positionV>
                  <wp:extent cx="551180" cy="1012825"/>
                  <wp:effectExtent l="0" t="0" r="1270" b="15875"/>
                  <wp:wrapSquare wrapText="bothSides"/>
                  <wp:docPr id="56" name="图片_73"/>
                  <wp:cNvGraphicFramePr/>
                  <a:graphic xmlns:a="http://schemas.openxmlformats.org/drawingml/2006/main">
                    <a:graphicData uri="http://schemas.openxmlformats.org/drawingml/2006/picture">
                      <pic:pic xmlns:pic="http://schemas.openxmlformats.org/drawingml/2006/picture">
                        <pic:nvPicPr>
                          <pic:cNvPr id="56" name="图片_73"/>
                          <pic:cNvPicPr/>
                        </pic:nvPicPr>
                        <pic:blipFill>
                          <a:blip r:embed="rId87"/>
                          <a:stretch>
                            <a:fillRect/>
                          </a:stretch>
                        </pic:blipFill>
                        <pic:spPr>
                          <a:xfrm>
                            <a:off x="0" y="0"/>
                            <a:ext cx="551180" cy="1012825"/>
                          </a:xfrm>
                          <a:prstGeom prst="rect">
                            <a:avLst/>
                          </a:prstGeom>
                          <a:noFill/>
                          <a:ln>
                            <a:noFill/>
                          </a:ln>
                        </pic:spPr>
                      </pic:pic>
                    </a:graphicData>
                  </a:graphic>
                </wp:anchor>
              </w:drawing>
            </w: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-54610</wp:posOffset>
                  </wp:positionH>
                  <wp:positionV relativeFrom="paragraph">
                    <wp:posOffset>23495</wp:posOffset>
                  </wp:positionV>
                  <wp:extent cx="586105" cy="1035050"/>
                  <wp:effectExtent l="0" t="0" r="4445" b="12700"/>
                  <wp:wrapTopAndBottom/>
                  <wp:docPr id="57" name="图片_74"/>
                  <wp:cNvGraphicFramePr/>
                  <a:graphic xmlns:a="http://schemas.openxmlformats.org/drawingml/2006/main">
                    <a:graphicData uri="http://schemas.openxmlformats.org/drawingml/2006/picture">
                      <pic:pic xmlns:pic="http://schemas.openxmlformats.org/drawingml/2006/picture">
                        <pic:nvPicPr>
                          <pic:cNvPr id="57" name="图片_74"/>
                          <pic:cNvPicPr/>
                        </pic:nvPicPr>
                        <pic:blipFill>
                          <a:blip r:embed="rId88"/>
                          <a:stretch>
                            <a:fillRect/>
                          </a:stretch>
                        </pic:blipFill>
                        <pic:spPr>
                          <a:xfrm>
                            <a:off x="0" y="0"/>
                            <a:ext cx="586105" cy="1035050"/>
                          </a:xfrm>
                          <a:prstGeom prst="rect">
                            <a:avLst/>
                          </a:prstGeom>
                          <a:noFill/>
                          <a:ln>
                            <a:noFill/>
                          </a:ln>
                        </pic:spPr>
                      </pic:pic>
                    </a:graphicData>
                  </a:graphic>
                </wp:anchor>
              </w:drawing>
            </w:r>
            <w:r>
              <w:rPr>
                <w:rFonts w:hint="eastAsia" w:ascii="宋体" w:hAnsi="宋体" w:eastAsia="宋体" w:cs="宋体"/>
                <w:i w:val="0"/>
                <w:iCs w:val="0"/>
                <w:color w:val="auto"/>
                <w:kern w:val="0"/>
                <w:sz w:val="22"/>
                <w:szCs w:val="22"/>
                <w:highlight w:val="none"/>
                <w:u w:val="none"/>
                <w:bdr w:val="single" w:color="000000" w:sz="4" w:space="0"/>
                <w:lang w:val="en-US" w:eastAsia="zh-CN" w:bidi="ar"/>
              </w:rPr>
              <w:t>高</w:t>
            </w:r>
            <w:r>
              <w:rPr>
                <w:rFonts w:hint="eastAsia" w:ascii="宋体" w:hAnsi="宋体" w:eastAsia="宋体" w:cs="宋体"/>
                <w:i w:val="0"/>
                <w:iCs w:val="0"/>
                <w:color w:val="auto"/>
                <w:kern w:val="0"/>
                <w:sz w:val="22"/>
                <w:szCs w:val="22"/>
                <w:highlight w:val="none"/>
                <w:u w:val="none"/>
                <w:lang w:val="en-US" w:eastAsia="zh-CN" w:bidi="ar"/>
              </w:rPr>
              <w:t>150cm</w:t>
            </w:r>
          </w:p>
        </w:tc>
      </w:tr>
      <w:tr w14:paraId="49E6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377" w:type="pct"/>
            <w:shd w:val="clear" w:color="auto" w:fill="auto"/>
            <w:noWrap/>
            <w:vAlign w:val="center"/>
          </w:tcPr>
          <w:p w14:paraId="052074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69</w:t>
            </w:r>
          </w:p>
        </w:tc>
        <w:tc>
          <w:tcPr>
            <w:tcW w:w="665" w:type="pct"/>
            <w:shd w:val="clear" w:color="auto" w:fill="auto"/>
            <w:noWrap/>
            <w:vAlign w:val="center"/>
          </w:tcPr>
          <w:p w14:paraId="775E33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红掌</w:t>
            </w:r>
          </w:p>
        </w:tc>
        <w:tc>
          <w:tcPr>
            <w:tcW w:w="1055" w:type="pct"/>
            <w:shd w:val="clear" w:color="auto" w:fill="auto"/>
            <w:noWrap/>
            <w:vAlign w:val="center"/>
          </w:tcPr>
          <w:p w14:paraId="7380239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56285" cy="701040"/>
                  <wp:effectExtent l="0" t="0" r="5715" b="3810"/>
                  <wp:docPr id="58" name="图片_26_SpCnt_1"/>
                  <wp:cNvGraphicFramePr/>
                  <a:graphic xmlns:a="http://schemas.openxmlformats.org/drawingml/2006/main">
                    <a:graphicData uri="http://schemas.openxmlformats.org/drawingml/2006/picture">
                      <pic:pic xmlns:pic="http://schemas.openxmlformats.org/drawingml/2006/picture">
                        <pic:nvPicPr>
                          <pic:cNvPr id="58" name="图片_26_SpCnt_1"/>
                          <pic:cNvPicPr/>
                        </pic:nvPicPr>
                        <pic:blipFill>
                          <a:blip r:embed="rId89"/>
                          <a:stretch>
                            <a:fillRect/>
                          </a:stretch>
                        </pic:blipFill>
                        <pic:spPr>
                          <a:xfrm>
                            <a:off x="0" y="0"/>
                            <a:ext cx="756285" cy="701040"/>
                          </a:xfrm>
                          <a:prstGeom prst="rect">
                            <a:avLst/>
                          </a:prstGeom>
                          <a:noFill/>
                          <a:ln>
                            <a:noFill/>
                          </a:ln>
                        </pic:spPr>
                      </pic:pic>
                    </a:graphicData>
                  </a:graphic>
                </wp:inline>
              </w:drawing>
            </w:r>
          </w:p>
        </w:tc>
        <w:tc>
          <w:tcPr>
            <w:tcW w:w="2900" w:type="pct"/>
            <w:shd w:val="clear" w:color="auto" w:fill="auto"/>
            <w:noWrap/>
            <w:vAlign w:val="center"/>
          </w:tcPr>
          <w:p w14:paraId="6EEE6BB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水培红掌白掌盆栽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带盆陶瓷盆；含盆和植物高度大于35cm，盆直径约12cm</w:t>
            </w:r>
          </w:p>
        </w:tc>
      </w:tr>
      <w:tr w14:paraId="5293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77" w:type="pct"/>
            <w:shd w:val="clear" w:color="auto" w:fill="auto"/>
            <w:noWrap/>
            <w:vAlign w:val="center"/>
          </w:tcPr>
          <w:p w14:paraId="67EFF9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70</w:t>
            </w:r>
          </w:p>
        </w:tc>
        <w:tc>
          <w:tcPr>
            <w:tcW w:w="665" w:type="pct"/>
            <w:shd w:val="clear" w:color="auto" w:fill="auto"/>
            <w:noWrap/>
            <w:vAlign w:val="center"/>
          </w:tcPr>
          <w:p w14:paraId="11A008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蝴碟兰</w:t>
            </w:r>
          </w:p>
        </w:tc>
        <w:tc>
          <w:tcPr>
            <w:tcW w:w="1055" w:type="pct"/>
            <w:shd w:val="clear" w:color="auto" w:fill="auto"/>
            <w:noWrap/>
            <w:vAlign w:val="center"/>
          </w:tcPr>
          <w:p w14:paraId="77E940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99795" cy="541655"/>
                  <wp:effectExtent l="0" t="0" r="14605" b="10795"/>
                  <wp:docPr id="59" name="图片_24"/>
                  <wp:cNvGraphicFramePr/>
                  <a:graphic xmlns:a="http://schemas.openxmlformats.org/drawingml/2006/main">
                    <a:graphicData uri="http://schemas.openxmlformats.org/drawingml/2006/picture">
                      <pic:pic xmlns:pic="http://schemas.openxmlformats.org/drawingml/2006/picture">
                        <pic:nvPicPr>
                          <pic:cNvPr id="59" name="图片_24"/>
                          <pic:cNvPicPr/>
                        </pic:nvPicPr>
                        <pic:blipFill>
                          <a:blip r:embed="rId90"/>
                          <a:stretch>
                            <a:fillRect/>
                          </a:stretch>
                        </pic:blipFill>
                        <pic:spPr>
                          <a:xfrm>
                            <a:off x="0" y="0"/>
                            <a:ext cx="899795" cy="541655"/>
                          </a:xfrm>
                          <a:prstGeom prst="rect">
                            <a:avLst/>
                          </a:prstGeom>
                          <a:noFill/>
                          <a:ln>
                            <a:noFill/>
                          </a:ln>
                        </pic:spPr>
                      </pic:pic>
                    </a:graphicData>
                  </a:graphic>
                </wp:inline>
              </w:drawing>
            </w:r>
          </w:p>
        </w:tc>
        <w:tc>
          <w:tcPr>
            <w:tcW w:w="2900" w:type="pct"/>
            <w:shd w:val="clear" w:color="auto" w:fill="auto"/>
            <w:vAlign w:val="center"/>
          </w:tcPr>
          <w:p w14:paraId="2FDC119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蝴蝶兰盆栽带盆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陶瓷盆，含盆和植物高度大于50cm</w:t>
            </w:r>
          </w:p>
        </w:tc>
      </w:tr>
      <w:tr w14:paraId="4230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377" w:type="pct"/>
            <w:shd w:val="clear" w:color="auto" w:fill="auto"/>
            <w:noWrap/>
            <w:vAlign w:val="center"/>
          </w:tcPr>
          <w:p w14:paraId="6B4E45B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71</w:t>
            </w:r>
          </w:p>
        </w:tc>
        <w:tc>
          <w:tcPr>
            <w:tcW w:w="665" w:type="pct"/>
            <w:shd w:val="clear" w:color="auto" w:fill="auto"/>
            <w:noWrap/>
            <w:vAlign w:val="center"/>
          </w:tcPr>
          <w:p w14:paraId="5C3F0A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仙人球</w:t>
            </w:r>
          </w:p>
        </w:tc>
        <w:tc>
          <w:tcPr>
            <w:tcW w:w="1055" w:type="pct"/>
            <w:shd w:val="clear" w:color="auto" w:fill="auto"/>
            <w:noWrap/>
            <w:vAlign w:val="center"/>
          </w:tcPr>
          <w:p w14:paraId="144D792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99465" cy="716280"/>
                  <wp:effectExtent l="0" t="0" r="635" b="7620"/>
                  <wp:docPr id="60" name="图片_27"/>
                  <wp:cNvGraphicFramePr/>
                  <a:graphic xmlns:a="http://schemas.openxmlformats.org/drawingml/2006/main">
                    <a:graphicData uri="http://schemas.openxmlformats.org/drawingml/2006/picture">
                      <pic:pic xmlns:pic="http://schemas.openxmlformats.org/drawingml/2006/picture">
                        <pic:nvPicPr>
                          <pic:cNvPr id="60" name="图片_27"/>
                          <pic:cNvPicPr/>
                        </pic:nvPicPr>
                        <pic:blipFill>
                          <a:blip r:embed="rId91"/>
                          <a:stretch>
                            <a:fillRect/>
                          </a:stretch>
                        </pic:blipFill>
                        <pic:spPr>
                          <a:xfrm>
                            <a:off x="0" y="0"/>
                            <a:ext cx="799465" cy="716280"/>
                          </a:xfrm>
                          <a:prstGeom prst="rect">
                            <a:avLst/>
                          </a:prstGeom>
                          <a:noFill/>
                          <a:ln>
                            <a:noFill/>
                          </a:ln>
                        </pic:spPr>
                      </pic:pic>
                    </a:graphicData>
                  </a:graphic>
                </wp:inline>
              </w:drawing>
            </w:r>
          </w:p>
        </w:tc>
        <w:tc>
          <w:tcPr>
            <w:tcW w:w="2900" w:type="pct"/>
            <w:shd w:val="clear" w:color="auto" w:fill="auto"/>
            <w:noWrap/>
            <w:vAlign w:val="center"/>
          </w:tcPr>
          <w:p w14:paraId="26F479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仙人球盆栽带盆陶瓷盆，盆直径约11cm</w:t>
            </w:r>
          </w:p>
        </w:tc>
      </w:tr>
      <w:tr w14:paraId="732B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377" w:type="pct"/>
            <w:shd w:val="clear" w:color="auto" w:fill="auto"/>
            <w:noWrap/>
            <w:vAlign w:val="center"/>
          </w:tcPr>
          <w:p w14:paraId="2AF62B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72</w:t>
            </w:r>
          </w:p>
        </w:tc>
        <w:tc>
          <w:tcPr>
            <w:tcW w:w="665" w:type="pct"/>
            <w:shd w:val="clear" w:color="auto" w:fill="auto"/>
            <w:noWrap/>
            <w:vAlign w:val="center"/>
          </w:tcPr>
          <w:p w14:paraId="7F82AE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多肉</w:t>
            </w:r>
          </w:p>
        </w:tc>
        <w:tc>
          <w:tcPr>
            <w:tcW w:w="1055" w:type="pct"/>
            <w:shd w:val="clear" w:color="auto" w:fill="auto"/>
            <w:noWrap/>
            <w:vAlign w:val="center"/>
          </w:tcPr>
          <w:p w14:paraId="712411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817245" cy="713740"/>
                  <wp:effectExtent l="0" t="0" r="1905" b="10160"/>
                  <wp:docPr id="61" name="图片_29"/>
                  <wp:cNvGraphicFramePr/>
                  <a:graphic xmlns:a="http://schemas.openxmlformats.org/drawingml/2006/main">
                    <a:graphicData uri="http://schemas.openxmlformats.org/drawingml/2006/picture">
                      <pic:pic xmlns:pic="http://schemas.openxmlformats.org/drawingml/2006/picture">
                        <pic:nvPicPr>
                          <pic:cNvPr id="61" name="图片_29"/>
                          <pic:cNvPicPr/>
                        </pic:nvPicPr>
                        <pic:blipFill>
                          <a:blip r:embed="rId92"/>
                          <a:stretch>
                            <a:fillRect/>
                          </a:stretch>
                        </pic:blipFill>
                        <pic:spPr>
                          <a:xfrm>
                            <a:off x="0" y="0"/>
                            <a:ext cx="817245" cy="713740"/>
                          </a:xfrm>
                          <a:prstGeom prst="rect">
                            <a:avLst/>
                          </a:prstGeom>
                          <a:noFill/>
                          <a:ln>
                            <a:noFill/>
                          </a:ln>
                        </pic:spPr>
                      </pic:pic>
                    </a:graphicData>
                  </a:graphic>
                </wp:inline>
              </w:drawing>
            </w:r>
          </w:p>
        </w:tc>
        <w:tc>
          <w:tcPr>
            <w:tcW w:w="2900" w:type="pct"/>
            <w:shd w:val="clear" w:color="auto" w:fill="auto"/>
            <w:noWrap/>
            <w:vAlign w:val="center"/>
          </w:tcPr>
          <w:p w14:paraId="6CAE4C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多肉球盆栽带盆陶瓷盆；盆直径约8.5cm</w:t>
            </w:r>
          </w:p>
        </w:tc>
      </w:tr>
      <w:tr w14:paraId="3809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377" w:type="pct"/>
            <w:shd w:val="clear" w:color="auto" w:fill="auto"/>
            <w:noWrap/>
            <w:vAlign w:val="center"/>
          </w:tcPr>
          <w:p w14:paraId="3559E2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73</w:t>
            </w:r>
          </w:p>
        </w:tc>
        <w:tc>
          <w:tcPr>
            <w:tcW w:w="665" w:type="pct"/>
            <w:shd w:val="clear" w:color="auto" w:fill="auto"/>
            <w:noWrap/>
            <w:vAlign w:val="center"/>
          </w:tcPr>
          <w:p w14:paraId="5C58BC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网红草</w:t>
            </w:r>
          </w:p>
        </w:tc>
        <w:tc>
          <w:tcPr>
            <w:tcW w:w="1055" w:type="pct"/>
            <w:shd w:val="clear" w:color="auto" w:fill="auto"/>
            <w:noWrap/>
            <w:vAlign w:val="center"/>
          </w:tcPr>
          <w:p w14:paraId="25BBB2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786765" cy="692150"/>
                  <wp:effectExtent l="0" t="0" r="13335" b="12700"/>
                  <wp:docPr id="84" name="图片_59"/>
                  <wp:cNvGraphicFramePr/>
                  <a:graphic xmlns:a="http://schemas.openxmlformats.org/drawingml/2006/main">
                    <a:graphicData uri="http://schemas.openxmlformats.org/drawingml/2006/picture">
                      <pic:pic xmlns:pic="http://schemas.openxmlformats.org/drawingml/2006/picture">
                        <pic:nvPicPr>
                          <pic:cNvPr id="84" name="图片_59"/>
                          <pic:cNvPicPr/>
                        </pic:nvPicPr>
                        <pic:blipFill>
                          <a:blip r:embed="rId93"/>
                          <a:stretch>
                            <a:fillRect/>
                          </a:stretch>
                        </pic:blipFill>
                        <pic:spPr>
                          <a:xfrm>
                            <a:off x="0" y="0"/>
                            <a:ext cx="786765" cy="692150"/>
                          </a:xfrm>
                          <a:prstGeom prst="rect">
                            <a:avLst/>
                          </a:prstGeom>
                          <a:noFill/>
                          <a:ln>
                            <a:noFill/>
                          </a:ln>
                        </pic:spPr>
                      </pic:pic>
                    </a:graphicData>
                  </a:graphic>
                </wp:inline>
              </w:drawing>
            </w:r>
          </w:p>
        </w:tc>
        <w:tc>
          <w:tcPr>
            <w:tcW w:w="2900" w:type="pct"/>
            <w:shd w:val="clear" w:color="auto" w:fill="auto"/>
            <w:noWrap/>
            <w:vAlign w:val="center"/>
          </w:tcPr>
          <w:p w14:paraId="7B11EAA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网红草盆栽带盆塑料盆，含盆和植物高度大于30cm</w:t>
            </w:r>
          </w:p>
        </w:tc>
      </w:tr>
      <w:tr w14:paraId="024A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377" w:type="pct"/>
            <w:shd w:val="clear" w:color="auto" w:fill="auto"/>
            <w:noWrap/>
            <w:vAlign w:val="center"/>
          </w:tcPr>
          <w:p w14:paraId="44A518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w:t>
            </w:r>
          </w:p>
        </w:tc>
        <w:tc>
          <w:tcPr>
            <w:tcW w:w="665" w:type="pct"/>
            <w:shd w:val="clear" w:color="auto" w:fill="auto"/>
            <w:noWrap/>
            <w:vAlign w:val="center"/>
          </w:tcPr>
          <w:p w14:paraId="6FC7300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绿萝</w:t>
            </w:r>
          </w:p>
        </w:tc>
        <w:tc>
          <w:tcPr>
            <w:tcW w:w="1055" w:type="pct"/>
            <w:shd w:val="clear" w:color="auto" w:fill="auto"/>
            <w:noWrap/>
            <w:vAlign w:val="center"/>
          </w:tcPr>
          <w:p w14:paraId="30C47B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bdr w:val="single" w:color="000000" w:sz="4" w:space="0"/>
                <w:lang w:val="en-US" w:eastAsia="zh-CN" w:bidi="ar"/>
              </w:rPr>
              <w:drawing>
                <wp:inline distT="0" distB="0" distL="114300" distR="114300">
                  <wp:extent cx="513715" cy="619125"/>
                  <wp:effectExtent l="0" t="0" r="635" b="9525"/>
                  <wp:docPr id="85" name="图片_58"/>
                  <wp:cNvGraphicFramePr/>
                  <a:graphic xmlns:a="http://schemas.openxmlformats.org/drawingml/2006/main">
                    <a:graphicData uri="http://schemas.openxmlformats.org/drawingml/2006/picture">
                      <pic:pic xmlns:pic="http://schemas.openxmlformats.org/drawingml/2006/picture">
                        <pic:nvPicPr>
                          <pic:cNvPr id="85" name="图片_58"/>
                          <pic:cNvPicPr/>
                        </pic:nvPicPr>
                        <pic:blipFill>
                          <a:blip r:embed="rId94"/>
                          <a:stretch>
                            <a:fillRect/>
                          </a:stretch>
                        </pic:blipFill>
                        <pic:spPr>
                          <a:xfrm>
                            <a:off x="0" y="0"/>
                            <a:ext cx="513715" cy="619125"/>
                          </a:xfrm>
                          <a:prstGeom prst="rect">
                            <a:avLst/>
                          </a:prstGeom>
                          <a:noFill/>
                          <a:ln>
                            <a:noFill/>
                          </a:ln>
                        </pic:spPr>
                      </pic:pic>
                    </a:graphicData>
                  </a:graphic>
                </wp:inline>
              </w:drawing>
            </w:r>
          </w:p>
        </w:tc>
        <w:tc>
          <w:tcPr>
            <w:tcW w:w="2900" w:type="pct"/>
            <w:shd w:val="clear" w:color="auto" w:fill="auto"/>
            <w:noWrap/>
            <w:vAlign w:val="center"/>
          </w:tcPr>
          <w:p w14:paraId="60C180E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绿萝盆栽带盆塑料盆；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盆口直径大于10cm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植物大于20株每盆</w:t>
            </w:r>
          </w:p>
        </w:tc>
      </w:tr>
    </w:tbl>
    <w:p w14:paraId="72B69B00">
      <w:pPr>
        <w:snapToGrid w:val="0"/>
        <w:spacing w:line="460" w:lineRule="atLeast"/>
        <w:ind w:firstLine="442" w:firstLineChars="200"/>
        <w:rPr>
          <w:rFonts w:hint="eastAsia" w:ascii="宋体" w:hAnsi="宋体" w:eastAsia="宋体" w:cs="宋体"/>
          <w:b/>
          <w:bCs/>
          <w:color w:val="auto"/>
          <w:sz w:val="22"/>
          <w:szCs w:val="22"/>
          <w:highlight w:val="none"/>
        </w:rPr>
      </w:pPr>
      <w:r>
        <w:rPr>
          <w:rFonts w:hint="eastAsia" w:ascii="宋体" w:hAnsi="宋体" w:cs="宋体"/>
          <w:b/>
          <w:bCs/>
          <w:color w:val="auto"/>
          <w:sz w:val="22"/>
          <w:szCs w:val="22"/>
          <w:highlight w:val="none"/>
          <w:lang w:val="en-US" w:eastAsia="zh-CN"/>
        </w:rPr>
        <w:t>3</w:t>
      </w:r>
      <w:r>
        <w:rPr>
          <w:rFonts w:hint="eastAsia" w:ascii="宋体" w:hAnsi="宋体" w:eastAsia="宋体" w:cs="宋体"/>
          <w:b/>
          <w:bCs/>
          <w:color w:val="auto"/>
          <w:sz w:val="22"/>
          <w:szCs w:val="22"/>
          <w:highlight w:val="none"/>
        </w:rPr>
        <w:t>、承包方式</w:t>
      </w:r>
    </w:p>
    <w:p w14:paraId="40408853">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本工程承包方式采用包工包料，成交方应按招标文件的要求实行造价、质量、工期、安全、文明施工管理等全面承包方式。 </w:t>
      </w:r>
    </w:p>
    <w:p w14:paraId="4B3E5D3D">
      <w:pPr>
        <w:snapToGrid w:val="0"/>
        <w:spacing w:line="460" w:lineRule="atLeast"/>
        <w:ind w:firstLine="442" w:firstLineChars="200"/>
        <w:rPr>
          <w:rFonts w:hint="eastAsia" w:ascii="宋体" w:hAnsi="宋体" w:eastAsia="宋体" w:cs="宋体"/>
          <w:b/>
          <w:bCs/>
          <w:color w:val="auto"/>
          <w:sz w:val="22"/>
          <w:szCs w:val="22"/>
          <w:highlight w:val="none"/>
        </w:rPr>
      </w:pPr>
      <w:r>
        <w:rPr>
          <w:rFonts w:hint="eastAsia" w:ascii="宋体" w:hAnsi="宋体" w:cs="宋体"/>
          <w:b/>
          <w:bCs/>
          <w:color w:val="auto"/>
          <w:sz w:val="22"/>
          <w:szCs w:val="22"/>
          <w:highlight w:val="none"/>
          <w:lang w:val="en-US" w:eastAsia="zh-CN"/>
        </w:rPr>
        <w:t>4</w:t>
      </w:r>
      <w:r>
        <w:rPr>
          <w:rFonts w:hint="eastAsia" w:ascii="宋体" w:hAnsi="宋体" w:eastAsia="宋体" w:cs="宋体"/>
          <w:b/>
          <w:bCs/>
          <w:color w:val="auto"/>
          <w:sz w:val="22"/>
          <w:szCs w:val="22"/>
          <w:highlight w:val="none"/>
        </w:rPr>
        <w:t>、现场条件和现场踏勘</w:t>
      </w:r>
    </w:p>
    <w:p w14:paraId="0B96FA3E">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（1）现场具备施工条件。</w:t>
      </w:r>
    </w:p>
    <w:p w14:paraId="6A2B9DCA">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应自行对工程现场和周围环境进行踏勘和了解，以获取有关编制投标文件和签署合同所需的各种资料，并应充分考虑影响本报价的因素、预计实施过程中各种不利因素，由此可能发生的费用均由投标供应商考虑并包含在投标报价中。成交后，投标供应商不得再以不完全了解现场情况等为理由而提出额外付款或延长工期等要求，若有此类要求，采购人将不作任何答复与考虑，投标供应商应承担现场踏勘的责任和风险，踏勘现场的费用由投标供应商自行承担。</w:t>
      </w:r>
    </w:p>
    <w:p w14:paraId="1D09FA2B">
      <w:pPr>
        <w:snapToGrid w:val="0"/>
        <w:spacing w:line="400" w:lineRule="atLeas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三、工期要求及奖罚措施</w:t>
      </w:r>
    </w:p>
    <w:p w14:paraId="552DB728">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1.工期要求：</w:t>
      </w:r>
      <w:r>
        <w:rPr>
          <w:rFonts w:hint="eastAsia" w:ascii="宋体" w:hAnsi="宋体" w:cs="宋体"/>
          <w:color w:val="auto"/>
          <w:sz w:val="22"/>
          <w:szCs w:val="22"/>
          <w:highlight w:val="none"/>
          <w:lang w:val="en-US" w:eastAsia="zh-CN"/>
        </w:rPr>
        <w:t>90</w:t>
      </w:r>
      <w:r>
        <w:rPr>
          <w:rFonts w:hint="eastAsia" w:ascii="宋体" w:hAnsi="宋体" w:eastAsia="宋体" w:cs="宋体"/>
          <w:color w:val="auto"/>
          <w:sz w:val="22"/>
          <w:szCs w:val="22"/>
          <w:highlight w:val="none"/>
          <w:lang w:val="en-US" w:eastAsia="zh-CN"/>
        </w:rPr>
        <w:t>个日历天内</w:t>
      </w:r>
      <w:r>
        <w:rPr>
          <w:rFonts w:hint="eastAsia" w:ascii="宋体" w:hAnsi="宋体" w:eastAsia="宋体" w:cs="宋体"/>
          <w:color w:val="auto"/>
          <w:sz w:val="22"/>
          <w:szCs w:val="22"/>
          <w:highlight w:val="none"/>
        </w:rPr>
        <w:t>完</w:t>
      </w:r>
      <w:r>
        <w:rPr>
          <w:rFonts w:hint="eastAsia" w:ascii="宋体" w:hAnsi="宋体" w:eastAsia="宋体" w:cs="宋体"/>
          <w:color w:val="auto"/>
          <w:sz w:val="22"/>
          <w:szCs w:val="22"/>
          <w:highlight w:val="none"/>
          <w:lang w:eastAsia="zh-CN"/>
        </w:rPr>
        <w:t>工并通过验收</w:t>
      </w:r>
      <w:r>
        <w:rPr>
          <w:rFonts w:hint="eastAsia" w:ascii="宋体" w:hAnsi="宋体" w:eastAsia="宋体" w:cs="宋体"/>
          <w:color w:val="auto"/>
          <w:sz w:val="22"/>
          <w:szCs w:val="22"/>
          <w:highlight w:val="none"/>
        </w:rPr>
        <w:t>，开工日期以采购人发出通知为准。</w:t>
      </w:r>
    </w:p>
    <w:p w14:paraId="79B50D3D">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中标供应商无正当理由而导致延期，经协商无效,采购人有权追究中标供应商的违约责任。延期违约责任按每延期一天向采购人支付8000元，如果超出合同规定期限15天，则采购人可以终止合同，并有权没收其履约保证金。</w:t>
      </w:r>
    </w:p>
    <w:p w14:paraId="02614603">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3.从开工之日起5天没有进场施工的，视成交方自动放弃，采购人有权没收其履约保证金并上报监管处处罚。</w:t>
      </w:r>
    </w:p>
    <w:p w14:paraId="117C97D0">
      <w:pPr>
        <w:snapToGrid w:val="0"/>
        <w:spacing w:line="400" w:lineRule="atLeas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四、质量</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rPr>
        <w:t>保修</w:t>
      </w:r>
      <w:r>
        <w:rPr>
          <w:rFonts w:hint="eastAsia" w:ascii="宋体" w:hAnsi="宋体" w:cs="宋体"/>
          <w:b/>
          <w:bCs/>
          <w:color w:val="auto"/>
          <w:sz w:val="24"/>
          <w:highlight w:val="none"/>
          <w:lang w:eastAsia="zh-CN"/>
        </w:rPr>
        <w:t>及售后</w:t>
      </w:r>
      <w:r>
        <w:rPr>
          <w:rFonts w:hint="eastAsia" w:ascii="宋体" w:hAnsi="宋体" w:eastAsia="宋体" w:cs="宋体"/>
          <w:b/>
          <w:bCs/>
          <w:color w:val="auto"/>
          <w:sz w:val="24"/>
          <w:highlight w:val="none"/>
        </w:rPr>
        <w:t>要求</w:t>
      </w:r>
    </w:p>
    <w:p w14:paraId="009BD744">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中标单位必须严格按照有关现行施工规范精心组织施工，严格把好各道施工工序的质量关，杜绝工程质量事故。</w:t>
      </w:r>
    </w:p>
    <w:p w14:paraId="3F3F9D4A">
      <w:pPr>
        <w:snapToGrid w:val="0"/>
        <w:spacing w:line="460" w:lineRule="atLeast"/>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w:t>
      </w:r>
      <w:r>
        <w:rPr>
          <w:rFonts w:hint="eastAsia" w:ascii="宋体" w:hAnsi="宋体" w:cs="宋体"/>
          <w:color w:val="auto"/>
          <w:sz w:val="22"/>
          <w:szCs w:val="22"/>
          <w:highlight w:val="none"/>
          <w:lang w:val="en-US" w:eastAsia="zh-CN"/>
        </w:rPr>
        <w:t>、</w:t>
      </w:r>
      <w:r>
        <w:rPr>
          <w:rFonts w:hint="eastAsia" w:ascii="宋体" w:hAnsi="宋体" w:eastAsia="宋体" w:cs="宋体"/>
          <w:b/>
          <w:bCs/>
          <w:color w:val="auto"/>
          <w:sz w:val="22"/>
          <w:szCs w:val="22"/>
          <w:highlight w:val="none"/>
        </w:rPr>
        <w:t>质量保修期</w:t>
      </w:r>
      <w:r>
        <w:rPr>
          <w:rFonts w:hint="eastAsia" w:ascii="宋体" w:hAnsi="宋体" w:cs="宋体"/>
          <w:b/>
          <w:bCs/>
          <w:color w:val="auto"/>
          <w:sz w:val="22"/>
          <w:szCs w:val="22"/>
          <w:highlight w:val="none"/>
          <w:lang w:val="en-US" w:eastAsia="zh-CN"/>
        </w:rPr>
        <w:t>2</w:t>
      </w:r>
      <w:r>
        <w:rPr>
          <w:rFonts w:hint="eastAsia" w:ascii="宋体" w:hAnsi="宋体" w:eastAsia="宋体" w:cs="宋体"/>
          <w:b/>
          <w:bCs/>
          <w:color w:val="auto"/>
          <w:sz w:val="22"/>
          <w:szCs w:val="22"/>
          <w:highlight w:val="none"/>
        </w:rPr>
        <w:t>年，从工程竣工验收合格之日起计算。</w:t>
      </w:r>
    </w:p>
    <w:p w14:paraId="69AD86A2">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rPr>
        <w:t>保修要求</w:t>
      </w:r>
    </w:p>
    <w:p w14:paraId="13BE3318">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成交供应商应与采购人签订工程质量保修书，乙方在质量保修期内，按照有关法律、法规、规章的管理规定和双方约定，承担本工程质量保修责任。成交供应商要对其所提供的施工、材料、设备及其内在工程质量负全部责任。</w:t>
      </w:r>
    </w:p>
    <w:p w14:paraId="0338C62C">
      <w:pPr>
        <w:pStyle w:val="11"/>
        <w:adjustRightInd w:val="0"/>
        <w:snapToGrid w:val="0"/>
        <w:spacing w:line="460" w:lineRule="atLeast"/>
        <w:ind w:firstLine="480"/>
        <w:rPr>
          <w:rFonts w:hint="eastAsia" w:ascii="宋体" w:hAnsi="宋体" w:eastAsia="宋体" w:cs="宋体"/>
          <w:color w:val="auto"/>
          <w:sz w:val="22"/>
          <w:highlight w:val="none"/>
          <w:lang w:val="en-US" w:eastAsia="zh-CN"/>
        </w:rPr>
      </w:pP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highlight w:val="none"/>
          <w:lang w:val="en-US" w:eastAsia="zh-CN"/>
        </w:rPr>
        <w:t>售后服务</w:t>
      </w:r>
    </w:p>
    <w:p w14:paraId="42C2AF67">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4</w:t>
      </w:r>
      <w:r>
        <w:rPr>
          <w:rFonts w:hint="eastAsia" w:ascii="宋体" w:hAnsi="宋体" w:eastAsia="宋体" w:cs="宋体"/>
          <w:color w:val="auto"/>
          <w:kern w:val="2"/>
          <w:sz w:val="22"/>
          <w:szCs w:val="22"/>
          <w:highlight w:val="none"/>
          <w:lang w:val="en-US" w:eastAsia="zh-CN"/>
        </w:rPr>
        <w:t>.1 在设备整个使用期内，供应商应确保设备的正常使用。在接到用户维修要求后应立即作出回应，并在24小时内派员到达采购人现场实施维修。维修过程中所需零配件供应商在接到通知后最长不超过3天必须送达采购人。</w:t>
      </w:r>
    </w:p>
    <w:p w14:paraId="5A01F231">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4</w:t>
      </w:r>
      <w:r>
        <w:rPr>
          <w:rFonts w:hint="eastAsia" w:ascii="宋体" w:hAnsi="宋体" w:eastAsia="宋体" w:cs="宋体"/>
          <w:color w:val="auto"/>
          <w:kern w:val="2"/>
          <w:sz w:val="22"/>
          <w:szCs w:val="22"/>
          <w:highlight w:val="none"/>
          <w:lang w:val="en-US" w:eastAsia="zh-CN"/>
        </w:rPr>
        <w:t>.2 供应商应在投标文件中提供消耗品或易耗品价格。</w:t>
      </w:r>
    </w:p>
    <w:p w14:paraId="76193E4B">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4</w:t>
      </w:r>
      <w:r>
        <w:rPr>
          <w:rFonts w:hint="eastAsia" w:ascii="宋体" w:hAnsi="宋体" w:eastAsia="宋体" w:cs="宋体"/>
          <w:color w:val="auto"/>
          <w:kern w:val="2"/>
          <w:sz w:val="22"/>
          <w:szCs w:val="22"/>
          <w:highlight w:val="none"/>
          <w:lang w:val="en-US" w:eastAsia="zh-CN"/>
        </w:rPr>
        <w:t>.3 供应商应在投标文件中应详细说明收费标准，包括保修价格、设备配件价格，维修服务费。提供维修点的分布情况。</w:t>
      </w:r>
    </w:p>
    <w:p w14:paraId="7B0B257F">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4</w:t>
      </w:r>
      <w:r>
        <w:rPr>
          <w:rFonts w:hint="eastAsia" w:ascii="宋体" w:hAnsi="宋体" w:eastAsia="宋体" w:cs="宋体"/>
          <w:color w:val="auto"/>
          <w:kern w:val="2"/>
          <w:sz w:val="22"/>
          <w:szCs w:val="22"/>
          <w:highlight w:val="none"/>
          <w:lang w:val="en-US" w:eastAsia="zh-CN"/>
        </w:rPr>
        <w:t>.4 供应商应在投标文件中提供售后服务方案，如售后服务机构备品备件储备，售后服务机构技术服务人员情况。</w:t>
      </w:r>
    </w:p>
    <w:p w14:paraId="0A3A40B2">
      <w:pPr>
        <w:widowControl w:val="0"/>
        <w:autoSpaceDE w:val="0"/>
        <w:autoSpaceDN w:val="0"/>
        <w:adjustRightInd w:val="0"/>
        <w:snapToGrid w:val="0"/>
        <w:spacing w:line="460" w:lineRule="exact"/>
        <w:ind w:firstLine="442" w:firstLineChars="200"/>
        <w:jc w:val="both"/>
        <w:textAlignment w:val="bottom"/>
        <w:outlineLvl w:val="1"/>
        <w:rPr>
          <w:rFonts w:hint="eastAsia" w:ascii="宋体" w:hAnsi="宋体" w:eastAsia="宋体" w:cs="宋体"/>
          <w:b/>
          <w:bCs/>
          <w:color w:val="auto"/>
          <w:kern w:val="2"/>
          <w:sz w:val="22"/>
          <w:szCs w:val="22"/>
          <w:highlight w:val="none"/>
          <w:lang w:val="en-US" w:eastAsia="zh-CN"/>
        </w:rPr>
      </w:pPr>
      <w:r>
        <w:rPr>
          <w:rFonts w:hint="eastAsia" w:ascii="宋体" w:hAnsi="宋体" w:cs="宋体"/>
          <w:b/>
          <w:bCs/>
          <w:color w:val="auto"/>
          <w:kern w:val="2"/>
          <w:sz w:val="22"/>
          <w:szCs w:val="22"/>
          <w:highlight w:val="none"/>
          <w:lang w:val="en-US" w:eastAsia="zh-CN"/>
        </w:rPr>
        <w:t>5</w:t>
      </w:r>
      <w:r>
        <w:rPr>
          <w:rFonts w:hint="eastAsia" w:ascii="宋体" w:hAnsi="宋体" w:eastAsia="宋体" w:cs="宋体"/>
          <w:b/>
          <w:bCs/>
          <w:color w:val="auto"/>
          <w:kern w:val="2"/>
          <w:sz w:val="22"/>
          <w:szCs w:val="22"/>
          <w:highlight w:val="none"/>
          <w:lang w:val="en-US" w:eastAsia="zh-CN"/>
        </w:rPr>
        <w:t>、培训：</w:t>
      </w:r>
    </w:p>
    <w:p w14:paraId="1B378DF7">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5</w:t>
      </w:r>
      <w:r>
        <w:rPr>
          <w:rFonts w:hint="eastAsia" w:ascii="宋体" w:hAnsi="宋体" w:eastAsia="宋体" w:cs="宋体"/>
          <w:color w:val="auto"/>
          <w:kern w:val="2"/>
          <w:sz w:val="22"/>
          <w:szCs w:val="22"/>
          <w:highlight w:val="none"/>
          <w:lang w:val="en-US" w:eastAsia="zh-CN"/>
        </w:rPr>
        <w:t>.1 供应商应对用户的维修人员提供培训，使其能对设备进行日常的维护保养及能对一般故障进行维修，并向培训人员提供维修图纸及维修手册、维修密码及软件备份。</w:t>
      </w:r>
    </w:p>
    <w:p w14:paraId="77E5BFB5">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kern w:val="2"/>
          <w:sz w:val="22"/>
          <w:szCs w:val="22"/>
          <w:highlight w:val="none"/>
          <w:lang w:val="en-US" w:eastAsia="zh-CN"/>
        </w:rPr>
      </w:pPr>
      <w:r>
        <w:rPr>
          <w:rFonts w:hint="eastAsia" w:ascii="宋体" w:hAnsi="宋体" w:cs="宋体"/>
          <w:color w:val="auto"/>
          <w:kern w:val="2"/>
          <w:sz w:val="22"/>
          <w:szCs w:val="22"/>
          <w:highlight w:val="none"/>
          <w:lang w:val="en-US" w:eastAsia="zh-CN"/>
        </w:rPr>
        <w:t>5</w:t>
      </w:r>
      <w:r>
        <w:rPr>
          <w:rFonts w:hint="eastAsia" w:ascii="宋体" w:hAnsi="宋体" w:eastAsia="宋体" w:cs="宋体"/>
          <w:color w:val="auto"/>
          <w:kern w:val="2"/>
          <w:sz w:val="22"/>
          <w:szCs w:val="22"/>
          <w:highlight w:val="none"/>
          <w:lang w:val="en-US" w:eastAsia="zh-CN"/>
        </w:rPr>
        <w:t>.2 供应商应对用户的操作人员进行操作培训，使其能对设备进行熟练的操作。</w:t>
      </w:r>
    </w:p>
    <w:p w14:paraId="47BE147A">
      <w:pPr>
        <w:widowControl w:val="0"/>
        <w:autoSpaceDE w:val="0"/>
        <w:autoSpaceDN w:val="0"/>
        <w:adjustRightInd w:val="0"/>
        <w:snapToGrid w:val="0"/>
        <w:spacing w:line="460" w:lineRule="exact"/>
        <w:ind w:firstLine="440" w:firstLineChars="200"/>
        <w:jc w:val="both"/>
        <w:textAlignment w:val="bottom"/>
        <w:outlineLvl w:val="1"/>
        <w:rPr>
          <w:rFonts w:hint="eastAsia" w:ascii="宋体" w:hAnsi="宋体" w:eastAsia="宋体" w:cs="宋体"/>
          <w:color w:val="auto"/>
          <w:sz w:val="22"/>
          <w:szCs w:val="22"/>
          <w:highlight w:val="none"/>
          <w:lang w:val="en-US" w:eastAsia="zh-CN"/>
        </w:rPr>
      </w:pPr>
      <w:r>
        <w:rPr>
          <w:rFonts w:hint="eastAsia" w:ascii="宋体" w:hAnsi="宋体" w:cs="宋体"/>
          <w:color w:val="auto"/>
          <w:kern w:val="2"/>
          <w:sz w:val="22"/>
          <w:szCs w:val="22"/>
          <w:highlight w:val="none"/>
          <w:lang w:val="en-US" w:eastAsia="zh-CN"/>
        </w:rPr>
        <w:t>5</w:t>
      </w:r>
      <w:r>
        <w:rPr>
          <w:rFonts w:hint="eastAsia" w:ascii="宋体" w:hAnsi="宋体" w:eastAsia="宋体" w:cs="宋体"/>
          <w:color w:val="auto"/>
          <w:kern w:val="2"/>
          <w:sz w:val="22"/>
          <w:szCs w:val="22"/>
          <w:highlight w:val="none"/>
          <w:lang w:val="en-US" w:eastAsia="zh-CN"/>
        </w:rPr>
        <w:t>.3 上述二种培训的培训方式、地点、人员及费用（包含在投标</w:t>
      </w:r>
      <w:r>
        <w:rPr>
          <w:rFonts w:hint="eastAsia" w:ascii="宋体" w:hAnsi="宋体" w:cs="宋体"/>
          <w:color w:val="auto"/>
          <w:kern w:val="2"/>
          <w:sz w:val="22"/>
          <w:szCs w:val="22"/>
          <w:highlight w:val="none"/>
          <w:lang w:val="en-US" w:eastAsia="zh-CN"/>
        </w:rPr>
        <w:t>报价</w:t>
      </w:r>
      <w:r>
        <w:rPr>
          <w:rFonts w:hint="eastAsia" w:ascii="宋体" w:hAnsi="宋体" w:eastAsia="宋体" w:cs="宋体"/>
          <w:color w:val="auto"/>
          <w:kern w:val="2"/>
          <w:sz w:val="22"/>
          <w:szCs w:val="22"/>
          <w:highlight w:val="none"/>
          <w:lang w:val="en-US" w:eastAsia="zh-CN"/>
        </w:rPr>
        <w:t>中）投标人应在投标文件中详细说明。</w:t>
      </w:r>
    </w:p>
    <w:p w14:paraId="6B3B9E6C">
      <w:pPr>
        <w:pStyle w:val="11"/>
        <w:adjustRightInd w:val="0"/>
        <w:snapToGrid w:val="0"/>
        <w:spacing w:line="460" w:lineRule="atLeast"/>
        <w:ind w:firstLine="480"/>
        <w:rPr>
          <w:rFonts w:hint="eastAsia" w:ascii="宋体" w:hAnsi="宋体" w:eastAsia="宋体" w:cs="宋体"/>
          <w:color w:val="auto"/>
          <w:highlight w:val="none"/>
        </w:rPr>
      </w:pPr>
      <w:r>
        <w:rPr>
          <w:rFonts w:hint="eastAsia" w:hAnsi="宋体" w:cs="宋体"/>
          <w:color w:val="auto"/>
          <w:sz w:val="22"/>
          <w:highlight w:val="none"/>
          <w:lang w:val="en-US" w:eastAsia="zh-CN"/>
        </w:rPr>
        <w:t xml:space="preserve">5.4 </w:t>
      </w:r>
      <w:r>
        <w:rPr>
          <w:rFonts w:hint="eastAsia" w:ascii="宋体" w:hAnsi="宋体" w:eastAsia="宋体" w:cs="宋体"/>
          <w:color w:val="auto"/>
          <w:sz w:val="22"/>
          <w:highlight w:val="none"/>
        </w:rPr>
        <w:t>供应商在</w:t>
      </w:r>
      <w:r>
        <w:rPr>
          <w:rFonts w:hint="eastAsia" w:ascii="宋体" w:hAnsi="宋体" w:eastAsia="宋体" w:cs="宋体"/>
          <w:color w:val="auto"/>
          <w:sz w:val="22"/>
          <w:highlight w:val="none"/>
          <w:lang w:eastAsia="zh-CN"/>
        </w:rPr>
        <w:t>投标</w:t>
      </w:r>
      <w:r>
        <w:rPr>
          <w:rFonts w:hint="eastAsia" w:ascii="宋体" w:hAnsi="宋体" w:eastAsia="宋体" w:cs="宋体"/>
          <w:color w:val="auto"/>
          <w:sz w:val="22"/>
          <w:highlight w:val="none"/>
        </w:rPr>
        <w:t>文件中须说明</w:t>
      </w:r>
      <w:r>
        <w:rPr>
          <w:rFonts w:hint="eastAsia" w:ascii="宋体" w:hAnsi="宋体" w:eastAsia="宋体" w:cs="宋体"/>
          <w:color w:val="auto"/>
          <w:sz w:val="22"/>
          <w:highlight w:val="none"/>
          <w:lang w:eastAsia="zh-CN"/>
        </w:rPr>
        <w:t>质</w:t>
      </w:r>
      <w:r>
        <w:rPr>
          <w:rFonts w:hint="eastAsia" w:ascii="宋体" w:hAnsi="宋体" w:eastAsia="宋体" w:cs="宋体"/>
          <w:color w:val="auto"/>
          <w:sz w:val="22"/>
          <w:highlight w:val="none"/>
        </w:rPr>
        <w:t>保期内提供的服务计划。</w:t>
      </w:r>
    </w:p>
    <w:p w14:paraId="792054DC">
      <w:pPr>
        <w:snapToGrid w:val="0"/>
        <w:spacing w:line="400" w:lineRule="atLeas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五、材料的供应方式及要求</w:t>
      </w:r>
    </w:p>
    <w:p w14:paraId="5DA45BC6">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1.工程所需材料必须符合国家标准，供应商负责采购，采购前提供样品并经采购方确定。</w:t>
      </w:r>
    </w:p>
    <w:p w14:paraId="43EEB7DF">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2.材料须响应本招标文件要求并详细编制各项主要用材的清单及说明。</w:t>
      </w:r>
    </w:p>
    <w:p w14:paraId="1D3E9D69">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3.材料进场需报验，不合格材料不得进入施工现场。如果出现原材料检验不合格的情况，所有责任由施工单位自行承担，并及时更换为符合要求的材料。</w:t>
      </w:r>
    </w:p>
    <w:p w14:paraId="52C5A510">
      <w:pPr>
        <w:snapToGrid w:val="0"/>
        <w:spacing w:line="400" w:lineRule="atLeas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六、工程报价</w:t>
      </w:r>
    </w:p>
    <w:p w14:paraId="7648D662">
      <w:pPr>
        <w:snapToGrid w:val="0"/>
        <w:spacing w:line="460" w:lineRule="atLeast"/>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r>
        <w:rPr>
          <w:rFonts w:hAnsi="宋体" w:eastAsia="宋体"/>
          <w:b/>
          <w:bCs/>
          <w:color w:val="auto"/>
          <w:kern w:val="2"/>
          <w:sz w:val="22"/>
          <w:szCs w:val="24"/>
          <w:highlight w:val="none"/>
        </w:rPr>
        <w:t>本项目结算方式为按实结算，</w:t>
      </w:r>
      <w:r>
        <w:rPr>
          <w:rFonts w:hint="eastAsia" w:ascii="宋体" w:hAnsi="宋体" w:eastAsia="宋体" w:cs="宋体"/>
          <w:b/>
          <w:bCs/>
          <w:color w:val="auto"/>
          <w:sz w:val="22"/>
          <w:szCs w:val="22"/>
          <w:highlight w:val="none"/>
        </w:rPr>
        <w:t>报价采用</w:t>
      </w:r>
      <w:r>
        <w:rPr>
          <w:rFonts w:hint="eastAsia" w:ascii="宋体" w:hAnsi="宋体" w:eastAsia="宋体" w:cs="宋体"/>
          <w:b/>
          <w:bCs/>
          <w:color w:val="auto"/>
          <w:sz w:val="22"/>
          <w:szCs w:val="22"/>
          <w:highlight w:val="none"/>
          <w:lang w:eastAsia="zh-CN"/>
        </w:rPr>
        <w:t>单价</w:t>
      </w:r>
      <w:r>
        <w:rPr>
          <w:rFonts w:hint="eastAsia" w:ascii="宋体" w:hAnsi="宋体" w:eastAsia="宋体" w:cs="宋体"/>
          <w:b/>
          <w:bCs/>
          <w:color w:val="auto"/>
          <w:sz w:val="22"/>
          <w:szCs w:val="22"/>
          <w:highlight w:val="none"/>
          <w:lang w:val="en-US" w:eastAsia="zh-CN"/>
        </w:rPr>
        <w:t>统一折扣率报价总价不折扣的方式</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最终根据各项综合单价、工程量及其所对应的中标折扣率折扣后的单价进行结算。结算单价=综合单价*中标折扣率，</w:t>
      </w:r>
      <w:r>
        <w:rPr>
          <w:rFonts w:hint="eastAsia" w:ascii="宋体" w:hAnsi="宋体" w:eastAsia="宋体" w:cs="宋体"/>
          <w:b/>
          <w:bCs/>
          <w:color w:val="auto"/>
          <w:sz w:val="22"/>
          <w:szCs w:val="22"/>
          <w:highlight w:val="none"/>
        </w:rPr>
        <w:t>中标折扣率作为今后结算的依据。</w:t>
      </w:r>
    </w:p>
    <w:p w14:paraId="3464CB07">
      <w:pPr>
        <w:snapToGrid w:val="0"/>
        <w:spacing w:line="460" w:lineRule="atLeast"/>
        <w:ind w:firstLine="442" w:firstLineChars="200"/>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val="en-US" w:eastAsia="zh-CN"/>
        </w:rPr>
        <w:t>2.</w:t>
      </w:r>
      <w:r>
        <w:rPr>
          <w:rFonts w:hint="eastAsia" w:ascii="宋体" w:hAnsi="宋体" w:eastAsia="宋体" w:cs="宋体"/>
          <w:color w:val="auto"/>
          <w:sz w:val="22"/>
          <w:szCs w:val="22"/>
          <w:highlight w:val="none"/>
        </w:rPr>
        <w:t>税收按实际结算，以发票为准，但不能超过清单要求的税率。</w:t>
      </w:r>
    </w:p>
    <w:p w14:paraId="248BE6EA">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.清单未描述，但规范有要求的，投标单位不得另外收取相关费用。</w:t>
      </w:r>
    </w:p>
    <w:p w14:paraId="494073B3">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.本项目工程水电费由中标方承担。</w:t>
      </w:r>
    </w:p>
    <w:p w14:paraId="32EFE90C">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.施工过程中施工单位应保护好公共设施，投标单位需在报价中考虑。</w:t>
      </w:r>
    </w:p>
    <w:p w14:paraId="186EB1DF">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rPr>
        <w:t>.招标控制价见相关电子稿。</w:t>
      </w:r>
    </w:p>
    <w:p w14:paraId="0989FAB6">
      <w:pPr>
        <w:snapToGrid w:val="0"/>
        <w:spacing w:line="400" w:lineRule="atLeas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七、付款方式：</w:t>
      </w:r>
    </w:p>
    <w:p w14:paraId="382E02CC">
      <w:pPr>
        <w:pStyle w:val="11"/>
        <w:adjustRightInd w:val="0"/>
        <w:snapToGrid w:val="0"/>
        <w:spacing w:line="440" w:lineRule="atLeast"/>
        <w:ind w:firstLine="552" w:firstLineChars="25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7.1.履约保证金的收取：合同总价的</w:t>
      </w:r>
      <w:r>
        <w:rPr>
          <w:rFonts w:hint="eastAsia" w:hAnsi="宋体" w:cs="宋体"/>
          <w:b/>
          <w:bCs/>
          <w:color w:val="auto"/>
          <w:sz w:val="22"/>
          <w:szCs w:val="22"/>
          <w:highlight w:val="none"/>
          <w:lang w:val="en-US" w:eastAsia="zh-CN"/>
        </w:rPr>
        <w:t>1</w:t>
      </w:r>
      <w:r>
        <w:rPr>
          <w:rFonts w:hint="eastAsia" w:ascii="宋体" w:hAnsi="宋体" w:eastAsia="宋体" w:cs="宋体"/>
          <w:b/>
          <w:bCs/>
          <w:color w:val="auto"/>
          <w:sz w:val="22"/>
          <w:szCs w:val="22"/>
          <w:highlight w:val="none"/>
        </w:rPr>
        <w:t>％；履约保证金形式：银行汇票（电汇）、网银</w:t>
      </w:r>
      <w:r>
        <w:rPr>
          <w:rFonts w:hint="eastAsia" w:hAnsi="宋体" w:eastAsia="宋体" w:cs="宋体"/>
          <w:b/>
          <w:bCs/>
          <w:color w:val="auto"/>
          <w:sz w:val="22"/>
          <w:szCs w:val="22"/>
          <w:highlight w:val="none"/>
          <w:lang w:eastAsia="zh-CN"/>
        </w:rPr>
        <w:t>、</w:t>
      </w:r>
      <w:r>
        <w:rPr>
          <w:rFonts w:hint="eastAsia" w:hAnsi="宋体" w:eastAsia="宋体" w:cs="宋体"/>
          <w:b/>
          <w:bCs/>
          <w:color w:val="auto"/>
          <w:sz w:val="22"/>
          <w:szCs w:val="22"/>
          <w:highlight w:val="none"/>
          <w:lang w:val="en-US" w:eastAsia="zh-CN"/>
        </w:rPr>
        <w:t>履约保函等</w:t>
      </w:r>
      <w:r>
        <w:rPr>
          <w:rFonts w:hint="eastAsia" w:ascii="宋体" w:hAnsi="宋体" w:eastAsia="宋体" w:cs="宋体"/>
          <w:b/>
          <w:bCs/>
          <w:color w:val="auto"/>
          <w:sz w:val="22"/>
          <w:szCs w:val="22"/>
          <w:highlight w:val="none"/>
        </w:rPr>
        <w:t>形式。在签订合同后7个工作日内支付给采购人。如成交供应商</w:t>
      </w:r>
      <w:r>
        <w:rPr>
          <w:rFonts w:hint="eastAsia" w:ascii="宋体" w:hAnsi="宋体" w:eastAsia="宋体" w:cs="宋体"/>
          <w:b/>
          <w:bCs/>
          <w:color w:val="auto"/>
          <w:sz w:val="22"/>
          <w:szCs w:val="22"/>
          <w:highlight w:val="none"/>
          <w:lang w:eastAsia="zh-CN"/>
        </w:rPr>
        <w:t>的原因</w:t>
      </w:r>
      <w:r>
        <w:rPr>
          <w:rFonts w:hint="eastAsia" w:ascii="宋体" w:hAnsi="宋体" w:eastAsia="宋体" w:cs="宋体"/>
          <w:b/>
          <w:bCs/>
          <w:color w:val="auto"/>
          <w:sz w:val="22"/>
          <w:szCs w:val="22"/>
          <w:highlight w:val="none"/>
        </w:rPr>
        <w:t>不能按承诺和合同要</w:t>
      </w:r>
      <w:r>
        <w:rPr>
          <w:rFonts w:hint="eastAsia" w:ascii="宋体" w:hAnsi="宋体" w:eastAsia="宋体" w:cs="宋体"/>
          <w:b/>
          <w:bCs/>
          <w:color w:val="auto"/>
          <w:sz w:val="22"/>
          <w:szCs w:val="22"/>
          <w:highlight w:val="none"/>
          <w:lang w:eastAsia="zh-CN"/>
        </w:rPr>
        <w:t>求履约，采购人将有权扣除</w:t>
      </w:r>
      <w:r>
        <w:rPr>
          <w:rFonts w:hint="eastAsia" w:ascii="宋体" w:hAnsi="宋体" w:eastAsia="宋体" w:cs="宋体"/>
          <w:b/>
          <w:bCs/>
          <w:color w:val="auto"/>
          <w:sz w:val="22"/>
          <w:szCs w:val="22"/>
          <w:highlight w:val="none"/>
        </w:rPr>
        <w:t>履约保证金</w:t>
      </w:r>
      <w:r>
        <w:rPr>
          <w:rFonts w:hint="eastAsia" w:ascii="宋体" w:hAnsi="宋体" w:eastAsia="宋体" w:cs="宋体"/>
          <w:b/>
          <w:bCs/>
          <w:color w:val="auto"/>
          <w:sz w:val="22"/>
          <w:szCs w:val="22"/>
          <w:highlight w:val="none"/>
          <w:lang w:eastAsia="zh-CN"/>
        </w:rPr>
        <w:t>或不予退还</w:t>
      </w:r>
      <w:r>
        <w:rPr>
          <w:rFonts w:hint="eastAsia" w:ascii="宋体" w:hAnsi="宋体" w:eastAsia="宋体" w:cs="宋体"/>
          <w:b/>
          <w:bCs/>
          <w:color w:val="auto"/>
          <w:sz w:val="22"/>
          <w:szCs w:val="22"/>
          <w:highlight w:val="none"/>
        </w:rPr>
        <w:t>履约保证金</w:t>
      </w:r>
      <w:r>
        <w:rPr>
          <w:rFonts w:hint="eastAsia" w:ascii="宋体" w:hAnsi="宋体" w:eastAsia="宋体" w:cs="宋体"/>
          <w:b/>
          <w:bCs/>
          <w:color w:val="auto"/>
          <w:sz w:val="22"/>
          <w:szCs w:val="22"/>
          <w:highlight w:val="none"/>
          <w:lang w:eastAsia="zh-CN"/>
        </w:rPr>
        <w:t>。</w:t>
      </w:r>
    </w:p>
    <w:p w14:paraId="74FD6F5E">
      <w:pPr>
        <w:pStyle w:val="11"/>
        <w:adjustRightInd w:val="0"/>
        <w:snapToGrid w:val="0"/>
        <w:spacing w:line="460" w:lineRule="exact"/>
        <w:ind w:firstLine="442" w:firstLineChars="20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7.2.履约保证金的退取：项目</w:t>
      </w:r>
      <w:r>
        <w:rPr>
          <w:rFonts w:hint="eastAsia" w:ascii="宋体" w:hAnsi="宋体" w:eastAsia="宋体" w:cs="宋体"/>
          <w:b/>
          <w:bCs/>
          <w:color w:val="auto"/>
          <w:sz w:val="22"/>
          <w:szCs w:val="22"/>
          <w:highlight w:val="none"/>
          <w:lang w:val="zh-CN"/>
        </w:rPr>
        <w:t>通过竣工验收合格后</w:t>
      </w:r>
      <w:r>
        <w:rPr>
          <w:rFonts w:hint="eastAsia" w:hAnsi="宋体" w:eastAsia="宋体" w:cs="宋体"/>
          <w:b/>
          <w:bCs/>
          <w:color w:val="auto"/>
          <w:sz w:val="22"/>
          <w:szCs w:val="22"/>
          <w:highlight w:val="none"/>
          <w:lang w:val="en-US" w:eastAsia="zh-CN"/>
        </w:rPr>
        <w:t>无息退回</w:t>
      </w:r>
      <w:r>
        <w:rPr>
          <w:rFonts w:hint="eastAsia" w:ascii="宋体" w:hAnsi="宋体" w:eastAsia="宋体" w:cs="宋体"/>
          <w:b/>
          <w:bCs/>
          <w:color w:val="auto"/>
          <w:sz w:val="22"/>
          <w:szCs w:val="22"/>
          <w:highlight w:val="none"/>
        </w:rPr>
        <w:t>履约保证金</w:t>
      </w:r>
      <w:r>
        <w:rPr>
          <w:rFonts w:hint="eastAsia" w:hAnsi="宋体" w:eastAsia="宋体" w:cs="宋体"/>
          <w:b/>
          <w:bCs/>
          <w:color w:val="auto"/>
          <w:sz w:val="22"/>
          <w:szCs w:val="22"/>
          <w:highlight w:val="none"/>
          <w:lang w:val="zh-CN"/>
        </w:rPr>
        <w:t>。</w:t>
      </w:r>
    </w:p>
    <w:p w14:paraId="4CBB5144">
      <w:pPr>
        <w:adjustRightInd w:val="0"/>
        <w:snapToGrid w:val="0"/>
        <w:spacing w:line="4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 w:val="0"/>
          <w:bCs w:val="0"/>
          <w:color w:val="auto"/>
          <w:sz w:val="22"/>
          <w:szCs w:val="22"/>
          <w:highlight w:val="none"/>
        </w:rPr>
        <w:t>7.3.预付款：</w:t>
      </w:r>
      <w:r>
        <w:rPr>
          <w:rFonts w:hint="eastAsia" w:ascii="宋体" w:hAnsi="宋体" w:eastAsia="宋体" w:cs="宋体"/>
          <w:bCs/>
          <w:color w:val="auto"/>
          <w:sz w:val="22"/>
          <w:szCs w:val="22"/>
          <w:highlight w:val="none"/>
          <w:u w:val="single"/>
        </w:rPr>
        <w:t>在合同签订后，且中标供应商投标文件中承诺的人员、机械设备、车辆、材料投入等均配备到位后的15日内</w:t>
      </w:r>
      <w:r>
        <w:rPr>
          <w:rFonts w:hint="eastAsia" w:ascii="宋体" w:hAnsi="宋体" w:eastAsia="宋体" w:cs="宋体"/>
          <w:bCs/>
          <w:color w:val="auto"/>
          <w:sz w:val="22"/>
          <w:szCs w:val="22"/>
          <w:highlight w:val="none"/>
        </w:rPr>
        <w:t>，采购人向供应商支付合同价的</w:t>
      </w:r>
      <w:r>
        <w:rPr>
          <w:rFonts w:hint="eastAsia" w:ascii="宋体" w:hAnsi="宋体" w:eastAsia="宋体" w:cs="宋体"/>
          <w:bCs/>
          <w:color w:val="auto"/>
          <w:sz w:val="22"/>
          <w:szCs w:val="22"/>
          <w:highlight w:val="none"/>
          <w:lang w:val="en-US" w:eastAsia="zh-CN"/>
        </w:rPr>
        <w:t>20</w:t>
      </w:r>
      <w:r>
        <w:rPr>
          <w:rFonts w:hint="eastAsia" w:ascii="宋体" w:hAnsi="宋体" w:eastAsia="宋体" w:cs="宋体"/>
          <w:bCs/>
          <w:color w:val="auto"/>
          <w:sz w:val="22"/>
          <w:szCs w:val="22"/>
          <w:highlight w:val="none"/>
        </w:rPr>
        <w:t>%作为预付款</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lang w:val="en-US" w:eastAsia="zh-CN"/>
        </w:rPr>
        <w:t>预付款在前两期进度款支付时等比例扣回</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rPr>
        <w:t>同时采购人有权要求供应商提交银行、保险公司等金融机构出具的预付款保函或其他担保措施。</w:t>
      </w:r>
    </w:p>
    <w:p w14:paraId="4230B70C">
      <w:pPr>
        <w:pStyle w:val="11"/>
        <w:adjustRightInd w:val="0"/>
        <w:snapToGrid w:val="0"/>
        <w:spacing w:line="460" w:lineRule="atLeast"/>
        <w:ind w:firstLine="480"/>
        <w:rPr>
          <w:rFonts w:hint="eastAsia" w:ascii="宋体" w:hAnsi="宋体" w:eastAsia="宋体" w:cs="宋体"/>
          <w:color w:val="auto"/>
          <w:sz w:val="22"/>
          <w:highlight w:val="none"/>
          <w:lang w:eastAsia="zh-CN"/>
        </w:rPr>
      </w:pPr>
      <w:r>
        <w:rPr>
          <w:rFonts w:hint="eastAsia" w:ascii="宋体" w:hAnsi="宋体" w:eastAsia="宋体" w:cs="宋体"/>
          <w:b/>
          <w:bCs/>
          <w:color w:val="auto"/>
          <w:sz w:val="22"/>
          <w:highlight w:val="none"/>
        </w:rPr>
        <w:t>7.4.付款方式：</w:t>
      </w:r>
      <w:r>
        <w:rPr>
          <w:rFonts w:hint="default" w:ascii="宋体" w:hAnsi="宋体" w:eastAsia="宋体" w:cs="宋体"/>
          <w:color w:val="auto"/>
          <w:sz w:val="22"/>
          <w:highlight w:val="none"/>
          <w:lang w:val="en-US" w:eastAsia="zh-CN"/>
        </w:rPr>
        <w:t>①</w:t>
      </w:r>
      <w:r>
        <w:rPr>
          <w:rFonts w:hint="eastAsia" w:ascii="宋体" w:hAnsi="宋体" w:eastAsia="宋体" w:cs="宋体"/>
          <w:color w:val="auto"/>
          <w:sz w:val="22"/>
          <w:highlight w:val="none"/>
          <w:lang w:val="en-US" w:eastAsia="zh-CN"/>
        </w:rPr>
        <w:t>工程进度款按每月进度报表由采购人、监理审核后5日内支付当月已核工程量的80%；</w:t>
      </w:r>
      <w:r>
        <w:rPr>
          <w:rFonts w:hint="default" w:ascii="宋体" w:hAnsi="宋体" w:eastAsia="宋体" w:cs="宋体"/>
          <w:color w:val="auto"/>
          <w:sz w:val="22"/>
          <w:highlight w:val="none"/>
          <w:lang w:val="en-US" w:eastAsia="zh-CN"/>
        </w:rPr>
        <w:t>②</w:t>
      </w:r>
      <w:r>
        <w:rPr>
          <w:rFonts w:hint="eastAsia" w:ascii="宋体" w:hAnsi="宋体" w:eastAsia="宋体" w:cs="宋体"/>
          <w:color w:val="auto"/>
          <w:sz w:val="22"/>
          <w:highlight w:val="none"/>
          <w:lang w:val="en-US" w:eastAsia="zh-CN"/>
        </w:rPr>
        <w:t>待完工并验收合格后，付至已核工程量的80%；</w:t>
      </w:r>
      <w:r>
        <w:rPr>
          <w:rFonts w:hint="default" w:ascii="宋体" w:hAnsi="宋体" w:eastAsia="宋体" w:cs="宋体"/>
          <w:color w:val="auto"/>
          <w:sz w:val="22"/>
          <w:highlight w:val="none"/>
          <w:lang w:val="en-US" w:eastAsia="zh-CN"/>
        </w:rPr>
        <w:t>③</w:t>
      </w:r>
      <w:r>
        <w:rPr>
          <w:rFonts w:hint="eastAsia" w:ascii="宋体" w:hAnsi="宋体" w:eastAsia="宋体" w:cs="宋体"/>
          <w:color w:val="auto"/>
          <w:sz w:val="22"/>
          <w:highlight w:val="none"/>
          <w:lang w:val="en-US" w:eastAsia="zh-CN"/>
        </w:rPr>
        <w:t>结算经有资质的造价机构审定并出具结算审核报告后，付至结算审核报告价款的97.5%，剩余2.5%为质量保证金，在质保期内如出现质量问题整改不到位，质量保证金予以扣除或不予退还，</w:t>
      </w:r>
      <w:r>
        <w:rPr>
          <w:rFonts w:hint="eastAsia" w:ascii="宋体" w:hAnsi="宋体" w:eastAsia="宋体" w:cs="宋体"/>
          <w:color w:val="auto"/>
          <w:sz w:val="22"/>
          <w:highlight w:val="none"/>
          <w:lang w:val="zh-CN" w:eastAsia="zh-CN"/>
        </w:rPr>
        <w:t>待质保期满</w:t>
      </w:r>
      <w:r>
        <w:rPr>
          <w:rFonts w:hint="eastAsia" w:ascii="宋体" w:hAnsi="宋体" w:eastAsia="宋体" w:cs="宋体"/>
          <w:color w:val="auto"/>
          <w:sz w:val="22"/>
          <w:highlight w:val="none"/>
          <w:lang w:val="en-US" w:eastAsia="zh-CN"/>
        </w:rPr>
        <w:t>后无质量问题无息退还。</w:t>
      </w:r>
    </w:p>
    <w:p w14:paraId="597A1098">
      <w:pPr>
        <w:adjustRightInd w:val="0"/>
        <w:snapToGrid w:val="0"/>
        <w:spacing w:line="460" w:lineRule="exact"/>
        <w:ind w:firstLine="442" w:firstLineChars="200"/>
        <w:rPr>
          <w:rFonts w:hint="eastAsia"/>
          <w:b/>
          <w:bCs w:val="0"/>
          <w:color w:val="auto"/>
          <w:highlight w:val="none"/>
          <w:lang w:val="en-US" w:eastAsia="zh-CN"/>
        </w:rPr>
      </w:pPr>
      <w:r>
        <w:rPr>
          <w:rFonts w:hint="eastAsia" w:ascii="宋体" w:hAnsi="宋体" w:eastAsia="宋体" w:cs="宋体"/>
          <w:b/>
          <w:bCs w:val="0"/>
          <w:color w:val="auto"/>
          <w:sz w:val="22"/>
          <w:szCs w:val="22"/>
          <w:highlight w:val="none"/>
          <w:lang w:eastAsia="zh-CN"/>
        </w:rPr>
        <w:t>若是联合体投标的，供应商根据联合体协议进行分配，联合体间产生的任何纠纷，与采购人无关。</w:t>
      </w:r>
    </w:p>
    <w:p w14:paraId="43A7AB60">
      <w:pPr>
        <w:pStyle w:val="11"/>
        <w:adjustRightInd w:val="0"/>
        <w:snapToGrid w:val="0"/>
        <w:spacing w:line="460" w:lineRule="atLeast"/>
        <w:ind w:firstLine="440" w:firstLineChars="200"/>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7.5</w:t>
      </w:r>
      <w:r>
        <w:rPr>
          <w:rFonts w:hint="eastAsia" w:ascii="宋体" w:hAnsi="宋体" w:eastAsia="宋体" w:cs="宋体"/>
          <w:color w:val="auto"/>
          <w:sz w:val="22"/>
          <w:highlight w:val="none"/>
        </w:rPr>
        <w:t>、</w:t>
      </w:r>
      <w:r>
        <w:rPr>
          <w:rFonts w:hint="eastAsia" w:ascii="宋体" w:hAnsi="宋体" w:eastAsia="宋体" w:cs="宋体"/>
          <w:color w:val="auto"/>
          <w:sz w:val="22"/>
          <w:highlight w:val="none"/>
          <w:lang w:eastAsia="zh-CN"/>
        </w:rPr>
        <w:t>施工地点</w:t>
      </w:r>
    </w:p>
    <w:p w14:paraId="5339FD42">
      <w:pPr>
        <w:pStyle w:val="11"/>
        <w:adjustRightInd w:val="0"/>
        <w:snapToGrid w:val="0"/>
        <w:spacing w:line="460" w:lineRule="atLeast"/>
        <w:ind w:firstLine="480"/>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7.5</w:t>
      </w:r>
      <w:r>
        <w:rPr>
          <w:rFonts w:hint="eastAsia" w:ascii="宋体" w:hAnsi="宋体" w:eastAsia="宋体" w:cs="宋体"/>
          <w:color w:val="auto"/>
          <w:sz w:val="22"/>
          <w:highlight w:val="none"/>
        </w:rPr>
        <w:t>.1.地点：按采购单位要求。</w:t>
      </w:r>
    </w:p>
    <w:p w14:paraId="263F3AD6">
      <w:pPr>
        <w:pStyle w:val="11"/>
        <w:adjustRightInd w:val="0"/>
        <w:snapToGrid w:val="0"/>
        <w:spacing w:line="460" w:lineRule="atLeast"/>
        <w:ind w:firstLine="480"/>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7.5</w:t>
      </w:r>
      <w:r>
        <w:rPr>
          <w:rFonts w:hint="eastAsia" w:ascii="宋体" w:hAnsi="宋体" w:eastAsia="宋体" w:cs="宋体"/>
          <w:color w:val="auto"/>
          <w:sz w:val="22"/>
          <w:highlight w:val="none"/>
        </w:rPr>
        <w:t>.2.质量标准：符合我国国家有关技术规范要求和技术标准。</w:t>
      </w:r>
    </w:p>
    <w:p w14:paraId="3653EBF0">
      <w:pPr>
        <w:pStyle w:val="11"/>
        <w:adjustRightInd w:val="0"/>
        <w:snapToGrid w:val="0"/>
        <w:spacing w:line="460" w:lineRule="atLeast"/>
        <w:ind w:firstLine="480"/>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7.5</w:t>
      </w:r>
      <w:r>
        <w:rPr>
          <w:rFonts w:hint="eastAsia" w:ascii="宋体" w:hAnsi="宋体" w:eastAsia="宋体" w:cs="宋体"/>
          <w:color w:val="auto"/>
          <w:sz w:val="22"/>
          <w:highlight w:val="none"/>
        </w:rPr>
        <w:t>.3</w:t>
      </w:r>
      <w:r>
        <w:rPr>
          <w:rFonts w:hint="eastAsia" w:hAnsi="宋体" w:cs="宋体"/>
          <w:color w:val="auto"/>
          <w:sz w:val="22"/>
          <w:highlight w:val="none"/>
          <w:lang w:val="en-US" w:eastAsia="zh-CN"/>
        </w:rPr>
        <w:t>.</w:t>
      </w:r>
      <w:r>
        <w:rPr>
          <w:rFonts w:hint="eastAsia" w:ascii="宋体" w:hAnsi="宋体" w:eastAsia="宋体" w:cs="宋体"/>
          <w:color w:val="auto"/>
          <w:sz w:val="22"/>
          <w:highlight w:val="none"/>
        </w:rPr>
        <w:t>本项目包括供货、供就位与安装</w:t>
      </w:r>
      <w:r>
        <w:rPr>
          <w:rFonts w:hint="eastAsia" w:ascii="宋体" w:hAnsi="宋体" w:eastAsia="宋体" w:cs="宋体"/>
          <w:color w:val="auto"/>
          <w:sz w:val="22"/>
          <w:highlight w:val="none"/>
          <w:lang w:eastAsia="zh-CN"/>
        </w:rPr>
        <w:t>、装修</w:t>
      </w:r>
      <w:r>
        <w:rPr>
          <w:rFonts w:hint="eastAsia" w:ascii="宋体" w:hAnsi="宋体" w:eastAsia="宋体" w:cs="宋体"/>
          <w:color w:val="auto"/>
          <w:sz w:val="22"/>
          <w:highlight w:val="none"/>
        </w:rPr>
        <w:t>等。安装期间中标供应商须派技术人员提供安装及技术服务，送货、安装过程中发生的费用由中标供应商负责。</w:t>
      </w:r>
    </w:p>
    <w:p w14:paraId="07F1E484">
      <w:pPr>
        <w:pStyle w:val="11"/>
        <w:adjustRightInd w:val="0"/>
        <w:snapToGrid w:val="0"/>
        <w:spacing w:line="460" w:lineRule="atLeast"/>
        <w:ind w:firstLine="480"/>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7.5</w:t>
      </w:r>
      <w:r>
        <w:rPr>
          <w:rFonts w:hint="eastAsia" w:ascii="宋体" w:hAnsi="宋体" w:eastAsia="宋体" w:cs="宋体"/>
          <w:color w:val="auto"/>
          <w:sz w:val="22"/>
          <w:highlight w:val="none"/>
        </w:rPr>
        <w:t>.4.供应商应在投标文件中提出其送货安装过程中</w:t>
      </w:r>
      <w:r>
        <w:rPr>
          <w:rFonts w:hint="eastAsia" w:ascii="宋体" w:hAnsi="宋体" w:cs="宋体"/>
          <w:color w:val="auto"/>
          <w:sz w:val="22"/>
          <w:highlight w:val="none"/>
          <w:lang w:eastAsia="zh-CN"/>
        </w:rPr>
        <w:t>采购人</w:t>
      </w:r>
      <w:r>
        <w:rPr>
          <w:rFonts w:hint="eastAsia" w:ascii="宋体" w:hAnsi="宋体" w:eastAsia="宋体" w:cs="宋体"/>
          <w:color w:val="auto"/>
          <w:sz w:val="22"/>
          <w:highlight w:val="none"/>
        </w:rPr>
        <w:t>需配合的内容。</w:t>
      </w:r>
    </w:p>
    <w:p w14:paraId="3577910E">
      <w:pPr>
        <w:pStyle w:val="11"/>
        <w:adjustRightInd w:val="0"/>
        <w:snapToGrid w:val="0"/>
        <w:spacing w:line="460" w:lineRule="atLeast"/>
        <w:ind w:firstLine="480"/>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7.6</w:t>
      </w:r>
      <w:r>
        <w:rPr>
          <w:rFonts w:hint="eastAsia" w:ascii="宋体" w:hAnsi="宋体" w:eastAsia="宋体" w:cs="宋体"/>
          <w:color w:val="auto"/>
          <w:sz w:val="22"/>
          <w:highlight w:val="none"/>
        </w:rPr>
        <w:t>、验收</w:t>
      </w:r>
    </w:p>
    <w:p w14:paraId="4E04520D">
      <w:pPr>
        <w:pStyle w:val="11"/>
        <w:adjustRightInd w:val="0"/>
        <w:snapToGrid w:val="0"/>
        <w:spacing w:line="460" w:lineRule="atLeast"/>
        <w:ind w:firstLine="480"/>
        <w:rPr>
          <w:rFonts w:hint="eastAsia" w:ascii="宋体" w:hAnsi="宋体" w:eastAsia="宋体" w:cs="宋体"/>
          <w:color w:val="auto"/>
          <w:sz w:val="22"/>
          <w:highlight w:val="none"/>
        </w:rPr>
      </w:pPr>
      <w:r>
        <w:rPr>
          <w:rFonts w:hint="eastAsia" w:ascii="宋体" w:hAnsi="宋体" w:eastAsia="宋体" w:cs="宋体"/>
          <w:color w:val="auto"/>
          <w:sz w:val="22"/>
          <w:highlight w:val="none"/>
        </w:rPr>
        <w:t>中标供应商已按合同规定提供了符合招标文件规定的要求的货物及服务，并经采购人（采购人也可委托</w:t>
      </w:r>
      <w:r>
        <w:rPr>
          <w:rFonts w:hint="eastAsia" w:ascii="宋体" w:hAnsi="宋体" w:eastAsia="宋体" w:cs="宋体"/>
          <w:color w:val="auto"/>
          <w:sz w:val="22"/>
          <w:highlight w:val="none"/>
          <w:lang w:eastAsia="zh-CN"/>
        </w:rPr>
        <w:t>第三方</w:t>
      </w:r>
      <w:r>
        <w:rPr>
          <w:rFonts w:hint="eastAsia" w:ascii="宋体" w:hAnsi="宋体" w:eastAsia="宋体" w:cs="宋体"/>
          <w:color w:val="auto"/>
          <w:sz w:val="22"/>
          <w:highlight w:val="none"/>
        </w:rPr>
        <w:t>进行检验）检验合格，所有的技术资料和清单已向采购人提交并被接受，验收视为合格，若因中标供应商质量问题等导致验收不合格，中标供应商应及时予以处理，直至验收合格，期间发生的一切费用由中标供应商承担，采购人保留向中标供应商索赔的权利。</w:t>
      </w:r>
    </w:p>
    <w:p w14:paraId="106EEE92">
      <w:pPr>
        <w:snapToGrid w:val="0"/>
        <w:spacing w:line="400" w:lineRule="atLeas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eastAsia="zh-CN"/>
        </w:rPr>
        <w:t>八</w:t>
      </w:r>
      <w:r>
        <w:rPr>
          <w:rFonts w:hint="eastAsia" w:ascii="宋体" w:hAnsi="宋体" w:eastAsia="宋体" w:cs="宋体"/>
          <w:b/>
          <w:bCs/>
          <w:color w:val="auto"/>
          <w:sz w:val="24"/>
          <w:highlight w:val="none"/>
        </w:rPr>
        <w:t>、其它要求</w:t>
      </w:r>
    </w:p>
    <w:p w14:paraId="4E0E271F">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材料进场和隐蔽工程等必须进行报验，采购方同意后方可进行下一道工序。</w:t>
      </w:r>
    </w:p>
    <w:p w14:paraId="0C3FE11E">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安全要求：施工单位须严格遵守《安全生产法》《建设工程安全生产管理条例》和《安全生产许可证条例》等法律法规，项目负责人和安全管理人员认真履行安全生产管理职责，负责工程现场的施工安全；施工过程中发生的一切非采购方原因的安全事故由施工单位全权负责。</w:t>
      </w:r>
    </w:p>
    <w:p w14:paraId="7380ED6B">
      <w:pPr>
        <w:snapToGrid w:val="0"/>
        <w:spacing w:line="460" w:lineRule="atLeast"/>
        <w:ind w:firstLine="440" w:firstLineChars="200"/>
        <w:rPr>
          <w:rFonts w:hint="eastAsia"/>
          <w:color w:val="auto"/>
          <w:highlight w:val="none"/>
        </w:rPr>
      </w:pPr>
      <w:r>
        <w:rPr>
          <w:rFonts w:hint="eastAsia" w:ascii="宋体" w:hAnsi="宋体" w:eastAsia="宋体" w:cs="宋体"/>
          <w:color w:val="auto"/>
          <w:sz w:val="22"/>
          <w:szCs w:val="22"/>
          <w:highlight w:val="none"/>
        </w:rPr>
        <w:t>3.文明要求：在施工过程中，必须做到文明施工。工序衔接交叉合理，交接责任明确，施工场地整洁、卫生、道路畅通，有必要的围护和遮挡措施等。</w:t>
      </w:r>
    </w:p>
    <w:p w14:paraId="2B883E75">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4.建筑垃圾必须及时清运至院外专用场所处理，费用自理。</w:t>
      </w:r>
    </w:p>
    <w:p w14:paraId="6C4CE5E4">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如施工单位未能及时清理，由采购方安排清理的，费用在结算时从工程款项中扣除。施工过程中应做好对现有公共设施和绿化以及地下管线等财产的保护措施，如有损坏由施工单位全额赔偿。</w:t>
      </w:r>
    </w:p>
    <w:p w14:paraId="7D3B034D">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5.施工单位必须包括但不限于二次搬</w:t>
      </w:r>
      <w:r>
        <w:rPr>
          <w:rFonts w:hint="eastAsia" w:ascii="宋体" w:hAnsi="宋体" w:eastAsia="宋体" w:cs="宋体"/>
          <w:color w:val="auto"/>
          <w:sz w:val="22"/>
          <w:szCs w:val="22"/>
          <w:highlight w:val="none"/>
          <w:lang w:eastAsia="zh-CN"/>
        </w:rPr>
        <w:t>运、税金、材料运输、检验、零配件，空调的室内机和室外机以及其他安装所需的的所有材料及工序，包括冷凝排水管、保温材料、空调风口、空调冷媒铜管（含超出空调原配联机铜管长度以外的所有铜管）等，通</w:t>
      </w:r>
      <w:r>
        <w:rPr>
          <w:rFonts w:hint="eastAsia" w:ascii="宋体" w:hAnsi="宋体" w:eastAsia="宋体" w:cs="宋体"/>
          <w:color w:val="auto"/>
          <w:sz w:val="22"/>
          <w:szCs w:val="22"/>
          <w:highlight w:val="none"/>
        </w:rPr>
        <w:t>过验收</w:t>
      </w:r>
      <w:r>
        <w:rPr>
          <w:rFonts w:hint="eastAsia" w:ascii="宋体" w:hAnsi="宋体" w:eastAsia="宋体" w:cs="宋体"/>
          <w:color w:val="auto"/>
          <w:sz w:val="22"/>
          <w:szCs w:val="22"/>
          <w:highlight w:val="none"/>
          <w:lang w:eastAsia="zh-CN"/>
        </w:rPr>
        <w:t>等</w:t>
      </w:r>
      <w:r>
        <w:rPr>
          <w:rFonts w:hint="eastAsia" w:ascii="宋体" w:hAnsi="宋体" w:eastAsia="宋体" w:cs="宋体"/>
          <w:color w:val="auto"/>
          <w:sz w:val="22"/>
          <w:szCs w:val="22"/>
          <w:highlight w:val="none"/>
        </w:rPr>
        <w:t>费用考虑在报价中，不得以其它理由增加相关费用。</w:t>
      </w:r>
    </w:p>
    <w:p w14:paraId="7B3A3C63">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rPr>
        <w:t>.完成各项安装、调试、检验、测试工作，并在采购人的配合下进行验收；提供各种数据资料；直至通过验收。</w:t>
      </w:r>
    </w:p>
    <w:p w14:paraId="014B38AB">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.对</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的操作人员及维修人员进行技术培训；</w:t>
      </w:r>
    </w:p>
    <w:p w14:paraId="060703F7">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rPr>
        <w:t>.维保期内系统的维保及维修；</w:t>
      </w:r>
    </w:p>
    <w:p w14:paraId="590F9A72">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9</w:t>
      </w:r>
      <w:r>
        <w:rPr>
          <w:rFonts w:hint="eastAsia" w:ascii="宋体" w:hAnsi="宋体" w:eastAsia="宋体" w:cs="宋体"/>
          <w:color w:val="auto"/>
          <w:sz w:val="22"/>
          <w:szCs w:val="22"/>
          <w:highlight w:val="none"/>
        </w:rPr>
        <w:t>.由中标供应商免费送货到指定地点；</w:t>
      </w:r>
    </w:p>
    <w:p w14:paraId="0A830867">
      <w:pPr>
        <w:snapToGrid w:val="0"/>
        <w:spacing w:line="460" w:lineRule="atLeast"/>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10</w:t>
      </w:r>
      <w:r>
        <w:rPr>
          <w:rFonts w:hint="eastAsia" w:ascii="宋体" w:hAnsi="宋体" w:eastAsia="宋体" w:cs="宋体"/>
          <w:color w:val="auto"/>
          <w:sz w:val="22"/>
          <w:szCs w:val="22"/>
          <w:highlight w:val="none"/>
        </w:rPr>
        <w:t>.售后服务的措施及承诺。</w:t>
      </w:r>
    </w:p>
    <w:p w14:paraId="59C2BABD">
      <w:pPr>
        <w:pStyle w:val="11"/>
        <w:adjustRightInd w:val="0"/>
        <w:snapToGrid w:val="0"/>
        <w:spacing w:line="420" w:lineRule="exact"/>
        <w:ind w:firstLine="482"/>
        <w:rPr>
          <w:rFonts w:hint="eastAsia" w:ascii="宋体" w:hAnsi="宋体" w:eastAsia="宋体" w:cs="宋体"/>
          <w:color w:val="auto"/>
          <w:sz w:val="22"/>
          <w:highlight w:val="none"/>
        </w:rPr>
      </w:pPr>
      <w:r>
        <w:rPr>
          <w:rFonts w:hint="eastAsia" w:hAnsi="宋体" w:cs="宋体"/>
          <w:color w:val="auto"/>
          <w:sz w:val="22"/>
          <w:highlight w:val="none"/>
          <w:lang w:val="en-US" w:eastAsia="zh-CN"/>
        </w:rPr>
        <w:t>11</w:t>
      </w:r>
      <w:r>
        <w:rPr>
          <w:rFonts w:hint="eastAsia" w:ascii="宋体" w:hAnsi="宋体" w:eastAsia="宋体" w:cs="宋体"/>
          <w:color w:val="auto"/>
          <w:sz w:val="22"/>
          <w:highlight w:val="none"/>
        </w:rPr>
        <w:t>.该项目若因不可抗力因素或政策性调整等情况，采购人有权终止项目。（合同未签订的，合同不予签订；政府采购合同已经签订但尚未履行的，撤销合同；政府采购合同已经履行，终止履约。采购人不承担赔偿责任，由供应商自行考虑投标、应标风险。）</w:t>
      </w:r>
    </w:p>
    <w:p w14:paraId="50FFED51">
      <w:pPr>
        <w:pStyle w:val="11"/>
        <w:adjustRightInd w:val="0"/>
        <w:snapToGrid w:val="0"/>
        <w:spacing w:line="420" w:lineRule="exact"/>
        <w:ind w:firstLine="482"/>
        <w:rPr>
          <w:rFonts w:hint="eastAsia" w:ascii="宋体" w:hAnsi="宋体" w:eastAsia="宋体" w:cs="宋体"/>
          <w:b/>
          <w:bCs/>
          <w:color w:val="auto"/>
          <w:sz w:val="22"/>
          <w:highlight w:val="none"/>
        </w:rPr>
      </w:pPr>
      <w:r>
        <w:rPr>
          <w:rFonts w:hint="eastAsia" w:ascii="宋体" w:hAnsi="宋体" w:eastAsia="宋体" w:cs="宋体"/>
          <w:b/>
          <w:bCs/>
          <w:color w:val="auto"/>
          <w:sz w:val="22"/>
          <w:highlight w:val="none"/>
          <w:lang w:val="en-US" w:eastAsia="zh-CN"/>
        </w:rPr>
        <w:t>13.</w:t>
      </w:r>
      <w:r>
        <w:rPr>
          <w:rFonts w:hint="eastAsia" w:ascii="宋体" w:hAnsi="宋体" w:eastAsia="宋体" w:cs="宋体"/>
          <w:b/>
          <w:bCs/>
          <w:color w:val="auto"/>
          <w:sz w:val="22"/>
          <w:highlight w:val="none"/>
        </w:rPr>
        <w:t>其他说明：</w:t>
      </w:r>
    </w:p>
    <w:p w14:paraId="1950460B">
      <w:pPr>
        <w:pStyle w:val="11"/>
        <w:adjustRightInd w:val="0"/>
        <w:snapToGrid w:val="0"/>
        <w:spacing w:line="420" w:lineRule="exact"/>
        <w:ind w:firstLine="482"/>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13.1</w:t>
      </w:r>
      <w:r>
        <w:rPr>
          <w:rFonts w:hint="eastAsia" w:ascii="宋体" w:hAnsi="宋体" w:eastAsia="宋体" w:cs="宋体"/>
          <w:color w:val="auto"/>
          <w:sz w:val="22"/>
          <w:highlight w:val="none"/>
        </w:rPr>
        <w:t>、投标供应商需保证投标资料的真实性，供货时，采购人将进行如实核对，如查实投标产品技术参数有弄虚作假行为，将上报采购主管部门，废除其中标人资格并有保留追究责任的权利。</w:t>
      </w:r>
    </w:p>
    <w:p w14:paraId="61C43683">
      <w:pPr>
        <w:pStyle w:val="11"/>
        <w:adjustRightInd w:val="0"/>
        <w:snapToGrid w:val="0"/>
        <w:spacing w:line="420" w:lineRule="exact"/>
        <w:ind w:firstLine="482"/>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13.2</w:t>
      </w:r>
      <w:r>
        <w:rPr>
          <w:rFonts w:hint="eastAsia" w:ascii="宋体" w:hAnsi="宋体" w:eastAsia="宋体" w:cs="宋体"/>
          <w:color w:val="auto"/>
          <w:sz w:val="22"/>
          <w:highlight w:val="none"/>
        </w:rPr>
        <w:t>、本项目采购人将对到货设备进行严格验收，实际到货设备达不到</w:t>
      </w:r>
      <w:r>
        <w:rPr>
          <w:rFonts w:hint="eastAsia" w:ascii="宋体" w:hAnsi="宋体" w:eastAsia="宋体" w:cs="宋体"/>
          <w:color w:val="auto"/>
          <w:sz w:val="22"/>
          <w:highlight w:val="none"/>
          <w:lang w:val="en-US" w:eastAsia="zh-CN"/>
        </w:rPr>
        <w:t>投标</w:t>
      </w:r>
      <w:r>
        <w:rPr>
          <w:rFonts w:hint="eastAsia" w:ascii="宋体" w:hAnsi="宋体" w:eastAsia="宋体" w:cs="宋体"/>
          <w:color w:val="auto"/>
          <w:sz w:val="22"/>
          <w:highlight w:val="none"/>
        </w:rPr>
        <w:t>文件</w:t>
      </w:r>
      <w:r>
        <w:rPr>
          <w:rFonts w:hint="eastAsia" w:ascii="宋体" w:hAnsi="宋体" w:eastAsia="宋体" w:cs="宋体"/>
          <w:color w:val="auto"/>
          <w:sz w:val="22"/>
          <w:highlight w:val="none"/>
          <w:lang w:val="en-US" w:eastAsia="zh-CN"/>
        </w:rPr>
        <w:t>所响应</w:t>
      </w:r>
      <w:r>
        <w:rPr>
          <w:rFonts w:hint="eastAsia" w:ascii="宋体" w:hAnsi="宋体" w:eastAsia="宋体" w:cs="宋体"/>
          <w:color w:val="auto"/>
          <w:sz w:val="22"/>
          <w:highlight w:val="none"/>
        </w:rPr>
        <w:t>的，做验收不通过处理，对此采购人有权无条件取消合同并给予相应处罚；供应商到货及安装、退货等所造成的损失自行承担，供应商须慎重投标。</w:t>
      </w:r>
    </w:p>
    <w:p w14:paraId="64E742AB">
      <w:pPr>
        <w:pStyle w:val="11"/>
        <w:adjustRightInd w:val="0"/>
        <w:snapToGrid w:val="0"/>
        <w:spacing w:line="420" w:lineRule="exact"/>
        <w:ind w:firstLine="482"/>
        <w:rPr>
          <w:rFonts w:hint="eastAsia" w:ascii="宋体" w:hAnsi="宋体" w:eastAsia="宋体" w:cs="宋体"/>
          <w:color w:val="auto"/>
          <w:sz w:val="22"/>
          <w:highlight w:val="none"/>
        </w:rPr>
      </w:pPr>
      <w:r>
        <w:rPr>
          <w:rFonts w:hint="eastAsia" w:ascii="宋体" w:hAnsi="宋体" w:eastAsia="宋体" w:cs="宋体"/>
          <w:color w:val="auto"/>
          <w:sz w:val="22"/>
          <w:highlight w:val="none"/>
          <w:lang w:val="en-US" w:eastAsia="zh-CN"/>
        </w:rPr>
        <w:t>13.3</w:t>
      </w:r>
      <w:r>
        <w:rPr>
          <w:rFonts w:hint="eastAsia" w:ascii="宋体" w:hAnsi="宋体" w:eastAsia="宋体" w:cs="宋体"/>
          <w:color w:val="auto"/>
          <w:sz w:val="22"/>
          <w:highlight w:val="none"/>
        </w:rPr>
        <w:t>、供应商投标文件中须提供检测报告、产品合格证、产品说明等相关证明资料给予佐证。</w:t>
      </w:r>
    </w:p>
    <w:p w14:paraId="26553A68">
      <w:pPr>
        <w:pStyle w:val="11"/>
        <w:adjustRightInd w:val="0"/>
        <w:snapToGrid w:val="0"/>
        <w:spacing w:line="420" w:lineRule="exact"/>
        <w:ind w:firstLine="482"/>
        <w:rPr>
          <w:rFonts w:hint="eastAsia" w:ascii="宋体" w:hAnsi="宋体"/>
          <w:b/>
          <w:color w:val="auto"/>
          <w:sz w:val="22"/>
          <w:szCs w:val="22"/>
          <w:highlight w:val="none"/>
          <w:lang w:val="en-US" w:eastAsia="zh-CN"/>
        </w:rPr>
      </w:pPr>
      <w:r>
        <w:rPr>
          <w:rFonts w:hint="eastAsia" w:ascii="宋体" w:hAnsi="宋体" w:eastAsia="宋体" w:cs="宋体"/>
          <w:color w:val="auto"/>
          <w:sz w:val="22"/>
          <w:highlight w:val="none"/>
        </w:rPr>
        <w:t>以上工作内容涉及费用均包含在投标</w:t>
      </w:r>
      <w:r>
        <w:rPr>
          <w:rFonts w:hint="eastAsia" w:hAnsi="宋体" w:cs="宋体"/>
          <w:color w:val="auto"/>
          <w:sz w:val="22"/>
          <w:highlight w:val="none"/>
          <w:lang w:eastAsia="zh-CN"/>
        </w:rPr>
        <w:t>报价</w:t>
      </w:r>
      <w:r>
        <w:rPr>
          <w:rFonts w:hint="eastAsia" w:ascii="宋体" w:hAnsi="宋体" w:eastAsia="宋体" w:cs="宋体"/>
          <w:color w:val="auto"/>
          <w:sz w:val="22"/>
          <w:highlight w:val="none"/>
        </w:rPr>
        <w:t>中。</w:t>
      </w:r>
    </w:p>
    <w:p w14:paraId="5FB6C9C0">
      <w:pPr>
        <w:snapToGrid w:val="0"/>
        <w:spacing w:line="400" w:lineRule="atLeas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九、</w:t>
      </w:r>
      <w:r>
        <w:rPr>
          <w:rFonts w:hint="eastAsia" w:ascii="宋体" w:hAnsi="宋体" w:eastAsia="宋体" w:cs="宋体"/>
          <w:b/>
          <w:bCs/>
          <w:color w:val="auto"/>
          <w:sz w:val="24"/>
          <w:highlight w:val="none"/>
        </w:rPr>
        <w:t>工作范围：</w:t>
      </w:r>
    </w:p>
    <w:p w14:paraId="5E5B6252">
      <w:pPr>
        <w:adjustRightInd w:val="0"/>
        <w:snapToGrid w:val="0"/>
        <w:spacing w:line="460" w:lineRule="exact"/>
        <w:ind w:firstLine="440" w:firstLineChars="200"/>
        <w:rPr>
          <w:rFonts w:ascii="宋体"/>
          <w:color w:val="auto"/>
          <w:sz w:val="22"/>
          <w:szCs w:val="22"/>
          <w:highlight w:val="none"/>
        </w:rPr>
      </w:pPr>
      <w:r>
        <w:rPr>
          <w:rFonts w:hint="eastAsia" w:ascii="宋体"/>
          <w:color w:val="auto"/>
          <w:sz w:val="22"/>
          <w:szCs w:val="22"/>
          <w:highlight w:val="none"/>
        </w:rPr>
        <w:t>根据招标文件，各供应商须按国家有关标准及规范完成下列工作：</w:t>
      </w:r>
    </w:p>
    <w:p w14:paraId="061E6A24">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1、提供完整成套的货物</w:t>
      </w:r>
    </w:p>
    <w:p w14:paraId="324F4B5C">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 xml:space="preserve">2、货物及相关附件的提供、运输、装卸、就位、安装、调试、检验、通过验收； </w:t>
      </w:r>
    </w:p>
    <w:p w14:paraId="7F27F2BA">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3、完成各项安装、调试、检验、测试工作，并在采购人的配合下进行验收；提供各种数据资料；直至通过验收。</w:t>
      </w:r>
    </w:p>
    <w:p w14:paraId="3A890B12">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4、对业主的操作人员及维修人员进行技术培训；</w:t>
      </w:r>
    </w:p>
    <w:p w14:paraId="1F2D97E1">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5、</w:t>
      </w:r>
      <w:r>
        <w:rPr>
          <w:rFonts w:hint="eastAsia" w:hAnsi="宋体"/>
          <w:color w:val="auto"/>
          <w:sz w:val="22"/>
          <w:szCs w:val="22"/>
          <w:highlight w:val="none"/>
          <w:lang w:eastAsia="zh-CN"/>
        </w:rPr>
        <w:t>维保</w:t>
      </w:r>
      <w:r>
        <w:rPr>
          <w:rFonts w:hint="eastAsia" w:hAnsi="宋体"/>
          <w:color w:val="auto"/>
          <w:sz w:val="22"/>
          <w:szCs w:val="22"/>
          <w:highlight w:val="none"/>
        </w:rPr>
        <w:t>期内系统的维保及维修；</w:t>
      </w:r>
    </w:p>
    <w:p w14:paraId="0FEA4813">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6、由中标供应商免费送货到指定地点；</w:t>
      </w:r>
    </w:p>
    <w:p w14:paraId="7C2409C2">
      <w:pPr>
        <w:pStyle w:val="11"/>
        <w:adjustRightInd w:val="0"/>
        <w:snapToGrid w:val="0"/>
        <w:spacing w:line="420" w:lineRule="exact"/>
        <w:ind w:firstLine="482"/>
        <w:rPr>
          <w:rFonts w:hAnsi="宋体"/>
          <w:color w:val="auto"/>
          <w:sz w:val="22"/>
          <w:szCs w:val="22"/>
          <w:highlight w:val="none"/>
        </w:rPr>
      </w:pPr>
      <w:r>
        <w:rPr>
          <w:rFonts w:hint="eastAsia" w:hAnsi="宋体"/>
          <w:color w:val="auto"/>
          <w:sz w:val="22"/>
          <w:szCs w:val="22"/>
          <w:highlight w:val="none"/>
        </w:rPr>
        <w:t>7、售后服务的措施及承诺。</w:t>
      </w:r>
    </w:p>
    <w:p w14:paraId="246E1C39">
      <w:pPr>
        <w:pStyle w:val="11"/>
        <w:adjustRightInd w:val="0"/>
        <w:snapToGrid w:val="0"/>
        <w:spacing w:line="420" w:lineRule="exact"/>
        <w:ind w:firstLine="482"/>
        <w:rPr>
          <w:rFonts w:hint="eastAsia" w:hAnsi="宋体"/>
          <w:color w:val="auto"/>
          <w:sz w:val="22"/>
          <w:szCs w:val="22"/>
          <w:highlight w:val="none"/>
        </w:rPr>
      </w:pPr>
      <w:r>
        <w:rPr>
          <w:rFonts w:hint="eastAsia" w:hAnsi="宋体"/>
          <w:color w:val="auto"/>
          <w:sz w:val="22"/>
          <w:szCs w:val="22"/>
          <w:highlight w:val="none"/>
        </w:rPr>
        <w:t>以上工作内容的费用均包含在投标</w:t>
      </w:r>
      <w:r>
        <w:rPr>
          <w:rFonts w:hint="eastAsia" w:hAnsi="宋体"/>
          <w:color w:val="auto"/>
          <w:sz w:val="22"/>
          <w:szCs w:val="22"/>
          <w:highlight w:val="none"/>
          <w:lang w:eastAsia="zh-CN"/>
        </w:rPr>
        <w:t>报价</w:t>
      </w:r>
      <w:r>
        <w:rPr>
          <w:rFonts w:hint="eastAsia" w:hAnsi="宋体"/>
          <w:color w:val="auto"/>
          <w:sz w:val="22"/>
          <w:szCs w:val="22"/>
          <w:highlight w:val="none"/>
        </w:rPr>
        <w:t>中。</w:t>
      </w:r>
    </w:p>
    <w:p w14:paraId="07368235">
      <w:pPr>
        <w:rPr>
          <w:color w:val="auto"/>
          <w:highlight w:val="none"/>
        </w:rPr>
      </w:pPr>
    </w:p>
    <w:p w14:paraId="5D24467E">
      <w:pPr>
        <w:jc w:val="center"/>
        <w:rPr>
          <w:rFonts w:hint="eastAsia" w:ascii="宋体" w:hAnsi="宋体"/>
          <w:b/>
          <w:bCs/>
          <w:color w:val="auto"/>
          <w:sz w:val="32"/>
          <w:szCs w:val="40"/>
          <w:highlight w:val="none"/>
          <w:lang w:val="zh-CN"/>
        </w:rPr>
      </w:pPr>
    </w:p>
    <w:p w14:paraId="1FE396C4">
      <w:pPr>
        <w:jc w:val="center"/>
        <w:rPr>
          <w:rFonts w:hint="eastAsia" w:ascii="宋体" w:hAnsi="宋体"/>
          <w:b/>
          <w:bCs/>
          <w:color w:val="auto"/>
          <w:sz w:val="32"/>
          <w:szCs w:val="40"/>
          <w:highlight w:val="none"/>
          <w:lang w:val="zh-CN"/>
        </w:rPr>
      </w:pPr>
    </w:p>
    <w:p w14:paraId="6780CC95">
      <w:pPr>
        <w:jc w:val="center"/>
        <w:rPr>
          <w:rFonts w:hint="eastAsia" w:ascii="宋体" w:hAnsi="宋体"/>
          <w:b/>
          <w:bCs/>
          <w:color w:val="auto"/>
          <w:sz w:val="32"/>
          <w:szCs w:val="40"/>
          <w:highlight w:val="none"/>
          <w:lang w:val="zh-CN"/>
        </w:rPr>
      </w:pPr>
    </w:p>
    <w:p w14:paraId="5621290F">
      <w:pPr>
        <w:jc w:val="center"/>
        <w:rPr>
          <w:rFonts w:hint="eastAsia" w:ascii="宋体" w:hAnsi="宋体"/>
          <w:b/>
          <w:bCs/>
          <w:color w:val="auto"/>
          <w:sz w:val="32"/>
          <w:szCs w:val="40"/>
          <w:highlight w:val="none"/>
          <w:lang w:val="zh-CN"/>
        </w:rPr>
      </w:pPr>
    </w:p>
    <w:p w14:paraId="1A77B950">
      <w:pPr>
        <w:jc w:val="center"/>
        <w:rPr>
          <w:rFonts w:hint="eastAsia" w:ascii="宋体" w:hAnsi="宋体"/>
          <w:b/>
          <w:bCs/>
          <w:color w:val="auto"/>
          <w:sz w:val="32"/>
          <w:szCs w:val="40"/>
          <w:highlight w:val="none"/>
          <w:lang w:val="zh-CN"/>
        </w:rPr>
      </w:pPr>
    </w:p>
    <w:p w14:paraId="7DA998C7">
      <w:pPr>
        <w:jc w:val="center"/>
        <w:rPr>
          <w:rFonts w:hint="eastAsia" w:ascii="宋体" w:hAnsi="宋体"/>
          <w:b/>
          <w:bCs/>
          <w:color w:val="auto"/>
          <w:sz w:val="32"/>
          <w:szCs w:val="40"/>
          <w:highlight w:val="none"/>
          <w:lang w:val="zh-CN"/>
        </w:rPr>
      </w:pPr>
    </w:p>
    <w:p w14:paraId="3883951C">
      <w:pPr>
        <w:jc w:val="center"/>
        <w:rPr>
          <w:rFonts w:hint="eastAsia" w:ascii="宋体" w:hAnsi="宋体"/>
          <w:b/>
          <w:bCs/>
          <w:color w:val="auto"/>
          <w:sz w:val="32"/>
          <w:szCs w:val="40"/>
          <w:highlight w:val="none"/>
          <w:lang w:val="zh-CN"/>
        </w:rPr>
      </w:pPr>
    </w:p>
    <w:p w14:paraId="4851205A">
      <w:pPr>
        <w:jc w:val="center"/>
        <w:rPr>
          <w:rFonts w:hint="eastAsia" w:ascii="宋体" w:hAnsi="宋体"/>
          <w:b/>
          <w:bCs/>
          <w:color w:val="auto"/>
          <w:sz w:val="32"/>
          <w:szCs w:val="40"/>
          <w:highlight w:val="none"/>
          <w:lang w:val="zh-CN"/>
        </w:rPr>
      </w:pPr>
    </w:p>
    <w:p w14:paraId="00AAFA65">
      <w:pPr>
        <w:jc w:val="center"/>
        <w:rPr>
          <w:rFonts w:hint="eastAsia" w:ascii="宋体" w:hAnsi="宋体"/>
          <w:b/>
          <w:bCs/>
          <w:color w:val="auto"/>
          <w:sz w:val="32"/>
          <w:szCs w:val="40"/>
          <w:highlight w:val="none"/>
          <w:lang w:val="zh-CN"/>
        </w:rPr>
      </w:pPr>
    </w:p>
    <w:p w14:paraId="1EBD64C9">
      <w:pPr>
        <w:jc w:val="center"/>
        <w:rPr>
          <w:rFonts w:hint="eastAsia" w:ascii="宋体" w:hAnsi="宋体"/>
          <w:b/>
          <w:bCs/>
          <w:color w:val="auto"/>
          <w:sz w:val="32"/>
          <w:szCs w:val="40"/>
          <w:highlight w:val="none"/>
          <w:lang w:val="zh-CN"/>
        </w:rPr>
      </w:pPr>
    </w:p>
    <w:p w14:paraId="362C4DAD">
      <w:pPr>
        <w:jc w:val="center"/>
        <w:rPr>
          <w:rFonts w:hint="eastAsia" w:ascii="宋体" w:hAnsi="宋体"/>
          <w:b/>
          <w:bCs/>
          <w:color w:val="auto"/>
          <w:sz w:val="32"/>
          <w:szCs w:val="40"/>
          <w:highlight w:val="none"/>
          <w:lang w:val="zh-CN"/>
        </w:rPr>
      </w:pPr>
    </w:p>
    <w:p w14:paraId="775DEDD8">
      <w:pPr>
        <w:jc w:val="center"/>
        <w:rPr>
          <w:rFonts w:hint="eastAsia" w:ascii="宋体" w:hAnsi="宋体"/>
          <w:b/>
          <w:bCs/>
          <w:color w:val="auto"/>
          <w:sz w:val="32"/>
          <w:szCs w:val="40"/>
          <w:highlight w:val="none"/>
          <w:lang w:val="zh-CN"/>
        </w:rPr>
      </w:pPr>
    </w:p>
    <w:p w14:paraId="76275AF5">
      <w:pPr>
        <w:jc w:val="center"/>
        <w:rPr>
          <w:rFonts w:hint="eastAsia" w:ascii="宋体" w:hAnsi="宋体"/>
          <w:b/>
          <w:bCs/>
          <w:color w:val="auto"/>
          <w:sz w:val="32"/>
          <w:szCs w:val="40"/>
          <w:highlight w:val="none"/>
          <w:lang w:val="zh-CN"/>
        </w:rPr>
      </w:pPr>
    </w:p>
    <w:p w14:paraId="118C6510">
      <w:pPr>
        <w:jc w:val="center"/>
        <w:rPr>
          <w:rFonts w:hint="eastAsia" w:ascii="宋体" w:hAnsi="宋体"/>
          <w:b/>
          <w:bCs/>
          <w:color w:val="auto"/>
          <w:sz w:val="32"/>
          <w:szCs w:val="40"/>
          <w:highlight w:val="none"/>
          <w:lang w:val="zh-CN"/>
        </w:rPr>
      </w:pPr>
    </w:p>
    <w:p w14:paraId="6F5F147C">
      <w:pPr>
        <w:jc w:val="center"/>
        <w:rPr>
          <w:rFonts w:hint="eastAsia" w:ascii="宋体" w:hAnsi="宋体"/>
          <w:b/>
          <w:bCs/>
          <w:color w:val="auto"/>
          <w:sz w:val="32"/>
          <w:szCs w:val="40"/>
          <w:highlight w:val="none"/>
          <w:lang w:val="zh-CN"/>
        </w:rPr>
      </w:pPr>
    </w:p>
    <w:p w14:paraId="439A2554">
      <w:pPr>
        <w:jc w:val="center"/>
        <w:rPr>
          <w:rFonts w:hint="eastAsia" w:ascii="宋体" w:hAnsi="宋体"/>
          <w:b/>
          <w:bCs/>
          <w:color w:val="auto"/>
          <w:sz w:val="32"/>
          <w:szCs w:val="40"/>
          <w:highlight w:val="none"/>
          <w:lang w:val="zh-CN"/>
        </w:rPr>
      </w:pPr>
    </w:p>
    <w:p w14:paraId="5DCA0017">
      <w:pPr>
        <w:jc w:val="center"/>
        <w:rPr>
          <w:rFonts w:hint="eastAsia" w:ascii="宋体" w:hAnsi="宋体"/>
          <w:b/>
          <w:bCs/>
          <w:color w:val="auto"/>
          <w:sz w:val="32"/>
          <w:szCs w:val="40"/>
          <w:highlight w:val="none"/>
          <w:lang w:val="zh-CN"/>
        </w:rPr>
      </w:pPr>
    </w:p>
    <w:p w14:paraId="10B6ED29">
      <w:pPr>
        <w:jc w:val="center"/>
        <w:rPr>
          <w:rFonts w:hint="eastAsia" w:ascii="宋体" w:hAnsi="宋体"/>
          <w:b/>
          <w:bCs/>
          <w:color w:val="auto"/>
          <w:sz w:val="32"/>
          <w:szCs w:val="40"/>
          <w:highlight w:val="none"/>
          <w:lang w:val="zh-CN"/>
        </w:rPr>
      </w:pPr>
    </w:p>
    <w:p w14:paraId="0E429820">
      <w:pPr>
        <w:jc w:val="center"/>
        <w:rPr>
          <w:rFonts w:hint="eastAsia" w:ascii="宋体" w:hAnsi="宋体"/>
          <w:b/>
          <w:bCs/>
          <w:color w:val="auto"/>
          <w:sz w:val="32"/>
          <w:szCs w:val="40"/>
          <w:highlight w:val="none"/>
          <w:lang w:val="zh-CN"/>
        </w:rPr>
      </w:pPr>
    </w:p>
    <w:p w14:paraId="295BA4D5">
      <w:pPr>
        <w:jc w:val="center"/>
        <w:rPr>
          <w:rFonts w:hint="eastAsia" w:ascii="宋体" w:hAnsi="宋体"/>
          <w:b/>
          <w:bCs/>
          <w:color w:val="auto"/>
          <w:sz w:val="32"/>
          <w:szCs w:val="40"/>
          <w:highlight w:val="none"/>
          <w:lang w:val="zh-CN"/>
        </w:rPr>
      </w:pPr>
    </w:p>
    <w:p w14:paraId="7ED59085">
      <w:pPr>
        <w:jc w:val="center"/>
        <w:rPr>
          <w:rFonts w:hint="eastAsia" w:ascii="宋体" w:hAnsi="宋体"/>
          <w:b/>
          <w:bCs/>
          <w:color w:val="auto"/>
          <w:sz w:val="32"/>
          <w:szCs w:val="40"/>
          <w:highlight w:val="none"/>
          <w:lang w:val="zh-CN"/>
        </w:rPr>
      </w:pPr>
    </w:p>
    <w:p w14:paraId="5BDFB889">
      <w:pPr>
        <w:jc w:val="center"/>
        <w:rPr>
          <w:rFonts w:hint="eastAsia" w:ascii="宋体" w:hAnsi="宋体"/>
          <w:b/>
          <w:bCs/>
          <w:color w:val="auto"/>
          <w:sz w:val="32"/>
          <w:szCs w:val="40"/>
          <w:highlight w:val="none"/>
          <w:lang w:val="zh-CN"/>
        </w:rPr>
      </w:pPr>
    </w:p>
    <w:p w14:paraId="205C0EF7">
      <w:pPr>
        <w:jc w:val="center"/>
        <w:rPr>
          <w:rFonts w:hint="eastAsia" w:ascii="宋体" w:hAnsi="宋体"/>
          <w:b/>
          <w:bCs/>
          <w:color w:val="auto"/>
          <w:sz w:val="32"/>
          <w:szCs w:val="40"/>
          <w:highlight w:val="none"/>
          <w:lang w:val="zh-CN"/>
        </w:rPr>
      </w:pPr>
      <w:r>
        <w:rPr>
          <w:rFonts w:hint="eastAsia" w:ascii="宋体" w:hAnsi="宋体"/>
          <w:b/>
          <w:bCs/>
          <w:color w:val="auto"/>
          <w:sz w:val="32"/>
          <w:szCs w:val="40"/>
          <w:highlight w:val="none"/>
          <w:lang w:val="zh-CN"/>
        </w:rPr>
        <w:t>第三部分</w:t>
      </w:r>
      <w:r>
        <w:rPr>
          <w:rFonts w:hint="eastAsia" w:ascii="宋体" w:hAnsi="宋体"/>
          <w:b/>
          <w:bCs/>
          <w:color w:val="auto"/>
          <w:sz w:val="32"/>
          <w:szCs w:val="40"/>
          <w:highlight w:val="none"/>
        </w:rPr>
        <w:t xml:space="preserve"> </w:t>
      </w:r>
      <w:r>
        <w:rPr>
          <w:rFonts w:hint="eastAsia" w:ascii="宋体" w:hAnsi="宋体"/>
          <w:b/>
          <w:bCs/>
          <w:color w:val="auto"/>
          <w:sz w:val="32"/>
          <w:szCs w:val="40"/>
          <w:highlight w:val="none"/>
          <w:lang w:val="zh-CN"/>
        </w:rPr>
        <w:t>供应商须知</w:t>
      </w:r>
    </w:p>
    <w:p w14:paraId="15704927">
      <w:pPr>
        <w:autoSpaceDE w:val="0"/>
        <w:autoSpaceDN w:val="0"/>
        <w:snapToGrid w:val="0"/>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一、说明</w:t>
      </w:r>
    </w:p>
    <w:p w14:paraId="09EB7074">
      <w:pPr>
        <w:widowControl/>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1</w:t>
      </w:r>
      <w:r>
        <w:rPr>
          <w:rFonts w:hint="eastAsia" w:ascii="宋体" w:hAnsi="宋体" w:eastAsia="宋体"/>
          <w:color w:val="auto"/>
          <w:sz w:val="22"/>
          <w:szCs w:val="22"/>
          <w:highlight w:val="none"/>
        </w:rPr>
        <w:t>、无论投标过程中的作法和结果如何，供应商自行承担投标活动中所发生的全部费用。</w:t>
      </w:r>
    </w:p>
    <w:p w14:paraId="756D902C">
      <w:pPr>
        <w:autoSpaceDE w:val="0"/>
        <w:autoSpaceDN w:val="0"/>
        <w:snapToGrid w:val="0"/>
        <w:spacing w:line="460" w:lineRule="exact"/>
        <w:ind w:firstLine="431" w:firstLineChars="196"/>
        <w:jc w:val="left"/>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w:t>
      </w:r>
      <w:r>
        <w:rPr>
          <w:rFonts w:hint="eastAsia" w:ascii="宋体" w:hAnsi="宋体" w:eastAsia="宋体"/>
          <w:b/>
          <w:color w:val="auto"/>
          <w:sz w:val="22"/>
          <w:szCs w:val="22"/>
          <w:highlight w:val="none"/>
          <w:u w:val="single"/>
        </w:rPr>
        <w:t>供应商须对全部内容进行投标。</w:t>
      </w:r>
    </w:p>
    <w:p w14:paraId="13F27079">
      <w:pPr>
        <w:autoSpaceDE w:val="0"/>
        <w:autoSpaceDN w:val="0"/>
        <w:snapToGrid w:val="0"/>
        <w:spacing w:line="460" w:lineRule="exact"/>
        <w:ind w:firstLine="446" w:firstLineChars="203"/>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w:t>
      </w:r>
      <w:r>
        <w:rPr>
          <w:rFonts w:hint="eastAsia" w:ascii="宋体" w:hAnsi="宋体" w:eastAsia="宋体"/>
          <w:color w:val="auto"/>
          <w:sz w:val="22"/>
          <w:szCs w:val="22"/>
          <w:highlight w:val="none"/>
        </w:rPr>
        <w:t>、</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2712BD98">
      <w:pPr>
        <w:autoSpaceDE w:val="0"/>
        <w:autoSpaceDN w:val="0"/>
        <w:snapToGrid w:val="0"/>
        <w:spacing w:line="400" w:lineRule="exact"/>
        <w:ind w:firstLine="420" w:firstLineChars="190"/>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4</w:t>
      </w:r>
      <w:r>
        <w:rPr>
          <w:rFonts w:hint="eastAsia" w:ascii="宋体" w:hAnsi="宋体" w:eastAsia="宋体"/>
          <w:b/>
          <w:color w:val="auto"/>
          <w:sz w:val="22"/>
          <w:szCs w:val="22"/>
          <w:highlight w:val="none"/>
        </w:rPr>
        <w:t>、</w:t>
      </w:r>
      <w:r>
        <w:rPr>
          <w:rFonts w:hint="eastAsia" w:ascii="宋体" w:hAnsi="宋体" w:eastAsia="宋体"/>
          <w:b/>
          <w:color w:val="auto"/>
          <w:sz w:val="22"/>
          <w:szCs w:val="22"/>
          <w:highlight w:val="none"/>
          <w:u w:val="single"/>
        </w:rPr>
        <w:t>本项目</w:t>
      </w:r>
      <w:r>
        <w:rPr>
          <w:rFonts w:hint="eastAsia" w:ascii="宋体" w:hAnsi="宋体"/>
          <w:b/>
          <w:color w:val="auto"/>
          <w:sz w:val="22"/>
          <w:szCs w:val="22"/>
          <w:highlight w:val="none"/>
          <w:u w:val="single"/>
          <w:lang w:val="en-US" w:eastAsia="zh-CN"/>
        </w:rPr>
        <w:t>采用包干方式</w:t>
      </w:r>
      <w:r>
        <w:rPr>
          <w:rFonts w:hint="eastAsia" w:ascii="宋体" w:hAnsi="宋体" w:eastAsia="宋体"/>
          <w:b/>
          <w:color w:val="auto"/>
          <w:sz w:val="22"/>
          <w:szCs w:val="22"/>
          <w:highlight w:val="none"/>
        </w:rPr>
        <w:t>。供应商须自行现场勘察，以求得准确的报价依据。供应商须自行考虑投标报价的风险。</w:t>
      </w:r>
    </w:p>
    <w:p w14:paraId="3B33F8DB">
      <w:pPr>
        <w:pStyle w:val="34"/>
        <w:snapToGrid w:val="0"/>
        <w:spacing w:line="460" w:lineRule="exact"/>
        <w:ind w:firstLine="442"/>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5</w:t>
      </w:r>
      <w:r>
        <w:rPr>
          <w:rFonts w:hint="eastAsia" w:ascii="宋体" w:hAnsi="宋体" w:eastAsia="宋体"/>
          <w:b/>
          <w:color w:val="auto"/>
          <w:sz w:val="22"/>
          <w:szCs w:val="22"/>
          <w:highlight w:val="none"/>
          <w:lang w:val="zh-CN"/>
        </w:rPr>
        <w:t>、</w:t>
      </w:r>
      <w:r>
        <w:rPr>
          <w:rFonts w:hint="eastAsia" w:ascii="宋体" w:hAnsi="宋体" w:eastAsia="宋体"/>
          <w:b/>
          <w:color w:val="auto"/>
          <w:sz w:val="22"/>
          <w:szCs w:val="22"/>
          <w:highlight w:val="none"/>
          <w:u w:val="single"/>
        </w:rPr>
        <w:t>供应商企业不是独立法人的，按浙财采监[2013]24号文件执行。</w:t>
      </w:r>
    </w:p>
    <w:p w14:paraId="30470A41">
      <w:pPr>
        <w:snapToGrid w:val="0"/>
        <w:spacing w:line="400" w:lineRule="exact"/>
        <w:ind w:firstLine="420" w:firstLineChars="190"/>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3B3EFC14">
      <w:pPr>
        <w:widowControl/>
        <w:snapToGrid w:val="0"/>
        <w:spacing w:line="440" w:lineRule="exact"/>
        <w:ind w:firstLine="420" w:firstLineChars="190"/>
        <w:jc w:val="left"/>
        <w:rPr>
          <w:rFonts w:hint="eastAsia" w:ascii="宋体" w:hAnsi="宋体" w:eastAsia="宋体" w:cs="Times New Roman"/>
          <w:b/>
          <w:color w:val="auto"/>
          <w:sz w:val="22"/>
          <w:szCs w:val="22"/>
          <w:highlight w:val="none"/>
          <w:u w:val="single"/>
        </w:rPr>
      </w:pPr>
      <w:r>
        <w:rPr>
          <w:rFonts w:hint="eastAsia" w:ascii="宋体" w:hAnsi="宋体" w:eastAsia="宋体"/>
          <w:b/>
          <w:color w:val="auto"/>
          <w:sz w:val="22"/>
          <w:szCs w:val="22"/>
          <w:highlight w:val="none"/>
          <w:u w:val="single"/>
        </w:rPr>
        <w:t>▲</w:t>
      </w:r>
      <w:r>
        <w:rPr>
          <w:rFonts w:hint="eastAsia" w:ascii="宋体" w:hAnsi="宋体"/>
          <w:b/>
          <w:color w:val="auto"/>
          <w:sz w:val="22"/>
          <w:szCs w:val="22"/>
          <w:highlight w:val="none"/>
          <w:u w:val="single"/>
          <w:lang w:val="en-US" w:eastAsia="zh-CN"/>
        </w:rPr>
        <w:t>6</w:t>
      </w:r>
      <w:r>
        <w:rPr>
          <w:rFonts w:hint="eastAsia" w:ascii="宋体" w:hAnsi="宋体" w:eastAsia="宋体" w:cs="Times New Roman"/>
          <w:b/>
          <w:color w:val="auto"/>
          <w:sz w:val="22"/>
          <w:szCs w:val="22"/>
          <w:highlight w:val="none"/>
          <w:u w:val="single"/>
        </w:rPr>
        <w:t>、</w:t>
      </w:r>
      <w:r>
        <w:rPr>
          <w:rFonts w:hint="eastAsia" w:ascii="宋体" w:hAnsi="宋体" w:eastAsia="宋体" w:cs="宋体"/>
          <w:b/>
          <w:color w:val="auto"/>
          <w:sz w:val="22"/>
          <w:szCs w:val="22"/>
          <w:highlight w:val="none"/>
          <w:u w:val="single"/>
          <w:lang w:eastAsia="zh-CN"/>
        </w:rPr>
        <w:t>本项目采用统一折扣率报价，</w:t>
      </w:r>
      <w:r>
        <w:rPr>
          <w:rFonts w:hint="eastAsia" w:ascii="宋体" w:hAnsi="宋体" w:eastAsia="宋体" w:cs="Times New Roman"/>
          <w:b/>
          <w:color w:val="auto"/>
          <w:sz w:val="22"/>
          <w:szCs w:val="22"/>
          <w:highlight w:val="none"/>
          <w:u w:val="single"/>
        </w:rPr>
        <w:t>如果仅仅某个（些）供应商的报价超出采购</w:t>
      </w:r>
      <w:r>
        <w:rPr>
          <w:rFonts w:hint="eastAsia" w:ascii="宋体" w:hAnsi="宋体" w:cs="Times New Roman"/>
          <w:b/>
          <w:color w:val="auto"/>
          <w:sz w:val="22"/>
          <w:szCs w:val="22"/>
          <w:highlight w:val="none"/>
          <w:u w:val="single"/>
          <w:lang w:val="en-US" w:eastAsia="zh-CN"/>
        </w:rPr>
        <w:t>预算金额</w:t>
      </w:r>
      <w:r>
        <w:rPr>
          <w:rFonts w:hint="eastAsia" w:ascii="宋体" w:hAnsi="宋体" w:eastAsia="宋体" w:cs="Times New Roman"/>
          <w:b/>
          <w:color w:val="auto"/>
          <w:sz w:val="22"/>
          <w:szCs w:val="22"/>
          <w:highlight w:val="none"/>
          <w:u w:val="single"/>
        </w:rPr>
        <w:t>的，则拒绝接受其报价，按无效报价处理。</w:t>
      </w:r>
    </w:p>
    <w:p w14:paraId="6C50B8E1">
      <w:pPr>
        <w:widowControl/>
        <w:snapToGrid w:val="0"/>
        <w:spacing w:line="44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7</w:t>
      </w:r>
      <w:r>
        <w:rPr>
          <w:rFonts w:hint="eastAsia" w:ascii="宋体" w:hAnsi="宋体" w:eastAsia="宋体"/>
          <w:b/>
          <w:color w:val="auto"/>
          <w:sz w:val="22"/>
          <w:szCs w:val="22"/>
          <w:highlight w:val="none"/>
        </w:rPr>
        <w:t>、本次招标采用资格后审，供应商只需在网上下载招标文件，不接受现场报名。</w:t>
      </w:r>
    </w:p>
    <w:p w14:paraId="238C8BEB">
      <w:pPr>
        <w:pStyle w:val="71"/>
        <w:spacing w:line="440" w:lineRule="exact"/>
        <w:ind w:left="0" w:leftChars="0" w:firstLine="442"/>
        <w:rPr>
          <w:rFonts w:hint="eastAsia" w:ascii="宋体" w:hAnsi="宋体" w:eastAsia="宋体"/>
          <w:b/>
          <w:color w:val="auto"/>
          <w:sz w:val="22"/>
          <w:szCs w:val="22"/>
          <w:highlight w:val="none"/>
          <w:u w:val="single"/>
          <w:lang w:val="zh-CN"/>
        </w:rPr>
      </w:pPr>
      <w:r>
        <w:rPr>
          <w:rFonts w:hint="eastAsia" w:ascii="宋体" w:hAnsi="宋体"/>
          <w:b/>
          <w:color w:val="auto"/>
          <w:sz w:val="22"/>
          <w:szCs w:val="22"/>
          <w:highlight w:val="none"/>
          <w:u w:val="single"/>
          <w:lang w:val="en-US" w:eastAsia="zh-CN"/>
        </w:rPr>
        <w:t>8</w:t>
      </w:r>
      <w:r>
        <w:rPr>
          <w:rFonts w:hint="eastAsia" w:ascii="宋体" w:hAnsi="宋体" w:eastAsia="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14:paraId="3D52D8C6">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9、知识产权</w:t>
      </w:r>
    </w:p>
    <w:p w14:paraId="74D2AFE5">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9.1供应商应保证，采购人在中华人民共和国使用货物和服务的任何一部分时，免受第三方提出侵犯其专利权、商标权或其它知识产权的起诉。</w:t>
      </w:r>
    </w:p>
    <w:p w14:paraId="14CF0AD9">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9.2 投标供应商应对采购人在使用该产品时所涉及到的专利权负责，不损害采购人的利益。</w:t>
      </w:r>
    </w:p>
    <w:p w14:paraId="3555CFCE">
      <w:pPr>
        <w:widowControl/>
        <w:snapToGrid w:val="0"/>
        <w:spacing w:line="440" w:lineRule="exact"/>
        <w:ind w:firstLine="420" w:firstLineChars="190"/>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9.3投标报价应包括所有应支付的对专利权和版权、设计或其他知识产权而需要向其他方支付的版税。</w:t>
      </w:r>
    </w:p>
    <w:p w14:paraId="1D508599">
      <w:pPr>
        <w:widowControl/>
        <w:snapToGrid w:val="0"/>
        <w:spacing w:line="440" w:lineRule="exact"/>
        <w:ind w:firstLine="420" w:firstLineChars="190"/>
        <w:jc w:val="left"/>
        <w:rPr>
          <w:rFonts w:hint="eastAsia" w:ascii="宋体" w:hAnsi="宋体" w:eastAsia="宋体"/>
          <w:b/>
          <w:color w:val="auto"/>
          <w:sz w:val="22"/>
          <w:szCs w:val="22"/>
          <w:highlight w:val="none"/>
          <w:u w:val="single"/>
          <w:lang w:val="en-US" w:eastAsia="zh-CN"/>
        </w:rPr>
      </w:pPr>
      <w:r>
        <w:rPr>
          <w:rFonts w:hint="eastAsia" w:ascii="宋体" w:hAnsi="宋体" w:cs="宋体"/>
          <w:b/>
          <w:color w:val="auto"/>
          <w:sz w:val="22"/>
          <w:szCs w:val="22"/>
          <w:highlight w:val="none"/>
        </w:rPr>
        <w:t>9.4投标供应商提供的货物中如使用其他公司的相关专利，应在标书中出示相关授权，如未出示但使用了其他公司的专利，导致供应商中标而引起相关诉讼，由投标供应商承担。</w:t>
      </w:r>
    </w:p>
    <w:p w14:paraId="497163BA">
      <w:pPr>
        <w:widowControl/>
        <w:snapToGrid w:val="0"/>
        <w:spacing w:line="460" w:lineRule="exact"/>
        <w:ind w:firstLine="420" w:firstLineChars="190"/>
        <w:jc w:val="left"/>
        <w:rPr>
          <w:rFonts w:hint="eastAsia" w:ascii="宋体" w:hAnsi="宋体"/>
          <w:b/>
          <w:color w:val="auto"/>
          <w:sz w:val="22"/>
          <w:szCs w:val="22"/>
          <w:highlight w:val="none"/>
          <w:lang w:val="en-US" w:eastAsia="zh-CN"/>
        </w:rPr>
      </w:pPr>
      <w:r>
        <w:rPr>
          <w:rFonts w:hint="eastAsia" w:ascii="宋体" w:hAnsi="宋体"/>
          <w:b/>
          <w:color w:val="auto"/>
          <w:sz w:val="22"/>
          <w:szCs w:val="22"/>
          <w:highlight w:val="none"/>
          <w:lang w:val="en-US" w:eastAsia="zh-CN"/>
        </w:rPr>
        <w:t>10</w:t>
      </w:r>
      <w:r>
        <w:rPr>
          <w:rFonts w:hint="eastAsia" w:ascii="宋体" w:hAnsi="宋体" w:eastAsia="宋体"/>
          <w:b/>
          <w:color w:val="auto"/>
          <w:sz w:val="22"/>
          <w:szCs w:val="22"/>
          <w:highlight w:val="none"/>
          <w:lang w:val="zh-CN"/>
        </w:rPr>
        <w:t>、</w:t>
      </w:r>
      <w:r>
        <w:rPr>
          <w:rFonts w:hint="eastAsia" w:ascii="宋体" w:hAnsi="宋体"/>
          <w:b/>
          <w:color w:val="auto"/>
          <w:sz w:val="22"/>
          <w:szCs w:val="22"/>
          <w:highlight w:val="none"/>
          <w:lang w:val="zh-CN"/>
        </w:rPr>
        <w:t>投标供应商</w:t>
      </w:r>
      <w:r>
        <w:rPr>
          <w:rFonts w:hint="eastAsia" w:ascii="宋体" w:hAnsi="宋体" w:eastAsia="宋体"/>
          <w:b/>
          <w:color w:val="auto"/>
          <w:sz w:val="22"/>
          <w:szCs w:val="22"/>
          <w:highlight w:val="none"/>
          <w:lang w:val="zh-CN"/>
        </w:rPr>
        <w:t>信用信息查询渠道及截止时点、信用信息查询记录和证据留存的具体方式、信用信息的使用规则等：</w:t>
      </w:r>
    </w:p>
    <w:p w14:paraId="1AD7129D">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1）</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信用信息查询的查询渠道：“信用中国”(</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www.creditchina.gov.cn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)；“中国政府采购网</w:t>
      </w:r>
      <w:r>
        <w:rPr>
          <w:rFonts w:hint="eastAsia" w:ascii="宋体" w:hAnsi="宋体" w:eastAsia="宋体"/>
          <w:color w:val="auto"/>
          <w:sz w:val="22"/>
          <w:szCs w:val="22"/>
          <w:highlight w:val="none"/>
          <w:lang w:val="zh-CN"/>
        </w:rPr>
        <w:fldChar w:fldCharType="begin"/>
      </w:r>
      <w:r>
        <w:rPr>
          <w:rFonts w:hint="eastAsia" w:ascii="宋体" w:hAnsi="宋体" w:eastAsia="宋体"/>
          <w:color w:val="auto"/>
          <w:sz w:val="22"/>
          <w:szCs w:val="22"/>
          <w:highlight w:val="none"/>
          <w:lang w:val="zh-CN"/>
        </w:rPr>
        <w:instrText xml:space="preserve">HYPERLINK "http://www.ccgp.gov.cn/"</w:instrText>
      </w:r>
      <w:r>
        <w:rPr>
          <w:rFonts w:hint="eastAsia" w:ascii="宋体" w:hAnsi="宋体" w:eastAsia="宋体"/>
          <w:color w:val="auto"/>
          <w:sz w:val="22"/>
          <w:szCs w:val="22"/>
          <w:highlight w:val="none"/>
          <w:lang w:val="zh-CN"/>
        </w:rPr>
        <w:fldChar w:fldCharType="separate"/>
      </w:r>
      <w:r>
        <w:rPr>
          <w:rFonts w:hint="eastAsia" w:ascii="宋体" w:hAnsi="宋体" w:eastAsia="宋体"/>
          <w:color w:val="auto"/>
          <w:sz w:val="22"/>
          <w:szCs w:val="22"/>
          <w:highlight w:val="none"/>
          <w:lang w:val="zh-CN"/>
        </w:rPr>
        <w:t>http://www.ccgp.gov.cn/</w:t>
      </w:r>
      <w:r>
        <w:rPr>
          <w:rFonts w:hint="eastAsia" w:ascii="宋体" w:hAnsi="宋体" w:eastAsia="宋体"/>
          <w:color w:val="auto"/>
          <w:sz w:val="22"/>
          <w:szCs w:val="22"/>
          <w:highlight w:val="none"/>
          <w:lang w:val="zh-CN"/>
        </w:rPr>
        <w:fldChar w:fldCharType="end"/>
      </w:r>
      <w:r>
        <w:rPr>
          <w:rFonts w:hint="eastAsia" w:ascii="宋体" w:hAnsi="宋体" w:eastAsia="宋体"/>
          <w:color w:val="auto"/>
          <w:sz w:val="22"/>
          <w:szCs w:val="22"/>
          <w:highlight w:val="none"/>
          <w:lang w:val="zh-CN"/>
        </w:rPr>
        <w:t xml:space="preserve">）； </w:t>
      </w:r>
    </w:p>
    <w:p w14:paraId="70B46732">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2）</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 xml:space="preserve">信用信息查询截止时点：本项目投标截止时间； </w:t>
      </w:r>
    </w:p>
    <w:p w14:paraId="44AAE507">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lang w:val="zh-CN"/>
        </w:rPr>
        <w:t>3）</w:t>
      </w:r>
      <w:r>
        <w:rPr>
          <w:rFonts w:hint="eastAsia" w:ascii="宋体" w:hAnsi="宋体"/>
          <w:color w:val="auto"/>
          <w:sz w:val="22"/>
          <w:szCs w:val="22"/>
          <w:highlight w:val="none"/>
          <w:lang w:val="zh-CN"/>
        </w:rPr>
        <w:t>投标供应商</w:t>
      </w:r>
      <w:r>
        <w:rPr>
          <w:rFonts w:hint="eastAsia" w:ascii="宋体" w:hAnsi="宋体" w:eastAsia="宋体"/>
          <w:color w:val="auto"/>
          <w:sz w:val="22"/>
          <w:szCs w:val="22"/>
          <w:highlight w:val="none"/>
          <w:lang w:val="zh-CN"/>
        </w:rPr>
        <w:t>信用信息查询记录和证据留存的具体方式：网页截图打印；</w:t>
      </w:r>
    </w:p>
    <w:p w14:paraId="2AD21B99">
      <w:pPr>
        <w:widowControl/>
        <w:snapToGrid w:val="0"/>
        <w:spacing w:line="480" w:lineRule="exact"/>
        <w:ind w:firstLine="440" w:firstLineChars="200"/>
        <w:jc w:val="left"/>
        <w:rPr>
          <w:rFonts w:hint="eastAsia" w:ascii="宋体" w:hAnsi="宋体" w:eastAsia="宋体"/>
          <w:color w:val="auto"/>
          <w:sz w:val="22"/>
          <w:szCs w:val="22"/>
          <w:highlight w:val="none"/>
          <w:lang w:val="zh-CN"/>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14:paraId="1EA0D313">
      <w:pPr>
        <w:autoSpaceDE w:val="0"/>
        <w:autoSpaceDN w:val="0"/>
        <w:snapToGrid w:val="0"/>
        <w:spacing w:line="460" w:lineRule="exact"/>
        <w:ind w:firstLine="433" w:firstLineChars="196"/>
        <w:rPr>
          <w:rFonts w:hint="eastAsia"/>
          <w:b/>
          <w:color w:val="auto"/>
          <w:sz w:val="22"/>
          <w:szCs w:val="22"/>
          <w:highlight w:val="none"/>
          <w:lang w:val="en-US" w:eastAsia="zh-CN"/>
        </w:rPr>
      </w:pPr>
      <w:r>
        <w:rPr>
          <w:rFonts w:hint="eastAsia"/>
          <w:b/>
          <w:color w:val="auto"/>
          <w:sz w:val="22"/>
          <w:szCs w:val="22"/>
          <w:highlight w:val="none"/>
          <w:lang w:val="en-US" w:eastAsia="zh-CN"/>
        </w:rPr>
        <w:t>11</w:t>
      </w:r>
      <w:r>
        <w:rPr>
          <w:rFonts w:hint="eastAsia"/>
          <w:b/>
          <w:color w:val="auto"/>
          <w:sz w:val="22"/>
          <w:szCs w:val="22"/>
          <w:highlight w:val="none"/>
        </w:rPr>
        <w:t>、</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14:paraId="4E44B187">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12</w:t>
      </w:r>
      <w:r>
        <w:rPr>
          <w:rFonts w:hint="eastAsia"/>
          <w:b/>
          <w:color w:val="auto"/>
          <w:sz w:val="22"/>
          <w:szCs w:val="22"/>
          <w:highlight w:val="none"/>
        </w:rPr>
        <w:t>、</w:t>
      </w:r>
      <w:r>
        <w:rPr>
          <w:rFonts w:hint="eastAsia"/>
          <w:color w:val="auto"/>
          <w:sz w:val="22"/>
          <w:szCs w:val="22"/>
          <w:highlight w:val="none"/>
        </w:rPr>
        <w:t>本项目采用在线投标响应方式，执行《浙江省财政厅关于印发浙江省政府采购项目电子交易管理暂行办法的通知》（浙财采监〔</w:t>
      </w:r>
      <w:r>
        <w:rPr>
          <w:color w:val="auto"/>
          <w:sz w:val="22"/>
          <w:szCs w:val="22"/>
          <w:highlight w:val="none"/>
        </w:rPr>
        <w:t>2019〕10 号）等相关规定</w:t>
      </w:r>
      <w:r>
        <w:rPr>
          <w:b/>
          <w:color w:val="auto"/>
          <w:sz w:val="22"/>
          <w:szCs w:val="22"/>
          <w:highlight w:val="none"/>
        </w:rPr>
        <w:t>。</w:t>
      </w:r>
    </w:p>
    <w:p w14:paraId="4C192C3D">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13</w:t>
      </w:r>
      <w:r>
        <w:rPr>
          <w:rFonts w:hint="eastAsia"/>
          <w:b/>
          <w:color w:val="auto"/>
          <w:sz w:val="22"/>
          <w:szCs w:val="22"/>
          <w:highlight w:val="none"/>
        </w:rPr>
        <w:t>、</w:t>
      </w:r>
      <w:r>
        <w:rPr>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14:paraId="1BB3602F">
      <w:pPr>
        <w:autoSpaceDE w:val="0"/>
        <w:autoSpaceDN w:val="0"/>
        <w:snapToGrid w:val="0"/>
        <w:spacing w:line="460" w:lineRule="exact"/>
        <w:ind w:firstLine="433" w:firstLineChars="196"/>
        <w:rPr>
          <w:rFonts w:hint="eastAsia"/>
          <w:b/>
          <w:color w:val="auto"/>
          <w:sz w:val="22"/>
          <w:szCs w:val="22"/>
          <w:highlight w:val="none"/>
          <w:u w:val="single"/>
          <w:lang w:val="en-US" w:eastAsia="zh-CN"/>
        </w:rPr>
      </w:pPr>
      <w:r>
        <w:rPr>
          <w:rFonts w:hint="eastAsia"/>
          <w:b/>
          <w:color w:val="auto"/>
          <w:sz w:val="22"/>
          <w:szCs w:val="22"/>
          <w:highlight w:val="none"/>
          <w:u w:val="single"/>
          <w:lang w:val="en-US" w:eastAsia="zh-CN"/>
        </w:rPr>
        <w:t>14</w:t>
      </w:r>
      <w:r>
        <w:rPr>
          <w:rFonts w:hint="eastAsia"/>
          <w:b/>
          <w:color w:val="auto"/>
          <w:sz w:val="22"/>
          <w:szCs w:val="22"/>
          <w:highlight w:val="none"/>
          <w:u w:val="single"/>
        </w:rPr>
        <w:t>、为保证供应商顺利投标，供应商须在投标截止日前自行登录浙江省政府采购网，查看是否有补充更正公告文件。如供应商未按补充更正公告文件进行投标的，责任自负。</w:t>
      </w:r>
    </w:p>
    <w:p w14:paraId="17003E84">
      <w:pPr>
        <w:autoSpaceDE w:val="0"/>
        <w:autoSpaceDN w:val="0"/>
        <w:snapToGrid w:val="0"/>
        <w:spacing w:line="440" w:lineRule="exact"/>
        <w:ind w:firstLine="422" w:firstLineChars="191"/>
        <w:rPr>
          <w:rFonts w:hint="eastAsia" w:ascii="Times New Roman" w:hAnsi="Times New Roman"/>
          <w:b/>
          <w:color w:val="auto"/>
          <w:sz w:val="22"/>
          <w:szCs w:val="22"/>
          <w:highlight w:val="none"/>
          <w:lang w:val="en-US" w:eastAsia="zh-CN"/>
        </w:rPr>
      </w:pPr>
      <w:r>
        <w:rPr>
          <w:rFonts w:hint="eastAsia" w:ascii="Times New Roman" w:hAnsi="Times New Roman"/>
          <w:b/>
          <w:color w:val="auto"/>
          <w:sz w:val="22"/>
          <w:szCs w:val="22"/>
          <w:highlight w:val="none"/>
          <w:lang w:val="en-US" w:eastAsia="zh-CN"/>
        </w:rPr>
        <w:t>1</w:t>
      </w:r>
      <w:r>
        <w:rPr>
          <w:rFonts w:hint="eastAsia"/>
          <w:b/>
          <w:color w:val="auto"/>
          <w:sz w:val="22"/>
          <w:szCs w:val="22"/>
          <w:highlight w:val="none"/>
          <w:lang w:val="en-US" w:eastAsia="zh-CN"/>
        </w:rPr>
        <w:t>5</w:t>
      </w:r>
      <w:r>
        <w:rPr>
          <w:rFonts w:hint="eastAsia" w:ascii="Times New Roman" w:hAnsi="Times New Roman" w:eastAsia="宋体"/>
          <w:b/>
          <w:color w:val="auto"/>
          <w:sz w:val="22"/>
          <w:szCs w:val="22"/>
          <w:highlight w:val="none"/>
          <w:lang w:val="en-US" w:eastAsia="zh-CN"/>
        </w:rPr>
        <w:t>、该项目若因不可抗力因素或政策性调整等情况，采购人有权终止项目。（合同未签订的，合同不予签订；</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合同已经签订但尚未履</w:t>
      </w:r>
      <w:r>
        <w:rPr>
          <w:rFonts w:hint="eastAsia" w:ascii="Times New Roman" w:hAnsi="Times New Roman" w:eastAsia="宋体"/>
          <w:b/>
          <w:color w:val="auto"/>
          <w:sz w:val="22"/>
          <w:szCs w:val="22"/>
          <w:highlight w:val="none"/>
          <w:lang w:val="zh-CN"/>
        </w:rPr>
        <w:t>行的</w:t>
      </w:r>
      <w:r>
        <w:rPr>
          <w:rFonts w:ascii="Times New Roman" w:hAnsi="Times New Roman" w:eastAsia="宋体"/>
          <w:b/>
          <w:color w:val="auto"/>
          <w:sz w:val="22"/>
          <w:szCs w:val="22"/>
          <w:highlight w:val="none"/>
          <w:lang w:val="zh-CN"/>
        </w:rPr>
        <w:t>，撤销合同</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zh-CN"/>
        </w:rPr>
        <w:t>采购</w:t>
      </w:r>
      <w:r>
        <w:rPr>
          <w:rFonts w:ascii="Times New Roman" w:hAnsi="Times New Roman" w:eastAsia="宋体"/>
          <w:b/>
          <w:color w:val="auto"/>
          <w:sz w:val="22"/>
          <w:szCs w:val="22"/>
          <w:highlight w:val="none"/>
          <w:lang w:val="zh-CN"/>
        </w:rPr>
        <w:t>合同已经履</w:t>
      </w:r>
      <w:r>
        <w:rPr>
          <w:rFonts w:hint="eastAsia" w:ascii="Times New Roman" w:hAnsi="Times New Roman" w:eastAsia="宋体"/>
          <w:b/>
          <w:color w:val="auto"/>
          <w:sz w:val="22"/>
          <w:szCs w:val="22"/>
          <w:highlight w:val="none"/>
          <w:lang w:val="zh-CN"/>
        </w:rPr>
        <w:t>行</w:t>
      </w:r>
      <w:r>
        <w:rPr>
          <w:rFonts w:ascii="Times New Roman" w:hAnsi="Times New Roman" w:eastAsia="宋体"/>
          <w:b/>
          <w:color w:val="auto"/>
          <w:sz w:val="22"/>
          <w:szCs w:val="22"/>
          <w:highlight w:val="none"/>
          <w:lang w:val="zh-CN"/>
        </w:rPr>
        <w:t>，</w:t>
      </w:r>
      <w:r>
        <w:rPr>
          <w:rFonts w:hint="eastAsia" w:ascii="Times New Roman" w:hAnsi="Times New Roman" w:eastAsia="宋体"/>
          <w:b/>
          <w:color w:val="auto"/>
          <w:sz w:val="22"/>
          <w:szCs w:val="22"/>
          <w:highlight w:val="none"/>
          <w:lang w:val="en-US" w:eastAsia="zh-CN"/>
        </w:rPr>
        <w:t>终止履约。采购人不承担</w:t>
      </w:r>
      <w:r>
        <w:rPr>
          <w:rFonts w:ascii="Times New Roman" w:hAnsi="Times New Roman" w:eastAsia="宋体"/>
          <w:b/>
          <w:color w:val="auto"/>
          <w:sz w:val="22"/>
          <w:szCs w:val="22"/>
          <w:highlight w:val="none"/>
          <w:lang w:val="zh-CN"/>
        </w:rPr>
        <w:t>赔偿责任</w:t>
      </w:r>
      <w:r>
        <w:rPr>
          <w:rFonts w:hint="eastAsia" w:ascii="Times New Roman" w:hAnsi="Times New Roman" w:eastAsia="宋体"/>
          <w:b/>
          <w:color w:val="auto"/>
          <w:sz w:val="22"/>
          <w:szCs w:val="22"/>
          <w:highlight w:val="none"/>
          <w:lang w:val="zh-CN" w:eastAsia="zh-CN"/>
        </w:rPr>
        <w:t>，</w:t>
      </w:r>
      <w:r>
        <w:rPr>
          <w:rFonts w:hint="eastAsia" w:ascii="Times New Roman" w:hAnsi="Times New Roman" w:eastAsia="宋体"/>
          <w:b/>
          <w:color w:val="auto"/>
          <w:sz w:val="22"/>
          <w:szCs w:val="22"/>
          <w:highlight w:val="none"/>
          <w:lang w:val="en-US" w:eastAsia="zh-CN"/>
        </w:rPr>
        <w:t>由供应商自行考虑投标、应标风险。）</w:t>
      </w:r>
    </w:p>
    <w:p w14:paraId="68FFFD71">
      <w:pPr>
        <w:autoSpaceDE w:val="0"/>
        <w:autoSpaceDN w:val="0"/>
        <w:snapToGrid w:val="0"/>
        <w:spacing w:line="46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14:paraId="4A13023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按招标公告要求</w:t>
      </w:r>
    </w:p>
    <w:p w14:paraId="42355D89">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三、招标文件</w:t>
      </w:r>
    </w:p>
    <w:p w14:paraId="5D17F9CA">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1、招标文件</w:t>
      </w:r>
    </w:p>
    <w:p w14:paraId="7E419293">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1.1招标文件的获取</w:t>
      </w:r>
    </w:p>
    <w:p w14:paraId="02C0EB20">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供应商在浙江省政府采购网站直接下载本项目招标文件。</w:t>
      </w:r>
    </w:p>
    <w:p w14:paraId="75C8B49E">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1.2招标文件约束力</w:t>
      </w:r>
    </w:p>
    <w:p w14:paraId="6F79528C">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14:paraId="02A7318C">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1.3招标文件的组成</w:t>
      </w:r>
    </w:p>
    <w:p w14:paraId="683C29F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招标文件由招标文件总目录所列内容及补充资料等组成。</w:t>
      </w:r>
    </w:p>
    <w:p w14:paraId="0315DCB0">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2、招标文件的澄清</w:t>
      </w:r>
    </w:p>
    <w:p w14:paraId="33DFE1C8">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供应商对招标文件如有疑点要求澄清，可用书面形式（包括信函、传真，下同）通知</w:t>
      </w:r>
      <w:r>
        <w:rPr>
          <w:rFonts w:hint="eastAsia" w:ascii="宋体" w:hAnsi="宋体"/>
          <w:color w:val="auto"/>
          <w:sz w:val="22"/>
          <w:szCs w:val="22"/>
          <w:highlight w:val="none"/>
          <w:u w:val="single"/>
        </w:rPr>
        <w:t>招标代理机构</w:t>
      </w:r>
      <w:r>
        <w:rPr>
          <w:rFonts w:hint="eastAsia" w:ascii="宋体" w:hAnsi="宋体"/>
          <w:color w:val="auto"/>
          <w:sz w:val="22"/>
          <w:szCs w:val="22"/>
          <w:highlight w:val="none"/>
        </w:rPr>
        <w:t>，但通知不得迟于规定的质疑时间前使招标代理机构收到，招标代理机构将采用用网上答疑形式予以答复。</w:t>
      </w:r>
    </w:p>
    <w:p w14:paraId="2579983B">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3、招标文件的修改</w:t>
      </w:r>
    </w:p>
    <w:p w14:paraId="3453C1A6">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3.1 在投标截止时间前，采购人有权修改招标文件，并在网上发布更正公告。补充文件作为招标文件的补充和组成部分，对所有供应商均有约束力。</w:t>
      </w:r>
    </w:p>
    <w:p w14:paraId="0320E849">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3.2 为使供应商有足够的时间按招标文件要求修正投标文件，采购人可</w:t>
      </w:r>
      <w:r>
        <w:rPr>
          <w:rFonts w:hint="eastAsia" w:ascii="宋体" w:hAnsi="宋体"/>
          <w:color w:val="auto"/>
          <w:sz w:val="22"/>
          <w:szCs w:val="22"/>
          <w:highlight w:val="none"/>
          <w:lang w:eastAsia="zh-CN"/>
        </w:rPr>
        <w:t>进行</w:t>
      </w:r>
      <w:r>
        <w:rPr>
          <w:rFonts w:hint="eastAsia" w:ascii="宋体" w:hAnsi="宋体"/>
          <w:color w:val="auto"/>
          <w:sz w:val="22"/>
          <w:szCs w:val="22"/>
          <w:highlight w:val="none"/>
        </w:rPr>
        <w:t>推迟投标截止时间和开标时间，并将此变更网上告知。</w:t>
      </w:r>
    </w:p>
    <w:p w14:paraId="419A4173">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四、投标文件</w:t>
      </w:r>
    </w:p>
    <w:p w14:paraId="7FE2D9FE">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1、投标文件</w:t>
      </w:r>
    </w:p>
    <w:p w14:paraId="68512575">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1.1</w:t>
      </w:r>
      <w:r>
        <w:rPr>
          <w:rFonts w:hint="eastAsia" w:ascii="宋体" w:hAnsi="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14:paraId="0E398326">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1.2</w:t>
      </w:r>
      <w:r>
        <w:rPr>
          <w:rFonts w:hint="eastAsia" w:ascii="宋体" w:hAnsi="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3BF4195C">
      <w:pPr>
        <w:autoSpaceDE w:val="0"/>
        <w:autoSpaceDN w:val="0"/>
        <w:snapToGrid w:val="0"/>
        <w:spacing w:line="420" w:lineRule="exact"/>
        <w:ind w:firstLine="431" w:firstLineChars="196"/>
        <w:rPr>
          <w:rFonts w:hint="eastAsia" w:ascii="宋体" w:hAnsi="宋体"/>
          <w:color w:val="auto"/>
          <w:sz w:val="22"/>
          <w:szCs w:val="22"/>
          <w:highlight w:val="none"/>
          <w:lang w:val="zh-CN"/>
        </w:rPr>
      </w:pPr>
      <w:r>
        <w:rPr>
          <w:rFonts w:hint="eastAsia" w:ascii="宋体" w:hAnsi="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14:paraId="5DAEE471">
      <w:pPr>
        <w:autoSpaceDE w:val="0"/>
        <w:autoSpaceDN w:val="0"/>
        <w:snapToGrid w:val="0"/>
        <w:spacing w:line="360" w:lineRule="auto"/>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 xml:space="preserve">2、投标文件的组成 </w:t>
      </w:r>
    </w:p>
    <w:p w14:paraId="5FC2EA85">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 xml:space="preserve">2、投标文件的组成  </w:t>
      </w:r>
    </w:p>
    <w:p w14:paraId="5598D64F">
      <w:pPr>
        <w:autoSpaceDE w:val="0"/>
        <w:autoSpaceDN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14:paraId="218A66EA">
      <w:pP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2.1</w:t>
      </w:r>
      <w:r>
        <w:rPr>
          <w:rFonts w:hint="eastAsia"/>
          <w:b/>
          <w:color w:val="auto"/>
          <w:sz w:val="22"/>
          <w:szCs w:val="22"/>
          <w:highlight w:val="none"/>
          <w:u w:val="single"/>
        </w:rPr>
        <w:t>资格文件组成</w:t>
      </w:r>
    </w:p>
    <w:p w14:paraId="3AA2E9AB">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1）“资格文件”封面</w:t>
      </w:r>
    </w:p>
    <w:p w14:paraId="4AD26EF2">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2）供应商资格审查声明函</w:t>
      </w:r>
    </w:p>
    <w:p w14:paraId="125A29A7">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营业执照(或事业法人登记证书或其它工商等登记证明材料；自然人参与采购，提供身份证)复印件； </w:t>
      </w:r>
    </w:p>
    <w:p w14:paraId="1C3F0936">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w:t>
      </w:r>
      <w:r>
        <w:rPr>
          <w:rFonts w:hint="eastAsia" w:ascii="Times New Roman" w:hAnsi="Times New Roman" w:eastAsia="宋体"/>
          <w:color w:val="auto"/>
          <w:sz w:val="22"/>
          <w:szCs w:val="22"/>
          <w:highlight w:val="none"/>
        </w:rPr>
        <w:t>财产证明材料（在投标文件中提供相关材料），证明其具备实际承担责任的能力和法定的缔结合同能力，可以独立参加采购活动，由单位负责人签署相关文件材料；</w:t>
      </w:r>
    </w:p>
    <w:p w14:paraId="2D628E89">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4）具有有效期内的建筑装修装饰工程专业承包二级及以上资质，</w:t>
      </w:r>
      <w:r>
        <w:rPr>
          <w:rFonts w:hint="eastAsia" w:ascii="宋体" w:hAnsi="宋体" w:eastAsia="宋体" w:cs="宋体"/>
          <w:color w:val="auto"/>
          <w:sz w:val="22"/>
          <w:szCs w:val="22"/>
          <w:highlight w:val="none"/>
          <w:lang w:val="en-US" w:eastAsia="zh-CN"/>
        </w:rPr>
        <w:t>且</w:t>
      </w:r>
      <w:r>
        <w:rPr>
          <w:rFonts w:hint="eastAsia" w:ascii="宋体" w:hAnsi="宋体" w:eastAsia="宋体" w:cs="宋体"/>
          <w:color w:val="auto"/>
          <w:sz w:val="22"/>
          <w:szCs w:val="22"/>
          <w:highlight w:val="none"/>
          <w:lang w:eastAsia="zh-CN"/>
        </w:rPr>
        <w:t>具有有效期内</w:t>
      </w:r>
      <w:r>
        <w:rPr>
          <w:rFonts w:hint="eastAsia" w:ascii="宋体" w:hAnsi="宋体" w:eastAsia="宋体" w:cs="宋体"/>
          <w:color w:val="auto"/>
          <w:sz w:val="22"/>
          <w:szCs w:val="22"/>
          <w:highlight w:val="none"/>
          <w:lang w:val="en-US" w:eastAsia="zh-CN"/>
        </w:rPr>
        <w:t>的</w:t>
      </w:r>
      <w:r>
        <w:rPr>
          <w:rFonts w:hint="eastAsia" w:ascii="宋体" w:hAnsi="宋体" w:eastAsia="宋体" w:cs="宋体"/>
          <w:color w:val="auto"/>
          <w:sz w:val="22"/>
          <w:szCs w:val="22"/>
          <w:highlight w:val="none"/>
          <w:lang w:eastAsia="zh-CN"/>
        </w:rPr>
        <w:t>安全生产许可证。</w:t>
      </w:r>
    </w:p>
    <w:p w14:paraId="5DB5E00B">
      <w:pPr>
        <w:autoSpaceDE w:val="0"/>
        <w:autoSpaceDN w:val="0"/>
        <w:adjustRightInd w:val="0"/>
        <w:snapToGrid w:val="0"/>
        <w:spacing w:line="460" w:lineRule="exact"/>
        <w:ind w:firstLine="442"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b/>
          <w:color w:val="auto"/>
          <w:sz w:val="22"/>
          <w:szCs w:val="22"/>
          <w:highlight w:val="none"/>
          <w:lang w:val="en-US" w:eastAsia="zh-CN"/>
        </w:rPr>
        <w:t>5）投标供应商的联合体协议书。</w:t>
      </w:r>
      <w:r>
        <w:rPr>
          <w:rFonts w:hint="eastAsia" w:ascii="Times New Roman" w:hAnsi="Times New Roman" w:eastAsia="宋体" w:cs="Times New Roman"/>
          <w:color w:val="auto"/>
          <w:sz w:val="22"/>
          <w:szCs w:val="22"/>
          <w:highlight w:val="none"/>
          <w:lang w:val="en-US" w:eastAsia="zh-CN"/>
        </w:rPr>
        <w:t>（若为联合体投标需提供联合体协议书，因本项目采用电子标形式、联合体成员可在联合体协议书上加盖单位公章后扫描上传，</w:t>
      </w:r>
      <w:r>
        <w:rPr>
          <w:rFonts w:hint="eastAsia" w:ascii="Times New Roman" w:hAnsi="Times New Roman" w:eastAsia="宋体" w:cs="Times New Roman"/>
          <w:b/>
          <w:bCs/>
          <w:color w:val="auto"/>
          <w:sz w:val="22"/>
          <w:szCs w:val="22"/>
          <w:highlight w:val="none"/>
          <w:lang w:val="en-US" w:eastAsia="zh-CN"/>
        </w:rPr>
        <w:t>若施工单位无设备制造或经销资格的，必须与所投产品的制造商或经销商联合投标，否则视为资格审查不通过。</w:t>
      </w:r>
      <w:r>
        <w:rPr>
          <w:rFonts w:hint="eastAsia" w:ascii="Times New Roman" w:hAnsi="Times New Roman" w:eastAsia="宋体" w:cs="Times New Roman"/>
          <w:color w:val="auto"/>
          <w:sz w:val="22"/>
          <w:szCs w:val="22"/>
          <w:highlight w:val="none"/>
          <w:lang w:val="en-US" w:eastAsia="zh-CN"/>
        </w:rPr>
        <w:t>）</w:t>
      </w:r>
    </w:p>
    <w:p w14:paraId="2E854209">
      <w:pPr>
        <w:autoSpaceDE w:val="0"/>
        <w:autoSpaceDN w:val="0"/>
        <w:adjustRightInd w:val="0"/>
        <w:snapToGrid w:val="0"/>
        <w:spacing w:line="460" w:lineRule="exact"/>
        <w:ind w:firstLine="442" w:firstLineChars="200"/>
        <w:textAlignment w:val="bottom"/>
        <w:rPr>
          <w:rFonts w:ascii="宋体" w:hAnsi="宋体" w:cs="宋体"/>
          <w:b/>
          <w:color w:val="auto"/>
          <w:sz w:val="22"/>
          <w:szCs w:val="22"/>
          <w:highlight w:val="none"/>
          <w:lang w:val="zh-CN"/>
        </w:rPr>
      </w:pPr>
      <w:r>
        <w:rPr>
          <w:rFonts w:hint="eastAsia"/>
          <w:b/>
          <w:color w:val="auto"/>
          <w:sz w:val="22"/>
          <w:szCs w:val="22"/>
          <w:highlight w:val="none"/>
        </w:rPr>
        <w:t>上述资格条件审查材料</w:t>
      </w:r>
      <w:r>
        <w:rPr>
          <w:rFonts w:hint="eastAsia"/>
          <w:b/>
          <w:color w:val="auto"/>
          <w:sz w:val="22"/>
          <w:szCs w:val="22"/>
          <w:highlight w:val="none"/>
          <w:lang w:val="en-US" w:eastAsia="zh-CN"/>
        </w:rPr>
        <w:t>2</w:t>
      </w:r>
      <w:r>
        <w:rPr>
          <w:rFonts w:hint="eastAsia"/>
          <w:b/>
          <w:color w:val="auto"/>
          <w:sz w:val="22"/>
          <w:szCs w:val="22"/>
          <w:highlight w:val="none"/>
        </w:rPr>
        <w:t>-</w:t>
      </w:r>
      <w:r>
        <w:rPr>
          <w:rFonts w:hint="eastAsia"/>
          <w:b/>
          <w:color w:val="auto"/>
          <w:sz w:val="22"/>
          <w:szCs w:val="22"/>
          <w:highlight w:val="none"/>
          <w:lang w:val="en-US" w:eastAsia="zh-CN"/>
        </w:rPr>
        <w:t>5</w:t>
      </w:r>
      <w:r>
        <w:rPr>
          <w:rFonts w:hint="eastAsia"/>
          <w:b/>
          <w:color w:val="auto"/>
          <w:sz w:val="22"/>
          <w:szCs w:val="22"/>
          <w:highlight w:val="none"/>
        </w:rPr>
        <w:t>项</w:t>
      </w:r>
      <w:r>
        <w:rPr>
          <w:rFonts w:hint="eastAsia"/>
          <w:b/>
          <w:color w:val="auto"/>
          <w:sz w:val="22"/>
          <w:szCs w:val="22"/>
          <w:highlight w:val="none"/>
          <w:lang w:eastAsia="zh-CN"/>
        </w:rPr>
        <w:t>（</w:t>
      </w:r>
      <w:r>
        <w:rPr>
          <w:rFonts w:hint="eastAsia"/>
          <w:b/>
          <w:color w:val="auto"/>
          <w:sz w:val="22"/>
          <w:szCs w:val="22"/>
          <w:highlight w:val="none"/>
          <w:lang w:val="en-US" w:eastAsia="zh-CN"/>
        </w:rPr>
        <w:t>第5项仅对联合体投标单位作出要求</w:t>
      </w:r>
      <w:r>
        <w:rPr>
          <w:rFonts w:hint="eastAsia"/>
          <w:b/>
          <w:color w:val="auto"/>
          <w:sz w:val="22"/>
          <w:szCs w:val="22"/>
          <w:highlight w:val="none"/>
          <w:lang w:eastAsia="zh-CN"/>
        </w:rPr>
        <w:t>）</w:t>
      </w:r>
      <w:r>
        <w:rPr>
          <w:rFonts w:hint="eastAsia"/>
          <w:b/>
          <w:color w:val="auto"/>
          <w:sz w:val="22"/>
          <w:szCs w:val="22"/>
          <w:highlight w:val="none"/>
        </w:rPr>
        <w:t>有一项不提供的，视为资格审查不通过。</w:t>
      </w:r>
    </w:p>
    <w:p w14:paraId="47D65B60">
      <w:pPr>
        <w:autoSpaceDE w:val="0"/>
        <w:autoSpaceDN w:val="0"/>
        <w:snapToGrid w:val="0"/>
        <w:spacing w:line="460" w:lineRule="exact"/>
        <w:ind w:firstLine="442" w:firstLineChars="200"/>
        <w:rPr>
          <w:rFonts w:hint="eastAsia"/>
          <w:b/>
          <w:bCs/>
          <w:color w:val="auto"/>
          <w:sz w:val="22"/>
          <w:szCs w:val="22"/>
          <w:highlight w:val="none"/>
          <w:lang w:val="zh-CN"/>
        </w:rPr>
      </w:pPr>
      <w:r>
        <w:rPr>
          <w:rFonts w:hint="eastAsia"/>
          <w:b/>
          <w:bCs/>
          <w:color w:val="auto"/>
          <w:sz w:val="22"/>
          <w:szCs w:val="22"/>
          <w:highlight w:val="none"/>
          <w:lang w:val="zh-CN"/>
        </w:rPr>
        <w:t>2.</w:t>
      </w:r>
      <w:r>
        <w:rPr>
          <w:rFonts w:hint="eastAsia"/>
          <w:b/>
          <w:bCs/>
          <w:color w:val="auto"/>
          <w:sz w:val="22"/>
          <w:szCs w:val="22"/>
          <w:highlight w:val="none"/>
        </w:rPr>
        <w:t>2</w:t>
      </w:r>
      <w:r>
        <w:rPr>
          <w:rFonts w:hint="eastAsia"/>
          <w:b/>
          <w:bCs/>
          <w:color w:val="auto"/>
          <w:sz w:val="22"/>
          <w:szCs w:val="22"/>
          <w:highlight w:val="none"/>
          <w:lang w:val="zh-CN"/>
        </w:rPr>
        <w:t>、</w:t>
      </w:r>
      <w:r>
        <w:rPr>
          <w:rFonts w:hint="eastAsia"/>
          <w:b/>
          <w:bCs/>
          <w:color w:val="auto"/>
          <w:sz w:val="22"/>
          <w:szCs w:val="22"/>
          <w:highlight w:val="none"/>
        </w:rPr>
        <w:t>报价文件</w:t>
      </w:r>
      <w:r>
        <w:rPr>
          <w:rFonts w:hint="eastAsia"/>
          <w:b/>
          <w:bCs/>
          <w:color w:val="auto"/>
          <w:sz w:val="22"/>
          <w:szCs w:val="22"/>
          <w:highlight w:val="none"/>
          <w:lang w:val="zh-CN"/>
        </w:rPr>
        <w:t>组成</w:t>
      </w:r>
    </w:p>
    <w:p w14:paraId="7F47BB2C">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1）“报价文件”封面</w:t>
      </w:r>
    </w:p>
    <w:p w14:paraId="2504F34B">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ascii="Times New Roman" w:hAnsi="Times New Roman" w:eastAsia="宋体"/>
          <w:color w:val="auto"/>
          <w:sz w:val="22"/>
          <w:szCs w:val="22"/>
          <w:highlight w:val="none"/>
        </w:rPr>
        <w:t>2)  开标一览表</w:t>
      </w:r>
    </w:p>
    <w:p w14:paraId="4E0924E5">
      <w:pPr>
        <w:autoSpaceDE w:val="0"/>
        <w:autoSpaceDN w:val="0"/>
        <w:snapToGrid w:val="0"/>
        <w:spacing w:line="460" w:lineRule="exact"/>
        <w:ind w:firstLine="440" w:firstLineChars="200"/>
        <w:rPr>
          <w:rFonts w:hint="default" w:ascii="Times New Roman" w:hAnsi="Times New Roman" w:eastAsia="宋体"/>
          <w:color w:val="auto"/>
          <w:sz w:val="22"/>
          <w:szCs w:val="22"/>
          <w:highlight w:val="none"/>
          <w:lang w:val="en-US" w:eastAsia="zh-CN"/>
        </w:rPr>
      </w:pPr>
      <w:r>
        <w:rPr>
          <w:rFonts w:hint="eastAsia"/>
          <w:color w:val="auto"/>
          <w:sz w:val="22"/>
          <w:szCs w:val="22"/>
          <w:highlight w:val="none"/>
          <w:lang w:val="en-US" w:eastAsia="zh-CN"/>
        </w:rPr>
        <w:t>3）分项报价表</w:t>
      </w:r>
    </w:p>
    <w:p w14:paraId="063D457A">
      <w:pPr>
        <w:autoSpaceDE w:val="0"/>
        <w:autoSpaceDN w:val="0"/>
        <w:snapToGrid w:val="0"/>
        <w:spacing w:line="460" w:lineRule="exact"/>
        <w:ind w:firstLine="440" w:firstLineChars="200"/>
        <w:rPr>
          <w:rFonts w:hint="eastAsia" w:ascii="Times New Roman" w:hAnsi="Times New Roman" w:eastAsia="宋体"/>
          <w:color w:val="auto"/>
          <w:sz w:val="22"/>
          <w:szCs w:val="22"/>
          <w:highlight w:val="none"/>
        </w:rPr>
      </w:pPr>
      <w:r>
        <w:rPr>
          <w:rFonts w:hint="eastAsia"/>
          <w:color w:val="auto"/>
          <w:sz w:val="22"/>
          <w:szCs w:val="22"/>
          <w:highlight w:val="none"/>
          <w:lang w:val="en-US" w:eastAsia="zh-CN"/>
        </w:rPr>
        <w:t>4</w:t>
      </w:r>
      <w:r>
        <w:rPr>
          <w:rFonts w:hint="eastAsia" w:ascii="Times New Roman" w:hAnsi="Times New Roman" w:eastAsia="宋体"/>
          <w:color w:val="auto"/>
          <w:sz w:val="22"/>
          <w:szCs w:val="22"/>
          <w:highlight w:val="none"/>
          <w:lang w:val="en-US" w:eastAsia="zh-CN"/>
        </w:rPr>
        <w:t>3）</w:t>
      </w:r>
      <w:r>
        <w:rPr>
          <w:rFonts w:hint="eastAsia" w:ascii="Times New Roman" w:hAnsi="Times New Roman" w:eastAsia="宋体"/>
          <w:color w:val="auto"/>
          <w:sz w:val="22"/>
          <w:szCs w:val="22"/>
          <w:highlight w:val="none"/>
        </w:rPr>
        <w:t>中小企业声明函、监狱企业、残疾人福利性单位及其他相关的充分的证明材料</w:t>
      </w:r>
    </w:p>
    <w:p w14:paraId="17015E01">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lang w:val="en-US" w:eastAsia="zh-CN"/>
        </w:rPr>
        <w:t>5</w:t>
      </w:r>
      <w:r>
        <w:rPr>
          <w:rFonts w:hint="eastAsia"/>
          <w:color w:val="auto"/>
          <w:sz w:val="22"/>
          <w:szCs w:val="22"/>
          <w:highlight w:val="none"/>
        </w:rPr>
        <w:t>）产品零件、易损件、备品备件报价表（</w:t>
      </w:r>
      <w:r>
        <w:rPr>
          <w:rFonts w:hint="eastAsia" w:ascii="宋体" w:hAnsi="宋体" w:cs="宋体"/>
          <w:b/>
          <w:bCs/>
          <w:color w:val="auto"/>
          <w:szCs w:val="21"/>
          <w:highlight w:val="none"/>
        </w:rPr>
        <w:t>质保期满后的维保费单独报价（但不包括在投标价中），选购件单独分项报价（但不包括在投标价中）</w:t>
      </w:r>
      <w:r>
        <w:rPr>
          <w:rFonts w:hint="eastAsia"/>
          <w:color w:val="auto"/>
          <w:sz w:val="22"/>
          <w:szCs w:val="22"/>
          <w:highlight w:val="none"/>
        </w:rPr>
        <w:t>）；（如有则提供）</w:t>
      </w:r>
    </w:p>
    <w:p w14:paraId="34DFDDDE">
      <w:pPr>
        <w:autoSpaceDE w:val="0"/>
        <w:autoSpaceDN w:val="0"/>
        <w:adjustRightInd w:val="0"/>
        <w:snapToGrid w:val="0"/>
        <w:spacing w:line="460" w:lineRule="exact"/>
        <w:ind w:firstLine="440" w:firstLineChars="200"/>
        <w:textAlignment w:val="bottom"/>
        <w:rPr>
          <w:rFonts w:hint="eastAsia" w:ascii="Times New Roman" w:hAnsi="Times New Roman" w:eastAsia="宋体"/>
          <w:color w:val="auto"/>
          <w:sz w:val="22"/>
          <w:szCs w:val="22"/>
          <w:highlight w:val="none"/>
          <w:lang w:val="en-US" w:eastAsia="zh-CN"/>
        </w:rPr>
      </w:pPr>
      <w:r>
        <w:rPr>
          <w:rFonts w:hint="eastAsia"/>
          <w:color w:val="auto"/>
          <w:sz w:val="22"/>
          <w:szCs w:val="22"/>
          <w:highlight w:val="none"/>
          <w:lang w:val="en-US" w:eastAsia="zh-CN"/>
        </w:rPr>
        <w:t>6</w:t>
      </w:r>
      <w:r>
        <w:rPr>
          <w:rFonts w:hint="eastAsia"/>
          <w:color w:val="auto"/>
          <w:sz w:val="22"/>
          <w:szCs w:val="22"/>
          <w:highlight w:val="none"/>
        </w:rPr>
        <w:t>）保修价格，维修配件价格，维修服务费价格（格式自拟）（</w:t>
      </w:r>
      <w:r>
        <w:rPr>
          <w:rFonts w:hint="eastAsia" w:ascii="宋体" w:hAnsi="宋体" w:cs="宋体"/>
          <w:b/>
          <w:bCs/>
          <w:color w:val="auto"/>
          <w:szCs w:val="21"/>
          <w:highlight w:val="none"/>
        </w:rPr>
        <w:t>质保期满后的维保费单独报价（但不包括在投标价中），选购件单独分项报价（但不包括在投标价中）</w:t>
      </w:r>
      <w:r>
        <w:rPr>
          <w:rFonts w:hint="eastAsia"/>
          <w:color w:val="auto"/>
          <w:sz w:val="22"/>
          <w:szCs w:val="22"/>
          <w:highlight w:val="none"/>
        </w:rPr>
        <w:t>）（如有则提供）</w:t>
      </w:r>
    </w:p>
    <w:p w14:paraId="0B662829">
      <w:pPr>
        <w:autoSpaceDE w:val="0"/>
        <w:autoSpaceDN w:val="0"/>
        <w:snapToGrid w:val="0"/>
        <w:spacing w:line="460" w:lineRule="exact"/>
        <w:ind w:firstLine="442" w:firstLineChars="200"/>
        <w:rPr>
          <w:rFonts w:hint="eastAsia"/>
          <w:b/>
          <w:bCs/>
          <w:color w:val="auto"/>
          <w:sz w:val="22"/>
          <w:szCs w:val="22"/>
          <w:highlight w:val="none"/>
        </w:rPr>
      </w:pPr>
      <w:r>
        <w:rPr>
          <w:rFonts w:hint="eastAsia"/>
          <w:b/>
          <w:bCs/>
          <w:color w:val="auto"/>
          <w:sz w:val="22"/>
          <w:szCs w:val="22"/>
          <w:highlight w:val="none"/>
        </w:rPr>
        <w:t>2.3、商务技术文件组成</w:t>
      </w:r>
    </w:p>
    <w:p w14:paraId="2118EF9C">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1）商务技术文件封面</w:t>
      </w:r>
    </w:p>
    <w:p w14:paraId="06B3C97B">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2）供应商自评分指引表</w:t>
      </w:r>
    </w:p>
    <w:p w14:paraId="2827B4AA">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w:t>
      </w:r>
      <w:r>
        <w:rPr>
          <w:color w:val="auto"/>
          <w:sz w:val="22"/>
          <w:szCs w:val="22"/>
          <w:highlight w:val="none"/>
        </w:rPr>
        <w:t>供应商参与采购活动投标资格声明函</w:t>
      </w:r>
    </w:p>
    <w:p w14:paraId="397017D5">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4)</w:t>
      </w:r>
      <w:r>
        <w:rPr>
          <w:color w:val="auto"/>
          <w:sz w:val="22"/>
          <w:szCs w:val="22"/>
          <w:highlight w:val="none"/>
        </w:rPr>
        <w:t xml:space="preserve"> </w:t>
      </w:r>
      <w:r>
        <w:rPr>
          <w:rFonts w:hint="eastAsia"/>
          <w:color w:val="auto"/>
          <w:sz w:val="22"/>
          <w:szCs w:val="22"/>
          <w:highlight w:val="none"/>
        </w:rPr>
        <w:t>投标函；</w:t>
      </w:r>
    </w:p>
    <w:p w14:paraId="590E8D07">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5）法定代表人授权书；</w:t>
      </w:r>
    </w:p>
    <w:p w14:paraId="56B99424">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6）投标供应商情况声明</w:t>
      </w:r>
    </w:p>
    <w:p w14:paraId="36EDF19C">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7）商务响应表、技术响应表（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14:paraId="6B072B8C">
      <w:pPr>
        <w:autoSpaceDE w:val="0"/>
        <w:autoSpaceDN w:val="0"/>
        <w:adjustRightInd w:val="0"/>
        <w:snapToGrid w:val="0"/>
        <w:spacing w:line="460" w:lineRule="exact"/>
        <w:ind w:firstLine="440" w:firstLineChars="200"/>
        <w:textAlignment w:val="bottom"/>
        <w:rPr>
          <w:rFonts w:hint="eastAsia"/>
          <w:bCs/>
          <w:color w:val="auto"/>
          <w:sz w:val="22"/>
          <w:szCs w:val="22"/>
          <w:highlight w:val="none"/>
        </w:rPr>
      </w:pPr>
      <w:r>
        <w:rPr>
          <w:rFonts w:hint="eastAsia"/>
          <w:color w:val="auto"/>
          <w:sz w:val="22"/>
          <w:szCs w:val="22"/>
          <w:highlight w:val="none"/>
        </w:rPr>
        <w:t>8）供应商体系认证证书、供应商相关资质等证书（如有则提供）；</w:t>
      </w:r>
    </w:p>
    <w:p w14:paraId="163D84FA">
      <w:pPr>
        <w:autoSpaceDE w:val="0"/>
        <w:autoSpaceDN w:val="0"/>
        <w:adjustRightInd w:val="0"/>
        <w:snapToGrid w:val="0"/>
        <w:spacing w:line="420" w:lineRule="exact"/>
        <w:ind w:firstLine="440" w:firstLineChars="200"/>
        <w:textAlignment w:val="bottom"/>
        <w:rPr>
          <w:rFonts w:ascii="新宋体" w:hAnsi="新宋体" w:eastAsia="新宋体"/>
          <w:color w:val="auto"/>
          <w:sz w:val="22"/>
          <w:szCs w:val="22"/>
          <w:highlight w:val="none"/>
        </w:rPr>
      </w:pPr>
      <w:r>
        <w:rPr>
          <w:rFonts w:hint="eastAsia"/>
          <w:color w:val="auto"/>
          <w:sz w:val="22"/>
          <w:szCs w:val="22"/>
          <w:highlight w:val="none"/>
        </w:rPr>
        <w:t>9）</w:t>
      </w:r>
      <w:r>
        <w:rPr>
          <w:rFonts w:hint="eastAsia" w:ascii="宋体" w:hAnsi="宋体" w:cs="宋体"/>
          <w:color w:val="auto"/>
          <w:sz w:val="22"/>
          <w:szCs w:val="22"/>
          <w:highlight w:val="none"/>
        </w:rPr>
        <w:t>投标产品的数量、配置及主要技术参数表</w:t>
      </w:r>
      <w:r>
        <w:rPr>
          <w:rFonts w:hint="eastAsia" w:ascii="新宋体" w:hAnsi="新宋体" w:eastAsia="新宋体"/>
          <w:color w:val="auto"/>
          <w:sz w:val="22"/>
          <w:szCs w:val="22"/>
          <w:highlight w:val="none"/>
        </w:rPr>
        <w:t>；</w:t>
      </w:r>
    </w:p>
    <w:p w14:paraId="6FE57274">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rPr>
        <w:t>10）投标产品的主要技术、配置、性能、特点和质量水平的详细描述及产品样本图册（包括配置、部件来源说明等）（如果资料提供不全或完全抄袭招标文件，可能导致对供应商不利的评定）；</w:t>
      </w:r>
    </w:p>
    <w:p w14:paraId="0963C2A1">
      <w:pPr>
        <w:autoSpaceDE w:val="0"/>
        <w:autoSpaceDN w:val="0"/>
        <w:adjustRightInd w:val="0"/>
        <w:snapToGrid w:val="0"/>
        <w:spacing w:line="460" w:lineRule="exact"/>
        <w:ind w:firstLine="440" w:firstLineChars="200"/>
        <w:textAlignment w:val="bottom"/>
        <w:rPr>
          <w:rFonts w:hint="default"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11）“★”技术条款项评分对应表</w:t>
      </w:r>
    </w:p>
    <w:p w14:paraId="473D1F44">
      <w:pPr>
        <w:autoSpaceDE w:val="0"/>
        <w:autoSpaceDN w:val="0"/>
        <w:adjustRightInd w:val="0"/>
        <w:snapToGrid w:val="0"/>
        <w:spacing w:line="460" w:lineRule="exact"/>
        <w:ind w:firstLine="440" w:firstLineChars="200"/>
        <w:textAlignment w:val="bottom"/>
        <w:rPr>
          <w:rFonts w:hint="eastAsia"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）类似项目业绩</w:t>
      </w:r>
      <w:r>
        <w:rPr>
          <w:rFonts w:hint="eastAsia"/>
          <w:color w:val="auto"/>
          <w:sz w:val="22"/>
          <w:szCs w:val="22"/>
          <w:highlight w:val="none"/>
        </w:rPr>
        <w:t>（如有则提供）；</w:t>
      </w:r>
    </w:p>
    <w:p w14:paraId="4EF09CAC">
      <w:pPr>
        <w:autoSpaceDE w:val="0"/>
        <w:autoSpaceDN w:val="0"/>
        <w:adjustRightInd w:val="0"/>
        <w:snapToGrid w:val="0"/>
        <w:spacing w:line="460" w:lineRule="exact"/>
        <w:ind w:firstLine="440" w:firstLineChars="200"/>
        <w:textAlignment w:val="bottom"/>
        <w:rPr>
          <w:rFonts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）项目</w:t>
      </w:r>
      <w:r>
        <w:rPr>
          <w:rFonts w:hint="eastAsia"/>
          <w:color w:val="auto"/>
          <w:sz w:val="22"/>
          <w:szCs w:val="22"/>
          <w:highlight w:val="none"/>
        </w:rPr>
        <w:t>方案（格式自拟）；</w:t>
      </w:r>
    </w:p>
    <w:p w14:paraId="72F56547">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4</w:t>
      </w:r>
      <w:r>
        <w:rPr>
          <w:rFonts w:hint="eastAsia"/>
          <w:color w:val="auto"/>
          <w:sz w:val="22"/>
          <w:szCs w:val="22"/>
          <w:highlight w:val="none"/>
        </w:rPr>
        <w:t>）投标产品主体列入节能产品证明资料、投标产品主体列入环境标志产品证明资料（如有），提</w:t>
      </w:r>
      <w:r>
        <w:rPr>
          <w:rFonts w:hint="eastAsia" w:ascii="Times New Roman" w:hAnsi="Times New Roman" w:eastAsia="宋体" w:cs="Times New Roman"/>
          <w:color w:val="auto"/>
          <w:sz w:val="22"/>
          <w:szCs w:val="22"/>
          <w:highlight w:val="none"/>
        </w:rPr>
        <w:t xml:space="preserve">供国家确定的认证机构出具的、处于有效期之内的节能产品、环境标志产品认证证书复印件； </w:t>
      </w:r>
    </w:p>
    <w:p w14:paraId="5F5EB1B0">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15）供应商认为有必要提供的其他材料或说明（如有）</w:t>
      </w:r>
    </w:p>
    <w:p w14:paraId="632CFB61">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16）真实应标的承诺书</w:t>
      </w:r>
    </w:p>
    <w:p w14:paraId="73DD0F65">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auto"/>
          <w:sz w:val="22"/>
          <w:szCs w:val="22"/>
          <w:highlight w:val="none"/>
        </w:rPr>
      </w:pPr>
      <w:r>
        <w:rPr>
          <w:rFonts w:hint="eastAsia" w:ascii="Times New Roman" w:hAnsi="Times New Roman" w:eastAsia="宋体" w:cs="Times New Roman"/>
          <w:color w:val="auto"/>
          <w:sz w:val="22"/>
          <w:szCs w:val="22"/>
          <w:highlight w:val="none"/>
          <w:lang w:val="en-US" w:eastAsia="zh-CN"/>
        </w:rPr>
        <w:t>17）质量服务承诺书、诚信投标承诺</w:t>
      </w:r>
      <w:r>
        <w:rPr>
          <w:rFonts w:hint="eastAsia" w:ascii="Times New Roman" w:hAnsi="Times New Roman" w:eastAsia="宋体" w:cs="Times New Roman"/>
          <w:color w:val="auto"/>
          <w:sz w:val="22"/>
          <w:szCs w:val="22"/>
          <w:highlight w:val="none"/>
        </w:rPr>
        <w:t>书；</w:t>
      </w:r>
    </w:p>
    <w:p w14:paraId="490D6A2D">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 投标文件编制</w:t>
      </w:r>
    </w:p>
    <w:p w14:paraId="0614082A">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3.1本项目通过“</w:t>
      </w:r>
      <w:r>
        <w:rPr>
          <w:rFonts w:hint="eastAsia"/>
          <w:color w:val="auto"/>
          <w:sz w:val="22"/>
          <w:szCs w:val="22"/>
          <w:highlight w:val="none"/>
          <w:lang w:eastAsia="zh-CN"/>
        </w:rPr>
        <w:t>乐采云-政企采购开放平台</w:t>
      </w:r>
      <w:r>
        <w:rPr>
          <w:rFonts w:hint="eastAsia"/>
          <w:color w:val="auto"/>
          <w:sz w:val="22"/>
          <w:szCs w:val="22"/>
          <w:highlight w:val="none"/>
        </w:rPr>
        <w:t>（</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w:t>
      </w:r>
      <w:r>
        <w:rPr>
          <w:rFonts w:hint="eastAsia"/>
          <w:color w:val="auto"/>
          <w:sz w:val="22"/>
          <w:szCs w:val="22"/>
          <w:highlight w:val="none"/>
          <w:lang w:eastAsia="zh-CN"/>
        </w:rPr>
        <w:t>乐采云电子交易客户端</w:t>
      </w:r>
      <w:r>
        <w:rPr>
          <w:rFonts w:hint="eastAsia"/>
          <w:color w:val="auto"/>
          <w:sz w:val="22"/>
          <w:szCs w:val="22"/>
          <w:highlight w:val="none"/>
        </w:rPr>
        <w:t>”，并按照本招标文件和“</w:t>
      </w:r>
      <w:r>
        <w:rPr>
          <w:rFonts w:hint="eastAsia"/>
          <w:color w:val="auto"/>
          <w:sz w:val="22"/>
          <w:szCs w:val="22"/>
          <w:highlight w:val="none"/>
          <w:lang w:eastAsia="zh-CN"/>
        </w:rPr>
        <w:t>乐采云-政企采购开放平台</w:t>
      </w:r>
      <w:r>
        <w:rPr>
          <w:rFonts w:hint="eastAsia"/>
          <w:color w:val="auto"/>
          <w:sz w:val="22"/>
          <w:szCs w:val="22"/>
          <w:highlight w:val="none"/>
        </w:rPr>
        <w:t>”的要求编制并加密投标文件。</w:t>
      </w:r>
    </w:p>
    <w:p w14:paraId="66529219">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应当按照</w:t>
      </w:r>
      <w:r>
        <w:rPr>
          <w:color w:val="auto"/>
          <w:sz w:val="22"/>
          <w:szCs w:val="22"/>
          <w:highlight w:val="none"/>
        </w:rPr>
        <w:t>本</w:t>
      </w:r>
      <w:r>
        <w:rPr>
          <w:rFonts w:hint="eastAsia"/>
          <w:color w:val="auto"/>
          <w:sz w:val="22"/>
          <w:szCs w:val="22"/>
          <w:highlight w:val="none"/>
        </w:rPr>
        <w:t>章节 “投标文件组成”规定的内容及顺序在“</w:t>
      </w:r>
      <w:r>
        <w:rPr>
          <w:rFonts w:hint="eastAsia"/>
          <w:color w:val="auto"/>
          <w:sz w:val="22"/>
          <w:szCs w:val="22"/>
          <w:highlight w:val="none"/>
          <w:lang w:eastAsia="zh-CN"/>
        </w:rPr>
        <w:t>乐采云电子交易客户端</w:t>
      </w:r>
      <w:r>
        <w:rPr>
          <w:rFonts w:hint="eastAsia"/>
          <w:color w:val="auto"/>
          <w:sz w:val="22"/>
          <w:szCs w:val="22"/>
          <w:highlight w:val="none"/>
        </w:rPr>
        <w:t>”编制投标文件。其中《资格文件》和《商务技术文件》中不得出现本项目投标报价，如因</w:t>
      </w:r>
      <w:r>
        <w:rPr>
          <w:rFonts w:hint="eastAsia"/>
          <w:color w:val="auto"/>
          <w:sz w:val="22"/>
          <w:szCs w:val="22"/>
          <w:highlight w:val="none"/>
          <w:lang w:eastAsia="zh-CN"/>
        </w:rPr>
        <w:t>投标供应商</w:t>
      </w:r>
      <w:r>
        <w:rPr>
          <w:rFonts w:hint="eastAsia"/>
          <w:color w:val="auto"/>
          <w:sz w:val="22"/>
          <w:szCs w:val="22"/>
          <w:highlight w:val="none"/>
        </w:rPr>
        <w:t>原因提前泄露投标报价，是</w:t>
      </w:r>
      <w:r>
        <w:rPr>
          <w:rFonts w:hint="eastAsia"/>
          <w:color w:val="auto"/>
          <w:sz w:val="22"/>
          <w:szCs w:val="22"/>
          <w:highlight w:val="none"/>
          <w:lang w:eastAsia="zh-CN"/>
        </w:rPr>
        <w:t>投标供应商</w:t>
      </w:r>
      <w:r>
        <w:rPr>
          <w:rFonts w:hint="eastAsia"/>
          <w:color w:val="auto"/>
          <w:sz w:val="22"/>
          <w:szCs w:val="22"/>
          <w:highlight w:val="none"/>
        </w:rPr>
        <w:t>的责任。</w:t>
      </w:r>
    </w:p>
    <w:p w14:paraId="3675EB2F">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3.3《投标文件》内容不完整、编排混乱导致《投标文件》被误读、漏读或者查找不到相关内容的，是</w:t>
      </w:r>
      <w:r>
        <w:rPr>
          <w:rFonts w:hint="eastAsia"/>
          <w:color w:val="auto"/>
          <w:sz w:val="22"/>
          <w:szCs w:val="22"/>
          <w:highlight w:val="none"/>
          <w:lang w:eastAsia="zh-CN"/>
        </w:rPr>
        <w:t>投标供应商</w:t>
      </w:r>
      <w:r>
        <w:rPr>
          <w:rFonts w:hint="eastAsia"/>
          <w:color w:val="auto"/>
          <w:sz w:val="22"/>
          <w:szCs w:val="22"/>
          <w:highlight w:val="none"/>
        </w:rPr>
        <w:t>的责任。</w:t>
      </w:r>
    </w:p>
    <w:p w14:paraId="6B9A1821">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3.4《投标文件》因字迹潦草或表达不清所引起的后果由</w:t>
      </w:r>
      <w:r>
        <w:rPr>
          <w:rFonts w:hint="eastAsia"/>
          <w:color w:val="auto"/>
          <w:sz w:val="22"/>
          <w:szCs w:val="22"/>
          <w:highlight w:val="none"/>
          <w:lang w:eastAsia="zh-CN"/>
        </w:rPr>
        <w:t>投标供应商</w:t>
      </w:r>
      <w:r>
        <w:rPr>
          <w:rFonts w:hint="eastAsia"/>
          <w:color w:val="auto"/>
          <w:sz w:val="22"/>
          <w:szCs w:val="22"/>
          <w:highlight w:val="none"/>
        </w:rPr>
        <w:t>负责。</w:t>
      </w:r>
    </w:p>
    <w:p w14:paraId="66AAFE8E">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3.5</w:t>
      </w:r>
      <w:r>
        <w:rPr>
          <w:rFonts w:hint="eastAsia"/>
          <w:color w:val="auto"/>
          <w:sz w:val="22"/>
          <w:szCs w:val="22"/>
          <w:highlight w:val="none"/>
          <w:lang w:eastAsia="zh-CN"/>
        </w:rPr>
        <w:t>投标供应商</w:t>
      </w:r>
      <w:r>
        <w:rPr>
          <w:rFonts w:hint="eastAsia"/>
          <w:color w:val="auto"/>
          <w:sz w:val="22"/>
          <w:szCs w:val="22"/>
          <w:highlight w:val="none"/>
        </w:rPr>
        <w:t>没有按照本章节 “投标文件组成”要求提供全部资料，或者没有仔细阅读招标文件，或者没有对招标文件在各方面的要求作出实质性响应是</w:t>
      </w:r>
      <w:r>
        <w:rPr>
          <w:rFonts w:hint="eastAsia"/>
          <w:color w:val="auto"/>
          <w:sz w:val="22"/>
          <w:szCs w:val="22"/>
          <w:highlight w:val="none"/>
          <w:lang w:eastAsia="zh-CN"/>
        </w:rPr>
        <w:t>投标供应商</w:t>
      </w:r>
      <w:r>
        <w:rPr>
          <w:rFonts w:hint="eastAsia"/>
          <w:color w:val="auto"/>
          <w:sz w:val="22"/>
          <w:szCs w:val="22"/>
          <w:highlight w:val="none"/>
        </w:rPr>
        <w:t>的风险，由此造成的一切后果由</w:t>
      </w:r>
      <w:r>
        <w:rPr>
          <w:rFonts w:hint="eastAsia"/>
          <w:color w:val="auto"/>
          <w:sz w:val="22"/>
          <w:szCs w:val="22"/>
          <w:highlight w:val="none"/>
          <w:lang w:eastAsia="zh-CN"/>
        </w:rPr>
        <w:t>投标供应商</w:t>
      </w:r>
      <w:r>
        <w:rPr>
          <w:rFonts w:hint="eastAsia"/>
          <w:color w:val="auto"/>
          <w:sz w:val="22"/>
          <w:szCs w:val="22"/>
          <w:highlight w:val="none"/>
        </w:rPr>
        <w:t>自行承担。</w:t>
      </w:r>
    </w:p>
    <w:p w14:paraId="4BB9D734">
      <w:pPr>
        <w:autoSpaceDE w:val="0"/>
        <w:autoSpaceDN w:val="0"/>
        <w:snapToGrid w:val="0"/>
        <w:spacing w:line="420" w:lineRule="exact"/>
        <w:rPr>
          <w:rFonts w:hint="eastAsia"/>
          <w:color w:val="auto"/>
          <w:sz w:val="22"/>
          <w:szCs w:val="22"/>
          <w:highlight w:val="none"/>
        </w:rPr>
      </w:pPr>
      <w:bookmarkStart w:id="19" w:name="_Toc132122412"/>
      <w:bookmarkEnd w:id="19"/>
      <w:bookmarkStart w:id="20" w:name="_Toc132122115"/>
      <w:bookmarkEnd w:id="20"/>
      <w:r>
        <w:rPr>
          <w:rFonts w:hint="eastAsia"/>
          <w:color w:val="auto"/>
          <w:sz w:val="22"/>
          <w:szCs w:val="22"/>
          <w:highlight w:val="none"/>
        </w:rPr>
        <w:t>4.投标报价</w:t>
      </w:r>
    </w:p>
    <w:p w14:paraId="1F65A517">
      <w:pPr>
        <w:autoSpaceDE w:val="0"/>
        <w:autoSpaceDN w:val="0"/>
        <w:snapToGrid w:val="0"/>
        <w:spacing w:line="420" w:lineRule="exact"/>
        <w:ind w:firstLine="435" w:firstLineChars="198"/>
        <w:rPr>
          <w:rFonts w:hint="eastAsia"/>
          <w:color w:val="auto"/>
          <w:sz w:val="22"/>
          <w:szCs w:val="22"/>
          <w:highlight w:val="none"/>
        </w:rPr>
      </w:pPr>
      <w:r>
        <w:rPr>
          <w:rFonts w:hint="eastAsia"/>
          <w:color w:val="auto"/>
          <w:sz w:val="22"/>
          <w:szCs w:val="22"/>
          <w:highlight w:val="none"/>
        </w:rPr>
        <w:t>4.1、供应商应按招标文件中《开标一览表》填写报价。</w:t>
      </w:r>
      <w:r>
        <w:rPr>
          <w:rFonts w:hint="eastAsia"/>
          <w:b/>
          <w:color w:val="auto"/>
          <w:sz w:val="22"/>
          <w:szCs w:val="22"/>
          <w:highlight w:val="none"/>
          <w:lang w:eastAsia="zh-CN"/>
        </w:rPr>
        <w:t>投标供应商</w:t>
      </w:r>
      <w:r>
        <w:rPr>
          <w:b/>
          <w:color w:val="auto"/>
          <w:sz w:val="22"/>
          <w:szCs w:val="22"/>
          <w:highlight w:val="none"/>
        </w:rPr>
        <w:t>在线制作投标文件时《开标一览表》中填写的金额与解密后“电子加密投标文件”中《开标一览表》填写的金额不一致的，以解密后“电子加密投标文件”中《开标一览表》填写的金额为准，</w:t>
      </w:r>
      <w:r>
        <w:rPr>
          <w:rFonts w:hint="eastAsia"/>
          <w:b/>
          <w:color w:val="auto"/>
          <w:sz w:val="22"/>
          <w:szCs w:val="22"/>
          <w:highlight w:val="none"/>
          <w:lang w:eastAsia="zh-CN"/>
        </w:rPr>
        <w:t>投标供应商</w:t>
      </w:r>
      <w:r>
        <w:rPr>
          <w:b/>
          <w:color w:val="auto"/>
          <w:sz w:val="22"/>
          <w:szCs w:val="22"/>
          <w:highlight w:val="none"/>
        </w:rPr>
        <w:t>拒绝接受此调整的，按无效投标处理</w:t>
      </w:r>
      <w:r>
        <w:rPr>
          <w:rFonts w:hint="eastAsia"/>
          <w:color w:val="auto"/>
          <w:sz w:val="22"/>
          <w:szCs w:val="22"/>
          <w:highlight w:val="none"/>
        </w:rPr>
        <w:t>。</w:t>
      </w:r>
    </w:p>
    <w:p w14:paraId="1434BDFF">
      <w:pPr>
        <w:autoSpaceDE w:val="0"/>
        <w:autoSpaceDN w:val="0"/>
        <w:snapToGrid w:val="0"/>
        <w:spacing w:line="420" w:lineRule="exact"/>
        <w:ind w:firstLine="440" w:firstLineChars="200"/>
        <w:rPr>
          <w:rFonts w:hint="eastAsia"/>
          <w:bCs/>
          <w:color w:val="auto"/>
          <w:sz w:val="22"/>
          <w:szCs w:val="22"/>
          <w:highlight w:val="none"/>
        </w:rPr>
      </w:pPr>
      <w:r>
        <w:rPr>
          <w:rFonts w:hint="eastAsia"/>
          <w:bCs/>
          <w:color w:val="auto"/>
          <w:sz w:val="22"/>
          <w:szCs w:val="22"/>
          <w:highlight w:val="none"/>
        </w:rPr>
        <w:t>4.2、本次招标只允许有一个报价，有选择的报价将不予接受。</w:t>
      </w:r>
    </w:p>
    <w:p w14:paraId="2B393A00">
      <w:pPr>
        <w:autoSpaceDE w:val="0"/>
        <w:autoSpaceDN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4.3、</w:t>
      </w:r>
      <w:r>
        <w:rPr>
          <w:rFonts w:hint="eastAsia"/>
          <w:color w:val="auto"/>
          <w:sz w:val="22"/>
          <w:szCs w:val="22"/>
          <w:highlight w:val="none"/>
          <w:u w:val="single"/>
        </w:rPr>
        <w:t>供应商对在合同执行中，除招标文件规定的由中标供应商负责的工作范围以外需要甲方协调或提供便利的工作应当在投标文件中说明。</w:t>
      </w:r>
    </w:p>
    <w:p w14:paraId="537822B4">
      <w:pPr>
        <w:autoSpaceDE w:val="0"/>
        <w:autoSpaceDN w:val="0"/>
        <w:snapToGrid w:val="0"/>
        <w:spacing w:line="420" w:lineRule="exact"/>
        <w:ind w:firstLine="431" w:firstLineChars="196"/>
        <w:rPr>
          <w:rFonts w:hint="eastAsia"/>
          <w:color w:val="auto"/>
          <w:sz w:val="22"/>
          <w:szCs w:val="22"/>
          <w:highlight w:val="none"/>
        </w:rPr>
      </w:pPr>
      <w:bookmarkStart w:id="21" w:name="_Toc132122414"/>
      <w:bookmarkEnd w:id="21"/>
      <w:bookmarkStart w:id="22" w:name="_Toc132122117"/>
      <w:bookmarkEnd w:id="22"/>
      <w:bookmarkStart w:id="23" w:name="_Toc132122415"/>
      <w:bookmarkStart w:id="24" w:name="_Toc132122118"/>
      <w:r>
        <w:rPr>
          <w:rFonts w:hint="eastAsia"/>
          <w:color w:val="auto"/>
          <w:sz w:val="22"/>
          <w:szCs w:val="22"/>
          <w:highlight w:val="none"/>
        </w:rPr>
        <w:t>5、投标文件的有效期</w:t>
      </w:r>
    </w:p>
    <w:p w14:paraId="66EC21FF">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5.1自开标日起90天内，投标文件应保持有效。有效期短于这个规定期限的投标将被拒绝。</w:t>
      </w:r>
    </w:p>
    <w:p w14:paraId="5CBD3BD0">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5.2在特殊情况下，采购人可与供应商协商延长投标文件的有效期，这种要求和答复均应以书面形式进行。</w:t>
      </w:r>
    </w:p>
    <w:p w14:paraId="5BD2D3D8">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5.3供应商可拒绝接受延期要求而不会导致处罚。同意延长有效期的供应商不能修改投标文件。</w:t>
      </w:r>
    </w:p>
    <w:bookmarkEnd w:id="23"/>
    <w:bookmarkEnd w:id="24"/>
    <w:p w14:paraId="2798C3DD">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6、投标文件的签章</w:t>
      </w:r>
    </w:p>
    <w:p w14:paraId="4D4711C5">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.1《</w:t>
      </w:r>
      <w:r>
        <w:rPr>
          <w:rFonts w:hAnsi="宋体"/>
          <w:color w:val="auto"/>
          <w:sz w:val="22"/>
          <w:szCs w:val="22"/>
          <w:highlight w:val="none"/>
        </w:rPr>
        <w:t>投标文件</w:t>
      </w:r>
      <w:r>
        <w:rPr>
          <w:rFonts w:hint="eastAsia" w:hAnsi="宋体"/>
          <w:color w:val="auto"/>
          <w:sz w:val="22"/>
          <w:szCs w:val="22"/>
          <w:highlight w:val="none"/>
        </w:rPr>
        <w:t>》的签章：</w:t>
      </w:r>
      <w:r>
        <w:rPr>
          <w:rFonts w:hint="eastAsia" w:hAnsi="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14:paraId="2493A2D8">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.2《</w:t>
      </w:r>
      <w:r>
        <w:rPr>
          <w:rFonts w:hAnsi="宋体"/>
          <w:color w:val="auto"/>
          <w:sz w:val="22"/>
          <w:szCs w:val="22"/>
          <w:highlight w:val="none"/>
        </w:rPr>
        <w:t>投标文件</w:t>
      </w:r>
      <w:r>
        <w:rPr>
          <w:rFonts w:hint="eastAsia" w:hAnsi="宋体"/>
          <w:color w:val="auto"/>
          <w:sz w:val="22"/>
          <w:szCs w:val="22"/>
          <w:highlight w:val="none"/>
        </w:rPr>
        <w:t>》应由</w:t>
      </w:r>
      <w:r>
        <w:rPr>
          <w:rFonts w:hint="eastAsia" w:hAnsi="宋体"/>
          <w:color w:val="auto"/>
          <w:sz w:val="22"/>
          <w:szCs w:val="22"/>
          <w:highlight w:val="none"/>
          <w:lang w:eastAsia="zh-CN"/>
        </w:rPr>
        <w:t>投标供应商</w:t>
      </w:r>
      <w:r>
        <w:rPr>
          <w:rFonts w:hint="eastAsia" w:hAnsi="宋体"/>
          <w:color w:val="auto"/>
          <w:sz w:val="22"/>
          <w:szCs w:val="22"/>
          <w:highlight w:val="none"/>
        </w:rPr>
        <w:t>法定代表人或其授权代表签字（或盖章），并时加盖</w:t>
      </w:r>
      <w:r>
        <w:rPr>
          <w:rFonts w:hint="eastAsia" w:hAnsi="宋体"/>
          <w:color w:val="auto"/>
          <w:sz w:val="22"/>
          <w:szCs w:val="22"/>
          <w:highlight w:val="none"/>
          <w:lang w:eastAsia="zh-CN"/>
        </w:rPr>
        <w:t>投标供应商</w:t>
      </w:r>
      <w:r>
        <w:rPr>
          <w:rFonts w:hint="eastAsia" w:hAnsi="宋体"/>
          <w:color w:val="auto"/>
          <w:sz w:val="22"/>
          <w:szCs w:val="22"/>
          <w:highlight w:val="none"/>
        </w:rPr>
        <w:t>公章。</w:t>
      </w:r>
    </w:p>
    <w:p w14:paraId="66848A02">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w:t>
      </w:r>
      <w:r>
        <w:rPr>
          <w:rFonts w:hAnsi="宋体"/>
          <w:color w:val="auto"/>
          <w:sz w:val="22"/>
          <w:szCs w:val="22"/>
          <w:highlight w:val="none"/>
        </w:rPr>
        <w:t>3</w:t>
      </w:r>
      <w:r>
        <w:rPr>
          <w:rFonts w:hint="eastAsia" w:hAnsi="宋体"/>
          <w:color w:val="auto"/>
          <w:sz w:val="22"/>
          <w:szCs w:val="22"/>
          <w:highlight w:val="none"/>
        </w:rPr>
        <w:t>电子签章操作指南详见采购公告附件《供应商项目采购-电子招投标操作指南》。</w:t>
      </w:r>
    </w:p>
    <w:p w14:paraId="6E06D1CA">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7、投标文件的形式</w:t>
      </w:r>
    </w:p>
    <w:p w14:paraId="45DEB9FF">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.1投标文件的形式：见投标通知(邀 请)书；</w:t>
      </w:r>
    </w:p>
    <w:p w14:paraId="71CD4389">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.2“电子加密投标文件”：“电子加密投标文件”是指通过“</w:t>
      </w:r>
      <w:r>
        <w:rPr>
          <w:rFonts w:hint="eastAsia" w:hAnsi="宋体"/>
          <w:color w:val="auto"/>
          <w:sz w:val="22"/>
          <w:szCs w:val="22"/>
          <w:highlight w:val="none"/>
          <w:lang w:eastAsia="zh-CN"/>
        </w:rPr>
        <w:t>乐采云电子交易客户端</w:t>
      </w:r>
      <w:r>
        <w:rPr>
          <w:rFonts w:hint="eastAsia" w:hAnsi="宋体"/>
          <w:color w:val="auto"/>
          <w:sz w:val="22"/>
          <w:szCs w:val="22"/>
          <w:highlight w:val="none"/>
        </w:rPr>
        <w:t>”完成投标文件编制后生成并加密的数据电文形式的投标文件。</w:t>
      </w:r>
    </w:p>
    <w:p w14:paraId="2C850C03">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14:paraId="157E2F15">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8、投标文件的份数</w:t>
      </w:r>
    </w:p>
    <w:p w14:paraId="627AEB34">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8</w:t>
      </w:r>
      <w:r>
        <w:rPr>
          <w:rFonts w:hint="eastAsia" w:hAnsi="宋体"/>
          <w:color w:val="auto"/>
          <w:sz w:val="22"/>
          <w:szCs w:val="22"/>
          <w:highlight w:val="none"/>
        </w:rPr>
        <w:t>.1投标文件的份数：见投标通知(邀 请)书。</w:t>
      </w:r>
    </w:p>
    <w:p w14:paraId="27F7C4C8">
      <w:pPr>
        <w:snapToGrid w:val="0"/>
        <w:spacing w:line="420" w:lineRule="exact"/>
        <w:outlineLvl w:val="0"/>
        <w:rPr>
          <w:rFonts w:hint="eastAsia"/>
          <w:b w:val="0"/>
          <w:bCs/>
          <w:color w:val="auto"/>
          <w:sz w:val="22"/>
          <w:szCs w:val="22"/>
          <w:highlight w:val="none"/>
        </w:rPr>
      </w:pPr>
      <w:r>
        <w:rPr>
          <w:rFonts w:hint="eastAsia"/>
          <w:b w:val="0"/>
          <w:bCs/>
          <w:color w:val="auto"/>
          <w:sz w:val="22"/>
          <w:szCs w:val="22"/>
          <w:highlight w:val="none"/>
        </w:rPr>
        <w:t>五、投标</w:t>
      </w:r>
    </w:p>
    <w:p w14:paraId="0DCF3DF4">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1、投标文件的上传和递交</w:t>
      </w:r>
    </w:p>
    <w:p w14:paraId="4BA433F9">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.1“投标文件”的上传、递交：见投标通知(邀 请)书。</w:t>
      </w:r>
    </w:p>
    <w:p w14:paraId="3809E0D2">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2、“电子加密投标文件”解密和异常情况处理</w:t>
      </w:r>
    </w:p>
    <w:p w14:paraId="155DC3ED">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.1“电子加密投标文件”解密：见投标通知(邀 请)书。</w:t>
      </w:r>
    </w:p>
    <w:p w14:paraId="1471936C">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3、投标文件的补充、修改或撤回</w:t>
      </w:r>
    </w:p>
    <w:p w14:paraId="728EAAA9">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color w:val="auto"/>
          <w:sz w:val="22"/>
          <w:szCs w:val="22"/>
          <w:highlight w:val="none"/>
          <w:lang w:eastAsia="zh-CN"/>
        </w:rPr>
        <w:t>乐采云-政企采购开放平台</w:t>
      </w:r>
      <w:r>
        <w:rPr>
          <w:rFonts w:hint="eastAsia" w:hAnsi="宋体"/>
          <w:color w:val="auto"/>
          <w:sz w:val="22"/>
          <w:szCs w:val="22"/>
          <w:highlight w:val="none"/>
        </w:rPr>
        <w:t>”将予以拒收。</w:t>
      </w:r>
    </w:p>
    <w:p w14:paraId="56591464">
      <w:pPr>
        <w:pStyle w:val="39"/>
        <w:snapToGrid w:val="0"/>
        <w:spacing w:line="420" w:lineRule="exact"/>
        <w:ind w:firstLine="442" w:firstLineChars="200"/>
        <w:rPr>
          <w:rFonts w:hAnsi="宋体"/>
          <w:b/>
          <w:color w:val="auto"/>
          <w:sz w:val="22"/>
          <w:szCs w:val="22"/>
          <w:highlight w:val="none"/>
        </w:rPr>
      </w:pPr>
      <w:r>
        <w:rPr>
          <w:rFonts w:hAnsi="宋体"/>
          <w:b/>
          <w:color w:val="auto"/>
          <w:sz w:val="22"/>
          <w:szCs w:val="22"/>
          <w:highlight w:val="none"/>
        </w:rPr>
        <w:t>3</w:t>
      </w:r>
      <w:r>
        <w:rPr>
          <w:rFonts w:hint="eastAsia" w:hAnsi="宋体"/>
          <w:b/>
          <w:color w:val="auto"/>
          <w:sz w:val="22"/>
          <w:szCs w:val="22"/>
          <w:highlight w:val="none"/>
        </w:rPr>
        <w:t>.2</w:t>
      </w:r>
      <w:r>
        <w:rPr>
          <w:rFonts w:hAnsi="宋体"/>
          <w:b/>
          <w:color w:val="auto"/>
          <w:sz w:val="22"/>
          <w:szCs w:val="22"/>
          <w:highlight w:val="none"/>
        </w:rPr>
        <w:t>投标截止时间后，</w:t>
      </w:r>
      <w:r>
        <w:rPr>
          <w:rFonts w:hint="eastAsia" w:hAnsi="宋体"/>
          <w:b/>
          <w:color w:val="auto"/>
          <w:sz w:val="22"/>
          <w:szCs w:val="22"/>
          <w:highlight w:val="none"/>
          <w:lang w:eastAsia="zh-CN"/>
        </w:rPr>
        <w:t>投标供应商</w:t>
      </w:r>
      <w:r>
        <w:rPr>
          <w:rFonts w:hAnsi="宋体"/>
          <w:b/>
          <w:color w:val="auto"/>
          <w:sz w:val="22"/>
          <w:szCs w:val="22"/>
          <w:highlight w:val="none"/>
        </w:rPr>
        <w:t>不得撤回、修改《投标文件》</w:t>
      </w:r>
      <w:r>
        <w:rPr>
          <w:rFonts w:hint="eastAsia" w:hAnsi="宋体"/>
          <w:b/>
          <w:color w:val="auto"/>
          <w:sz w:val="22"/>
          <w:szCs w:val="22"/>
          <w:highlight w:val="none"/>
        </w:rPr>
        <w:t>。</w:t>
      </w:r>
    </w:p>
    <w:p w14:paraId="1BFF990E">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4、投标文件的备选方案</w:t>
      </w:r>
    </w:p>
    <w:p w14:paraId="144ABD2C">
      <w:pPr>
        <w:pStyle w:val="39"/>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4.1</w:t>
      </w:r>
      <w:r>
        <w:rPr>
          <w:rFonts w:hint="eastAsia" w:hAnsi="宋体"/>
          <w:color w:val="auto"/>
          <w:sz w:val="22"/>
          <w:szCs w:val="22"/>
          <w:highlight w:val="none"/>
          <w:lang w:eastAsia="zh-CN"/>
        </w:rPr>
        <w:t>投标供应商</w:t>
      </w:r>
      <w:r>
        <w:rPr>
          <w:rFonts w:hint="eastAsia" w:hAnsi="宋体"/>
          <w:color w:val="auto"/>
          <w:sz w:val="22"/>
          <w:szCs w:val="22"/>
          <w:highlight w:val="none"/>
        </w:rPr>
        <w:t>不得递交任何的</w:t>
      </w:r>
      <w:r>
        <w:rPr>
          <w:rFonts w:hAnsi="宋体"/>
          <w:color w:val="auto"/>
          <w:sz w:val="22"/>
          <w:szCs w:val="22"/>
          <w:highlight w:val="none"/>
        </w:rPr>
        <w:t>投标备选（替代）方案</w:t>
      </w:r>
      <w:r>
        <w:rPr>
          <w:rFonts w:hint="eastAsia" w:hAnsi="宋体"/>
          <w:color w:val="auto"/>
          <w:sz w:val="22"/>
          <w:szCs w:val="22"/>
          <w:highlight w:val="none"/>
        </w:rPr>
        <w:t>，否则其投标文件将作无效标处理。与“电子加密投标文件”同时生成的“备份投标文件”不是投标备选（替代）方案。</w:t>
      </w:r>
    </w:p>
    <w:p w14:paraId="39E36C90">
      <w:pPr>
        <w:snapToGrid w:val="0"/>
        <w:spacing w:line="420" w:lineRule="exact"/>
        <w:outlineLvl w:val="0"/>
        <w:rPr>
          <w:rFonts w:hint="eastAsia"/>
          <w:color w:val="auto"/>
          <w:sz w:val="22"/>
          <w:szCs w:val="22"/>
          <w:highlight w:val="none"/>
        </w:rPr>
      </w:pPr>
      <w:r>
        <w:rPr>
          <w:rFonts w:hint="eastAsia"/>
          <w:color w:val="auto"/>
          <w:sz w:val="22"/>
          <w:szCs w:val="22"/>
          <w:highlight w:val="none"/>
        </w:rPr>
        <w:t>六、开标和评标</w:t>
      </w:r>
    </w:p>
    <w:p w14:paraId="0D800F04">
      <w:pPr>
        <w:snapToGrid w:val="0"/>
        <w:spacing w:line="420" w:lineRule="exact"/>
        <w:ind w:firstLine="527"/>
        <w:rPr>
          <w:rFonts w:hint="eastAsia"/>
          <w:b/>
          <w:color w:val="auto"/>
          <w:sz w:val="22"/>
          <w:szCs w:val="22"/>
          <w:highlight w:val="none"/>
        </w:rPr>
      </w:pPr>
      <w:r>
        <w:rPr>
          <w:rFonts w:hint="eastAsia"/>
          <w:b/>
          <w:color w:val="auto"/>
          <w:sz w:val="22"/>
          <w:szCs w:val="22"/>
          <w:highlight w:val="none"/>
        </w:rPr>
        <w:t>一）开标</w:t>
      </w:r>
    </w:p>
    <w:p w14:paraId="550971A6">
      <w:pPr>
        <w:snapToGrid w:val="0"/>
        <w:spacing w:line="420" w:lineRule="exact"/>
        <w:ind w:firstLine="527"/>
        <w:rPr>
          <w:rFonts w:hint="eastAsia"/>
          <w:b/>
          <w:color w:val="auto"/>
          <w:sz w:val="22"/>
          <w:szCs w:val="22"/>
          <w:highlight w:val="none"/>
        </w:rPr>
      </w:pPr>
      <w:r>
        <w:rPr>
          <w:rFonts w:hint="eastAsia"/>
          <w:b/>
          <w:color w:val="auto"/>
          <w:sz w:val="22"/>
          <w:szCs w:val="22"/>
          <w:highlight w:val="none"/>
        </w:rPr>
        <w:t>1、开标形式</w:t>
      </w:r>
    </w:p>
    <w:p w14:paraId="5720F120">
      <w:pPr>
        <w:snapToGrid w:val="0"/>
        <w:spacing w:line="420" w:lineRule="exact"/>
        <w:ind w:firstLine="527"/>
        <w:rPr>
          <w:rFonts w:hint="eastAsia"/>
          <w:color w:val="auto"/>
          <w:sz w:val="22"/>
          <w:szCs w:val="22"/>
          <w:highlight w:val="none"/>
        </w:rPr>
      </w:pPr>
      <w:r>
        <w:rPr>
          <w:rFonts w:hint="eastAsia"/>
          <w:color w:val="auto"/>
          <w:sz w:val="22"/>
          <w:szCs w:val="22"/>
          <w:highlight w:val="none"/>
        </w:rPr>
        <w:t>1.1 采购组织机构将按照招标文件规定的时间通过“</w:t>
      </w:r>
      <w:r>
        <w:rPr>
          <w:rFonts w:hint="eastAsia"/>
          <w:color w:val="auto"/>
          <w:sz w:val="22"/>
          <w:szCs w:val="22"/>
          <w:highlight w:val="none"/>
          <w:lang w:eastAsia="zh-CN"/>
        </w:rPr>
        <w:t>乐采云-政企采购开放平台</w:t>
      </w:r>
      <w:r>
        <w:rPr>
          <w:rFonts w:hint="eastAsia"/>
          <w:color w:val="auto"/>
          <w:sz w:val="22"/>
          <w:szCs w:val="22"/>
          <w:highlight w:val="none"/>
        </w:rPr>
        <w:t>”组织开标、开启投标文件，所有供应商均应当准时在线参加。</w:t>
      </w:r>
    </w:p>
    <w:p w14:paraId="7DDFB8D9">
      <w:pPr>
        <w:snapToGrid w:val="0"/>
        <w:spacing w:line="420" w:lineRule="exact"/>
        <w:ind w:firstLine="527"/>
        <w:rPr>
          <w:rFonts w:hint="eastAsia"/>
          <w:b/>
          <w:color w:val="auto"/>
          <w:sz w:val="22"/>
          <w:szCs w:val="22"/>
          <w:highlight w:val="none"/>
        </w:rPr>
      </w:pPr>
      <w:r>
        <w:rPr>
          <w:rFonts w:hint="eastAsia"/>
          <w:b/>
          <w:color w:val="auto"/>
          <w:sz w:val="22"/>
          <w:szCs w:val="22"/>
          <w:highlight w:val="none"/>
        </w:rPr>
        <w:t>2、</w:t>
      </w:r>
      <w:r>
        <w:rPr>
          <w:b/>
          <w:color w:val="auto"/>
          <w:sz w:val="22"/>
          <w:szCs w:val="22"/>
          <w:highlight w:val="none"/>
        </w:rPr>
        <w:t>开标准备</w:t>
      </w:r>
    </w:p>
    <w:p w14:paraId="0D637F44">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.1开标的准备工作由采购组织机构负责落实；</w:t>
      </w:r>
    </w:p>
    <w:p w14:paraId="0EBE595C">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.2采购组织机构将按照招标文件规定的时间通过“</w:t>
      </w:r>
      <w:r>
        <w:rPr>
          <w:rFonts w:hint="eastAsia"/>
          <w:color w:val="auto"/>
          <w:sz w:val="22"/>
          <w:szCs w:val="22"/>
          <w:highlight w:val="none"/>
          <w:lang w:eastAsia="zh-CN"/>
        </w:rPr>
        <w:t>乐采云-政企采购开放平台</w:t>
      </w:r>
      <w:r>
        <w:rPr>
          <w:rFonts w:hint="eastAsia"/>
          <w:color w:val="auto"/>
          <w:sz w:val="22"/>
          <w:szCs w:val="22"/>
          <w:highlight w:val="none"/>
        </w:rPr>
        <w:t>”组织开标、开启投标文件，所有供应商均应当准时在线参加。</w:t>
      </w:r>
      <w:r>
        <w:rPr>
          <w:rFonts w:hint="eastAsia"/>
          <w:color w:val="auto"/>
          <w:sz w:val="22"/>
          <w:szCs w:val="22"/>
          <w:highlight w:val="none"/>
          <w:lang w:eastAsia="zh-CN"/>
        </w:rPr>
        <w:t>投标供应商</w:t>
      </w:r>
      <w:r>
        <w:rPr>
          <w:color w:val="auto"/>
          <w:sz w:val="22"/>
          <w:szCs w:val="22"/>
          <w:highlight w:val="none"/>
        </w:rPr>
        <w:t>如不</w:t>
      </w:r>
      <w:r>
        <w:rPr>
          <w:rFonts w:hint="eastAsia"/>
          <w:color w:val="auto"/>
          <w:sz w:val="22"/>
          <w:szCs w:val="22"/>
          <w:highlight w:val="none"/>
        </w:rPr>
        <w:t>参加</w:t>
      </w:r>
      <w:r>
        <w:rPr>
          <w:color w:val="auto"/>
          <w:sz w:val="22"/>
          <w:szCs w:val="22"/>
          <w:highlight w:val="none"/>
        </w:rPr>
        <w:t>开标大会的，</w:t>
      </w:r>
      <w:r>
        <w:rPr>
          <w:rFonts w:hint="eastAsia"/>
          <w:color w:val="auto"/>
          <w:sz w:val="22"/>
          <w:szCs w:val="22"/>
          <w:highlight w:val="none"/>
        </w:rPr>
        <w:t>视同认可开标结果，</w:t>
      </w:r>
      <w:r>
        <w:rPr>
          <w:color w:val="auto"/>
          <w:sz w:val="22"/>
          <w:szCs w:val="22"/>
          <w:highlight w:val="none"/>
        </w:rPr>
        <w:t>事后不得对采购相关人员、开标过程和开标结果提出异议</w:t>
      </w:r>
      <w:r>
        <w:rPr>
          <w:rFonts w:hint="eastAsia"/>
          <w:color w:val="auto"/>
          <w:sz w:val="22"/>
          <w:szCs w:val="22"/>
          <w:highlight w:val="none"/>
        </w:rPr>
        <w:t>，同时</w:t>
      </w:r>
      <w:r>
        <w:rPr>
          <w:rFonts w:hint="eastAsia"/>
          <w:color w:val="auto"/>
          <w:sz w:val="22"/>
          <w:szCs w:val="22"/>
          <w:highlight w:val="none"/>
          <w:lang w:eastAsia="zh-CN"/>
        </w:rPr>
        <w:t>投标供应商</w:t>
      </w:r>
      <w:r>
        <w:rPr>
          <w:rFonts w:hint="eastAsia"/>
          <w:color w:val="auto"/>
          <w:sz w:val="22"/>
          <w:szCs w:val="22"/>
          <w:highlight w:val="none"/>
        </w:rPr>
        <w:t>因未在线参加开标而导致投标文件无法按时解密等一切后果由供应商自己承担。</w:t>
      </w:r>
    </w:p>
    <w:p w14:paraId="6BBCACFE">
      <w:pPr>
        <w:snapToGrid w:val="0"/>
        <w:spacing w:line="420" w:lineRule="exact"/>
        <w:ind w:firstLine="527"/>
        <w:rPr>
          <w:rFonts w:hint="eastAsia"/>
          <w:color w:val="auto"/>
          <w:sz w:val="22"/>
          <w:szCs w:val="22"/>
          <w:highlight w:val="none"/>
        </w:rPr>
      </w:pPr>
      <w:r>
        <w:rPr>
          <w:rFonts w:hint="eastAsia"/>
          <w:color w:val="auto"/>
          <w:sz w:val="22"/>
          <w:szCs w:val="22"/>
          <w:highlight w:val="none"/>
        </w:rPr>
        <w:t>3、</w:t>
      </w:r>
      <w:r>
        <w:rPr>
          <w:color w:val="auto"/>
          <w:sz w:val="22"/>
          <w:szCs w:val="22"/>
          <w:highlight w:val="none"/>
        </w:rPr>
        <w:t>开标</w:t>
      </w:r>
      <w:r>
        <w:rPr>
          <w:rFonts w:hint="eastAsia"/>
          <w:color w:val="auto"/>
          <w:sz w:val="22"/>
          <w:szCs w:val="22"/>
          <w:highlight w:val="none"/>
        </w:rPr>
        <w:t>流程（两阶段）</w:t>
      </w:r>
    </w:p>
    <w:p w14:paraId="2718A300">
      <w:pPr>
        <w:snapToGrid w:val="0"/>
        <w:spacing w:line="420" w:lineRule="exact"/>
        <w:ind w:firstLine="527"/>
        <w:rPr>
          <w:rFonts w:hint="eastAsia"/>
          <w:color w:val="auto"/>
          <w:sz w:val="22"/>
          <w:szCs w:val="22"/>
          <w:highlight w:val="none"/>
        </w:rPr>
      </w:pPr>
      <w:r>
        <w:rPr>
          <w:rFonts w:hint="eastAsia"/>
          <w:color w:val="auto"/>
          <w:sz w:val="22"/>
          <w:szCs w:val="22"/>
          <w:highlight w:val="none"/>
        </w:rPr>
        <w:t>3.1开标第一阶段</w:t>
      </w:r>
    </w:p>
    <w:p w14:paraId="56C868C9">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）向各</w:t>
      </w:r>
      <w:r>
        <w:rPr>
          <w:rFonts w:hint="eastAsia"/>
          <w:color w:val="auto"/>
          <w:sz w:val="22"/>
          <w:szCs w:val="22"/>
          <w:highlight w:val="none"/>
          <w:lang w:eastAsia="zh-CN"/>
        </w:rPr>
        <w:t>投标供应商</w:t>
      </w:r>
      <w:r>
        <w:rPr>
          <w:rFonts w:hint="eastAsia"/>
          <w:color w:val="auto"/>
          <w:sz w:val="22"/>
          <w:szCs w:val="22"/>
          <w:highlight w:val="none"/>
        </w:rPr>
        <w:t>发出电子加密投标文件【开始解密】通知，由供应商按招标文件规定的时间内自行进行投标文件解密。</w:t>
      </w:r>
      <w:r>
        <w:rPr>
          <w:rFonts w:hint="eastAsia"/>
          <w:color w:val="auto"/>
          <w:sz w:val="22"/>
          <w:szCs w:val="22"/>
          <w:highlight w:val="none"/>
          <w:lang w:eastAsia="zh-CN"/>
        </w:rPr>
        <w:t>投标供应商</w:t>
      </w:r>
      <w:r>
        <w:rPr>
          <w:rFonts w:hint="eastAsia"/>
          <w:color w:val="auto"/>
          <w:sz w:val="22"/>
          <w:szCs w:val="22"/>
          <w:highlight w:val="none"/>
        </w:rPr>
        <w:t>在规定的时间内无法完成已递交的“电子加密投标文件”解密的，如已按规定递交了备份投标文件的，将由采购组织机构按“</w:t>
      </w:r>
      <w:r>
        <w:rPr>
          <w:rFonts w:hint="eastAsia"/>
          <w:color w:val="auto"/>
          <w:sz w:val="22"/>
          <w:szCs w:val="22"/>
          <w:highlight w:val="none"/>
          <w:lang w:eastAsia="zh-CN"/>
        </w:rPr>
        <w:t>乐采云-政企采购开放平台</w:t>
      </w:r>
      <w:r>
        <w:rPr>
          <w:rFonts w:hint="eastAsia"/>
          <w:color w:val="auto"/>
          <w:sz w:val="22"/>
          <w:szCs w:val="22"/>
          <w:highlight w:val="none"/>
        </w:rPr>
        <w:t>”操作规范将备份投标文件上传至“</w:t>
      </w:r>
      <w:r>
        <w:rPr>
          <w:rFonts w:hint="eastAsia"/>
          <w:color w:val="auto"/>
          <w:sz w:val="22"/>
          <w:szCs w:val="22"/>
          <w:highlight w:val="none"/>
          <w:lang w:eastAsia="zh-CN"/>
        </w:rPr>
        <w:t>乐采云-政企采购开放平台</w:t>
      </w:r>
      <w:r>
        <w:rPr>
          <w:rFonts w:hint="eastAsia"/>
          <w:color w:val="auto"/>
          <w:sz w:val="22"/>
          <w:szCs w:val="22"/>
          <w:highlight w:val="none"/>
        </w:rPr>
        <w:t>”，上传成功后，“电子加密投标文件”自动失效；</w:t>
      </w:r>
    </w:p>
    <w:p w14:paraId="4B414694">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）投标文件解密结束，发送各</w:t>
      </w:r>
      <w:r>
        <w:rPr>
          <w:rFonts w:hint="eastAsia"/>
          <w:color w:val="auto"/>
          <w:sz w:val="22"/>
          <w:szCs w:val="22"/>
          <w:highlight w:val="none"/>
          <w:lang w:eastAsia="zh-CN"/>
        </w:rPr>
        <w:t>投标供应商</w:t>
      </w:r>
      <w:r>
        <w:rPr>
          <w:rFonts w:hint="eastAsia"/>
          <w:color w:val="auto"/>
          <w:sz w:val="22"/>
          <w:szCs w:val="22"/>
          <w:highlight w:val="none"/>
        </w:rPr>
        <w:t>组织签署《</w:t>
      </w:r>
      <w:r>
        <w:rPr>
          <w:rFonts w:hint="eastAsia"/>
          <w:color w:val="auto"/>
          <w:sz w:val="22"/>
          <w:szCs w:val="22"/>
          <w:highlight w:val="none"/>
          <w:lang w:eastAsia="zh-CN"/>
        </w:rPr>
        <w:t>国企采购</w:t>
      </w:r>
      <w:r>
        <w:rPr>
          <w:rFonts w:hint="eastAsia"/>
          <w:color w:val="auto"/>
          <w:sz w:val="22"/>
          <w:szCs w:val="22"/>
          <w:highlight w:val="none"/>
        </w:rPr>
        <w:t>活动现场确认声明书》；</w:t>
      </w:r>
    </w:p>
    <w:p w14:paraId="5D090586">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3</w:t>
      </w:r>
      <w:r>
        <w:rPr>
          <w:rFonts w:hint="eastAsia"/>
          <w:color w:val="auto"/>
          <w:sz w:val="22"/>
          <w:szCs w:val="22"/>
          <w:highlight w:val="none"/>
        </w:rPr>
        <w:t>）开启投标文件，进入资格审查；</w:t>
      </w:r>
    </w:p>
    <w:p w14:paraId="4BBFEC3C">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4</w:t>
      </w:r>
      <w:r>
        <w:rPr>
          <w:rFonts w:hint="eastAsia"/>
          <w:color w:val="auto"/>
          <w:sz w:val="22"/>
          <w:szCs w:val="22"/>
          <w:highlight w:val="none"/>
        </w:rPr>
        <w:t>）开启资格审查通过的</w:t>
      </w:r>
      <w:r>
        <w:rPr>
          <w:rFonts w:hint="eastAsia"/>
          <w:color w:val="auto"/>
          <w:sz w:val="22"/>
          <w:szCs w:val="22"/>
          <w:highlight w:val="none"/>
          <w:lang w:eastAsia="zh-CN"/>
        </w:rPr>
        <w:t>投标供应商</w:t>
      </w:r>
      <w:r>
        <w:rPr>
          <w:rFonts w:hint="eastAsia"/>
          <w:color w:val="auto"/>
          <w:sz w:val="22"/>
          <w:szCs w:val="22"/>
          <w:highlight w:val="none"/>
        </w:rPr>
        <w:t>的商务技术文件进入符合性审查、商务技术评审；</w:t>
      </w:r>
    </w:p>
    <w:p w14:paraId="2D9F361D">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5</w:t>
      </w:r>
      <w:r>
        <w:rPr>
          <w:rFonts w:hint="eastAsia"/>
          <w:color w:val="auto"/>
          <w:sz w:val="22"/>
          <w:szCs w:val="22"/>
          <w:highlight w:val="none"/>
        </w:rPr>
        <w:t>）第一阶段开标结束。</w:t>
      </w:r>
    </w:p>
    <w:p w14:paraId="2B03137E">
      <w:pPr>
        <w:snapToGrid w:val="0"/>
        <w:spacing w:line="420" w:lineRule="exact"/>
        <w:ind w:firstLine="527"/>
        <w:rPr>
          <w:rFonts w:hint="eastAsia"/>
          <w:color w:val="auto"/>
          <w:sz w:val="22"/>
          <w:szCs w:val="22"/>
          <w:highlight w:val="none"/>
        </w:rPr>
      </w:pPr>
      <w:r>
        <w:rPr>
          <w:rFonts w:hint="eastAsia"/>
          <w:color w:val="auto"/>
          <w:sz w:val="22"/>
          <w:szCs w:val="22"/>
          <w:highlight w:val="none"/>
        </w:rPr>
        <w:t>备注：开标大会的第一阶段结束后，采购人或采购代理机构将对依法对</w:t>
      </w:r>
      <w:r>
        <w:rPr>
          <w:rFonts w:hint="eastAsia"/>
          <w:color w:val="auto"/>
          <w:sz w:val="22"/>
          <w:szCs w:val="22"/>
          <w:highlight w:val="none"/>
          <w:lang w:eastAsia="zh-CN"/>
        </w:rPr>
        <w:t>投标供应商</w:t>
      </w:r>
      <w:r>
        <w:rPr>
          <w:rFonts w:hint="eastAsia"/>
          <w:color w:val="auto"/>
          <w:sz w:val="22"/>
          <w:szCs w:val="22"/>
          <w:highlight w:val="none"/>
        </w:rPr>
        <w:t>的资格进行审查，资格审查结束后进入符合性审查和商务技术的评审工作，具体见本章节“</w:t>
      </w:r>
      <w:r>
        <w:rPr>
          <w:rFonts w:hint="eastAsia"/>
          <w:color w:val="auto"/>
          <w:sz w:val="22"/>
          <w:szCs w:val="22"/>
          <w:highlight w:val="none"/>
          <w:lang w:eastAsia="zh-CN"/>
        </w:rPr>
        <w:t>投标供应商</w:t>
      </w:r>
      <w:r>
        <w:rPr>
          <w:rFonts w:hint="eastAsia"/>
          <w:color w:val="auto"/>
          <w:sz w:val="22"/>
          <w:szCs w:val="22"/>
          <w:highlight w:val="none"/>
        </w:rPr>
        <w:t>资格审查”相关规定。</w:t>
      </w:r>
    </w:p>
    <w:p w14:paraId="1C1FA581">
      <w:pPr>
        <w:snapToGrid w:val="0"/>
        <w:spacing w:line="420" w:lineRule="exact"/>
        <w:ind w:firstLine="527"/>
        <w:rPr>
          <w:rFonts w:hint="eastAsia"/>
          <w:color w:val="auto"/>
          <w:sz w:val="22"/>
          <w:szCs w:val="22"/>
          <w:highlight w:val="none"/>
        </w:rPr>
      </w:pPr>
      <w:r>
        <w:rPr>
          <w:rFonts w:hint="eastAsia"/>
          <w:color w:val="auto"/>
          <w:sz w:val="22"/>
          <w:szCs w:val="22"/>
          <w:highlight w:val="none"/>
        </w:rPr>
        <w:t>3.2开标大会第二阶段</w:t>
      </w:r>
    </w:p>
    <w:p w14:paraId="341623FB">
      <w:pPr>
        <w:numPr>
          <w:ilvl w:val="0"/>
          <w:numId w:val="12"/>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符合性审查、商务技术评审结束后，举行开标大会第二阶段会议。首先公布符合性审查、商务技术评审无效供应商名称及理由</w:t>
      </w:r>
      <w:r>
        <w:rPr>
          <w:color w:val="auto"/>
          <w:sz w:val="22"/>
          <w:szCs w:val="22"/>
          <w:highlight w:val="none"/>
        </w:rPr>
        <w:t>；公布经商务技术评审</w:t>
      </w:r>
      <w:r>
        <w:rPr>
          <w:rFonts w:hint="eastAsia"/>
          <w:color w:val="auto"/>
          <w:sz w:val="22"/>
          <w:szCs w:val="22"/>
          <w:highlight w:val="none"/>
        </w:rPr>
        <w:t>后有效</w:t>
      </w:r>
      <w:r>
        <w:rPr>
          <w:rFonts w:hint="eastAsia"/>
          <w:color w:val="auto"/>
          <w:sz w:val="22"/>
          <w:szCs w:val="22"/>
          <w:highlight w:val="none"/>
          <w:lang w:eastAsia="zh-CN"/>
        </w:rPr>
        <w:t>投标供应商</w:t>
      </w:r>
      <w:r>
        <w:rPr>
          <w:rFonts w:hint="eastAsia"/>
          <w:color w:val="auto"/>
          <w:sz w:val="22"/>
          <w:szCs w:val="22"/>
          <w:highlight w:val="none"/>
        </w:rPr>
        <w:t>的</w:t>
      </w:r>
      <w:r>
        <w:rPr>
          <w:color w:val="auto"/>
          <w:sz w:val="22"/>
          <w:szCs w:val="22"/>
          <w:highlight w:val="none"/>
        </w:rPr>
        <w:t>名单，同时公布</w:t>
      </w:r>
      <w:r>
        <w:rPr>
          <w:rFonts w:hint="eastAsia"/>
          <w:color w:val="auto"/>
          <w:sz w:val="22"/>
          <w:szCs w:val="22"/>
          <w:highlight w:val="none"/>
        </w:rPr>
        <w:t>其</w:t>
      </w:r>
      <w:r>
        <w:rPr>
          <w:color w:val="auto"/>
          <w:sz w:val="22"/>
          <w:szCs w:val="22"/>
          <w:highlight w:val="none"/>
        </w:rPr>
        <w:t>商务技术</w:t>
      </w:r>
      <w:r>
        <w:rPr>
          <w:rFonts w:hint="eastAsia"/>
          <w:color w:val="auto"/>
          <w:sz w:val="22"/>
          <w:szCs w:val="22"/>
          <w:highlight w:val="none"/>
        </w:rPr>
        <w:t>部分</w:t>
      </w:r>
      <w:r>
        <w:rPr>
          <w:color w:val="auto"/>
          <w:sz w:val="22"/>
          <w:szCs w:val="22"/>
          <w:highlight w:val="none"/>
        </w:rPr>
        <w:t>得分情况</w:t>
      </w:r>
      <w:r>
        <w:rPr>
          <w:rFonts w:hint="eastAsia"/>
          <w:color w:val="auto"/>
          <w:sz w:val="22"/>
          <w:szCs w:val="22"/>
          <w:highlight w:val="none"/>
        </w:rPr>
        <w:t>。</w:t>
      </w:r>
    </w:p>
    <w:p w14:paraId="20584DA2">
      <w:pPr>
        <w:numPr>
          <w:ilvl w:val="0"/>
          <w:numId w:val="12"/>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开启符合性审查、商务技术评审有效</w:t>
      </w:r>
      <w:r>
        <w:rPr>
          <w:rFonts w:hint="eastAsia"/>
          <w:color w:val="auto"/>
          <w:sz w:val="22"/>
          <w:szCs w:val="22"/>
          <w:highlight w:val="none"/>
          <w:lang w:eastAsia="zh-CN"/>
        </w:rPr>
        <w:t>投标供应商</w:t>
      </w:r>
      <w:r>
        <w:rPr>
          <w:rFonts w:hint="eastAsia"/>
          <w:color w:val="auto"/>
          <w:sz w:val="22"/>
          <w:szCs w:val="22"/>
          <w:highlight w:val="none"/>
        </w:rPr>
        <w:t>的《报价文件》</w:t>
      </w:r>
      <w:r>
        <w:rPr>
          <w:color w:val="auto"/>
          <w:sz w:val="22"/>
          <w:szCs w:val="22"/>
          <w:highlight w:val="none"/>
        </w:rPr>
        <w:t>。</w:t>
      </w:r>
      <w:r>
        <w:rPr>
          <w:rFonts w:hint="eastAsia"/>
          <w:color w:val="auto"/>
          <w:sz w:val="22"/>
          <w:szCs w:val="22"/>
          <w:highlight w:val="none"/>
        </w:rPr>
        <w:t>供应商</w:t>
      </w:r>
      <w:r>
        <w:rPr>
          <w:color w:val="auto"/>
          <w:sz w:val="22"/>
          <w:szCs w:val="22"/>
          <w:highlight w:val="none"/>
        </w:rPr>
        <w:t>签字确认（</w:t>
      </w:r>
      <w:r>
        <w:rPr>
          <w:rFonts w:hint="eastAsia"/>
          <w:color w:val="auto"/>
          <w:sz w:val="22"/>
          <w:szCs w:val="22"/>
          <w:highlight w:val="none"/>
        </w:rPr>
        <w:t>10分钟内未</w:t>
      </w:r>
      <w:r>
        <w:rPr>
          <w:color w:val="auto"/>
          <w:sz w:val="22"/>
          <w:szCs w:val="22"/>
          <w:highlight w:val="none"/>
        </w:rPr>
        <w:t>确认的视为无异议），由评标委员会对报价的合理性、准确性等进行审查核实</w:t>
      </w:r>
      <w:r>
        <w:rPr>
          <w:rFonts w:hint="eastAsia"/>
          <w:color w:val="auto"/>
          <w:sz w:val="22"/>
          <w:szCs w:val="22"/>
          <w:highlight w:val="none"/>
          <w:lang w:eastAsia="zh-CN"/>
        </w:rPr>
        <w:t>。</w:t>
      </w:r>
    </w:p>
    <w:p w14:paraId="0D146C31">
      <w:pPr>
        <w:numPr>
          <w:ilvl w:val="0"/>
          <w:numId w:val="12"/>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评审结束后，公布中标（成交）候选供应商名单，及采购人最终确定中标或成交供应商名单的时间和公告方式等。</w:t>
      </w:r>
    </w:p>
    <w:p w14:paraId="5174BEA1">
      <w:pPr>
        <w:snapToGrid w:val="0"/>
        <w:spacing w:line="420" w:lineRule="exact"/>
        <w:ind w:firstLine="527"/>
        <w:rPr>
          <w:rFonts w:hint="eastAsia"/>
          <w:b/>
          <w:color w:val="auto"/>
          <w:sz w:val="22"/>
          <w:szCs w:val="22"/>
          <w:highlight w:val="none"/>
        </w:rPr>
      </w:pPr>
      <w:r>
        <w:rPr>
          <w:rFonts w:hint="eastAsia"/>
          <w:b/>
          <w:color w:val="auto"/>
          <w:sz w:val="22"/>
          <w:szCs w:val="22"/>
          <w:highlight w:val="none"/>
        </w:rPr>
        <w:t>特别说明：如遇“</w:t>
      </w:r>
      <w:r>
        <w:rPr>
          <w:rFonts w:hint="eastAsia"/>
          <w:b/>
          <w:color w:val="auto"/>
          <w:sz w:val="22"/>
          <w:szCs w:val="22"/>
          <w:highlight w:val="none"/>
          <w:lang w:eastAsia="zh-CN"/>
        </w:rPr>
        <w:t>乐采云-政企采购开放平台</w:t>
      </w:r>
      <w:r>
        <w:rPr>
          <w:rFonts w:hint="eastAsia"/>
          <w:b/>
          <w:color w:val="auto"/>
          <w:sz w:val="22"/>
          <w:szCs w:val="22"/>
          <w:highlight w:val="none"/>
        </w:rPr>
        <w:t>”电子化开标或评审程序调整的，按调整后程序执行。</w:t>
      </w:r>
    </w:p>
    <w:p w14:paraId="7FDEDEAC">
      <w:pPr>
        <w:snapToGrid w:val="0"/>
        <w:spacing w:line="420" w:lineRule="exact"/>
        <w:ind w:firstLine="527"/>
        <w:rPr>
          <w:rFonts w:hint="eastAsia"/>
          <w:b/>
          <w:color w:val="auto"/>
          <w:sz w:val="22"/>
          <w:szCs w:val="22"/>
          <w:highlight w:val="none"/>
        </w:rPr>
      </w:pPr>
      <w:bookmarkStart w:id="25" w:name="_Toc24550037"/>
      <w:bookmarkEnd w:id="25"/>
      <w:bookmarkStart w:id="26" w:name="_Toc33194393"/>
      <w:bookmarkEnd w:id="26"/>
      <w:r>
        <w:rPr>
          <w:rFonts w:hint="eastAsia"/>
          <w:b/>
          <w:color w:val="auto"/>
          <w:sz w:val="22"/>
          <w:szCs w:val="22"/>
          <w:highlight w:val="none"/>
        </w:rPr>
        <w:t>4、</w:t>
      </w:r>
      <w:r>
        <w:rPr>
          <w:rFonts w:hint="eastAsia"/>
          <w:b/>
          <w:color w:val="auto"/>
          <w:sz w:val="22"/>
          <w:szCs w:val="22"/>
          <w:highlight w:val="none"/>
          <w:lang w:eastAsia="zh-CN"/>
        </w:rPr>
        <w:t>投标供应商</w:t>
      </w:r>
      <w:r>
        <w:rPr>
          <w:rFonts w:hint="eastAsia"/>
          <w:b/>
          <w:color w:val="auto"/>
          <w:sz w:val="22"/>
          <w:szCs w:val="22"/>
          <w:highlight w:val="none"/>
        </w:rPr>
        <w:t>资格审查</w:t>
      </w:r>
    </w:p>
    <w:p w14:paraId="046CB326">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.1开标大会第一阶段结束后，采购人或采购代理机构首先依法对各</w:t>
      </w:r>
      <w:r>
        <w:rPr>
          <w:rFonts w:hint="eastAsia"/>
          <w:color w:val="auto"/>
          <w:sz w:val="22"/>
          <w:szCs w:val="22"/>
          <w:highlight w:val="none"/>
          <w:lang w:eastAsia="zh-CN"/>
        </w:rPr>
        <w:t>投标供应商</w:t>
      </w:r>
      <w:r>
        <w:rPr>
          <w:rFonts w:hint="eastAsia"/>
          <w:color w:val="auto"/>
          <w:sz w:val="22"/>
          <w:szCs w:val="22"/>
          <w:highlight w:val="none"/>
        </w:rPr>
        <w:t>的资格进行审查，审查各</w:t>
      </w:r>
      <w:r>
        <w:rPr>
          <w:rFonts w:hint="eastAsia"/>
          <w:color w:val="auto"/>
          <w:sz w:val="22"/>
          <w:szCs w:val="22"/>
          <w:highlight w:val="none"/>
          <w:lang w:eastAsia="zh-CN"/>
        </w:rPr>
        <w:t>投标供应商</w:t>
      </w:r>
      <w:r>
        <w:rPr>
          <w:rFonts w:hint="eastAsia"/>
          <w:color w:val="auto"/>
          <w:sz w:val="22"/>
          <w:szCs w:val="22"/>
          <w:highlight w:val="none"/>
        </w:rPr>
        <w:t>的资格是否满足招标文件的要求。</w:t>
      </w:r>
      <w:r>
        <w:rPr>
          <w:color w:val="auto"/>
          <w:sz w:val="22"/>
          <w:szCs w:val="22"/>
          <w:highlight w:val="none"/>
        </w:rPr>
        <w:t>采购人或采购代理机构对</w:t>
      </w:r>
      <w:r>
        <w:rPr>
          <w:rFonts w:hint="eastAsia"/>
          <w:color w:val="auto"/>
          <w:sz w:val="22"/>
          <w:szCs w:val="22"/>
          <w:highlight w:val="none"/>
          <w:lang w:eastAsia="zh-CN"/>
        </w:rPr>
        <w:t>投标供应商</w:t>
      </w:r>
      <w:r>
        <w:rPr>
          <w:color w:val="auto"/>
          <w:sz w:val="22"/>
          <w:szCs w:val="22"/>
          <w:highlight w:val="none"/>
        </w:rPr>
        <w:t>所</w:t>
      </w:r>
      <w:r>
        <w:rPr>
          <w:rFonts w:hint="eastAsia"/>
          <w:color w:val="auto"/>
          <w:sz w:val="22"/>
          <w:szCs w:val="22"/>
          <w:highlight w:val="none"/>
        </w:rPr>
        <w:t>提交</w:t>
      </w:r>
      <w:r>
        <w:rPr>
          <w:color w:val="auto"/>
          <w:sz w:val="22"/>
          <w:szCs w:val="22"/>
          <w:highlight w:val="none"/>
        </w:rPr>
        <w:t>的资格证明材料仅负审核的责任。如发现</w:t>
      </w:r>
      <w:r>
        <w:rPr>
          <w:rFonts w:hint="eastAsia"/>
          <w:color w:val="auto"/>
          <w:sz w:val="22"/>
          <w:szCs w:val="22"/>
          <w:highlight w:val="none"/>
          <w:lang w:eastAsia="zh-CN"/>
        </w:rPr>
        <w:t>投标供应商</w:t>
      </w:r>
      <w:r>
        <w:rPr>
          <w:color w:val="auto"/>
          <w:sz w:val="22"/>
          <w:szCs w:val="22"/>
          <w:highlight w:val="none"/>
        </w:rPr>
        <w:t>所提</w:t>
      </w:r>
      <w:r>
        <w:rPr>
          <w:rFonts w:hint="eastAsia"/>
          <w:color w:val="auto"/>
          <w:sz w:val="22"/>
          <w:szCs w:val="22"/>
          <w:highlight w:val="none"/>
        </w:rPr>
        <w:t>交</w:t>
      </w:r>
      <w:r>
        <w:rPr>
          <w:color w:val="auto"/>
          <w:sz w:val="22"/>
          <w:szCs w:val="22"/>
          <w:highlight w:val="none"/>
        </w:rPr>
        <w:t>的资格证明材料不合法或</w:t>
      </w:r>
      <w:r>
        <w:rPr>
          <w:rFonts w:hint="eastAsia"/>
          <w:color w:val="auto"/>
          <w:sz w:val="22"/>
          <w:szCs w:val="22"/>
          <w:highlight w:val="none"/>
        </w:rPr>
        <w:t>与事实不符</w:t>
      </w:r>
      <w:r>
        <w:rPr>
          <w:color w:val="auto"/>
          <w:sz w:val="22"/>
          <w:szCs w:val="22"/>
          <w:highlight w:val="none"/>
        </w:rPr>
        <w:t>，采购人可取消</w:t>
      </w:r>
      <w:r>
        <w:rPr>
          <w:rFonts w:hint="eastAsia"/>
          <w:color w:val="auto"/>
          <w:sz w:val="22"/>
          <w:szCs w:val="22"/>
          <w:highlight w:val="none"/>
        </w:rPr>
        <w:t>其</w:t>
      </w:r>
      <w:r>
        <w:rPr>
          <w:color w:val="auto"/>
          <w:sz w:val="22"/>
          <w:szCs w:val="22"/>
          <w:highlight w:val="none"/>
        </w:rPr>
        <w:t>中标资格并追究</w:t>
      </w:r>
      <w:r>
        <w:rPr>
          <w:rFonts w:hint="eastAsia"/>
          <w:color w:val="auto"/>
          <w:sz w:val="22"/>
          <w:szCs w:val="22"/>
          <w:highlight w:val="none"/>
          <w:lang w:eastAsia="zh-CN"/>
        </w:rPr>
        <w:t>投标供应商</w:t>
      </w:r>
      <w:r>
        <w:rPr>
          <w:color w:val="auto"/>
          <w:sz w:val="22"/>
          <w:szCs w:val="22"/>
          <w:highlight w:val="none"/>
        </w:rPr>
        <w:t>的法律责任。</w:t>
      </w:r>
    </w:p>
    <w:p w14:paraId="47A6E0D6">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.2</w:t>
      </w:r>
      <w:r>
        <w:rPr>
          <w:rFonts w:hint="eastAsia"/>
          <w:color w:val="auto"/>
          <w:sz w:val="22"/>
          <w:szCs w:val="22"/>
          <w:highlight w:val="none"/>
          <w:lang w:eastAsia="zh-CN"/>
        </w:rPr>
        <w:t>投标供应商</w:t>
      </w:r>
      <w:r>
        <w:rPr>
          <w:rFonts w:hint="eastAsia"/>
          <w:color w:val="auto"/>
          <w:sz w:val="22"/>
          <w:szCs w:val="22"/>
          <w:highlight w:val="none"/>
        </w:rPr>
        <w:t>提交的资格证明材料无法证明其符合招标文件规定的“</w:t>
      </w:r>
      <w:r>
        <w:rPr>
          <w:rFonts w:hint="eastAsia"/>
          <w:color w:val="auto"/>
          <w:sz w:val="22"/>
          <w:szCs w:val="22"/>
          <w:highlight w:val="none"/>
          <w:lang w:eastAsia="zh-CN"/>
        </w:rPr>
        <w:t>投标供应商</w:t>
      </w:r>
      <w:r>
        <w:rPr>
          <w:rFonts w:hint="eastAsia"/>
          <w:color w:val="auto"/>
          <w:sz w:val="22"/>
          <w:szCs w:val="22"/>
          <w:highlight w:val="none"/>
        </w:rPr>
        <w:t>资格要求”的，采购人或采购代理机构将对其作资格审查不通过处理（无效投标），并不再将其投标提交评标委员会进行后续评审。</w:t>
      </w:r>
    </w:p>
    <w:p w14:paraId="18849977">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.3单位负责人为同一人或者存在直接控股、管理关系的不同供应商参加同一合同项下的采购活动的，相关</w:t>
      </w:r>
      <w:r>
        <w:rPr>
          <w:rFonts w:hint="eastAsia"/>
          <w:color w:val="auto"/>
          <w:sz w:val="22"/>
          <w:szCs w:val="22"/>
          <w:highlight w:val="none"/>
          <w:lang w:eastAsia="zh-CN"/>
        </w:rPr>
        <w:t>投标供应商</w:t>
      </w:r>
      <w:r>
        <w:rPr>
          <w:rFonts w:hint="eastAsia"/>
          <w:color w:val="auto"/>
          <w:sz w:val="22"/>
          <w:szCs w:val="22"/>
          <w:highlight w:val="none"/>
        </w:rPr>
        <w:t>均作资格无效处理。</w:t>
      </w:r>
    </w:p>
    <w:p w14:paraId="19C84077">
      <w:pPr>
        <w:snapToGrid w:val="0"/>
        <w:spacing w:line="420" w:lineRule="exact"/>
        <w:ind w:firstLine="527"/>
        <w:rPr>
          <w:rFonts w:hint="eastAsia"/>
          <w:b/>
          <w:color w:val="auto"/>
          <w:sz w:val="22"/>
          <w:szCs w:val="22"/>
          <w:highlight w:val="none"/>
        </w:rPr>
      </w:pPr>
      <w:r>
        <w:rPr>
          <w:rFonts w:hint="eastAsia"/>
          <w:b/>
          <w:color w:val="auto"/>
          <w:sz w:val="22"/>
          <w:szCs w:val="22"/>
          <w:highlight w:val="none"/>
        </w:rPr>
        <w:t>二）评标</w:t>
      </w:r>
    </w:p>
    <w:p w14:paraId="6B57EE00">
      <w:pPr>
        <w:snapToGrid w:val="0"/>
        <w:spacing w:line="420" w:lineRule="exact"/>
        <w:ind w:firstLine="527"/>
        <w:rPr>
          <w:rFonts w:hint="eastAsia"/>
          <w:color w:val="auto"/>
          <w:sz w:val="22"/>
          <w:szCs w:val="22"/>
          <w:highlight w:val="none"/>
        </w:rPr>
      </w:pPr>
      <w:r>
        <w:rPr>
          <w:rFonts w:hint="eastAsia"/>
          <w:color w:val="auto"/>
          <w:sz w:val="22"/>
          <w:szCs w:val="22"/>
          <w:highlight w:val="none"/>
        </w:rPr>
        <w:t>2.1评标由采购人依法组建的评标委员会负责，并独立履行下列职责：</w:t>
      </w:r>
    </w:p>
    <w:p w14:paraId="5FF203E9">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14:paraId="48043E18">
      <w:pPr>
        <w:snapToGrid w:val="0"/>
        <w:spacing w:line="420" w:lineRule="exact"/>
        <w:ind w:firstLine="527"/>
        <w:rPr>
          <w:rFonts w:hint="eastAsia"/>
          <w:color w:val="auto"/>
          <w:sz w:val="22"/>
          <w:szCs w:val="22"/>
          <w:highlight w:val="none"/>
        </w:rPr>
      </w:pPr>
      <w:r>
        <w:rPr>
          <w:rFonts w:hint="eastAsia"/>
          <w:color w:val="auto"/>
          <w:sz w:val="22"/>
          <w:szCs w:val="22"/>
          <w:highlight w:val="none"/>
        </w:rPr>
        <w:t>2）要求</w:t>
      </w:r>
      <w:r>
        <w:rPr>
          <w:rFonts w:hint="eastAsia"/>
          <w:color w:val="auto"/>
          <w:sz w:val="22"/>
          <w:szCs w:val="22"/>
          <w:highlight w:val="none"/>
          <w:lang w:eastAsia="zh-CN"/>
        </w:rPr>
        <w:t>投标供应商</w:t>
      </w:r>
      <w:r>
        <w:rPr>
          <w:rFonts w:hint="eastAsia"/>
          <w:color w:val="auto"/>
          <w:sz w:val="22"/>
          <w:szCs w:val="22"/>
          <w:highlight w:val="none"/>
        </w:rPr>
        <w:t>对投标文件有关事项作出解释或者澄清；</w:t>
      </w:r>
    </w:p>
    <w:p w14:paraId="17CE9C17">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14:paraId="1F4446C5">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14:paraId="6752406C">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14:paraId="15501969">
      <w:pPr>
        <w:snapToGrid w:val="0"/>
        <w:spacing w:line="420" w:lineRule="exact"/>
        <w:rPr>
          <w:rFonts w:hint="eastAsia"/>
          <w:color w:val="auto"/>
          <w:sz w:val="22"/>
          <w:szCs w:val="22"/>
          <w:highlight w:val="none"/>
        </w:rPr>
      </w:pPr>
      <w:r>
        <w:rPr>
          <w:rFonts w:hint="eastAsia"/>
          <w:color w:val="auto"/>
          <w:sz w:val="22"/>
          <w:szCs w:val="22"/>
          <w:highlight w:val="none"/>
        </w:rPr>
        <w:t xml:space="preserve">    1）投标文件初审。初审分为资格性检查和符合性检查。</w:t>
      </w:r>
    </w:p>
    <w:p w14:paraId="08BDC297">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rFonts w:hint="eastAsia"/>
          <w:color w:val="auto"/>
          <w:sz w:val="22"/>
          <w:szCs w:val="22"/>
          <w:highlight w:val="none"/>
          <w:lang w:eastAsia="zh-CN"/>
        </w:rPr>
        <w:t>投标供应商</w:t>
      </w:r>
      <w:r>
        <w:rPr>
          <w:color w:val="auto"/>
          <w:sz w:val="22"/>
          <w:szCs w:val="22"/>
          <w:highlight w:val="none"/>
        </w:rPr>
        <w:t>资格文件</w:t>
      </w:r>
      <w:r>
        <w:rPr>
          <w:rFonts w:hint="eastAsia"/>
          <w:color w:val="auto"/>
          <w:sz w:val="22"/>
          <w:szCs w:val="22"/>
          <w:highlight w:val="none"/>
        </w:rPr>
        <w:t>等进行审查，以确定</w:t>
      </w:r>
      <w:r>
        <w:rPr>
          <w:rFonts w:hint="eastAsia"/>
          <w:color w:val="auto"/>
          <w:sz w:val="22"/>
          <w:szCs w:val="22"/>
          <w:highlight w:val="none"/>
          <w:lang w:eastAsia="zh-CN"/>
        </w:rPr>
        <w:t>投标供应商</w:t>
      </w:r>
      <w:r>
        <w:rPr>
          <w:rFonts w:hint="eastAsia"/>
          <w:color w:val="auto"/>
          <w:sz w:val="22"/>
          <w:szCs w:val="22"/>
          <w:highlight w:val="none"/>
        </w:rPr>
        <w:t>是否具备投标资格。</w:t>
      </w:r>
    </w:p>
    <w:p w14:paraId="6792DC5B">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14:paraId="75ABB2CB">
      <w:pPr>
        <w:snapToGrid w:val="0"/>
        <w:spacing w:line="420" w:lineRule="exact"/>
        <w:rPr>
          <w:rFonts w:hint="eastAsia"/>
          <w:color w:val="auto"/>
          <w:sz w:val="22"/>
          <w:szCs w:val="22"/>
          <w:highlight w:val="none"/>
        </w:rPr>
      </w:pPr>
      <w:r>
        <w:rPr>
          <w:rFonts w:hint="eastAsia"/>
          <w:color w:val="auto"/>
          <w:sz w:val="22"/>
          <w:szCs w:val="22"/>
          <w:highlight w:val="none"/>
        </w:rPr>
        <w:t xml:space="preserve">    </w:t>
      </w:r>
      <w:r>
        <w:rPr>
          <w:rFonts w:hint="eastAsia"/>
          <w:color w:val="auto"/>
          <w:sz w:val="22"/>
          <w:szCs w:val="22"/>
          <w:highlight w:val="none"/>
          <w:lang w:val="en-US" w:eastAsia="zh-CN"/>
        </w:rPr>
        <w:t xml:space="preserve"> </w:t>
      </w:r>
      <w:r>
        <w:rPr>
          <w:rFonts w:hint="eastAsia"/>
          <w:color w:val="auto"/>
          <w:sz w:val="22"/>
          <w:szCs w:val="22"/>
          <w:highlight w:val="none"/>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14:paraId="6CC6FC78">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14:paraId="169796AA">
      <w:pPr>
        <w:pStyle w:val="39"/>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2.4、</w:t>
      </w:r>
      <w:r>
        <w:rPr>
          <w:rFonts w:hint="eastAsia" w:hAnsi="宋体"/>
          <w:b/>
          <w:color w:val="auto"/>
          <w:sz w:val="22"/>
          <w:szCs w:val="22"/>
          <w:highlight w:val="none"/>
          <w:u w:val="single"/>
        </w:rPr>
        <w:t>评标委员会发现投标文件有下列情形之一的属于重大偏差(评标委员会按少数服从多数原则认定),按照无效投标处理：</w:t>
      </w:r>
    </w:p>
    <w:p w14:paraId="04771888">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1）未按招标文件要求编制或字迹模糊、辨认不清的投标文件；</w:t>
      </w:r>
    </w:p>
    <w:p w14:paraId="6B440D23">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2）投标文件存在一个或一个以上备选（替代）投标方案的；仅提交“备份投标文件”的；</w:t>
      </w:r>
    </w:p>
    <w:p w14:paraId="14D77125">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3）没有按招标文件格式要求加盖有效公章、无法定代表人（或授权代表）签字或印章（具体格式见招标文件附件—投标文件格式）；</w:t>
      </w:r>
    </w:p>
    <w:p w14:paraId="7A029409">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4）投标文件未有效授权，法定代表人授权委托书等填写不完整或有涂改的；</w:t>
      </w:r>
    </w:p>
    <w:p w14:paraId="7837C177">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5）供应商商务技术投标文件中出现投标产品的本项目报价；</w:t>
      </w:r>
    </w:p>
    <w:p w14:paraId="38FF0938">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6）文件组成内容不齐全，本招标文件规定必须提供而未提供的（属于资格审查范围的除外）；明显不符合要求的投标文件；</w:t>
      </w:r>
    </w:p>
    <w:p w14:paraId="621865C5">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7）付款方式、服务期出现负偏差的；</w:t>
      </w:r>
    </w:p>
    <w:p w14:paraId="0084CCF1">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8）投标文件附有采购人不能接受的条款；</w:t>
      </w:r>
    </w:p>
    <w:p w14:paraId="398C16F9">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9）不符合招标文件中规定的实质性要求的投标文件，是否为偏离实质性要求由评标委员会认定。</w:t>
      </w:r>
    </w:p>
    <w:p w14:paraId="308DEB5D">
      <w:pPr>
        <w:pStyle w:val="39"/>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10）</w:t>
      </w:r>
      <w:r>
        <w:rPr>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11016BC0">
      <w:pPr>
        <w:pStyle w:val="39"/>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11）</w:t>
      </w:r>
      <w:r>
        <w:rPr>
          <w:color w:val="auto"/>
          <w:sz w:val="22"/>
          <w:szCs w:val="22"/>
          <w:highlight w:val="none"/>
        </w:rPr>
        <w:t>有下列情形之一的，视为</w:t>
      </w:r>
      <w:r>
        <w:rPr>
          <w:rFonts w:hint="eastAsia"/>
          <w:color w:val="auto"/>
          <w:sz w:val="22"/>
          <w:szCs w:val="22"/>
          <w:highlight w:val="none"/>
          <w:lang w:eastAsia="zh-CN"/>
        </w:rPr>
        <w:t>投标供应商</w:t>
      </w:r>
      <w:r>
        <w:rPr>
          <w:color w:val="auto"/>
          <w:sz w:val="22"/>
          <w:szCs w:val="22"/>
          <w:highlight w:val="none"/>
        </w:rPr>
        <w:t>串通投标，其投标无效：</w:t>
      </w:r>
    </w:p>
    <w:p w14:paraId="15EE5AE8">
      <w:pPr>
        <w:pStyle w:val="39"/>
        <w:snapToGrid w:val="0"/>
        <w:spacing w:line="420" w:lineRule="exact"/>
        <w:ind w:firstLine="431" w:firstLineChars="196"/>
        <w:rPr>
          <w:color w:val="auto"/>
          <w:sz w:val="22"/>
          <w:szCs w:val="22"/>
          <w:highlight w:val="none"/>
        </w:rPr>
      </w:pPr>
      <w:r>
        <w:rPr>
          <w:color w:val="auto"/>
          <w:sz w:val="22"/>
          <w:szCs w:val="22"/>
          <w:highlight w:val="none"/>
        </w:rPr>
        <w:t>　　（一）不同</w:t>
      </w:r>
      <w:r>
        <w:rPr>
          <w:rFonts w:hint="eastAsia"/>
          <w:color w:val="auto"/>
          <w:sz w:val="22"/>
          <w:szCs w:val="22"/>
          <w:highlight w:val="none"/>
          <w:lang w:eastAsia="zh-CN"/>
        </w:rPr>
        <w:t>投标供应商</w:t>
      </w:r>
      <w:r>
        <w:rPr>
          <w:color w:val="auto"/>
          <w:sz w:val="22"/>
          <w:szCs w:val="22"/>
          <w:highlight w:val="none"/>
        </w:rPr>
        <w:t>的投标文件由同一单位或者个人编制；</w:t>
      </w:r>
    </w:p>
    <w:p w14:paraId="29D2953C">
      <w:pPr>
        <w:pStyle w:val="39"/>
        <w:snapToGrid w:val="0"/>
        <w:spacing w:line="420" w:lineRule="exact"/>
        <w:ind w:firstLine="431" w:firstLineChars="196"/>
        <w:rPr>
          <w:color w:val="auto"/>
          <w:sz w:val="22"/>
          <w:szCs w:val="22"/>
          <w:highlight w:val="none"/>
        </w:rPr>
      </w:pPr>
      <w:r>
        <w:rPr>
          <w:color w:val="auto"/>
          <w:sz w:val="22"/>
          <w:szCs w:val="22"/>
          <w:highlight w:val="none"/>
        </w:rPr>
        <w:t>　　（二）不同</w:t>
      </w:r>
      <w:r>
        <w:rPr>
          <w:rFonts w:hint="eastAsia"/>
          <w:color w:val="auto"/>
          <w:sz w:val="22"/>
          <w:szCs w:val="22"/>
          <w:highlight w:val="none"/>
          <w:lang w:eastAsia="zh-CN"/>
        </w:rPr>
        <w:t>投标供应商</w:t>
      </w:r>
      <w:r>
        <w:rPr>
          <w:color w:val="auto"/>
          <w:sz w:val="22"/>
          <w:szCs w:val="22"/>
          <w:highlight w:val="none"/>
        </w:rPr>
        <w:t>委托同一单位或者个人办理投标事宜；</w:t>
      </w:r>
    </w:p>
    <w:p w14:paraId="51D4F67B">
      <w:pPr>
        <w:pStyle w:val="39"/>
        <w:snapToGrid w:val="0"/>
        <w:spacing w:line="420" w:lineRule="exact"/>
        <w:ind w:firstLine="431" w:firstLineChars="196"/>
        <w:rPr>
          <w:color w:val="auto"/>
          <w:sz w:val="22"/>
          <w:szCs w:val="22"/>
          <w:highlight w:val="none"/>
        </w:rPr>
      </w:pPr>
      <w:r>
        <w:rPr>
          <w:color w:val="auto"/>
          <w:sz w:val="22"/>
          <w:szCs w:val="22"/>
          <w:highlight w:val="none"/>
        </w:rPr>
        <w:t>　　（三）不同</w:t>
      </w:r>
      <w:r>
        <w:rPr>
          <w:rFonts w:hint="eastAsia"/>
          <w:color w:val="auto"/>
          <w:sz w:val="22"/>
          <w:szCs w:val="22"/>
          <w:highlight w:val="none"/>
          <w:lang w:eastAsia="zh-CN"/>
        </w:rPr>
        <w:t>投标供应商</w:t>
      </w:r>
      <w:r>
        <w:rPr>
          <w:color w:val="auto"/>
          <w:sz w:val="22"/>
          <w:szCs w:val="22"/>
          <w:highlight w:val="none"/>
        </w:rPr>
        <w:t>的投标文件载明的项目管理成员或者联系人员为同一人；</w:t>
      </w:r>
    </w:p>
    <w:p w14:paraId="5FA05056">
      <w:pPr>
        <w:pStyle w:val="39"/>
        <w:snapToGrid w:val="0"/>
        <w:spacing w:line="420" w:lineRule="exact"/>
        <w:ind w:firstLine="431" w:firstLineChars="196"/>
        <w:rPr>
          <w:color w:val="auto"/>
          <w:sz w:val="22"/>
          <w:szCs w:val="22"/>
          <w:highlight w:val="none"/>
        </w:rPr>
      </w:pPr>
      <w:r>
        <w:rPr>
          <w:color w:val="auto"/>
          <w:sz w:val="22"/>
          <w:szCs w:val="22"/>
          <w:highlight w:val="none"/>
        </w:rPr>
        <w:t>　　（四）不同</w:t>
      </w:r>
      <w:r>
        <w:rPr>
          <w:rFonts w:hint="eastAsia"/>
          <w:color w:val="auto"/>
          <w:sz w:val="22"/>
          <w:szCs w:val="22"/>
          <w:highlight w:val="none"/>
          <w:lang w:eastAsia="zh-CN"/>
        </w:rPr>
        <w:t>投标供应商</w:t>
      </w:r>
      <w:r>
        <w:rPr>
          <w:color w:val="auto"/>
          <w:sz w:val="22"/>
          <w:szCs w:val="22"/>
          <w:highlight w:val="none"/>
        </w:rPr>
        <w:t>的投标文件异常一致或者投标报价呈规律性差异；</w:t>
      </w:r>
    </w:p>
    <w:p w14:paraId="0F1294CD">
      <w:pPr>
        <w:pStyle w:val="39"/>
        <w:snapToGrid w:val="0"/>
        <w:spacing w:line="420" w:lineRule="exact"/>
        <w:ind w:firstLine="431" w:firstLineChars="196"/>
        <w:rPr>
          <w:color w:val="auto"/>
          <w:sz w:val="22"/>
          <w:szCs w:val="22"/>
          <w:highlight w:val="none"/>
        </w:rPr>
      </w:pPr>
      <w:r>
        <w:rPr>
          <w:color w:val="auto"/>
          <w:sz w:val="22"/>
          <w:szCs w:val="22"/>
          <w:highlight w:val="none"/>
        </w:rPr>
        <w:t>　　（五）不同</w:t>
      </w:r>
      <w:r>
        <w:rPr>
          <w:rFonts w:hint="eastAsia"/>
          <w:color w:val="auto"/>
          <w:sz w:val="22"/>
          <w:szCs w:val="22"/>
          <w:highlight w:val="none"/>
          <w:lang w:eastAsia="zh-CN"/>
        </w:rPr>
        <w:t>投标供应商</w:t>
      </w:r>
      <w:r>
        <w:rPr>
          <w:color w:val="auto"/>
          <w:sz w:val="22"/>
          <w:szCs w:val="22"/>
          <w:highlight w:val="none"/>
        </w:rPr>
        <w:t>的投标文件相互混装；　　</w:t>
      </w:r>
    </w:p>
    <w:p w14:paraId="1B386005">
      <w:pPr>
        <w:pStyle w:val="39"/>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12）其他经评标委员会认定的未能在实质上响应的或违反国家有关规定的投标文件。</w:t>
      </w:r>
    </w:p>
    <w:p w14:paraId="670357D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2.5、实质上没有响应招标文件要求的投标将被拒绝。供应商不得通过修正或撤消不合要求的偏离从而使其投标成为实质上响应的投标。</w:t>
      </w:r>
    </w:p>
    <w:p w14:paraId="09A25CD5">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2.6、评标委员会对投标文件的判定，只依据投标内容本身，不依靠开标后的任何外来证明。</w:t>
      </w:r>
    </w:p>
    <w:p w14:paraId="64742A43">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2.7、评标委员会在评标中，不得改变招标文件中规定的评标标准、方法和中标条件。</w:t>
      </w:r>
    </w:p>
    <w:p w14:paraId="573D8187">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3.投标文件的澄清</w:t>
      </w:r>
    </w:p>
    <w:p w14:paraId="0CA14AC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3.1对于投标文件中含义不明确、同类问题表述不一致或者有明显文字和计算错误的内容，评标委员会将以书面形式（或通过“</w:t>
      </w:r>
      <w:r>
        <w:rPr>
          <w:rFonts w:hint="eastAsia"/>
          <w:color w:val="auto"/>
          <w:sz w:val="22"/>
          <w:szCs w:val="22"/>
          <w:highlight w:val="none"/>
          <w:lang w:eastAsia="zh-CN"/>
        </w:rPr>
        <w:t>乐采云-政企采购开放平台</w:t>
      </w:r>
      <w:r>
        <w:rPr>
          <w:rFonts w:hint="eastAsia"/>
          <w:color w:val="auto"/>
          <w:sz w:val="22"/>
          <w:szCs w:val="22"/>
          <w:highlight w:val="none"/>
        </w:rPr>
        <w:t>”在线询标）的形式要求</w:t>
      </w:r>
      <w:r>
        <w:rPr>
          <w:rFonts w:hint="eastAsia"/>
          <w:color w:val="auto"/>
          <w:sz w:val="22"/>
          <w:szCs w:val="22"/>
          <w:highlight w:val="none"/>
          <w:lang w:eastAsia="zh-CN"/>
        </w:rPr>
        <w:t>投标供应商</w:t>
      </w:r>
      <w:r>
        <w:rPr>
          <w:rFonts w:hint="eastAsia"/>
          <w:color w:val="auto"/>
          <w:sz w:val="22"/>
          <w:szCs w:val="22"/>
          <w:highlight w:val="none"/>
        </w:rPr>
        <w:t>在规定的时间内作出必要的澄清、说明或者补正，</w:t>
      </w:r>
      <w:r>
        <w:rPr>
          <w:rFonts w:hint="eastAsia"/>
          <w:color w:val="auto"/>
          <w:sz w:val="22"/>
          <w:szCs w:val="22"/>
          <w:highlight w:val="none"/>
          <w:lang w:eastAsia="zh-CN"/>
        </w:rPr>
        <w:t>投标供应商</w:t>
      </w:r>
      <w:r>
        <w:rPr>
          <w:rFonts w:hint="eastAsia"/>
          <w:color w:val="auto"/>
          <w:sz w:val="22"/>
          <w:szCs w:val="22"/>
          <w:highlight w:val="none"/>
        </w:rPr>
        <w:t>澄清、说明或补正时间为30分钟。</w:t>
      </w:r>
    </w:p>
    <w:p w14:paraId="2536C72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3.2</w:t>
      </w:r>
      <w:r>
        <w:rPr>
          <w:rFonts w:hint="eastAsia"/>
          <w:color w:val="auto"/>
          <w:sz w:val="22"/>
          <w:szCs w:val="22"/>
          <w:highlight w:val="none"/>
          <w:lang w:eastAsia="zh-CN"/>
        </w:rPr>
        <w:t>投标供应商</w:t>
      </w:r>
      <w:r>
        <w:rPr>
          <w:rFonts w:hint="eastAsia"/>
          <w:color w:val="auto"/>
          <w:sz w:val="22"/>
          <w:szCs w:val="22"/>
          <w:highlight w:val="none"/>
        </w:rPr>
        <w:t>的澄清、说明或者补正应当采用书面（或通过“</w:t>
      </w:r>
      <w:r>
        <w:rPr>
          <w:rFonts w:hint="eastAsia"/>
          <w:color w:val="auto"/>
          <w:sz w:val="22"/>
          <w:szCs w:val="22"/>
          <w:highlight w:val="none"/>
          <w:lang w:eastAsia="zh-CN"/>
        </w:rPr>
        <w:t>乐采云-政企采购开放平台</w:t>
      </w:r>
      <w:r>
        <w:rPr>
          <w:rFonts w:hint="eastAsia"/>
          <w:color w:val="auto"/>
          <w:sz w:val="22"/>
          <w:szCs w:val="22"/>
          <w:highlight w:val="none"/>
        </w:rPr>
        <w:t>”在线答复）形式提交，并加盖公章，或者由法定代表人或其授权的代表签字。</w:t>
      </w:r>
      <w:r>
        <w:rPr>
          <w:rFonts w:hint="eastAsia"/>
          <w:color w:val="auto"/>
          <w:sz w:val="22"/>
          <w:szCs w:val="22"/>
          <w:highlight w:val="none"/>
          <w:lang w:eastAsia="zh-CN"/>
        </w:rPr>
        <w:t>投标供应商</w:t>
      </w:r>
      <w:r>
        <w:rPr>
          <w:rFonts w:hint="eastAsia"/>
          <w:color w:val="auto"/>
          <w:sz w:val="22"/>
          <w:szCs w:val="22"/>
          <w:highlight w:val="none"/>
        </w:rPr>
        <w:t>的澄清、说明或者补正不得超出投标文件的范围或者改变投标文件的实质性内容。</w:t>
      </w:r>
    </w:p>
    <w:p w14:paraId="0C06A406">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4、在采购中，出现下列情形之一的，应予废标：</w:t>
      </w:r>
    </w:p>
    <w:p w14:paraId="5E3B2E44">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 xml:space="preserve">(1)截止时间及评审期间，出现有效供应商不足三家的，作流（废）标处理，并重新组织招标。 </w:t>
      </w:r>
    </w:p>
    <w:p w14:paraId="586A491C">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(2)出现影响采购公正的违法、违规行为的；</w:t>
      </w:r>
    </w:p>
    <w:p w14:paraId="6C26D0A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(3)报价均超过</w:t>
      </w:r>
      <w:r>
        <w:rPr>
          <w:rFonts w:hint="eastAsia"/>
          <w:color w:val="auto"/>
          <w:sz w:val="22"/>
          <w:szCs w:val="22"/>
          <w:highlight w:val="none"/>
          <w:lang w:val="en-US" w:eastAsia="zh-CN"/>
        </w:rPr>
        <w:t>预算金额</w:t>
      </w:r>
      <w:r>
        <w:rPr>
          <w:rFonts w:hint="eastAsia"/>
          <w:color w:val="auto"/>
          <w:sz w:val="22"/>
          <w:szCs w:val="22"/>
          <w:highlight w:val="none"/>
        </w:rPr>
        <w:t>，不能支付的；</w:t>
      </w:r>
    </w:p>
    <w:p w14:paraId="39B7B628">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(4)因重大变故，采购任务取消的。</w:t>
      </w:r>
    </w:p>
    <w:p w14:paraId="74297EAD">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5、可中止电子交易活动的情形</w:t>
      </w:r>
    </w:p>
    <w:p w14:paraId="2FE0F72F">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采购过程中出现以下情形，导致电子交易平台无法正常运行，或者无法保证电子交易的公平、公正和安全时，采购组织机构可中止电子交易活动：</w:t>
      </w:r>
    </w:p>
    <w:p w14:paraId="4CF27EAB">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1）电子交易平台发生故障而无法登录访问的；</w:t>
      </w:r>
    </w:p>
    <w:p w14:paraId="6A403509">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2）电子交易平台应用或数据库出现错误，不能进行正常操作的；</w:t>
      </w:r>
    </w:p>
    <w:p w14:paraId="7ADF41E4">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3）电子交易平台发现严重安全漏洞，有潜在泄密危险的；</w:t>
      </w:r>
    </w:p>
    <w:p w14:paraId="4047AD60">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4）病毒发作导致不能进行正常操作的；</w:t>
      </w:r>
    </w:p>
    <w:p w14:paraId="3182A31E">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5）其他无法保证电子交易的公平、公正和安全的情况。</w:t>
      </w:r>
    </w:p>
    <w:p w14:paraId="23D9CFE5">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14:paraId="103BCAB3">
      <w:pPr>
        <w:snapToGrid w:val="0"/>
        <w:spacing w:line="420" w:lineRule="exact"/>
        <w:ind w:firstLine="527"/>
        <w:rPr>
          <w:rFonts w:hint="eastAsia"/>
          <w:color w:val="auto"/>
          <w:sz w:val="22"/>
          <w:szCs w:val="22"/>
          <w:highlight w:val="none"/>
        </w:rPr>
      </w:pPr>
      <w:r>
        <w:rPr>
          <w:rFonts w:hint="eastAsia"/>
          <w:color w:val="auto"/>
          <w:sz w:val="22"/>
          <w:szCs w:val="22"/>
          <w:highlight w:val="none"/>
        </w:rPr>
        <w:t>6、评标原则</w:t>
      </w:r>
    </w:p>
    <w:p w14:paraId="41CA5278">
      <w:pPr>
        <w:snapToGrid w:val="0"/>
        <w:spacing w:line="420" w:lineRule="exact"/>
        <w:ind w:firstLine="527"/>
        <w:rPr>
          <w:rFonts w:hint="eastAsia"/>
          <w:color w:val="auto"/>
          <w:sz w:val="22"/>
          <w:szCs w:val="22"/>
          <w:highlight w:val="none"/>
        </w:rPr>
      </w:pPr>
      <w:r>
        <w:rPr>
          <w:rFonts w:hint="eastAsia"/>
          <w:color w:val="auto"/>
          <w:sz w:val="22"/>
          <w:szCs w:val="22"/>
          <w:highlight w:val="none"/>
        </w:rPr>
        <w:t>评标委员会按照招标文件的要求和条件对投标文件进行资格、商务和技术评估，综合比较与评价。</w:t>
      </w:r>
    </w:p>
    <w:p w14:paraId="6A22104F">
      <w:pPr>
        <w:snapToGrid w:val="0"/>
        <w:spacing w:line="420" w:lineRule="exact"/>
        <w:ind w:firstLine="527"/>
        <w:rPr>
          <w:rFonts w:hint="eastAsia"/>
          <w:color w:val="auto"/>
          <w:sz w:val="22"/>
          <w:szCs w:val="22"/>
          <w:highlight w:val="none"/>
        </w:rPr>
      </w:pPr>
      <w:r>
        <w:rPr>
          <w:rFonts w:hint="eastAsia"/>
          <w:color w:val="auto"/>
          <w:sz w:val="22"/>
          <w:szCs w:val="22"/>
          <w:highlight w:val="none"/>
        </w:rPr>
        <w:t>评标办法具体见本招标文件第</w:t>
      </w:r>
      <w:r>
        <w:rPr>
          <w:rFonts w:hint="eastAsia"/>
          <w:color w:val="auto"/>
          <w:sz w:val="22"/>
          <w:szCs w:val="22"/>
          <w:highlight w:val="none"/>
          <w:lang w:val="en-US" w:eastAsia="zh-CN"/>
        </w:rPr>
        <w:t>七</w:t>
      </w:r>
      <w:r>
        <w:rPr>
          <w:rFonts w:hint="eastAsia"/>
          <w:color w:val="auto"/>
          <w:sz w:val="22"/>
          <w:szCs w:val="22"/>
          <w:highlight w:val="none"/>
        </w:rPr>
        <w:t>部分。</w:t>
      </w:r>
    </w:p>
    <w:p w14:paraId="61891EE2">
      <w:pPr>
        <w:snapToGrid w:val="0"/>
        <w:spacing w:line="420" w:lineRule="exact"/>
        <w:ind w:firstLine="527"/>
        <w:rPr>
          <w:rFonts w:hint="eastAsia"/>
          <w:color w:val="auto"/>
          <w:sz w:val="22"/>
          <w:szCs w:val="22"/>
          <w:highlight w:val="none"/>
        </w:rPr>
      </w:pPr>
      <w:r>
        <w:rPr>
          <w:rFonts w:hint="eastAsia"/>
          <w:color w:val="auto"/>
          <w:sz w:val="22"/>
          <w:szCs w:val="22"/>
          <w:highlight w:val="none"/>
        </w:rPr>
        <w:t>7、评标过程中遇到特殊情况，由评标委员会遵循公开、公正原则，采取投票方式按照少数服从多数原则决定。</w:t>
      </w:r>
    </w:p>
    <w:p w14:paraId="7189A082">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14:paraId="6CFEC5D1">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14:paraId="093BFC92">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14:paraId="7ADC0687">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14:paraId="404B2289">
      <w:pPr>
        <w:snapToGrid w:val="0"/>
        <w:spacing w:line="420" w:lineRule="exact"/>
        <w:ind w:firstLine="527"/>
        <w:rPr>
          <w:rFonts w:hint="eastAsia"/>
          <w:color w:val="auto"/>
          <w:sz w:val="22"/>
          <w:szCs w:val="22"/>
          <w:highlight w:val="none"/>
        </w:rPr>
      </w:pPr>
      <w:r>
        <w:rPr>
          <w:rFonts w:hint="eastAsia"/>
          <w:color w:val="auto"/>
          <w:sz w:val="22"/>
          <w:szCs w:val="22"/>
          <w:highlight w:val="none"/>
        </w:rPr>
        <w:t>2.1、招标机构</w:t>
      </w:r>
      <w:r>
        <w:rPr>
          <w:rFonts w:hint="eastAsia"/>
          <w:color w:val="auto"/>
          <w:spacing w:val="10"/>
          <w:sz w:val="22"/>
          <w:szCs w:val="22"/>
          <w:highlight w:val="none"/>
        </w:rPr>
        <w:t>在浙江省政府采购网上公告中标结果。</w:t>
      </w:r>
    </w:p>
    <w:p w14:paraId="5CA468CA">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66CFCFC2">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14:paraId="4204644A">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14:paraId="3EDD501E">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14:paraId="2A07D045">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14:paraId="557CFED1">
      <w:pP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14:paraId="71CF8D61">
      <w:pPr>
        <w:pStyle w:val="39"/>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14:paraId="3C70076E">
      <w:pPr>
        <w:pStyle w:val="39"/>
        <w:snapToGrid w:val="0"/>
        <w:spacing w:line="420" w:lineRule="exact"/>
        <w:rPr>
          <w:rFonts w:hint="eastAsia" w:ascii="宋体" w:eastAsia="宋体"/>
          <w:color w:val="auto"/>
          <w:sz w:val="22"/>
          <w:szCs w:val="22"/>
          <w:highlight w:val="none"/>
        </w:rPr>
      </w:pPr>
      <w:r>
        <w:rPr>
          <w:rFonts w:hint="eastAsia" w:ascii="宋体" w:eastAsia="宋体"/>
          <w:color w:val="auto"/>
          <w:sz w:val="22"/>
          <w:szCs w:val="22"/>
          <w:highlight w:val="none"/>
        </w:rPr>
        <w:t xml:space="preserve">   5</w:t>
      </w:r>
      <w:r>
        <w:rPr>
          <w:rFonts w:hint="eastAsia" w:ascii="宋体" w:eastAsia="宋体"/>
          <w:color w:val="auto"/>
          <w:sz w:val="22"/>
          <w:szCs w:val="22"/>
          <w:highlight w:val="none"/>
          <w:lang w:val="zh-CN"/>
        </w:rPr>
        <w:t>、</w:t>
      </w:r>
      <w:r>
        <w:rPr>
          <w:rFonts w:hint="eastAsia" w:ascii="宋体" w:eastAsia="宋体"/>
          <w:color w:val="auto"/>
          <w:sz w:val="22"/>
          <w:szCs w:val="22"/>
          <w:highlight w:val="none"/>
        </w:rPr>
        <w:t>招标代理服务费</w:t>
      </w:r>
    </w:p>
    <w:p w14:paraId="4B9C13A2">
      <w:pPr>
        <w:pStyle w:val="3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5.1中标供应商在领取中标通知书前根据国家计委印发的《招标代理服务收费管理暂行办法》(计价格【2002】1980号文)向招标代理机构支付招标代理服务费</w:t>
      </w:r>
      <w:r>
        <w:rPr>
          <w:rFonts w:hint="eastAsia" w:ascii="宋体" w:eastAsia="宋体"/>
          <w:color w:val="auto"/>
          <w:sz w:val="22"/>
          <w:szCs w:val="22"/>
          <w:highlight w:val="none"/>
          <w:lang w:eastAsia="zh-CN"/>
        </w:rPr>
        <w:t>，</w:t>
      </w:r>
      <w:r>
        <w:rPr>
          <w:rFonts w:hint="eastAsia" w:ascii="宋体" w:eastAsia="宋体"/>
          <w:color w:val="auto"/>
          <w:sz w:val="22"/>
          <w:szCs w:val="22"/>
          <w:highlight w:val="none"/>
        </w:rPr>
        <w:t>招标代理服务费</w:t>
      </w:r>
      <w:r>
        <w:rPr>
          <w:rFonts w:hint="eastAsia"/>
          <w:color w:val="auto"/>
          <w:sz w:val="22"/>
          <w:szCs w:val="22"/>
          <w:highlight w:val="none"/>
          <w:u w:val="single"/>
          <w:lang w:val="en-US" w:eastAsia="zh-CN"/>
        </w:rPr>
        <w:t>42999</w:t>
      </w:r>
      <w:r>
        <w:rPr>
          <w:rFonts w:hint="eastAsia" w:ascii="宋体" w:eastAsia="宋体"/>
          <w:color w:val="auto"/>
          <w:sz w:val="22"/>
          <w:szCs w:val="22"/>
          <w:highlight w:val="none"/>
          <w:lang w:val="en-US" w:eastAsia="zh-CN"/>
        </w:rPr>
        <w:t>元，</w:t>
      </w:r>
      <w:r>
        <w:rPr>
          <w:rFonts w:hint="eastAsia" w:ascii="宋体" w:eastAsia="宋体"/>
          <w:color w:val="auto"/>
          <w:sz w:val="22"/>
          <w:szCs w:val="22"/>
          <w:highlight w:val="none"/>
        </w:rPr>
        <w:t>包含在投标</w:t>
      </w:r>
      <w:r>
        <w:rPr>
          <w:rFonts w:hint="eastAsia" w:ascii="宋体" w:eastAsia="宋体"/>
          <w:color w:val="auto"/>
          <w:sz w:val="22"/>
          <w:szCs w:val="22"/>
          <w:highlight w:val="none"/>
          <w:lang w:eastAsia="zh-CN"/>
        </w:rPr>
        <w:t>报价</w:t>
      </w:r>
      <w:r>
        <w:rPr>
          <w:rFonts w:hint="eastAsia" w:ascii="宋体" w:eastAsia="宋体"/>
          <w:color w:val="auto"/>
          <w:sz w:val="22"/>
          <w:szCs w:val="22"/>
          <w:highlight w:val="none"/>
        </w:rPr>
        <w:t>中。招标代理服务费汇入以下账号：</w:t>
      </w:r>
    </w:p>
    <w:p w14:paraId="007E4094">
      <w:pPr>
        <w:pStyle w:val="3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开户银行：浙江平阳农村商业银行股份有限公司鳌江支行</w:t>
      </w:r>
    </w:p>
    <w:p w14:paraId="66486038">
      <w:pPr>
        <w:pStyle w:val="3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开户名称：浙江品信工程项目管理有限公司</w:t>
      </w:r>
    </w:p>
    <w:p w14:paraId="2AF2A679">
      <w:pPr>
        <w:pStyle w:val="39"/>
        <w:snapToGrid w:val="0"/>
        <w:spacing w:line="420" w:lineRule="exact"/>
        <w:ind w:firstLine="440" w:firstLineChars="200"/>
        <w:rPr>
          <w:rFonts w:hint="eastAsia" w:ascii="宋体" w:eastAsia="宋体"/>
          <w:color w:val="auto"/>
          <w:sz w:val="22"/>
          <w:szCs w:val="22"/>
          <w:highlight w:val="none"/>
        </w:rPr>
      </w:pPr>
      <w:r>
        <w:rPr>
          <w:rFonts w:hint="eastAsia" w:ascii="宋体" w:eastAsia="宋体"/>
          <w:color w:val="auto"/>
          <w:sz w:val="22"/>
          <w:szCs w:val="22"/>
          <w:highlight w:val="none"/>
        </w:rPr>
        <w:t>开户账号：201000173270170</w:t>
      </w:r>
    </w:p>
    <w:p w14:paraId="7A9D4C95">
      <w:pPr>
        <w:snapToGrid w:val="0"/>
        <w:spacing w:line="460" w:lineRule="exact"/>
        <w:jc w:val="center"/>
        <w:rPr>
          <w:rFonts w:hint="eastAsia" w:ascii="宋体" w:hAnsi="宋体"/>
          <w:b/>
          <w:color w:val="auto"/>
          <w:sz w:val="32"/>
          <w:szCs w:val="32"/>
          <w:highlight w:val="none"/>
        </w:rPr>
      </w:pPr>
    </w:p>
    <w:p w14:paraId="46E0209A">
      <w:pPr>
        <w:widowControl/>
        <w:autoSpaceDE w:val="0"/>
        <w:autoSpaceDN w:val="0"/>
        <w:snapToGrid w:val="0"/>
        <w:spacing w:line="420" w:lineRule="exact"/>
        <w:ind w:firstLine="450"/>
        <w:jc w:val="center"/>
        <w:rPr>
          <w:color w:val="auto"/>
          <w:sz w:val="32"/>
          <w:highlight w:val="none"/>
        </w:rPr>
      </w:pPr>
    </w:p>
    <w:p w14:paraId="574050D4">
      <w:pPr>
        <w:widowControl/>
        <w:autoSpaceDE w:val="0"/>
        <w:autoSpaceDN w:val="0"/>
        <w:snapToGrid w:val="0"/>
        <w:spacing w:line="420" w:lineRule="exact"/>
        <w:ind w:firstLine="450"/>
        <w:jc w:val="center"/>
        <w:rPr>
          <w:color w:val="auto"/>
          <w:sz w:val="32"/>
          <w:highlight w:val="none"/>
        </w:rPr>
      </w:pPr>
    </w:p>
    <w:p w14:paraId="612BAF40">
      <w:pPr>
        <w:widowControl/>
        <w:autoSpaceDE w:val="0"/>
        <w:autoSpaceDN w:val="0"/>
        <w:snapToGrid w:val="0"/>
        <w:spacing w:line="420" w:lineRule="exact"/>
        <w:ind w:firstLine="450"/>
        <w:jc w:val="center"/>
        <w:rPr>
          <w:color w:val="auto"/>
          <w:sz w:val="32"/>
          <w:highlight w:val="none"/>
        </w:rPr>
      </w:pPr>
    </w:p>
    <w:p w14:paraId="5922FEE4">
      <w:pPr>
        <w:widowControl/>
        <w:autoSpaceDE w:val="0"/>
        <w:autoSpaceDN w:val="0"/>
        <w:snapToGrid w:val="0"/>
        <w:spacing w:line="420" w:lineRule="exact"/>
        <w:ind w:firstLine="450"/>
        <w:jc w:val="center"/>
        <w:rPr>
          <w:color w:val="auto"/>
          <w:sz w:val="32"/>
          <w:highlight w:val="none"/>
        </w:rPr>
      </w:pPr>
    </w:p>
    <w:p w14:paraId="52C58BEC">
      <w:pPr>
        <w:widowControl/>
        <w:autoSpaceDE w:val="0"/>
        <w:autoSpaceDN w:val="0"/>
        <w:snapToGrid w:val="0"/>
        <w:spacing w:line="420" w:lineRule="exact"/>
        <w:jc w:val="both"/>
        <w:rPr>
          <w:color w:val="auto"/>
          <w:sz w:val="32"/>
          <w:highlight w:val="none"/>
        </w:rPr>
      </w:pPr>
    </w:p>
    <w:p w14:paraId="42821A0A">
      <w:pPr>
        <w:widowControl/>
        <w:autoSpaceDE w:val="0"/>
        <w:autoSpaceDN w:val="0"/>
        <w:snapToGrid w:val="0"/>
        <w:spacing w:line="420" w:lineRule="exact"/>
        <w:jc w:val="both"/>
        <w:rPr>
          <w:color w:val="auto"/>
          <w:sz w:val="32"/>
          <w:highlight w:val="none"/>
        </w:rPr>
      </w:pPr>
    </w:p>
    <w:p w14:paraId="1B406232">
      <w:pPr>
        <w:widowControl/>
        <w:autoSpaceDE w:val="0"/>
        <w:autoSpaceDN w:val="0"/>
        <w:snapToGrid w:val="0"/>
        <w:spacing w:line="420" w:lineRule="exact"/>
        <w:jc w:val="both"/>
        <w:rPr>
          <w:color w:val="auto"/>
          <w:sz w:val="32"/>
          <w:highlight w:val="none"/>
        </w:rPr>
      </w:pPr>
    </w:p>
    <w:p w14:paraId="16AAE634">
      <w:pPr>
        <w:widowControl/>
        <w:autoSpaceDE w:val="0"/>
        <w:autoSpaceDN w:val="0"/>
        <w:snapToGrid w:val="0"/>
        <w:spacing w:line="420" w:lineRule="exact"/>
        <w:jc w:val="both"/>
        <w:rPr>
          <w:color w:val="auto"/>
          <w:sz w:val="32"/>
          <w:highlight w:val="none"/>
        </w:rPr>
      </w:pPr>
    </w:p>
    <w:p w14:paraId="34DE7814">
      <w:pPr>
        <w:widowControl/>
        <w:autoSpaceDE w:val="0"/>
        <w:autoSpaceDN w:val="0"/>
        <w:snapToGrid w:val="0"/>
        <w:spacing w:line="420" w:lineRule="exact"/>
        <w:jc w:val="both"/>
        <w:rPr>
          <w:color w:val="auto"/>
          <w:sz w:val="32"/>
          <w:highlight w:val="none"/>
        </w:rPr>
      </w:pPr>
    </w:p>
    <w:p w14:paraId="42D32F0D">
      <w:pPr>
        <w:widowControl/>
        <w:autoSpaceDE w:val="0"/>
        <w:autoSpaceDN w:val="0"/>
        <w:snapToGrid w:val="0"/>
        <w:spacing w:line="420" w:lineRule="exact"/>
        <w:jc w:val="both"/>
        <w:rPr>
          <w:color w:val="auto"/>
          <w:sz w:val="32"/>
          <w:highlight w:val="none"/>
        </w:rPr>
      </w:pPr>
    </w:p>
    <w:p w14:paraId="56C0E5C5">
      <w:pPr>
        <w:widowControl/>
        <w:autoSpaceDE w:val="0"/>
        <w:autoSpaceDN w:val="0"/>
        <w:snapToGrid w:val="0"/>
        <w:spacing w:line="420" w:lineRule="exact"/>
        <w:jc w:val="both"/>
        <w:rPr>
          <w:color w:val="auto"/>
          <w:sz w:val="32"/>
          <w:highlight w:val="none"/>
        </w:rPr>
      </w:pPr>
    </w:p>
    <w:p w14:paraId="79ACC00D">
      <w:pPr>
        <w:widowControl/>
        <w:autoSpaceDE w:val="0"/>
        <w:autoSpaceDN w:val="0"/>
        <w:snapToGrid w:val="0"/>
        <w:spacing w:line="420" w:lineRule="exact"/>
        <w:jc w:val="both"/>
        <w:rPr>
          <w:color w:val="auto"/>
          <w:sz w:val="32"/>
          <w:highlight w:val="none"/>
        </w:rPr>
      </w:pPr>
    </w:p>
    <w:p w14:paraId="67451A35">
      <w:pPr>
        <w:widowControl/>
        <w:autoSpaceDE w:val="0"/>
        <w:autoSpaceDN w:val="0"/>
        <w:snapToGrid w:val="0"/>
        <w:spacing w:line="420" w:lineRule="exact"/>
        <w:jc w:val="both"/>
        <w:rPr>
          <w:color w:val="auto"/>
          <w:sz w:val="32"/>
          <w:highlight w:val="none"/>
        </w:rPr>
      </w:pPr>
    </w:p>
    <w:p w14:paraId="4DAC0680">
      <w:pPr>
        <w:widowControl/>
        <w:autoSpaceDE w:val="0"/>
        <w:autoSpaceDN w:val="0"/>
        <w:snapToGrid w:val="0"/>
        <w:spacing w:line="420" w:lineRule="exact"/>
        <w:jc w:val="both"/>
        <w:rPr>
          <w:color w:val="auto"/>
          <w:sz w:val="32"/>
          <w:highlight w:val="none"/>
        </w:rPr>
      </w:pPr>
    </w:p>
    <w:p w14:paraId="5F92E791">
      <w:pPr>
        <w:widowControl/>
        <w:autoSpaceDE w:val="0"/>
        <w:autoSpaceDN w:val="0"/>
        <w:snapToGrid w:val="0"/>
        <w:spacing w:line="420" w:lineRule="exact"/>
        <w:jc w:val="both"/>
        <w:rPr>
          <w:color w:val="auto"/>
          <w:sz w:val="32"/>
          <w:highlight w:val="none"/>
        </w:rPr>
      </w:pPr>
    </w:p>
    <w:p w14:paraId="4646C1DE">
      <w:pPr>
        <w:widowControl/>
        <w:autoSpaceDE w:val="0"/>
        <w:autoSpaceDN w:val="0"/>
        <w:snapToGrid w:val="0"/>
        <w:spacing w:line="420" w:lineRule="exact"/>
        <w:jc w:val="both"/>
        <w:rPr>
          <w:color w:val="auto"/>
          <w:sz w:val="32"/>
          <w:highlight w:val="none"/>
        </w:rPr>
      </w:pPr>
    </w:p>
    <w:p w14:paraId="1014D716">
      <w:pPr>
        <w:widowControl/>
        <w:autoSpaceDE w:val="0"/>
        <w:autoSpaceDN w:val="0"/>
        <w:snapToGrid w:val="0"/>
        <w:spacing w:line="420" w:lineRule="exact"/>
        <w:jc w:val="both"/>
        <w:rPr>
          <w:color w:val="auto"/>
          <w:sz w:val="32"/>
          <w:highlight w:val="none"/>
        </w:rPr>
      </w:pPr>
    </w:p>
    <w:p w14:paraId="4AE02906">
      <w:pPr>
        <w:widowControl/>
        <w:autoSpaceDE w:val="0"/>
        <w:autoSpaceDN w:val="0"/>
        <w:snapToGrid w:val="0"/>
        <w:spacing w:line="420" w:lineRule="exact"/>
        <w:jc w:val="both"/>
        <w:rPr>
          <w:color w:val="auto"/>
          <w:sz w:val="32"/>
          <w:highlight w:val="none"/>
        </w:rPr>
      </w:pPr>
    </w:p>
    <w:p w14:paraId="3E891DE8">
      <w:pPr>
        <w:widowControl/>
        <w:autoSpaceDE w:val="0"/>
        <w:autoSpaceDN w:val="0"/>
        <w:snapToGrid w:val="0"/>
        <w:spacing w:line="420" w:lineRule="exact"/>
        <w:jc w:val="both"/>
        <w:rPr>
          <w:color w:val="auto"/>
          <w:sz w:val="32"/>
          <w:highlight w:val="none"/>
        </w:rPr>
      </w:pPr>
    </w:p>
    <w:p w14:paraId="437FC2BF">
      <w:pPr>
        <w:widowControl/>
        <w:autoSpaceDE w:val="0"/>
        <w:autoSpaceDN w:val="0"/>
        <w:snapToGrid w:val="0"/>
        <w:spacing w:line="420" w:lineRule="exact"/>
        <w:ind w:firstLine="450"/>
        <w:jc w:val="center"/>
        <w:rPr>
          <w:color w:val="auto"/>
          <w:sz w:val="32"/>
          <w:highlight w:val="none"/>
        </w:rPr>
      </w:pPr>
    </w:p>
    <w:p w14:paraId="3063F5AB">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14:paraId="555C4B23">
      <w:pPr>
        <w:widowControl/>
        <w:snapToGrid w:val="0"/>
        <w:jc w:val="left"/>
        <w:rPr>
          <w:color w:val="auto"/>
          <w:sz w:val="22"/>
          <w:highlight w:val="none"/>
        </w:rPr>
      </w:pPr>
    </w:p>
    <w:p w14:paraId="64C2BBDF">
      <w:pP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一、小、微企业（含监狱企业、残疾人福利性单位）扶持政策说明</w:t>
      </w:r>
    </w:p>
    <w:p w14:paraId="5C7D1868">
      <w:pPr>
        <w:spacing w:line="440" w:lineRule="atLeas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1、文件依据</w:t>
      </w:r>
    </w:p>
    <w:p w14:paraId="039DB2B7">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（1）关于印发《政府采购促进中小企业发展管理办法》的通知（财库〔2020〕46号）</w:t>
      </w:r>
    </w:p>
    <w:p w14:paraId="5BBBFE76">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（2）浙江省财政厅、浙江省经济和信息化委员会《关于简化中小企业类别确认流程有关事项的通知》(浙财采监[2018]2号)</w:t>
      </w:r>
    </w:p>
    <w:p w14:paraId="07A8B36A">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（3）浙江省省财政厅《关于开展政府采购供应商网上注册登记和诚信管理工作的通知》（浙财采监〔2010〕8号)</w:t>
      </w:r>
    </w:p>
    <w:p w14:paraId="5AF57CF7">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（4）《工业和信息化部、国家统计局、国家发展和改革委员会、财政部关于印发中小企业划型标准规定的通知》（工信部联企业[2011]300号）</w:t>
      </w:r>
    </w:p>
    <w:p w14:paraId="401CAFE9">
      <w:pPr>
        <w:snapToGrid w:val="0"/>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（5）财政部、司法部《关于政府采购支持监狱企业发展有关问题的通知》（财库〔2014〕68号）</w:t>
      </w:r>
    </w:p>
    <w:p w14:paraId="0B4802F1">
      <w:pPr>
        <w:spacing w:line="440" w:lineRule="atLeast"/>
        <w:rPr>
          <w:rFonts w:hint="eastAsia" w:ascii="宋体" w:hAnsi="宋体" w:eastAsia="宋体"/>
          <w:color w:val="auto"/>
          <w:sz w:val="22"/>
          <w:highlight w:val="none"/>
        </w:rPr>
      </w:pPr>
      <w:r>
        <w:rPr>
          <w:rFonts w:hint="eastAsia" w:ascii="宋体" w:hAnsi="宋体" w:eastAsia="宋体"/>
          <w:color w:val="auto"/>
          <w:sz w:val="22"/>
          <w:highlight w:val="none"/>
        </w:rPr>
        <w:t>（6）《财政部 民政部 中国残疾人联合会关于促进残疾人就业政府采购政策的通知》（财库〔2017〕 141号）</w:t>
      </w:r>
    </w:p>
    <w:p w14:paraId="030FBD2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2、享受小微企业价格折扣应具备的条件与价格折扣比例</w:t>
      </w:r>
    </w:p>
    <w:p w14:paraId="2FFE318F">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（1）符合中小企业划分标准；</w:t>
      </w:r>
    </w:p>
    <w:p w14:paraId="53DCABF8">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（2）提供本企业制造的货物、承担的工程或者服务，或者提供其他中小企业制造的货物。本项所称货物不包括使用大型企业注册商标的货物。</w:t>
      </w:r>
    </w:p>
    <w:p w14:paraId="45DEFD12">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中小企业划分标准，是指国务院有关部门根据企业从业人员、营业收入、资产总额等指标制定的中小企业划型标准。</w:t>
      </w:r>
    </w:p>
    <w:p w14:paraId="5CF8888C">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小型、微型企业提供中型企业制造的货物的，视同为中型企业。</w:t>
      </w:r>
    </w:p>
    <w:p w14:paraId="53A1130D">
      <w:pPr>
        <w:rPr>
          <w:rFonts w:hint="eastAsia" w:ascii="宋体" w:hAnsi="宋体" w:eastAsia="宋体"/>
          <w:b/>
          <w:bCs/>
          <w:color w:val="auto"/>
          <w:sz w:val="22"/>
          <w:szCs w:val="22"/>
          <w:highlight w:val="none"/>
          <w:u w:val="single"/>
        </w:rPr>
      </w:pPr>
      <w:r>
        <w:rPr>
          <w:rFonts w:hint="eastAsia" w:ascii="宋体" w:hAnsi="宋体" w:eastAsia="宋体"/>
          <w:b/>
          <w:bCs/>
          <w:color w:val="auto"/>
          <w:sz w:val="22"/>
          <w:szCs w:val="22"/>
          <w:highlight w:val="none"/>
          <w:u w:val="single"/>
        </w:rPr>
        <w:t>（3）</w:t>
      </w:r>
      <w:r>
        <w:rPr>
          <w:rFonts w:hint="eastAsia" w:ascii="宋体" w:hAnsi="宋体" w:cs="宋体"/>
          <w:b/>
          <w:bCs/>
          <w:color w:val="auto"/>
          <w:sz w:val="22"/>
          <w:szCs w:val="22"/>
          <w:highlight w:val="none"/>
          <w:u w:val="single"/>
        </w:rPr>
        <w:t>本项目对小型和微型企业产</w:t>
      </w:r>
      <w:r>
        <w:rPr>
          <w:rFonts w:hint="eastAsia" w:ascii="宋体" w:hAnsi="宋体" w:eastAsia="宋体" w:cs="宋体"/>
          <w:b/>
          <w:bCs/>
          <w:color w:val="auto"/>
          <w:sz w:val="22"/>
          <w:szCs w:val="22"/>
          <w:highlight w:val="none"/>
          <w:u w:val="single"/>
        </w:rPr>
        <w:t>品的价格给予</w:t>
      </w:r>
      <w:r>
        <w:rPr>
          <w:rFonts w:hint="eastAsia" w:ascii="宋体" w:hAnsi="宋体" w:eastAsia="宋体" w:cs="宋体"/>
          <w:b/>
          <w:bCs/>
          <w:color w:val="auto"/>
          <w:sz w:val="22"/>
          <w:szCs w:val="22"/>
          <w:highlight w:val="none"/>
          <w:u w:val="single"/>
          <w:lang w:val="en-US" w:eastAsia="zh-CN"/>
        </w:rPr>
        <w:t>6</w:t>
      </w:r>
      <w:r>
        <w:rPr>
          <w:rFonts w:hint="eastAsia" w:ascii="宋体" w:hAnsi="宋体" w:eastAsia="宋体" w:cs="宋体"/>
          <w:b/>
          <w:bCs/>
          <w:color w:val="auto"/>
          <w:sz w:val="22"/>
          <w:szCs w:val="22"/>
          <w:highlight w:val="none"/>
          <w:u w:val="single"/>
        </w:rPr>
        <w:t>%的扣除</w:t>
      </w:r>
      <w:r>
        <w:rPr>
          <w:rFonts w:hint="eastAsia" w:ascii="宋体" w:hAnsi="宋体" w:eastAsia="宋体" w:cs="宋体"/>
          <w:b/>
          <w:bCs/>
          <w:color w:val="auto"/>
          <w:sz w:val="22"/>
          <w:szCs w:val="22"/>
          <w:highlight w:val="none"/>
          <w:u w:val="single"/>
          <w:lang w:val="en-US" w:eastAsia="zh-CN"/>
        </w:rPr>
        <w:t>（小型和微型企业认定为施工单位与所投产品的制造商或经销商均为小型或微型企业）</w:t>
      </w:r>
      <w:r>
        <w:rPr>
          <w:rFonts w:hint="eastAsia" w:ascii="宋体" w:hAnsi="宋体" w:eastAsia="宋体" w:cs="宋体"/>
          <w:b/>
          <w:bCs/>
          <w:color w:val="auto"/>
          <w:sz w:val="22"/>
          <w:szCs w:val="22"/>
          <w:highlight w:val="none"/>
          <w:u w:val="single"/>
          <w:lang w:eastAsia="zh-CN"/>
        </w:rPr>
        <w:t>，</w:t>
      </w:r>
      <w:r>
        <w:rPr>
          <w:rFonts w:hint="eastAsia" w:ascii="宋体" w:hAnsi="宋体" w:eastAsia="宋体" w:cs="宋体"/>
          <w:b/>
          <w:bCs/>
          <w:color w:val="auto"/>
          <w:sz w:val="22"/>
          <w:szCs w:val="22"/>
          <w:highlight w:val="none"/>
          <w:u w:val="single"/>
          <w:lang w:val="en-US" w:eastAsia="zh-CN"/>
        </w:rPr>
        <w:t>若大型、中型企业联合小型、微型企业投标（且小微企业的合同份额占到合同总金额30%以上）</w:t>
      </w:r>
      <w:r>
        <w:rPr>
          <w:rFonts w:hint="eastAsia" w:ascii="宋体" w:hAnsi="宋体" w:eastAsia="宋体" w:cs="宋体"/>
          <w:b/>
          <w:bCs/>
          <w:color w:val="auto"/>
          <w:sz w:val="22"/>
          <w:szCs w:val="22"/>
          <w:highlight w:val="none"/>
          <w:u w:val="single"/>
        </w:rPr>
        <w:t>的价格给予</w:t>
      </w:r>
      <w:r>
        <w:rPr>
          <w:rFonts w:hint="eastAsia" w:ascii="宋体" w:hAnsi="宋体" w:eastAsia="宋体" w:cs="宋体"/>
          <w:b/>
          <w:bCs/>
          <w:color w:val="auto"/>
          <w:sz w:val="22"/>
          <w:szCs w:val="22"/>
          <w:highlight w:val="none"/>
          <w:u w:val="single"/>
          <w:lang w:val="en-US" w:eastAsia="zh-CN"/>
        </w:rPr>
        <w:t>2</w:t>
      </w:r>
      <w:r>
        <w:rPr>
          <w:rFonts w:hint="eastAsia" w:ascii="宋体" w:hAnsi="宋体" w:eastAsia="宋体" w:cs="宋体"/>
          <w:b/>
          <w:bCs/>
          <w:color w:val="auto"/>
          <w:sz w:val="22"/>
          <w:szCs w:val="22"/>
          <w:highlight w:val="none"/>
          <w:u w:val="single"/>
        </w:rPr>
        <w:t>%的扣除</w:t>
      </w:r>
      <w:r>
        <w:rPr>
          <w:rFonts w:hint="eastAsia" w:ascii="宋体" w:hAnsi="宋体" w:eastAsia="宋体" w:cs="宋体"/>
          <w:b/>
          <w:bCs/>
          <w:color w:val="auto"/>
          <w:sz w:val="22"/>
          <w:szCs w:val="22"/>
          <w:highlight w:val="none"/>
          <w:u w:val="single"/>
          <w:lang w:eastAsia="zh-CN"/>
        </w:rPr>
        <w:t>，</w:t>
      </w:r>
      <w:r>
        <w:rPr>
          <w:rFonts w:hint="eastAsia" w:ascii="宋体" w:hAnsi="宋体" w:eastAsia="宋体" w:cs="宋体"/>
          <w:b/>
          <w:bCs/>
          <w:color w:val="auto"/>
          <w:sz w:val="22"/>
          <w:szCs w:val="22"/>
          <w:highlight w:val="none"/>
          <w:u w:val="single"/>
        </w:rPr>
        <w:t>用扣除后的价格参与评审。</w:t>
      </w:r>
    </w:p>
    <w:p w14:paraId="63C1E930">
      <w:pPr>
        <w:spacing w:line="440" w:lineRule="atLeast"/>
        <w:jc w:val="left"/>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3、享受小微企业价格折扣应提供以下证明材料</w:t>
      </w:r>
      <w:r>
        <w:rPr>
          <w:rFonts w:hint="eastAsia" w:ascii="宋体" w:hAnsi="宋体" w:eastAsia="宋体"/>
          <w:color w:val="auto"/>
          <w:sz w:val="22"/>
          <w:szCs w:val="22"/>
          <w:highlight w:val="none"/>
        </w:rPr>
        <w:t>：</w:t>
      </w:r>
    </w:p>
    <w:p w14:paraId="2F20B7AA">
      <w:pPr>
        <w:spacing w:line="440" w:lineRule="atLeast"/>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（1）《中小企业声明函》（加盖供应商公章，格式见附件）</w:t>
      </w:r>
    </w:p>
    <w:p w14:paraId="49692597">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4、</w:t>
      </w:r>
      <w:r>
        <w:rPr>
          <w:rFonts w:hint="eastAsia" w:ascii="宋体" w:hAnsi="宋体" w:eastAsia="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olor w:val="auto"/>
          <w:sz w:val="22"/>
          <w:szCs w:val="22"/>
          <w:highlight w:val="none"/>
        </w:rPr>
        <w:t>：</w:t>
      </w:r>
    </w:p>
    <w:p w14:paraId="177341CA">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14:paraId="7DBB893F">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5、</w:t>
      </w:r>
      <w:r>
        <w:rPr>
          <w:rFonts w:hint="eastAsia" w:ascii="宋体" w:hAnsi="宋体" w:eastAsia="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olor w:val="auto"/>
          <w:sz w:val="22"/>
          <w:szCs w:val="22"/>
          <w:highlight w:val="none"/>
        </w:rPr>
        <w:t>：</w:t>
      </w:r>
    </w:p>
    <w:p w14:paraId="06178BCB">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（1）残疾人福利性单位声明函；</w:t>
      </w:r>
    </w:p>
    <w:p w14:paraId="1CCB1FD1">
      <w:pPr>
        <w:spacing w:line="440" w:lineRule="atLeas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14:paraId="64562437">
      <w:pPr>
        <w:spacing w:line="440" w:lineRule="atLeast"/>
        <w:jc w:val="left"/>
        <w:rPr>
          <w:rFonts w:hint="eastAsia" w:ascii="宋体" w:hAnsi="宋体" w:eastAsia="宋体"/>
          <w:color w:val="auto"/>
          <w:sz w:val="22"/>
          <w:szCs w:val="22"/>
          <w:highlight w:val="none"/>
        </w:rPr>
      </w:pPr>
    </w:p>
    <w:p w14:paraId="1D8C6F5D">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b/>
          <w:bCs/>
          <w:color w:val="auto"/>
          <w:sz w:val="34"/>
          <w:szCs w:val="34"/>
          <w:highlight w:val="none"/>
        </w:rPr>
      </w:pPr>
      <w:r>
        <w:rPr>
          <w:rFonts w:hint="eastAsia" w:ascii="宋体" w:hAnsi="宋体" w:eastAsia="宋体"/>
          <w:b/>
          <w:bCs/>
          <w:color w:val="auto"/>
          <w:sz w:val="34"/>
          <w:szCs w:val="34"/>
          <w:highlight w:val="none"/>
        </w:rPr>
        <w:t>中小企业声明函（工程、服务）</w:t>
      </w:r>
    </w:p>
    <w:p w14:paraId="3D33970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0EB4F20C">
      <w:pPr>
        <w:numPr>
          <w:ilvl w:val="0"/>
          <w:numId w:val="13"/>
        </w:numPr>
        <w:spacing w:line="400" w:lineRule="exact"/>
        <w:ind w:firstLine="440" w:firstLineChars="200"/>
        <w:rPr>
          <w:rFonts w:hint="eastAsia" w:ascii="宋体" w:hAnsi="宋体" w:eastAsia="宋体"/>
          <w:color w:val="auto"/>
          <w:sz w:val="22"/>
          <w:szCs w:val="22"/>
          <w:highlight w:val="none"/>
          <w:u w:val="single"/>
        </w:rPr>
      </w:pP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建筑业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236C888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5CC0322E">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0E0EEC0D">
      <w:pPr>
        <w:spacing w:line="400" w:lineRule="exact"/>
        <w:ind w:firstLine="440" w:firstLineChars="200"/>
        <w:rPr>
          <w:rFonts w:hint="eastAsia" w:ascii="宋体" w:hAnsi="宋体" w:eastAsia="宋体"/>
          <w:color w:val="auto"/>
          <w:sz w:val="22"/>
          <w:szCs w:val="22"/>
          <w:highlight w:val="none"/>
        </w:rPr>
      </w:pPr>
    </w:p>
    <w:p w14:paraId="6AC7545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3B47FF99">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3B28479E">
      <w:pPr>
        <w:pStyle w:val="34"/>
        <w:rPr>
          <w:rFonts w:hint="eastAsia" w:ascii="宋体" w:hAnsi="宋体" w:eastAsia="宋体"/>
          <w:color w:val="auto"/>
          <w:highlight w:val="none"/>
          <w:lang w:eastAsia="zh-CN"/>
        </w:rPr>
      </w:pPr>
    </w:p>
    <w:p w14:paraId="007CA27B">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703011D5">
      <w:pPr>
        <w:snapToGrid w:val="0"/>
        <w:spacing w:line="360" w:lineRule="auto"/>
        <w:rPr>
          <w:rFonts w:hint="eastAsia" w:ascii="宋体" w:hAnsi="宋体" w:eastAsia="宋体"/>
          <w:b/>
          <w:bCs/>
          <w:color w:val="auto"/>
          <w:highlight w:val="none"/>
        </w:rPr>
      </w:pPr>
    </w:p>
    <w:p w14:paraId="66DBF4B6">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6CA6E4A2">
      <w:pPr>
        <w:snapToGrid w:val="0"/>
        <w:spacing w:line="360" w:lineRule="auto"/>
        <w:jc w:val="center"/>
        <w:rPr>
          <w:rFonts w:hint="eastAsia" w:ascii="宋体" w:hAnsi="宋体" w:eastAsia="宋体"/>
          <w:b/>
          <w:color w:val="auto"/>
          <w:sz w:val="32"/>
          <w:szCs w:val="40"/>
          <w:highlight w:val="none"/>
        </w:rPr>
      </w:pPr>
    </w:p>
    <w:p w14:paraId="17FEAD76">
      <w:pPr>
        <w:snapToGrid w:val="0"/>
        <w:spacing w:line="360" w:lineRule="auto"/>
        <w:jc w:val="center"/>
        <w:rPr>
          <w:rFonts w:hint="eastAsia" w:ascii="宋体" w:hAnsi="宋体" w:eastAsia="宋体"/>
          <w:b/>
          <w:color w:val="auto"/>
          <w:sz w:val="32"/>
          <w:szCs w:val="40"/>
          <w:highlight w:val="none"/>
        </w:rPr>
      </w:pPr>
      <w:r>
        <w:rPr>
          <w:rFonts w:hint="eastAsia" w:ascii="宋体" w:hAnsi="宋体" w:eastAsia="宋体"/>
          <w:b/>
          <w:color w:val="auto"/>
          <w:sz w:val="32"/>
          <w:szCs w:val="40"/>
          <w:highlight w:val="none"/>
        </w:rPr>
        <w:t>监狱企业声明函</w:t>
      </w:r>
    </w:p>
    <w:p w14:paraId="08878D64">
      <w:pPr>
        <w:snapToGrid w:val="0"/>
        <w:spacing w:line="360" w:lineRule="auto"/>
        <w:ind w:firstLine="420" w:firstLineChars="200"/>
        <w:jc w:val="center"/>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【不属于监狱企业的无需填写、递交】</w:t>
      </w:r>
    </w:p>
    <w:p w14:paraId="0CE62FE7">
      <w:pPr>
        <w:snapToGrid w:val="0"/>
        <w:spacing w:line="360" w:lineRule="auto"/>
        <w:ind w:firstLine="420" w:firstLineChars="200"/>
        <w:rPr>
          <w:rFonts w:hint="eastAsia" w:ascii="宋体" w:hAnsi="宋体" w:eastAsia="宋体"/>
          <w:color w:val="auto"/>
          <w:sz w:val="21"/>
          <w:szCs w:val="21"/>
          <w:highlight w:val="none"/>
        </w:rPr>
      </w:pPr>
    </w:p>
    <w:p w14:paraId="063A3F68">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本公司郑重声明，根据《关于政府采购支持监狱企业发展有关问题的通知》 （财库[2014]68 号）的规定，本公司为</w:t>
      </w:r>
      <w:r>
        <w:rPr>
          <w:rFonts w:hint="eastAsia" w:ascii="宋体" w:hAnsi="宋体" w:eastAsia="宋体"/>
          <w:color w:val="auto"/>
          <w:sz w:val="21"/>
          <w:szCs w:val="21"/>
          <w:highlight w:val="none"/>
          <w:u w:val="single"/>
        </w:rPr>
        <w:t>监狱企业</w:t>
      </w:r>
      <w:r>
        <w:rPr>
          <w:rFonts w:hint="eastAsia" w:ascii="宋体" w:hAnsi="宋体" w:eastAsia="宋体"/>
          <w:color w:val="auto"/>
          <w:sz w:val="21"/>
          <w:szCs w:val="21"/>
          <w:highlight w:val="none"/>
        </w:rPr>
        <w:t>。</w:t>
      </w:r>
    </w:p>
    <w:p w14:paraId="162220F0">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根据上述标准，我公司属于监狱企业的理由为：</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w:t>
      </w:r>
    </w:p>
    <w:p w14:paraId="1B7D9E1F">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本公司为参加（</w:t>
      </w:r>
      <w:r>
        <w:rPr>
          <w:rFonts w:hint="eastAsia" w:ascii="宋体" w:hAnsi="宋体" w:eastAsia="宋体"/>
          <w:color w:val="auto"/>
          <w:sz w:val="21"/>
          <w:szCs w:val="21"/>
          <w:highlight w:val="none"/>
          <w:u w:val="single"/>
        </w:rPr>
        <w:t xml:space="preserve">    项目名称    </w:t>
      </w:r>
      <w:r>
        <w:rPr>
          <w:rFonts w:hint="eastAsia" w:ascii="宋体" w:hAnsi="宋体" w:eastAsia="宋体"/>
          <w:color w:val="auto"/>
          <w:sz w:val="21"/>
          <w:szCs w:val="21"/>
          <w:highlight w:val="none"/>
        </w:rPr>
        <w:t>） （项目编号：</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）采购活动提供本企业提供服务。</w:t>
      </w:r>
    </w:p>
    <w:p w14:paraId="02DF7303">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本公司对上述声明的真实性负责。如有虚假，将依法承担相应责任。</w:t>
      </w:r>
    </w:p>
    <w:p w14:paraId="658792BB">
      <w:pPr>
        <w:snapToGrid w:val="0"/>
        <w:spacing w:line="360" w:lineRule="auto"/>
        <w:ind w:firstLine="420" w:firstLineChars="200"/>
        <w:rPr>
          <w:rFonts w:hint="eastAsia" w:ascii="宋体" w:hAnsi="宋体" w:eastAsia="宋体"/>
          <w:color w:val="auto"/>
          <w:sz w:val="21"/>
          <w:szCs w:val="21"/>
          <w:highlight w:val="none"/>
        </w:rPr>
      </w:pPr>
    </w:p>
    <w:p w14:paraId="0555B749">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投标人名称（盖章）：</w:t>
      </w:r>
    </w:p>
    <w:p w14:paraId="0BC357A3">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sz w:val="21"/>
          <w:szCs w:val="21"/>
          <w:highlight w:val="none"/>
        </w:rPr>
        <w:t>日期：    年  月  日</w:t>
      </w:r>
    </w:p>
    <w:p w14:paraId="21F94FF8">
      <w:pPr>
        <w:pageBreakBefore/>
        <w:snapToGrid w:val="0"/>
        <w:spacing w:line="360" w:lineRule="auto"/>
        <w:jc w:val="center"/>
        <w:rPr>
          <w:rFonts w:hint="eastAsia" w:ascii="宋体" w:hAnsi="宋体" w:eastAsia="宋体"/>
          <w:b/>
          <w:color w:val="auto"/>
          <w:spacing w:val="6"/>
          <w:sz w:val="32"/>
          <w:szCs w:val="40"/>
          <w:highlight w:val="none"/>
        </w:rPr>
      </w:pPr>
      <w:r>
        <w:rPr>
          <w:rFonts w:hint="eastAsia" w:ascii="宋体" w:hAnsi="宋体" w:eastAsia="宋体"/>
          <w:b/>
          <w:color w:val="auto"/>
          <w:spacing w:val="6"/>
          <w:sz w:val="32"/>
          <w:szCs w:val="40"/>
          <w:highlight w:val="none"/>
        </w:rPr>
        <w:t>残疾人福利性单位声明函</w:t>
      </w:r>
    </w:p>
    <w:p w14:paraId="5DB0F750">
      <w:pPr>
        <w:snapToGrid w:val="0"/>
        <w:spacing w:line="360" w:lineRule="auto"/>
        <w:ind w:firstLine="420" w:firstLineChars="200"/>
        <w:rPr>
          <w:rFonts w:hint="eastAsia" w:ascii="宋体" w:hAnsi="宋体" w:eastAsia="宋体"/>
          <w:color w:val="auto"/>
          <w:sz w:val="21"/>
          <w:szCs w:val="21"/>
          <w:highlight w:val="none"/>
        </w:rPr>
      </w:pPr>
    </w:p>
    <w:p w14:paraId="6E95BF5E">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FA73916">
      <w:pPr>
        <w:snapToGrid w:val="0"/>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本单位对上述声明的真实性负责。如有虚假，将依法承担相应责任。</w:t>
      </w:r>
    </w:p>
    <w:p w14:paraId="3EE7AC00">
      <w:pPr>
        <w:snapToGrid w:val="0"/>
        <w:spacing w:line="360" w:lineRule="auto"/>
        <w:ind w:firstLine="420" w:firstLineChars="200"/>
        <w:rPr>
          <w:rFonts w:hint="eastAsia" w:ascii="宋体" w:hAnsi="宋体" w:eastAsia="宋体"/>
          <w:color w:val="auto"/>
          <w:sz w:val="21"/>
          <w:szCs w:val="21"/>
          <w:highlight w:val="none"/>
        </w:rPr>
      </w:pPr>
    </w:p>
    <w:p w14:paraId="6927D99C">
      <w:pPr>
        <w:snapToGrid w:val="0"/>
        <w:spacing w:line="360" w:lineRule="auto"/>
        <w:ind w:firstLine="420" w:firstLineChars="200"/>
        <w:rPr>
          <w:rFonts w:hint="eastAsia" w:ascii="宋体" w:hAnsi="宋体" w:eastAsia="宋体"/>
          <w:color w:val="auto"/>
          <w:sz w:val="21"/>
          <w:szCs w:val="21"/>
          <w:highlight w:val="none"/>
        </w:rPr>
      </w:pPr>
    </w:p>
    <w:p w14:paraId="554C2633">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单位名称（盖章）：</w:t>
      </w:r>
    </w:p>
    <w:p w14:paraId="5E1D225F">
      <w:pPr>
        <w:tabs>
          <w:tab w:val="left" w:pos="4860"/>
        </w:tabs>
        <w:snapToGrid w:val="0"/>
        <w:spacing w:line="360" w:lineRule="auto"/>
        <w:ind w:right="1560"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 xml:space="preserve">       日  期：</w:t>
      </w:r>
    </w:p>
    <w:p w14:paraId="53DA7D2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扶持政策说明：</w:t>
      </w:r>
    </w:p>
    <w:p w14:paraId="33E7F21A">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4F1844D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2、监狱企业视同小微企业，参加本项目投标的，享受小微企业同等的价格扣除。【注：提供《监狱企业声明函》及其相关的充分的证明材料】。</w:t>
      </w:r>
    </w:p>
    <w:p w14:paraId="5257C3DE">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3、残疾人福利性单位参加投标【提供《残疾人福利性单位声明函》】，视为小型、微型企业，享受小微企业政策扶持。            　　　　　</w:t>
      </w:r>
    </w:p>
    <w:p w14:paraId="7FCFC5F5">
      <w:pPr>
        <w:pStyle w:val="32"/>
        <w:spacing w:line="480" w:lineRule="exact"/>
        <w:rPr>
          <w:rFonts w:hint="eastAsia" w:ascii="宋体" w:hAnsi="宋体" w:eastAsia="宋体"/>
          <w:b/>
          <w:color w:val="auto"/>
          <w:sz w:val="26"/>
          <w:szCs w:val="26"/>
          <w:highlight w:val="none"/>
        </w:rPr>
      </w:pPr>
      <w:r>
        <w:rPr>
          <w:rFonts w:hint="eastAsia" w:ascii="宋体" w:hAnsi="宋体" w:eastAsia="宋体"/>
          <w:b/>
          <w:color w:val="auto"/>
          <w:sz w:val="26"/>
          <w:szCs w:val="26"/>
          <w:highlight w:val="none"/>
        </w:rPr>
        <w:t>二、节能、环保产品优先（强制）采购政策说明</w:t>
      </w:r>
    </w:p>
    <w:p w14:paraId="306BBF03">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1、政策依据</w:t>
      </w:r>
    </w:p>
    <w:p w14:paraId="0C78F7EB">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（一）《国务院办公厅关于建立政府强制采购节能产品制度的通知》(国办发[2007]51号)</w:t>
      </w:r>
    </w:p>
    <w:p w14:paraId="2C70BA32">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（二）财政部、发展改革委发布的《节能产品政府采购实施意见》(财库[2004]185号)</w:t>
      </w:r>
    </w:p>
    <w:p w14:paraId="6E75CFD8">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（三）财政部、原环保总局印发的《环境标志产品政府采购实施的意见》（财库 [2006]90号）</w:t>
      </w:r>
    </w:p>
    <w:p w14:paraId="69295427">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（四）《关于调整优化节能产品、环境标志产品政府采购执行机制的通知》（财库〔2019〕9号）</w:t>
      </w:r>
    </w:p>
    <w:p w14:paraId="01157F3F">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（五）《关于印发节能产品政府采购品目清单的通知》（财库〔2019〕19号）</w:t>
      </w:r>
    </w:p>
    <w:p w14:paraId="71BD88D1">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（六）《关于印发环境标志产品政府采购品目清单的通知》（财库〔2019〕18号）</w:t>
      </w:r>
    </w:p>
    <w:p w14:paraId="6FF2DC34">
      <w:pPr>
        <w:snapToGrid w:val="0"/>
        <w:spacing w:line="460" w:lineRule="atLeast"/>
        <w:ind w:firstLine="440" w:firstLineChars="200"/>
        <w:rPr>
          <w:rFonts w:hint="eastAsia" w:ascii="宋体" w:hAnsi="宋体" w:eastAsia="宋体"/>
          <w:color w:val="auto"/>
          <w:sz w:val="22"/>
          <w:highlight w:val="none"/>
        </w:rPr>
      </w:pPr>
      <w:r>
        <w:rPr>
          <w:rFonts w:hint="eastAsia" w:ascii="宋体" w:hAnsi="宋体" w:eastAsia="宋体"/>
          <w:color w:val="auto"/>
          <w:sz w:val="22"/>
          <w:highlight w:val="none"/>
        </w:rPr>
        <w:t>（七）《市场监管总局关于发布参与实施政府采购节能产品、环境标志产品认证机构名录的公告》（2019年第16号）</w:t>
      </w:r>
    </w:p>
    <w:p w14:paraId="612894CA">
      <w:pPr>
        <w:snapToGrid w:val="0"/>
        <w:spacing w:line="460" w:lineRule="atLeast"/>
        <w:ind w:firstLine="440" w:firstLineChars="200"/>
        <w:jc w:val="both"/>
        <w:rPr>
          <w:rFonts w:hint="eastAsia" w:ascii="宋体" w:hAnsi="宋体" w:eastAsia="宋体"/>
          <w:color w:val="auto"/>
          <w:sz w:val="22"/>
          <w:highlight w:val="none"/>
        </w:rPr>
        <w:sectPr>
          <w:footerReference r:id="rId4" w:type="default"/>
          <w:pgSz w:w="11906" w:h="16838"/>
          <w:pgMar w:top="1134" w:right="680" w:bottom="1134" w:left="737" w:header="397" w:footer="482" w:gutter="0"/>
          <w:pgBorders>
            <w:top w:val="none" w:sz="0" w:space="0"/>
            <w:left w:val="none" w:sz="0" w:space="0"/>
            <w:bottom w:val="none" w:sz="0" w:space="0"/>
            <w:right w:val="none" w:sz="0" w:space="0"/>
          </w:pgBorders>
          <w:cols w:space="720" w:num="1"/>
          <w:docGrid w:linePitch="323" w:charSpace="0"/>
        </w:sectPr>
      </w:pPr>
      <w:r>
        <w:rPr>
          <w:rFonts w:hint="eastAsia" w:ascii="宋体" w:hAnsi="宋体" w:eastAsia="宋体"/>
          <w:color w:val="auto"/>
          <w:sz w:val="22"/>
          <w:highlight w:val="none"/>
        </w:rPr>
        <w:t>2、供应商投标货物属于节能、环保优先（强制）采购范围的，须提供相关证明材</w:t>
      </w:r>
    </w:p>
    <w:p w14:paraId="2208B842">
      <w:pPr>
        <w:widowControl/>
        <w:jc w:val="center"/>
        <w:rPr>
          <w:rFonts w:hint="eastAsia" w:ascii="宋体" w:hAnsi="宋体"/>
          <w:color w:val="auto"/>
          <w:sz w:val="36"/>
          <w:highlight w:val="none"/>
        </w:rPr>
      </w:pPr>
      <w:r>
        <w:rPr>
          <w:rFonts w:hint="eastAsia" w:ascii="宋体" w:hAnsi="宋体"/>
          <w:color w:val="auto"/>
          <w:sz w:val="36"/>
          <w:highlight w:val="none"/>
        </w:rPr>
        <w:t>第五部分</w:t>
      </w:r>
      <w:r>
        <w:rPr>
          <w:rFonts w:ascii="宋体" w:hAnsi="宋体"/>
          <w:color w:val="auto"/>
          <w:sz w:val="36"/>
          <w:highlight w:val="none"/>
        </w:rPr>
        <w:t xml:space="preserve">     </w:t>
      </w:r>
      <w:r>
        <w:rPr>
          <w:rFonts w:hint="eastAsia" w:ascii="宋体" w:hAnsi="宋体"/>
          <w:color w:val="auto"/>
          <w:sz w:val="36"/>
          <w:highlight w:val="none"/>
        </w:rPr>
        <w:t>合同格式</w:t>
      </w:r>
    </w:p>
    <w:p w14:paraId="3681BAE5">
      <w:pPr>
        <w:pStyle w:val="39"/>
        <w:snapToGrid w:val="0"/>
        <w:spacing w:line="400" w:lineRule="exact"/>
        <w:rPr>
          <w:rFonts w:hint="eastAsia" w:hAnsi="宋体"/>
          <w:color w:val="auto"/>
          <w:sz w:val="24"/>
          <w:szCs w:val="24"/>
          <w:highlight w:val="none"/>
        </w:rPr>
      </w:pPr>
      <w:r>
        <w:rPr>
          <w:rFonts w:hint="eastAsia" w:hAnsi="宋体"/>
          <w:color w:val="auto"/>
          <w:sz w:val="24"/>
          <w:szCs w:val="24"/>
          <w:highlight w:val="none"/>
        </w:rPr>
        <w:t xml:space="preserve"> </w:t>
      </w:r>
      <w:r>
        <w:rPr>
          <w:rFonts w:hint="eastAsia" w:ascii="宋体" w:hAnsi="宋体" w:eastAsia="宋体"/>
          <w:color w:val="auto"/>
          <w:sz w:val="22"/>
          <w:szCs w:val="22"/>
          <w:highlight w:val="none"/>
        </w:rPr>
        <w:t xml:space="preserve"> </w:t>
      </w:r>
    </w:p>
    <w:p w14:paraId="522DFAF3">
      <w:pPr>
        <w:pStyle w:val="11"/>
        <w:snapToGrid w:val="0"/>
        <w:spacing w:line="400" w:lineRule="exact"/>
        <w:rPr>
          <w:rFonts w:hint="eastAsia" w:ascii="宋体" w:hAnsi="宋体" w:eastAsia="宋体" w:cs="宋体"/>
          <w:color w:val="auto"/>
          <w:sz w:val="22"/>
          <w:szCs w:val="22"/>
          <w:highlight w:val="none"/>
        </w:rPr>
      </w:pPr>
      <w:r>
        <w:rPr>
          <w:rFonts w:hint="eastAsia" w:hAnsi="宋体"/>
          <w:color w:val="auto"/>
          <w:sz w:val="24"/>
          <w:szCs w:val="24"/>
          <w:highlight w:val="none"/>
        </w:rPr>
        <w:t xml:space="preserve"> </w:t>
      </w:r>
      <w:r>
        <w:rPr>
          <w:rFonts w:hint="eastAsia" w:ascii="宋体" w:hAnsi="宋体" w:eastAsia="宋体" w:cs="宋体"/>
          <w:color w:val="auto"/>
          <w:sz w:val="22"/>
          <w:szCs w:val="22"/>
          <w:highlight w:val="none"/>
        </w:rPr>
        <w:t xml:space="preserve"> </w:t>
      </w:r>
    </w:p>
    <w:p w14:paraId="0570EA87">
      <w:pPr>
        <w:adjustRightInd w:val="0"/>
        <w:snapToGrid w:val="0"/>
        <w:spacing w:line="408" w:lineRule="auto"/>
        <w:rPr>
          <w:rFonts w:hint="eastAsia" w:ascii="宋体" w:hAnsi="宋体" w:eastAsia="宋体" w:cs="宋体"/>
          <w:bCs/>
          <w:color w:val="auto"/>
          <w:sz w:val="22"/>
          <w:szCs w:val="22"/>
          <w:highlight w:val="none"/>
          <w:u w:val="single"/>
          <w:lang w:eastAsia="zh-CN"/>
        </w:rPr>
      </w:pPr>
      <w:r>
        <w:rPr>
          <w:rFonts w:hint="eastAsia" w:ascii="宋体" w:hAnsi="宋体" w:eastAsia="宋体" w:cs="宋体"/>
          <w:bCs/>
          <w:color w:val="auto"/>
          <w:sz w:val="22"/>
          <w:szCs w:val="22"/>
          <w:highlight w:val="none"/>
        </w:rPr>
        <w:t>采购人（全称）</w:t>
      </w:r>
      <w:r>
        <w:rPr>
          <w:rFonts w:hint="eastAsia" w:ascii="宋体" w:hAnsi="宋体" w:eastAsia="宋体" w:cs="宋体"/>
          <w:bCs/>
          <w:color w:val="auto"/>
          <w:sz w:val="22"/>
          <w:szCs w:val="22"/>
          <w:highlight w:val="none"/>
          <w:lang w:eastAsia="zh-CN"/>
        </w:rPr>
        <w:t>：</w:t>
      </w:r>
      <w:r>
        <w:rPr>
          <w:rFonts w:hint="eastAsia" w:ascii="宋体" w:hAnsi="宋体" w:cs="宋体"/>
          <w:bCs/>
          <w:color w:val="auto"/>
          <w:sz w:val="22"/>
          <w:szCs w:val="22"/>
          <w:highlight w:val="none"/>
          <w:u w:val="single"/>
          <w:lang w:eastAsia="zh-CN"/>
        </w:rPr>
        <w:t>平阳县兴阳控股集团有限公司</w:t>
      </w:r>
      <w:r>
        <w:rPr>
          <w:rFonts w:hint="eastAsia" w:ascii="宋体" w:hAnsi="宋体" w:eastAsia="宋体" w:cs="宋体"/>
          <w:bCs/>
          <w:color w:val="auto"/>
          <w:sz w:val="22"/>
          <w:szCs w:val="22"/>
          <w:highlight w:val="none"/>
          <w:u w:val="single"/>
          <w:lang w:eastAsia="zh-CN"/>
        </w:rPr>
        <w:t>（甲方）</w:t>
      </w:r>
    </w:p>
    <w:p w14:paraId="766F8D03">
      <w:pPr>
        <w:adjustRightInd w:val="0"/>
        <w:snapToGrid w:val="0"/>
        <w:spacing w:line="408" w:lineRule="auto"/>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中标供应商（全称）</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u w:val="none"/>
          <w:lang w:eastAsia="zh-CN"/>
        </w:rPr>
        <w:t>（乙方）</w:t>
      </w:r>
    </w:p>
    <w:p w14:paraId="18FEA6C5">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根据《中华人民共和国民法典》及有关法律规定，遵循平等、自愿、公平和诚实信用的原则，双方就</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施工及有关事项协商一致，共同达成如下协议：</w:t>
      </w:r>
    </w:p>
    <w:p w14:paraId="080EC7DA">
      <w:pPr>
        <w:adjustRightInd w:val="0"/>
        <w:snapToGrid w:val="0"/>
        <w:spacing w:line="408" w:lineRule="auto"/>
        <w:rPr>
          <w:rFonts w:hint="eastAsia" w:ascii="宋体" w:hAnsi="宋体" w:eastAsia="宋体" w:cs="宋体"/>
          <w:bCs/>
          <w:color w:val="auto"/>
          <w:sz w:val="22"/>
          <w:szCs w:val="22"/>
          <w:highlight w:val="none"/>
        </w:rPr>
      </w:pPr>
      <w:bookmarkStart w:id="27" w:name="_Toc351203481"/>
      <w:r>
        <w:rPr>
          <w:rFonts w:hint="eastAsia" w:ascii="宋体" w:hAnsi="宋体" w:eastAsia="宋体" w:cs="宋体"/>
          <w:bCs/>
          <w:color w:val="auto"/>
          <w:sz w:val="22"/>
          <w:szCs w:val="22"/>
          <w:highlight w:val="none"/>
        </w:rPr>
        <w:t>一、工程概况</w:t>
      </w:r>
      <w:bookmarkEnd w:id="27"/>
    </w:p>
    <w:p w14:paraId="30FCEB77">
      <w:pPr>
        <w:adjustRightInd w:val="0"/>
        <w:snapToGrid w:val="0"/>
        <w:spacing w:line="408"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1.工程名称：</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60130110">
      <w:pPr>
        <w:adjustRightInd w:val="0"/>
        <w:snapToGrid w:val="0"/>
        <w:spacing w:line="408" w:lineRule="auto"/>
        <w:ind w:firstLine="431" w:firstLineChars="196"/>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2.工程地点：</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7EB3EEFE">
      <w:pPr>
        <w:adjustRightInd w:val="0"/>
        <w:snapToGrid w:val="0"/>
        <w:spacing w:line="408" w:lineRule="auto"/>
        <w:ind w:firstLine="431" w:firstLineChars="196"/>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3.工程立项批准文号：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4F6C6639">
      <w:pPr>
        <w:adjustRightInd w:val="0"/>
        <w:snapToGrid w:val="0"/>
        <w:spacing w:line="408"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4.资金来源：</w:t>
      </w:r>
      <w:r>
        <w:rPr>
          <w:rFonts w:hint="eastAsia" w:ascii="宋体" w:hAnsi="宋体" w:eastAsia="宋体" w:cs="宋体"/>
          <w:bCs/>
          <w:color w:val="auto"/>
          <w:sz w:val="22"/>
          <w:szCs w:val="22"/>
          <w:highlight w:val="none"/>
          <w:u w:val="single"/>
          <w:lang w:eastAsia="zh-CN"/>
        </w:rPr>
        <w:t>自筹资金。</w:t>
      </w:r>
    </w:p>
    <w:p w14:paraId="099EEB5D">
      <w:pPr>
        <w:adjustRightInd w:val="0"/>
        <w:snapToGrid w:val="0"/>
        <w:spacing w:line="408" w:lineRule="auto"/>
        <w:ind w:firstLine="431" w:firstLineChars="196"/>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5.工程内容：采购人提供的施工图纸及招标控制价中所包含的</w:t>
      </w:r>
      <w:r>
        <w:rPr>
          <w:rFonts w:hint="eastAsia" w:ascii="宋体" w:hAnsi="宋体" w:cs="宋体"/>
          <w:bCs/>
          <w:color w:val="auto"/>
          <w:sz w:val="22"/>
          <w:szCs w:val="22"/>
          <w:highlight w:val="none"/>
          <w:u w:val="single"/>
          <w:lang w:eastAsia="zh-CN"/>
        </w:rPr>
        <w:t>平阳县社会心理服务综合体装修、办公家具软装及设备采购(重)</w:t>
      </w:r>
      <w:r>
        <w:rPr>
          <w:rFonts w:hint="eastAsia" w:ascii="宋体" w:hAnsi="宋体" w:eastAsia="宋体" w:cs="宋体"/>
          <w:bCs/>
          <w:color w:val="auto"/>
          <w:sz w:val="22"/>
          <w:szCs w:val="22"/>
          <w:highlight w:val="none"/>
          <w:u w:val="single"/>
          <w:lang w:eastAsia="zh-CN"/>
        </w:rPr>
        <w:t>内容</w:t>
      </w:r>
      <w:r>
        <w:rPr>
          <w:rFonts w:hint="eastAsia" w:ascii="宋体" w:hAnsi="宋体" w:eastAsia="宋体" w:cs="宋体"/>
          <w:bCs/>
          <w:color w:val="auto"/>
          <w:sz w:val="22"/>
          <w:szCs w:val="22"/>
          <w:highlight w:val="none"/>
          <w:u w:val="single"/>
        </w:rPr>
        <w:t>。具体内容详见甲方提供的</w:t>
      </w:r>
      <w:r>
        <w:rPr>
          <w:rFonts w:hint="eastAsia" w:ascii="宋体" w:hAnsi="宋体" w:cs="宋体"/>
          <w:bCs/>
          <w:color w:val="auto"/>
          <w:sz w:val="22"/>
          <w:szCs w:val="22"/>
          <w:highlight w:val="none"/>
          <w:u w:val="single"/>
          <w:lang w:eastAsia="zh-CN"/>
        </w:rPr>
        <w:t>招标控制价</w:t>
      </w:r>
      <w:r>
        <w:rPr>
          <w:rFonts w:hint="eastAsia" w:ascii="宋体" w:hAnsi="宋体" w:eastAsia="宋体" w:cs="宋体"/>
          <w:bCs/>
          <w:color w:val="auto"/>
          <w:sz w:val="22"/>
          <w:szCs w:val="22"/>
          <w:highlight w:val="none"/>
          <w:u w:val="single"/>
        </w:rPr>
        <w:t>及编制说明</w:t>
      </w:r>
      <w:r>
        <w:rPr>
          <w:rFonts w:hint="eastAsia" w:ascii="宋体" w:hAnsi="宋体" w:eastAsia="宋体" w:cs="宋体"/>
          <w:bCs/>
          <w:color w:val="auto"/>
          <w:sz w:val="22"/>
          <w:szCs w:val="22"/>
          <w:highlight w:val="none"/>
        </w:rPr>
        <w:t>。</w:t>
      </w:r>
    </w:p>
    <w:p w14:paraId="4555A829">
      <w:pPr>
        <w:adjustRightInd w:val="0"/>
        <w:snapToGrid w:val="0"/>
        <w:spacing w:line="408" w:lineRule="auto"/>
        <w:ind w:firstLine="431" w:firstLineChars="196"/>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6.工程承包范围：</w:t>
      </w:r>
      <w:r>
        <w:rPr>
          <w:rFonts w:hint="eastAsia" w:ascii="宋体" w:hAnsi="宋体" w:eastAsia="宋体" w:cs="宋体"/>
          <w:bCs/>
          <w:color w:val="auto"/>
          <w:sz w:val="22"/>
          <w:szCs w:val="22"/>
          <w:highlight w:val="none"/>
          <w:u w:val="single"/>
        </w:rPr>
        <w:t>包工、包料、包工期、包质量、包安全文明施工、包检测验收合格至交付使用等。</w:t>
      </w:r>
    </w:p>
    <w:p w14:paraId="37CE5DDD">
      <w:pPr>
        <w:adjustRightInd w:val="0"/>
        <w:snapToGrid w:val="0"/>
        <w:spacing w:line="408" w:lineRule="auto"/>
        <w:rPr>
          <w:rFonts w:hint="eastAsia" w:ascii="宋体" w:hAnsi="宋体" w:eastAsia="宋体" w:cs="宋体"/>
          <w:bCs/>
          <w:color w:val="auto"/>
          <w:sz w:val="22"/>
          <w:szCs w:val="22"/>
          <w:highlight w:val="none"/>
        </w:rPr>
      </w:pPr>
      <w:bookmarkStart w:id="28" w:name="_Toc351203482"/>
      <w:r>
        <w:rPr>
          <w:rFonts w:hint="eastAsia" w:ascii="宋体" w:hAnsi="宋体" w:eastAsia="宋体" w:cs="宋体"/>
          <w:bCs/>
          <w:color w:val="auto"/>
          <w:sz w:val="22"/>
          <w:szCs w:val="22"/>
          <w:highlight w:val="none"/>
        </w:rPr>
        <w:t>二、合同工期</w:t>
      </w:r>
      <w:bookmarkEnd w:id="28"/>
    </w:p>
    <w:p w14:paraId="66625B47">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计划开工日期：</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年</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月</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日。</w:t>
      </w:r>
    </w:p>
    <w:p w14:paraId="53E10180">
      <w:pPr>
        <w:adjustRightInd w:val="0"/>
        <w:snapToGrid w:val="0"/>
        <w:spacing w:line="408" w:lineRule="auto"/>
        <w:ind w:firstLine="459"/>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计划竣工日期：</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年</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月</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日。</w:t>
      </w:r>
    </w:p>
    <w:p w14:paraId="59190CB5">
      <w:pPr>
        <w:adjustRightInd w:val="0"/>
        <w:snapToGrid w:val="0"/>
        <w:spacing w:line="408" w:lineRule="auto"/>
        <w:ind w:firstLine="459"/>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工期总日历天数：</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天。工期总日历天数与根据前述计划开竣工日期计算的工期天数不一致的，以工期总日历天数为准。</w:t>
      </w:r>
    </w:p>
    <w:p w14:paraId="1BEC870E">
      <w:pPr>
        <w:adjustRightInd w:val="0"/>
        <w:snapToGrid w:val="0"/>
        <w:spacing w:line="408" w:lineRule="auto"/>
        <w:rPr>
          <w:rFonts w:hint="eastAsia" w:ascii="宋体" w:hAnsi="宋体" w:eastAsia="宋体" w:cs="宋体"/>
          <w:bCs/>
          <w:color w:val="auto"/>
          <w:sz w:val="22"/>
          <w:szCs w:val="22"/>
          <w:highlight w:val="none"/>
        </w:rPr>
      </w:pPr>
      <w:bookmarkStart w:id="29" w:name="_Toc351203483"/>
      <w:r>
        <w:rPr>
          <w:rFonts w:hint="eastAsia" w:ascii="宋体" w:hAnsi="宋体" w:eastAsia="宋体" w:cs="宋体"/>
          <w:bCs/>
          <w:color w:val="auto"/>
          <w:sz w:val="22"/>
          <w:szCs w:val="22"/>
          <w:highlight w:val="none"/>
        </w:rPr>
        <w:t>三、质量标准</w:t>
      </w:r>
      <w:bookmarkEnd w:id="29"/>
    </w:p>
    <w:p w14:paraId="07FAF403">
      <w:pPr>
        <w:adjustRightInd w:val="0"/>
        <w:snapToGrid w:val="0"/>
        <w:spacing w:line="408" w:lineRule="auto"/>
        <w:ind w:left="149" w:leftChars="71" w:firstLine="226" w:firstLineChars="103"/>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工程质量符合</w:t>
      </w:r>
      <w:r>
        <w:rPr>
          <w:rFonts w:hint="eastAsia" w:ascii="宋体" w:hAnsi="宋体" w:eastAsia="宋体" w:cs="宋体"/>
          <w:bCs/>
          <w:color w:val="auto"/>
          <w:sz w:val="22"/>
          <w:szCs w:val="22"/>
          <w:highlight w:val="none"/>
          <w:u w:val="single"/>
        </w:rPr>
        <w:t xml:space="preserve">  国家规定的验收合格标准，一次性验收合格标准。</w:t>
      </w:r>
    </w:p>
    <w:p w14:paraId="680FD17F">
      <w:pPr>
        <w:adjustRightInd w:val="0"/>
        <w:snapToGrid w:val="0"/>
        <w:spacing w:line="408" w:lineRule="auto"/>
        <w:rPr>
          <w:rFonts w:hint="eastAsia" w:ascii="宋体" w:hAnsi="宋体" w:eastAsia="宋体" w:cs="宋体"/>
          <w:bCs/>
          <w:color w:val="auto"/>
          <w:sz w:val="22"/>
          <w:szCs w:val="22"/>
          <w:highlight w:val="none"/>
        </w:rPr>
      </w:pPr>
      <w:bookmarkStart w:id="30" w:name="_Toc351203484"/>
      <w:r>
        <w:rPr>
          <w:rFonts w:hint="eastAsia" w:ascii="宋体" w:hAnsi="宋体" w:eastAsia="宋体" w:cs="宋体"/>
          <w:bCs/>
          <w:color w:val="auto"/>
          <w:sz w:val="22"/>
          <w:szCs w:val="22"/>
          <w:highlight w:val="none"/>
        </w:rPr>
        <w:t>四、签约合同价与合同价格形式</w:t>
      </w:r>
      <w:bookmarkEnd w:id="30"/>
      <w:r>
        <w:rPr>
          <w:rFonts w:hint="eastAsia" w:ascii="宋体" w:hAnsi="宋体" w:eastAsia="宋体" w:cs="宋体"/>
          <w:bCs/>
          <w:color w:val="auto"/>
          <w:sz w:val="22"/>
          <w:szCs w:val="22"/>
          <w:highlight w:val="none"/>
        </w:rPr>
        <w:tab/>
      </w:r>
    </w:p>
    <w:p w14:paraId="60537525">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1.签约合同价为：</w:t>
      </w:r>
    </w:p>
    <w:p w14:paraId="6511E181">
      <w:pPr>
        <w:adjustRightInd w:val="0"/>
        <w:snapToGrid w:val="0"/>
        <w:spacing w:line="408" w:lineRule="auto"/>
        <w:ind w:firstLine="440" w:firstLineChars="200"/>
        <w:rPr>
          <w:rFonts w:hint="eastAsia" w:ascii="宋体" w:hAnsi="宋体" w:eastAsia="宋体" w:cs="宋体"/>
          <w:bCs/>
          <w:color w:val="auto"/>
          <w:sz w:val="22"/>
          <w:szCs w:val="22"/>
          <w:highlight w:val="none"/>
          <w:u w:val="single"/>
          <w:lang w:eastAsia="zh-CN"/>
        </w:rPr>
      </w:pPr>
      <w:r>
        <w:rPr>
          <w:rFonts w:hint="eastAsia" w:ascii="宋体" w:hAnsi="宋体" w:eastAsia="宋体" w:cs="宋体"/>
          <w:bCs/>
          <w:color w:val="auto"/>
          <w:sz w:val="22"/>
          <w:szCs w:val="22"/>
          <w:highlight w:val="none"/>
        </w:rPr>
        <w:t>人民币（大写）</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u w:val="single"/>
          <w:lang w:eastAsia="zh-CN"/>
        </w:rPr>
        <w:t xml:space="preserve">       (¥            元)；</w:t>
      </w:r>
    </w:p>
    <w:p w14:paraId="1DFB76A3">
      <w:pPr>
        <w:numPr>
          <w:ilvl w:val="0"/>
          <w:numId w:val="13"/>
        </w:numPr>
        <w:adjustRightInd w:val="0"/>
        <w:snapToGrid w:val="0"/>
        <w:spacing w:line="408" w:lineRule="auto"/>
        <w:ind w:left="0" w:leftChars="0" w:firstLine="440" w:firstLineChars="200"/>
        <w:rPr>
          <w:rFonts w:hint="eastAsia" w:ascii="宋体" w:hAnsi="宋体" w:eastAsia="宋体" w:cs="宋体"/>
          <w:bCs/>
          <w:color w:val="auto"/>
          <w:sz w:val="22"/>
          <w:szCs w:val="22"/>
          <w:highlight w:val="none"/>
          <w:u w:val="single"/>
          <w:lang w:eastAsia="zh-CN"/>
        </w:rPr>
      </w:pPr>
      <w:r>
        <w:rPr>
          <w:rFonts w:hint="eastAsia" w:ascii="宋体" w:hAnsi="宋体" w:eastAsia="宋体" w:cs="宋体"/>
          <w:bCs/>
          <w:color w:val="auto"/>
          <w:sz w:val="22"/>
          <w:szCs w:val="22"/>
          <w:highlight w:val="none"/>
          <w:u w:val="single"/>
          <w:lang w:eastAsia="zh-CN"/>
        </w:rPr>
        <w:t>合同价格形式：统一中标折扣率</w:t>
      </w:r>
    </w:p>
    <w:p w14:paraId="205FBBD7">
      <w:pPr>
        <w:pStyle w:val="4"/>
        <w:numPr>
          <w:ilvl w:val="0"/>
          <w:numId w:val="13"/>
        </w:numPr>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中标折扣率：</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 xml:space="preserve"> %</w:t>
      </w:r>
    </w:p>
    <w:p w14:paraId="7EBAD54D">
      <w:pPr>
        <w:adjustRightInd w:val="0"/>
        <w:snapToGrid w:val="0"/>
        <w:spacing w:line="408" w:lineRule="auto"/>
        <w:rPr>
          <w:rFonts w:hint="eastAsia" w:ascii="宋体" w:hAnsi="宋体" w:eastAsia="宋体" w:cs="宋体"/>
          <w:bCs/>
          <w:color w:val="auto"/>
          <w:sz w:val="22"/>
          <w:szCs w:val="22"/>
          <w:highlight w:val="none"/>
        </w:rPr>
      </w:pPr>
      <w:bookmarkStart w:id="31" w:name="_Toc351203485"/>
      <w:r>
        <w:rPr>
          <w:rFonts w:hint="eastAsia" w:ascii="宋体" w:hAnsi="宋体" w:eastAsia="宋体" w:cs="宋体"/>
          <w:bCs/>
          <w:color w:val="auto"/>
          <w:sz w:val="22"/>
          <w:szCs w:val="22"/>
          <w:highlight w:val="none"/>
        </w:rPr>
        <w:t>五、</w:t>
      </w:r>
      <w:bookmarkEnd w:id="31"/>
      <w:r>
        <w:rPr>
          <w:rFonts w:hint="eastAsia" w:ascii="宋体" w:hAnsi="宋体" w:eastAsia="宋体" w:cs="宋体"/>
          <w:bCs/>
          <w:color w:val="auto"/>
          <w:sz w:val="22"/>
          <w:szCs w:val="22"/>
          <w:highlight w:val="none"/>
        </w:rPr>
        <w:t>项目经理</w:t>
      </w:r>
    </w:p>
    <w:p w14:paraId="3DC7588C">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乙方项目经理：。</w:t>
      </w:r>
    </w:p>
    <w:p w14:paraId="367D249E">
      <w:pPr>
        <w:adjustRightInd w:val="0"/>
        <w:snapToGrid w:val="0"/>
        <w:spacing w:line="408" w:lineRule="auto"/>
        <w:rPr>
          <w:rFonts w:hint="eastAsia" w:ascii="宋体" w:hAnsi="宋体" w:eastAsia="宋体" w:cs="宋体"/>
          <w:bCs/>
          <w:color w:val="auto"/>
          <w:sz w:val="22"/>
          <w:szCs w:val="22"/>
          <w:highlight w:val="none"/>
        </w:rPr>
      </w:pPr>
      <w:bookmarkStart w:id="32" w:name="_Toc351203486"/>
      <w:r>
        <w:rPr>
          <w:rFonts w:hint="eastAsia" w:ascii="宋体" w:hAnsi="宋体" w:eastAsia="宋体" w:cs="宋体"/>
          <w:bCs/>
          <w:color w:val="auto"/>
          <w:sz w:val="22"/>
          <w:szCs w:val="22"/>
          <w:highlight w:val="none"/>
        </w:rPr>
        <w:t>六、合同文件构成</w:t>
      </w:r>
      <w:bookmarkEnd w:id="32"/>
    </w:p>
    <w:p w14:paraId="7B5E57D1">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本协议书与下列文件一起构成合同文件：</w:t>
      </w:r>
    </w:p>
    <w:p w14:paraId="4759B04C">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1、成交通知书；</w:t>
      </w:r>
    </w:p>
    <w:p w14:paraId="4D5D9527">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2、本合同专用条款；</w:t>
      </w:r>
    </w:p>
    <w:p w14:paraId="7B744BC5">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3、询标纪要；</w:t>
      </w:r>
    </w:p>
    <w:p w14:paraId="62F8D8C5">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4、招标文件及招标补充文件；</w:t>
      </w:r>
    </w:p>
    <w:p w14:paraId="1B58ED16">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5、响应文件及其附件（含已标价工程量清单）；</w:t>
      </w:r>
    </w:p>
    <w:p w14:paraId="69A51EE0">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6、图纸；</w:t>
      </w:r>
    </w:p>
    <w:p w14:paraId="2D98A5B4">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7、本合同通用条款；</w:t>
      </w:r>
    </w:p>
    <w:p w14:paraId="2F60F975">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8、标准、规范及有关技术文件；</w:t>
      </w:r>
    </w:p>
    <w:p w14:paraId="56797E80">
      <w:pPr>
        <w:autoSpaceDE w:val="0"/>
        <w:autoSpaceDN w:val="0"/>
        <w:adjustRightInd w:val="0"/>
        <w:snapToGrid w:val="0"/>
        <w:spacing w:line="408" w:lineRule="auto"/>
        <w:ind w:firstLine="444" w:firstLineChars="202"/>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9、其他合同文件</w:t>
      </w:r>
      <w:r>
        <w:rPr>
          <w:rFonts w:hint="eastAsia" w:ascii="宋体" w:hAnsi="宋体" w:eastAsia="宋体" w:cs="宋体"/>
          <w:bCs/>
          <w:color w:val="auto"/>
          <w:sz w:val="22"/>
          <w:szCs w:val="22"/>
          <w:highlight w:val="none"/>
        </w:rPr>
        <w:t>。</w:t>
      </w:r>
    </w:p>
    <w:p w14:paraId="6354FA84">
      <w:pPr>
        <w:autoSpaceDE w:val="0"/>
        <w:autoSpaceDN w:val="0"/>
        <w:adjustRightInd w:val="0"/>
        <w:snapToGrid w:val="0"/>
        <w:spacing w:line="408"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在合同订立及履行过程中形成的与合同有关的文件均构成合同文件组成部分。</w:t>
      </w:r>
    </w:p>
    <w:p w14:paraId="0BF9E936">
      <w:pPr>
        <w:autoSpaceDE w:val="0"/>
        <w:autoSpaceDN w:val="0"/>
        <w:adjustRightInd w:val="0"/>
        <w:snapToGrid w:val="0"/>
        <w:spacing w:line="408"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上述各项合同文件包括合同当事人就该项合同文件所作出的补充和修改，属于同一类内容的文件，应以最新签署的为准。专用合同条款及其附件须经合同当事人签字或盖章。</w:t>
      </w:r>
    </w:p>
    <w:p w14:paraId="73F469AA">
      <w:pPr>
        <w:adjustRightInd w:val="0"/>
        <w:snapToGrid w:val="0"/>
        <w:spacing w:line="408" w:lineRule="auto"/>
        <w:rPr>
          <w:rFonts w:hint="eastAsia" w:ascii="宋体" w:hAnsi="宋体" w:eastAsia="宋体" w:cs="宋体"/>
          <w:bCs/>
          <w:color w:val="auto"/>
          <w:sz w:val="22"/>
          <w:szCs w:val="22"/>
          <w:highlight w:val="none"/>
        </w:rPr>
      </w:pPr>
      <w:bookmarkStart w:id="33" w:name="_Toc351203487"/>
      <w:r>
        <w:rPr>
          <w:rFonts w:hint="eastAsia" w:ascii="宋体" w:hAnsi="宋体" w:eastAsia="宋体" w:cs="宋体"/>
          <w:bCs/>
          <w:color w:val="auto"/>
          <w:sz w:val="22"/>
          <w:szCs w:val="22"/>
          <w:highlight w:val="none"/>
        </w:rPr>
        <w:t>七、承诺</w:t>
      </w:r>
      <w:bookmarkEnd w:id="33"/>
    </w:p>
    <w:p w14:paraId="66149006">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1.甲方承诺按照法律规定履行项目审批手续、筹集工程建设资金并按照合同约定的期限和方式支付合同价款。</w:t>
      </w:r>
    </w:p>
    <w:p w14:paraId="2207C437">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2.乙方承诺按照法律规定及合同约定组织完成工程施工，确保工程质量和安全，不进行转包及违法分包，并在缺陷责任期及保修期内承担相应的工程维修责任。</w:t>
      </w:r>
    </w:p>
    <w:p w14:paraId="3617B838">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3.甲方和乙方通过招投标形式签订合同的，双方理解并承诺不再就同一工程另行签订与合同实质性内容相背离的协议。</w:t>
      </w:r>
    </w:p>
    <w:p w14:paraId="50A36BD6">
      <w:pPr>
        <w:adjustRightInd w:val="0"/>
        <w:snapToGrid w:val="0"/>
        <w:spacing w:line="408" w:lineRule="auto"/>
        <w:rPr>
          <w:rFonts w:hint="eastAsia" w:ascii="宋体" w:hAnsi="宋体" w:eastAsia="宋体" w:cs="宋体"/>
          <w:bCs/>
          <w:color w:val="auto"/>
          <w:sz w:val="22"/>
          <w:szCs w:val="22"/>
          <w:highlight w:val="none"/>
        </w:rPr>
      </w:pPr>
      <w:bookmarkStart w:id="34" w:name="_Toc351203488"/>
      <w:r>
        <w:rPr>
          <w:rFonts w:hint="eastAsia" w:ascii="宋体" w:hAnsi="宋体" w:eastAsia="宋体" w:cs="宋体"/>
          <w:bCs/>
          <w:color w:val="auto"/>
          <w:sz w:val="22"/>
          <w:szCs w:val="22"/>
          <w:highlight w:val="none"/>
        </w:rPr>
        <w:t>八、词语含义</w:t>
      </w:r>
      <w:bookmarkEnd w:id="34"/>
    </w:p>
    <w:p w14:paraId="414E7FC4">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本协议书中词语含义与第二部分通用合同条款中赋予的含义相同。</w:t>
      </w:r>
    </w:p>
    <w:p w14:paraId="407F174F">
      <w:pPr>
        <w:adjustRightInd w:val="0"/>
        <w:snapToGrid w:val="0"/>
        <w:spacing w:line="408" w:lineRule="auto"/>
        <w:rPr>
          <w:rFonts w:hint="eastAsia" w:ascii="宋体" w:hAnsi="宋体" w:eastAsia="宋体" w:cs="宋体"/>
          <w:bCs/>
          <w:color w:val="auto"/>
          <w:sz w:val="22"/>
          <w:szCs w:val="22"/>
          <w:highlight w:val="none"/>
        </w:rPr>
      </w:pPr>
      <w:bookmarkStart w:id="35" w:name="_Toc351203489"/>
      <w:r>
        <w:rPr>
          <w:rFonts w:hint="eastAsia" w:ascii="宋体" w:hAnsi="宋体" w:eastAsia="宋体" w:cs="宋体"/>
          <w:bCs/>
          <w:color w:val="auto"/>
          <w:sz w:val="22"/>
          <w:szCs w:val="22"/>
          <w:highlight w:val="none"/>
        </w:rPr>
        <w:t>九、签订时间</w:t>
      </w:r>
      <w:bookmarkEnd w:id="35"/>
    </w:p>
    <w:p w14:paraId="1AB27E94">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本合同于</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年</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月</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日签订。</w:t>
      </w:r>
    </w:p>
    <w:p w14:paraId="1FA99020">
      <w:pPr>
        <w:adjustRightInd w:val="0"/>
        <w:snapToGrid w:val="0"/>
        <w:spacing w:line="408" w:lineRule="auto"/>
        <w:rPr>
          <w:rFonts w:hint="eastAsia" w:ascii="宋体" w:hAnsi="宋体" w:eastAsia="宋体" w:cs="宋体"/>
          <w:bCs/>
          <w:color w:val="auto"/>
          <w:sz w:val="22"/>
          <w:szCs w:val="22"/>
          <w:highlight w:val="none"/>
        </w:rPr>
      </w:pPr>
      <w:bookmarkStart w:id="36" w:name="_Toc351203490"/>
      <w:r>
        <w:rPr>
          <w:rFonts w:hint="eastAsia" w:ascii="宋体" w:hAnsi="宋体" w:eastAsia="宋体" w:cs="宋体"/>
          <w:bCs/>
          <w:color w:val="auto"/>
          <w:sz w:val="22"/>
          <w:szCs w:val="22"/>
          <w:highlight w:val="none"/>
        </w:rPr>
        <w:t>十、签订地点</w:t>
      </w:r>
      <w:bookmarkEnd w:id="36"/>
    </w:p>
    <w:p w14:paraId="0A80310C">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本合同在签订。</w:t>
      </w:r>
    </w:p>
    <w:p w14:paraId="5AA7DD05">
      <w:pPr>
        <w:adjustRightInd w:val="0"/>
        <w:snapToGrid w:val="0"/>
        <w:spacing w:line="408" w:lineRule="auto"/>
        <w:rPr>
          <w:rFonts w:hint="eastAsia" w:ascii="宋体" w:hAnsi="宋体" w:eastAsia="宋体" w:cs="宋体"/>
          <w:bCs/>
          <w:color w:val="auto"/>
          <w:sz w:val="22"/>
          <w:szCs w:val="22"/>
          <w:highlight w:val="none"/>
        </w:rPr>
      </w:pPr>
      <w:bookmarkStart w:id="37" w:name="_Toc351203491"/>
      <w:r>
        <w:rPr>
          <w:rFonts w:hint="eastAsia" w:ascii="宋体" w:hAnsi="宋体" w:eastAsia="宋体" w:cs="宋体"/>
          <w:bCs/>
          <w:color w:val="auto"/>
          <w:sz w:val="22"/>
          <w:szCs w:val="22"/>
          <w:highlight w:val="none"/>
        </w:rPr>
        <w:t>十一、补充协议</w:t>
      </w:r>
      <w:bookmarkEnd w:id="37"/>
    </w:p>
    <w:p w14:paraId="3EFEB07E">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合同未尽事宜，合同当事人另行签订补充协议，补充协议是合同的组成部分。</w:t>
      </w:r>
    </w:p>
    <w:p w14:paraId="07B20A92">
      <w:pPr>
        <w:adjustRightInd w:val="0"/>
        <w:snapToGrid w:val="0"/>
        <w:spacing w:line="408" w:lineRule="auto"/>
        <w:rPr>
          <w:rFonts w:hint="eastAsia" w:ascii="宋体" w:hAnsi="宋体" w:eastAsia="宋体" w:cs="宋体"/>
          <w:bCs/>
          <w:color w:val="auto"/>
          <w:sz w:val="22"/>
          <w:szCs w:val="22"/>
          <w:highlight w:val="none"/>
        </w:rPr>
      </w:pPr>
      <w:bookmarkStart w:id="38" w:name="_Toc351203492"/>
      <w:r>
        <w:rPr>
          <w:rFonts w:hint="eastAsia" w:ascii="宋体" w:hAnsi="宋体" w:eastAsia="宋体" w:cs="宋体"/>
          <w:bCs/>
          <w:color w:val="auto"/>
          <w:sz w:val="22"/>
          <w:szCs w:val="22"/>
          <w:highlight w:val="none"/>
        </w:rPr>
        <w:t>十二、合同生效</w:t>
      </w:r>
      <w:bookmarkEnd w:id="38"/>
    </w:p>
    <w:p w14:paraId="24C707FE">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本合同自</w:t>
      </w:r>
      <w:r>
        <w:rPr>
          <w:rFonts w:hint="eastAsia" w:ascii="宋体" w:hAnsi="宋体" w:eastAsia="宋体" w:cs="宋体"/>
          <w:bCs/>
          <w:color w:val="auto"/>
          <w:sz w:val="22"/>
          <w:szCs w:val="22"/>
          <w:highlight w:val="none"/>
          <w:u w:val="single"/>
        </w:rPr>
        <w:t>双方签字盖章后且乙方提交足额的履约担保后</w:t>
      </w:r>
      <w:r>
        <w:rPr>
          <w:rFonts w:hint="eastAsia" w:ascii="宋体" w:hAnsi="宋体" w:eastAsia="宋体" w:cs="宋体"/>
          <w:bCs/>
          <w:color w:val="auto"/>
          <w:sz w:val="22"/>
          <w:szCs w:val="22"/>
          <w:highlight w:val="none"/>
        </w:rPr>
        <w:t>生效。</w:t>
      </w:r>
    </w:p>
    <w:p w14:paraId="79207FD2">
      <w:pPr>
        <w:adjustRightInd w:val="0"/>
        <w:snapToGrid w:val="0"/>
        <w:spacing w:line="408" w:lineRule="auto"/>
        <w:rPr>
          <w:rFonts w:hint="eastAsia" w:ascii="宋体" w:hAnsi="宋体" w:eastAsia="宋体" w:cs="宋体"/>
          <w:bCs/>
          <w:color w:val="auto"/>
          <w:sz w:val="22"/>
          <w:szCs w:val="22"/>
          <w:highlight w:val="none"/>
        </w:rPr>
      </w:pPr>
      <w:bookmarkStart w:id="39" w:name="_Toc351203493"/>
      <w:r>
        <w:rPr>
          <w:rFonts w:hint="eastAsia" w:ascii="宋体" w:hAnsi="宋体" w:eastAsia="宋体" w:cs="宋体"/>
          <w:bCs/>
          <w:color w:val="auto"/>
          <w:sz w:val="22"/>
          <w:szCs w:val="22"/>
          <w:highlight w:val="none"/>
        </w:rPr>
        <w:t>十三、合同份数</w:t>
      </w:r>
      <w:bookmarkEnd w:id="39"/>
    </w:p>
    <w:p w14:paraId="25CD329E">
      <w:pPr>
        <w:adjustRightInd w:val="0"/>
        <w:snapToGrid w:val="0"/>
        <w:spacing w:line="408"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本合同一式</w:t>
      </w:r>
      <w:r>
        <w:rPr>
          <w:rFonts w:hint="eastAsia" w:ascii="宋体" w:hAnsi="宋体" w:eastAsia="宋体" w:cs="宋体"/>
          <w:bCs/>
          <w:color w:val="auto"/>
          <w:sz w:val="22"/>
          <w:szCs w:val="22"/>
          <w:highlight w:val="none"/>
          <w:u w:val="single"/>
        </w:rPr>
        <w:t>捌</w:t>
      </w:r>
      <w:r>
        <w:rPr>
          <w:rFonts w:hint="eastAsia" w:ascii="宋体" w:hAnsi="宋体" w:eastAsia="宋体" w:cs="宋体"/>
          <w:bCs/>
          <w:color w:val="auto"/>
          <w:sz w:val="22"/>
          <w:szCs w:val="22"/>
          <w:highlight w:val="none"/>
        </w:rPr>
        <w:t>份，均具有同等法律效力，甲方执</w:t>
      </w:r>
      <w:r>
        <w:rPr>
          <w:rFonts w:hint="eastAsia" w:ascii="宋体" w:hAnsi="宋体" w:eastAsia="宋体" w:cs="宋体"/>
          <w:bCs/>
          <w:color w:val="auto"/>
          <w:sz w:val="22"/>
          <w:szCs w:val="22"/>
          <w:highlight w:val="none"/>
          <w:u w:val="single"/>
          <w:lang w:eastAsia="zh-CN"/>
        </w:rPr>
        <w:t>肆</w:t>
      </w:r>
      <w:r>
        <w:rPr>
          <w:rFonts w:hint="eastAsia" w:ascii="宋体" w:hAnsi="宋体" w:eastAsia="宋体" w:cs="宋体"/>
          <w:bCs/>
          <w:color w:val="auto"/>
          <w:sz w:val="22"/>
          <w:szCs w:val="22"/>
          <w:highlight w:val="none"/>
        </w:rPr>
        <w:t>份，乙方执</w:t>
      </w:r>
      <w:r>
        <w:rPr>
          <w:rFonts w:hint="eastAsia" w:ascii="宋体" w:hAnsi="宋体" w:eastAsia="宋体" w:cs="宋体"/>
          <w:bCs/>
          <w:color w:val="auto"/>
          <w:sz w:val="22"/>
          <w:szCs w:val="22"/>
          <w:highlight w:val="none"/>
          <w:u w:val="single"/>
          <w:lang w:eastAsia="zh-CN"/>
        </w:rPr>
        <w:t>贰</w:t>
      </w:r>
      <w:r>
        <w:rPr>
          <w:rFonts w:hint="eastAsia" w:ascii="宋体" w:hAnsi="宋体" w:eastAsia="宋体" w:cs="宋体"/>
          <w:bCs/>
          <w:color w:val="auto"/>
          <w:sz w:val="22"/>
          <w:szCs w:val="22"/>
          <w:highlight w:val="none"/>
        </w:rPr>
        <w:t>份，采购代理和平阳县财政局各</w:t>
      </w:r>
      <w:r>
        <w:rPr>
          <w:rFonts w:hint="eastAsia" w:ascii="宋体" w:hAnsi="宋体" w:eastAsia="宋体" w:cs="宋体"/>
          <w:bCs/>
          <w:color w:val="auto"/>
          <w:sz w:val="22"/>
          <w:szCs w:val="22"/>
          <w:highlight w:val="none"/>
          <w:u w:val="single"/>
        </w:rPr>
        <w:t xml:space="preserve"> 壹 </w:t>
      </w:r>
      <w:r>
        <w:rPr>
          <w:rFonts w:hint="eastAsia" w:ascii="宋体" w:hAnsi="宋体" w:eastAsia="宋体" w:cs="宋体"/>
          <w:bCs/>
          <w:color w:val="auto"/>
          <w:sz w:val="22"/>
          <w:szCs w:val="22"/>
          <w:highlight w:val="none"/>
        </w:rPr>
        <w:t>份。</w:t>
      </w:r>
    </w:p>
    <w:p w14:paraId="029755DA">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甲方：  (公章)            </w:t>
      </w:r>
      <w:r>
        <w:rPr>
          <w:rFonts w:hint="eastAsia" w:ascii="宋体" w:hAnsi="宋体" w:eastAsia="宋体" w:cs="宋体"/>
          <w:bCs/>
          <w:color w:val="auto"/>
          <w:sz w:val="22"/>
          <w:szCs w:val="22"/>
          <w:highlight w:val="none"/>
          <w:lang w:val="en-US" w:eastAsia="zh-CN"/>
        </w:rPr>
        <w:t xml:space="preserve">          </w:t>
      </w:r>
      <w:r>
        <w:rPr>
          <w:rFonts w:hint="eastAsia" w:ascii="宋体" w:hAnsi="宋体" w:eastAsia="宋体" w:cs="宋体"/>
          <w:bCs/>
          <w:color w:val="auto"/>
          <w:sz w:val="22"/>
          <w:szCs w:val="22"/>
          <w:highlight w:val="none"/>
        </w:rPr>
        <w:t>乙方：  (公章)</w:t>
      </w:r>
    </w:p>
    <w:p w14:paraId="1A16299E">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法定代表人或其委托代理人： </w:t>
      </w:r>
      <w:r>
        <w:rPr>
          <w:rFonts w:hint="eastAsia" w:ascii="宋体" w:hAnsi="宋体" w:eastAsia="宋体" w:cs="宋体"/>
          <w:bCs/>
          <w:color w:val="auto"/>
          <w:sz w:val="22"/>
          <w:szCs w:val="22"/>
          <w:highlight w:val="none"/>
          <w:lang w:val="en-US" w:eastAsia="zh-CN"/>
        </w:rPr>
        <w:t xml:space="preserve">        </w:t>
      </w:r>
      <w:r>
        <w:rPr>
          <w:rFonts w:hint="eastAsia" w:ascii="宋体" w:hAnsi="宋体" w:eastAsia="宋体" w:cs="宋体"/>
          <w:bCs/>
          <w:color w:val="auto"/>
          <w:sz w:val="22"/>
          <w:szCs w:val="22"/>
          <w:highlight w:val="none"/>
        </w:rPr>
        <w:t xml:space="preserve"> 法定代表人或其委托代理人：</w:t>
      </w:r>
    </w:p>
    <w:p w14:paraId="45810607">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（签字）                    </w:t>
      </w:r>
      <w:r>
        <w:rPr>
          <w:rFonts w:hint="eastAsia" w:ascii="宋体" w:hAnsi="宋体" w:eastAsia="宋体" w:cs="宋体"/>
          <w:bCs/>
          <w:color w:val="auto"/>
          <w:sz w:val="22"/>
          <w:szCs w:val="22"/>
          <w:highlight w:val="none"/>
          <w:lang w:val="en-US" w:eastAsia="zh-CN"/>
        </w:rPr>
        <w:t xml:space="preserve">       </w:t>
      </w:r>
      <w:r>
        <w:rPr>
          <w:rFonts w:hint="eastAsia" w:ascii="宋体" w:hAnsi="宋体" w:eastAsia="宋体" w:cs="宋体"/>
          <w:bCs/>
          <w:color w:val="auto"/>
          <w:sz w:val="22"/>
          <w:szCs w:val="22"/>
          <w:highlight w:val="none"/>
        </w:rPr>
        <w:t>（签字）</w:t>
      </w:r>
    </w:p>
    <w:p w14:paraId="168A6618">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地  址：                             地  址：</w:t>
      </w:r>
    </w:p>
    <w:p w14:paraId="40D2A335">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邮政编码：                           邮政编码：</w:t>
      </w:r>
    </w:p>
    <w:p w14:paraId="6F2DE499">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法定代表人：                         法定代表人：</w:t>
      </w:r>
    </w:p>
    <w:p w14:paraId="2AC25111">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委托代理人：                         委托代理人：</w:t>
      </w:r>
    </w:p>
    <w:p w14:paraId="76C7D24E">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  话：                             电  话：</w:t>
      </w:r>
    </w:p>
    <w:p w14:paraId="6A1FEBA2">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传  真：                             传  真：</w:t>
      </w:r>
    </w:p>
    <w:p w14:paraId="51EF9C88">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电子信箱：                           电子信箱：</w:t>
      </w:r>
    </w:p>
    <w:p w14:paraId="1F467AE6">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开户银行：                           开户银行：</w:t>
      </w:r>
    </w:p>
    <w:p w14:paraId="5DB0FF65">
      <w:pPr>
        <w:adjustRightInd w:val="0"/>
        <w:snapToGrid w:val="0"/>
        <w:spacing w:line="408"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账  号：                             账  号：</w:t>
      </w:r>
    </w:p>
    <w:p w14:paraId="4420B3E8">
      <w:pPr>
        <w:pStyle w:val="3"/>
        <w:snapToGrid w:val="0"/>
        <w:spacing w:before="0" w:after="0" w:line="312" w:lineRule="auto"/>
        <w:jc w:val="center"/>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br w:type="page"/>
      </w:r>
      <w:bookmarkStart w:id="40" w:name="_Toc337558727"/>
      <w:r>
        <w:rPr>
          <w:rFonts w:hint="eastAsia" w:ascii="宋体" w:hAnsi="宋体" w:eastAsia="宋体" w:cs="宋体"/>
          <w:b w:val="0"/>
          <w:color w:val="auto"/>
          <w:sz w:val="22"/>
          <w:szCs w:val="22"/>
          <w:highlight w:val="none"/>
        </w:rPr>
        <w:t>第二部分 通用合同条款</w:t>
      </w:r>
    </w:p>
    <w:p w14:paraId="70406F9B">
      <w:pPr>
        <w:adjustRightInd w:val="0"/>
        <w:snapToGrid w:val="0"/>
        <w:spacing w:line="312"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略，见（GF—2017—0201）《建设工程施工合同》（示范文本）</w:t>
      </w:r>
    </w:p>
    <w:p w14:paraId="26EB5206">
      <w:pPr>
        <w:adjustRightInd w:val="0"/>
        <w:snapToGrid w:val="0"/>
        <w:spacing w:line="312" w:lineRule="auto"/>
        <w:jc w:val="center"/>
        <w:rPr>
          <w:rFonts w:hint="eastAsia" w:ascii="宋体" w:hAnsi="宋体" w:eastAsia="宋体" w:cs="宋体"/>
          <w:bCs/>
          <w:color w:val="auto"/>
          <w:sz w:val="22"/>
          <w:szCs w:val="22"/>
          <w:highlight w:val="none"/>
        </w:rPr>
      </w:pPr>
    </w:p>
    <w:bookmarkEnd w:id="40"/>
    <w:p w14:paraId="5BA97415">
      <w:pPr>
        <w:pStyle w:val="3"/>
        <w:snapToGrid w:val="0"/>
        <w:spacing w:before="0" w:after="0" w:line="312" w:lineRule="auto"/>
        <w:jc w:val="center"/>
        <w:rPr>
          <w:rFonts w:hint="eastAsia" w:ascii="宋体" w:hAnsi="宋体" w:eastAsia="宋体" w:cs="宋体"/>
          <w:b w:val="0"/>
          <w:color w:val="auto"/>
          <w:sz w:val="22"/>
          <w:szCs w:val="22"/>
          <w:highlight w:val="none"/>
        </w:rPr>
      </w:pPr>
      <w:bookmarkStart w:id="41" w:name="_Toc351203632"/>
      <w:r>
        <w:rPr>
          <w:rFonts w:hint="eastAsia" w:ascii="宋体" w:hAnsi="宋体" w:eastAsia="宋体" w:cs="宋体"/>
          <w:b w:val="0"/>
          <w:color w:val="auto"/>
          <w:sz w:val="22"/>
          <w:szCs w:val="22"/>
          <w:highlight w:val="none"/>
        </w:rPr>
        <w:t>第三部分 专用合同条款</w:t>
      </w:r>
      <w:bookmarkEnd w:id="41"/>
    </w:p>
    <w:p w14:paraId="1B7B0953">
      <w:pPr>
        <w:adjustRightInd w:val="0"/>
        <w:snapToGrid w:val="0"/>
        <w:spacing w:line="312" w:lineRule="auto"/>
        <w:rPr>
          <w:rFonts w:hint="eastAsia" w:ascii="宋体" w:hAnsi="宋体" w:eastAsia="宋体" w:cs="宋体"/>
          <w:bCs/>
          <w:color w:val="auto"/>
          <w:sz w:val="22"/>
          <w:szCs w:val="22"/>
          <w:highlight w:val="none"/>
        </w:rPr>
      </w:pPr>
      <w:bookmarkStart w:id="42" w:name="_Toc351203633"/>
      <w:r>
        <w:rPr>
          <w:rFonts w:hint="eastAsia" w:ascii="宋体" w:hAnsi="宋体" w:eastAsia="宋体" w:cs="宋体"/>
          <w:bCs/>
          <w:color w:val="auto"/>
          <w:sz w:val="22"/>
          <w:szCs w:val="22"/>
          <w:highlight w:val="none"/>
        </w:rPr>
        <w:t>1</w:t>
      </w:r>
      <w:bookmarkStart w:id="43" w:name="_Toc296944495"/>
      <w:bookmarkStart w:id="44" w:name="_Toc296503156"/>
      <w:bookmarkStart w:id="45" w:name="_Toc296891196"/>
      <w:bookmarkStart w:id="46" w:name="_Toc297120456"/>
      <w:bookmarkStart w:id="47" w:name="_Toc292559866"/>
      <w:bookmarkStart w:id="48" w:name="_Toc296346657"/>
      <w:bookmarkStart w:id="49" w:name="_Toc296890984"/>
      <w:bookmarkStart w:id="50" w:name="_Toc296347155"/>
      <w:bookmarkStart w:id="51" w:name="_Toc292559361"/>
      <w:bookmarkStart w:id="52" w:name="_Toc297048342"/>
      <w:r>
        <w:rPr>
          <w:rFonts w:hint="eastAsia" w:ascii="宋体" w:hAnsi="宋体" w:eastAsia="宋体" w:cs="宋体"/>
          <w:bCs/>
          <w:color w:val="auto"/>
          <w:sz w:val="22"/>
          <w:szCs w:val="22"/>
          <w:highlight w:val="none"/>
        </w:rPr>
        <w:t>. 一般约定</w:t>
      </w:r>
      <w:bookmarkEnd w:id="42"/>
    </w:p>
    <w:bookmarkEnd w:id="43"/>
    <w:bookmarkEnd w:id="44"/>
    <w:bookmarkEnd w:id="45"/>
    <w:bookmarkEnd w:id="46"/>
    <w:bookmarkEnd w:id="47"/>
    <w:bookmarkEnd w:id="48"/>
    <w:bookmarkEnd w:id="49"/>
    <w:bookmarkEnd w:id="50"/>
    <w:bookmarkEnd w:id="51"/>
    <w:bookmarkEnd w:id="52"/>
    <w:p w14:paraId="7BA51E68">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 词语定义</w:t>
      </w:r>
    </w:p>
    <w:p w14:paraId="3E4C8DA0">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1.1.1合同</w:t>
      </w:r>
    </w:p>
    <w:p w14:paraId="13A50A8A">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1.1.1.10其他合同文件包括：</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26AFC28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1.1.2 合同当事人及其他相关方</w:t>
      </w:r>
    </w:p>
    <w:p w14:paraId="5F1A49C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1.1.2.4监理人：</w:t>
      </w:r>
    </w:p>
    <w:p w14:paraId="7927A9C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名    称：</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00FC70D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资质类别和等级：</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7A5843F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联系电话：</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6AA244C3">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电子信箱：</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2279BFE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通信地址：</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28060525">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1.1.2.5 设计人：</w:t>
      </w:r>
    </w:p>
    <w:p w14:paraId="621705E5">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名    称：</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0BC39E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资质类别和等级：</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0C8230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联系电话：</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287D98A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电子信箱：</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CD1942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通信地址：</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3F4F76AF">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1.1.3 工程和设备</w:t>
      </w:r>
    </w:p>
    <w:p w14:paraId="15B56525">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1.1.3.7 作为施工现场组成部分的其他场所包括：</w:t>
      </w:r>
      <w:r>
        <w:rPr>
          <w:rFonts w:hint="eastAsia" w:ascii="宋体" w:hAnsi="宋体" w:eastAsia="宋体" w:cs="宋体"/>
          <w:bCs/>
          <w:color w:val="auto"/>
          <w:sz w:val="22"/>
          <w:szCs w:val="22"/>
          <w:highlight w:val="none"/>
          <w:u w:val="single"/>
        </w:rPr>
        <w:t xml:space="preserve"> /   </w:t>
      </w:r>
    </w:p>
    <w:p w14:paraId="555BBDAC">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1.1.3.9 永久占地包括：</w:t>
      </w:r>
      <w:r>
        <w:rPr>
          <w:rFonts w:hint="eastAsia" w:ascii="宋体" w:hAnsi="宋体" w:eastAsia="宋体" w:cs="宋体"/>
          <w:bCs/>
          <w:color w:val="auto"/>
          <w:sz w:val="22"/>
          <w:szCs w:val="22"/>
          <w:highlight w:val="none"/>
          <w:u w:val="single"/>
        </w:rPr>
        <w:t xml:space="preserve">       /    </w:t>
      </w:r>
    </w:p>
    <w:p w14:paraId="7E23023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1.1.3.10 临时占地包括：</w:t>
      </w:r>
      <w:r>
        <w:rPr>
          <w:rFonts w:hint="eastAsia" w:ascii="宋体" w:hAnsi="宋体" w:eastAsia="宋体" w:cs="宋体"/>
          <w:bCs/>
          <w:color w:val="auto"/>
          <w:sz w:val="22"/>
          <w:szCs w:val="22"/>
          <w:highlight w:val="none"/>
          <w:u w:val="single"/>
        </w:rPr>
        <w:t xml:space="preserve">     /    </w:t>
      </w:r>
    </w:p>
    <w:p w14:paraId="470FC363">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1.3法律 </w:t>
      </w:r>
    </w:p>
    <w:p w14:paraId="1B9A044C">
      <w:pPr>
        <w:autoSpaceDE w:val="0"/>
        <w:autoSpaceDN w:val="0"/>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适用于合同的其他规范性文件：</w:t>
      </w:r>
      <w:r>
        <w:rPr>
          <w:rFonts w:hint="eastAsia" w:ascii="宋体" w:hAnsi="宋体" w:eastAsia="宋体" w:cs="宋体"/>
          <w:bCs/>
          <w:color w:val="auto"/>
          <w:sz w:val="22"/>
          <w:szCs w:val="22"/>
          <w:highlight w:val="none"/>
          <w:u w:val="single"/>
        </w:rPr>
        <w:t>《中华人民共和国建筑法》、《中华人民共和国合同法》、《中华人民共和国政府采购法》、《浙江省建设工程计价规则》﹙2018版﹚、《浙江省房屋建筑与装饰工程预算定额》﹙2018版﹚、《浙江省通用安装工程预算定额》﹙2018版﹚、《浙江省建设工程施工机械台班费用定额》﹙2018版﹚、《</w:t>
      </w:r>
      <w:r>
        <w:rPr>
          <w:rFonts w:hint="eastAsia" w:ascii="宋体" w:hAnsi="宋体" w:eastAsia="宋体" w:cs="宋体"/>
          <w:color w:val="auto"/>
          <w:sz w:val="22"/>
          <w:szCs w:val="22"/>
          <w:highlight w:val="none"/>
          <w:u w:val="single"/>
        </w:rPr>
        <w:t>浙江省园林绿化及仿古建筑工程预算定额</w:t>
      </w:r>
      <w:r>
        <w:rPr>
          <w:rFonts w:hint="eastAsia" w:ascii="宋体" w:hAnsi="宋体" w:eastAsia="宋体" w:cs="宋体"/>
          <w:bCs/>
          <w:color w:val="auto"/>
          <w:sz w:val="22"/>
          <w:szCs w:val="22"/>
          <w:highlight w:val="none"/>
          <w:u w:val="single"/>
        </w:rPr>
        <w:t>》﹙2018版﹚、浙建站定〔2016〕23号；建建发[2016]144号；台建价[2016]31号; 台建〔2016〕52号文件等及现行有关规定</w:t>
      </w:r>
      <w:r>
        <w:rPr>
          <w:rFonts w:hint="eastAsia" w:ascii="宋体" w:hAnsi="宋体" w:eastAsia="宋体" w:cs="宋体"/>
          <w:bCs/>
          <w:color w:val="auto"/>
          <w:sz w:val="22"/>
          <w:szCs w:val="22"/>
          <w:highlight w:val="none"/>
        </w:rPr>
        <w:t>。</w:t>
      </w:r>
    </w:p>
    <w:p w14:paraId="26DB42E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 标准和规范</w:t>
      </w:r>
    </w:p>
    <w:p w14:paraId="00A6803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1.4.1适用于工程的标准规范包括：</w:t>
      </w:r>
      <w:r>
        <w:rPr>
          <w:rFonts w:hint="eastAsia" w:ascii="宋体" w:hAnsi="宋体" w:eastAsia="宋体" w:cs="宋体"/>
          <w:bCs/>
          <w:color w:val="auto"/>
          <w:sz w:val="22"/>
          <w:szCs w:val="22"/>
          <w:highlight w:val="none"/>
          <w:u w:val="single"/>
        </w:rPr>
        <w:t>按最新国家标准，地方规范执行。如遇设计或施工规范和标准对同一问题的处理出现矛盾的情况时，承包方应及时通知监理工程师，并提出解决办法，征得监理工程师的同意后实施</w:t>
      </w:r>
      <w:r>
        <w:rPr>
          <w:rFonts w:hint="eastAsia" w:ascii="宋体" w:hAnsi="宋体" w:eastAsia="宋体" w:cs="宋体"/>
          <w:bCs/>
          <w:color w:val="auto"/>
          <w:sz w:val="22"/>
          <w:szCs w:val="22"/>
          <w:highlight w:val="none"/>
        </w:rPr>
        <w:t>。</w:t>
      </w:r>
    </w:p>
    <w:p w14:paraId="03AE1F14">
      <w:pPr>
        <w:adjustRightInd w:val="0"/>
        <w:snapToGrid w:val="0"/>
        <w:spacing w:line="312" w:lineRule="auto"/>
        <w:ind w:firstLine="440" w:firstLineChars="200"/>
        <w:outlineLvl w:val="0"/>
        <w:rPr>
          <w:rFonts w:hint="eastAsia" w:ascii="宋体" w:hAnsi="宋体" w:eastAsia="宋体" w:cs="宋体"/>
          <w:bCs/>
          <w:color w:val="auto"/>
          <w:kern w:val="0"/>
          <w:sz w:val="22"/>
          <w:szCs w:val="22"/>
          <w:highlight w:val="none"/>
          <w:u w:val="single"/>
        </w:rPr>
      </w:pPr>
      <w:r>
        <w:rPr>
          <w:rFonts w:hint="eastAsia" w:ascii="宋体" w:hAnsi="宋体" w:eastAsia="宋体" w:cs="宋体"/>
          <w:bCs/>
          <w:color w:val="auto"/>
          <w:kern w:val="0"/>
          <w:sz w:val="22"/>
          <w:szCs w:val="22"/>
          <w:highlight w:val="none"/>
        </w:rPr>
        <w:t>1.4.2 甲方提供国外标准、规范的名称：</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2D334890">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甲方提供国外标准、规范的份数：</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1976C17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甲方提供国外标准、规范的名称：</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55076DA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1.4.3甲方对工程的技术标准和功能要求的特殊要求：</w:t>
      </w:r>
      <w:r>
        <w:rPr>
          <w:rFonts w:hint="eastAsia" w:ascii="宋体" w:hAnsi="宋体" w:eastAsia="宋体" w:cs="宋体"/>
          <w:bCs/>
          <w:color w:val="auto"/>
          <w:sz w:val="22"/>
          <w:szCs w:val="22"/>
          <w:highlight w:val="none"/>
          <w:u w:val="single"/>
        </w:rPr>
        <w:t>按招标文件相关条款的约定</w:t>
      </w:r>
      <w:r>
        <w:rPr>
          <w:rFonts w:hint="eastAsia" w:ascii="宋体" w:hAnsi="宋体" w:eastAsia="宋体" w:cs="宋体"/>
          <w:bCs/>
          <w:color w:val="auto"/>
          <w:sz w:val="22"/>
          <w:szCs w:val="22"/>
          <w:highlight w:val="none"/>
        </w:rPr>
        <w:t>。</w:t>
      </w:r>
    </w:p>
    <w:p w14:paraId="15964D8E">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 合同文件的优先顺序</w:t>
      </w:r>
    </w:p>
    <w:p w14:paraId="5C8BCA1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合同文件组成及优先顺序为：</w:t>
      </w:r>
    </w:p>
    <w:p w14:paraId="7A942576">
      <w:pPr>
        <w:autoSpaceDE w:val="0"/>
        <w:autoSpaceDN w:val="0"/>
        <w:adjustRightInd w:val="0"/>
        <w:snapToGrid w:val="0"/>
        <w:spacing w:line="312" w:lineRule="auto"/>
        <w:ind w:firstLine="444" w:firstLineChars="202"/>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1、本合同协议书；2、成交通知书；3、本合同专用条款；4、询标纪要；5、招标文件及招标补充文件；6、响应文件及其附件（含已标价工程量清单）；7、图纸；8、本合同通用条款； 9、标准、规范及有关技术文件；10、其他合同文件</w:t>
      </w:r>
      <w:r>
        <w:rPr>
          <w:rFonts w:hint="eastAsia" w:ascii="宋体" w:hAnsi="宋体" w:eastAsia="宋体" w:cs="宋体"/>
          <w:bCs/>
          <w:color w:val="auto"/>
          <w:sz w:val="22"/>
          <w:szCs w:val="22"/>
          <w:highlight w:val="none"/>
        </w:rPr>
        <w:t>。</w:t>
      </w:r>
    </w:p>
    <w:p w14:paraId="590DF19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双方有关工程的洽商、变更等书面协议或文件视为本合同的组成部分。除上述合同顺序外，合同文件之间有矛盾的，以时间较晚者为准，任何不在上列的其他文件，皆不影响合同文件，除非双方另签补充合同</w:t>
      </w:r>
      <w:r>
        <w:rPr>
          <w:rFonts w:hint="eastAsia" w:ascii="宋体" w:hAnsi="宋体" w:eastAsia="宋体" w:cs="宋体"/>
          <w:bCs/>
          <w:color w:val="auto"/>
          <w:sz w:val="22"/>
          <w:szCs w:val="22"/>
          <w:highlight w:val="none"/>
        </w:rPr>
        <w:t>。</w:t>
      </w:r>
    </w:p>
    <w:p w14:paraId="320285D3">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 图纸和乙方文件</w:t>
      </w:r>
    </w:p>
    <w:p w14:paraId="07A2658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1.6.1 图纸的提供</w:t>
      </w:r>
    </w:p>
    <w:p w14:paraId="5FC6F6B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甲方向乙方提供图纸的期限：</w:t>
      </w:r>
      <w:r>
        <w:rPr>
          <w:rFonts w:hint="eastAsia" w:ascii="宋体" w:hAnsi="宋体" w:eastAsia="宋体" w:cs="宋体"/>
          <w:bCs/>
          <w:color w:val="auto"/>
          <w:sz w:val="22"/>
          <w:szCs w:val="22"/>
          <w:highlight w:val="none"/>
          <w:u w:val="single"/>
        </w:rPr>
        <w:t>合同签定后7天内</w:t>
      </w:r>
      <w:r>
        <w:rPr>
          <w:rFonts w:hint="eastAsia" w:ascii="宋体" w:hAnsi="宋体" w:eastAsia="宋体" w:cs="宋体"/>
          <w:bCs/>
          <w:color w:val="auto"/>
          <w:sz w:val="22"/>
          <w:szCs w:val="22"/>
          <w:highlight w:val="none"/>
        </w:rPr>
        <w:t>；</w:t>
      </w:r>
    </w:p>
    <w:p w14:paraId="2402E08A">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甲方向乙方提供图纸的数量：</w:t>
      </w:r>
      <w:r>
        <w:rPr>
          <w:rFonts w:hint="eastAsia" w:ascii="宋体" w:hAnsi="宋体" w:eastAsia="宋体" w:cs="宋体"/>
          <w:bCs/>
          <w:color w:val="auto"/>
          <w:sz w:val="22"/>
          <w:szCs w:val="22"/>
          <w:highlight w:val="none"/>
          <w:u w:val="single"/>
        </w:rPr>
        <w:t>提供施工图纸4套，如乙方额外需要提供施工图纸的，则额外增加的施工图纸的制作费由乙方承担</w:t>
      </w:r>
      <w:r>
        <w:rPr>
          <w:rFonts w:hint="eastAsia" w:ascii="宋体" w:hAnsi="宋体" w:eastAsia="宋体" w:cs="宋体"/>
          <w:bCs/>
          <w:color w:val="auto"/>
          <w:sz w:val="22"/>
          <w:szCs w:val="22"/>
          <w:highlight w:val="none"/>
        </w:rPr>
        <w:t>；</w:t>
      </w:r>
    </w:p>
    <w:p w14:paraId="7C7FB5C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甲方向乙方提供图纸的内容：</w:t>
      </w:r>
      <w:r>
        <w:rPr>
          <w:rFonts w:hint="eastAsia" w:ascii="宋体" w:hAnsi="宋体" w:eastAsia="宋体" w:cs="宋体"/>
          <w:bCs/>
          <w:color w:val="auto"/>
          <w:sz w:val="22"/>
          <w:szCs w:val="22"/>
          <w:highlight w:val="none"/>
          <w:u w:val="single"/>
        </w:rPr>
        <w:t>不得向他人提供本工程的图纸或将图纸用于其他工程，否则甲方有权解除合同并有权向乙方进行索赔</w:t>
      </w:r>
      <w:r>
        <w:rPr>
          <w:rFonts w:hint="eastAsia" w:ascii="宋体" w:hAnsi="宋体" w:eastAsia="宋体" w:cs="宋体"/>
          <w:bCs/>
          <w:color w:val="auto"/>
          <w:sz w:val="22"/>
          <w:szCs w:val="22"/>
          <w:highlight w:val="none"/>
        </w:rPr>
        <w:t>。</w:t>
      </w:r>
    </w:p>
    <w:p w14:paraId="34DDFC8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1.6.4 乙方文件</w:t>
      </w:r>
    </w:p>
    <w:p w14:paraId="7CFD26EC">
      <w:pPr>
        <w:adjustRightInd w:val="0"/>
        <w:snapToGrid w:val="0"/>
        <w:spacing w:line="312" w:lineRule="auto"/>
        <w:ind w:left="596" w:leftChars="284"/>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需要由乙方提供的文件，包括：</w:t>
      </w:r>
      <w:r>
        <w:rPr>
          <w:rFonts w:hint="eastAsia" w:ascii="宋体" w:hAnsi="宋体" w:eastAsia="宋体" w:cs="宋体"/>
          <w:bCs/>
          <w:color w:val="auto"/>
          <w:sz w:val="22"/>
          <w:szCs w:val="22"/>
          <w:highlight w:val="none"/>
          <w:u w:val="single"/>
        </w:rPr>
        <w:t>施工组织设计（施工方案）和进度计划</w:t>
      </w:r>
      <w:r>
        <w:rPr>
          <w:rFonts w:hint="eastAsia" w:ascii="宋体" w:hAnsi="宋体" w:eastAsia="宋体" w:cs="宋体"/>
          <w:bCs/>
          <w:color w:val="auto"/>
          <w:sz w:val="22"/>
          <w:szCs w:val="22"/>
          <w:highlight w:val="none"/>
        </w:rPr>
        <w:t>；</w:t>
      </w:r>
    </w:p>
    <w:p w14:paraId="4FB224DF">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乙方提供的文件的期限为：</w:t>
      </w:r>
      <w:r>
        <w:rPr>
          <w:rFonts w:hint="eastAsia" w:ascii="宋体" w:hAnsi="宋体" w:eastAsia="宋体" w:cs="宋体"/>
          <w:bCs/>
          <w:color w:val="auto"/>
          <w:sz w:val="22"/>
          <w:szCs w:val="22"/>
          <w:highlight w:val="none"/>
          <w:u w:val="single"/>
        </w:rPr>
        <w:t>合同签订后叁天提供</w:t>
      </w:r>
      <w:r>
        <w:rPr>
          <w:rFonts w:hint="eastAsia" w:ascii="宋体" w:hAnsi="宋体" w:eastAsia="宋体" w:cs="宋体"/>
          <w:bCs/>
          <w:color w:val="auto"/>
          <w:sz w:val="22"/>
          <w:szCs w:val="22"/>
          <w:highlight w:val="none"/>
        </w:rPr>
        <w:t>；</w:t>
      </w:r>
    </w:p>
    <w:p w14:paraId="57FA5CE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乙方提供的文件的数量为：</w:t>
      </w:r>
      <w:r>
        <w:rPr>
          <w:rFonts w:hint="eastAsia" w:ascii="宋体" w:hAnsi="宋体" w:eastAsia="宋体" w:cs="宋体"/>
          <w:bCs/>
          <w:color w:val="auto"/>
          <w:sz w:val="22"/>
          <w:szCs w:val="22"/>
          <w:highlight w:val="none"/>
          <w:u w:val="single"/>
        </w:rPr>
        <w:t>叁套</w:t>
      </w:r>
      <w:r>
        <w:rPr>
          <w:rFonts w:hint="eastAsia" w:ascii="宋体" w:hAnsi="宋体" w:eastAsia="宋体" w:cs="宋体"/>
          <w:bCs/>
          <w:color w:val="auto"/>
          <w:sz w:val="22"/>
          <w:szCs w:val="22"/>
          <w:highlight w:val="none"/>
        </w:rPr>
        <w:t>；</w:t>
      </w:r>
    </w:p>
    <w:p w14:paraId="5621451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乙方提供的文件的形式为：</w:t>
      </w:r>
      <w:r>
        <w:rPr>
          <w:rFonts w:hint="eastAsia" w:ascii="宋体" w:hAnsi="宋体" w:eastAsia="宋体" w:cs="宋体"/>
          <w:bCs/>
          <w:color w:val="auto"/>
          <w:sz w:val="22"/>
          <w:szCs w:val="22"/>
          <w:highlight w:val="none"/>
          <w:u w:val="single"/>
        </w:rPr>
        <w:t>书面文件</w:t>
      </w:r>
      <w:r>
        <w:rPr>
          <w:rFonts w:hint="eastAsia" w:ascii="宋体" w:hAnsi="宋体" w:eastAsia="宋体" w:cs="宋体"/>
          <w:bCs/>
          <w:color w:val="auto"/>
          <w:sz w:val="22"/>
          <w:szCs w:val="22"/>
          <w:highlight w:val="none"/>
        </w:rPr>
        <w:t>；</w:t>
      </w:r>
    </w:p>
    <w:p w14:paraId="0DC2E1A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甲方审批乙方文件的期限：</w:t>
      </w:r>
      <w:r>
        <w:rPr>
          <w:rFonts w:hint="eastAsia" w:ascii="宋体" w:hAnsi="宋体" w:eastAsia="宋体" w:cs="宋体"/>
          <w:bCs/>
          <w:color w:val="auto"/>
          <w:sz w:val="22"/>
          <w:szCs w:val="22"/>
          <w:highlight w:val="none"/>
          <w:u w:val="single"/>
        </w:rPr>
        <w:t>收到报告后柒天内</w:t>
      </w:r>
      <w:r>
        <w:rPr>
          <w:rFonts w:hint="eastAsia" w:ascii="宋体" w:hAnsi="宋体" w:eastAsia="宋体" w:cs="宋体"/>
          <w:bCs/>
          <w:color w:val="auto"/>
          <w:sz w:val="22"/>
          <w:szCs w:val="22"/>
          <w:highlight w:val="none"/>
        </w:rPr>
        <w:t>。</w:t>
      </w:r>
    </w:p>
    <w:p w14:paraId="42E057A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1.6.5 现场图纸准备</w:t>
      </w:r>
    </w:p>
    <w:p w14:paraId="10E988A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关于现场图纸准备的约定：</w:t>
      </w:r>
      <w:r>
        <w:rPr>
          <w:rFonts w:hint="eastAsia" w:ascii="宋体" w:hAnsi="宋体" w:eastAsia="宋体" w:cs="宋体"/>
          <w:bCs/>
          <w:color w:val="auto"/>
          <w:sz w:val="22"/>
          <w:szCs w:val="22"/>
          <w:highlight w:val="none"/>
          <w:u w:val="single"/>
        </w:rPr>
        <w:t>按通用合同条款第1.6.5条规定执行</w:t>
      </w:r>
      <w:r>
        <w:rPr>
          <w:rFonts w:hint="eastAsia" w:ascii="宋体" w:hAnsi="宋体" w:eastAsia="宋体" w:cs="宋体"/>
          <w:bCs/>
          <w:color w:val="auto"/>
          <w:sz w:val="22"/>
          <w:szCs w:val="22"/>
          <w:highlight w:val="none"/>
        </w:rPr>
        <w:t>。</w:t>
      </w:r>
    </w:p>
    <w:p w14:paraId="5D9E7377">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1.7 联络</w:t>
      </w:r>
    </w:p>
    <w:p w14:paraId="1D0E0F5E">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1.7.1甲方和乙方应当在</w:t>
      </w:r>
      <w:r>
        <w:rPr>
          <w:rFonts w:hint="eastAsia" w:ascii="宋体" w:hAnsi="宋体" w:eastAsia="宋体" w:cs="宋体"/>
          <w:bCs/>
          <w:color w:val="auto"/>
          <w:sz w:val="22"/>
          <w:szCs w:val="22"/>
          <w:highlight w:val="none"/>
          <w:u w:val="single"/>
        </w:rPr>
        <w:t>七</w:t>
      </w:r>
      <w:r>
        <w:rPr>
          <w:rFonts w:hint="eastAsia" w:ascii="宋体" w:hAnsi="宋体" w:eastAsia="宋体" w:cs="宋体"/>
          <w:bCs/>
          <w:color w:val="auto"/>
          <w:kern w:val="0"/>
          <w:sz w:val="22"/>
          <w:szCs w:val="22"/>
          <w:highlight w:val="none"/>
        </w:rPr>
        <w:t>天内将与合同有关的通知、批准、证明、证书、指示、指令、要求、请求、同意、意见、确定和决定等书面函件送达对方当事人。</w:t>
      </w:r>
    </w:p>
    <w:p w14:paraId="026F44FB">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1.7.2 甲方接收文件的地点：</w:t>
      </w:r>
      <w:r>
        <w:rPr>
          <w:rFonts w:hint="eastAsia" w:ascii="宋体" w:hAnsi="宋体" w:eastAsia="宋体" w:cs="宋体"/>
          <w:bCs/>
          <w:color w:val="auto"/>
          <w:sz w:val="22"/>
          <w:szCs w:val="22"/>
          <w:highlight w:val="none"/>
          <w:u w:val="single"/>
        </w:rPr>
        <w:t>施工现场</w:t>
      </w:r>
      <w:r>
        <w:rPr>
          <w:rFonts w:hint="eastAsia" w:ascii="宋体" w:hAnsi="宋体" w:eastAsia="宋体" w:cs="宋体"/>
          <w:bCs/>
          <w:color w:val="auto"/>
          <w:kern w:val="0"/>
          <w:sz w:val="22"/>
          <w:szCs w:val="22"/>
          <w:highlight w:val="none"/>
        </w:rPr>
        <w:t>；</w:t>
      </w:r>
    </w:p>
    <w:p w14:paraId="6603F6F1">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甲方指定的接收人为：</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kern w:val="0"/>
          <w:sz w:val="22"/>
          <w:szCs w:val="22"/>
          <w:highlight w:val="none"/>
        </w:rPr>
        <w:t>。</w:t>
      </w:r>
    </w:p>
    <w:p w14:paraId="08E53118">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乙方接收文件的地点：</w:t>
      </w:r>
      <w:r>
        <w:rPr>
          <w:rFonts w:hint="eastAsia" w:ascii="宋体" w:hAnsi="宋体" w:eastAsia="宋体" w:cs="宋体"/>
          <w:bCs/>
          <w:color w:val="auto"/>
          <w:sz w:val="22"/>
          <w:szCs w:val="22"/>
          <w:highlight w:val="none"/>
          <w:u w:val="single"/>
        </w:rPr>
        <w:t>施工现场</w:t>
      </w:r>
      <w:r>
        <w:rPr>
          <w:rFonts w:hint="eastAsia" w:ascii="宋体" w:hAnsi="宋体" w:eastAsia="宋体" w:cs="宋体"/>
          <w:bCs/>
          <w:color w:val="auto"/>
          <w:kern w:val="0"/>
          <w:sz w:val="22"/>
          <w:szCs w:val="22"/>
          <w:highlight w:val="none"/>
        </w:rPr>
        <w:t>；</w:t>
      </w:r>
    </w:p>
    <w:p w14:paraId="3161A44B">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乙方指定的接收人为：</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kern w:val="0"/>
          <w:sz w:val="22"/>
          <w:szCs w:val="22"/>
          <w:highlight w:val="none"/>
        </w:rPr>
        <w:t>。</w:t>
      </w:r>
    </w:p>
    <w:p w14:paraId="2054E339">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监理人接收文件的地点：</w:t>
      </w:r>
      <w:r>
        <w:rPr>
          <w:rFonts w:hint="eastAsia" w:ascii="宋体" w:hAnsi="宋体" w:eastAsia="宋体" w:cs="宋体"/>
          <w:bCs/>
          <w:color w:val="auto"/>
          <w:sz w:val="22"/>
          <w:szCs w:val="22"/>
          <w:highlight w:val="none"/>
          <w:u w:val="single"/>
        </w:rPr>
        <w:t>施工现场</w:t>
      </w:r>
      <w:r>
        <w:rPr>
          <w:rFonts w:hint="eastAsia" w:ascii="宋体" w:hAnsi="宋体" w:eastAsia="宋体" w:cs="宋体"/>
          <w:bCs/>
          <w:color w:val="auto"/>
          <w:kern w:val="0"/>
          <w:sz w:val="22"/>
          <w:szCs w:val="22"/>
          <w:highlight w:val="none"/>
        </w:rPr>
        <w:t>；</w:t>
      </w:r>
    </w:p>
    <w:p w14:paraId="63B3B4AB">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监理人指定的接收人为：</w:t>
      </w:r>
      <w:r>
        <w:rPr>
          <w:rFonts w:hint="eastAsia" w:ascii="宋体" w:hAnsi="宋体" w:eastAsia="宋体" w:cs="宋体"/>
          <w:bCs/>
          <w:color w:val="auto"/>
          <w:sz w:val="22"/>
          <w:szCs w:val="22"/>
          <w:highlight w:val="none"/>
          <w:u w:val="single"/>
        </w:rPr>
        <w:t>总监</w:t>
      </w:r>
      <w:r>
        <w:rPr>
          <w:rFonts w:hint="eastAsia" w:ascii="宋体" w:hAnsi="宋体" w:eastAsia="宋体" w:cs="宋体"/>
          <w:bCs/>
          <w:color w:val="auto"/>
          <w:kern w:val="0"/>
          <w:sz w:val="22"/>
          <w:szCs w:val="22"/>
          <w:highlight w:val="none"/>
        </w:rPr>
        <w:t>。</w:t>
      </w:r>
    </w:p>
    <w:p w14:paraId="46F953CF">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1.10 交通运输</w:t>
      </w:r>
    </w:p>
    <w:p w14:paraId="7D2D48F5">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Start w:id="53" w:name="_Toc318581155"/>
      <w:bookmarkStart w:id="54" w:name="_Toc312677986"/>
      <w:bookmarkStart w:id="55" w:name="_Toc300934943"/>
      <w:bookmarkStart w:id="56" w:name="_Toc304295521"/>
      <w:bookmarkStart w:id="57" w:name="_Toc303539100"/>
      <w:r>
        <w:rPr>
          <w:rFonts w:hint="eastAsia" w:ascii="宋体" w:hAnsi="宋体" w:eastAsia="宋体" w:cs="宋体"/>
          <w:bCs/>
          <w:color w:val="auto"/>
          <w:sz w:val="22"/>
          <w:szCs w:val="22"/>
          <w:highlight w:val="none"/>
        </w:rPr>
        <w:t>.10.1 出入现场的权利</w:t>
      </w:r>
    </w:p>
    <w:p w14:paraId="04DE8C17">
      <w:pPr>
        <w:adjustRightInd w:val="0"/>
        <w:snapToGrid w:val="0"/>
        <w:spacing w:line="312" w:lineRule="auto"/>
        <w:ind w:left="596" w:leftChars="284"/>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关于出入现场的权利的约定：</w:t>
      </w:r>
      <w:r>
        <w:rPr>
          <w:rFonts w:hint="eastAsia" w:ascii="宋体" w:hAnsi="宋体" w:eastAsia="宋体" w:cs="宋体"/>
          <w:bCs/>
          <w:color w:val="auto"/>
          <w:sz w:val="22"/>
          <w:szCs w:val="22"/>
          <w:highlight w:val="none"/>
          <w:u w:val="single"/>
        </w:rPr>
        <w:t>按通用合同条款第1.10.1条规定执行</w:t>
      </w:r>
      <w:r>
        <w:rPr>
          <w:rFonts w:hint="eastAsia" w:ascii="宋体" w:hAnsi="宋体" w:eastAsia="宋体" w:cs="宋体"/>
          <w:bCs/>
          <w:color w:val="auto"/>
          <w:sz w:val="22"/>
          <w:szCs w:val="22"/>
          <w:highlight w:val="none"/>
        </w:rPr>
        <w:t>。</w:t>
      </w:r>
    </w:p>
    <w:bookmarkEnd w:id="53"/>
    <w:bookmarkEnd w:id="54"/>
    <w:bookmarkEnd w:id="55"/>
    <w:bookmarkEnd w:id="56"/>
    <w:bookmarkEnd w:id="57"/>
    <w:p w14:paraId="539BCAF2">
      <w:pPr>
        <w:adjustRightInd w:val="0"/>
        <w:snapToGrid w:val="0"/>
        <w:spacing w:line="312"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Start w:id="58" w:name="_Toc312677987"/>
      <w:bookmarkStart w:id="59" w:name="_Toc304295522"/>
      <w:bookmarkStart w:id="60" w:name="_Toc303539101"/>
      <w:bookmarkStart w:id="61" w:name="_Toc300934944"/>
      <w:bookmarkStart w:id="62" w:name="_Toc318581156"/>
      <w:r>
        <w:rPr>
          <w:rFonts w:hint="eastAsia" w:ascii="宋体" w:hAnsi="宋体" w:eastAsia="宋体" w:cs="宋体"/>
          <w:bCs/>
          <w:color w:val="auto"/>
          <w:sz w:val="22"/>
          <w:szCs w:val="22"/>
          <w:highlight w:val="none"/>
        </w:rPr>
        <w:t>.10.3 场内交通</w:t>
      </w:r>
    </w:p>
    <w:p w14:paraId="790C598F">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关于场外交通和场内交通的边界的约定：</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rPr>
        <w:t>。</w:t>
      </w:r>
    </w:p>
    <w:p w14:paraId="4AA2E9B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关于甲方向乙方免费提供满足工程施工需要的场内道路和交通设施的约定：</w:t>
      </w:r>
      <w:r>
        <w:rPr>
          <w:rFonts w:hint="eastAsia" w:ascii="宋体" w:hAnsi="宋体" w:eastAsia="宋体" w:cs="宋体"/>
          <w:bCs/>
          <w:color w:val="auto"/>
          <w:sz w:val="22"/>
          <w:szCs w:val="22"/>
          <w:highlight w:val="none"/>
          <w:u w:val="single"/>
        </w:rPr>
        <w:t>已开通，乙方应负责从甲方指定的场外公共道路至施工区及施工区内道路和交通设施的修建、维修、养护和管理，包括维修、养护和管理甲方提供的道路和交通设施，并承担相应费用</w:t>
      </w:r>
      <w:r>
        <w:rPr>
          <w:rFonts w:hint="eastAsia" w:ascii="宋体" w:hAnsi="宋体" w:eastAsia="宋体" w:cs="宋体"/>
          <w:bCs/>
          <w:color w:val="auto"/>
          <w:sz w:val="22"/>
          <w:szCs w:val="22"/>
          <w:highlight w:val="none"/>
        </w:rPr>
        <w:t>。</w:t>
      </w:r>
      <w:bookmarkEnd w:id="58"/>
      <w:bookmarkEnd w:id="59"/>
      <w:bookmarkEnd w:id="60"/>
      <w:bookmarkEnd w:id="61"/>
      <w:bookmarkEnd w:id="62"/>
      <w:bookmarkStart w:id="63" w:name="_Toc318581157"/>
    </w:p>
    <w:p w14:paraId="2C9411D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1.10.4超大件和超重件的运输</w:t>
      </w:r>
    </w:p>
    <w:p w14:paraId="2C9F2B7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运输超大件或超重件所需的道路和桥梁临时加固改造费用和其他有关费用由</w:t>
      </w:r>
      <w:r>
        <w:rPr>
          <w:rFonts w:hint="eastAsia" w:ascii="宋体" w:hAnsi="宋体" w:eastAsia="宋体" w:cs="宋体"/>
          <w:bCs/>
          <w:color w:val="auto"/>
          <w:sz w:val="22"/>
          <w:szCs w:val="22"/>
          <w:highlight w:val="none"/>
          <w:u w:val="single"/>
        </w:rPr>
        <w:t>乙方</w:t>
      </w:r>
      <w:r>
        <w:rPr>
          <w:rFonts w:hint="eastAsia" w:ascii="宋体" w:hAnsi="宋体" w:eastAsia="宋体" w:cs="宋体"/>
          <w:bCs/>
          <w:color w:val="auto"/>
          <w:sz w:val="22"/>
          <w:szCs w:val="22"/>
          <w:highlight w:val="none"/>
        </w:rPr>
        <w:t>承担。</w:t>
      </w:r>
    </w:p>
    <w:bookmarkEnd w:id="63"/>
    <w:p w14:paraId="18385A7F">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1.11 知识产权</w:t>
      </w:r>
    </w:p>
    <w:p w14:paraId="72F179D3">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1.11.1关于甲方提供给乙方的图纸、甲方为实施工程自行编制或委托编制的技术规范以及反映甲方关于合同要求或其他类似性质的文件的著作权的归属：</w:t>
      </w:r>
      <w:r>
        <w:rPr>
          <w:rFonts w:hint="eastAsia" w:ascii="宋体" w:hAnsi="宋体" w:eastAsia="宋体" w:cs="宋体"/>
          <w:bCs/>
          <w:color w:val="auto"/>
          <w:sz w:val="22"/>
          <w:szCs w:val="22"/>
          <w:highlight w:val="none"/>
          <w:u w:val="single"/>
        </w:rPr>
        <w:t>著作权属于甲方</w:t>
      </w:r>
      <w:r>
        <w:rPr>
          <w:rFonts w:hint="eastAsia" w:ascii="宋体" w:hAnsi="宋体" w:eastAsia="宋体" w:cs="宋体"/>
          <w:bCs/>
          <w:color w:val="auto"/>
          <w:sz w:val="22"/>
          <w:szCs w:val="22"/>
          <w:highlight w:val="none"/>
        </w:rPr>
        <w:t>。</w:t>
      </w:r>
    </w:p>
    <w:p w14:paraId="070AC7D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关于甲方提供的上述文件的使用限制的要求：</w:t>
      </w:r>
      <w:r>
        <w:rPr>
          <w:rFonts w:hint="eastAsia" w:ascii="宋体" w:hAnsi="宋体" w:eastAsia="宋体" w:cs="宋体"/>
          <w:bCs/>
          <w:color w:val="auto"/>
          <w:sz w:val="22"/>
          <w:szCs w:val="22"/>
          <w:highlight w:val="none"/>
          <w:u w:val="single"/>
        </w:rPr>
        <w:t>永久性限制 ，未经甲方事前书面同意，乙方不得以任何形式用于与本合同无关的其他用途，工程竣工后，除为履行保修义务而允许乙方保留一套竣工图外，乙方应将图纸返还甲方</w:t>
      </w:r>
      <w:r>
        <w:rPr>
          <w:rFonts w:hint="eastAsia" w:ascii="宋体" w:hAnsi="宋体" w:eastAsia="宋体" w:cs="宋体"/>
          <w:bCs/>
          <w:color w:val="auto"/>
          <w:sz w:val="22"/>
          <w:szCs w:val="22"/>
          <w:highlight w:val="none"/>
        </w:rPr>
        <w:t>。</w:t>
      </w:r>
    </w:p>
    <w:p w14:paraId="3D29A14C">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1.11.2 关于乙方为实施工程所编制文件的著作权的归属：</w:t>
      </w:r>
      <w:r>
        <w:rPr>
          <w:rFonts w:hint="eastAsia" w:ascii="宋体" w:hAnsi="宋体" w:eastAsia="宋体" w:cs="宋体"/>
          <w:bCs/>
          <w:color w:val="auto"/>
          <w:sz w:val="22"/>
          <w:szCs w:val="22"/>
          <w:highlight w:val="none"/>
          <w:u w:val="single"/>
        </w:rPr>
        <w:t>除署名权以外的著作权归甲方享有</w:t>
      </w:r>
      <w:r>
        <w:rPr>
          <w:rFonts w:hint="eastAsia" w:ascii="宋体" w:hAnsi="宋体" w:eastAsia="宋体" w:cs="宋体"/>
          <w:bCs/>
          <w:color w:val="auto"/>
          <w:sz w:val="22"/>
          <w:szCs w:val="22"/>
          <w:highlight w:val="none"/>
        </w:rPr>
        <w:t>。</w:t>
      </w:r>
    </w:p>
    <w:p w14:paraId="139431A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关于乙方提供的上述文件的使用限制的要求：</w:t>
      </w:r>
      <w:r>
        <w:rPr>
          <w:rFonts w:hint="eastAsia" w:ascii="宋体" w:hAnsi="宋体" w:eastAsia="宋体" w:cs="宋体"/>
          <w:bCs/>
          <w:color w:val="auto"/>
          <w:sz w:val="22"/>
          <w:szCs w:val="22"/>
          <w:highlight w:val="none"/>
          <w:u w:val="single"/>
        </w:rPr>
        <w:t>工程竣工验收后，经甲方事前书面同意，在不泄露甲方商业秘密或技术信息的情况下使用</w:t>
      </w:r>
      <w:r>
        <w:rPr>
          <w:rFonts w:hint="eastAsia" w:ascii="宋体" w:hAnsi="宋体" w:eastAsia="宋体" w:cs="宋体"/>
          <w:bCs/>
          <w:color w:val="auto"/>
          <w:sz w:val="22"/>
          <w:szCs w:val="22"/>
          <w:highlight w:val="none"/>
        </w:rPr>
        <w:t>。</w:t>
      </w:r>
    </w:p>
    <w:p w14:paraId="34D91414">
      <w:pPr>
        <w:adjustRightInd w:val="0"/>
        <w:snapToGrid w:val="0"/>
        <w:spacing w:line="312" w:lineRule="auto"/>
        <w:ind w:firstLine="440" w:firstLineChars="200"/>
        <w:outlineLvl w:val="0"/>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1.11.4 乙方在施工过程中所采用的专利、专有技术、技术秘密的使用费的承担方式：</w:t>
      </w:r>
      <w:r>
        <w:rPr>
          <w:rFonts w:hint="eastAsia" w:ascii="宋体" w:hAnsi="宋体" w:eastAsia="宋体" w:cs="宋体"/>
          <w:bCs/>
          <w:color w:val="auto"/>
          <w:sz w:val="22"/>
          <w:szCs w:val="22"/>
          <w:highlight w:val="none"/>
          <w:u w:val="single"/>
        </w:rPr>
        <w:t>乙方自行承担；（除甲方指明外）乙方在施工过程中所采用的专利、专有技术、技术秘密的使用费用均已包含在本合同价款内，甲方不再另行支付</w:t>
      </w:r>
      <w:r>
        <w:rPr>
          <w:rFonts w:hint="eastAsia" w:ascii="宋体" w:hAnsi="宋体" w:eastAsia="宋体" w:cs="宋体"/>
          <w:bCs/>
          <w:color w:val="auto"/>
          <w:kern w:val="0"/>
          <w:sz w:val="22"/>
          <w:szCs w:val="22"/>
          <w:highlight w:val="none"/>
        </w:rPr>
        <w:t>。</w:t>
      </w:r>
    </w:p>
    <w:p w14:paraId="66AB426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1.13工程量清单错误的修正</w:t>
      </w:r>
    </w:p>
    <w:p w14:paraId="22FF179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出现工程量清单错误时，是否调整合同价格：</w:t>
      </w:r>
      <w:r>
        <w:rPr>
          <w:rFonts w:hint="eastAsia" w:ascii="宋体" w:hAnsi="宋体" w:eastAsia="宋体" w:cs="宋体"/>
          <w:bCs/>
          <w:color w:val="auto"/>
          <w:sz w:val="22"/>
          <w:szCs w:val="22"/>
          <w:highlight w:val="none"/>
          <w:u w:val="single"/>
        </w:rPr>
        <w:t>参照本合同专用条款12.1执行</w:t>
      </w:r>
      <w:r>
        <w:rPr>
          <w:rFonts w:hint="eastAsia" w:ascii="宋体" w:hAnsi="宋体" w:eastAsia="宋体" w:cs="宋体"/>
          <w:bCs/>
          <w:color w:val="auto"/>
          <w:kern w:val="0"/>
          <w:sz w:val="22"/>
          <w:szCs w:val="22"/>
          <w:highlight w:val="none"/>
        </w:rPr>
        <w:t>。</w:t>
      </w:r>
    </w:p>
    <w:p w14:paraId="55B36C3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允许调整合同价格的工程量偏差范围：</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kern w:val="0"/>
          <w:sz w:val="22"/>
          <w:szCs w:val="22"/>
          <w:highlight w:val="none"/>
        </w:rPr>
        <w:t>。</w:t>
      </w:r>
    </w:p>
    <w:p w14:paraId="31DEA5EE">
      <w:pPr>
        <w:adjustRightInd w:val="0"/>
        <w:snapToGrid w:val="0"/>
        <w:spacing w:line="312" w:lineRule="auto"/>
        <w:rPr>
          <w:rFonts w:hint="eastAsia" w:ascii="宋体" w:hAnsi="宋体" w:eastAsia="宋体" w:cs="宋体"/>
          <w:bCs/>
          <w:color w:val="auto"/>
          <w:sz w:val="22"/>
          <w:szCs w:val="22"/>
          <w:highlight w:val="none"/>
        </w:rPr>
      </w:pPr>
      <w:bookmarkStart w:id="64" w:name="_Toc351203634"/>
      <w:r>
        <w:rPr>
          <w:rFonts w:hint="eastAsia" w:ascii="宋体" w:hAnsi="宋体" w:eastAsia="宋体" w:cs="宋体"/>
          <w:bCs/>
          <w:color w:val="auto"/>
          <w:sz w:val="22"/>
          <w:szCs w:val="22"/>
          <w:highlight w:val="none"/>
        </w:rPr>
        <w:t>2</w:t>
      </w:r>
      <w:bookmarkStart w:id="65" w:name="_Toc297048343"/>
      <w:bookmarkStart w:id="66" w:name="_Toc292559362"/>
      <w:bookmarkStart w:id="67" w:name="_Toc296944496"/>
      <w:bookmarkStart w:id="68" w:name="_Toc297120457"/>
      <w:bookmarkStart w:id="69" w:name="_Toc296346658"/>
      <w:bookmarkStart w:id="70" w:name="_Toc296890985"/>
      <w:bookmarkStart w:id="71" w:name="_Toc292559867"/>
      <w:bookmarkStart w:id="72" w:name="_Toc296503157"/>
      <w:bookmarkStart w:id="73" w:name="_Toc296891197"/>
      <w:bookmarkStart w:id="74" w:name="_Toc296347156"/>
      <w:r>
        <w:rPr>
          <w:rFonts w:hint="eastAsia" w:ascii="宋体" w:hAnsi="宋体" w:eastAsia="宋体" w:cs="宋体"/>
          <w:bCs/>
          <w:color w:val="auto"/>
          <w:sz w:val="22"/>
          <w:szCs w:val="22"/>
          <w:highlight w:val="none"/>
        </w:rPr>
        <w:t xml:space="preserve">. </w:t>
      </w:r>
      <w:bookmarkEnd w:id="64"/>
      <w:r>
        <w:rPr>
          <w:rFonts w:hint="eastAsia" w:ascii="宋体" w:hAnsi="宋体" w:eastAsia="宋体" w:cs="宋体"/>
          <w:bCs/>
          <w:color w:val="auto"/>
          <w:sz w:val="22"/>
          <w:szCs w:val="22"/>
          <w:highlight w:val="none"/>
        </w:rPr>
        <w:t>甲方</w:t>
      </w:r>
    </w:p>
    <w:bookmarkEnd w:id="65"/>
    <w:bookmarkEnd w:id="66"/>
    <w:bookmarkEnd w:id="67"/>
    <w:bookmarkEnd w:id="68"/>
    <w:bookmarkEnd w:id="69"/>
    <w:bookmarkEnd w:id="70"/>
    <w:bookmarkEnd w:id="71"/>
    <w:bookmarkEnd w:id="72"/>
    <w:bookmarkEnd w:id="73"/>
    <w:bookmarkEnd w:id="74"/>
    <w:p w14:paraId="18ECA86F">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2.2 甲方代表</w:t>
      </w:r>
    </w:p>
    <w:p w14:paraId="5DA73C6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甲方代表：</w:t>
      </w:r>
    </w:p>
    <w:p w14:paraId="0F8EC8C3">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姓    名：</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2DACD9E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身份证号：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3E7E7C2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职    务：</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0335554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联系电话：</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3D92209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电子信箱：</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BF2792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通信地址：</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799037E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甲方对甲方代表的授权范围如下：</w:t>
      </w:r>
      <w:r>
        <w:rPr>
          <w:rFonts w:hint="eastAsia" w:ascii="宋体" w:hAnsi="宋体" w:eastAsia="宋体" w:cs="宋体"/>
          <w:bCs/>
          <w:color w:val="auto"/>
          <w:sz w:val="22"/>
          <w:szCs w:val="22"/>
          <w:highlight w:val="none"/>
          <w:u w:val="single"/>
        </w:rPr>
        <w:t>负责本合同的履行与监督，负责本工程质量、进度、投资、安全等项目管理内容的协调管理工作，行使除监理工程师职权外的其他工程师的职权协调关系，签发进度款及现场鉴证</w:t>
      </w:r>
      <w:r>
        <w:rPr>
          <w:rFonts w:hint="eastAsia" w:ascii="宋体" w:hAnsi="宋体" w:eastAsia="宋体" w:cs="宋体"/>
          <w:bCs/>
          <w:color w:val="auto"/>
          <w:sz w:val="22"/>
          <w:szCs w:val="22"/>
          <w:highlight w:val="none"/>
        </w:rPr>
        <w:t>。</w:t>
      </w:r>
    </w:p>
    <w:p w14:paraId="3B2A9418">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2.4 施工现场、施工条件和基础资料的提供</w:t>
      </w:r>
    </w:p>
    <w:p w14:paraId="6A4381C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2.4.1 提供施工现场</w:t>
      </w:r>
    </w:p>
    <w:p w14:paraId="4C31C20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关于甲方移交施工现场的期限要求：</w:t>
      </w:r>
      <w:r>
        <w:rPr>
          <w:rFonts w:hint="eastAsia" w:ascii="宋体" w:hAnsi="宋体" w:eastAsia="宋体" w:cs="宋体"/>
          <w:bCs/>
          <w:color w:val="auto"/>
          <w:sz w:val="22"/>
          <w:szCs w:val="22"/>
          <w:highlight w:val="none"/>
          <w:u w:val="single"/>
        </w:rPr>
        <w:t>开工前结合具体实际情况，施工场地具备主体工程施工条件，或具备局部施工条件且后续可连续施工</w:t>
      </w:r>
      <w:r>
        <w:rPr>
          <w:rFonts w:hint="eastAsia" w:ascii="宋体" w:hAnsi="宋体" w:eastAsia="宋体" w:cs="宋体"/>
          <w:bCs/>
          <w:color w:val="auto"/>
          <w:sz w:val="22"/>
          <w:szCs w:val="22"/>
          <w:highlight w:val="none"/>
        </w:rPr>
        <w:t>。</w:t>
      </w:r>
    </w:p>
    <w:p w14:paraId="301337E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2.4.2 提供施工条件</w:t>
      </w:r>
    </w:p>
    <w:p w14:paraId="3C04CE0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关于甲方应负责提供施工所需要的条件，包括：</w:t>
      </w:r>
    </w:p>
    <w:p w14:paraId="242EF47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r>
        <w:rPr>
          <w:rFonts w:hint="eastAsia" w:ascii="宋体" w:hAnsi="宋体" w:eastAsia="宋体" w:cs="宋体"/>
          <w:bCs/>
          <w:color w:val="auto"/>
          <w:sz w:val="22"/>
          <w:szCs w:val="22"/>
          <w:highlight w:val="none"/>
          <w:u w:val="single"/>
        </w:rPr>
        <w:t>除选用通用合同条款第2.4.2条规定外，开工前七天，由甲方协助乙方办理好施工所需证件、批件；开工前七天，完成水准点与坐标点双方在施工现场的校验；开工前七天，完成图纸会审和设计交底</w:t>
      </w:r>
      <w:r>
        <w:rPr>
          <w:rFonts w:hint="eastAsia" w:ascii="宋体" w:hAnsi="宋体" w:eastAsia="宋体" w:cs="宋体"/>
          <w:bCs/>
          <w:color w:val="auto"/>
          <w:sz w:val="22"/>
          <w:szCs w:val="22"/>
          <w:highlight w:val="none"/>
        </w:rPr>
        <w:t>。</w:t>
      </w:r>
    </w:p>
    <w:p w14:paraId="1487BF2A">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（2）施工所需的水、电、电讯线路接至施工场地的时间、地点和供应要求：</w:t>
      </w:r>
    </w:p>
    <w:p w14:paraId="2552B6C6">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①所需正常施工的电源、水源已由发包方在开工前安装至施工现场边缘。</w:t>
      </w:r>
    </w:p>
    <w:p w14:paraId="191EAA69">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 xml:space="preserve">②施工用电：施工场内临时低压接电及线缆铺设费用要求乙方自理并包括在响应总价内。 </w:t>
      </w:r>
    </w:p>
    <w:p w14:paraId="1D6A15B4">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③施工用水：施工场内临时用水接水管铺设费用由乙方自理并包括在响应总价内。</w:t>
      </w:r>
    </w:p>
    <w:p w14:paraId="5D7164AE">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④施工用水、用电费用由乙方承担，费用包含在总价中。</w:t>
      </w:r>
    </w:p>
    <w:p w14:paraId="6CF7F4DB">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⑤用电与用水高峰期时供应不足由乙方自行设法解决，费用由乙方综合考虑在报价中，甲方不另支付相关费用。</w:t>
      </w:r>
    </w:p>
    <w:p w14:paraId="3EE05ABA">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2.5 资金来源证明及支付担保</w:t>
      </w:r>
    </w:p>
    <w:p w14:paraId="472E669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甲方提供资金来源证明的期限要求：</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3107E01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甲方是否提供支付担保：</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4D617756">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甲方提供支付担保的形式：</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6207AA29">
      <w:pPr>
        <w:adjustRightInd w:val="0"/>
        <w:snapToGrid w:val="0"/>
        <w:spacing w:line="312" w:lineRule="auto"/>
        <w:rPr>
          <w:rFonts w:hint="eastAsia" w:ascii="宋体" w:hAnsi="宋体" w:eastAsia="宋体" w:cs="宋体"/>
          <w:bCs/>
          <w:color w:val="auto"/>
          <w:sz w:val="22"/>
          <w:szCs w:val="22"/>
          <w:highlight w:val="none"/>
        </w:rPr>
      </w:pPr>
      <w:bookmarkStart w:id="75" w:name="_Toc351203635"/>
      <w:r>
        <w:rPr>
          <w:rFonts w:hint="eastAsia" w:ascii="宋体" w:hAnsi="宋体" w:eastAsia="宋体" w:cs="宋体"/>
          <w:bCs/>
          <w:color w:val="auto"/>
          <w:sz w:val="22"/>
          <w:szCs w:val="22"/>
          <w:highlight w:val="none"/>
        </w:rPr>
        <w:t>3</w:t>
      </w:r>
      <w:bookmarkStart w:id="76" w:name="_Toc296346659"/>
      <w:bookmarkStart w:id="77" w:name="_Toc296347157"/>
      <w:bookmarkStart w:id="78" w:name="_Toc297048344"/>
      <w:bookmarkStart w:id="79" w:name="_Toc296891198"/>
      <w:bookmarkStart w:id="80" w:name="_Toc297120458"/>
      <w:bookmarkStart w:id="81" w:name="_Toc292559868"/>
      <w:bookmarkStart w:id="82" w:name="_Toc296503158"/>
      <w:bookmarkStart w:id="83" w:name="_Toc296944497"/>
      <w:bookmarkStart w:id="84" w:name="_Toc296890986"/>
      <w:bookmarkStart w:id="85" w:name="_Toc292559363"/>
      <w:r>
        <w:rPr>
          <w:rFonts w:hint="eastAsia" w:ascii="宋体" w:hAnsi="宋体" w:eastAsia="宋体" w:cs="宋体"/>
          <w:bCs/>
          <w:color w:val="auto"/>
          <w:sz w:val="22"/>
          <w:szCs w:val="22"/>
          <w:highlight w:val="none"/>
        </w:rPr>
        <w:t xml:space="preserve">. </w:t>
      </w:r>
      <w:bookmarkEnd w:id="75"/>
      <w:r>
        <w:rPr>
          <w:rFonts w:hint="eastAsia" w:ascii="宋体" w:hAnsi="宋体" w:eastAsia="宋体" w:cs="宋体"/>
          <w:bCs/>
          <w:color w:val="auto"/>
          <w:sz w:val="22"/>
          <w:szCs w:val="22"/>
          <w:highlight w:val="none"/>
        </w:rPr>
        <w:t>乙方</w:t>
      </w:r>
    </w:p>
    <w:bookmarkEnd w:id="76"/>
    <w:bookmarkEnd w:id="77"/>
    <w:bookmarkEnd w:id="78"/>
    <w:bookmarkEnd w:id="79"/>
    <w:bookmarkEnd w:id="80"/>
    <w:bookmarkEnd w:id="81"/>
    <w:bookmarkEnd w:id="82"/>
    <w:bookmarkEnd w:id="83"/>
    <w:bookmarkEnd w:id="84"/>
    <w:bookmarkEnd w:id="85"/>
    <w:p w14:paraId="46941EE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3.1 乙方的一般义务</w:t>
      </w:r>
    </w:p>
    <w:p w14:paraId="041F6EA9">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（1）应提供计划、报表的名称及完成时间：</w:t>
      </w:r>
    </w:p>
    <w:p w14:paraId="7418FD5F">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（2）承担施工安全保卫工作及非夜间施工照明的责任和要求：</w:t>
      </w:r>
      <w:r>
        <w:rPr>
          <w:rFonts w:hint="eastAsia" w:ascii="宋体" w:hAnsi="宋体" w:eastAsia="宋体" w:cs="宋体"/>
          <w:bCs/>
          <w:color w:val="auto"/>
          <w:sz w:val="22"/>
          <w:szCs w:val="22"/>
          <w:highlight w:val="none"/>
          <w:u w:val="single"/>
        </w:rPr>
        <w:t xml:space="preserve"> 施工现场的夜间照明线路必须单独敷设，承担所有安全保卫责任以及引起的所有经济和法律责任；承担各级政府管理部门所要求的一切责任以及引起的所有经济和法律责任。</w:t>
      </w:r>
    </w:p>
    <w:p w14:paraId="6DAA26F8">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（3）需乙方办理的有关施工场地交通、环卫和施工噪音管理等手续：</w:t>
      </w:r>
      <w:r>
        <w:rPr>
          <w:rFonts w:hint="eastAsia" w:ascii="宋体" w:hAnsi="宋体" w:eastAsia="宋体" w:cs="宋体"/>
          <w:bCs/>
          <w:color w:val="auto"/>
          <w:sz w:val="22"/>
          <w:szCs w:val="22"/>
          <w:highlight w:val="none"/>
          <w:u w:val="single"/>
        </w:rPr>
        <w:t>遵照政府有关部门对施工场地交通、环卫和施工噪音的管理规定，按规定办理相关手续，费用由乙方负责，甲方给予配合。如乙方未及时办理有关手续而造成的罚款由乙方承担。</w:t>
      </w:r>
    </w:p>
    <w:p w14:paraId="44CE0B5C">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（4）完工工程成品保护的特殊要求及费用承担：</w:t>
      </w:r>
      <w:r>
        <w:rPr>
          <w:rFonts w:hint="eastAsia" w:ascii="宋体" w:hAnsi="宋体" w:eastAsia="宋体" w:cs="宋体"/>
          <w:bCs/>
          <w:color w:val="auto"/>
          <w:sz w:val="22"/>
          <w:szCs w:val="22"/>
          <w:highlight w:val="none"/>
          <w:u w:val="single"/>
        </w:rPr>
        <w:t>按甲方的要求进行保护，所有费用乙方已在响应报价中包干。</w:t>
      </w:r>
    </w:p>
    <w:p w14:paraId="1E2969F6">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（5）施工现场清洁卫生的要求：</w:t>
      </w:r>
      <w:r>
        <w:rPr>
          <w:rFonts w:hint="eastAsia" w:ascii="宋体" w:hAnsi="宋体" w:eastAsia="宋体" w:cs="宋体"/>
          <w:bCs/>
          <w:color w:val="auto"/>
          <w:sz w:val="22"/>
          <w:szCs w:val="22"/>
          <w:highlight w:val="none"/>
          <w:u w:val="single"/>
        </w:rPr>
        <w:t>乙方结合《浙江省建设工程现场安全文明施工标准化工地管理办法》等省市相关规定，制定相应文明施工措施方案，保证施工现场清洁卫生。如乙方未按文明施工方案实施的，甲方有权责令乙方立即整改，对乙方拒不整改或未按规定期限完成整改的，甲方有权对乙方处以罚款、暂停施工等处罚。本工程乙方搭设的所有临时设施、施工便道等（包括借地范围内），在本工程交工验收合格后，必须在规定的期限内自行拆除清运完毕，达到监理和甲方认为合格的使用状态否则将不予结算。</w:t>
      </w:r>
    </w:p>
    <w:p w14:paraId="418288E5">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（6）乙方提交的竣工资料的内容：</w:t>
      </w:r>
      <w:r>
        <w:rPr>
          <w:rFonts w:hint="eastAsia" w:ascii="宋体" w:hAnsi="宋体" w:eastAsia="宋体" w:cs="宋体"/>
          <w:bCs/>
          <w:color w:val="auto"/>
          <w:sz w:val="22"/>
          <w:szCs w:val="22"/>
          <w:highlight w:val="none"/>
          <w:u w:val="single"/>
        </w:rPr>
        <w:t>向发包方提供竣工图（肆套）、竣工资料及竣工验收报告，并附光盘（含影像资料、图片等）</w:t>
      </w:r>
      <w:r>
        <w:rPr>
          <w:rFonts w:hint="eastAsia" w:ascii="宋体" w:hAnsi="宋体" w:eastAsia="宋体" w:cs="宋体"/>
          <w:bCs/>
          <w:color w:val="auto"/>
          <w:sz w:val="22"/>
          <w:szCs w:val="22"/>
          <w:highlight w:val="none"/>
        </w:rPr>
        <w:t>。</w:t>
      </w:r>
    </w:p>
    <w:p w14:paraId="1ABA850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乙方需要提交的竣工资料套数：</w:t>
      </w:r>
      <w:r>
        <w:rPr>
          <w:rFonts w:hint="eastAsia" w:ascii="宋体" w:hAnsi="宋体" w:eastAsia="宋体" w:cs="宋体"/>
          <w:bCs/>
          <w:color w:val="auto"/>
          <w:sz w:val="22"/>
          <w:szCs w:val="22"/>
          <w:highlight w:val="none"/>
          <w:u w:val="single"/>
        </w:rPr>
        <w:t>满足工程所在地建设行政主管部门和城市建设档案管理机构有关施工资料的要求</w:t>
      </w:r>
      <w:r>
        <w:rPr>
          <w:rFonts w:hint="eastAsia" w:ascii="宋体" w:hAnsi="宋体" w:eastAsia="宋体" w:cs="宋体"/>
          <w:bCs/>
          <w:color w:val="auto"/>
          <w:sz w:val="22"/>
          <w:szCs w:val="22"/>
          <w:highlight w:val="none"/>
        </w:rPr>
        <w:t>。</w:t>
      </w:r>
    </w:p>
    <w:p w14:paraId="07FB570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乙方提交的竣工资料的费用承担：</w:t>
      </w:r>
      <w:r>
        <w:rPr>
          <w:rFonts w:hint="eastAsia" w:ascii="宋体" w:hAnsi="宋体" w:eastAsia="宋体" w:cs="宋体"/>
          <w:bCs/>
          <w:color w:val="auto"/>
          <w:sz w:val="22"/>
          <w:szCs w:val="22"/>
          <w:highlight w:val="none"/>
          <w:u w:val="single"/>
        </w:rPr>
        <w:t>乙方承担</w:t>
      </w:r>
      <w:r>
        <w:rPr>
          <w:rFonts w:hint="eastAsia" w:ascii="宋体" w:hAnsi="宋体" w:eastAsia="宋体" w:cs="宋体"/>
          <w:bCs/>
          <w:color w:val="auto"/>
          <w:sz w:val="22"/>
          <w:szCs w:val="22"/>
          <w:highlight w:val="none"/>
        </w:rPr>
        <w:t>。</w:t>
      </w:r>
    </w:p>
    <w:p w14:paraId="4020415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乙方提交的竣工资料移交时间：</w:t>
      </w:r>
      <w:r>
        <w:rPr>
          <w:rFonts w:hint="eastAsia" w:ascii="宋体" w:hAnsi="宋体" w:eastAsia="宋体" w:cs="宋体"/>
          <w:bCs/>
          <w:color w:val="auto"/>
          <w:sz w:val="22"/>
          <w:szCs w:val="22"/>
          <w:highlight w:val="none"/>
          <w:u w:val="single"/>
        </w:rPr>
        <w:t>竣工验收前十天</w:t>
      </w:r>
      <w:r>
        <w:rPr>
          <w:rFonts w:hint="eastAsia" w:ascii="宋体" w:hAnsi="宋体" w:eastAsia="宋体" w:cs="宋体"/>
          <w:bCs/>
          <w:color w:val="auto"/>
          <w:sz w:val="22"/>
          <w:szCs w:val="22"/>
          <w:highlight w:val="none"/>
        </w:rPr>
        <w:t>。</w:t>
      </w:r>
    </w:p>
    <w:p w14:paraId="5004ADD0">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乙方提交的竣工资料形式要求：</w:t>
      </w:r>
      <w:r>
        <w:rPr>
          <w:rFonts w:hint="eastAsia" w:ascii="宋体" w:hAnsi="宋体" w:eastAsia="宋体" w:cs="宋体"/>
          <w:bCs/>
          <w:color w:val="auto"/>
          <w:sz w:val="22"/>
          <w:szCs w:val="22"/>
          <w:highlight w:val="none"/>
          <w:u w:val="single"/>
        </w:rPr>
        <w:t>甲方收到乙方提交的竣工验收报告及竣工验收资料后，认为工程尚不具备竣工验收条件或乙方提交人竣工验收资料不完整的，有权不组织竣工验收，直至工程符合工程竣工验收条件或竣工验收资料完整。若工程验收时，竣工验收资料尚不完整，或不完全符合主管部门要求的，工程竣工验收通过后，乙方仍应按要求提交完整的符合要求的竣工资料。乙方应在甲方指定的时间内向甲方提供符合存档备案要求的竣工图、竣工资料及竣工验收报告等，并有义务配合甲方将该些资料存档备案，否则，每逾期一天，乙方应按照人民币贰仟元向甲方支付违约金，且甲方有权拒付工程款。</w:t>
      </w:r>
    </w:p>
    <w:p w14:paraId="7BC3881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（7）乙方应履行的其他义务：</w:t>
      </w:r>
    </w:p>
    <w:p w14:paraId="16766328">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a、乙方在工程实施期间应对甲方提供的各项水电设施以及沿街户外广告进行必要的保护，相关费用在响应报价中综合考虑。若由于乙方未能妥善保护给甲方造成的损失由乙方承担。</w:t>
      </w:r>
    </w:p>
    <w:p w14:paraId="7E3AAEA7">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b、协助甲方和监理工程师避免合同文件各个部分之间的差异可能给工程带来的任何损失是乙方的义务，乙方故意隐瞒或不及时向监理工程师通报此类较为明显的差异，乙方应自费纠正或消除此类差异给工程带来的影响。</w:t>
      </w:r>
    </w:p>
    <w:p w14:paraId="552CE345">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c、乙方在施工中，有责任配合甲方或甲方委托的科研单位进行本工程有关的科研监测、测试和检测工作，并不得提出任何费用要求。</w:t>
      </w:r>
    </w:p>
    <w:p w14:paraId="0B1082C3">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d、乙方在使用地方道路过程中，必须采取一切措施确保车辆正常通行，做到施工、通车两不误，由于乙方措施不力，导致堵车和事故频发或损坏地方道路，影响交通安全和正常运行，并造成重大影响，引起索赔，赔偿，诉讼费用及工程拖延或施工费用增加时，因由乙方承担一切费用。</w:t>
      </w:r>
    </w:p>
    <w:p w14:paraId="71658396">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e、乙方有责任按甲方、监理人的指令协调、配合工程范围的管线的搬迁（含管线回搬）及交通组织（含路面恢复）、绿化迁移、三通一平工作，负责办理市政设施养护管理交接手续，负责对工程范围内已废弃的管线（必要的需经管线单位确认）以及其他障碍物的拆除和处理。负责组织各类施工协调、交通配合例会，做好施工现场的交通管理工作。实施上述项目所需时间包含在总工期内。乙方亦必须服从甲方和监理单位的同意协调、指令与要求，做好与其他多家单位的施工配合。</w:t>
      </w:r>
    </w:p>
    <w:p w14:paraId="17866470">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f、乙方的项目部、临时加工场地、项目参与人员的临时宿舍等临时设施的借地由乙方负责，并承担一切费用。因条件有限，甲方概不负责相关场地宿舍等。</w:t>
      </w:r>
    </w:p>
    <w:p w14:paraId="2B8C6B83">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g、乙方有责任维护甲方形象，若由于乙方的安全、文明施工问题而造成甲方被他人索赔，甲方保留向乙方索赔的权利。</w:t>
      </w:r>
    </w:p>
    <w:p w14:paraId="52C999C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h、作为一名有经验的乙方，有义务及时与电力部门协商，对于图纸设计中不满足现行验收规范要求的部分及时提出合理化的建议，若未及时发现并提出不利于今后施工及验收的问题，应承担相应的责任。</w:t>
      </w:r>
    </w:p>
    <w:p w14:paraId="6258DD0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3.2 项目经理</w:t>
      </w:r>
    </w:p>
    <w:p w14:paraId="2EF5D2F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 xml:space="preserve">3.2.1 </w:t>
      </w:r>
      <w:r>
        <w:rPr>
          <w:rFonts w:hint="eastAsia" w:ascii="宋体" w:hAnsi="宋体" w:eastAsia="宋体" w:cs="宋体"/>
          <w:bCs/>
          <w:color w:val="auto"/>
          <w:sz w:val="22"/>
          <w:szCs w:val="22"/>
          <w:highlight w:val="none"/>
        </w:rPr>
        <w:t>项目经理：</w:t>
      </w:r>
    </w:p>
    <w:p w14:paraId="58BBC26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姓    名：</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640FA0B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身份证号：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4214D535">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建造师执业资格等级：</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4E5E85A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建造师注册证书号：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2E89589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建造师执业印章号：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19259B2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安全生产考核合格证书号：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6152FEAA">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联系电话：</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77CF395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电子信箱：</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245A6BD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通信地址：</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014BA255">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乙方对项目经理的授权范围如下：</w:t>
      </w:r>
      <w:r>
        <w:rPr>
          <w:rFonts w:hint="eastAsia" w:ascii="宋体" w:hAnsi="宋体" w:eastAsia="宋体" w:cs="宋体"/>
          <w:bCs/>
          <w:color w:val="auto"/>
          <w:sz w:val="22"/>
          <w:szCs w:val="22"/>
          <w:highlight w:val="none"/>
          <w:u w:val="single"/>
        </w:rPr>
        <w:t>授予项目经理在紧急情况下的临时处置权，但应受到以下四个方面的限制</w:t>
      </w:r>
      <w:r>
        <w:rPr>
          <w:rFonts w:hint="eastAsia" w:ascii="宋体" w:hAnsi="宋体" w:eastAsia="宋体" w:cs="宋体"/>
          <w:bCs/>
          <w:color w:val="auto"/>
          <w:sz w:val="22"/>
          <w:szCs w:val="22"/>
          <w:highlight w:val="none"/>
        </w:rPr>
        <w:t>。</w:t>
      </w:r>
    </w:p>
    <w:p w14:paraId="55122D73">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（1）只有在涉及工程及工程有关的人身和财产安全的情况下项目经理才能行使该项权力；</w:t>
      </w:r>
    </w:p>
    <w:p w14:paraId="65938A86">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（2）项目经理只有在同时无法联系到甲方代表或总监理工程师的情况下才能行使该项权力；</w:t>
      </w:r>
    </w:p>
    <w:p w14:paraId="0543710C">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3）项目经理行使该项权力所采取的措施必要合理得当，而不能随意采取不必要的措施，如遭遇大风天气影响室外作业安全的，项目经理可以采取必要的安全防护措施或暂停室外作业，但不能以此为由暂停室内工作；</w:t>
      </w:r>
    </w:p>
    <w:p w14:paraId="4E27632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4）项目经理在采取措施后及时向监理人和甲方代表报告全部情况。如果项目经理行使临时处置权不符合四项中的任何一项，甲方可以主张由乙方承担因项目经理行使临时处置权而增加的费用或延误的工期责任。</w:t>
      </w:r>
    </w:p>
    <w:p w14:paraId="6510E082">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关于项目经理每月在施工现场的时间要求：</w:t>
      </w:r>
      <w:r>
        <w:rPr>
          <w:rFonts w:hint="eastAsia" w:ascii="宋体" w:hAnsi="宋体" w:eastAsia="宋体" w:cs="宋体"/>
          <w:bCs/>
          <w:color w:val="auto"/>
          <w:sz w:val="22"/>
          <w:szCs w:val="22"/>
          <w:highlight w:val="none"/>
          <w:u w:val="single"/>
        </w:rPr>
        <w:t>出勤率按照为每月25天，每日工作时间8小时考勤。重要施工工序或环节时项目经理、技术负责人等必须到场</w:t>
      </w:r>
      <w:r>
        <w:rPr>
          <w:rFonts w:hint="eastAsia" w:ascii="宋体" w:hAnsi="宋体" w:eastAsia="宋体" w:cs="宋体"/>
          <w:bCs/>
          <w:color w:val="auto"/>
          <w:sz w:val="22"/>
          <w:szCs w:val="22"/>
          <w:highlight w:val="none"/>
        </w:rPr>
        <w:t>。</w:t>
      </w:r>
    </w:p>
    <w:p w14:paraId="30A62175">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乙方未提交劳动合同，以及没有为项目经理缴纳社会保险证明的违约责任：</w:t>
      </w:r>
      <w:r>
        <w:rPr>
          <w:rFonts w:hint="eastAsia" w:ascii="宋体" w:hAnsi="宋体" w:eastAsia="宋体" w:cs="宋体"/>
          <w:bCs/>
          <w:color w:val="auto"/>
          <w:sz w:val="22"/>
          <w:szCs w:val="22"/>
          <w:highlight w:val="none"/>
          <w:u w:val="single"/>
        </w:rPr>
        <w:t>由乙方承担违约责任</w:t>
      </w:r>
      <w:r>
        <w:rPr>
          <w:rFonts w:hint="eastAsia" w:ascii="宋体" w:hAnsi="宋体" w:eastAsia="宋体" w:cs="宋体"/>
          <w:bCs/>
          <w:color w:val="auto"/>
          <w:sz w:val="22"/>
          <w:szCs w:val="22"/>
          <w:highlight w:val="none"/>
        </w:rPr>
        <w:t>。</w:t>
      </w:r>
    </w:p>
    <w:p w14:paraId="2E9D33D3">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kern w:val="0"/>
          <w:sz w:val="22"/>
          <w:szCs w:val="22"/>
          <w:highlight w:val="none"/>
        </w:rPr>
        <w:t>项目经理未经批准，擅自离开施工现场的违约责任：</w:t>
      </w:r>
      <w:r>
        <w:rPr>
          <w:rFonts w:hint="eastAsia" w:ascii="宋体" w:hAnsi="宋体" w:eastAsia="宋体" w:cs="宋体"/>
          <w:bCs/>
          <w:color w:val="auto"/>
          <w:sz w:val="22"/>
          <w:szCs w:val="22"/>
          <w:highlight w:val="none"/>
          <w:u w:val="single"/>
        </w:rPr>
        <w:t>按不到位违约处理， 项目经理每月在施工现场的时间未达到要求的，每日应承担违约金 1000 元，并承担由此增加的费用和延误的工期</w:t>
      </w:r>
      <w:r>
        <w:rPr>
          <w:rFonts w:hint="eastAsia" w:ascii="宋体" w:hAnsi="宋体" w:eastAsia="宋体" w:cs="宋体"/>
          <w:bCs/>
          <w:color w:val="auto"/>
          <w:sz w:val="22"/>
          <w:szCs w:val="22"/>
          <w:highlight w:val="none"/>
        </w:rPr>
        <w:t>。</w:t>
      </w:r>
    </w:p>
    <w:p w14:paraId="13ECC41A">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3.2.3 乙方擅自更换项目经理的违约责任：</w:t>
      </w:r>
      <w:r>
        <w:rPr>
          <w:rFonts w:hint="eastAsia" w:ascii="宋体" w:hAnsi="宋体" w:eastAsia="宋体" w:cs="宋体"/>
          <w:bCs/>
          <w:color w:val="auto"/>
          <w:sz w:val="22"/>
          <w:szCs w:val="22"/>
          <w:highlight w:val="none"/>
          <w:u w:val="single"/>
        </w:rPr>
        <w:t>在施工期间不准更换，特殊情况要求更换的项目经理的，须经甲方书面同意，同时甲方有权从工程款中按以下标准处以违约金：更换项目经理，则处以违约金</w:t>
      </w:r>
      <w:r>
        <w:rPr>
          <w:rFonts w:hint="eastAsia" w:ascii="宋体" w:hAnsi="宋体" w:eastAsia="宋体" w:cs="宋体"/>
          <w:bCs/>
          <w:color w:val="auto"/>
          <w:sz w:val="22"/>
          <w:szCs w:val="22"/>
          <w:highlight w:val="none"/>
          <w:u w:val="single"/>
          <w:lang w:val="en-US" w:eastAsia="zh-CN"/>
        </w:rPr>
        <w:t>0.2</w:t>
      </w:r>
      <w:r>
        <w:rPr>
          <w:rFonts w:hint="eastAsia" w:ascii="宋体" w:hAnsi="宋体" w:eastAsia="宋体" w:cs="宋体"/>
          <w:bCs/>
          <w:color w:val="auto"/>
          <w:sz w:val="22"/>
          <w:szCs w:val="22"/>
          <w:highlight w:val="none"/>
          <w:u w:val="single"/>
        </w:rPr>
        <w:t>万元人民币/次</w:t>
      </w:r>
      <w:r>
        <w:rPr>
          <w:rFonts w:hint="eastAsia" w:ascii="宋体" w:hAnsi="宋体" w:eastAsia="宋体" w:cs="宋体"/>
          <w:bCs/>
          <w:color w:val="auto"/>
          <w:sz w:val="22"/>
          <w:szCs w:val="22"/>
          <w:highlight w:val="none"/>
        </w:rPr>
        <w:t>。</w:t>
      </w:r>
    </w:p>
    <w:p w14:paraId="65830CE4">
      <w:pPr>
        <w:adjustRightInd w:val="0"/>
        <w:snapToGrid w:val="0"/>
        <w:spacing w:line="312"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3.2.4 乙方无正当理由拒绝更换项目经理的违约责任：</w:t>
      </w:r>
      <w:r>
        <w:rPr>
          <w:rFonts w:hint="eastAsia" w:ascii="宋体" w:hAnsi="宋体" w:eastAsia="宋体" w:cs="宋体"/>
          <w:bCs/>
          <w:color w:val="auto"/>
          <w:sz w:val="22"/>
          <w:szCs w:val="22"/>
          <w:highlight w:val="none"/>
          <w:u w:val="single"/>
        </w:rPr>
        <w:t>乙方在接到甲方第二次更换项目经理的通知后28天内仍未更换的，甲方有权指示乙方暂停施工，乙方须支付违约金</w:t>
      </w:r>
      <w:r>
        <w:rPr>
          <w:rFonts w:hint="eastAsia" w:ascii="宋体" w:hAnsi="宋体" w:eastAsia="宋体" w:cs="宋体"/>
          <w:bCs/>
          <w:color w:val="auto"/>
          <w:sz w:val="22"/>
          <w:szCs w:val="22"/>
          <w:highlight w:val="none"/>
          <w:u w:val="single"/>
          <w:lang w:val="en-US" w:eastAsia="zh-CN"/>
        </w:rPr>
        <w:t>0.</w:t>
      </w:r>
      <w:r>
        <w:rPr>
          <w:rFonts w:hint="eastAsia" w:ascii="宋体" w:hAnsi="宋体" w:eastAsia="宋体" w:cs="宋体"/>
          <w:bCs/>
          <w:color w:val="auto"/>
          <w:sz w:val="22"/>
          <w:szCs w:val="22"/>
          <w:highlight w:val="none"/>
          <w:u w:val="single"/>
        </w:rPr>
        <w:t>2万元，并承担由此增加的费用和延误的工期；在暂停施工后14天内仍未更换项目经理的，甲方有权解除合同</w:t>
      </w:r>
      <w:r>
        <w:rPr>
          <w:rFonts w:hint="eastAsia" w:ascii="宋体" w:hAnsi="宋体" w:eastAsia="宋体" w:cs="宋体"/>
          <w:bCs/>
          <w:color w:val="auto"/>
          <w:sz w:val="22"/>
          <w:szCs w:val="22"/>
          <w:highlight w:val="none"/>
        </w:rPr>
        <w:t>。</w:t>
      </w:r>
    </w:p>
    <w:p w14:paraId="41395D7F">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3.3 乙方人员</w:t>
      </w:r>
    </w:p>
    <w:p w14:paraId="2741672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3.3.1 乙方提交项目管理机构及施工现场管理人员安排报告的期限：</w:t>
      </w:r>
      <w:r>
        <w:rPr>
          <w:rFonts w:hint="eastAsia" w:ascii="宋体" w:hAnsi="宋体" w:eastAsia="宋体" w:cs="宋体"/>
          <w:bCs/>
          <w:color w:val="auto"/>
          <w:sz w:val="22"/>
          <w:szCs w:val="22"/>
          <w:highlight w:val="none"/>
          <w:u w:val="single"/>
        </w:rPr>
        <w:t>合同签订前</w:t>
      </w:r>
      <w:r>
        <w:rPr>
          <w:rFonts w:hint="eastAsia" w:ascii="宋体" w:hAnsi="宋体" w:eastAsia="宋体" w:cs="宋体"/>
          <w:bCs/>
          <w:color w:val="auto"/>
          <w:sz w:val="22"/>
          <w:szCs w:val="22"/>
          <w:highlight w:val="none"/>
        </w:rPr>
        <w:t>。</w:t>
      </w:r>
    </w:p>
    <w:p w14:paraId="0B8FED1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3.3.3 乙方无正当理由拒绝撤换主要施工管理人员的违约责任：</w:t>
      </w:r>
      <w:r>
        <w:rPr>
          <w:rFonts w:hint="eastAsia" w:ascii="宋体" w:hAnsi="宋体" w:eastAsia="宋体" w:cs="宋体"/>
          <w:bCs/>
          <w:color w:val="auto"/>
          <w:sz w:val="22"/>
          <w:szCs w:val="22"/>
          <w:highlight w:val="none"/>
          <w:u w:val="single"/>
        </w:rPr>
        <w:t>技术负责人、施工员，处以违约金</w:t>
      </w:r>
      <w:r>
        <w:rPr>
          <w:rFonts w:hint="eastAsia" w:ascii="宋体" w:hAnsi="宋体" w:eastAsia="宋体" w:cs="宋体"/>
          <w:bCs/>
          <w:color w:val="auto"/>
          <w:sz w:val="22"/>
          <w:szCs w:val="22"/>
          <w:highlight w:val="none"/>
          <w:u w:val="single"/>
          <w:lang w:val="en-US" w:eastAsia="zh-CN"/>
        </w:rPr>
        <w:t>5</w:t>
      </w:r>
      <w:r>
        <w:rPr>
          <w:rFonts w:hint="eastAsia" w:ascii="宋体" w:hAnsi="宋体" w:eastAsia="宋体" w:cs="宋体"/>
          <w:bCs/>
          <w:color w:val="auto"/>
          <w:sz w:val="22"/>
          <w:szCs w:val="22"/>
          <w:highlight w:val="none"/>
          <w:u w:val="single"/>
        </w:rPr>
        <w:t>00元人民币/次/人；安全员、质检员、材料员，处以违约金</w:t>
      </w:r>
      <w:r>
        <w:rPr>
          <w:rFonts w:hint="eastAsia" w:ascii="宋体" w:hAnsi="宋体" w:eastAsia="宋体" w:cs="宋体"/>
          <w:bCs/>
          <w:color w:val="auto"/>
          <w:sz w:val="22"/>
          <w:szCs w:val="22"/>
          <w:highlight w:val="none"/>
          <w:u w:val="single"/>
          <w:lang w:val="en-US" w:eastAsia="zh-CN"/>
        </w:rPr>
        <w:t>5</w:t>
      </w:r>
      <w:r>
        <w:rPr>
          <w:rFonts w:hint="eastAsia" w:ascii="宋体" w:hAnsi="宋体" w:eastAsia="宋体" w:cs="宋体"/>
          <w:bCs/>
          <w:color w:val="auto"/>
          <w:sz w:val="22"/>
          <w:szCs w:val="22"/>
          <w:highlight w:val="none"/>
          <w:u w:val="single"/>
        </w:rPr>
        <w:t>00元人民币/次/人</w:t>
      </w:r>
      <w:r>
        <w:rPr>
          <w:rFonts w:hint="eastAsia" w:ascii="宋体" w:hAnsi="宋体" w:eastAsia="宋体" w:cs="宋体"/>
          <w:bCs/>
          <w:color w:val="auto"/>
          <w:sz w:val="22"/>
          <w:szCs w:val="22"/>
          <w:highlight w:val="none"/>
        </w:rPr>
        <w:t>。</w:t>
      </w:r>
    </w:p>
    <w:p w14:paraId="3C306CBF">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3.3.4 乙方主要施工管理人员离开施工现场的批准要求：</w:t>
      </w:r>
      <w:r>
        <w:rPr>
          <w:rFonts w:hint="eastAsia" w:ascii="宋体" w:hAnsi="宋体" w:eastAsia="宋体" w:cs="宋体"/>
          <w:bCs/>
          <w:color w:val="auto"/>
          <w:sz w:val="22"/>
          <w:szCs w:val="22"/>
          <w:highlight w:val="none"/>
          <w:u w:val="single"/>
        </w:rPr>
        <w:t>按通用合同条款第3.3.4条规定执行</w:t>
      </w:r>
      <w:r>
        <w:rPr>
          <w:rFonts w:hint="eastAsia" w:ascii="宋体" w:hAnsi="宋体" w:eastAsia="宋体" w:cs="宋体"/>
          <w:bCs/>
          <w:color w:val="auto"/>
          <w:sz w:val="22"/>
          <w:szCs w:val="22"/>
          <w:highlight w:val="none"/>
        </w:rPr>
        <w:t>。</w:t>
      </w:r>
    </w:p>
    <w:p w14:paraId="7EEA25C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3.3.5乙方擅自更换主要施工管理人员的违约责任：</w:t>
      </w:r>
      <w:r>
        <w:rPr>
          <w:rFonts w:hint="eastAsia" w:ascii="宋体" w:hAnsi="宋体" w:eastAsia="宋体" w:cs="宋体"/>
          <w:bCs/>
          <w:color w:val="auto"/>
          <w:sz w:val="22"/>
          <w:szCs w:val="22"/>
          <w:highlight w:val="none"/>
          <w:u w:val="single"/>
        </w:rPr>
        <w:t>若更换技术负责人、施工员，处以违约金</w:t>
      </w:r>
      <w:r>
        <w:rPr>
          <w:rFonts w:hint="eastAsia" w:ascii="宋体" w:hAnsi="宋体" w:eastAsia="宋体" w:cs="宋体"/>
          <w:bCs/>
          <w:color w:val="auto"/>
          <w:sz w:val="22"/>
          <w:szCs w:val="22"/>
          <w:highlight w:val="none"/>
          <w:u w:val="single"/>
          <w:lang w:val="en-US" w:eastAsia="zh-CN"/>
        </w:rPr>
        <w:t>1</w:t>
      </w:r>
      <w:r>
        <w:rPr>
          <w:rFonts w:hint="eastAsia" w:ascii="宋体" w:hAnsi="宋体" w:eastAsia="宋体" w:cs="宋体"/>
          <w:bCs/>
          <w:color w:val="auto"/>
          <w:sz w:val="22"/>
          <w:szCs w:val="22"/>
          <w:highlight w:val="none"/>
          <w:u w:val="single"/>
        </w:rPr>
        <w:t>000元人民币/次/人；若更换安全员、质检员、材料员，处以违约金1000元人民币/次/人。除上述违约责任外，同时扣除履约保证金中的项目班子到位保证金</w:t>
      </w:r>
      <w:r>
        <w:rPr>
          <w:rFonts w:hint="eastAsia" w:ascii="宋体" w:hAnsi="宋体" w:eastAsia="宋体" w:cs="宋体"/>
          <w:bCs/>
          <w:color w:val="auto"/>
          <w:sz w:val="22"/>
          <w:szCs w:val="22"/>
          <w:highlight w:val="none"/>
        </w:rPr>
        <w:t>。</w:t>
      </w:r>
    </w:p>
    <w:p w14:paraId="238745B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乙方主要施工管理人员擅自离开施工现场的违约责任：</w:t>
      </w:r>
      <w:r>
        <w:rPr>
          <w:rFonts w:hint="eastAsia" w:ascii="宋体" w:hAnsi="宋体" w:eastAsia="宋体" w:cs="宋体"/>
          <w:bCs/>
          <w:color w:val="auto"/>
          <w:sz w:val="22"/>
          <w:szCs w:val="22"/>
          <w:highlight w:val="none"/>
          <w:u w:val="single"/>
        </w:rPr>
        <w:t>甲方有权要求更换管理人员</w:t>
      </w:r>
      <w:r>
        <w:rPr>
          <w:rFonts w:hint="eastAsia" w:ascii="宋体" w:hAnsi="宋体" w:eastAsia="宋体" w:cs="宋体"/>
          <w:bCs/>
          <w:color w:val="auto"/>
          <w:sz w:val="22"/>
          <w:szCs w:val="22"/>
          <w:highlight w:val="none"/>
        </w:rPr>
        <w:t>。</w:t>
      </w:r>
    </w:p>
    <w:p w14:paraId="46AEECC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w:t>
      </w:r>
      <w:bookmarkStart w:id="86" w:name="_Toc296944498"/>
      <w:bookmarkStart w:id="87" w:name="_Toc296890987"/>
      <w:bookmarkStart w:id="88" w:name="_Toc297123492"/>
      <w:bookmarkStart w:id="89" w:name="_Toc304295523"/>
      <w:bookmarkStart w:id="90" w:name="_Toc297216151"/>
      <w:bookmarkStart w:id="91" w:name="_Toc296503159"/>
      <w:bookmarkStart w:id="92" w:name="_Toc296347158"/>
      <w:bookmarkStart w:id="93" w:name="_Toc292559869"/>
      <w:bookmarkStart w:id="94" w:name="_Toc292559364"/>
      <w:bookmarkStart w:id="95" w:name="_Toc303539102"/>
      <w:bookmarkStart w:id="96" w:name="_Toc297048345"/>
      <w:bookmarkStart w:id="97" w:name="_Toc312677988"/>
      <w:bookmarkStart w:id="98" w:name="_Toc300934945"/>
      <w:bookmarkStart w:id="99" w:name="_Toc297120459"/>
      <w:bookmarkStart w:id="100" w:name="_Toc296891199"/>
      <w:bookmarkStart w:id="101" w:name="_Toc296346660"/>
      <w:r>
        <w:rPr>
          <w:rFonts w:hint="eastAsia" w:ascii="宋体" w:hAnsi="宋体" w:eastAsia="宋体" w:cs="宋体"/>
          <w:bCs/>
          <w:color w:val="auto"/>
          <w:sz w:val="22"/>
          <w:szCs w:val="22"/>
          <w:highlight w:val="none"/>
        </w:rPr>
        <w:t>.5 分包</w:t>
      </w:r>
    </w:p>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14:paraId="3DC2ED2A">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w:t>
      </w:r>
      <w:bookmarkStart w:id="102" w:name="_Toc300934946"/>
      <w:bookmarkStart w:id="103" w:name="_Toc297048346"/>
      <w:bookmarkStart w:id="104" w:name="_Toc296346661"/>
      <w:bookmarkStart w:id="105" w:name="_Toc297120460"/>
      <w:bookmarkStart w:id="106" w:name="_Toc296890988"/>
      <w:bookmarkStart w:id="107" w:name="_Toc296944499"/>
      <w:bookmarkStart w:id="108" w:name="_Toc304295524"/>
      <w:bookmarkStart w:id="109" w:name="_Toc296503160"/>
      <w:bookmarkStart w:id="110" w:name="_Toc296347159"/>
      <w:bookmarkStart w:id="111" w:name="_Toc303539103"/>
      <w:bookmarkStart w:id="112" w:name="_Toc292559365"/>
      <w:bookmarkStart w:id="113" w:name="_Toc297123493"/>
      <w:bookmarkStart w:id="114" w:name="_Toc297216152"/>
      <w:bookmarkStart w:id="115" w:name="_Toc296891200"/>
      <w:bookmarkStart w:id="116" w:name="_Toc292559870"/>
      <w:bookmarkStart w:id="117" w:name="_Toc312677989"/>
      <w:bookmarkStart w:id="118" w:name="_Toc318581158"/>
      <w:r>
        <w:rPr>
          <w:rFonts w:hint="eastAsia" w:ascii="宋体" w:hAnsi="宋体" w:eastAsia="宋体" w:cs="宋体"/>
          <w:bCs/>
          <w:color w:val="auto"/>
          <w:sz w:val="22"/>
          <w:szCs w:val="22"/>
          <w:highlight w:val="none"/>
        </w:rPr>
        <w:t>.5.1 分包的一般约定</w:t>
      </w:r>
    </w:p>
    <w:p w14:paraId="7D2FCCF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禁止分包的工程包括：</w:t>
      </w:r>
      <w:r>
        <w:rPr>
          <w:rFonts w:hint="eastAsia" w:ascii="宋体" w:hAnsi="宋体" w:eastAsia="宋体" w:cs="宋体"/>
          <w:bCs/>
          <w:color w:val="auto"/>
          <w:sz w:val="22"/>
          <w:szCs w:val="22"/>
          <w:highlight w:val="none"/>
          <w:u w:val="single"/>
        </w:rPr>
        <w:t>未经甲方同意一律不得分包</w:t>
      </w:r>
      <w:r>
        <w:rPr>
          <w:rFonts w:hint="eastAsia" w:ascii="宋体" w:hAnsi="宋体" w:eastAsia="宋体" w:cs="宋体"/>
          <w:bCs/>
          <w:color w:val="auto"/>
          <w:sz w:val="22"/>
          <w:szCs w:val="22"/>
          <w:highlight w:val="none"/>
        </w:rPr>
        <w:t>。</w:t>
      </w:r>
    </w:p>
    <w:p w14:paraId="67E704A0">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主体结构、关键性工作的范围：</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Start w:id="119" w:name="_Toc297048347"/>
      <w:bookmarkStart w:id="120" w:name="_Toc296891201"/>
      <w:bookmarkStart w:id="121" w:name="_Toc296890989"/>
      <w:bookmarkStart w:id="122" w:name="_Toc297120461"/>
      <w:bookmarkStart w:id="123" w:name="_Toc297216153"/>
      <w:bookmarkStart w:id="124" w:name="_Toc300934947"/>
      <w:bookmarkStart w:id="125" w:name="_Toc296503161"/>
      <w:bookmarkStart w:id="126" w:name="_Toc296944500"/>
      <w:bookmarkStart w:id="127" w:name="_Toc304295525"/>
      <w:bookmarkStart w:id="128" w:name="_Toc297123494"/>
      <w:bookmarkStart w:id="129" w:name="_Toc296346662"/>
      <w:bookmarkStart w:id="130" w:name="_Toc296347160"/>
      <w:bookmarkStart w:id="131" w:name="_Toc303539104"/>
    </w:p>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14:paraId="0AD01109">
      <w:pPr>
        <w:adjustRightInd w:val="0"/>
        <w:snapToGrid w:val="0"/>
        <w:spacing w:line="312"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3</w:t>
      </w:r>
      <w:bookmarkStart w:id="132" w:name="_Toc312677990"/>
      <w:bookmarkStart w:id="133" w:name="_Toc318581159"/>
      <w:r>
        <w:rPr>
          <w:rFonts w:hint="eastAsia" w:ascii="宋体" w:hAnsi="宋体" w:eastAsia="宋体" w:cs="宋体"/>
          <w:bCs/>
          <w:color w:val="auto"/>
          <w:sz w:val="22"/>
          <w:szCs w:val="22"/>
          <w:highlight w:val="none"/>
        </w:rPr>
        <w:t>.5.2分包的确定</w:t>
      </w:r>
    </w:p>
    <w:p w14:paraId="3FD34501">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允许分包的专业工程包括：</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95A942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其他关于分包的约定：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0F224FEF">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3.5.4 分包合同价款</w:t>
      </w:r>
    </w:p>
    <w:p w14:paraId="6EF0EBF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关于分包合同价款支付的约定：</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bookmarkEnd w:id="132"/>
    <w:bookmarkEnd w:id="133"/>
    <w:p w14:paraId="68A4BC2A">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3.6 工程照管与成品、半成品保护</w:t>
      </w:r>
    </w:p>
    <w:p w14:paraId="0047261F">
      <w:pPr>
        <w:adjustRightInd w:val="0"/>
        <w:snapToGrid w:val="0"/>
        <w:spacing w:line="312" w:lineRule="auto"/>
        <w:ind w:firstLine="440" w:firstLineChars="200"/>
        <w:rPr>
          <w:rFonts w:hint="eastAsia" w:ascii="宋体" w:hAnsi="宋体" w:eastAsia="宋体" w:cs="宋体"/>
          <w:bCs/>
          <w:color w:val="auto"/>
          <w:kern w:val="0"/>
          <w:sz w:val="22"/>
          <w:szCs w:val="22"/>
          <w:highlight w:val="none"/>
          <w:u w:val="single"/>
        </w:rPr>
      </w:pPr>
      <w:r>
        <w:rPr>
          <w:rFonts w:hint="eastAsia" w:ascii="宋体" w:hAnsi="宋体" w:eastAsia="宋体" w:cs="宋体"/>
          <w:bCs/>
          <w:color w:val="auto"/>
          <w:kern w:val="0"/>
          <w:sz w:val="22"/>
          <w:szCs w:val="22"/>
          <w:highlight w:val="none"/>
        </w:rPr>
        <w:t>乙方负责照管工程及工程相关的材料、工程设备的起始时间：</w:t>
      </w:r>
      <w:r>
        <w:rPr>
          <w:rFonts w:hint="eastAsia" w:ascii="宋体" w:hAnsi="宋体" w:eastAsia="宋体" w:cs="宋体"/>
          <w:bCs/>
          <w:color w:val="auto"/>
          <w:kern w:val="0"/>
          <w:sz w:val="22"/>
          <w:szCs w:val="22"/>
          <w:highlight w:val="none"/>
          <w:u w:val="single"/>
        </w:rPr>
        <w:t>按通用合同条款第3.6条规定执行</w:t>
      </w:r>
      <w:r>
        <w:rPr>
          <w:rFonts w:hint="eastAsia" w:ascii="宋体" w:hAnsi="宋体" w:eastAsia="宋体" w:cs="宋体"/>
          <w:bCs/>
          <w:color w:val="auto"/>
          <w:kern w:val="0"/>
          <w:sz w:val="22"/>
          <w:szCs w:val="22"/>
          <w:highlight w:val="none"/>
        </w:rPr>
        <w:t>。</w:t>
      </w:r>
    </w:p>
    <w:p w14:paraId="3DC4A22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3.7 履约保证金</w:t>
      </w:r>
    </w:p>
    <w:p w14:paraId="1345E51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乙方是否提供履约保证金：</w:t>
      </w:r>
      <w:r>
        <w:rPr>
          <w:rFonts w:hint="eastAsia" w:ascii="宋体" w:hAnsi="宋体" w:eastAsia="宋体" w:cs="宋体"/>
          <w:bCs/>
          <w:color w:val="auto"/>
          <w:sz w:val="22"/>
          <w:szCs w:val="22"/>
          <w:highlight w:val="none"/>
          <w:u w:val="single"/>
        </w:rPr>
        <w:t xml:space="preserve">     是   </w:t>
      </w:r>
      <w:r>
        <w:rPr>
          <w:rFonts w:hint="eastAsia" w:ascii="宋体" w:hAnsi="宋体" w:eastAsia="宋体" w:cs="宋体"/>
          <w:bCs/>
          <w:color w:val="auto"/>
          <w:sz w:val="22"/>
          <w:szCs w:val="22"/>
          <w:highlight w:val="none"/>
        </w:rPr>
        <w:t>。</w:t>
      </w:r>
    </w:p>
    <w:p w14:paraId="0091E7A7">
      <w:pPr>
        <w:pStyle w:val="11"/>
        <w:adjustRightInd w:val="0"/>
        <w:snapToGrid w:val="0"/>
        <w:spacing w:line="440" w:lineRule="atLeast"/>
        <w:ind w:firstLine="550" w:firstLineChars="25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乙方提供履约保证金的形式、金额及期限的：</w:t>
      </w:r>
      <w:r>
        <w:rPr>
          <w:rFonts w:hint="eastAsia" w:ascii="宋体" w:hAnsi="宋体" w:eastAsia="宋体" w:cs="宋体"/>
          <w:bCs/>
          <w:color w:val="auto"/>
          <w:kern w:val="2"/>
          <w:sz w:val="22"/>
          <w:szCs w:val="22"/>
          <w:highlight w:val="none"/>
          <w:u w:val="single"/>
          <w:lang w:val="en-US" w:eastAsia="zh-CN" w:bidi="ar-SA"/>
        </w:rPr>
        <w:t>履约保证金的金额：成交金额的</w:t>
      </w:r>
      <w:r>
        <w:rPr>
          <w:rFonts w:hint="eastAsia" w:hAnsi="宋体" w:cs="宋体"/>
          <w:bCs/>
          <w:color w:val="auto"/>
          <w:kern w:val="2"/>
          <w:sz w:val="22"/>
          <w:szCs w:val="22"/>
          <w:highlight w:val="none"/>
          <w:u w:val="single"/>
          <w:lang w:val="en-US" w:eastAsia="zh-CN" w:bidi="ar-SA"/>
        </w:rPr>
        <w:t>1</w:t>
      </w:r>
      <w:r>
        <w:rPr>
          <w:rFonts w:hint="eastAsia" w:ascii="宋体" w:hAnsi="宋体" w:eastAsia="宋体" w:cs="宋体"/>
          <w:bCs/>
          <w:color w:val="auto"/>
          <w:kern w:val="2"/>
          <w:sz w:val="22"/>
          <w:szCs w:val="22"/>
          <w:highlight w:val="none"/>
          <w:u w:val="single"/>
          <w:lang w:val="en-US" w:eastAsia="zh-CN" w:bidi="ar-SA"/>
        </w:rPr>
        <w:t>%。履约保证金形式：银行汇票（电汇）、网银、履约保函等形式。</w:t>
      </w:r>
      <w:r>
        <w:rPr>
          <w:rFonts w:hint="eastAsia" w:ascii="宋体" w:hAnsi="宋体" w:eastAsia="宋体" w:cs="宋体"/>
          <w:bCs/>
          <w:color w:val="auto"/>
          <w:sz w:val="22"/>
          <w:szCs w:val="22"/>
          <w:highlight w:val="none"/>
          <w:u w:val="single"/>
        </w:rPr>
        <w:t>若提供履约保函则需经甲方确认。履约保证金有效期自履约保证金缴纳之日起至竣工验收合格后并完成全部竣工资料移交后30日内有效。如乙方未能履行合同约定的任何义务，甲方有权扣除乙方部分直至全部履约保证金。执行本条各项要求所需的费用由乙方承担。但如果此时存在合同争端并且未能解决，那么履约保证金有效期应延长到上诉争端最终解决且索赔完毕后终止。</w:t>
      </w:r>
    </w:p>
    <w:p w14:paraId="54C68D45">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a)</w:t>
      </w:r>
      <w:r>
        <w:rPr>
          <w:rFonts w:hint="eastAsia" w:ascii="宋体" w:hAnsi="宋体" w:eastAsia="宋体" w:cs="宋体"/>
          <w:bCs/>
          <w:color w:val="auto"/>
          <w:sz w:val="22"/>
          <w:szCs w:val="22"/>
          <w:highlight w:val="none"/>
          <w:u w:val="single"/>
          <w:lang w:val="en-US" w:eastAsia="zh-CN"/>
        </w:rPr>
        <w:t>工程质量保证金</w:t>
      </w:r>
      <w:r>
        <w:rPr>
          <w:rFonts w:hint="eastAsia" w:ascii="宋体" w:hAnsi="宋体" w:eastAsia="宋体" w:cs="宋体"/>
          <w:bCs/>
          <w:color w:val="auto"/>
          <w:sz w:val="22"/>
          <w:szCs w:val="22"/>
          <w:highlight w:val="none"/>
          <w:u w:val="single"/>
        </w:rPr>
        <w:t>占履约保证金的40%，视发生质量事故的严重程度处罚。若验收不合格或未达到合同约定质量目标，则按招标文件和合同中相关条款办理。</w:t>
      </w:r>
    </w:p>
    <w:p w14:paraId="6ABFB0AC">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b)工期保证金占履约保证金的30%，工期以合同工期和经批准的顺延工期为准，若不能按期竣工，则按招标文件和合同中相关条款办理。</w:t>
      </w:r>
    </w:p>
    <w:p w14:paraId="2E64117C">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c)项目经理及项目班子到位率保证金占履约保证金的20%。项目经理或项目班子若不能按要求到位，则按招标文件和合同中相关条款办理。</w:t>
      </w:r>
    </w:p>
    <w:p w14:paraId="2FAEC942">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d)文明安全生产保证金占履约保证金的10%，发生重大人身安全事故，罚没全部保证金。</w:t>
      </w:r>
    </w:p>
    <w:p w14:paraId="2B0DBFD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说明：乙方提供履约保证金的形式、上述履约保证金的内容构成系对履约保证金组成的说明，但不得构成对甲方处置履约保证金的限制，即对于上述任何一项违约情形，甲方均有权在履约保证金总额范围内处分保证金，而不受上述比例限制</w:t>
      </w:r>
      <w:r>
        <w:rPr>
          <w:rFonts w:hint="eastAsia" w:ascii="宋体" w:hAnsi="宋体" w:eastAsia="宋体" w:cs="宋体"/>
          <w:bCs/>
          <w:color w:val="auto"/>
          <w:sz w:val="22"/>
          <w:szCs w:val="22"/>
          <w:highlight w:val="none"/>
        </w:rPr>
        <w:t>。</w:t>
      </w:r>
    </w:p>
    <w:p w14:paraId="22ED73AC">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履约保证金的补足：甲方根据本合同约定行使处分履约保证金权利后应当及时书面通知乙方，乙方应当接到通知后5个工作日补足，以使整个合同期内的履约保证金始终维持在成交金额</w:t>
      </w:r>
      <w:r>
        <w:rPr>
          <w:rFonts w:hint="eastAsia" w:ascii="宋体" w:hAnsi="宋体" w:cs="宋体"/>
          <w:bCs/>
          <w:color w:val="auto"/>
          <w:sz w:val="22"/>
          <w:szCs w:val="22"/>
          <w:highlight w:val="none"/>
          <w:u w:val="single"/>
          <w:lang w:val="en-US" w:eastAsia="zh-CN"/>
        </w:rPr>
        <w:t>1</w:t>
      </w:r>
      <w:r>
        <w:rPr>
          <w:rFonts w:hint="eastAsia" w:ascii="宋体" w:hAnsi="宋体" w:eastAsia="宋体" w:cs="宋体"/>
          <w:bCs/>
          <w:color w:val="auto"/>
          <w:sz w:val="22"/>
          <w:szCs w:val="22"/>
          <w:highlight w:val="none"/>
          <w:u w:val="single"/>
        </w:rPr>
        <w:t>%的数额。逾期未能补足的，每日按应补而未补金额的万分之五支付逾期补交违约金。</w:t>
      </w:r>
    </w:p>
    <w:p w14:paraId="22624483">
      <w:pPr>
        <w:adjustRightInd w:val="0"/>
        <w:snapToGrid w:val="0"/>
        <w:spacing w:line="312" w:lineRule="auto"/>
        <w:ind w:firstLine="440" w:firstLineChars="200"/>
        <w:jc w:val="left"/>
        <w:rPr>
          <w:rFonts w:hint="default" w:ascii="宋体" w:hAnsi="宋体" w:eastAsia="宋体" w:cs="宋体"/>
          <w:bCs/>
          <w:color w:val="auto"/>
          <w:sz w:val="22"/>
          <w:szCs w:val="22"/>
          <w:highlight w:val="none"/>
          <w:u w:val="single"/>
          <w:lang w:val="en-US" w:eastAsia="zh-CN"/>
        </w:rPr>
      </w:pPr>
      <w:r>
        <w:rPr>
          <w:rFonts w:hint="eastAsia" w:ascii="宋体" w:hAnsi="宋体" w:eastAsia="宋体" w:cs="宋体"/>
          <w:bCs/>
          <w:color w:val="auto"/>
          <w:sz w:val="22"/>
          <w:szCs w:val="22"/>
          <w:highlight w:val="none"/>
          <w:u w:val="single"/>
          <w:lang w:val="en-US" w:eastAsia="zh-CN"/>
        </w:rPr>
        <w:t>3.8</w:t>
      </w:r>
      <w:r>
        <w:rPr>
          <w:rFonts w:hint="eastAsia" w:ascii="宋体" w:hAnsi="宋体" w:eastAsia="宋体" w:cs="宋体"/>
          <w:bCs/>
          <w:color w:val="auto"/>
          <w:sz w:val="22"/>
          <w:szCs w:val="22"/>
          <w:highlight w:val="none"/>
          <w:u w:val="single"/>
        </w:rPr>
        <w:t>项目</w:t>
      </w:r>
      <w:r>
        <w:rPr>
          <w:rFonts w:hint="eastAsia" w:ascii="宋体" w:hAnsi="宋体" w:eastAsia="宋体" w:cs="宋体"/>
          <w:bCs/>
          <w:color w:val="auto"/>
          <w:sz w:val="22"/>
          <w:szCs w:val="22"/>
          <w:highlight w:val="none"/>
          <w:u w:val="single"/>
          <w:lang w:val="zh-CN"/>
        </w:rPr>
        <w:t>通过竣工验收合格后</w:t>
      </w:r>
      <w:r>
        <w:rPr>
          <w:rFonts w:hint="eastAsia" w:ascii="宋体" w:hAnsi="宋体" w:eastAsia="宋体" w:cs="宋体"/>
          <w:bCs/>
          <w:color w:val="auto"/>
          <w:sz w:val="22"/>
          <w:szCs w:val="22"/>
          <w:highlight w:val="none"/>
          <w:u w:val="single"/>
          <w:lang w:val="en-US" w:eastAsia="zh-CN"/>
        </w:rPr>
        <w:t>无息退回</w:t>
      </w:r>
      <w:r>
        <w:rPr>
          <w:rFonts w:hint="eastAsia" w:ascii="宋体" w:hAnsi="宋体" w:eastAsia="宋体" w:cs="宋体"/>
          <w:bCs/>
          <w:color w:val="auto"/>
          <w:sz w:val="22"/>
          <w:szCs w:val="22"/>
          <w:highlight w:val="none"/>
          <w:u w:val="single"/>
        </w:rPr>
        <w:t>履约保证金</w:t>
      </w:r>
      <w:r>
        <w:rPr>
          <w:rFonts w:hint="eastAsia" w:ascii="宋体" w:hAnsi="宋体" w:eastAsia="宋体" w:cs="宋体"/>
          <w:bCs/>
          <w:color w:val="auto"/>
          <w:sz w:val="22"/>
          <w:szCs w:val="22"/>
          <w:highlight w:val="none"/>
          <w:u w:val="single"/>
          <w:lang w:val="zh-CN"/>
        </w:rPr>
        <w:t>。</w:t>
      </w:r>
    </w:p>
    <w:p w14:paraId="1DF5B3E1">
      <w:pPr>
        <w:adjustRightInd w:val="0"/>
        <w:snapToGrid w:val="0"/>
        <w:spacing w:line="312" w:lineRule="auto"/>
        <w:ind w:firstLine="440" w:firstLineChars="200"/>
        <w:rPr>
          <w:rFonts w:hint="eastAsia" w:ascii="宋体" w:hAnsi="宋体" w:eastAsia="宋体" w:cs="宋体"/>
          <w:bCs/>
          <w:color w:val="auto"/>
          <w:sz w:val="22"/>
          <w:szCs w:val="22"/>
          <w:highlight w:val="none"/>
        </w:rPr>
      </w:pPr>
      <w:bookmarkStart w:id="134" w:name="_Toc351203636"/>
      <w:r>
        <w:rPr>
          <w:rFonts w:hint="eastAsia" w:ascii="宋体" w:hAnsi="宋体" w:eastAsia="宋体" w:cs="宋体"/>
          <w:bCs/>
          <w:color w:val="auto"/>
          <w:sz w:val="22"/>
          <w:szCs w:val="22"/>
          <w:highlight w:val="none"/>
        </w:rPr>
        <w:t>4</w:t>
      </w:r>
      <w:bookmarkStart w:id="135" w:name="_Toc296944501"/>
      <w:bookmarkStart w:id="136" w:name="_Toc292559871"/>
      <w:bookmarkStart w:id="137" w:name="_Toc296347161"/>
      <w:bookmarkStart w:id="138" w:name="_Toc292559366"/>
      <w:bookmarkStart w:id="139" w:name="_Toc296346663"/>
      <w:bookmarkStart w:id="140" w:name="_Toc267251413"/>
      <w:bookmarkStart w:id="141" w:name="_Toc296503162"/>
      <w:bookmarkStart w:id="142" w:name="_Toc296890990"/>
      <w:bookmarkStart w:id="143" w:name="_Toc297048348"/>
      <w:bookmarkStart w:id="144" w:name="_Toc296891202"/>
      <w:bookmarkStart w:id="145" w:name="_Toc297120462"/>
      <w:r>
        <w:rPr>
          <w:rFonts w:hint="eastAsia" w:ascii="宋体" w:hAnsi="宋体" w:eastAsia="宋体" w:cs="宋体"/>
          <w:bCs/>
          <w:color w:val="auto"/>
          <w:sz w:val="22"/>
          <w:szCs w:val="22"/>
          <w:highlight w:val="none"/>
        </w:rPr>
        <w:t>. 监</w:t>
      </w:r>
      <w:bookmarkEnd w:id="135"/>
      <w:bookmarkEnd w:id="136"/>
      <w:bookmarkEnd w:id="137"/>
      <w:bookmarkEnd w:id="138"/>
      <w:bookmarkEnd w:id="139"/>
      <w:bookmarkEnd w:id="140"/>
      <w:bookmarkEnd w:id="141"/>
      <w:bookmarkEnd w:id="142"/>
      <w:bookmarkEnd w:id="143"/>
      <w:bookmarkEnd w:id="144"/>
      <w:bookmarkEnd w:id="145"/>
      <w:r>
        <w:rPr>
          <w:rFonts w:hint="eastAsia" w:ascii="宋体" w:hAnsi="宋体" w:eastAsia="宋体" w:cs="宋体"/>
          <w:bCs/>
          <w:color w:val="auto"/>
          <w:sz w:val="22"/>
          <w:szCs w:val="22"/>
          <w:highlight w:val="none"/>
        </w:rPr>
        <w:t>理人</w:t>
      </w:r>
      <w:bookmarkEnd w:id="134"/>
    </w:p>
    <w:p w14:paraId="1B871A5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4.1监理人的一般规定</w:t>
      </w:r>
    </w:p>
    <w:p w14:paraId="60472EA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关于监理人的监理内容：</w:t>
      </w:r>
      <w:r>
        <w:rPr>
          <w:rFonts w:hint="eastAsia" w:ascii="宋体" w:hAnsi="宋体" w:eastAsia="宋体" w:cs="宋体"/>
          <w:bCs/>
          <w:color w:val="auto"/>
          <w:sz w:val="22"/>
          <w:szCs w:val="22"/>
          <w:highlight w:val="none"/>
          <w:u w:val="single"/>
        </w:rPr>
        <w:t>现场全过程协调，负责质量、安全、进度监督，签证及技术服务</w:t>
      </w:r>
      <w:r>
        <w:rPr>
          <w:rFonts w:hint="eastAsia" w:ascii="宋体" w:hAnsi="宋体" w:eastAsia="宋体" w:cs="宋体"/>
          <w:bCs/>
          <w:color w:val="auto"/>
          <w:sz w:val="22"/>
          <w:szCs w:val="22"/>
          <w:highlight w:val="none"/>
        </w:rPr>
        <w:t>。</w:t>
      </w:r>
    </w:p>
    <w:p w14:paraId="10A6509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关于监理人的监理权限：</w:t>
      </w:r>
      <w:r>
        <w:rPr>
          <w:rFonts w:hint="eastAsia" w:ascii="宋体" w:hAnsi="宋体" w:eastAsia="宋体" w:cs="宋体"/>
          <w:bCs/>
          <w:color w:val="auto"/>
          <w:sz w:val="22"/>
          <w:szCs w:val="22"/>
          <w:highlight w:val="none"/>
          <w:u w:val="single"/>
        </w:rPr>
        <w:t>按监理合同约定实行</w:t>
      </w:r>
      <w:r>
        <w:rPr>
          <w:rFonts w:hint="eastAsia" w:ascii="宋体" w:hAnsi="宋体" w:eastAsia="宋体" w:cs="宋体"/>
          <w:bCs/>
          <w:color w:val="auto"/>
          <w:sz w:val="22"/>
          <w:szCs w:val="22"/>
          <w:highlight w:val="none"/>
        </w:rPr>
        <w:t xml:space="preserve">。 </w:t>
      </w:r>
    </w:p>
    <w:p w14:paraId="2A619F9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关于监理人在施工现场的办公场所、生活场所的提供和费用承担的约定：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4C4CFAF8">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 监理人员</w:t>
      </w:r>
    </w:p>
    <w:p w14:paraId="6A69124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总监理工程师：</w:t>
      </w:r>
    </w:p>
    <w:p w14:paraId="73A914D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姓    名：</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7D2F7F2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职    务：</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6E6FA8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监理工程师执业资格证书号：</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7F06618F">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联系电话：</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0C91BBF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电子信箱：</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4277A7F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通信地址：</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679C7CC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关于监理人的其他约定：</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56E3E10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4.4 商定或确定</w:t>
      </w:r>
    </w:p>
    <w:p w14:paraId="33A61C5D">
      <w:pPr>
        <w:adjustRightInd w:val="0"/>
        <w:snapToGrid w:val="0"/>
        <w:spacing w:line="312" w:lineRule="auto"/>
        <w:ind w:firstLine="440" w:firstLineChars="200"/>
        <w:rPr>
          <w:rFonts w:hint="eastAsia" w:ascii="宋体" w:hAnsi="宋体" w:eastAsia="宋体" w:cs="宋体"/>
          <w:bCs/>
          <w:color w:val="auto"/>
          <w:sz w:val="22"/>
          <w:szCs w:val="22"/>
          <w:highlight w:val="none"/>
        </w:rPr>
      </w:pPr>
      <w:bookmarkStart w:id="146" w:name="_Toc267251418"/>
      <w:r>
        <w:rPr>
          <w:rFonts w:hint="eastAsia" w:ascii="宋体" w:hAnsi="宋体" w:eastAsia="宋体" w:cs="宋体"/>
          <w:bCs/>
          <w:color w:val="auto"/>
          <w:sz w:val="22"/>
          <w:szCs w:val="22"/>
          <w:highlight w:val="none"/>
        </w:rPr>
        <w:t>在甲方和乙方不能通过协商达成一致意见时，甲方授权监理人对以下事项进行确定：</w:t>
      </w:r>
    </w:p>
    <w:p w14:paraId="61728F26">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sz w:val="22"/>
          <w:szCs w:val="22"/>
          <w:highlight w:val="none"/>
        </w:rPr>
        <w:t>；</w:t>
      </w:r>
    </w:p>
    <w:p w14:paraId="4D6CA03F">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（2）</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sz w:val="22"/>
          <w:szCs w:val="22"/>
          <w:highlight w:val="none"/>
        </w:rPr>
        <w:t>；</w:t>
      </w:r>
    </w:p>
    <w:p w14:paraId="0CF36ACC">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（3）</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sz w:val="22"/>
          <w:szCs w:val="22"/>
          <w:highlight w:val="none"/>
        </w:rPr>
        <w:t>。</w:t>
      </w:r>
    </w:p>
    <w:p w14:paraId="5BF2F144">
      <w:pPr>
        <w:adjustRightInd w:val="0"/>
        <w:snapToGrid w:val="0"/>
        <w:spacing w:line="312" w:lineRule="auto"/>
        <w:rPr>
          <w:rFonts w:hint="eastAsia" w:ascii="宋体" w:hAnsi="宋体" w:eastAsia="宋体" w:cs="宋体"/>
          <w:bCs/>
          <w:color w:val="auto"/>
          <w:sz w:val="22"/>
          <w:szCs w:val="22"/>
          <w:highlight w:val="none"/>
        </w:rPr>
      </w:pPr>
      <w:bookmarkStart w:id="147" w:name="_Toc351203637"/>
      <w:r>
        <w:rPr>
          <w:rFonts w:hint="eastAsia" w:ascii="宋体" w:hAnsi="宋体" w:eastAsia="宋体" w:cs="宋体"/>
          <w:bCs/>
          <w:color w:val="auto"/>
          <w:sz w:val="22"/>
          <w:szCs w:val="22"/>
          <w:highlight w:val="none"/>
        </w:rPr>
        <w:t>5</w:t>
      </w:r>
      <w:bookmarkEnd w:id="146"/>
      <w:bookmarkStart w:id="148" w:name="_Toc292559872"/>
      <w:bookmarkStart w:id="149" w:name="_Toc296891203"/>
      <w:bookmarkStart w:id="150" w:name="_Toc292559367"/>
      <w:bookmarkStart w:id="151" w:name="_Toc297048349"/>
      <w:bookmarkStart w:id="152" w:name="_Toc297120463"/>
      <w:bookmarkStart w:id="153" w:name="_Toc296944502"/>
      <w:bookmarkStart w:id="154" w:name="_Toc296503163"/>
      <w:bookmarkStart w:id="155" w:name="_Toc296347162"/>
      <w:bookmarkStart w:id="156" w:name="_Toc296890991"/>
      <w:bookmarkStart w:id="157" w:name="_Toc296346664"/>
      <w:r>
        <w:rPr>
          <w:rFonts w:hint="eastAsia" w:ascii="宋体" w:hAnsi="宋体" w:eastAsia="宋体" w:cs="宋体"/>
          <w:bCs/>
          <w:color w:val="auto"/>
          <w:sz w:val="22"/>
          <w:szCs w:val="22"/>
          <w:highlight w:val="none"/>
        </w:rPr>
        <w:t>. 工程质量</w:t>
      </w:r>
      <w:bookmarkEnd w:id="147"/>
    </w:p>
    <w:p w14:paraId="72247AE4">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5.1 质量要求</w:t>
      </w:r>
    </w:p>
    <w:p w14:paraId="79FBBC9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w:t>
      </w:r>
      <w:bookmarkStart w:id="158" w:name="_Toc300934949"/>
      <w:bookmarkStart w:id="159" w:name="_Toc297123496"/>
      <w:bookmarkStart w:id="160" w:name="_Toc312677997"/>
      <w:bookmarkStart w:id="161" w:name="_Toc304295527"/>
      <w:bookmarkStart w:id="162" w:name="_Toc303539106"/>
      <w:bookmarkStart w:id="163" w:name="_Toc297216155"/>
      <w:bookmarkStart w:id="164" w:name="_Toc318581164"/>
      <w:r>
        <w:rPr>
          <w:rFonts w:hint="eastAsia" w:ascii="宋体" w:hAnsi="宋体" w:eastAsia="宋体" w:cs="宋体"/>
          <w:bCs/>
          <w:color w:val="auto"/>
          <w:sz w:val="22"/>
          <w:szCs w:val="22"/>
          <w:highlight w:val="none"/>
        </w:rPr>
        <w:t>.1.1 特殊质量标准和要求：</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0599813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关于工程奖项的约定：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17D0A1BE">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5.3 隐蔽工程检查</w:t>
      </w:r>
    </w:p>
    <w:p w14:paraId="1C359FE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5.3.2乙方提前通知监理人隐蔽工程检查的期限的约定：</w:t>
      </w:r>
      <w:r>
        <w:rPr>
          <w:rFonts w:hint="eastAsia" w:ascii="宋体" w:hAnsi="宋体" w:eastAsia="宋体" w:cs="宋体"/>
          <w:bCs/>
          <w:color w:val="auto"/>
          <w:sz w:val="22"/>
          <w:szCs w:val="22"/>
          <w:highlight w:val="none"/>
          <w:u w:val="single"/>
        </w:rPr>
        <w:t>乙方应在共同检查前48小时书面通知监理人检查，通知中应载明隐蔽检查的内容、时间和地点，并应附有自检记录和必要的检查资料</w:t>
      </w:r>
      <w:r>
        <w:rPr>
          <w:rFonts w:hint="eastAsia" w:ascii="宋体" w:hAnsi="宋体" w:eastAsia="宋体" w:cs="宋体"/>
          <w:bCs/>
          <w:color w:val="auto"/>
          <w:sz w:val="22"/>
          <w:szCs w:val="22"/>
          <w:highlight w:val="none"/>
        </w:rPr>
        <w:t>。</w:t>
      </w:r>
    </w:p>
    <w:p w14:paraId="706BE66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监理人不能按时进行检查时，应提前</w:t>
      </w:r>
      <w:r>
        <w:rPr>
          <w:rFonts w:hint="eastAsia" w:ascii="宋体" w:hAnsi="宋体" w:eastAsia="宋体" w:cs="宋体"/>
          <w:bCs/>
          <w:color w:val="auto"/>
          <w:sz w:val="22"/>
          <w:szCs w:val="22"/>
          <w:highlight w:val="none"/>
          <w:u w:val="single"/>
        </w:rPr>
        <w:t>24</w:t>
      </w:r>
      <w:r>
        <w:rPr>
          <w:rFonts w:hint="eastAsia" w:ascii="宋体" w:hAnsi="宋体" w:eastAsia="宋体" w:cs="宋体"/>
          <w:bCs/>
          <w:color w:val="auto"/>
          <w:sz w:val="22"/>
          <w:szCs w:val="22"/>
          <w:highlight w:val="none"/>
        </w:rPr>
        <w:t>小时提交书面延期要求。</w:t>
      </w:r>
    </w:p>
    <w:p w14:paraId="547A07A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关于延期最长不得超过：</w:t>
      </w:r>
      <w:r>
        <w:rPr>
          <w:rFonts w:hint="eastAsia" w:ascii="宋体" w:hAnsi="宋体" w:eastAsia="宋体" w:cs="宋体"/>
          <w:bCs/>
          <w:color w:val="auto"/>
          <w:sz w:val="22"/>
          <w:szCs w:val="22"/>
          <w:highlight w:val="none"/>
          <w:u w:val="single"/>
        </w:rPr>
        <w:t>48</w:t>
      </w:r>
      <w:r>
        <w:rPr>
          <w:rFonts w:hint="eastAsia" w:ascii="宋体" w:hAnsi="宋体" w:eastAsia="宋体" w:cs="宋体"/>
          <w:bCs/>
          <w:color w:val="auto"/>
          <w:sz w:val="22"/>
          <w:szCs w:val="22"/>
          <w:highlight w:val="none"/>
        </w:rPr>
        <w:t>小时。</w:t>
      </w:r>
    </w:p>
    <w:p w14:paraId="5E40892B">
      <w:pPr>
        <w:adjustRightInd w:val="0"/>
        <w:snapToGrid w:val="0"/>
        <w:spacing w:line="312" w:lineRule="auto"/>
        <w:rPr>
          <w:rFonts w:hint="eastAsia" w:ascii="宋体" w:hAnsi="宋体" w:eastAsia="宋体" w:cs="宋体"/>
          <w:bCs/>
          <w:color w:val="auto"/>
          <w:sz w:val="22"/>
          <w:szCs w:val="22"/>
          <w:highlight w:val="none"/>
        </w:rPr>
      </w:pPr>
      <w:bookmarkStart w:id="165" w:name="_Toc351203638"/>
      <w:r>
        <w:rPr>
          <w:rFonts w:hint="eastAsia" w:ascii="宋体" w:hAnsi="宋体" w:eastAsia="宋体" w:cs="宋体"/>
          <w:bCs/>
          <w:color w:val="auto"/>
          <w:sz w:val="22"/>
          <w:szCs w:val="22"/>
          <w:highlight w:val="none"/>
        </w:rPr>
        <w:t>6. 安全文明施工与环境保护</w:t>
      </w:r>
      <w:bookmarkEnd w:id="165"/>
    </w:p>
    <w:p w14:paraId="1625E44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6.1安全文明施工</w:t>
      </w:r>
    </w:p>
    <w:p w14:paraId="027DBB1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6.1.1 项目安全生产的达标目标及相应事项的约定：</w:t>
      </w:r>
      <w:r>
        <w:rPr>
          <w:rFonts w:hint="eastAsia" w:ascii="宋体" w:hAnsi="宋体" w:eastAsia="宋体" w:cs="宋体"/>
          <w:bCs/>
          <w:color w:val="auto"/>
          <w:sz w:val="22"/>
          <w:szCs w:val="22"/>
          <w:highlight w:val="none"/>
          <w:u w:val="single"/>
        </w:rPr>
        <w:t>按通用合同条款第6.1.1条规定执行</w:t>
      </w:r>
      <w:r>
        <w:rPr>
          <w:rFonts w:hint="eastAsia" w:ascii="宋体" w:hAnsi="宋体" w:eastAsia="宋体" w:cs="宋体"/>
          <w:bCs/>
          <w:color w:val="auto"/>
          <w:sz w:val="22"/>
          <w:szCs w:val="22"/>
          <w:highlight w:val="none"/>
        </w:rPr>
        <w:t>。</w:t>
      </w:r>
    </w:p>
    <w:p w14:paraId="0E5B255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6.1.4 关于治安保卫的特别约定：</w:t>
      </w:r>
      <w:r>
        <w:rPr>
          <w:rFonts w:hint="eastAsia" w:ascii="宋体" w:hAnsi="宋体" w:eastAsia="宋体" w:cs="宋体"/>
          <w:bCs/>
          <w:color w:val="auto"/>
          <w:sz w:val="22"/>
          <w:szCs w:val="22"/>
          <w:highlight w:val="none"/>
          <w:u w:val="single"/>
        </w:rPr>
        <w:t>按通用合同条款第6.1.4条规定执行</w:t>
      </w:r>
      <w:r>
        <w:rPr>
          <w:rFonts w:hint="eastAsia" w:ascii="宋体" w:hAnsi="宋体" w:eastAsia="宋体" w:cs="宋体"/>
          <w:bCs/>
          <w:color w:val="auto"/>
          <w:sz w:val="22"/>
          <w:szCs w:val="22"/>
          <w:highlight w:val="none"/>
        </w:rPr>
        <w:t>。</w:t>
      </w:r>
    </w:p>
    <w:p w14:paraId="7283083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关于编制施工场地治安管理计划的约定：</w:t>
      </w:r>
      <w:r>
        <w:rPr>
          <w:rFonts w:hint="eastAsia" w:ascii="宋体" w:hAnsi="宋体" w:eastAsia="宋体" w:cs="宋体"/>
          <w:bCs/>
          <w:color w:val="auto"/>
          <w:sz w:val="22"/>
          <w:szCs w:val="22"/>
          <w:highlight w:val="none"/>
          <w:u w:val="single"/>
        </w:rPr>
        <w:t>按通用合同条款第6.1.4条规定执行</w:t>
      </w:r>
      <w:r>
        <w:rPr>
          <w:rFonts w:hint="eastAsia" w:ascii="宋体" w:hAnsi="宋体" w:eastAsia="宋体" w:cs="宋体"/>
          <w:bCs/>
          <w:color w:val="auto"/>
          <w:sz w:val="22"/>
          <w:szCs w:val="22"/>
          <w:highlight w:val="none"/>
        </w:rPr>
        <w:t>。</w:t>
      </w:r>
    </w:p>
    <w:p w14:paraId="41DC666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6.1.5 文明施工</w:t>
      </w:r>
    </w:p>
    <w:p w14:paraId="769C922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合同当事人对文明施工的要求：</w:t>
      </w:r>
    </w:p>
    <w:p w14:paraId="34F74E2B">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1）乙方应严格按照省、市及地方安全生产和劳动保护的有关规定，认真落实各项安全保护措施及安全生产责任制，并随时接受甲方或监理工程师及有关部门的监督检查。甲方在进行巡查时发现工程质量或环境保护、文明施工、安全施工达不到要求，第一次发现给予乙方警告并责令整改，二次及以上发现乙方应立即整改并向甲方支付贰万元人民币的违约金。被上级主管部门通报批评，乙方按人民币贰万元/次向甲方支付违约金；被媒体曝光，视情节向甲方支付人民币贰至伍万元违约金。</w:t>
      </w:r>
    </w:p>
    <w:p w14:paraId="39460D0D">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（2）乙方应对进度施工现场的施工人员进行安全文明施工教育，持证上岗，配备必要的劳动保护用具，保证工程的施工安全和人身安全。</w:t>
      </w:r>
    </w:p>
    <w:p w14:paraId="31FF41E6">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3）乙方应强化安全意识，抓好安全生产，消除安全隐患，杜绝事故发生，施工中若发生安全及人身事故均由乙方自行负责处理，并承担全部费用。发现有违反安全生产操作规范的，甲方有权提出整改，乙方必须整改到位。</w:t>
      </w:r>
    </w:p>
    <w:p w14:paraId="4E928AB2">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4）安全施工所发生的费用乙方已在响应报价中包干，发生重大伤亡事故或其他事故，乙方应及时上报甲方，并承担全部赔偿责任（非乙方原因除外）。施工过程中若发生死亡事故，由乙方承担全部责任并支付全部费用，且必须在事发后立即启动应急预案，并在24小时内按事故等级通报上级，并做好事故处理和善后等各类事宜，否则甲方有权直接处理，相关费用在履约担保（或工程款）中直接扣除。</w:t>
      </w:r>
    </w:p>
    <w:p w14:paraId="4A730C7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5）乙方按规定自行向建设行政各主管部门、城市行政主管部门等相关职能部门办理相关手续，施工组织须符合管理部门的要求，甲方给予协调，费用不予增加。乙方必须做好安全文明施工、环境保护（扬尘、排污、泥浆外运等）工作。</w:t>
      </w:r>
    </w:p>
    <w:p w14:paraId="51F41C9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6.1.6 关于安全文明施工费支付比例和支付期限的约定：</w:t>
      </w:r>
      <w:r>
        <w:rPr>
          <w:rFonts w:hint="eastAsia" w:ascii="宋体" w:hAnsi="宋体" w:eastAsia="宋体" w:cs="宋体"/>
          <w:bCs/>
          <w:color w:val="auto"/>
          <w:sz w:val="22"/>
          <w:szCs w:val="22"/>
          <w:highlight w:val="none"/>
          <w:u w:val="single"/>
        </w:rPr>
        <w:t>按通用合同条款第6.1.6条规定执行</w:t>
      </w:r>
      <w:r>
        <w:rPr>
          <w:rFonts w:hint="eastAsia" w:ascii="宋体" w:hAnsi="宋体" w:eastAsia="宋体" w:cs="宋体"/>
          <w:bCs/>
          <w:color w:val="auto"/>
          <w:sz w:val="22"/>
          <w:szCs w:val="22"/>
          <w:highlight w:val="none"/>
        </w:rPr>
        <w:t>。</w:t>
      </w:r>
    </w:p>
    <w:bookmarkEnd w:id="158"/>
    <w:bookmarkEnd w:id="159"/>
    <w:bookmarkEnd w:id="160"/>
    <w:bookmarkEnd w:id="161"/>
    <w:bookmarkEnd w:id="162"/>
    <w:bookmarkEnd w:id="163"/>
    <w:bookmarkEnd w:id="164"/>
    <w:p w14:paraId="47A6F21D">
      <w:pPr>
        <w:adjustRightInd w:val="0"/>
        <w:snapToGrid w:val="0"/>
        <w:spacing w:line="312" w:lineRule="auto"/>
        <w:rPr>
          <w:rFonts w:hint="eastAsia" w:ascii="宋体" w:hAnsi="宋体" w:eastAsia="宋体" w:cs="宋体"/>
          <w:bCs/>
          <w:color w:val="auto"/>
          <w:sz w:val="22"/>
          <w:szCs w:val="22"/>
          <w:highlight w:val="none"/>
        </w:rPr>
      </w:pPr>
      <w:bookmarkStart w:id="166" w:name="_Toc351203639"/>
      <w:r>
        <w:rPr>
          <w:rFonts w:hint="eastAsia" w:ascii="宋体" w:hAnsi="宋体" w:eastAsia="宋体" w:cs="宋体"/>
          <w:bCs/>
          <w:color w:val="auto"/>
          <w:sz w:val="22"/>
          <w:szCs w:val="22"/>
          <w:highlight w:val="none"/>
        </w:rPr>
        <w:t>7. 工期和进度</w:t>
      </w:r>
      <w:bookmarkEnd w:id="166"/>
    </w:p>
    <w:p w14:paraId="536C190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7.1 施工组织设计</w:t>
      </w:r>
    </w:p>
    <w:p w14:paraId="71975417">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7.1.1 合</w:t>
      </w:r>
      <w:r>
        <w:rPr>
          <w:rFonts w:hint="eastAsia" w:ascii="宋体" w:hAnsi="宋体" w:eastAsia="宋体" w:cs="宋体"/>
          <w:bCs/>
          <w:color w:val="auto"/>
          <w:kern w:val="0"/>
          <w:sz w:val="22"/>
          <w:szCs w:val="22"/>
          <w:highlight w:val="none"/>
        </w:rPr>
        <w:t>同当事人约定的施工组织设计应包括的其他内容：</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50A05FEC">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 xml:space="preserve">7.1.2 </w:t>
      </w:r>
      <w:r>
        <w:rPr>
          <w:rFonts w:hint="eastAsia" w:ascii="宋体" w:hAnsi="宋体" w:eastAsia="宋体" w:cs="宋体"/>
          <w:bCs/>
          <w:color w:val="auto"/>
          <w:kern w:val="0"/>
          <w:sz w:val="22"/>
          <w:szCs w:val="22"/>
          <w:highlight w:val="none"/>
        </w:rPr>
        <w:t>施工组织设计的提交和修改</w:t>
      </w:r>
    </w:p>
    <w:p w14:paraId="4EDB38DB">
      <w:pPr>
        <w:autoSpaceDE w:val="0"/>
        <w:autoSpaceDN w:val="0"/>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乙方提交详细施工组织设计的期限的约定：</w:t>
      </w:r>
      <w:r>
        <w:rPr>
          <w:rFonts w:hint="eastAsia" w:ascii="宋体" w:hAnsi="宋体" w:eastAsia="宋体" w:cs="宋体"/>
          <w:bCs/>
          <w:color w:val="auto"/>
          <w:sz w:val="22"/>
          <w:szCs w:val="22"/>
          <w:highlight w:val="none"/>
          <w:u w:val="single"/>
        </w:rPr>
        <w:t>合同签订后叁天提供</w:t>
      </w:r>
      <w:r>
        <w:rPr>
          <w:rFonts w:hint="eastAsia" w:ascii="宋体" w:hAnsi="宋体" w:eastAsia="宋体" w:cs="宋体"/>
          <w:bCs/>
          <w:color w:val="auto"/>
          <w:sz w:val="22"/>
          <w:szCs w:val="22"/>
          <w:highlight w:val="none"/>
        </w:rPr>
        <w:t>。</w:t>
      </w:r>
    </w:p>
    <w:p w14:paraId="21F5365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甲方和监理人在收到详细的施工组织设计后确认或提出修改意见的期限：</w:t>
      </w:r>
      <w:r>
        <w:rPr>
          <w:rFonts w:hint="eastAsia" w:ascii="宋体" w:hAnsi="宋体" w:eastAsia="宋体" w:cs="宋体"/>
          <w:bCs/>
          <w:color w:val="auto"/>
          <w:sz w:val="22"/>
          <w:szCs w:val="22"/>
          <w:highlight w:val="none"/>
          <w:u w:val="single"/>
        </w:rPr>
        <w:t>接到报告后7天内予以批复。（甲方、监理单位对施工组织设计方案的确认只是对施工组织设计方案可行性的确认，并不是对所涉费用的确认，也不免除乙方对施工组织设计方案应承担的全部责任）</w:t>
      </w:r>
      <w:r>
        <w:rPr>
          <w:rFonts w:hint="eastAsia" w:ascii="宋体" w:hAnsi="宋体" w:eastAsia="宋体" w:cs="宋体"/>
          <w:bCs/>
          <w:color w:val="auto"/>
          <w:sz w:val="22"/>
          <w:szCs w:val="22"/>
          <w:highlight w:val="none"/>
        </w:rPr>
        <w:t>。</w:t>
      </w:r>
    </w:p>
    <w:p w14:paraId="3FE9A777">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w:t>
      </w:r>
      <w:bookmarkStart w:id="167" w:name="_Toc303539123"/>
      <w:bookmarkStart w:id="168" w:name="_Toc312678005"/>
      <w:bookmarkStart w:id="169" w:name="_Toc297216173"/>
      <w:bookmarkStart w:id="170" w:name="_Toc297123514"/>
      <w:bookmarkStart w:id="171" w:name="_Toc312677479"/>
      <w:bookmarkStart w:id="172" w:name="_Toc304295541"/>
      <w:bookmarkStart w:id="173" w:name="_Toc300934966"/>
      <w:r>
        <w:rPr>
          <w:rFonts w:hint="eastAsia" w:ascii="宋体" w:hAnsi="宋体" w:eastAsia="宋体" w:cs="宋体"/>
          <w:bCs/>
          <w:color w:val="auto"/>
          <w:sz w:val="22"/>
          <w:szCs w:val="22"/>
          <w:highlight w:val="none"/>
        </w:rPr>
        <w:t>.2 施工进度计划</w:t>
      </w:r>
    </w:p>
    <w:p w14:paraId="784E9A2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7.2.2 施工进度计划的修订</w:t>
      </w:r>
    </w:p>
    <w:p w14:paraId="00BD88F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甲方和监理人在收到修订的施工进度计划后确认或提出修改意见的期限：</w:t>
      </w:r>
      <w:r>
        <w:rPr>
          <w:rFonts w:hint="eastAsia" w:ascii="宋体" w:hAnsi="宋体" w:eastAsia="宋体" w:cs="宋体"/>
          <w:bCs/>
          <w:color w:val="auto"/>
          <w:sz w:val="22"/>
          <w:szCs w:val="22"/>
          <w:highlight w:val="none"/>
          <w:u w:val="single"/>
        </w:rPr>
        <w:t>接到报告后7天内予以批复</w:t>
      </w:r>
      <w:r>
        <w:rPr>
          <w:rFonts w:hint="eastAsia" w:ascii="宋体" w:hAnsi="宋体" w:eastAsia="宋体" w:cs="宋体"/>
          <w:bCs/>
          <w:color w:val="auto"/>
          <w:sz w:val="22"/>
          <w:szCs w:val="22"/>
          <w:highlight w:val="none"/>
        </w:rPr>
        <w:t>。</w:t>
      </w:r>
    </w:p>
    <w:p w14:paraId="4A6BD07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7.3 开工</w:t>
      </w:r>
    </w:p>
    <w:p w14:paraId="29490B9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7.3.1 开工准备</w:t>
      </w:r>
    </w:p>
    <w:p w14:paraId="02A6CB00">
      <w:pPr>
        <w:adjustRightInd w:val="0"/>
        <w:snapToGrid w:val="0"/>
        <w:spacing w:line="312" w:lineRule="auto"/>
        <w:ind w:firstLine="645"/>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关于乙方提交</w:t>
      </w:r>
      <w:r>
        <w:rPr>
          <w:rFonts w:hint="eastAsia" w:ascii="宋体" w:hAnsi="宋体" w:eastAsia="宋体" w:cs="宋体"/>
          <w:bCs/>
          <w:color w:val="auto"/>
          <w:kern w:val="0"/>
          <w:sz w:val="22"/>
          <w:szCs w:val="22"/>
          <w:highlight w:val="none"/>
        </w:rPr>
        <w:t>工程开工报审表的期限：</w:t>
      </w:r>
      <w:r>
        <w:rPr>
          <w:rFonts w:hint="eastAsia" w:ascii="宋体" w:hAnsi="宋体" w:eastAsia="宋体" w:cs="宋体"/>
          <w:bCs/>
          <w:color w:val="auto"/>
          <w:sz w:val="22"/>
          <w:szCs w:val="22"/>
          <w:highlight w:val="none"/>
          <w:u w:val="single"/>
        </w:rPr>
        <w:t>开工前七天</w:t>
      </w:r>
      <w:r>
        <w:rPr>
          <w:rFonts w:hint="eastAsia" w:ascii="宋体" w:hAnsi="宋体" w:eastAsia="宋体" w:cs="宋体"/>
          <w:bCs/>
          <w:color w:val="auto"/>
          <w:sz w:val="22"/>
          <w:szCs w:val="22"/>
          <w:highlight w:val="none"/>
        </w:rPr>
        <w:t>。</w:t>
      </w:r>
    </w:p>
    <w:p w14:paraId="1A1989CE">
      <w:pPr>
        <w:adjustRightInd w:val="0"/>
        <w:snapToGrid w:val="0"/>
        <w:spacing w:line="312" w:lineRule="auto"/>
        <w:ind w:firstLine="645"/>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关于甲方应完成的其他开工准备工作及期限：</w:t>
      </w:r>
      <w:r>
        <w:rPr>
          <w:rFonts w:hint="eastAsia" w:ascii="宋体" w:hAnsi="宋体" w:eastAsia="宋体" w:cs="宋体"/>
          <w:bCs/>
          <w:color w:val="auto"/>
          <w:sz w:val="22"/>
          <w:szCs w:val="22"/>
          <w:highlight w:val="none"/>
          <w:u w:val="single"/>
        </w:rPr>
        <w:t>开工前七天</w:t>
      </w:r>
      <w:r>
        <w:rPr>
          <w:rFonts w:hint="eastAsia" w:ascii="宋体" w:hAnsi="宋体" w:eastAsia="宋体" w:cs="宋体"/>
          <w:bCs/>
          <w:color w:val="auto"/>
          <w:sz w:val="22"/>
          <w:szCs w:val="22"/>
          <w:highlight w:val="none"/>
        </w:rPr>
        <w:t>。</w:t>
      </w:r>
    </w:p>
    <w:p w14:paraId="70BC77C4">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关于乙方应完成的其他开工准备工作及期限：</w:t>
      </w:r>
      <w:r>
        <w:rPr>
          <w:rFonts w:hint="eastAsia" w:ascii="宋体" w:hAnsi="宋体" w:eastAsia="宋体" w:cs="宋体"/>
          <w:bCs/>
          <w:color w:val="auto"/>
          <w:sz w:val="22"/>
          <w:szCs w:val="22"/>
          <w:highlight w:val="none"/>
          <w:u w:val="single"/>
        </w:rPr>
        <w:t>开工前七天</w:t>
      </w:r>
      <w:r>
        <w:rPr>
          <w:rFonts w:hint="eastAsia" w:ascii="宋体" w:hAnsi="宋体" w:eastAsia="宋体" w:cs="宋体"/>
          <w:bCs/>
          <w:color w:val="auto"/>
          <w:sz w:val="22"/>
          <w:szCs w:val="22"/>
          <w:highlight w:val="none"/>
        </w:rPr>
        <w:t>。</w:t>
      </w:r>
    </w:p>
    <w:p w14:paraId="353EFAF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7.3.2开工通知</w:t>
      </w:r>
    </w:p>
    <w:p w14:paraId="5D0C21D4">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因甲方原因造成监理人未能在计划开工日期之日起</w:t>
      </w:r>
      <w:r>
        <w:rPr>
          <w:rFonts w:hint="eastAsia" w:ascii="宋体" w:hAnsi="宋体" w:eastAsia="宋体" w:cs="宋体"/>
          <w:bCs/>
          <w:color w:val="auto"/>
          <w:sz w:val="22"/>
          <w:szCs w:val="22"/>
          <w:highlight w:val="none"/>
          <w:u w:val="single"/>
        </w:rPr>
        <w:t xml:space="preserve"> 90 </w:t>
      </w:r>
      <w:r>
        <w:rPr>
          <w:rFonts w:hint="eastAsia" w:ascii="宋体" w:hAnsi="宋体" w:eastAsia="宋体" w:cs="宋体"/>
          <w:bCs/>
          <w:color w:val="auto"/>
          <w:sz w:val="22"/>
          <w:szCs w:val="22"/>
          <w:highlight w:val="none"/>
        </w:rPr>
        <w:t>天内发出开工通知的，乙方有权提出价格调整要求，或者解除合同。</w:t>
      </w:r>
    </w:p>
    <w:bookmarkEnd w:id="167"/>
    <w:bookmarkEnd w:id="168"/>
    <w:bookmarkEnd w:id="169"/>
    <w:bookmarkEnd w:id="170"/>
    <w:bookmarkEnd w:id="171"/>
    <w:bookmarkEnd w:id="172"/>
    <w:bookmarkEnd w:id="173"/>
    <w:p w14:paraId="6D227F0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7.4 测量放线</w:t>
      </w:r>
    </w:p>
    <w:p w14:paraId="734BD397">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7.4.1甲方通过监理人向乙方提供测量基准点、基准线和水准点及其书面资料的期限：</w:t>
      </w:r>
      <w:r>
        <w:rPr>
          <w:rFonts w:hint="eastAsia" w:ascii="宋体" w:hAnsi="宋体" w:eastAsia="宋体" w:cs="宋体"/>
          <w:bCs/>
          <w:color w:val="auto"/>
          <w:sz w:val="22"/>
          <w:szCs w:val="22"/>
          <w:highlight w:val="none"/>
          <w:u w:val="single"/>
        </w:rPr>
        <w:t>开工前七天</w:t>
      </w:r>
      <w:r>
        <w:rPr>
          <w:rFonts w:hint="eastAsia" w:ascii="宋体" w:hAnsi="宋体" w:eastAsia="宋体" w:cs="宋体"/>
          <w:bCs/>
          <w:color w:val="auto"/>
          <w:sz w:val="22"/>
          <w:szCs w:val="22"/>
          <w:highlight w:val="none"/>
        </w:rPr>
        <w:t>。</w:t>
      </w:r>
    </w:p>
    <w:p w14:paraId="42E9743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w:t>
      </w:r>
      <w:bookmarkStart w:id="174" w:name="_Toc304295546"/>
      <w:bookmarkStart w:id="175" w:name="_Toc300934968"/>
      <w:bookmarkStart w:id="176" w:name="_Toc312677484"/>
      <w:bookmarkStart w:id="177" w:name="_Toc297123516"/>
      <w:bookmarkStart w:id="178" w:name="_Toc297216175"/>
      <w:bookmarkStart w:id="179" w:name="_Toc312678010"/>
      <w:bookmarkStart w:id="180" w:name="_Toc303539125"/>
      <w:r>
        <w:rPr>
          <w:rFonts w:hint="eastAsia" w:ascii="宋体" w:hAnsi="宋体" w:eastAsia="宋体" w:cs="宋体"/>
          <w:bCs/>
          <w:color w:val="auto"/>
          <w:sz w:val="22"/>
          <w:szCs w:val="22"/>
          <w:highlight w:val="none"/>
        </w:rPr>
        <w:t>.5 工期延误</w:t>
      </w:r>
    </w:p>
    <w:bookmarkEnd w:id="174"/>
    <w:bookmarkEnd w:id="175"/>
    <w:bookmarkEnd w:id="176"/>
    <w:bookmarkEnd w:id="177"/>
    <w:bookmarkEnd w:id="178"/>
    <w:bookmarkEnd w:id="179"/>
    <w:bookmarkEnd w:id="180"/>
    <w:p w14:paraId="626F171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7.5.1 因甲方原因导致工期延误</w:t>
      </w:r>
    </w:p>
    <w:p w14:paraId="1FAE933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（7）因甲方原因导致工期延误的其他情形：</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46DFA710">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（8）双方约定工期顺延的其他情况：</w:t>
      </w:r>
      <w:r>
        <w:rPr>
          <w:rFonts w:hint="eastAsia" w:ascii="宋体" w:hAnsi="宋体" w:eastAsia="宋体" w:cs="宋体"/>
          <w:bCs/>
          <w:color w:val="auto"/>
          <w:sz w:val="22"/>
          <w:szCs w:val="22"/>
          <w:highlight w:val="none"/>
          <w:u w:val="single"/>
        </w:rPr>
        <w:t>乙方按协议条款约定的开工日期开始施工，具体开、停和复工的时间以甲方（或监理单位）的签证为准，如工程前期滞后</w:t>
      </w:r>
      <w:r>
        <w:rPr>
          <w:rFonts w:hint="eastAsia" w:ascii="宋体" w:hAnsi="宋体" w:eastAsia="宋体" w:cs="宋体"/>
          <w:bCs/>
          <w:color w:val="auto"/>
          <w:sz w:val="22"/>
          <w:szCs w:val="22"/>
          <w:highlight w:val="none"/>
          <w:u w:val="single"/>
          <w:lang w:val="en-US" w:eastAsia="zh-CN"/>
        </w:rPr>
        <w:t>等</w:t>
      </w:r>
      <w:r>
        <w:rPr>
          <w:rFonts w:hint="eastAsia" w:ascii="宋体" w:hAnsi="宋体" w:eastAsia="宋体" w:cs="宋体"/>
          <w:bCs/>
          <w:color w:val="auto"/>
          <w:sz w:val="22"/>
          <w:szCs w:val="22"/>
          <w:highlight w:val="none"/>
          <w:u w:val="single"/>
        </w:rPr>
        <w:t>而影响施工关键线路进度，工期顺延由乙方申请监理审核后报甲方签证为准。除经监理和甲方联系单签证同意外，工期一律不得顺延。乙方在响应时已充分考虑各项因素（包括但不限于周边环境、停电停水、物价波动、气候因素等）影响，保证工程连续施工，以上费用已含在乙方合同价款中。凡由于乙方造成的工期延误，则工期不能顺延，由此引起的赶工措施等费用增加均由乙方自行承担。因非乙方原因导致的工期延误，经工程师确认，工期相应顺延，但费用不予补偿。</w:t>
      </w:r>
    </w:p>
    <w:p w14:paraId="67318FE4">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（9）工程延期的审批：</w:t>
      </w:r>
      <w:r>
        <w:rPr>
          <w:rFonts w:hint="eastAsia" w:ascii="宋体" w:hAnsi="宋体" w:eastAsia="宋体" w:cs="宋体"/>
          <w:bCs/>
          <w:color w:val="auto"/>
          <w:sz w:val="22"/>
          <w:szCs w:val="22"/>
          <w:highlight w:val="none"/>
          <w:u w:val="single"/>
        </w:rPr>
        <w:t>必须是非乙方自身的原因造成的工期延误，甲方才可以考虑是否受理乙方的延期申请；若只是局部工程受到影响，乙方应采取措施并合理安排施工方案予以弥补，而不能影响工程的总工期。</w:t>
      </w:r>
    </w:p>
    <w:p w14:paraId="13B681E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w:t>
      </w:r>
      <w:bookmarkStart w:id="181" w:name="_Toc318581169"/>
      <w:bookmarkStart w:id="182" w:name="_Toc312677486"/>
      <w:bookmarkStart w:id="183" w:name="_Toc312678012"/>
      <w:bookmarkStart w:id="184" w:name="_Toc304295548"/>
      <w:bookmarkStart w:id="185" w:name="_Toc297216177"/>
      <w:bookmarkStart w:id="186" w:name="_Toc300934970"/>
      <w:bookmarkStart w:id="187" w:name="_Toc297123518"/>
      <w:bookmarkStart w:id="188" w:name="_Toc303539127"/>
      <w:r>
        <w:rPr>
          <w:rFonts w:hint="eastAsia" w:ascii="宋体" w:hAnsi="宋体" w:eastAsia="宋体" w:cs="宋体"/>
          <w:bCs/>
          <w:color w:val="auto"/>
          <w:sz w:val="22"/>
          <w:szCs w:val="22"/>
          <w:highlight w:val="none"/>
        </w:rPr>
        <w:t>.5.2 因乙方原因导致工期延误</w:t>
      </w:r>
    </w:p>
    <w:bookmarkEnd w:id="181"/>
    <w:bookmarkEnd w:id="182"/>
    <w:bookmarkEnd w:id="183"/>
    <w:p w14:paraId="70530817">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因</w:t>
      </w:r>
      <w:bookmarkStart w:id="189" w:name="_Toc312677487"/>
      <w:bookmarkStart w:id="190" w:name="_Toc312678013"/>
      <w:bookmarkStart w:id="191" w:name="_Toc318581170"/>
      <w:r>
        <w:rPr>
          <w:rFonts w:hint="eastAsia" w:ascii="宋体" w:hAnsi="宋体" w:eastAsia="宋体" w:cs="宋体"/>
          <w:bCs/>
          <w:color w:val="auto"/>
          <w:sz w:val="22"/>
          <w:szCs w:val="22"/>
          <w:highlight w:val="none"/>
        </w:rPr>
        <w:t>乙方原因造成工期延误，逾期竣工违约金的计算方法为：</w:t>
      </w:r>
    </w:p>
    <w:p w14:paraId="73452F6D">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①因乙方原因工程不能按合同约定工期竣工，每延误一天，乙方应按人民币</w:t>
      </w:r>
      <w:r>
        <w:rPr>
          <w:rFonts w:hint="eastAsia" w:ascii="宋体" w:hAnsi="宋体" w:cs="宋体"/>
          <w:bCs/>
          <w:color w:val="auto"/>
          <w:sz w:val="22"/>
          <w:szCs w:val="22"/>
          <w:highlight w:val="none"/>
          <w:u w:val="single"/>
          <w:lang w:val="en-US" w:eastAsia="zh-CN"/>
        </w:rPr>
        <w:t>8000</w:t>
      </w:r>
      <w:r>
        <w:rPr>
          <w:rFonts w:hint="eastAsia" w:ascii="宋体" w:hAnsi="宋体" w:eastAsia="宋体" w:cs="宋体"/>
          <w:bCs/>
          <w:color w:val="auto"/>
          <w:sz w:val="22"/>
          <w:szCs w:val="22"/>
          <w:highlight w:val="none"/>
          <w:u w:val="single"/>
        </w:rPr>
        <w:t>元向甲方支付违约金。该违约金甲方有权在乙方的工期保证金中扣除，不足部分在工程结算价款中扣除。</w:t>
      </w:r>
    </w:p>
    <w:p w14:paraId="3FF2CBC8">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②因乙方原因，乙方在施工过程中不能按施工总进度计划完成各项施工任务，实际施工进度比施工进度计划滞后超过30天（含30天）的，甲方有权解除合同，也有权仍选择由乙方继续履行合同，如甲方选择由乙方继续履行合同的，竣工工期每延误一天，乙方应按人民币贰仟元向甲方支付违约金。</w:t>
      </w:r>
      <w:bookmarkEnd w:id="184"/>
      <w:bookmarkEnd w:id="185"/>
      <w:bookmarkEnd w:id="186"/>
      <w:bookmarkEnd w:id="187"/>
      <w:bookmarkEnd w:id="188"/>
      <w:bookmarkEnd w:id="189"/>
      <w:bookmarkEnd w:id="190"/>
    </w:p>
    <w:bookmarkEnd w:id="191"/>
    <w:p w14:paraId="4225429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因乙方原因造成工期延误，逾</w:t>
      </w:r>
      <w:bookmarkStart w:id="192" w:name="_Toc318581171"/>
      <w:bookmarkStart w:id="193" w:name="_Toc312678014"/>
      <w:r>
        <w:rPr>
          <w:rFonts w:hint="eastAsia" w:ascii="宋体" w:hAnsi="宋体" w:eastAsia="宋体" w:cs="宋体"/>
          <w:bCs/>
          <w:color w:val="auto"/>
          <w:sz w:val="22"/>
          <w:szCs w:val="22"/>
          <w:highlight w:val="none"/>
        </w:rPr>
        <w:t>期竣工违约金的上限：</w:t>
      </w:r>
      <w:r>
        <w:rPr>
          <w:rFonts w:hint="eastAsia" w:ascii="宋体" w:hAnsi="宋体" w:eastAsia="宋体" w:cs="宋体"/>
          <w:bCs/>
          <w:color w:val="auto"/>
          <w:sz w:val="22"/>
          <w:szCs w:val="22"/>
          <w:highlight w:val="none"/>
          <w:u w:val="single"/>
        </w:rPr>
        <w:t>累计最高不超过合同总价的百分之二十</w:t>
      </w:r>
      <w:r>
        <w:rPr>
          <w:rFonts w:hint="eastAsia" w:ascii="宋体" w:hAnsi="宋体" w:eastAsia="宋体" w:cs="宋体"/>
          <w:bCs/>
          <w:color w:val="auto"/>
          <w:sz w:val="22"/>
          <w:szCs w:val="22"/>
          <w:highlight w:val="none"/>
        </w:rPr>
        <w:t>。</w:t>
      </w:r>
    </w:p>
    <w:bookmarkEnd w:id="192"/>
    <w:bookmarkEnd w:id="193"/>
    <w:p w14:paraId="44CC61B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w:t>
      </w:r>
      <w:bookmarkStart w:id="194" w:name="_Toc303539128"/>
      <w:bookmarkStart w:id="195" w:name="_Toc300934971"/>
      <w:bookmarkStart w:id="196" w:name="_Toc297123519"/>
      <w:bookmarkStart w:id="197" w:name="_Toc304295549"/>
      <w:bookmarkStart w:id="198" w:name="_Toc297216178"/>
      <w:bookmarkStart w:id="199" w:name="_Toc312678015"/>
      <w:r>
        <w:rPr>
          <w:rFonts w:hint="eastAsia" w:ascii="宋体" w:hAnsi="宋体" w:eastAsia="宋体" w:cs="宋体"/>
          <w:bCs/>
          <w:color w:val="auto"/>
          <w:sz w:val="22"/>
          <w:szCs w:val="22"/>
          <w:highlight w:val="none"/>
        </w:rPr>
        <w:t>.6 不</w:t>
      </w:r>
      <w:bookmarkEnd w:id="194"/>
      <w:bookmarkEnd w:id="195"/>
      <w:bookmarkEnd w:id="196"/>
      <w:bookmarkEnd w:id="197"/>
      <w:bookmarkEnd w:id="198"/>
      <w:bookmarkEnd w:id="199"/>
      <w:r>
        <w:rPr>
          <w:rFonts w:hint="eastAsia" w:ascii="宋体" w:hAnsi="宋体" w:eastAsia="宋体" w:cs="宋体"/>
          <w:bCs/>
          <w:color w:val="auto"/>
          <w:sz w:val="22"/>
          <w:szCs w:val="22"/>
          <w:highlight w:val="none"/>
        </w:rPr>
        <w:t>利物质条件</w:t>
      </w:r>
    </w:p>
    <w:p w14:paraId="558293F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bookmarkStart w:id="200" w:name="_Toc300934972"/>
      <w:bookmarkStart w:id="201" w:name="_Toc297216179"/>
      <w:bookmarkStart w:id="202" w:name="_Toc297123520"/>
      <w:bookmarkStart w:id="203" w:name="_Toc303539129"/>
      <w:bookmarkStart w:id="204" w:name="_Toc318581172"/>
      <w:bookmarkStart w:id="205" w:name="_Toc312678016"/>
      <w:bookmarkStart w:id="206" w:name="_Toc304295550"/>
      <w:r>
        <w:rPr>
          <w:rFonts w:hint="eastAsia" w:ascii="宋体" w:hAnsi="宋体" w:eastAsia="宋体" w:cs="宋体"/>
          <w:bCs/>
          <w:color w:val="auto"/>
          <w:sz w:val="22"/>
          <w:szCs w:val="22"/>
          <w:highlight w:val="none"/>
        </w:rPr>
        <w:t>不利物质条件的其他情形和有关约定：</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bookmarkEnd w:id="200"/>
    <w:bookmarkEnd w:id="201"/>
    <w:bookmarkEnd w:id="202"/>
    <w:bookmarkEnd w:id="203"/>
    <w:bookmarkEnd w:id="204"/>
    <w:bookmarkEnd w:id="205"/>
    <w:bookmarkEnd w:id="206"/>
    <w:p w14:paraId="1963EA80">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w:t>
      </w:r>
      <w:bookmarkStart w:id="207" w:name="_Toc303539130"/>
      <w:bookmarkStart w:id="208" w:name="_Toc300934973"/>
      <w:bookmarkStart w:id="209" w:name="_Toc304295551"/>
      <w:bookmarkStart w:id="210" w:name="_Toc297123521"/>
      <w:bookmarkStart w:id="211" w:name="_Toc297216180"/>
      <w:bookmarkStart w:id="212" w:name="_Toc312678017"/>
      <w:r>
        <w:rPr>
          <w:rFonts w:hint="eastAsia" w:ascii="宋体" w:hAnsi="宋体" w:eastAsia="宋体" w:cs="宋体"/>
          <w:bCs/>
          <w:color w:val="auto"/>
          <w:sz w:val="22"/>
          <w:szCs w:val="22"/>
          <w:highlight w:val="none"/>
        </w:rPr>
        <w:t>.7异常恶劣的气候条件</w:t>
      </w:r>
    </w:p>
    <w:bookmarkEnd w:id="207"/>
    <w:bookmarkEnd w:id="208"/>
    <w:bookmarkEnd w:id="209"/>
    <w:bookmarkEnd w:id="210"/>
    <w:bookmarkEnd w:id="211"/>
    <w:bookmarkEnd w:id="212"/>
    <w:p w14:paraId="47117F3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甲方和乙方同意以下情形视为异常恶劣的气候条件：</w:t>
      </w:r>
    </w:p>
    <w:p w14:paraId="14283AA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4C74FDD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3A99BFC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310FCDBA">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7.9 提前竣工的奖励</w:t>
      </w:r>
    </w:p>
    <w:p w14:paraId="1826388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7.9.2提前竣工的奖励：</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2DBFD967">
      <w:pPr>
        <w:adjustRightInd w:val="0"/>
        <w:snapToGrid w:val="0"/>
        <w:spacing w:line="312" w:lineRule="auto"/>
        <w:rPr>
          <w:rFonts w:hint="eastAsia" w:ascii="宋体" w:hAnsi="宋体" w:eastAsia="宋体" w:cs="宋体"/>
          <w:bCs/>
          <w:color w:val="auto"/>
          <w:sz w:val="22"/>
          <w:szCs w:val="22"/>
          <w:highlight w:val="none"/>
        </w:rPr>
      </w:pPr>
      <w:bookmarkStart w:id="213" w:name="_Toc351203640"/>
      <w:r>
        <w:rPr>
          <w:rFonts w:hint="eastAsia" w:ascii="宋体" w:hAnsi="宋体" w:eastAsia="宋体" w:cs="宋体"/>
          <w:bCs/>
          <w:color w:val="auto"/>
          <w:sz w:val="22"/>
          <w:szCs w:val="22"/>
          <w:highlight w:val="none"/>
        </w:rPr>
        <w:t>8. 材料与设备</w:t>
      </w:r>
      <w:bookmarkEnd w:id="213"/>
    </w:p>
    <w:bookmarkEnd w:id="148"/>
    <w:bookmarkEnd w:id="149"/>
    <w:bookmarkEnd w:id="150"/>
    <w:bookmarkEnd w:id="151"/>
    <w:bookmarkEnd w:id="152"/>
    <w:bookmarkEnd w:id="153"/>
    <w:bookmarkEnd w:id="154"/>
    <w:bookmarkEnd w:id="155"/>
    <w:bookmarkEnd w:id="156"/>
    <w:bookmarkEnd w:id="157"/>
    <w:p w14:paraId="127336F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w:t>
      </w:r>
      <w:bookmarkStart w:id="214" w:name="_Toc296944506"/>
      <w:bookmarkStart w:id="215" w:name="_Toc292559877"/>
      <w:bookmarkStart w:id="216" w:name="_Toc280868654"/>
      <w:bookmarkStart w:id="217" w:name="_Toc312677493"/>
      <w:bookmarkStart w:id="218" w:name="_Toc304295556"/>
      <w:bookmarkStart w:id="219" w:name="_Toc300934979"/>
      <w:bookmarkStart w:id="220" w:name="_Toc297216186"/>
      <w:bookmarkStart w:id="221" w:name="_Toc296503167"/>
      <w:bookmarkStart w:id="222" w:name="_Toc297048353"/>
      <w:bookmarkStart w:id="223" w:name="_Toc312678019"/>
      <w:bookmarkStart w:id="224" w:name="_Toc296891207"/>
      <w:bookmarkStart w:id="225" w:name="_Toc296347166"/>
      <w:bookmarkStart w:id="226" w:name="_Toc303539136"/>
      <w:bookmarkStart w:id="227" w:name="_Toc296890995"/>
      <w:bookmarkStart w:id="228" w:name="_Toc297120467"/>
      <w:bookmarkStart w:id="229" w:name="_Toc297123527"/>
      <w:bookmarkStart w:id="230" w:name="_Toc296346668"/>
      <w:bookmarkStart w:id="231" w:name="_Toc292559372"/>
      <w:bookmarkStart w:id="232" w:name="_Toc267251424"/>
      <w:bookmarkStart w:id="233" w:name="_Toc280868655"/>
      <w:bookmarkStart w:id="234" w:name="_Toc280868656"/>
      <w:r>
        <w:rPr>
          <w:rFonts w:hint="eastAsia" w:ascii="宋体" w:hAnsi="宋体" w:eastAsia="宋体" w:cs="宋体"/>
          <w:bCs/>
          <w:color w:val="auto"/>
          <w:sz w:val="22"/>
          <w:szCs w:val="22"/>
          <w:highlight w:val="none"/>
        </w:rPr>
        <w:t>.4材料与工程设备的保管与使用</w:t>
      </w:r>
    </w:p>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14:paraId="23202F0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w:t>
      </w:r>
      <w:bookmarkStart w:id="235" w:name="_Toc292559878"/>
      <w:bookmarkStart w:id="236" w:name="_Toc292559373"/>
      <w:bookmarkStart w:id="237" w:name="_Toc297120468"/>
      <w:bookmarkStart w:id="238" w:name="_Toc296346669"/>
      <w:bookmarkStart w:id="239" w:name="_Toc297048354"/>
      <w:bookmarkStart w:id="240" w:name="_Toc296890996"/>
      <w:bookmarkStart w:id="241" w:name="_Toc296347167"/>
      <w:bookmarkStart w:id="242" w:name="_Toc296891208"/>
      <w:bookmarkStart w:id="243" w:name="_Toc312678020"/>
      <w:bookmarkStart w:id="244" w:name="_Toc304295557"/>
      <w:bookmarkStart w:id="245" w:name="_Toc296503168"/>
      <w:bookmarkStart w:id="246" w:name="_Toc312677494"/>
      <w:bookmarkStart w:id="247" w:name="_Toc297123528"/>
      <w:bookmarkStart w:id="248" w:name="_Toc303539137"/>
      <w:bookmarkStart w:id="249" w:name="_Toc297216187"/>
      <w:bookmarkStart w:id="250" w:name="_Toc296944507"/>
      <w:bookmarkStart w:id="251" w:name="_Toc300934980"/>
      <w:bookmarkStart w:id="252" w:name="_Toc318581173"/>
      <w:r>
        <w:rPr>
          <w:rFonts w:hint="eastAsia" w:ascii="宋体" w:hAnsi="宋体" w:eastAsia="宋体" w:cs="宋体"/>
          <w:bCs/>
          <w:color w:val="auto"/>
          <w:sz w:val="22"/>
          <w:szCs w:val="22"/>
          <w:highlight w:val="none"/>
        </w:rPr>
        <w:t>.4.1甲方供应的材料设备的保管费用的承担：</w:t>
      </w:r>
    </w:p>
    <w:p w14:paraId="551F2E9D">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（1）采购时已明确由甲方供应的材料设备保管费用、安装过程中的二次搬运和设备就位费、检验试验费由乙方响应时报价包干；</w:t>
      </w:r>
    </w:p>
    <w:p w14:paraId="1833A8C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（2）因乙方原因发生材料丢失损坏，由乙方负责赔偿。</w:t>
      </w:r>
      <w:bookmarkEnd w:id="235"/>
      <w:bookmarkEnd w:id="236"/>
    </w:p>
    <w:p w14:paraId="7D165B07">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8.6 样品</w:t>
      </w:r>
    </w:p>
    <w:p w14:paraId="73B8BCEB">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8.6.1</w:t>
      </w:r>
      <w:r>
        <w:rPr>
          <w:rFonts w:hint="eastAsia" w:ascii="宋体" w:hAnsi="宋体" w:eastAsia="宋体" w:cs="宋体"/>
          <w:bCs/>
          <w:color w:val="auto"/>
          <w:kern w:val="0"/>
          <w:sz w:val="22"/>
          <w:szCs w:val="22"/>
          <w:highlight w:val="none"/>
        </w:rPr>
        <w:tab/>
      </w:r>
      <w:r>
        <w:rPr>
          <w:rFonts w:hint="eastAsia" w:ascii="宋体" w:hAnsi="宋体" w:eastAsia="宋体" w:cs="宋体"/>
          <w:bCs/>
          <w:color w:val="auto"/>
          <w:kern w:val="0"/>
          <w:sz w:val="22"/>
          <w:szCs w:val="22"/>
          <w:highlight w:val="none"/>
        </w:rPr>
        <w:t>样品的报送与封存</w:t>
      </w:r>
    </w:p>
    <w:p w14:paraId="0B272D4D">
      <w:pPr>
        <w:autoSpaceDE w:val="0"/>
        <w:autoSpaceDN w:val="0"/>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需要乙方报送样品的材料或工程设备，样品的种类、名称、规格、数量要求：</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sz w:val="22"/>
          <w:szCs w:val="22"/>
          <w:highlight w:val="none"/>
        </w:rPr>
        <w:t>。</w:t>
      </w:r>
    </w:p>
    <w:p w14:paraId="0370ECCE">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8.8 施工设备和临时设施</w:t>
      </w:r>
    </w:p>
    <w:p w14:paraId="0269B53B">
      <w:pPr>
        <w:autoSpaceDE w:val="0"/>
        <w:autoSpaceDN w:val="0"/>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8.8.1 乙方提供的施工设备和临时设施</w:t>
      </w:r>
    </w:p>
    <w:p w14:paraId="14282BDD">
      <w:pPr>
        <w:autoSpaceDE w:val="0"/>
        <w:autoSpaceDN w:val="0"/>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关于修建临时设施费用承担的约定：</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14:paraId="35F45567">
      <w:pPr>
        <w:adjustRightInd w:val="0"/>
        <w:snapToGrid w:val="0"/>
        <w:spacing w:line="312" w:lineRule="auto"/>
        <w:rPr>
          <w:rFonts w:hint="eastAsia" w:ascii="宋体" w:hAnsi="宋体" w:eastAsia="宋体" w:cs="宋体"/>
          <w:bCs/>
          <w:color w:val="auto"/>
          <w:sz w:val="22"/>
          <w:szCs w:val="22"/>
          <w:highlight w:val="none"/>
        </w:rPr>
      </w:pPr>
      <w:bookmarkStart w:id="253" w:name="_Toc351203641"/>
      <w:r>
        <w:rPr>
          <w:rFonts w:hint="eastAsia" w:ascii="宋体" w:hAnsi="宋体" w:eastAsia="宋体" w:cs="宋体"/>
          <w:bCs/>
          <w:color w:val="auto"/>
          <w:sz w:val="22"/>
          <w:szCs w:val="22"/>
          <w:highlight w:val="none"/>
        </w:rPr>
        <w:t>9</w:t>
      </w:r>
      <w:bookmarkEnd w:id="232"/>
      <w:bookmarkEnd w:id="233"/>
      <w:bookmarkEnd w:id="234"/>
      <w:bookmarkStart w:id="254" w:name="_Toc297123533"/>
      <w:bookmarkStart w:id="255" w:name="_Toc303539139"/>
      <w:bookmarkStart w:id="256" w:name="_Toc300934982"/>
      <w:bookmarkStart w:id="257" w:name="_Toc312677495"/>
      <w:bookmarkStart w:id="258" w:name="_Toc297216192"/>
      <w:bookmarkStart w:id="259" w:name="_Toc304295559"/>
      <w:bookmarkStart w:id="260" w:name="_Toc312678021"/>
      <w:bookmarkStart w:id="261" w:name="_Toc267251428"/>
      <w:bookmarkStart w:id="262" w:name="_Toc296891213"/>
      <w:bookmarkStart w:id="263" w:name="_Toc292559883"/>
      <w:bookmarkStart w:id="264" w:name="_Toc292559378"/>
      <w:bookmarkStart w:id="265" w:name="_Toc267251427"/>
      <w:bookmarkStart w:id="266" w:name="_Toc296346674"/>
      <w:bookmarkStart w:id="267" w:name="_Toc296503173"/>
      <w:bookmarkStart w:id="268" w:name="_Toc297120473"/>
      <w:bookmarkStart w:id="269" w:name="_Toc296347172"/>
      <w:bookmarkStart w:id="270" w:name="_Toc296891001"/>
      <w:bookmarkStart w:id="271" w:name="_Toc296944512"/>
      <w:bookmarkStart w:id="272" w:name="_Toc297048359"/>
      <w:r>
        <w:rPr>
          <w:rFonts w:hint="eastAsia" w:ascii="宋体" w:hAnsi="宋体" w:eastAsia="宋体" w:cs="宋体"/>
          <w:bCs/>
          <w:color w:val="auto"/>
          <w:sz w:val="22"/>
          <w:szCs w:val="22"/>
          <w:highlight w:val="none"/>
        </w:rPr>
        <w:t>. 试验与检验</w:t>
      </w:r>
      <w:bookmarkEnd w:id="253"/>
    </w:p>
    <w:bookmarkEnd w:id="254"/>
    <w:bookmarkEnd w:id="255"/>
    <w:bookmarkEnd w:id="256"/>
    <w:bookmarkEnd w:id="257"/>
    <w:bookmarkEnd w:id="258"/>
    <w:bookmarkEnd w:id="259"/>
    <w:bookmarkEnd w:id="260"/>
    <w:p w14:paraId="696025D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w:t>
      </w:r>
      <w:bookmarkStart w:id="273" w:name="_Toc304295560"/>
      <w:bookmarkStart w:id="274" w:name="_Toc312678022"/>
      <w:bookmarkStart w:id="275" w:name="_Toc297216193"/>
      <w:bookmarkStart w:id="276" w:name="_Toc303539140"/>
      <w:bookmarkStart w:id="277" w:name="_Toc300934983"/>
      <w:bookmarkStart w:id="278" w:name="_Toc312677496"/>
      <w:bookmarkStart w:id="279" w:name="_Toc297123534"/>
      <w:r>
        <w:rPr>
          <w:rFonts w:hint="eastAsia" w:ascii="宋体" w:hAnsi="宋体" w:eastAsia="宋体" w:cs="宋体"/>
          <w:bCs/>
          <w:color w:val="auto"/>
          <w:sz w:val="22"/>
          <w:szCs w:val="22"/>
          <w:highlight w:val="none"/>
        </w:rPr>
        <w:t>.1试验设备与试验人员</w:t>
      </w:r>
    </w:p>
    <w:bookmarkEnd w:id="273"/>
    <w:bookmarkEnd w:id="274"/>
    <w:bookmarkEnd w:id="275"/>
    <w:bookmarkEnd w:id="276"/>
    <w:bookmarkEnd w:id="277"/>
    <w:bookmarkEnd w:id="278"/>
    <w:bookmarkEnd w:id="279"/>
    <w:p w14:paraId="03B5FE8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w:t>
      </w:r>
      <w:bookmarkStart w:id="280" w:name="_Toc303539141"/>
      <w:bookmarkStart w:id="281" w:name="_Toc304295561"/>
      <w:bookmarkStart w:id="282" w:name="_Toc300934984"/>
      <w:bookmarkStart w:id="283" w:name="_Toc312677497"/>
      <w:bookmarkStart w:id="284" w:name="_Toc297123535"/>
      <w:bookmarkStart w:id="285" w:name="_Toc312678023"/>
      <w:bookmarkStart w:id="286" w:name="_Toc297216194"/>
      <w:bookmarkStart w:id="287" w:name="_Toc318581174"/>
      <w:r>
        <w:rPr>
          <w:rFonts w:hint="eastAsia" w:ascii="宋体" w:hAnsi="宋体" w:eastAsia="宋体" w:cs="宋体"/>
          <w:bCs/>
          <w:color w:val="auto"/>
          <w:sz w:val="22"/>
          <w:szCs w:val="22"/>
          <w:highlight w:val="none"/>
        </w:rPr>
        <w:t>.1.2 试验设备</w:t>
      </w:r>
    </w:p>
    <w:p w14:paraId="35CEFB3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施工现场需要配置的试验场所：</w:t>
      </w:r>
      <w:bookmarkEnd w:id="280"/>
      <w:bookmarkEnd w:id="281"/>
      <w:bookmarkEnd w:id="282"/>
      <w:bookmarkEnd w:id="283"/>
      <w:bookmarkEnd w:id="284"/>
      <w:bookmarkEnd w:id="285"/>
      <w:bookmarkEnd w:id="286"/>
      <w:bookmarkStart w:id="288" w:name="_Toc297216195"/>
      <w:bookmarkStart w:id="289" w:name="_Toc303539142"/>
      <w:bookmarkStart w:id="290" w:name="_Toc304295562"/>
      <w:bookmarkStart w:id="291" w:name="_Toc312677498"/>
      <w:bookmarkStart w:id="292" w:name="_Toc312678024"/>
      <w:bookmarkStart w:id="293" w:name="_Toc297123536"/>
      <w:bookmarkStart w:id="294" w:name="_Toc300934985"/>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 xml:space="preserve">。 </w:t>
      </w:r>
    </w:p>
    <w:p w14:paraId="5FD4AF5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施工现场需要配备的试验设备：</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2B75548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施工现场需要具备的其他试验条件：</w:t>
      </w:r>
      <w:r>
        <w:rPr>
          <w:rFonts w:hint="eastAsia" w:ascii="宋体" w:hAnsi="宋体" w:eastAsia="宋体" w:cs="宋体"/>
          <w:bCs/>
          <w:color w:val="auto"/>
          <w:sz w:val="22"/>
          <w:szCs w:val="22"/>
          <w:highlight w:val="none"/>
          <w:u w:val="single"/>
        </w:rPr>
        <w:t>所有试车费用乙方已在响应报价中包干</w:t>
      </w:r>
      <w:r>
        <w:rPr>
          <w:rFonts w:hint="eastAsia" w:ascii="宋体" w:hAnsi="宋体" w:eastAsia="宋体" w:cs="宋体"/>
          <w:bCs/>
          <w:color w:val="auto"/>
          <w:sz w:val="22"/>
          <w:szCs w:val="22"/>
          <w:highlight w:val="none"/>
        </w:rPr>
        <w:t>。</w:t>
      </w:r>
    </w:p>
    <w:p w14:paraId="0773B1F7">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9.4 现场工艺试验 </w:t>
      </w:r>
    </w:p>
    <w:p w14:paraId="5031A74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现场工艺试验的有关约定：</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bookmarkEnd w:id="287"/>
    <w:bookmarkEnd w:id="288"/>
    <w:bookmarkEnd w:id="289"/>
    <w:bookmarkEnd w:id="290"/>
    <w:bookmarkEnd w:id="291"/>
    <w:bookmarkEnd w:id="292"/>
    <w:bookmarkEnd w:id="293"/>
    <w:bookmarkEnd w:id="294"/>
    <w:p w14:paraId="259CC5DE">
      <w:pPr>
        <w:adjustRightInd w:val="0"/>
        <w:snapToGrid w:val="0"/>
        <w:spacing w:line="312" w:lineRule="auto"/>
        <w:rPr>
          <w:rFonts w:hint="eastAsia" w:ascii="宋体" w:hAnsi="宋体" w:eastAsia="宋体" w:cs="宋体"/>
          <w:bCs/>
          <w:color w:val="auto"/>
          <w:sz w:val="22"/>
          <w:szCs w:val="22"/>
          <w:highlight w:val="none"/>
        </w:rPr>
      </w:pPr>
      <w:bookmarkStart w:id="295" w:name="_Toc351203642"/>
      <w:r>
        <w:rPr>
          <w:rFonts w:hint="eastAsia" w:ascii="宋体" w:hAnsi="宋体" w:eastAsia="宋体" w:cs="宋体"/>
          <w:bCs/>
          <w:color w:val="auto"/>
          <w:sz w:val="22"/>
          <w:szCs w:val="22"/>
          <w:highlight w:val="none"/>
        </w:rPr>
        <w:t>1</w:t>
      </w:r>
      <w:bookmarkEnd w:id="261"/>
      <w:bookmarkEnd w:id="262"/>
      <w:bookmarkEnd w:id="263"/>
      <w:bookmarkEnd w:id="264"/>
      <w:bookmarkEnd w:id="265"/>
      <w:bookmarkEnd w:id="266"/>
      <w:bookmarkEnd w:id="267"/>
      <w:bookmarkEnd w:id="268"/>
      <w:bookmarkEnd w:id="269"/>
      <w:bookmarkEnd w:id="270"/>
      <w:bookmarkEnd w:id="271"/>
      <w:bookmarkEnd w:id="272"/>
      <w:bookmarkStart w:id="296" w:name="_Toc297048379"/>
      <w:bookmarkStart w:id="297" w:name="_Toc297216199"/>
      <w:bookmarkStart w:id="298" w:name="_Toc296346694"/>
      <w:bookmarkStart w:id="299" w:name="_Toc296944532"/>
      <w:bookmarkStart w:id="300" w:name="_Toc296503193"/>
      <w:bookmarkStart w:id="301" w:name="_Toc300934989"/>
      <w:bookmarkStart w:id="302" w:name="_Toc292559903"/>
      <w:bookmarkStart w:id="303" w:name="_Toc296891233"/>
      <w:bookmarkStart w:id="304" w:name="_Toc296347192"/>
      <w:bookmarkStart w:id="305" w:name="_Toc296891021"/>
      <w:bookmarkStart w:id="306" w:name="_Toc303539146"/>
      <w:bookmarkStart w:id="307" w:name="_Toc292559398"/>
      <w:bookmarkStart w:id="308" w:name="_Toc297123540"/>
      <w:bookmarkStart w:id="309" w:name="_Toc297120493"/>
      <w:bookmarkStart w:id="310" w:name="_Toc304295566"/>
      <w:bookmarkStart w:id="311" w:name="_Toc312677499"/>
      <w:bookmarkStart w:id="312" w:name="_Toc312678025"/>
      <w:bookmarkStart w:id="313" w:name="_Toc267251433"/>
      <w:bookmarkStart w:id="314" w:name="_Toc267251437"/>
      <w:bookmarkStart w:id="315" w:name="_Toc267251435"/>
      <w:bookmarkStart w:id="316" w:name="_Toc267251439"/>
      <w:bookmarkStart w:id="317" w:name="_Toc267251440"/>
      <w:bookmarkStart w:id="318" w:name="_Toc267251441"/>
      <w:bookmarkStart w:id="319" w:name="_Toc267251442"/>
      <w:r>
        <w:rPr>
          <w:rFonts w:hint="eastAsia" w:ascii="宋体" w:hAnsi="宋体" w:eastAsia="宋体" w:cs="宋体"/>
          <w:bCs/>
          <w:color w:val="auto"/>
          <w:sz w:val="22"/>
          <w:szCs w:val="22"/>
          <w:highlight w:val="none"/>
        </w:rPr>
        <w:t>0. 变更</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bookmarkEnd w:id="311"/>
    <w:bookmarkEnd w:id="312"/>
    <w:p w14:paraId="4B054EE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Start w:id="320" w:name="_Toc297048380"/>
      <w:bookmarkStart w:id="321" w:name="_Toc296944533"/>
      <w:bookmarkStart w:id="322" w:name="_Toc296346695"/>
      <w:bookmarkStart w:id="323" w:name="_Toc296347193"/>
      <w:bookmarkStart w:id="324" w:name="_Toc312677500"/>
      <w:bookmarkStart w:id="325" w:name="_Toc303539147"/>
      <w:bookmarkStart w:id="326" w:name="_Toc304295567"/>
      <w:bookmarkStart w:id="327" w:name="_Toc297123541"/>
      <w:bookmarkStart w:id="328" w:name="_Toc296503194"/>
      <w:bookmarkStart w:id="329" w:name="_Toc296891022"/>
      <w:bookmarkStart w:id="330" w:name="_Toc300934990"/>
      <w:bookmarkStart w:id="331" w:name="_Toc312678026"/>
      <w:bookmarkStart w:id="332" w:name="_Toc292559399"/>
      <w:bookmarkStart w:id="333" w:name="_Toc297120494"/>
      <w:bookmarkStart w:id="334" w:name="_Toc292559904"/>
      <w:bookmarkStart w:id="335" w:name="_Toc297216200"/>
      <w:bookmarkStart w:id="336" w:name="_Toc296891234"/>
      <w:r>
        <w:rPr>
          <w:rFonts w:hint="eastAsia" w:ascii="宋体" w:hAnsi="宋体" w:eastAsia="宋体" w:cs="宋体"/>
          <w:bCs/>
          <w:color w:val="auto"/>
          <w:sz w:val="22"/>
          <w:szCs w:val="22"/>
          <w:highlight w:val="none"/>
        </w:rPr>
        <w:t>0.1变更的范围</w:t>
      </w:r>
    </w:p>
    <w:p w14:paraId="4C3AD2F1">
      <w:pPr>
        <w:adjustRightInd w:val="0"/>
        <w:snapToGrid w:val="0"/>
        <w:spacing w:line="312" w:lineRule="auto"/>
        <w:ind w:firstLine="600"/>
        <w:jc w:val="left"/>
        <w:rPr>
          <w:rFonts w:hint="default" w:ascii="宋体" w:hAnsi="宋体" w:eastAsia="宋体" w:cs="宋体"/>
          <w:bCs/>
          <w:color w:val="auto"/>
          <w:sz w:val="22"/>
          <w:szCs w:val="22"/>
          <w:highlight w:val="none"/>
          <w:u w:val="single"/>
          <w:lang w:val="en-US" w:eastAsia="zh-CN"/>
        </w:rPr>
      </w:pPr>
      <w:r>
        <w:rPr>
          <w:rFonts w:hint="eastAsia" w:ascii="宋体" w:hAnsi="宋体" w:eastAsia="宋体" w:cs="宋体"/>
          <w:bCs/>
          <w:color w:val="auto"/>
          <w:sz w:val="22"/>
          <w:szCs w:val="22"/>
          <w:highlight w:val="none"/>
        </w:rPr>
        <w:t>关于变更的范围的约定：</w:t>
      </w:r>
      <w:r>
        <w:rPr>
          <w:rFonts w:hint="eastAsia" w:ascii="宋体" w:hAnsi="宋体" w:eastAsia="宋体" w:cs="宋体"/>
          <w:bCs/>
          <w:color w:val="auto"/>
          <w:sz w:val="22"/>
          <w:szCs w:val="22"/>
          <w:highlight w:val="none"/>
          <w:u w:val="single"/>
          <w:lang w:val="en-US" w:eastAsia="zh-CN"/>
        </w:rPr>
        <w:t>/,原则上工程量可增减，不在招标控制价中的项目不予增加。</w:t>
      </w:r>
    </w:p>
    <w:p w14:paraId="203B6A96">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10.4 变更估价</w:t>
      </w:r>
    </w:p>
    <w:p w14:paraId="7FF090A4">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10.4.1 变更估价原则</w:t>
      </w:r>
    </w:p>
    <w:p w14:paraId="248C5D76">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关于变更估价的约定:</w:t>
      </w:r>
      <w:r>
        <w:rPr>
          <w:rFonts w:hint="eastAsia" w:ascii="宋体" w:hAnsi="宋体" w:eastAsia="宋体" w:cs="宋体"/>
          <w:bCs/>
          <w:color w:val="auto"/>
          <w:sz w:val="22"/>
          <w:szCs w:val="22"/>
          <w:highlight w:val="none"/>
          <w:u w:val="single"/>
        </w:rPr>
        <w:t xml:space="preserve">政府采购合同履行中，采购人需要追加与合同标的相同的货物、工程或者服务的，在不改变合同其他条款的前提下，可以与中标、成交供应商协商签订补充合同，但所有补充合同的采购金额不得超过原合同采购金额的10%。 </w:t>
      </w:r>
    </w:p>
    <w:p w14:paraId="3C07CA86">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Start w:id="337" w:name="_Toc296347196"/>
      <w:bookmarkStart w:id="338" w:name="_Toc297123544"/>
      <w:bookmarkStart w:id="339" w:name="_Toc292559402"/>
      <w:bookmarkStart w:id="340" w:name="_Toc297120497"/>
      <w:bookmarkStart w:id="341" w:name="_Toc296944536"/>
      <w:bookmarkStart w:id="342" w:name="_Toc300934993"/>
      <w:bookmarkStart w:id="343" w:name="_Toc296891025"/>
      <w:bookmarkStart w:id="344" w:name="_Toc296503197"/>
      <w:bookmarkStart w:id="345" w:name="_Toc292559907"/>
      <w:bookmarkStart w:id="346" w:name="_Toc297048383"/>
      <w:bookmarkStart w:id="347" w:name="_Toc296891237"/>
      <w:bookmarkStart w:id="348" w:name="_Toc297216203"/>
      <w:bookmarkStart w:id="349" w:name="_Toc296346698"/>
      <w:bookmarkStart w:id="350" w:name="_Toc303539150"/>
      <w:bookmarkStart w:id="351" w:name="_Toc304295570"/>
      <w:bookmarkStart w:id="352" w:name="_Toc312678029"/>
      <w:bookmarkStart w:id="353" w:name="_Toc312677503"/>
      <w:r>
        <w:rPr>
          <w:rFonts w:hint="eastAsia" w:ascii="宋体" w:hAnsi="宋体" w:eastAsia="宋体" w:cs="宋体"/>
          <w:bCs/>
          <w:color w:val="auto"/>
          <w:sz w:val="22"/>
          <w:szCs w:val="22"/>
          <w:highlight w:val="none"/>
        </w:rPr>
        <w:t>0.5</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Start w:id="354" w:name="_Toc296347202"/>
      <w:bookmarkStart w:id="355" w:name="_Toc297120503"/>
      <w:bookmarkStart w:id="356" w:name="_Toc296944542"/>
      <w:bookmarkStart w:id="357" w:name="_Toc296503203"/>
      <w:bookmarkStart w:id="358" w:name="_Toc297216204"/>
      <w:bookmarkStart w:id="359" w:name="_Toc297048389"/>
      <w:bookmarkStart w:id="360" w:name="_Toc296891243"/>
      <w:bookmarkStart w:id="361" w:name="_Toc297123545"/>
      <w:bookmarkStart w:id="362" w:name="_Toc296346704"/>
      <w:bookmarkStart w:id="363" w:name="_Toc292559408"/>
      <w:bookmarkStart w:id="364" w:name="_Toc303539151"/>
      <w:bookmarkStart w:id="365" w:name="_Toc296891031"/>
      <w:bookmarkStart w:id="366" w:name="_Toc292559913"/>
      <w:bookmarkStart w:id="367" w:name="_Toc300934994"/>
      <w:r>
        <w:rPr>
          <w:rFonts w:hint="eastAsia" w:ascii="宋体" w:hAnsi="宋体" w:eastAsia="宋体" w:cs="宋体"/>
          <w:bCs/>
          <w:color w:val="auto"/>
          <w:sz w:val="22"/>
          <w:szCs w:val="22"/>
          <w:highlight w:val="none"/>
        </w:rPr>
        <w:t>乙方的合理化建议</w:t>
      </w:r>
    </w:p>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14:paraId="22A166A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监理人审查乙方合理化建议的期限：</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0ABE628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甲方审批乙方合理化建议的期限：</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p w14:paraId="6DEF087E">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bookmarkStart w:id="368" w:name="_Toc296891032"/>
      <w:bookmarkStart w:id="369" w:name="_Toc296347203"/>
      <w:bookmarkStart w:id="370" w:name="_Toc300934995"/>
      <w:bookmarkStart w:id="371" w:name="_Toc292559409"/>
      <w:bookmarkStart w:id="372" w:name="_Toc297123546"/>
      <w:bookmarkStart w:id="373" w:name="_Toc303539152"/>
      <w:bookmarkStart w:id="374" w:name="_Toc297216205"/>
      <w:bookmarkStart w:id="375" w:name="_Toc297120504"/>
      <w:bookmarkStart w:id="376" w:name="_Toc296346705"/>
      <w:bookmarkStart w:id="377" w:name="_Toc296891244"/>
      <w:bookmarkStart w:id="378" w:name="_Toc296944543"/>
      <w:bookmarkStart w:id="379" w:name="_Toc318581175"/>
      <w:bookmarkStart w:id="380" w:name="_Toc312678030"/>
      <w:bookmarkStart w:id="381" w:name="_Toc304295571"/>
      <w:bookmarkStart w:id="382" w:name="_Toc296503204"/>
      <w:bookmarkStart w:id="383" w:name="_Toc297048390"/>
      <w:bookmarkStart w:id="384" w:name="_Toc312677504"/>
      <w:bookmarkStart w:id="385" w:name="_Toc292559914"/>
      <w:r>
        <w:rPr>
          <w:rFonts w:hint="eastAsia" w:ascii="宋体" w:hAnsi="宋体" w:eastAsia="宋体" w:cs="宋体"/>
          <w:bCs/>
          <w:color w:val="auto"/>
          <w:sz w:val="22"/>
          <w:szCs w:val="22"/>
          <w:highlight w:val="none"/>
        </w:rPr>
        <w:t>乙方提出的合理化建议降低了合同价格或者提高了工程经济效益的奖励的方法和金额为：</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14:paraId="5875F795">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Start w:id="386" w:name="_Toc296944538"/>
      <w:bookmarkStart w:id="387" w:name="_Toc296346700"/>
      <w:bookmarkStart w:id="388" w:name="_Toc312678033"/>
      <w:bookmarkStart w:id="389" w:name="_Toc296891239"/>
      <w:bookmarkStart w:id="390" w:name="_Toc297048385"/>
      <w:bookmarkStart w:id="391" w:name="_Toc297123548"/>
      <w:bookmarkStart w:id="392" w:name="_Toc296347198"/>
      <w:bookmarkStart w:id="393" w:name="_Toc300934997"/>
      <w:bookmarkStart w:id="394" w:name="_Toc296503199"/>
      <w:bookmarkStart w:id="395" w:name="_Toc297216207"/>
      <w:bookmarkStart w:id="396" w:name="_Toc312677507"/>
      <w:bookmarkStart w:id="397" w:name="_Toc292559909"/>
      <w:bookmarkStart w:id="398" w:name="_Toc292559404"/>
      <w:bookmarkStart w:id="399" w:name="_Toc297120499"/>
      <w:bookmarkStart w:id="400" w:name="_Toc296891027"/>
      <w:bookmarkStart w:id="401" w:name="_Toc304295574"/>
      <w:bookmarkStart w:id="402" w:name="_Toc303539154"/>
      <w:r>
        <w:rPr>
          <w:rFonts w:hint="eastAsia" w:ascii="宋体" w:hAnsi="宋体" w:eastAsia="宋体" w:cs="宋体"/>
          <w:bCs/>
          <w:color w:val="auto"/>
          <w:sz w:val="22"/>
          <w:szCs w:val="22"/>
          <w:highlight w:val="none"/>
        </w:rPr>
        <w:t>0.7 暂估价</w:t>
      </w:r>
    </w:p>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14:paraId="6EA0050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Start w:id="403" w:name="_Toc312677509"/>
      <w:bookmarkStart w:id="404" w:name="_Toc318581177"/>
      <w:bookmarkStart w:id="405" w:name="_Toc312678035"/>
      <w:r>
        <w:rPr>
          <w:rFonts w:hint="eastAsia" w:ascii="宋体" w:hAnsi="宋体" w:eastAsia="宋体" w:cs="宋体"/>
          <w:bCs/>
          <w:color w:val="auto"/>
          <w:sz w:val="22"/>
          <w:szCs w:val="22"/>
          <w:highlight w:val="none"/>
        </w:rPr>
        <w:t>0.7.1 依法必须采购的暂估价项目</w:t>
      </w:r>
    </w:p>
    <w:bookmarkEnd w:id="403"/>
    <w:bookmarkEnd w:id="404"/>
    <w:bookmarkEnd w:id="405"/>
    <w:p w14:paraId="7D9C2A7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对于依法必须采购的暂估价项目的确认和批准采取第</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种方式确定。</w:t>
      </w:r>
    </w:p>
    <w:p w14:paraId="74BCDDA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10.7.2 不属于依法必须采购的暂估价项目</w:t>
      </w:r>
    </w:p>
    <w:p w14:paraId="69D4433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对于不属于依法必须采购的暂估价项目的确认和批准采取第</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 xml:space="preserve"> 种方式确定。</w:t>
      </w:r>
    </w:p>
    <w:p w14:paraId="523525E9">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第3种方式：</w:t>
      </w:r>
      <w:r>
        <w:rPr>
          <w:rFonts w:hint="eastAsia" w:ascii="宋体" w:hAnsi="宋体" w:eastAsia="宋体" w:cs="宋体"/>
          <w:bCs/>
          <w:color w:val="auto"/>
          <w:kern w:val="0"/>
          <w:sz w:val="22"/>
          <w:szCs w:val="22"/>
          <w:highlight w:val="none"/>
        </w:rPr>
        <w:t>乙方直接实施的暂估价项目</w:t>
      </w:r>
    </w:p>
    <w:p w14:paraId="52E9385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乙方直接实施的暂估价项目的约定：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2E7E2DD4">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10.8 暂列金额</w:t>
      </w:r>
    </w:p>
    <w:p w14:paraId="42230F95">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合同当事人关于暂列金额使用的约定：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kern w:val="0"/>
          <w:sz w:val="22"/>
          <w:szCs w:val="22"/>
          <w:highlight w:val="none"/>
        </w:rPr>
        <w:t>。</w:t>
      </w:r>
    </w:p>
    <w:p w14:paraId="3AB5E944">
      <w:pPr>
        <w:adjustRightInd w:val="0"/>
        <w:snapToGrid w:val="0"/>
        <w:spacing w:line="312" w:lineRule="auto"/>
        <w:rPr>
          <w:rFonts w:hint="eastAsia" w:ascii="宋体" w:hAnsi="宋体" w:eastAsia="宋体" w:cs="宋体"/>
          <w:bCs/>
          <w:color w:val="auto"/>
          <w:sz w:val="22"/>
          <w:szCs w:val="22"/>
          <w:highlight w:val="none"/>
        </w:rPr>
      </w:pPr>
      <w:bookmarkStart w:id="406" w:name="_Toc351203643"/>
      <w:r>
        <w:rPr>
          <w:rFonts w:hint="eastAsia" w:ascii="宋体" w:hAnsi="宋体" w:eastAsia="宋体" w:cs="宋体"/>
          <w:bCs/>
          <w:color w:val="auto"/>
          <w:sz w:val="22"/>
          <w:szCs w:val="22"/>
          <w:highlight w:val="none"/>
        </w:rPr>
        <w:t>11. 价格调整</w:t>
      </w:r>
      <w:bookmarkEnd w:id="406"/>
    </w:p>
    <w:p w14:paraId="178386A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bookmarkEnd w:id="313"/>
    <w:bookmarkEnd w:id="314"/>
    <w:bookmarkEnd w:id="315"/>
    <w:bookmarkEnd w:id="316"/>
    <w:bookmarkEnd w:id="317"/>
    <w:bookmarkEnd w:id="318"/>
    <w:p w14:paraId="692BF049">
      <w:pPr>
        <w:adjustRightInd w:val="0"/>
        <w:snapToGrid w:val="0"/>
        <w:spacing w:line="312" w:lineRule="auto"/>
        <w:rPr>
          <w:rFonts w:hint="eastAsia" w:ascii="宋体" w:hAnsi="宋体" w:eastAsia="宋体" w:cs="宋体"/>
          <w:bCs/>
          <w:color w:val="auto"/>
          <w:sz w:val="22"/>
          <w:szCs w:val="22"/>
          <w:highlight w:val="none"/>
        </w:rPr>
      </w:pPr>
      <w:bookmarkStart w:id="407" w:name="_Toc296891033"/>
      <w:bookmarkStart w:id="408" w:name="_Toc297048391"/>
      <w:bookmarkStart w:id="409" w:name="_Toc296346706"/>
      <w:bookmarkStart w:id="410" w:name="_Toc297120505"/>
      <w:bookmarkStart w:id="411" w:name="_Toc296891245"/>
      <w:bookmarkStart w:id="412" w:name="_Toc296503205"/>
      <w:bookmarkStart w:id="413" w:name="_Toc296347204"/>
      <w:bookmarkStart w:id="414" w:name="_Toc292559410"/>
      <w:bookmarkStart w:id="415" w:name="_Toc292559915"/>
      <w:bookmarkStart w:id="416" w:name="_Toc296944544"/>
      <w:bookmarkStart w:id="417" w:name="_Toc351203644"/>
      <w:bookmarkStart w:id="418" w:name="_Toc300935002"/>
      <w:bookmarkStart w:id="419" w:name="_Toc304295579"/>
      <w:bookmarkStart w:id="420" w:name="_Toc303539159"/>
      <w:bookmarkStart w:id="421" w:name="_Toc297216211"/>
      <w:bookmarkStart w:id="422" w:name="_Toc312678040"/>
      <w:bookmarkStart w:id="423" w:name="_Toc297123552"/>
      <w:r>
        <w:rPr>
          <w:rFonts w:hint="eastAsia" w:ascii="宋体" w:hAnsi="宋体" w:eastAsia="宋体" w:cs="宋体"/>
          <w:bCs/>
          <w:color w:val="auto"/>
          <w:sz w:val="22"/>
          <w:szCs w:val="22"/>
          <w:highlight w:val="none"/>
        </w:rPr>
        <w:t xml:space="preserve">12. </w:t>
      </w:r>
      <w:bookmarkEnd w:id="407"/>
      <w:bookmarkEnd w:id="408"/>
      <w:bookmarkEnd w:id="409"/>
      <w:bookmarkEnd w:id="410"/>
      <w:bookmarkEnd w:id="411"/>
      <w:bookmarkEnd w:id="412"/>
      <w:bookmarkEnd w:id="413"/>
      <w:bookmarkEnd w:id="414"/>
      <w:bookmarkEnd w:id="415"/>
      <w:bookmarkEnd w:id="416"/>
      <w:r>
        <w:rPr>
          <w:rFonts w:hint="eastAsia" w:ascii="宋体" w:hAnsi="宋体" w:eastAsia="宋体" w:cs="宋体"/>
          <w:bCs/>
          <w:color w:val="auto"/>
          <w:sz w:val="22"/>
          <w:szCs w:val="22"/>
          <w:highlight w:val="none"/>
        </w:rPr>
        <w:t>合同价格、计量与支付</w:t>
      </w:r>
      <w:bookmarkEnd w:id="417"/>
    </w:p>
    <w:bookmarkEnd w:id="418"/>
    <w:bookmarkEnd w:id="419"/>
    <w:bookmarkEnd w:id="420"/>
    <w:bookmarkEnd w:id="421"/>
    <w:bookmarkEnd w:id="422"/>
    <w:bookmarkEnd w:id="423"/>
    <w:p w14:paraId="08A6F548">
      <w:pPr>
        <w:adjustRightInd w:val="0"/>
        <w:snapToGrid w:val="0"/>
        <w:spacing w:line="312" w:lineRule="auto"/>
        <w:ind w:firstLine="440" w:firstLineChars="200"/>
        <w:rPr>
          <w:rFonts w:hint="eastAsia" w:ascii="宋体" w:hAnsi="宋体" w:eastAsia="宋体" w:cs="宋体"/>
          <w:bCs/>
          <w:color w:val="auto"/>
          <w:sz w:val="22"/>
          <w:szCs w:val="22"/>
          <w:highlight w:val="none"/>
        </w:rPr>
      </w:pPr>
      <w:bookmarkStart w:id="424" w:name="_Toc292559411"/>
      <w:bookmarkStart w:id="425" w:name="_Toc267251461"/>
      <w:bookmarkStart w:id="426" w:name="_Toc292559916"/>
      <w:bookmarkStart w:id="427" w:name="_Toc296503206"/>
      <w:bookmarkStart w:id="428" w:name="_Toc297048392"/>
      <w:bookmarkStart w:id="429" w:name="_Toc296891246"/>
      <w:bookmarkStart w:id="430" w:name="_Toc296891034"/>
      <w:bookmarkStart w:id="431" w:name="_Toc296347205"/>
      <w:bookmarkStart w:id="432" w:name="_Toc296944545"/>
      <w:bookmarkStart w:id="433" w:name="_Toc296346707"/>
      <w:bookmarkStart w:id="434" w:name="_Toc297120506"/>
      <w:bookmarkStart w:id="435" w:name="_Toc303539160"/>
      <w:bookmarkStart w:id="436" w:name="_Toc297216212"/>
      <w:bookmarkStart w:id="437" w:name="_Toc300935003"/>
      <w:bookmarkStart w:id="438" w:name="_Toc312678041"/>
      <w:bookmarkStart w:id="439" w:name="_Toc304295580"/>
      <w:bookmarkStart w:id="440" w:name="_Toc297123553"/>
      <w:r>
        <w:rPr>
          <w:rFonts w:hint="eastAsia" w:ascii="宋体" w:hAnsi="宋体" w:eastAsia="宋体" w:cs="宋体"/>
          <w:bCs/>
          <w:color w:val="auto"/>
          <w:sz w:val="22"/>
          <w:szCs w:val="22"/>
          <w:highlight w:val="none"/>
        </w:rPr>
        <w:t>12.1 合</w:t>
      </w:r>
      <w:bookmarkEnd w:id="424"/>
      <w:bookmarkEnd w:id="425"/>
      <w:bookmarkEnd w:id="426"/>
      <w:r>
        <w:rPr>
          <w:rFonts w:hint="eastAsia" w:ascii="宋体" w:hAnsi="宋体" w:eastAsia="宋体" w:cs="宋体"/>
          <w:bCs/>
          <w:color w:val="auto"/>
          <w:sz w:val="22"/>
          <w:szCs w:val="22"/>
          <w:highlight w:val="none"/>
        </w:rPr>
        <w:t>同价</w:t>
      </w:r>
      <w:bookmarkEnd w:id="427"/>
      <w:bookmarkEnd w:id="428"/>
      <w:bookmarkEnd w:id="429"/>
      <w:bookmarkEnd w:id="430"/>
      <w:bookmarkEnd w:id="431"/>
      <w:bookmarkEnd w:id="432"/>
      <w:bookmarkEnd w:id="433"/>
      <w:bookmarkEnd w:id="434"/>
      <w:r>
        <w:rPr>
          <w:rFonts w:hint="eastAsia" w:ascii="宋体" w:hAnsi="宋体" w:eastAsia="宋体" w:cs="宋体"/>
          <w:bCs/>
          <w:color w:val="auto"/>
          <w:sz w:val="22"/>
          <w:szCs w:val="22"/>
          <w:highlight w:val="none"/>
        </w:rPr>
        <w:t>格形式</w:t>
      </w:r>
    </w:p>
    <w:bookmarkEnd w:id="435"/>
    <w:bookmarkEnd w:id="436"/>
    <w:bookmarkEnd w:id="437"/>
    <w:bookmarkEnd w:id="438"/>
    <w:bookmarkEnd w:id="439"/>
    <w:bookmarkEnd w:id="440"/>
    <w:p w14:paraId="031A3BE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1、本合同为</w:t>
      </w:r>
      <w:r>
        <w:rPr>
          <w:rFonts w:hint="eastAsia" w:ascii="宋体" w:hAnsi="宋体" w:eastAsia="宋体" w:cs="宋体"/>
          <w:bCs/>
          <w:color w:val="auto"/>
          <w:sz w:val="22"/>
          <w:szCs w:val="22"/>
          <w:highlight w:val="none"/>
          <w:u w:val="single"/>
          <w:lang w:eastAsia="zh-CN"/>
        </w:rPr>
        <w:t>统一中标折扣率</w:t>
      </w:r>
      <w:r>
        <w:rPr>
          <w:rFonts w:hint="eastAsia" w:ascii="宋体" w:hAnsi="宋体" w:eastAsia="宋体" w:cs="宋体"/>
          <w:bCs/>
          <w:color w:val="auto"/>
          <w:sz w:val="22"/>
          <w:szCs w:val="22"/>
          <w:highlight w:val="none"/>
        </w:rPr>
        <w:t>。</w:t>
      </w:r>
    </w:p>
    <w:p w14:paraId="67D4825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综合单价包含的风险范围：</w:t>
      </w:r>
    </w:p>
    <w:p w14:paraId="57D59431">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a、除不可抗力外的各种自然灾害；</w:t>
      </w:r>
    </w:p>
    <w:p w14:paraId="435F8519">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b、安全生产文明施工不当引起的责任；</w:t>
      </w:r>
    </w:p>
    <w:p w14:paraId="63B21750">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c、所有招标文件或工程量清单明示要求报价的内容而乙方未予报价的，将被认为包含在合同总价中，结算时合同价款不再增加；</w:t>
      </w:r>
    </w:p>
    <w:p w14:paraId="1274BDD0">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d、工程要素（含人工、材料（设备）、机械台班）价格的涨跌风险；</w:t>
      </w:r>
    </w:p>
    <w:p w14:paraId="41BF8991">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e、乙方对工程现场环境以及甲方提供的招标文件、图纸等资料作出错误的推论、理解而导致的报价失误；</w:t>
      </w:r>
    </w:p>
    <w:p w14:paraId="3ABC1452">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f、招标文件约定的工程量清单数量误差引起的综合单价成本差异（风险范围及范围外调整方法见本条款第2）条的规定）；</w:t>
      </w:r>
    </w:p>
    <w:p w14:paraId="77B22B63">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g、施工组织措施费和技术措施费在成交以后，在合同施工范围内，无论现场施工条件如何变化、也无论工程量增减的幅度如何，均不再调整；</w:t>
      </w:r>
    </w:p>
    <w:p w14:paraId="79278AD3">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h、施工期间停水、停电引起的费用增加；</w:t>
      </w:r>
    </w:p>
    <w:p w14:paraId="4308F88C">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i、清单描述中有按图集或规范施工的，综合单价必须满足规范和图集要求，综合单价不作调整；</w:t>
      </w:r>
    </w:p>
    <w:p w14:paraId="2865AE96">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j、本工程拆除和垃圾外运费用一次性包干，包括所有垃圾清理、搬运、外运与消纳所产生的费用，施工过程及结算时不予增加。</w:t>
      </w:r>
    </w:p>
    <w:p w14:paraId="31C9AA9A">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k、所有招标文件或工程量清单明示要求报价包干或费率包干（指规费、税金、意外伤害保险费、总承包服务费）的内容；</w:t>
      </w:r>
    </w:p>
    <w:p w14:paraId="4A2C0F98">
      <w:pPr>
        <w:adjustRightInd w:val="0"/>
        <w:snapToGrid w:val="0"/>
        <w:spacing w:line="312" w:lineRule="auto"/>
        <w:ind w:firstLine="622" w:firstLineChars="283"/>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l、除本条明确允许调整内容以外的其他风险因素；</w:t>
      </w:r>
    </w:p>
    <w:p w14:paraId="30DDB07E">
      <w:pPr>
        <w:adjustRightInd w:val="0"/>
        <w:snapToGrid w:val="0"/>
        <w:spacing w:line="312" w:lineRule="auto"/>
        <w:ind w:firstLine="622" w:firstLineChars="283"/>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m、若同一工程中出现清单项目相同而报价或取费不一致者，按最低者执行。</w:t>
      </w:r>
    </w:p>
    <w:p w14:paraId="289971E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风险费用的计算方法：</w:t>
      </w:r>
      <w:r>
        <w:rPr>
          <w:rFonts w:hint="eastAsia" w:ascii="宋体" w:hAnsi="宋体" w:eastAsia="宋体" w:cs="宋体"/>
          <w:bCs/>
          <w:color w:val="auto"/>
          <w:sz w:val="22"/>
          <w:szCs w:val="22"/>
          <w:highlight w:val="none"/>
          <w:u w:val="single"/>
        </w:rPr>
        <w:t>风险因素范围内的费用由乙方自行考虑计列，不再另行计列、调整</w:t>
      </w:r>
      <w:r>
        <w:rPr>
          <w:rFonts w:hint="eastAsia" w:ascii="宋体" w:hAnsi="宋体" w:eastAsia="宋体" w:cs="宋体"/>
          <w:bCs/>
          <w:color w:val="auto"/>
          <w:sz w:val="22"/>
          <w:szCs w:val="22"/>
          <w:highlight w:val="none"/>
        </w:rPr>
        <w:t>。</w:t>
      </w:r>
    </w:p>
    <w:p w14:paraId="429E415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风险范围以外合同价格的调整方法：</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6559C34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2、总价合同。</w:t>
      </w:r>
    </w:p>
    <w:p w14:paraId="71C3DE8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总价包含的风险范围：</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7DEBDF6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风险费用的计算方法：</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053AEA1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风险范围以外合同价格的调整方法：</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4658D05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3、其他价格方式：</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13FBC687">
      <w:pPr>
        <w:adjustRightInd w:val="0"/>
        <w:snapToGrid w:val="0"/>
        <w:spacing w:line="312" w:lineRule="auto"/>
        <w:ind w:firstLine="440" w:firstLineChars="200"/>
        <w:rPr>
          <w:rFonts w:hint="eastAsia" w:ascii="宋体" w:hAnsi="宋体" w:eastAsia="宋体" w:cs="宋体"/>
          <w:bCs/>
          <w:color w:val="auto"/>
          <w:sz w:val="22"/>
          <w:szCs w:val="22"/>
          <w:highlight w:val="none"/>
        </w:rPr>
      </w:pPr>
      <w:bookmarkStart w:id="441" w:name="_Toc300935004"/>
      <w:bookmarkStart w:id="442" w:name="_Toc297216213"/>
      <w:bookmarkStart w:id="443" w:name="_Toc303539161"/>
      <w:bookmarkStart w:id="444" w:name="_Toc312678042"/>
      <w:bookmarkStart w:id="445" w:name="_Toc304295581"/>
      <w:bookmarkStart w:id="446" w:name="_Toc297123554"/>
      <w:bookmarkStart w:id="447" w:name="_Toc292559917"/>
      <w:bookmarkStart w:id="448" w:name="_Toc296944546"/>
      <w:bookmarkStart w:id="449" w:name="_Toc296503207"/>
      <w:bookmarkStart w:id="450" w:name="_Toc296891035"/>
      <w:bookmarkStart w:id="451" w:name="_Toc296891247"/>
      <w:bookmarkStart w:id="452" w:name="_Toc297048393"/>
      <w:bookmarkStart w:id="453" w:name="_Toc296346708"/>
      <w:bookmarkStart w:id="454" w:name="_Toc292559412"/>
      <w:bookmarkStart w:id="455" w:name="_Toc297120507"/>
      <w:bookmarkStart w:id="456" w:name="_Toc296347206"/>
      <w:r>
        <w:rPr>
          <w:rFonts w:hint="eastAsia" w:ascii="宋体" w:hAnsi="宋体" w:eastAsia="宋体" w:cs="宋体"/>
          <w:bCs/>
          <w:color w:val="auto"/>
          <w:sz w:val="22"/>
          <w:szCs w:val="22"/>
          <w:highlight w:val="none"/>
        </w:rPr>
        <w:t>12.2 预付款</w:t>
      </w:r>
    </w:p>
    <w:bookmarkEnd w:id="441"/>
    <w:bookmarkEnd w:id="442"/>
    <w:bookmarkEnd w:id="443"/>
    <w:bookmarkEnd w:id="444"/>
    <w:bookmarkEnd w:id="445"/>
    <w:bookmarkEnd w:id="446"/>
    <w:p w14:paraId="54BFC3B4">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12.2.1 预付款的支付</w:t>
      </w:r>
    </w:p>
    <w:p w14:paraId="3799B0FE">
      <w:pPr>
        <w:adjustRightInd w:val="0"/>
        <w:snapToGrid w:val="0"/>
        <w:spacing w:line="460" w:lineRule="exact"/>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预付款支付期限</w:t>
      </w:r>
      <w:r>
        <w:rPr>
          <w:rFonts w:hint="eastAsia" w:ascii="宋体" w:hAnsi="宋体" w:eastAsia="宋体" w:cs="宋体"/>
          <w:bCs/>
          <w:color w:val="auto"/>
          <w:sz w:val="22"/>
          <w:szCs w:val="22"/>
          <w:highlight w:val="none"/>
          <w:lang w:eastAsia="zh-CN"/>
        </w:rPr>
        <w:t>、</w:t>
      </w:r>
      <w:r>
        <w:rPr>
          <w:rFonts w:hint="eastAsia" w:ascii="宋体" w:hAnsi="宋体" w:eastAsia="宋体" w:cs="宋体"/>
          <w:bCs/>
          <w:color w:val="auto"/>
          <w:sz w:val="22"/>
          <w:szCs w:val="22"/>
          <w:highlight w:val="none"/>
        </w:rPr>
        <w:t>支付比例或金额：</w:t>
      </w:r>
      <w:r>
        <w:rPr>
          <w:rFonts w:hint="eastAsia" w:ascii="宋体" w:hAnsi="宋体" w:eastAsia="宋体" w:cs="宋体"/>
          <w:bCs/>
          <w:color w:val="auto"/>
          <w:sz w:val="22"/>
          <w:szCs w:val="22"/>
          <w:highlight w:val="none"/>
          <w:u w:val="single"/>
        </w:rPr>
        <w:t>在合同签订后，且中标供应商投标文件中承诺的人员、机械设备、车辆、材料投入等均配备到位后的15日内，</w:t>
      </w:r>
      <w:r>
        <w:rPr>
          <w:rFonts w:hint="eastAsia" w:ascii="宋体" w:hAnsi="宋体" w:eastAsia="宋体" w:cs="宋体"/>
          <w:bCs/>
          <w:color w:val="auto"/>
          <w:sz w:val="22"/>
          <w:szCs w:val="22"/>
          <w:highlight w:val="none"/>
          <w:u w:val="single"/>
          <w:lang w:val="en-US" w:eastAsia="zh-CN"/>
        </w:rPr>
        <w:t>甲方</w:t>
      </w:r>
      <w:r>
        <w:rPr>
          <w:rFonts w:hint="eastAsia" w:ascii="宋体" w:hAnsi="宋体" w:eastAsia="宋体" w:cs="宋体"/>
          <w:bCs/>
          <w:color w:val="auto"/>
          <w:sz w:val="22"/>
          <w:szCs w:val="22"/>
          <w:highlight w:val="none"/>
          <w:u w:val="single"/>
        </w:rPr>
        <w:t>向</w:t>
      </w:r>
      <w:r>
        <w:rPr>
          <w:rFonts w:hint="eastAsia" w:ascii="宋体" w:hAnsi="宋体" w:eastAsia="宋体" w:cs="宋体"/>
          <w:bCs/>
          <w:color w:val="auto"/>
          <w:sz w:val="22"/>
          <w:szCs w:val="22"/>
          <w:highlight w:val="none"/>
          <w:u w:val="single"/>
          <w:lang w:val="en-US" w:eastAsia="zh-CN"/>
        </w:rPr>
        <w:t>乙方</w:t>
      </w:r>
      <w:r>
        <w:rPr>
          <w:rFonts w:hint="eastAsia" w:ascii="宋体" w:hAnsi="宋体" w:eastAsia="宋体" w:cs="宋体"/>
          <w:bCs/>
          <w:color w:val="auto"/>
          <w:sz w:val="22"/>
          <w:szCs w:val="22"/>
          <w:highlight w:val="none"/>
          <w:u w:val="single"/>
        </w:rPr>
        <w:t>支付合同价的</w:t>
      </w:r>
      <w:r>
        <w:rPr>
          <w:rFonts w:hint="eastAsia" w:ascii="宋体" w:hAnsi="宋体" w:eastAsia="宋体" w:cs="宋体"/>
          <w:bCs/>
          <w:color w:val="auto"/>
          <w:sz w:val="22"/>
          <w:szCs w:val="22"/>
          <w:highlight w:val="none"/>
          <w:u w:val="single"/>
          <w:lang w:val="en-US" w:eastAsia="zh-CN"/>
        </w:rPr>
        <w:t>20</w:t>
      </w:r>
      <w:r>
        <w:rPr>
          <w:rFonts w:hint="eastAsia" w:ascii="宋体" w:hAnsi="宋体" w:eastAsia="宋体" w:cs="宋体"/>
          <w:bCs/>
          <w:color w:val="auto"/>
          <w:sz w:val="22"/>
          <w:szCs w:val="22"/>
          <w:highlight w:val="none"/>
          <w:u w:val="single"/>
        </w:rPr>
        <w:t>%作为预付款</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lang w:val="en-US" w:eastAsia="zh-CN"/>
        </w:rPr>
        <w:t>预付款在前两期进度款支付时等比例扣回</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rPr>
        <w:t>，同时</w:t>
      </w:r>
      <w:r>
        <w:rPr>
          <w:rFonts w:hint="eastAsia" w:ascii="宋体" w:hAnsi="宋体" w:eastAsia="宋体" w:cs="宋体"/>
          <w:bCs/>
          <w:color w:val="auto"/>
          <w:sz w:val="22"/>
          <w:szCs w:val="22"/>
          <w:highlight w:val="none"/>
          <w:u w:val="single"/>
          <w:lang w:val="en-US" w:eastAsia="zh-CN"/>
        </w:rPr>
        <w:t>甲方</w:t>
      </w:r>
      <w:r>
        <w:rPr>
          <w:rFonts w:hint="eastAsia" w:ascii="宋体" w:hAnsi="宋体" w:eastAsia="宋体" w:cs="宋体"/>
          <w:bCs/>
          <w:color w:val="auto"/>
          <w:sz w:val="22"/>
          <w:szCs w:val="22"/>
          <w:highlight w:val="none"/>
          <w:u w:val="single"/>
        </w:rPr>
        <w:t>有权要求供应商提交银行、保险公司等金融机构出具的预付款保函或其他担保措施。</w:t>
      </w:r>
    </w:p>
    <w:p w14:paraId="32EEB84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预付款扣回的方式：</w:t>
      </w:r>
      <w:r>
        <w:rPr>
          <w:rFonts w:hint="eastAsia" w:ascii="宋体" w:hAnsi="宋体" w:eastAsia="宋体" w:cs="宋体"/>
          <w:bCs/>
          <w:color w:val="auto"/>
          <w:sz w:val="22"/>
          <w:szCs w:val="22"/>
          <w:highlight w:val="none"/>
          <w:u w:val="single"/>
        </w:rPr>
        <w:t>扣回，</w:t>
      </w:r>
      <w:r>
        <w:rPr>
          <w:rFonts w:hint="eastAsia" w:ascii="宋体" w:hAnsi="宋体" w:eastAsia="宋体" w:cs="宋体"/>
          <w:bCs/>
          <w:color w:val="auto"/>
          <w:sz w:val="22"/>
          <w:szCs w:val="22"/>
          <w:highlight w:val="none"/>
          <w:u w:val="single"/>
          <w:lang w:val="en-US" w:eastAsia="zh-CN"/>
        </w:rPr>
        <w:t>在前两期进度款支付时等比例扣回</w:t>
      </w:r>
      <w:r>
        <w:rPr>
          <w:rFonts w:hint="eastAsia" w:ascii="宋体" w:hAnsi="宋体" w:eastAsia="宋体" w:cs="宋体"/>
          <w:bCs/>
          <w:color w:val="auto"/>
          <w:sz w:val="22"/>
          <w:szCs w:val="22"/>
          <w:highlight w:val="none"/>
          <w:u w:val="single"/>
        </w:rPr>
        <w:t>。</w:t>
      </w:r>
    </w:p>
    <w:p w14:paraId="365C296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12.2.2 预付款担保</w:t>
      </w:r>
    </w:p>
    <w:p w14:paraId="464D268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乙方提交预付款担保的期限：</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15B6EBC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预付款担保的形式为：</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bookmarkEnd w:id="447"/>
    <w:bookmarkEnd w:id="448"/>
    <w:bookmarkEnd w:id="449"/>
    <w:bookmarkEnd w:id="450"/>
    <w:bookmarkEnd w:id="451"/>
    <w:bookmarkEnd w:id="452"/>
    <w:bookmarkEnd w:id="453"/>
    <w:bookmarkEnd w:id="454"/>
    <w:bookmarkEnd w:id="455"/>
    <w:bookmarkEnd w:id="456"/>
    <w:p w14:paraId="1683B6C1">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 计量</w:t>
      </w:r>
    </w:p>
    <w:p w14:paraId="698C7F1E">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12.3.1 计量原则</w:t>
      </w:r>
    </w:p>
    <w:p w14:paraId="1AF6E06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工程量计算规则：</w:t>
      </w:r>
      <w:r>
        <w:rPr>
          <w:rFonts w:hint="eastAsia" w:ascii="宋体" w:hAnsi="宋体" w:eastAsia="宋体" w:cs="宋体"/>
          <w:bCs/>
          <w:color w:val="auto"/>
          <w:sz w:val="22"/>
          <w:szCs w:val="22"/>
          <w:highlight w:val="none"/>
          <w:u w:val="single"/>
        </w:rPr>
        <w:t>按施工图纸实际计算，并按《浙江省建设工程计价规则》﹙2018版﹚、《浙江省房屋建筑与装饰工程预算定额》﹙2018版﹚、《浙江省通用安装工程预算定额》﹙2018版﹚、《浙江省建设工程施工机械台班费用定额》﹙2018版﹚、《浙江省市政工程预算定额》﹙2018版﹚、浙建站定〔2016〕23号；建建发[2016]144号；台建价[2016]31号; 台建〔2016〕52号文件等及现行有关规定计算规则计算</w:t>
      </w:r>
      <w:r>
        <w:rPr>
          <w:rFonts w:hint="eastAsia" w:ascii="宋体" w:hAnsi="宋体" w:eastAsia="宋体" w:cs="宋体"/>
          <w:bCs/>
          <w:color w:val="auto"/>
          <w:sz w:val="22"/>
          <w:szCs w:val="22"/>
          <w:highlight w:val="none"/>
        </w:rPr>
        <w:t>。</w:t>
      </w:r>
    </w:p>
    <w:p w14:paraId="3203827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12.3.2 计量周期</w:t>
      </w:r>
    </w:p>
    <w:p w14:paraId="09734DE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关于计量周期的约定：</w:t>
      </w:r>
      <w:r>
        <w:rPr>
          <w:rFonts w:hint="eastAsia" w:ascii="宋体" w:hAnsi="宋体" w:eastAsia="宋体" w:cs="宋体"/>
          <w:bCs/>
          <w:color w:val="auto"/>
          <w:sz w:val="22"/>
          <w:szCs w:val="22"/>
          <w:highlight w:val="none"/>
          <w:u w:val="single"/>
        </w:rPr>
        <w:t>工程量的计量按月进行</w:t>
      </w:r>
      <w:r>
        <w:rPr>
          <w:rFonts w:hint="eastAsia" w:ascii="宋体" w:hAnsi="宋体" w:eastAsia="宋体" w:cs="宋体"/>
          <w:bCs/>
          <w:color w:val="auto"/>
          <w:sz w:val="22"/>
          <w:szCs w:val="22"/>
          <w:highlight w:val="none"/>
        </w:rPr>
        <w:t>。</w:t>
      </w:r>
    </w:p>
    <w:p w14:paraId="59BF017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12.3.3 单价合同的计量</w:t>
      </w:r>
    </w:p>
    <w:p w14:paraId="29CF9E8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关于单价合同计量的约定：</w:t>
      </w:r>
      <w:r>
        <w:rPr>
          <w:rFonts w:hint="eastAsia" w:ascii="宋体" w:hAnsi="宋体" w:eastAsia="宋体" w:cs="宋体"/>
          <w:bCs/>
          <w:color w:val="auto"/>
          <w:sz w:val="22"/>
          <w:szCs w:val="22"/>
          <w:highlight w:val="none"/>
          <w:u w:val="single"/>
        </w:rPr>
        <w:t>按通用合同条款第12.3.3条规定执行</w:t>
      </w:r>
      <w:r>
        <w:rPr>
          <w:rFonts w:hint="eastAsia" w:ascii="宋体" w:hAnsi="宋体" w:eastAsia="宋体" w:cs="宋体"/>
          <w:bCs/>
          <w:color w:val="auto"/>
          <w:sz w:val="22"/>
          <w:szCs w:val="22"/>
          <w:highlight w:val="none"/>
        </w:rPr>
        <w:t>。</w:t>
      </w:r>
    </w:p>
    <w:p w14:paraId="3F6BAEF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12.3.4 总价合同的计量</w:t>
      </w:r>
    </w:p>
    <w:p w14:paraId="177642D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关于总价合同计量的约定：</w:t>
      </w: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rPr>
        <w:t>。</w:t>
      </w:r>
    </w:p>
    <w:p w14:paraId="34AC79B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12.3.5总价合同采用支付分解表计量支付的，是否适用第</w:t>
      </w:r>
      <w:r>
        <w:rPr>
          <w:rFonts w:hint="eastAsia" w:ascii="宋体" w:hAnsi="宋体" w:eastAsia="宋体" w:cs="宋体"/>
          <w:bCs/>
          <w:color w:val="auto"/>
          <w:kern w:val="0"/>
          <w:sz w:val="22"/>
          <w:szCs w:val="22"/>
          <w:highlight w:val="none"/>
        </w:rPr>
        <w:t xml:space="preserve">12.3.4 </w:t>
      </w:r>
      <w:r>
        <w:rPr>
          <w:rFonts w:hint="eastAsia" w:ascii="宋体" w:hAnsi="宋体" w:eastAsia="宋体" w:cs="宋体"/>
          <w:bCs/>
          <w:color w:val="auto"/>
          <w:sz w:val="22"/>
          <w:szCs w:val="22"/>
          <w:highlight w:val="none"/>
        </w:rPr>
        <w:t>项</w:t>
      </w:r>
      <w:r>
        <w:rPr>
          <w:rFonts w:hint="eastAsia" w:ascii="宋体" w:hAnsi="宋体" w:eastAsia="宋体" w:cs="宋体"/>
          <w:bCs/>
          <w:color w:val="auto"/>
          <w:kern w:val="0"/>
          <w:sz w:val="22"/>
          <w:szCs w:val="22"/>
          <w:highlight w:val="none"/>
        </w:rPr>
        <w:t>〔总价合同的计量〕</w:t>
      </w:r>
      <w:r>
        <w:rPr>
          <w:rFonts w:hint="eastAsia" w:ascii="宋体" w:hAnsi="宋体" w:eastAsia="宋体" w:cs="宋体"/>
          <w:bCs/>
          <w:color w:val="auto"/>
          <w:sz w:val="22"/>
          <w:szCs w:val="22"/>
          <w:highlight w:val="none"/>
        </w:rPr>
        <w:t>约定进行计量：</w:t>
      </w: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rPr>
        <w:t>。</w:t>
      </w:r>
    </w:p>
    <w:p w14:paraId="35AFB34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12.3.6 其他价格形式合同的计量</w:t>
      </w:r>
    </w:p>
    <w:p w14:paraId="3B4171F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其他价格形式的计量方式和程序：</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3F9C48DA">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12.4 工程进度款支付</w:t>
      </w:r>
    </w:p>
    <w:p w14:paraId="313B0B9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bookmarkStart w:id="457" w:name="_Toc297123556"/>
      <w:bookmarkStart w:id="458" w:name="_Toc303539163"/>
      <w:bookmarkStart w:id="459" w:name="_Toc296891039"/>
      <w:bookmarkStart w:id="460" w:name="_Toc296346712"/>
      <w:bookmarkStart w:id="461" w:name="_Toc296347210"/>
      <w:bookmarkStart w:id="462" w:name="_Toc297048397"/>
      <w:bookmarkStart w:id="463" w:name="_Toc292559416"/>
      <w:bookmarkStart w:id="464" w:name="_Toc297120511"/>
      <w:bookmarkStart w:id="465" w:name="_Toc296891251"/>
      <w:bookmarkStart w:id="466" w:name="_Toc296503211"/>
      <w:bookmarkStart w:id="467" w:name="_Toc296944550"/>
      <w:bookmarkStart w:id="468" w:name="_Toc300935006"/>
      <w:bookmarkStart w:id="469" w:name="_Toc297216215"/>
      <w:bookmarkStart w:id="470" w:name="_Toc292559921"/>
      <w:r>
        <w:rPr>
          <w:rFonts w:hint="eastAsia" w:ascii="宋体" w:hAnsi="宋体" w:eastAsia="宋体" w:cs="宋体"/>
          <w:bCs/>
          <w:color w:val="auto"/>
          <w:sz w:val="22"/>
          <w:szCs w:val="22"/>
          <w:highlight w:val="none"/>
        </w:rPr>
        <w:t>12.4.1 付款周期</w:t>
      </w:r>
    </w:p>
    <w:p w14:paraId="62705A9E">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关于付款周期的约定：</w:t>
      </w:r>
    </w:p>
    <w:p w14:paraId="15F5892D">
      <w:pPr>
        <w:tabs>
          <w:tab w:val="left" w:pos="567"/>
        </w:tabs>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lang w:val="en-US" w:eastAsia="zh-CN"/>
        </w:rPr>
        <w:t>1</w:t>
      </w:r>
      <w:r>
        <w:rPr>
          <w:rFonts w:hint="eastAsia" w:ascii="宋体" w:hAnsi="宋体" w:eastAsia="宋体" w:cs="宋体"/>
          <w:bCs/>
          <w:color w:val="auto"/>
          <w:sz w:val="22"/>
          <w:szCs w:val="22"/>
          <w:highlight w:val="none"/>
          <w:u w:val="single"/>
          <w:lang w:eastAsia="zh-CN"/>
        </w:rPr>
        <w:t>）</w:t>
      </w:r>
      <w:r>
        <w:rPr>
          <w:rFonts w:hint="eastAsia" w:ascii="宋体" w:hAnsi="宋体" w:eastAsia="宋体" w:cs="宋体"/>
          <w:bCs/>
          <w:color w:val="auto"/>
          <w:sz w:val="22"/>
          <w:szCs w:val="22"/>
          <w:highlight w:val="none"/>
          <w:u w:val="single"/>
        </w:rPr>
        <w:t>、</w:t>
      </w:r>
      <w:r>
        <w:rPr>
          <w:rFonts w:hint="default" w:ascii="宋体" w:hAnsi="宋体" w:eastAsia="宋体" w:cs="宋体"/>
          <w:bCs/>
          <w:color w:val="auto"/>
          <w:sz w:val="22"/>
          <w:szCs w:val="22"/>
          <w:highlight w:val="none"/>
          <w:u w:val="single"/>
          <w:lang w:val="en-US" w:eastAsia="zh-CN"/>
        </w:rPr>
        <w:t>①</w:t>
      </w:r>
      <w:r>
        <w:rPr>
          <w:rFonts w:hint="eastAsia" w:ascii="宋体" w:hAnsi="宋体" w:eastAsia="宋体" w:cs="宋体"/>
          <w:bCs/>
          <w:color w:val="auto"/>
          <w:sz w:val="22"/>
          <w:szCs w:val="22"/>
          <w:highlight w:val="none"/>
          <w:u w:val="single"/>
          <w:lang w:val="en-US" w:eastAsia="zh-CN"/>
        </w:rPr>
        <w:t>工程进度款按每月进度报表由采购人、监理审核后5日内支付当月已核工程量的80%；</w:t>
      </w:r>
      <w:r>
        <w:rPr>
          <w:rFonts w:hint="default" w:ascii="宋体" w:hAnsi="宋体" w:eastAsia="宋体" w:cs="宋体"/>
          <w:bCs/>
          <w:color w:val="auto"/>
          <w:sz w:val="22"/>
          <w:szCs w:val="22"/>
          <w:highlight w:val="none"/>
          <w:u w:val="single"/>
          <w:lang w:val="en-US" w:eastAsia="zh-CN"/>
        </w:rPr>
        <w:t>②</w:t>
      </w:r>
      <w:r>
        <w:rPr>
          <w:rFonts w:hint="eastAsia" w:ascii="宋体" w:hAnsi="宋体" w:eastAsia="宋体" w:cs="宋体"/>
          <w:bCs/>
          <w:color w:val="auto"/>
          <w:sz w:val="22"/>
          <w:szCs w:val="22"/>
          <w:highlight w:val="none"/>
          <w:u w:val="single"/>
          <w:lang w:val="en-US" w:eastAsia="zh-CN"/>
        </w:rPr>
        <w:t>待完工并验收合格后，付至已核工程量的80%；</w:t>
      </w:r>
      <w:r>
        <w:rPr>
          <w:rFonts w:hint="default" w:ascii="宋体" w:hAnsi="宋体" w:eastAsia="宋体" w:cs="宋体"/>
          <w:bCs/>
          <w:color w:val="auto"/>
          <w:sz w:val="22"/>
          <w:szCs w:val="22"/>
          <w:highlight w:val="none"/>
          <w:u w:val="single"/>
          <w:lang w:val="en-US" w:eastAsia="zh-CN"/>
        </w:rPr>
        <w:t>③</w:t>
      </w:r>
      <w:r>
        <w:rPr>
          <w:rFonts w:hint="eastAsia" w:ascii="宋体" w:hAnsi="宋体" w:eastAsia="宋体" w:cs="宋体"/>
          <w:bCs/>
          <w:color w:val="auto"/>
          <w:sz w:val="22"/>
          <w:szCs w:val="22"/>
          <w:highlight w:val="none"/>
          <w:u w:val="single"/>
          <w:lang w:val="en-US" w:eastAsia="zh-CN"/>
        </w:rPr>
        <w:t>结算经有资质的造价机构审定并出具结算审核报告后，付至结算审核报告价款的97.5%，剩余2.5%为质量保证金，在质保期内如出现质量问题整改不到位，质量保证金予以扣除或不予退还，</w:t>
      </w:r>
      <w:r>
        <w:rPr>
          <w:rFonts w:hint="eastAsia" w:ascii="宋体" w:hAnsi="宋体" w:eastAsia="宋体" w:cs="宋体"/>
          <w:bCs/>
          <w:color w:val="auto"/>
          <w:sz w:val="22"/>
          <w:szCs w:val="22"/>
          <w:highlight w:val="none"/>
          <w:u w:val="single"/>
          <w:lang w:val="zh-CN" w:eastAsia="zh-CN"/>
        </w:rPr>
        <w:t>待质保期满</w:t>
      </w:r>
      <w:r>
        <w:rPr>
          <w:rFonts w:hint="eastAsia" w:ascii="宋体" w:hAnsi="宋体" w:eastAsia="宋体" w:cs="宋体"/>
          <w:bCs/>
          <w:color w:val="auto"/>
          <w:sz w:val="22"/>
          <w:szCs w:val="22"/>
          <w:highlight w:val="none"/>
          <w:u w:val="single"/>
          <w:lang w:val="en-US" w:eastAsia="zh-CN"/>
        </w:rPr>
        <w:t>后无质量问题无息退还。</w:t>
      </w:r>
    </w:p>
    <w:p w14:paraId="128765B8">
      <w:pPr>
        <w:tabs>
          <w:tab w:val="left" w:pos="567"/>
        </w:tabs>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u w:val="single"/>
          <w:lang w:val="en-US" w:eastAsia="zh-CN"/>
        </w:rPr>
        <w:t>2</w:t>
      </w:r>
      <w:r>
        <w:rPr>
          <w:rFonts w:hint="eastAsia" w:ascii="宋体" w:hAnsi="宋体" w:eastAsia="宋体" w:cs="宋体"/>
          <w:bCs/>
          <w:color w:val="auto"/>
          <w:sz w:val="22"/>
          <w:szCs w:val="22"/>
          <w:highlight w:val="none"/>
          <w:u w:val="single"/>
        </w:rPr>
        <w:t>）、上述工程进度款支付时，应即时扣除同一时段内发生的各项应扣款项如代付费用、违约处罚等；</w:t>
      </w:r>
    </w:p>
    <w:p w14:paraId="55BE664B">
      <w:pPr>
        <w:tabs>
          <w:tab w:val="left" w:pos="567"/>
        </w:tabs>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u w:val="single"/>
          <w:lang w:val="en-US" w:eastAsia="zh-CN"/>
        </w:rPr>
        <w:t>3</w:t>
      </w:r>
      <w:r>
        <w:rPr>
          <w:rFonts w:hint="eastAsia" w:ascii="宋体" w:hAnsi="宋体" w:eastAsia="宋体" w:cs="宋体"/>
          <w:bCs/>
          <w:color w:val="auto"/>
          <w:sz w:val="22"/>
          <w:szCs w:val="22"/>
          <w:highlight w:val="none"/>
          <w:u w:val="single"/>
        </w:rPr>
        <w:t>）、甲方审核的工程量仅作为进度款支付依据，不作为结算依据；</w:t>
      </w:r>
    </w:p>
    <w:p w14:paraId="0E9402E2">
      <w:pPr>
        <w:tabs>
          <w:tab w:val="left" w:pos="567"/>
        </w:tabs>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u w:val="single"/>
          <w:lang w:val="en-US" w:eastAsia="zh-CN"/>
        </w:rPr>
        <w:t>4</w:t>
      </w:r>
      <w:r>
        <w:rPr>
          <w:rFonts w:hint="eastAsia" w:ascii="宋体" w:hAnsi="宋体" w:eastAsia="宋体" w:cs="宋体"/>
          <w:bCs/>
          <w:color w:val="auto"/>
          <w:sz w:val="22"/>
          <w:szCs w:val="22"/>
          <w:highlight w:val="none"/>
          <w:u w:val="single"/>
        </w:rPr>
        <w:t>）、甲方拨付的工程款，必须汇入乙方指定的公司账户，户名：         ，开户银行：         ，账号：          ，不得以任何名义汇入其他账户或账号，不得以任何人名义代领，否则乙方不予认可，并由甲方承担违约责任及经济损失，乙方有权单方解除合同。</w:t>
      </w:r>
    </w:p>
    <w:p w14:paraId="330302C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12.4.2 进度付款申请单的编制</w:t>
      </w:r>
    </w:p>
    <w:p w14:paraId="1D17D03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关于进度付款申请单编制的约定：</w:t>
      </w:r>
      <w:r>
        <w:rPr>
          <w:rFonts w:hint="eastAsia" w:ascii="宋体" w:hAnsi="宋体" w:eastAsia="宋体" w:cs="宋体"/>
          <w:bCs/>
          <w:color w:val="auto"/>
          <w:sz w:val="22"/>
          <w:szCs w:val="22"/>
          <w:highlight w:val="none"/>
          <w:u w:val="single"/>
        </w:rPr>
        <w:t>按通用合同条款第12.4.2条规定执行</w:t>
      </w:r>
      <w:r>
        <w:rPr>
          <w:rFonts w:hint="eastAsia" w:ascii="宋体" w:hAnsi="宋体" w:eastAsia="宋体" w:cs="宋体"/>
          <w:bCs/>
          <w:color w:val="auto"/>
          <w:sz w:val="22"/>
          <w:szCs w:val="22"/>
          <w:highlight w:val="none"/>
        </w:rPr>
        <w:t>。</w:t>
      </w:r>
    </w:p>
    <w:p w14:paraId="3C1FB93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Fonts w:hint="eastAsia" w:ascii="宋体" w:hAnsi="宋体" w:eastAsia="宋体" w:cs="宋体"/>
          <w:bCs/>
          <w:color w:val="auto"/>
          <w:sz w:val="22"/>
          <w:szCs w:val="22"/>
          <w:highlight w:val="none"/>
        </w:rPr>
        <w:t>2.4.3 进度付款申请单的提交</w:t>
      </w:r>
    </w:p>
    <w:p w14:paraId="74A1709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（1）单价合同进度付款申请单提交的约定：</w:t>
      </w:r>
      <w:r>
        <w:rPr>
          <w:rFonts w:hint="eastAsia" w:ascii="宋体" w:hAnsi="宋体" w:eastAsia="宋体" w:cs="宋体"/>
          <w:bCs/>
          <w:color w:val="auto"/>
          <w:sz w:val="22"/>
          <w:szCs w:val="22"/>
          <w:highlight w:val="none"/>
          <w:u w:val="single"/>
        </w:rPr>
        <w:t>按通用合同条款第12.4.3条第（1）项规定执行</w:t>
      </w:r>
      <w:r>
        <w:rPr>
          <w:rFonts w:hint="eastAsia" w:ascii="宋体" w:hAnsi="宋体" w:eastAsia="宋体" w:cs="宋体"/>
          <w:bCs/>
          <w:color w:val="auto"/>
          <w:sz w:val="22"/>
          <w:szCs w:val="22"/>
          <w:highlight w:val="none"/>
        </w:rPr>
        <w:t>。</w:t>
      </w:r>
    </w:p>
    <w:p w14:paraId="0197BC7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（2）总价合同进度付款申请单提交的约定：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06BFD55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（3）其他价格形式合同进度付款申请单提交的约定：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1433237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12.4.4 进度款审核和支付</w:t>
      </w:r>
    </w:p>
    <w:p w14:paraId="7BF52630">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（1）监理人审查并报送甲方的期限：</w:t>
      </w:r>
      <w:r>
        <w:rPr>
          <w:rFonts w:hint="eastAsia" w:ascii="宋体" w:hAnsi="宋体" w:eastAsia="宋体" w:cs="宋体"/>
          <w:bCs/>
          <w:color w:val="auto"/>
          <w:sz w:val="22"/>
          <w:szCs w:val="22"/>
          <w:highlight w:val="none"/>
          <w:u w:val="single"/>
        </w:rPr>
        <w:t>7天内完成审查</w:t>
      </w:r>
      <w:r>
        <w:rPr>
          <w:rFonts w:hint="eastAsia" w:ascii="宋体" w:hAnsi="宋体" w:eastAsia="宋体" w:cs="宋体"/>
          <w:bCs/>
          <w:color w:val="auto"/>
          <w:sz w:val="22"/>
          <w:szCs w:val="22"/>
          <w:highlight w:val="none"/>
        </w:rPr>
        <w:t>。</w:t>
      </w:r>
    </w:p>
    <w:p w14:paraId="66FDFC2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甲方完成审批并签发进度款支付证书的期限：</w:t>
      </w:r>
      <w:r>
        <w:rPr>
          <w:rFonts w:hint="eastAsia" w:ascii="宋体" w:hAnsi="宋体" w:eastAsia="宋体" w:cs="宋体"/>
          <w:bCs/>
          <w:color w:val="auto"/>
          <w:sz w:val="22"/>
          <w:szCs w:val="22"/>
          <w:highlight w:val="none"/>
          <w:u w:val="single"/>
        </w:rPr>
        <w:t>收到监理人报送的进度付款申请单及相关资料后7天内</w:t>
      </w:r>
      <w:r>
        <w:rPr>
          <w:rFonts w:hint="eastAsia" w:ascii="宋体" w:hAnsi="宋体" w:eastAsia="宋体" w:cs="宋体"/>
          <w:bCs/>
          <w:color w:val="auto"/>
          <w:sz w:val="22"/>
          <w:szCs w:val="22"/>
          <w:highlight w:val="none"/>
        </w:rPr>
        <w:t>。</w:t>
      </w:r>
    </w:p>
    <w:p w14:paraId="1FE13D0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（2）甲方支付进度款的期限：</w:t>
      </w:r>
      <w:r>
        <w:rPr>
          <w:rFonts w:hint="eastAsia" w:ascii="宋体" w:hAnsi="宋体" w:eastAsia="宋体" w:cs="宋体"/>
          <w:bCs/>
          <w:color w:val="auto"/>
          <w:sz w:val="22"/>
          <w:szCs w:val="22"/>
          <w:highlight w:val="none"/>
          <w:u w:val="single"/>
        </w:rPr>
        <w:t>在进度款支付证书或临时进度款支付证书签发后30天内完成支付</w:t>
      </w:r>
      <w:r>
        <w:rPr>
          <w:rFonts w:hint="eastAsia" w:ascii="宋体" w:hAnsi="宋体" w:eastAsia="宋体" w:cs="宋体"/>
          <w:bCs/>
          <w:color w:val="auto"/>
          <w:sz w:val="22"/>
          <w:szCs w:val="22"/>
          <w:highlight w:val="none"/>
        </w:rPr>
        <w:t>。</w:t>
      </w:r>
    </w:p>
    <w:p w14:paraId="33B4ECB9">
      <w:pPr>
        <w:adjustRightInd w:val="0"/>
        <w:snapToGrid w:val="0"/>
        <w:spacing w:line="312" w:lineRule="auto"/>
        <w:ind w:firstLine="550" w:firstLineChars="25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甲方逾期支付进度款的违约金的计算方式：</w:t>
      </w:r>
      <w:r>
        <w:rPr>
          <w:rFonts w:hint="eastAsia" w:ascii="宋体" w:hAnsi="宋体" w:eastAsia="宋体" w:cs="宋体"/>
          <w:bCs/>
          <w:color w:val="auto"/>
          <w:sz w:val="22"/>
          <w:szCs w:val="22"/>
          <w:highlight w:val="none"/>
          <w:u w:val="single"/>
        </w:rPr>
        <w:t>承担违约责任，每延期一天按当期应付工程进度款金额的的万分之五向乙方支付违约金</w:t>
      </w:r>
      <w:r>
        <w:rPr>
          <w:rFonts w:hint="eastAsia" w:ascii="宋体" w:hAnsi="宋体" w:eastAsia="宋体" w:cs="宋体"/>
          <w:bCs/>
          <w:color w:val="auto"/>
          <w:sz w:val="22"/>
          <w:szCs w:val="22"/>
          <w:highlight w:val="none"/>
        </w:rPr>
        <w:t>。</w:t>
      </w:r>
    </w:p>
    <w:p w14:paraId="430D4872">
      <w:pPr>
        <w:adjustRightInd w:val="0"/>
        <w:snapToGrid w:val="0"/>
        <w:spacing w:line="312" w:lineRule="auto"/>
        <w:ind w:firstLine="550" w:firstLineChars="25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12.4.6 支付分解表的编制</w:t>
      </w:r>
    </w:p>
    <w:p w14:paraId="497EE64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2、总价合同支付分解表的编制与审批：</w:t>
      </w:r>
      <w:r>
        <w:rPr>
          <w:rFonts w:hint="eastAsia" w:ascii="宋体" w:hAnsi="宋体" w:eastAsia="宋体" w:cs="宋体"/>
          <w:bCs/>
          <w:color w:val="auto"/>
          <w:sz w:val="22"/>
          <w:szCs w:val="22"/>
          <w:highlight w:val="none"/>
          <w:u w:val="single"/>
        </w:rPr>
        <w:t>按通用合同条款第12.4.6条第2项规定执行</w:t>
      </w:r>
      <w:r>
        <w:rPr>
          <w:rFonts w:hint="eastAsia" w:ascii="宋体" w:hAnsi="宋体" w:eastAsia="宋体" w:cs="宋体"/>
          <w:bCs/>
          <w:color w:val="auto"/>
          <w:sz w:val="22"/>
          <w:szCs w:val="22"/>
          <w:highlight w:val="none"/>
        </w:rPr>
        <w:t>。</w:t>
      </w:r>
    </w:p>
    <w:p w14:paraId="0874F47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3、单价合同的总价项目支付分解表的编制与审批：</w:t>
      </w:r>
      <w:r>
        <w:rPr>
          <w:rFonts w:hint="eastAsia" w:ascii="宋体" w:hAnsi="宋体" w:eastAsia="宋体" w:cs="宋体"/>
          <w:bCs/>
          <w:color w:val="auto"/>
          <w:sz w:val="22"/>
          <w:szCs w:val="22"/>
          <w:highlight w:val="none"/>
          <w:u w:val="single"/>
        </w:rPr>
        <w:t>按通用合同条款第12.4.6条第3项规定执行</w:t>
      </w:r>
      <w:r>
        <w:rPr>
          <w:rFonts w:hint="eastAsia" w:ascii="宋体" w:hAnsi="宋体" w:eastAsia="宋体" w:cs="宋体"/>
          <w:bCs/>
          <w:color w:val="auto"/>
          <w:sz w:val="22"/>
          <w:szCs w:val="22"/>
          <w:highlight w:val="none"/>
        </w:rPr>
        <w:t>。</w:t>
      </w:r>
    </w:p>
    <w:bookmarkEnd w:id="319"/>
    <w:p w14:paraId="393847EA">
      <w:pPr>
        <w:adjustRightInd w:val="0"/>
        <w:snapToGrid w:val="0"/>
        <w:spacing w:line="312" w:lineRule="auto"/>
        <w:rPr>
          <w:rFonts w:hint="eastAsia" w:ascii="宋体" w:hAnsi="宋体" w:eastAsia="宋体" w:cs="宋体"/>
          <w:bCs/>
          <w:color w:val="auto"/>
          <w:sz w:val="22"/>
          <w:szCs w:val="22"/>
          <w:highlight w:val="none"/>
        </w:rPr>
      </w:pPr>
      <w:bookmarkStart w:id="471" w:name="_Toc351203645"/>
      <w:bookmarkStart w:id="472" w:name="_Toc297216223"/>
      <w:bookmarkStart w:id="473" w:name="_Toc292559424"/>
      <w:bookmarkStart w:id="474" w:name="_Toc296346720"/>
      <w:bookmarkStart w:id="475" w:name="_Toc297120519"/>
      <w:bookmarkStart w:id="476" w:name="_Toc292559929"/>
      <w:bookmarkStart w:id="477" w:name="_Toc303539172"/>
      <w:bookmarkStart w:id="478" w:name="_Toc312678053"/>
      <w:bookmarkStart w:id="479" w:name="_Toc297123564"/>
      <w:bookmarkStart w:id="480" w:name="_Toc296944558"/>
      <w:bookmarkStart w:id="481" w:name="_Toc304295593"/>
      <w:bookmarkStart w:id="482" w:name="_Toc300935015"/>
      <w:bookmarkStart w:id="483" w:name="_Toc296347218"/>
      <w:bookmarkStart w:id="484" w:name="_Toc297048405"/>
      <w:bookmarkStart w:id="485" w:name="_Toc296891259"/>
      <w:bookmarkStart w:id="486" w:name="_Toc296891047"/>
      <w:bookmarkStart w:id="487" w:name="_Toc296503219"/>
      <w:r>
        <w:rPr>
          <w:rFonts w:hint="eastAsia" w:ascii="宋体" w:hAnsi="宋体" w:eastAsia="宋体" w:cs="宋体"/>
          <w:bCs/>
          <w:color w:val="auto"/>
          <w:sz w:val="22"/>
          <w:szCs w:val="22"/>
          <w:highlight w:val="none"/>
        </w:rPr>
        <w:t>13. 验收和工程试车</w:t>
      </w:r>
      <w:bookmarkEnd w:id="471"/>
    </w:p>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14:paraId="660C83DB">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13.1 分部分项工程验收</w:t>
      </w:r>
    </w:p>
    <w:p w14:paraId="7955054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13.1.2监理人不能按时进行验收时，应提前</w:t>
      </w:r>
      <w:r>
        <w:rPr>
          <w:rFonts w:hint="eastAsia" w:ascii="宋体" w:hAnsi="宋体" w:eastAsia="宋体" w:cs="宋体"/>
          <w:bCs/>
          <w:color w:val="auto"/>
          <w:sz w:val="22"/>
          <w:szCs w:val="22"/>
          <w:highlight w:val="none"/>
          <w:u w:val="single"/>
        </w:rPr>
        <w:t>24</w:t>
      </w:r>
      <w:r>
        <w:rPr>
          <w:rFonts w:hint="eastAsia" w:ascii="宋体" w:hAnsi="宋体" w:eastAsia="宋体" w:cs="宋体"/>
          <w:bCs/>
          <w:color w:val="auto"/>
          <w:sz w:val="22"/>
          <w:szCs w:val="22"/>
          <w:highlight w:val="none"/>
        </w:rPr>
        <w:t>小时提交书面延期要求。</w:t>
      </w:r>
    </w:p>
    <w:p w14:paraId="2AD9DB3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关于延期最长不得超过：</w:t>
      </w:r>
      <w:r>
        <w:rPr>
          <w:rFonts w:hint="eastAsia" w:ascii="宋体" w:hAnsi="宋体" w:eastAsia="宋体" w:cs="宋体"/>
          <w:bCs/>
          <w:color w:val="auto"/>
          <w:sz w:val="22"/>
          <w:szCs w:val="22"/>
          <w:highlight w:val="none"/>
          <w:u w:val="single"/>
        </w:rPr>
        <w:t>48</w:t>
      </w:r>
      <w:r>
        <w:rPr>
          <w:rFonts w:hint="eastAsia" w:ascii="宋体" w:hAnsi="宋体" w:eastAsia="宋体" w:cs="宋体"/>
          <w:bCs/>
          <w:color w:val="auto"/>
          <w:sz w:val="22"/>
          <w:szCs w:val="22"/>
          <w:highlight w:val="none"/>
        </w:rPr>
        <w:t>小时。</w:t>
      </w:r>
    </w:p>
    <w:p w14:paraId="5BDB7F6E">
      <w:pPr>
        <w:adjustRightInd w:val="0"/>
        <w:snapToGrid w:val="0"/>
        <w:spacing w:line="312" w:lineRule="auto"/>
        <w:ind w:firstLine="440" w:firstLineChars="200"/>
        <w:rPr>
          <w:rFonts w:hint="eastAsia" w:ascii="宋体" w:hAnsi="宋体" w:eastAsia="宋体" w:cs="宋体"/>
          <w:bCs/>
          <w:color w:val="auto"/>
          <w:sz w:val="22"/>
          <w:szCs w:val="22"/>
          <w:highlight w:val="none"/>
        </w:rPr>
      </w:pPr>
      <w:bookmarkStart w:id="488" w:name="_Toc297216224"/>
      <w:bookmarkStart w:id="489" w:name="_Toc296346724"/>
      <w:bookmarkStart w:id="490" w:name="_Toc296503223"/>
      <w:bookmarkStart w:id="491" w:name="_Toc297120523"/>
      <w:bookmarkStart w:id="492" w:name="_Toc296891051"/>
      <w:bookmarkStart w:id="493" w:name="_Toc296944562"/>
      <w:bookmarkStart w:id="494" w:name="_Toc296891263"/>
      <w:bookmarkStart w:id="495" w:name="_Toc292559933"/>
      <w:bookmarkStart w:id="496" w:name="_Toc303539173"/>
      <w:bookmarkStart w:id="497" w:name="_Toc297123565"/>
      <w:bookmarkStart w:id="498" w:name="_Toc296347222"/>
      <w:bookmarkStart w:id="499" w:name="_Toc292559428"/>
      <w:bookmarkStart w:id="500" w:name="_Toc300935016"/>
      <w:bookmarkStart w:id="501" w:name="_Toc304295596"/>
      <w:bookmarkStart w:id="502" w:name="_Toc297048409"/>
      <w:bookmarkStart w:id="503" w:name="_Toc312678056"/>
      <w:bookmarkStart w:id="504" w:name="_Toc267251470"/>
      <w:bookmarkStart w:id="505" w:name="_Toc267251472"/>
      <w:bookmarkStart w:id="506" w:name="_Toc267251476"/>
      <w:bookmarkStart w:id="507" w:name="_Toc267251475"/>
      <w:bookmarkStart w:id="508" w:name="_Toc267251471"/>
      <w:bookmarkStart w:id="509" w:name="_Toc267251473"/>
      <w:bookmarkStart w:id="510" w:name="_Toc267251474"/>
      <w:r>
        <w:rPr>
          <w:rFonts w:hint="eastAsia" w:ascii="宋体" w:hAnsi="宋体" w:eastAsia="宋体" w:cs="宋体"/>
          <w:bCs/>
          <w:color w:val="auto"/>
          <w:sz w:val="22"/>
          <w:szCs w:val="22"/>
          <w:highlight w:val="none"/>
        </w:rPr>
        <w:t>13.2 竣工验收</w:t>
      </w:r>
    </w:p>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14:paraId="63ACB49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bookmarkStart w:id="511" w:name="_Toc280868704"/>
      <w:bookmarkStart w:id="512" w:name="_Toc280868705"/>
      <w:bookmarkStart w:id="513" w:name="_Toc280868706"/>
      <w:bookmarkStart w:id="514" w:name="_Toc280868707"/>
      <w:bookmarkStart w:id="515" w:name="_Toc280868708"/>
      <w:bookmarkStart w:id="516" w:name="_Toc280868709"/>
      <w:r>
        <w:rPr>
          <w:rFonts w:hint="eastAsia" w:ascii="宋体" w:hAnsi="宋体" w:eastAsia="宋体" w:cs="宋体"/>
          <w:bCs/>
          <w:color w:val="auto"/>
          <w:sz w:val="22"/>
          <w:szCs w:val="22"/>
          <w:highlight w:val="none"/>
        </w:rPr>
        <w:t>13.2.2竣工验收程序</w:t>
      </w:r>
    </w:p>
    <w:bookmarkEnd w:id="511"/>
    <w:p w14:paraId="2F71A12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关于竣工验收程序的约定：</w:t>
      </w:r>
      <w:r>
        <w:rPr>
          <w:rFonts w:hint="eastAsia" w:ascii="宋体" w:hAnsi="宋体" w:eastAsia="宋体" w:cs="宋体"/>
          <w:bCs/>
          <w:color w:val="auto"/>
          <w:sz w:val="22"/>
          <w:szCs w:val="22"/>
          <w:highlight w:val="none"/>
          <w:u w:val="single"/>
        </w:rPr>
        <w:t>按通用合同条款第13.2.2条规定执行</w:t>
      </w:r>
      <w:r>
        <w:rPr>
          <w:rFonts w:hint="eastAsia" w:ascii="宋体" w:hAnsi="宋体" w:eastAsia="宋体" w:cs="宋体"/>
          <w:bCs/>
          <w:color w:val="auto"/>
          <w:sz w:val="22"/>
          <w:szCs w:val="22"/>
          <w:highlight w:val="none"/>
        </w:rPr>
        <w:t>。</w:t>
      </w:r>
    </w:p>
    <w:p w14:paraId="30F1F748">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甲方不按照本项约定组织竣工验收、颁发工程接收证书的违约金的计算方法：</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w:t>
      </w:r>
    </w:p>
    <w:bookmarkEnd w:id="512"/>
    <w:p w14:paraId="1A07620C">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13.2.5移交、接收全部与部分工程</w:t>
      </w:r>
    </w:p>
    <w:bookmarkEnd w:id="513"/>
    <w:p w14:paraId="09737E91">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乙方向甲方移交工程的期限：</w:t>
      </w:r>
      <w:r>
        <w:rPr>
          <w:rFonts w:hint="eastAsia" w:ascii="宋体" w:hAnsi="宋体" w:eastAsia="宋体" w:cs="宋体"/>
          <w:bCs/>
          <w:color w:val="auto"/>
          <w:sz w:val="22"/>
          <w:szCs w:val="22"/>
          <w:highlight w:val="none"/>
          <w:u w:val="single"/>
        </w:rPr>
        <w:t>颁发工程接收证书后7天内完成工程的移交</w:t>
      </w:r>
      <w:r>
        <w:rPr>
          <w:rFonts w:hint="eastAsia" w:ascii="宋体" w:hAnsi="宋体" w:eastAsia="宋体" w:cs="宋体"/>
          <w:bCs/>
          <w:color w:val="auto"/>
          <w:sz w:val="22"/>
          <w:szCs w:val="22"/>
          <w:highlight w:val="none"/>
        </w:rPr>
        <w:t>。</w:t>
      </w:r>
    </w:p>
    <w:p w14:paraId="6BFDA6BB">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kern w:val="0"/>
          <w:sz w:val="22"/>
          <w:szCs w:val="22"/>
          <w:highlight w:val="none"/>
        </w:rPr>
        <w:t>甲方未按本合同约定接收全部或部分工程的，违约金的计算方法为：</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bookmarkEnd w:id="514"/>
    <w:p w14:paraId="037B519E">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乙方未按时移交工程的，违约金的计算方法为：</w:t>
      </w:r>
      <w:r>
        <w:rPr>
          <w:rFonts w:hint="eastAsia" w:ascii="宋体" w:hAnsi="宋体" w:eastAsia="宋体" w:cs="宋体"/>
          <w:bCs/>
          <w:color w:val="auto"/>
          <w:sz w:val="22"/>
          <w:szCs w:val="22"/>
          <w:highlight w:val="none"/>
          <w:u w:val="single"/>
        </w:rPr>
        <w:t>承担违约责任，每延期一天按人民币贰</w:t>
      </w:r>
      <w:r>
        <w:rPr>
          <w:rFonts w:hint="eastAsia" w:ascii="宋体" w:hAnsi="宋体" w:cs="宋体"/>
          <w:bCs/>
          <w:color w:val="auto"/>
          <w:sz w:val="22"/>
          <w:szCs w:val="22"/>
          <w:highlight w:val="none"/>
          <w:u w:val="single"/>
          <w:lang w:val="en-US" w:eastAsia="zh-CN"/>
        </w:rPr>
        <w:t>8000</w:t>
      </w:r>
      <w:r>
        <w:rPr>
          <w:rFonts w:hint="eastAsia" w:ascii="宋体" w:hAnsi="宋体" w:eastAsia="宋体" w:cs="宋体"/>
          <w:bCs/>
          <w:color w:val="auto"/>
          <w:sz w:val="22"/>
          <w:szCs w:val="22"/>
          <w:highlight w:val="none"/>
          <w:u w:val="single"/>
        </w:rPr>
        <w:t>元向甲方支付违约金</w:t>
      </w:r>
      <w:r>
        <w:rPr>
          <w:rFonts w:hint="eastAsia" w:ascii="宋体" w:hAnsi="宋体" w:eastAsia="宋体" w:cs="宋体"/>
          <w:bCs/>
          <w:color w:val="auto"/>
          <w:sz w:val="22"/>
          <w:szCs w:val="22"/>
          <w:highlight w:val="none"/>
        </w:rPr>
        <w:t>。</w:t>
      </w:r>
    </w:p>
    <w:p w14:paraId="2B9DE6A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13.3 工程试车</w:t>
      </w:r>
    </w:p>
    <w:bookmarkEnd w:id="515"/>
    <w:p w14:paraId="614D1061">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13.3.1 试车程序</w:t>
      </w:r>
    </w:p>
    <w:p w14:paraId="4AC5BD67">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工程试车内容：</w:t>
      </w:r>
      <w:r>
        <w:rPr>
          <w:rFonts w:hint="eastAsia" w:ascii="宋体" w:hAnsi="宋体" w:eastAsia="宋体" w:cs="宋体"/>
          <w:bCs/>
          <w:color w:val="auto"/>
          <w:sz w:val="22"/>
          <w:szCs w:val="22"/>
          <w:highlight w:val="none"/>
          <w:u w:val="single"/>
        </w:rPr>
        <w:t>试车内容应与乙方承包范围相一致，试车费用由乙方承担</w:t>
      </w:r>
      <w:r>
        <w:rPr>
          <w:rFonts w:hint="eastAsia" w:ascii="宋体" w:hAnsi="宋体" w:eastAsia="宋体" w:cs="宋体"/>
          <w:bCs/>
          <w:color w:val="auto"/>
          <w:sz w:val="22"/>
          <w:szCs w:val="22"/>
          <w:highlight w:val="none"/>
        </w:rPr>
        <w:t>。</w:t>
      </w:r>
    </w:p>
    <w:p w14:paraId="1EF534A0">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（1）单机无负荷试车费用由</w:t>
      </w:r>
      <w:r>
        <w:rPr>
          <w:rFonts w:hint="eastAsia" w:ascii="宋体" w:hAnsi="宋体" w:eastAsia="宋体" w:cs="宋体"/>
          <w:bCs/>
          <w:color w:val="auto"/>
          <w:sz w:val="22"/>
          <w:szCs w:val="22"/>
          <w:highlight w:val="none"/>
          <w:u w:val="single"/>
        </w:rPr>
        <w:t>乙方</w:t>
      </w:r>
      <w:r>
        <w:rPr>
          <w:rFonts w:hint="eastAsia" w:ascii="宋体" w:hAnsi="宋体" w:eastAsia="宋体" w:cs="宋体"/>
          <w:bCs/>
          <w:color w:val="auto"/>
          <w:kern w:val="0"/>
          <w:sz w:val="22"/>
          <w:szCs w:val="22"/>
          <w:highlight w:val="none"/>
        </w:rPr>
        <w:t>承担；</w:t>
      </w:r>
    </w:p>
    <w:p w14:paraId="145BABBD">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（2）无负荷联动试车费用由</w:t>
      </w:r>
      <w:r>
        <w:rPr>
          <w:rFonts w:hint="eastAsia" w:ascii="宋体" w:hAnsi="宋体" w:eastAsia="宋体" w:cs="宋体"/>
          <w:bCs/>
          <w:color w:val="auto"/>
          <w:sz w:val="22"/>
          <w:szCs w:val="22"/>
          <w:highlight w:val="none"/>
          <w:u w:val="single"/>
        </w:rPr>
        <w:t>乙方</w:t>
      </w:r>
      <w:r>
        <w:rPr>
          <w:rFonts w:hint="eastAsia" w:ascii="宋体" w:hAnsi="宋体" w:eastAsia="宋体" w:cs="宋体"/>
          <w:bCs/>
          <w:color w:val="auto"/>
          <w:kern w:val="0"/>
          <w:sz w:val="22"/>
          <w:szCs w:val="22"/>
          <w:highlight w:val="none"/>
        </w:rPr>
        <w:t>承担。</w:t>
      </w:r>
    </w:p>
    <w:p w14:paraId="4E068B3B">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13.3.3 投料试车</w:t>
      </w:r>
    </w:p>
    <w:p w14:paraId="41E29AF8">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关于投料试车相关事项的约定：</w:t>
      </w:r>
      <w:r>
        <w:rPr>
          <w:rFonts w:hint="eastAsia" w:ascii="宋体" w:hAnsi="宋体" w:eastAsia="宋体" w:cs="宋体"/>
          <w:bCs/>
          <w:color w:val="auto"/>
          <w:sz w:val="22"/>
          <w:szCs w:val="22"/>
          <w:highlight w:val="none"/>
          <w:u w:val="single"/>
        </w:rPr>
        <w:t>按通用合同条款第13.3.3条规定执行</w:t>
      </w:r>
      <w:r>
        <w:rPr>
          <w:rFonts w:hint="eastAsia" w:ascii="宋体" w:hAnsi="宋体" w:eastAsia="宋体" w:cs="宋体"/>
          <w:bCs/>
          <w:color w:val="auto"/>
          <w:sz w:val="22"/>
          <w:szCs w:val="22"/>
          <w:highlight w:val="none"/>
        </w:rPr>
        <w:t>。</w:t>
      </w:r>
    </w:p>
    <w:p w14:paraId="7BABF25E">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13.6 竣工退场</w:t>
      </w:r>
    </w:p>
    <w:p w14:paraId="143BFFB4">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13.6.1 竣工退场</w:t>
      </w:r>
    </w:p>
    <w:p w14:paraId="75CD889F">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乙方完成竣工退场的期限：。</w:t>
      </w:r>
    </w:p>
    <w:p w14:paraId="3756C9BF">
      <w:pPr>
        <w:adjustRightInd w:val="0"/>
        <w:snapToGrid w:val="0"/>
        <w:spacing w:line="312" w:lineRule="auto"/>
        <w:rPr>
          <w:rFonts w:hint="eastAsia" w:ascii="宋体" w:hAnsi="宋体" w:eastAsia="宋体" w:cs="宋体"/>
          <w:bCs/>
          <w:color w:val="auto"/>
          <w:sz w:val="22"/>
          <w:szCs w:val="22"/>
          <w:highlight w:val="none"/>
        </w:rPr>
      </w:pPr>
      <w:bookmarkStart w:id="517" w:name="_Toc351203646"/>
      <w:r>
        <w:rPr>
          <w:rFonts w:hint="eastAsia" w:ascii="宋体" w:hAnsi="宋体" w:eastAsia="宋体" w:cs="宋体"/>
          <w:bCs/>
          <w:color w:val="auto"/>
          <w:sz w:val="22"/>
          <w:szCs w:val="22"/>
          <w:highlight w:val="none"/>
        </w:rPr>
        <w:t>14. 竣工结算</w:t>
      </w:r>
      <w:bookmarkEnd w:id="517"/>
    </w:p>
    <w:p w14:paraId="7832C32E">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14.1 竣工结算申请</w:t>
      </w:r>
    </w:p>
    <w:p w14:paraId="5AF148F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乙方提交竣工结算申请单的期限：</w:t>
      </w:r>
      <w:r>
        <w:rPr>
          <w:rFonts w:hint="eastAsia" w:ascii="宋体" w:hAnsi="宋体" w:eastAsia="宋体" w:cs="宋体"/>
          <w:bCs/>
          <w:color w:val="auto"/>
          <w:sz w:val="22"/>
          <w:szCs w:val="22"/>
          <w:highlight w:val="none"/>
          <w:u w:val="single"/>
        </w:rPr>
        <w:t>在工程竣工验收合格后28天内</w:t>
      </w:r>
      <w:r>
        <w:rPr>
          <w:rFonts w:hint="eastAsia" w:ascii="宋体" w:hAnsi="宋体" w:eastAsia="宋体" w:cs="宋体"/>
          <w:bCs/>
          <w:color w:val="auto"/>
          <w:sz w:val="22"/>
          <w:szCs w:val="22"/>
          <w:highlight w:val="none"/>
        </w:rPr>
        <w:t>。</w:t>
      </w:r>
    </w:p>
    <w:p w14:paraId="742A51E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竣工结算申请单应包括的内容：</w:t>
      </w:r>
    </w:p>
    <w:p w14:paraId="7D0D353D">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（1）竣工结算合同价格；</w:t>
      </w:r>
    </w:p>
    <w:p w14:paraId="433C2E02">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（2）甲方已支付乙方的款项；</w:t>
      </w:r>
    </w:p>
    <w:p w14:paraId="18AE9750">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 xml:space="preserve">（3）应扣留的质量保证金等； </w:t>
      </w:r>
    </w:p>
    <w:p w14:paraId="7D19EBA3">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（4）甲方应支付乙方的合同价款。</w:t>
      </w:r>
    </w:p>
    <w:p w14:paraId="7E8FA41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5）本工程结算造价以审计部门的最终审计结果为准，甲方根据国家造价管理的有关规定以及审计部门审定的价款进行结算，与乙方办理最终价款结算手续。甲方、审计部门应在竣工验收合格、乙方提供完整结算资料以及具备其它结算条件后及时按有关规定核实乙方递交的结算报告及结算资料，但并不受通用条款所述的时间约束。结算审核费用按甲方与结算审核单位的合同约定支付，其中核增额和超过5%以外的核减额的审计费用由乙方按浙价服[2009]84号文件规定的收费标准支付。</w:t>
      </w:r>
    </w:p>
    <w:p w14:paraId="20464DCF">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14.2 竣工结算审核</w:t>
      </w:r>
    </w:p>
    <w:p w14:paraId="05994080">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甲方审批竣工付款申请单的期限：</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2687EE6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甲方完成竣工付款的期限：</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4D31555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关于竣工付款证书异议部分复核的方式和程序：</w:t>
      </w:r>
      <w:r>
        <w:rPr>
          <w:rFonts w:hint="eastAsia" w:ascii="宋体" w:hAnsi="宋体" w:eastAsia="宋体" w:cs="宋体"/>
          <w:bCs/>
          <w:color w:val="auto"/>
          <w:sz w:val="22"/>
          <w:szCs w:val="22"/>
          <w:highlight w:val="none"/>
          <w:u w:val="single"/>
        </w:rPr>
        <w:t>按通用合同条款第14.2条第（3）项规定执行</w:t>
      </w:r>
      <w:r>
        <w:rPr>
          <w:rFonts w:hint="eastAsia" w:ascii="宋体" w:hAnsi="宋体" w:eastAsia="宋体" w:cs="宋体"/>
          <w:bCs/>
          <w:color w:val="auto"/>
          <w:sz w:val="22"/>
          <w:szCs w:val="22"/>
          <w:highlight w:val="none"/>
        </w:rPr>
        <w:t>。</w:t>
      </w:r>
    </w:p>
    <w:p w14:paraId="2F59C42F">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14.4 最终结清</w:t>
      </w:r>
    </w:p>
    <w:p w14:paraId="0E49A387">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14.4.1 最终结清申请单</w:t>
      </w:r>
    </w:p>
    <w:p w14:paraId="006F2FD1">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乙方提交最终结清申请单的份数：</w:t>
      </w:r>
      <w:r>
        <w:rPr>
          <w:rFonts w:hint="eastAsia" w:ascii="宋体" w:hAnsi="宋体" w:eastAsia="宋体" w:cs="宋体"/>
          <w:bCs/>
          <w:color w:val="auto"/>
          <w:sz w:val="22"/>
          <w:szCs w:val="22"/>
          <w:highlight w:val="none"/>
          <w:u w:val="single"/>
        </w:rPr>
        <w:t>叁份</w:t>
      </w:r>
      <w:r>
        <w:rPr>
          <w:rFonts w:hint="eastAsia" w:ascii="宋体" w:hAnsi="宋体" w:eastAsia="宋体" w:cs="宋体"/>
          <w:bCs/>
          <w:color w:val="auto"/>
          <w:sz w:val="22"/>
          <w:szCs w:val="22"/>
          <w:highlight w:val="none"/>
        </w:rPr>
        <w:t>。</w:t>
      </w:r>
    </w:p>
    <w:p w14:paraId="722F3D4E">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乙方提交最终结算申请单的期限：</w:t>
      </w:r>
      <w:r>
        <w:rPr>
          <w:rFonts w:hint="eastAsia" w:ascii="宋体" w:hAnsi="宋体" w:eastAsia="宋体" w:cs="宋体"/>
          <w:bCs/>
          <w:color w:val="auto"/>
          <w:sz w:val="22"/>
          <w:szCs w:val="22"/>
          <w:highlight w:val="none"/>
          <w:u w:val="single"/>
        </w:rPr>
        <w:t>在缺陷责任期终止证书颁发后7天内</w:t>
      </w:r>
      <w:r>
        <w:rPr>
          <w:rFonts w:hint="eastAsia" w:ascii="宋体" w:hAnsi="宋体" w:eastAsia="宋体" w:cs="宋体"/>
          <w:bCs/>
          <w:color w:val="auto"/>
          <w:sz w:val="22"/>
          <w:szCs w:val="22"/>
          <w:highlight w:val="none"/>
        </w:rPr>
        <w:t xml:space="preserve">。 </w:t>
      </w:r>
    </w:p>
    <w:p w14:paraId="4335D57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14.4.2 最终结清证书和支付</w:t>
      </w:r>
    </w:p>
    <w:p w14:paraId="6A216239">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（1）甲方完成最终结清申请单的审批并颁发最终结清证书的期限：</w:t>
      </w:r>
      <w:r>
        <w:rPr>
          <w:rFonts w:hint="eastAsia" w:ascii="宋体" w:hAnsi="宋体" w:eastAsia="宋体" w:cs="宋体"/>
          <w:bCs/>
          <w:color w:val="auto"/>
          <w:sz w:val="22"/>
          <w:szCs w:val="22"/>
          <w:highlight w:val="none"/>
          <w:u w:val="single"/>
        </w:rPr>
        <w:t>在收到乙方提交的最终结清申请单后90天内完</w:t>
      </w:r>
      <w:r>
        <w:rPr>
          <w:rFonts w:hint="eastAsia" w:ascii="宋体" w:hAnsi="宋体" w:eastAsia="宋体" w:cs="宋体"/>
          <w:bCs/>
          <w:color w:val="auto"/>
          <w:sz w:val="22"/>
          <w:szCs w:val="22"/>
          <w:highlight w:val="none"/>
        </w:rPr>
        <w:t>。</w:t>
      </w:r>
    </w:p>
    <w:p w14:paraId="5C1E422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（2）甲方完成支付的期限：</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bookmarkEnd w:id="504"/>
    <w:bookmarkEnd w:id="505"/>
    <w:bookmarkEnd w:id="506"/>
    <w:bookmarkEnd w:id="507"/>
    <w:bookmarkEnd w:id="508"/>
    <w:bookmarkEnd w:id="509"/>
    <w:bookmarkEnd w:id="510"/>
    <w:bookmarkEnd w:id="516"/>
    <w:p w14:paraId="0CD977DD">
      <w:pPr>
        <w:adjustRightInd w:val="0"/>
        <w:snapToGrid w:val="0"/>
        <w:spacing w:line="312" w:lineRule="auto"/>
        <w:rPr>
          <w:rFonts w:hint="eastAsia" w:ascii="宋体" w:hAnsi="宋体" w:eastAsia="宋体" w:cs="宋体"/>
          <w:bCs/>
          <w:color w:val="auto"/>
          <w:sz w:val="22"/>
          <w:szCs w:val="22"/>
          <w:highlight w:val="none"/>
        </w:rPr>
      </w:pPr>
      <w:bookmarkStart w:id="518" w:name="_Toc351203647"/>
      <w:bookmarkStart w:id="519" w:name="_Toc267251483"/>
      <w:bookmarkStart w:id="520" w:name="_Toc267251482"/>
      <w:bookmarkStart w:id="521" w:name="_Toc267251484"/>
      <w:bookmarkStart w:id="522" w:name="_Toc267251485"/>
      <w:bookmarkStart w:id="523" w:name="_Toc267251488"/>
      <w:bookmarkStart w:id="524" w:name="_Toc267251490"/>
      <w:bookmarkStart w:id="525" w:name="_Toc267251489"/>
      <w:bookmarkStart w:id="526" w:name="_Toc267251486"/>
      <w:bookmarkStart w:id="527" w:name="_Toc267251496"/>
      <w:bookmarkStart w:id="528" w:name="_Toc267251501"/>
      <w:bookmarkStart w:id="529" w:name="_Toc267251503"/>
      <w:bookmarkStart w:id="530" w:name="_Toc267251491"/>
      <w:bookmarkStart w:id="531" w:name="_Toc267251492"/>
      <w:bookmarkStart w:id="532" w:name="_Toc267251494"/>
      <w:bookmarkStart w:id="533" w:name="_Toc267251499"/>
      <w:bookmarkStart w:id="534" w:name="_Toc267251502"/>
      <w:bookmarkStart w:id="535" w:name="_Toc267251497"/>
      <w:bookmarkStart w:id="536" w:name="_Toc267251493"/>
      <w:bookmarkStart w:id="537" w:name="_Toc267251498"/>
      <w:bookmarkStart w:id="538" w:name="_Toc267251495"/>
      <w:bookmarkStart w:id="539" w:name="_Toc267251504"/>
      <w:bookmarkStart w:id="540" w:name="_Toc267251506"/>
      <w:bookmarkStart w:id="541" w:name="_Toc267251507"/>
      <w:bookmarkStart w:id="542" w:name="_Toc267251508"/>
      <w:bookmarkStart w:id="543" w:name="_Toc267251511"/>
      <w:bookmarkStart w:id="544" w:name="_Toc267251509"/>
      <w:bookmarkStart w:id="545" w:name="_Toc267251513"/>
      <w:bookmarkStart w:id="546" w:name="_Toc267251515"/>
      <w:bookmarkStart w:id="547" w:name="_Toc267251510"/>
      <w:bookmarkStart w:id="548" w:name="_Toc267251514"/>
      <w:r>
        <w:rPr>
          <w:rFonts w:hint="eastAsia" w:ascii="宋体" w:hAnsi="宋体" w:eastAsia="宋体" w:cs="宋体"/>
          <w:bCs/>
          <w:color w:val="auto"/>
          <w:sz w:val="22"/>
          <w:szCs w:val="22"/>
          <w:highlight w:val="none"/>
        </w:rPr>
        <w:t>15. 缺陷责任期与保修</w:t>
      </w:r>
      <w:bookmarkEnd w:id="518"/>
    </w:p>
    <w:p w14:paraId="158C3992">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15.2缺陷责任期</w:t>
      </w:r>
      <w:bookmarkEnd w:id="519"/>
    </w:p>
    <w:p w14:paraId="7CDF8EEA">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缺陷责任期的具体期限：</w:t>
      </w:r>
      <w:r>
        <w:rPr>
          <w:rFonts w:hint="eastAsia" w:ascii="宋体" w:hAnsi="宋体" w:eastAsia="宋体" w:cs="宋体"/>
          <w:bCs/>
          <w:color w:val="auto"/>
          <w:sz w:val="22"/>
          <w:szCs w:val="22"/>
          <w:highlight w:val="none"/>
          <w:u w:val="single"/>
        </w:rPr>
        <w:t>24个月，自工程竣工验收合格（指验收时发现的所有质量缺陷均整改完毕并经验收合格）之日起计算</w:t>
      </w:r>
      <w:r>
        <w:rPr>
          <w:rFonts w:hint="eastAsia" w:ascii="宋体" w:hAnsi="宋体" w:eastAsia="宋体" w:cs="宋体"/>
          <w:bCs/>
          <w:color w:val="auto"/>
          <w:sz w:val="22"/>
          <w:szCs w:val="22"/>
          <w:highlight w:val="none"/>
        </w:rPr>
        <w:t>。</w:t>
      </w:r>
    </w:p>
    <w:p w14:paraId="7BE406F3">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15.3 质量保证金</w:t>
      </w:r>
    </w:p>
    <w:p w14:paraId="07A77CC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关于是否扣留质量保证金的约定：</w:t>
      </w:r>
      <w:r>
        <w:rPr>
          <w:rFonts w:hint="eastAsia" w:ascii="宋体" w:hAnsi="宋体" w:eastAsia="宋体" w:cs="宋体"/>
          <w:bCs/>
          <w:color w:val="auto"/>
          <w:sz w:val="22"/>
          <w:szCs w:val="22"/>
          <w:highlight w:val="none"/>
          <w:u w:val="single"/>
        </w:rPr>
        <w:t xml:space="preserve">   是  </w:t>
      </w:r>
      <w:r>
        <w:rPr>
          <w:rFonts w:hint="eastAsia" w:ascii="宋体" w:hAnsi="宋体" w:eastAsia="宋体" w:cs="宋体"/>
          <w:bCs/>
          <w:color w:val="auto"/>
          <w:sz w:val="22"/>
          <w:szCs w:val="22"/>
          <w:highlight w:val="none"/>
        </w:rPr>
        <w:t>。</w:t>
      </w:r>
    </w:p>
    <w:p w14:paraId="47730111">
      <w:pPr>
        <w:adjustRightInd w:val="0"/>
        <w:snapToGrid w:val="0"/>
        <w:spacing w:line="312"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15.3.1 乙方提供质量保证金的方式</w:t>
      </w:r>
    </w:p>
    <w:p w14:paraId="5DA7B38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质量保证金采用以下第</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u w:val="single"/>
          <w:lang w:val="en-US" w:eastAsia="zh-CN"/>
        </w:rPr>
        <w:t>2</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种方式：</w:t>
      </w:r>
    </w:p>
    <w:p w14:paraId="177165B8">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（1）质量保证金保函，保证金额为：</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 xml:space="preserve">； </w:t>
      </w:r>
    </w:p>
    <w:p w14:paraId="4D0B724E">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（2）</w:t>
      </w:r>
      <w:r>
        <w:rPr>
          <w:rFonts w:hint="eastAsia" w:ascii="宋体" w:hAnsi="宋体" w:eastAsia="宋体" w:cs="宋体"/>
          <w:bCs/>
          <w:color w:val="auto"/>
          <w:kern w:val="0"/>
          <w:sz w:val="22"/>
          <w:szCs w:val="22"/>
          <w:highlight w:val="none"/>
          <w:u w:val="single"/>
        </w:rPr>
        <w:t xml:space="preserve">  </w:t>
      </w:r>
      <w:r>
        <w:rPr>
          <w:rFonts w:hint="eastAsia" w:ascii="宋体" w:hAnsi="宋体" w:eastAsia="宋体" w:cs="宋体"/>
          <w:bCs/>
          <w:color w:val="auto"/>
          <w:kern w:val="0"/>
          <w:sz w:val="22"/>
          <w:szCs w:val="22"/>
          <w:highlight w:val="none"/>
          <w:u w:val="single"/>
          <w:lang w:val="en-US" w:eastAsia="zh-CN"/>
        </w:rPr>
        <w:t>2</w:t>
      </w:r>
      <w:r>
        <w:rPr>
          <w:rFonts w:hint="eastAsia" w:ascii="宋体" w:hAnsi="宋体" w:eastAsia="宋体" w:cs="宋体"/>
          <w:bCs/>
          <w:color w:val="auto"/>
          <w:kern w:val="0"/>
          <w:sz w:val="22"/>
          <w:szCs w:val="22"/>
          <w:highlight w:val="none"/>
          <w:u w:val="single"/>
        </w:rPr>
        <w:t xml:space="preserve">.5 </w:t>
      </w:r>
      <w:r>
        <w:rPr>
          <w:rFonts w:hint="eastAsia" w:ascii="宋体" w:hAnsi="宋体" w:eastAsia="宋体" w:cs="宋体"/>
          <w:bCs/>
          <w:color w:val="auto"/>
          <w:kern w:val="0"/>
          <w:sz w:val="22"/>
          <w:szCs w:val="22"/>
          <w:highlight w:val="none"/>
        </w:rPr>
        <w:t>%的工程款；</w:t>
      </w:r>
    </w:p>
    <w:p w14:paraId="6902A22D">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（3）其他方式:</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5F568933">
      <w:pPr>
        <w:adjustRightInd w:val="0"/>
        <w:snapToGrid w:val="0"/>
        <w:spacing w:line="312"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15.3.2 质量保证金的扣留 </w:t>
      </w:r>
    </w:p>
    <w:p w14:paraId="736F0DA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质量保证金的扣留采取以下第</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u w:val="single"/>
          <w:lang w:val="en-US" w:eastAsia="zh-CN"/>
        </w:rPr>
        <w:t xml:space="preserve">   </w:t>
      </w:r>
      <w:r>
        <w:rPr>
          <w:rFonts w:hint="eastAsia" w:ascii="宋体" w:hAnsi="宋体" w:eastAsia="宋体" w:cs="宋体"/>
          <w:bCs/>
          <w:color w:val="auto"/>
          <w:sz w:val="22"/>
          <w:szCs w:val="22"/>
          <w:highlight w:val="none"/>
          <w:u w:val="single"/>
        </w:rPr>
        <w:t xml:space="preserve">  </w:t>
      </w:r>
      <w:r>
        <w:rPr>
          <w:rFonts w:hint="eastAsia" w:ascii="宋体" w:hAnsi="宋体" w:eastAsia="宋体" w:cs="宋体"/>
          <w:bCs/>
          <w:color w:val="auto"/>
          <w:sz w:val="22"/>
          <w:szCs w:val="22"/>
          <w:highlight w:val="none"/>
        </w:rPr>
        <w:t>种方式：</w:t>
      </w:r>
    </w:p>
    <w:p w14:paraId="3BC70240">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（1）在支付工程进度款时逐次扣留，在此情形下，质量保证金的计算基数不包括预付款的支付、扣回以及价格调整的金额；</w:t>
      </w:r>
    </w:p>
    <w:p w14:paraId="50568212">
      <w:pPr>
        <w:autoSpaceDE w:val="0"/>
        <w:autoSpaceDN w:val="0"/>
        <w:adjustRightInd w:val="0"/>
        <w:snapToGrid w:val="0"/>
        <w:spacing w:line="312" w:lineRule="auto"/>
        <w:ind w:firstLine="440" w:firstLineChars="200"/>
        <w:jc w:val="left"/>
        <w:outlineLvl w:val="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（2）工程竣工结算时一次性扣留质量保证金；</w:t>
      </w:r>
    </w:p>
    <w:p w14:paraId="79FABB7C">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（3）其他扣留方式:</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06BEF64D">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关于质量保证金的补充约定：</w:t>
      </w:r>
      <w:r>
        <w:rPr>
          <w:rFonts w:hint="eastAsia" w:ascii="宋体" w:hAnsi="宋体" w:eastAsia="宋体" w:cs="宋体"/>
          <w:bCs/>
          <w:color w:val="auto"/>
          <w:sz w:val="22"/>
          <w:szCs w:val="22"/>
          <w:highlight w:val="none"/>
          <w:u w:val="single"/>
          <w:lang w:eastAsia="zh-CN"/>
        </w:rPr>
        <w:t>结算经有资质的造价机构审定并出具审计报告后，付至审计价款的97.5%，剩余2.5%为质量保证金，在质保期内如出现质量问题整改不到位，质量保证金予以扣除或不予退还，待质保期满2年后无质量问题无息退还</w:t>
      </w:r>
      <w:r>
        <w:rPr>
          <w:rFonts w:hint="eastAsia" w:ascii="宋体" w:hAnsi="宋体" w:eastAsia="宋体" w:cs="宋体"/>
          <w:bCs/>
          <w:color w:val="auto"/>
          <w:kern w:val="0"/>
          <w:sz w:val="22"/>
          <w:szCs w:val="22"/>
          <w:highlight w:val="none"/>
        </w:rPr>
        <w:t>。</w:t>
      </w:r>
    </w:p>
    <w:bookmarkEnd w:id="520"/>
    <w:bookmarkEnd w:id="521"/>
    <w:p w14:paraId="578638D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15.4保修</w:t>
      </w:r>
    </w:p>
    <w:bookmarkEnd w:id="522"/>
    <w:p w14:paraId="7FA9282F">
      <w:pPr>
        <w:adjustRightInd w:val="0"/>
        <w:snapToGrid w:val="0"/>
        <w:spacing w:line="312" w:lineRule="auto"/>
        <w:ind w:firstLine="429" w:firstLineChars="195"/>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15.4.1 保修责任</w:t>
      </w:r>
    </w:p>
    <w:p w14:paraId="6594012F">
      <w:pPr>
        <w:adjustRightInd w:val="0"/>
        <w:snapToGrid w:val="0"/>
        <w:spacing w:line="312" w:lineRule="auto"/>
        <w:ind w:firstLine="429" w:firstLineChars="195"/>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工程保修期为：</w:t>
      </w:r>
      <w:r>
        <w:rPr>
          <w:rFonts w:hint="eastAsia" w:ascii="宋体" w:hAnsi="宋体" w:eastAsia="宋体" w:cs="宋体"/>
          <w:bCs/>
          <w:color w:val="auto"/>
          <w:kern w:val="0"/>
          <w:sz w:val="22"/>
          <w:szCs w:val="22"/>
          <w:highlight w:val="none"/>
          <w:u w:val="single"/>
        </w:rPr>
        <w:t>按工程质量保修书规定执行</w:t>
      </w:r>
      <w:r>
        <w:rPr>
          <w:rFonts w:hint="eastAsia" w:ascii="宋体" w:hAnsi="宋体" w:eastAsia="宋体" w:cs="宋体"/>
          <w:bCs/>
          <w:color w:val="auto"/>
          <w:kern w:val="0"/>
          <w:sz w:val="22"/>
          <w:szCs w:val="22"/>
          <w:highlight w:val="none"/>
        </w:rPr>
        <w:t>。</w:t>
      </w:r>
    </w:p>
    <w:p w14:paraId="6BC45107">
      <w:pPr>
        <w:adjustRightInd w:val="0"/>
        <w:snapToGrid w:val="0"/>
        <w:spacing w:line="312" w:lineRule="auto"/>
        <w:ind w:firstLine="429" w:firstLineChars="195"/>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15.4.3 修复通知</w:t>
      </w:r>
    </w:p>
    <w:p w14:paraId="262BB315">
      <w:pPr>
        <w:adjustRightInd w:val="0"/>
        <w:snapToGrid w:val="0"/>
        <w:spacing w:line="312" w:lineRule="auto"/>
        <w:ind w:firstLine="429" w:firstLineChars="195"/>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乙方收到保修通知并到达工程现场的合理时间：</w:t>
      </w:r>
      <w:r>
        <w:rPr>
          <w:rFonts w:hint="eastAsia" w:ascii="宋体" w:hAnsi="宋体" w:eastAsia="宋体" w:cs="宋体"/>
          <w:bCs/>
          <w:color w:val="auto"/>
          <w:kern w:val="0"/>
          <w:sz w:val="22"/>
          <w:szCs w:val="22"/>
          <w:highlight w:val="none"/>
          <w:u w:val="single"/>
        </w:rPr>
        <w:t>3日内</w:t>
      </w:r>
      <w:r>
        <w:rPr>
          <w:rFonts w:hint="eastAsia" w:ascii="宋体" w:hAnsi="宋体" w:eastAsia="宋体" w:cs="宋体"/>
          <w:bCs/>
          <w:color w:val="auto"/>
          <w:kern w:val="0"/>
          <w:sz w:val="22"/>
          <w:szCs w:val="22"/>
          <w:highlight w:val="none"/>
        </w:rPr>
        <w:t>。</w:t>
      </w:r>
    </w:p>
    <w:bookmarkEnd w:id="523"/>
    <w:bookmarkEnd w:id="524"/>
    <w:bookmarkEnd w:id="525"/>
    <w:bookmarkEnd w:id="526"/>
    <w:p w14:paraId="43BCEAC6">
      <w:pPr>
        <w:adjustRightInd w:val="0"/>
        <w:snapToGrid w:val="0"/>
        <w:spacing w:line="312" w:lineRule="auto"/>
        <w:rPr>
          <w:rFonts w:hint="eastAsia" w:ascii="宋体" w:hAnsi="宋体" w:eastAsia="宋体" w:cs="宋体"/>
          <w:bCs/>
          <w:color w:val="auto"/>
          <w:sz w:val="22"/>
          <w:szCs w:val="22"/>
          <w:highlight w:val="none"/>
        </w:rPr>
      </w:pPr>
      <w:bookmarkStart w:id="549" w:name="_Toc351203648"/>
      <w:bookmarkStart w:id="550" w:name="_Toc280868717"/>
      <w:bookmarkStart w:id="551" w:name="_Toc280868718"/>
      <w:r>
        <w:rPr>
          <w:rFonts w:hint="eastAsia" w:ascii="宋体" w:hAnsi="宋体" w:eastAsia="宋体" w:cs="宋体"/>
          <w:bCs/>
          <w:color w:val="auto"/>
          <w:sz w:val="22"/>
          <w:szCs w:val="22"/>
          <w:highlight w:val="none"/>
        </w:rPr>
        <w:t>16. 违约</w:t>
      </w:r>
      <w:bookmarkEnd w:id="549"/>
    </w:p>
    <w:p w14:paraId="052B2263">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16.1 甲方违约</w:t>
      </w:r>
    </w:p>
    <w:p w14:paraId="43950A8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16.1.1甲方违约的情形</w:t>
      </w:r>
    </w:p>
    <w:p w14:paraId="57433D38">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甲方违约的其他情形：</w:t>
      </w:r>
      <w:r>
        <w:rPr>
          <w:rFonts w:hint="eastAsia" w:ascii="宋体" w:hAnsi="宋体" w:eastAsia="宋体" w:cs="宋体"/>
          <w:bCs/>
          <w:color w:val="auto"/>
          <w:kern w:val="0"/>
          <w:sz w:val="22"/>
          <w:szCs w:val="22"/>
          <w:highlight w:val="none"/>
          <w:u w:val="single"/>
        </w:rPr>
        <w:t>按通用合同条款第16.1.1条第（3）项规定执行</w:t>
      </w:r>
      <w:r>
        <w:rPr>
          <w:rFonts w:hint="eastAsia" w:ascii="宋体" w:hAnsi="宋体" w:eastAsia="宋体" w:cs="宋体"/>
          <w:bCs/>
          <w:color w:val="auto"/>
          <w:kern w:val="0"/>
          <w:sz w:val="22"/>
          <w:szCs w:val="22"/>
          <w:highlight w:val="none"/>
        </w:rPr>
        <w:t>。</w:t>
      </w:r>
    </w:p>
    <w:p w14:paraId="7ABF04AA">
      <w:pPr>
        <w:adjustRightInd w:val="0"/>
        <w:snapToGrid w:val="0"/>
        <w:spacing w:line="312" w:lineRule="auto"/>
        <w:ind w:left="1100" w:hanging="1100" w:hangingChars="5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 xml:space="preserve">    16.1.2 甲方违约的责任</w:t>
      </w:r>
    </w:p>
    <w:p w14:paraId="6B3FB4D4">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甲方违约责任的承担方式和计算方法：</w:t>
      </w:r>
    </w:p>
    <w:p w14:paraId="6C96C69C">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u w:val="single"/>
        </w:rPr>
      </w:pPr>
      <w:r>
        <w:rPr>
          <w:rFonts w:hint="eastAsia" w:ascii="宋体" w:hAnsi="宋体" w:eastAsia="宋体" w:cs="宋体"/>
          <w:bCs/>
          <w:color w:val="auto"/>
          <w:kern w:val="0"/>
          <w:sz w:val="22"/>
          <w:szCs w:val="22"/>
          <w:highlight w:val="none"/>
        </w:rPr>
        <w:t>（1）因甲方原因未能在计划开工日期前7天内下达开工通知的违约责任：</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23A5CA70">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（2）因甲方原因未能按合同约定支付合同价款的违约责任：</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73E16FE9">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（3）甲方违反第10.1款〔变更的范围〕第（2）项约定，自行实施被取消的工作或转由他人实施的违约责任：</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426A96E1">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（4）甲方提供的材料、工程设备的规格、数量或质量不符合合同约定，或因甲方原因导致交货日期延误或交货地点变更等情况的违约责任：</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612E98D2">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（5）因甲方违反合同约定造成暂停施工的违约责任：</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73E20021">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（6）甲方无正当理由没有在约定期限内发出复工指示，导致乙方无法复工的违约责任：</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64FD5B2E">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（7）其他：</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7C4A0F8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16.1.3 因甲方违约解除合同</w:t>
      </w:r>
    </w:p>
    <w:p w14:paraId="0EDBEE08">
      <w:pPr>
        <w:autoSpaceDE w:val="0"/>
        <w:autoSpaceDN w:val="0"/>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乙方按16.1.1项〔甲方违约的情形〕约定暂停施工满天后甲方仍不纠正其违约行为并致使合同目的不能实现的，乙方有权解除合同。</w:t>
      </w:r>
    </w:p>
    <w:p w14:paraId="217F0F19">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16.2 乙方违约</w:t>
      </w:r>
    </w:p>
    <w:p w14:paraId="763FB15E">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16.2.1 乙方违约的情形</w:t>
      </w:r>
    </w:p>
    <w:p w14:paraId="4BB9194D">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乙方违约的其他情形：</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04EF0F8B">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16.2.2乙方违约的责任</w:t>
      </w:r>
    </w:p>
    <w:p w14:paraId="640C5DE9">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u w:val="single"/>
        </w:rPr>
      </w:pPr>
      <w:r>
        <w:rPr>
          <w:rFonts w:hint="eastAsia" w:ascii="宋体" w:hAnsi="宋体" w:eastAsia="宋体" w:cs="宋体"/>
          <w:bCs/>
          <w:color w:val="auto"/>
          <w:kern w:val="0"/>
          <w:sz w:val="22"/>
          <w:szCs w:val="22"/>
          <w:highlight w:val="none"/>
        </w:rPr>
        <w:t>乙方违约责任的承担方式和计算方法：</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30E45FF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16.2.3 因乙方违约解除合同</w:t>
      </w:r>
    </w:p>
    <w:p w14:paraId="406FF986">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关于乙方违约解除合同的特别约定：</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28E2B78A">
      <w:pPr>
        <w:adjustRightInd w:val="0"/>
        <w:snapToGrid w:val="0"/>
        <w:spacing w:line="312"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甲方继续使用乙方在施工现场的材料、设备、临时工程、乙方文件和由乙方或以其名义编制的其他文件的费用承担方式：</w:t>
      </w:r>
      <w:r>
        <w:rPr>
          <w:rFonts w:hint="eastAsia" w:ascii="宋体" w:hAnsi="宋体" w:eastAsia="宋体" w:cs="宋体"/>
          <w:bCs/>
          <w:color w:val="auto"/>
          <w:kern w:val="0"/>
          <w:sz w:val="22"/>
          <w:szCs w:val="22"/>
          <w:highlight w:val="none"/>
          <w:u w:val="single"/>
        </w:rPr>
        <w:t>费用另行约定由甲方承担</w:t>
      </w:r>
      <w:r>
        <w:rPr>
          <w:rFonts w:hint="eastAsia" w:ascii="宋体" w:hAnsi="宋体" w:eastAsia="宋体" w:cs="宋体"/>
          <w:bCs/>
          <w:color w:val="auto"/>
          <w:kern w:val="0"/>
          <w:sz w:val="22"/>
          <w:szCs w:val="22"/>
          <w:highlight w:val="none"/>
        </w:rPr>
        <w:t>。</w:t>
      </w:r>
    </w:p>
    <w:p w14:paraId="18CFE263">
      <w:pPr>
        <w:adjustRightInd w:val="0"/>
        <w:snapToGrid w:val="0"/>
        <w:spacing w:line="312" w:lineRule="auto"/>
        <w:rPr>
          <w:rFonts w:hint="eastAsia" w:ascii="宋体" w:hAnsi="宋体" w:eastAsia="宋体" w:cs="宋体"/>
          <w:bCs/>
          <w:color w:val="auto"/>
          <w:sz w:val="22"/>
          <w:szCs w:val="22"/>
          <w:highlight w:val="none"/>
        </w:rPr>
      </w:pPr>
      <w:bookmarkStart w:id="552" w:name="_Toc351203649"/>
      <w:r>
        <w:rPr>
          <w:rFonts w:hint="eastAsia" w:ascii="宋体" w:hAnsi="宋体" w:eastAsia="宋体" w:cs="宋体"/>
          <w:bCs/>
          <w:color w:val="auto"/>
          <w:sz w:val="22"/>
          <w:szCs w:val="22"/>
          <w:highlight w:val="none"/>
        </w:rPr>
        <w:t>17. 不可抗力</w:t>
      </w:r>
      <w:bookmarkEnd w:id="550"/>
      <w:bookmarkEnd w:id="552"/>
    </w:p>
    <w:p w14:paraId="7F9433BC">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17.1 不可抗力的确认</w:t>
      </w:r>
    </w:p>
    <w:p w14:paraId="1D435BD8">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u w:val="single"/>
        </w:rPr>
      </w:pPr>
      <w:r>
        <w:rPr>
          <w:rFonts w:hint="eastAsia" w:ascii="宋体" w:hAnsi="宋体" w:eastAsia="宋体" w:cs="宋体"/>
          <w:bCs/>
          <w:color w:val="auto"/>
          <w:sz w:val="22"/>
          <w:szCs w:val="22"/>
          <w:highlight w:val="none"/>
        </w:rPr>
        <w:t xml:space="preserve">除通用合同条款约定的不可抗力事件之外，视为不可抗力的其他情形： </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7B61D437">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17.4 因不可抗力解除合同</w:t>
      </w:r>
    </w:p>
    <w:p w14:paraId="3A9BD3A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合同解除后，甲方应在商定或确定甲方应支付款项后天内完成款项的支付。</w:t>
      </w:r>
    </w:p>
    <w:p w14:paraId="33698B98">
      <w:pPr>
        <w:adjustRightInd w:val="0"/>
        <w:snapToGrid w:val="0"/>
        <w:spacing w:line="312" w:lineRule="auto"/>
        <w:rPr>
          <w:rFonts w:hint="eastAsia" w:ascii="宋体" w:hAnsi="宋体" w:eastAsia="宋体" w:cs="宋体"/>
          <w:bCs/>
          <w:color w:val="auto"/>
          <w:sz w:val="22"/>
          <w:szCs w:val="22"/>
          <w:highlight w:val="none"/>
        </w:rPr>
      </w:pPr>
      <w:bookmarkStart w:id="553" w:name="_Toc351203650"/>
      <w:r>
        <w:rPr>
          <w:rFonts w:hint="eastAsia" w:ascii="宋体" w:hAnsi="宋体" w:eastAsia="宋体" w:cs="宋体"/>
          <w:bCs/>
          <w:color w:val="auto"/>
          <w:sz w:val="22"/>
          <w:szCs w:val="22"/>
          <w:highlight w:val="none"/>
        </w:rPr>
        <w:t>18. 保险</w:t>
      </w:r>
      <w:bookmarkEnd w:id="553"/>
    </w:p>
    <w:bookmarkEnd w:id="551"/>
    <w:p w14:paraId="5F9F16E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18.1 工程保险</w:t>
      </w:r>
    </w:p>
    <w:p w14:paraId="602CD4B6">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关于工程保险的特别约定：</w:t>
      </w:r>
      <w:r>
        <w:rPr>
          <w:rFonts w:hint="eastAsia" w:ascii="宋体" w:hAnsi="宋体" w:eastAsia="宋体" w:cs="宋体"/>
          <w:bCs/>
          <w:color w:val="auto"/>
          <w:kern w:val="0"/>
          <w:sz w:val="22"/>
          <w:szCs w:val="22"/>
          <w:highlight w:val="none"/>
          <w:u w:val="single"/>
        </w:rPr>
        <w:t xml:space="preserve">      /     </w:t>
      </w:r>
      <w:r>
        <w:rPr>
          <w:rFonts w:hint="eastAsia" w:ascii="宋体" w:hAnsi="宋体" w:eastAsia="宋体" w:cs="宋体"/>
          <w:bCs/>
          <w:color w:val="auto"/>
          <w:kern w:val="0"/>
          <w:sz w:val="22"/>
          <w:szCs w:val="22"/>
          <w:highlight w:val="none"/>
        </w:rPr>
        <w:t>。</w:t>
      </w:r>
    </w:p>
    <w:p w14:paraId="2ECAFB0C">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18.3 其他保险</w:t>
      </w:r>
    </w:p>
    <w:p w14:paraId="5DF0E7C5">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关于其他保险的约定：</w:t>
      </w:r>
      <w:r>
        <w:rPr>
          <w:rFonts w:hint="eastAsia" w:ascii="宋体" w:hAnsi="宋体" w:eastAsia="宋体" w:cs="宋体"/>
          <w:bCs/>
          <w:color w:val="auto"/>
          <w:kern w:val="0"/>
          <w:sz w:val="22"/>
          <w:szCs w:val="22"/>
          <w:highlight w:val="none"/>
          <w:u w:val="single"/>
        </w:rPr>
        <w:t>乙方投保建筑工人及管理人员意外伤害保险</w:t>
      </w:r>
      <w:r>
        <w:rPr>
          <w:rFonts w:hint="eastAsia" w:ascii="宋体" w:hAnsi="宋体" w:eastAsia="宋体" w:cs="宋体"/>
          <w:bCs/>
          <w:color w:val="auto"/>
          <w:kern w:val="0"/>
          <w:sz w:val="22"/>
          <w:szCs w:val="22"/>
          <w:highlight w:val="none"/>
        </w:rPr>
        <w:t>。</w:t>
      </w:r>
    </w:p>
    <w:p w14:paraId="67855266">
      <w:pPr>
        <w:adjustRightInd w:val="0"/>
        <w:snapToGrid w:val="0"/>
        <w:spacing w:line="312" w:lineRule="auto"/>
        <w:ind w:firstLine="440" w:firstLineChars="200"/>
        <w:jc w:val="left"/>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乙方是否应为其施工设备等办理财产保险：</w:t>
      </w:r>
      <w:r>
        <w:rPr>
          <w:rFonts w:hint="eastAsia" w:ascii="宋体" w:hAnsi="宋体" w:eastAsia="宋体" w:cs="宋体"/>
          <w:bCs/>
          <w:color w:val="auto"/>
          <w:sz w:val="22"/>
          <w:szCs w:val="22"/>
          <w:highlight w:val="none"/>
          <w:u w:val="single"/>
        </w:rPr>
        <w:t>是</w:t>
      </w:r>
      <w:r>
        <w:rPr>
          <w:rFonts w:hint="eastAsia" w:ascii="宋体" w:hAnsi="宋体" w:eastAsia="宋体" w:cs="宋体"/>
          <w:bCs/>
          <w:color w:val="auto"/>
          <w:sz w:val="22"/>
          <w:szCs w:val="22"/>
          <w:highlight w:val="none"/>
        </w:rPr>
        <w:t>。</w:t>
      </w:r>
    </w:p>
    <w:p w14:paraId="1DC6776D">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18.7 通知义务</w:t>
      </w:r>
    </w:p>
    <w:p w14:paraId="6D6C832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rPr>
        <w:t>关于变更保险合同时的通知义务的约定：</w:t>
      </w:r>
      <w:r>
        <w:rPr>
          <w:rFonts w:hint="eastAsia" w:ascii="宋体" w:hAnsi="宋体" w:eastAsia="宋体" w:cs="宋体"/>
          <w:bCs/>
          <w:color w:val="auto"/>
          <w:sz w:val="22"/>
          <w:szCs w:val="22"/>
          <w:highlight w:val="none"/>
          <w:u w:val="single"/>
        </w:rPr>
        <w:t>按通用合同条款第18.7条项规定执行</w:t>
      </w:r>
      <w:r>
        <w:rPr>
          <w:rFonts w:hint="eastAsia" w:ascii="宋体" w:hAnsi="宋体" w:eastAsia="宋体" w:cs="宋体"/>
          <w:bCs/>
          <w:color w:val="auto"/>
          <w:sz w:val="22"/>
          <w:szCs w:val="22"/>
          <w:highlight w:val="none"/>
        </w:rPr>
        <w:t>。</w:t>
      </w:r>
    </w:p>
    <w:bookmarkEnd w:id="527"/>
    <w:bookmarkEnd w:id="528"/>
    <w:bookmarkEnd w:id="529"/>
    <w:bookmarkEnd w:id="530"/>
    <w:bookmarkEnd w:id="531"/>
    <w:bookmarkEnd w:id="532"/>
    <w:bookmarkEnd w:id="533"/>
    <w:bookmarkEnd w:id="534"/>
    <w:bookmarkEnd w:id="535"/>
    <w:bookmarkEnd w:id="536"/>
    <w:bookmarkEnd w:id="537"/>
    <w:bookmarkEnd w:id="538"/>
    <w:p w14:paraId="75AC4C8D">
      <w:pPr>
        <w:adjustRightInd w:val="0"/>
        <w:snapToGrid w:val="0"/>
        <w:spacing w:line="312" w:lineRule="auto"/>
        <w:rPr>
          <w:rFonts w:hint="eastAsia" w:ascii="宋体" w:hAnsi="宋体" w:eastAsia="宋体" w:cs="宋体"/>
          <w:bCs/>
          <w:color w:val="auto"/>
          <w:sz w:val="22"/>
          <w:szCs w:val="22"/>
          <w:highlight w:val="none"/>
        </w:rPr>
      </w:pPr>
      <w:bookmarkStart w:id="554" w:name="_Toc351203651"/>
      <w:r>
        <w:rPr>
          <w:rFonts w:hint="eastAsia" w:ascii="宋体" w:hAnsi="宋体" w:eastAsia="宋体" w:cs="宋体"/>
          <w:bCs/>
          <w:color w:val="auto"/>
          <w:sz w:val="22"/>
          <w:szCs w:val="22"/>
          <w:highlight w:val="none"/>
        </w:rPr>
        <w:t>20. 争议解决</w:t>
      </w:r>
      <w:bookmarkEnd w:id="554"/>
    </w:p>
    <w:bookmarkEnd w:id="539"/>
    <w:bookmarkEnd w:id="540"/>
    <w:p w14:paraId="4CA8969A">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20.3 争</w:t>
      </w:r>
      <w:bookmarkEnd w:id="541"/>
      <w:r>
        <w:rPr>
          <w:rFonts w:hint="eastAsia" w:ascii="宋体" w:hAnsi="宋体" w:eastAsia="宋体" w:cs="宋体"/>
          <w:bCs/>
          <w:color w:val="auto"/>
          <w:sz w:val="22"/>
          <w:szCs w:val="22"/>
          <w:highlight w:val="none"/>
        </w:rPr>
        <w:t>议评审</w:t>
      </w:r>
    </w:p>
    <w:p w14:paraId="20DE9336">
      <w:pPr>
        <w:adjustRightInd w:val="0"/>
        <w:snapToGrid w:val="0"/>
        <w:spacing w:line="312" w:lineRule="auto"/>
        <w:ind w:left="149" w:leftChars="71" w:firstLine="330" w:firstLineChars="15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合同当事人是否同意将工程争议提交争议评审小组决定：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 xml:space="preserve">。  </w:t>
      </w:r>
    </w:p>
    <w:p w14:paraId="31C06344">
      <w:pPr>
        <w:adjustRightInd w:val="0"/>
        <w:snapToGrid w:val="0"/>
        <w:spacing w:line="312" w:lineRule="auto"/>
        <w:ind w:firstLine="440" w:firstLineChars="200"/>
        <w:jc w:val="left"/>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20.3.1 争议评审小组的确定</w:t>
      </w:r>
    </w:p>
    <w:p w14:paraId="71280B8F">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争议评审小组成员的确定：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35CE29F3">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选定争议评审员的期限：</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759E7615">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争议评审小组成员的报酬承担方式：</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4BE6FC77">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其他事项的约定：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3A37AE8D">
      <w:pPr>
        <w:autoSpaceDE w:val="0"/>
        <w:autoSpaceDN w:val="0"/>
        <w:adjustRightInd w:val="0"/>
        <w:snapToGrid w:val="0"/>
        <w:spacing w:line="312" w:lineRule="auto"/>
        <w:ind w:firstLine="440" w:firstLineChars="200"/>
        <w:jc w:val="left"/>
        <w:outlineLvl w:val="0"/>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20.3.2 争议评审小组的决定</w:t>
      </w:r>
    </w:p>
    <w:p w14:paraId="7E51DDB2">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合同当事人关于本项的约定：</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03517036">
      <w:pPr>
        <w:adjustRightInd w:val="0"/>
        <w:snapToGrid w:val="0"/>
        <w:spacing w:line="312"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20.4仲裁或诉讼</w:t>
      </w:r>
      <w:bookmarkEnd w:id="542"/>
    </w:p>
    <w:p w14:paraId="06D9ED49">
      <w:pPr>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因合同及合同有关事项发生的争议，按下列第</w:t>
      </w:r>
      <w:r>
        <w:rPr>
          <w:rFonts w:hint="eastAsia" w:ascii="宋体" w:hAnsi="宋体" w:eastAsia="宋体" w:cs="宋体"/>
          <w:bCs/>
          <w:color w:val="auto"/>
          <w:sz w:val="22"/>
          <w:szCs w:val="22"/>
          <w:highlight w:val="none"/>
          <w:u w:val="single"/>
        </w:rPr>
        <w:t xml:space="preserve">  （2） </w:t>
      </w:r>
      <w:r>
        <w:rPr>
          <w:rFonts w:hint="eastAsia" w:ascii="宋体" w:hAnsi="宋体" w:eastAsia="宋体" w:cs="宋体"/>
          <w:bCs/>
          <w:color w:val="auto"/>
          <w:sz w:val="22"/>
          <w:szCs w:val="22"/>
          <w:highlight w:val="none"/>
        </w:rPr>
        <w:t>种方式解决：</w:t>
      </w:r>
    </w:p>
    <w:p w14:paraId="015C757F">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（1）向</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仲裁委员会申请仲裁；</w:t>
      </w:r>
    </w:p>
    <w:p w14:paraId="126599B1">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（2）向</w:t>
      </w:r>
      <w:r>
        <w:rPr>
          <w:rFonts w:hint="eastAsia" w:ascii="宋体" w:hAnsi="宋体" w:eastAsia="宋体" w:cs="宋体"/>
          <w:bCs/>
          <w:color w:val="auto"/>
          <w:sz w:val="22"/>
          <w:szCs w:val="22"/>
          <w:highlight w:val="none"/>
          <w:u w:val="single"/>
        </w:rPr>
        <w:t>工程所在地</w:t>
      </w:r>
      <w:r>
        <w:rPr>
          <w:rFonts w:hint="eastAsia" w:ascii="宋体" w:hAnsi="宋体" w:eastAsia="宋体" w:cs="宋体"/>
          <w:bCs/>
          <w:color w:val="auto"/>
          <w:sz w:val="22"/>
          <w:szCs w:val="22"/>
          <w:highlight w:val="none"/>
        </w:rPr>
        <w:t>人民法院起诉。</w:t>
      </w:r>
      <w:bookmarkEnd w:id="543"/>
      <w:bookmarkEnd w:id="544"/>
      <w:bookmarkEnd w:id="545"/>
      <w:bookmarkEnd w:id="546"/>
      <w:bookmarkEnd w:id="547"/>
      <w:bookmarkEnd w:id="548"/>
    </w:p>
    <w:p w14:paraId="5F82C89F">
      <w:pPr>
        <w:adjustRightInd w:val="0"/>
        <w:snapToGrid w:val="0"/>
        <w:spacing w:line="312"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21.补充条款</w:t>
      </w:r>
    </w:p>
    <w:p w14:paraId="64D1B7BF">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21.1工程质量要求的其他约定</w:t>
      </w:r>
    </w:p>
    <w:p w14:paraId="0C67EDBB">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21.1.1</w:t>
      </w:r>
      <w:r>
        <w:rPr>
          <w:rFonts w:hint="eastAsia" w:ascii="宋体" w:hAnsi="宋体" w:eastAsia="宋体" w:cs="宋体"/>
          <w:bCs/>
          <w:color w:val="auto"/>
          <w:sz w:val="22"/>
          <w:szCs w:val="22"/>
          <w:highlight w:val="none"/>
          <w:u w:val="single"/>
        </w:rPr>
        <w:t>乙方必须严格按合同条款、施工图纸及设计说明文件、施工验收规范、国家和省市的有关质量验收标准，精心组织施工，确保工程质量达到国家合格验收标准。乙方应详细编制施工方案，详细叙述关键部位的质量保证措施，并在响应文件中对质量目标进行承诺。</w:t>
      </w:r>
    </w:p>
    <w:p w14:paraId="1F85F3CD">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工程经各方验收，质量未达到合同约定“合格”标准的，由乙方负责整改直至通过验收，乙方承担由此产生的所有费用及给甲方造成的损失，且工期不予顺延；工程经过乙方的全面整改后，经各方验收仍然未达到合同约定“合格”标准的，乙方必须按工程总造价的5%向甲方支付违约金，该违约金从工程款中扣除。若乙方不按甲方要求整改或整改后仍不合格的，甲方有权委托第三方进行整改，整改费用由乙方承担，在工程款中扣除。甲方委托第三方整改不能免除乙方根据合同约定应当承担的工程保维修责任。</w:t>
      </w:r>
    </w:p>
    <w:p w14:paraId="27F3AB9B">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21.1.2</w:t>
      </w:r>
      <w:r>
        <w:rPr>
          <w:rFonts w:hint="eastAsia" w:ascii="宋体" w:hAnsi="宋体" w:eastAsia="宋体" w:cs="宋体"/>
          <w:bCs/>
          <w:color w:val="auto"/>
          <w:sz w:val="22"/>
          <w:szCs w:val="22"/>
          <w:highlight w:val="none"/>
          <w:u w:val="single"/>
        </w:rPr>
        <w:t>因工程施工交叉进行，乙方应积极配合，并无条件服从甲方或监理工程师的合理安排。</w:t>
      </w:r>
    </w:p>
    <w:p w14:paraId="0E2319F8">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21.2工期要求的其他约定</w:t>
      </w:r>
    </w:p>
    <w:p w14:paraId="7DF5FB00">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21.2.1乙方应详细踏勘、了解现场实际情况，应充分考虑现场情况对施工工期的影响，该部分内容在施工工期中包干，成交后不予调整。</w:t>
      </w:r>
    </w:p>
    <w:p w14:paraId="4EDBAEFB">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21.2.2合同工期为进场施工开始至竣工验收时止，乙方必须做好配合协调工作，因协调配合不当引起的工期等所有损失均由乙方承担。</w:t>
      </w:r>
    </w:p>
    <w:p w14:paraId="4420F24B">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21.2.3如乙方认为发生了可顺延工期情形的，乙方必须于工期延误情形发生后14天内向甲方提出顺延工期申请，经甲方签证后按甲方签证的工期顺延。乙方逾期未申请顺延工期的，工期不予以顺延。</w:t>
      </w:r>
    </w:p>
    <w:p w14:paraId="1BECDB76">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21.3安全文明施工要求的其他约定</w:t>
      </w:r>
    </w:p>
    <w:p w14:paraId="0BA2A96F">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 xml:space="preserve">21.3.1乙方与甲方必须签定《安全生产责任协议书》和《文明施工责任协议书》（见附件），且必须按照浙江省及甲方安全生产、文明施工标准化工地要求，做好安全生产、文明施工。 </w:t>
      </w:r>
    </w:p>
    <w:p w14:paraId="5CA4A26D">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安全生产、文明施工相关费用在工程实施过程中必须足额投入，否则甲方有权拒绝支付该项费用。</w:t>
      </w:r>
    </w:p>
    <w:p w14:paraId="0B861B1A">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安全生产、文明施工维护及宣传方案需征得甲方同意方可实施。</w:t>
      </w:r>
    </w:p>
    <w:p w14:paraId="2429E96A">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21.4人员到位要求的其他约定</w:t>
      </w:r>
    </w:p>
    <w:p w14:paraId="29A24F80">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21.4.1乙方在响应文件中承诺的管理人员（项目经理、技术负责人、施工员、安全员、质检员、材料员）配备数量应满足本工程管理的需要和相应规范、文件要求。</w:t>
      </w:r>
    </w:p>
    <w:p w14:paraId="4B3E631F">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本项目采用指纹考勤，在响应文件中需对管理人员的出勤率作出承诺。若项目经理、技术负责人出勤率不足响应承诺，处罚1000元人民币/天；施工员、安全员、质检员、材料员出勤率不足响应承诺，处罚500元人民币/天/人（出勤率按照为每月25天，每日工作时间8小时考勤）。重要施工工序或环节时项目经理、技术负责人等必须到场，否则处罚5000元人民币/每次。</w:t>
      </w:r>
    </w:p>
    <w:p w14:paraId="530197A0">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21.5合同价款的其他约定</w:t>
      </w:r>
    </w:p>
    <w:p w14:paraId="6F4D3F60">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21.5.1在工程通过竣工验收前，对已完成工程成品的保护工作由乙方负责，费用在响应报价中包干。</w:t>
      </w:r>
    </w:p>
    <w:p w14:paraId="0DF5DEA9">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21.5.2本工程工期较紧，相应赶工措施费用包含在响应报价中。</w:t>
      </w:r>
    </w:p>
    <w:p w14:paraId="50B2E0FF">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21.5.3乙方应做好安全防护措施。如因乙方安全防护措施不当造成的人员伤害，由乙方承担全部责任。上述费用包含在报价中，成交后不予调整。</w:t>
      </w:r>
    </w:p>
    <w:p w14:paraId="65D3B8B1">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乙方所报的费用中必须包含危险作业意外伤害保险费用，否则视同乙方优惠。</w:t>
      </w:r>
    </w:p>
    <w:p w14:paraId="6272EBE9">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21.5.4施工组织措施费和技术措施费在成交以后，在合同施工范围内，无论现场施工条件如何变化、也无论工程量增减的幅度如何，均不再调整；</w:t>
      </w:r>
    </w:p>
    <w:p w14:paraId="4D7104AE">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21.5.5响应报价必须与施工组织设计相一致，对施工组织设计的内容未在响应报价中体现的均视同乙方优惠。施工期间由于乙方原因造成施工方案的更改，所增加的工程费用及工期一概不予调整，属施工技术组织措施失误造成的费用及延误工期均由乙方承担。</w:t>
      </w:r>
    </w:p>
    <w:p w14:paraId="5836374B">
      <w:pPr>
        <w:pStyle w:val="11"/>
        <w:adjustRightInd w:val="0"/>
        <w:snapToGrid w:val="0"/>
        <w:spacing w:line="312"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21.6其他方面的约定</w:t>
      </w:r>
    </w:p>
    <w:p w14:paraId="1F7689B6">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乙方的响应文件必须完全响应招标文件的要求，响应文件中一切有悖于招标文件的条款均视作无效条款；乙方在响应文件中单方面设置限制甲方的条款和内容均将被视作无效内容，并且出现上述现象时，乙方应自行承担被否决风险。响应文件中所有在招标文件约定内容之外的与费用、进度、质量、索赔等有关的制约性内容在乙方成交后，经甲方作出书面确认之前，均视作无效。</w:t>
      </w:r>
    </w:p>
    <w:p w14:paraId="744263EE">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21.6.2如乙方在响应时选择的备选材料设备品牌不在甲方推荐范围内，其材料设备进场前必须报甲方、监理审核，经审核如存在材料不满足甲方要求的，则甲方有权在甲方推荐的范围内任意选择或社会上相关产品进行指定，且价格不予调整。</w:t>
      </w:r>
    </w:p>
    <w:p w14:paraId="0C9E93E8">
      <w:pPr>
        <w:adjustRightInd w:val="0"/>
        <w:snapToGrid w:val="0"/>
        <w:spacing w:line="312"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21.6.3乙方应充分响应</w:t>
      </w:r>
      <w:r>
        <w:rPr>
          <w:rFonts w:hint="eastAsia" w:ascii="宋体" w:hAnsi="宋体" w:eastAsia="宋体" w:cs="宋体"/>
          <w:bCs/>
          <w:color w:val="auto"/>
          <w:sz w:val="22"/>
          <w:szCs w:val="22"/>
          <w:highlight w:val="none"/>
          <w:u w:val="single"/>
          <w:lang w:eastAsia="zh-CN"/>
        </w:rPr>
        <w:t>温州</w:t>
      </w:r>
      <w:r>
        <w:rPr>
          <w:rFonts w:hint="eastAsia" w:ascii="宋体" w:hAnsi="宋体" w:eastAsia="宋体" w:cs="宋体"/>
          <w:bCs/>
          <w:color w:val="auto"/>
          <w:sz w:val="22"/>
          <w:szCs w:val="22"/>
          <w:highlight w:val="none"/>
          <w:u w:val="single"/>
        </w:rPr>
        <w:t>市委、市政府及当地政府关于工程运输车安全整治有关问题的相关意见，落实好工程安全运输责任制。</w:t>
      </w:r>
    </w:p>
    <w:p w14:paraId="4EECEF75">
      <w:pPr>
        <w:adjustRightInd w:val="0"/>
        <w:snapToGrid w:val="0"/>
        <w:spacing w:line="312"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21.6.4对于工程车出现过重大交通事故的施工单位，甲方保留处罚以及拒绝其在本单位组织的其他工程中投标的权利。</w:t>
      </w:r>
    </w:p>
    <w:p w14:paraId="3AA9BC2C">
      <w:pPr>
        <w:adjustRightInd w:val="0"/>
        <w:snapToGrid w:val="0"/>
        <w:spacing w:line="312" w:lineRule="auto"/>
        <w:ind w:firstLine="431" w:firstLineChars="196"/>
        <w:rPr>
          <w:rFonts w:hint="eastAsia" w:ascii="宋体" w:hAnsi="宋体" w:eastAsia="宋体" w:cs="宋体"/>
          <w:bCs/>
          <w:color w:val="auto"/>
          <w:kern w:val="0"/>
          <w:sz w:val="22"/>
          <w:szCs w:val="22"/>
          <w:highlight w:val="none"/>
          <w:u w:val="single"/>
        </w:rPr>
      </w:pPr>
      <w:r>
        <w:rPr>
          <w:rFonts w:hint="eastAsia" w:ascii="宋体" w:hAnsi="宋体" w:eastAsia="宋体" w:cs="宋体"/>
          <w:bCs/>
          <w:color w:val="auto"/>
          <w:sz w:val="22"/>
          <w:szCs w:val="22"/>
          <w:highlight w:val="none"/>
          <w:u w:val="single"/>
        </w:rPr>
        <w:t>21.6.5</w:t>
      </w:r>
      <w:r>
        <w:rPr>
          <w:rFonts w:hint="eastAsia" w:ascii="宋体" w:hAnsi="宋体" w:eastAsia="宋体" w:cs="宋体"/>
          <w:bCs/>
          <w:color w:val="auto"/>
          <w:kern w:val="0"/>
          <w:sz w:val="22"/>
          <w:szCs w:val="22"/>
          <w:highlight w:val="none"/>
          <w:u w:val="single"/>
        </w:rPr>
        <w:t>当乙方未按合同约定履行义务，造成质量低下、进度迟缓、管理混乱或将成交项目转让（转包给他人），发包方有权解除合同，没收履约担保，如给甲方造成的损失超过保证金数额的还应当对超过部份予以赔偿，并依法承担相应的法律责任；</w:t>
      </w:r>
    </w:p>
    <w:p w14:paraId="306A04AC">
      <w:pPr>
        <w:adjustRightInd w:val="0"/>
        <w:snapToGrid w:val="0"/>
        <w:spacing w:line="312"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21.6.6</w:t>
      </w:r>
      <w:r>
        <w:rPr>
          <w:rFonts w:hint="eastAsia" w:ascii="宋体" w:hAnsi="宋体" w:eastAsia="宋体" w:cs="宋体"/>
          <w:bCs/>
          <w:color w:val="auto"/>
          <w:kern w:val="0"/>
          <w:sz w:val="22"/>
          <w:szCs w:val="22"/>
          <w:highlight w:val="none"/>
          <w:u w:val="single"/>
        </w:rPr>
        <w:t>乙方应确保民工工资的及时支付，如不及时支付，视作违约，乙方应按合同价款的1%向甲方支付违约金且由此造成的后果与损失应由乙方承担，同时，甲方有权在工程款中扣除相应费用代为支付民工工资。</w:t>
      </w:r>
    </w:p>
    <w:p w14:paraId="177BDBCC">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21.6.7乙方需加强维修服务意识，信守维修服务承诺书中的各项承诺，维修服务承诺书作为合同附件。</w:t>
      </w:r>
    </w:p>
    <w:p w14:paraId="58647B1A">
      <w:pPr>
        <w:pStyle w:val="11"/>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21.6.8工程实施期间，乙方必须确保本工程项目进度款专款专用，甲方（或甲方委托的中介机构）随时有权到乙方处核查工程进度款使用情况，乙方须全力配合不得以任何理由拒绝。</w:t>
      </w:r>
    </w:p>
    <w:p w14:paraId="1A52AF50">
      <w:pPr>
        <w:pStyle w:val="11"/>
        <w:adjustRightInd w:val="0"/>
        <w:snapToGrid w:val="0"/>
        <w:spacing w:line="312"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21.6.9乙方应提供所有分部分项工程量清单和技术措施清单项目的综合单价分析表和工料机分析表（工料机分析表由乙方在收到成交通知书两天内提供（须与电子文本完全一致），但电子文本需与响应文件同时提交）。</w:t>
      </w:r>
    </w:p>
    <w:p w14:paraId="3DB749E6">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21.6.10乙方应在响应文件中列出所有乙方认为需提供的工日、材料（设备）、机械台班价格，若乙方未列出，在施工期间可由甲方根据招响应文件及其它的合同文件确定价格。</w:t>
      </w:r>
    </w:p>
    <w:p w14:paraId="419E647C">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21.6.11乙方应在响应文件中列出所有乙方认为需列出的材料（设备）的规格、型号、品牌、档次等，若乙方未列出，在施工期间甲方可根据工程需要提出要求，乙方必须按照甲方的要求提供材料（设备）。</w:t>
      </w:r>
    </w:p>
    <w:p w14:paraId="2C628FDC">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21.6.12如果乙方提供的工日、材料（设备）、机械台班价格及综合单价分析表和工料机分析表与综合单价有矛盾，结算时应以综合单价为准。</w:t>
      </w:r>
    </w:p>
    <w:p w14:paraId="7AA6F6FD">
      <w:pPr>
        <w:pStyle w:val="11"/>
        <w:adjustRightInd w:val="0"/>
        <w:snapToGrid w:val="0"/>
        <w:spacing w:line="312" w:lineRule="auto"/>
        <w:ind w:firstLine="431" w:firstLineChars="196"/>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21.6.13乙方应服从甲方的协调组织安排，不得因交叉交错施工影响本工程总体进度。</w:t>
      </w:r>
    </w:p>
    <w:p w14:paraId="3E2C3296">
      <w:pPr>
        <w:tabs>
          <w:tab w:val="left" w:pos="8080"/>
        </w:tabs>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21.6.14本工程在实施过程中，如乙方的施工队伍素质、力量、现场管理班子、施工设备、不能很好满足实际施工的需要，现场文明安全施工不符合响应文件的承诺，造成现场管理混乱、工程质量和进度达不到响应所承诺的要求时，甲方有权要求其调整充实施工力量，乙方必须接受，如措施不力，将视作乙方违约处理直至终止合同,并按本合同的约定追究违约责任。</w:t>
      </w:r>
    </w:p>
    <w:p w14:paraId="0880FDEE">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21.6.15中介机构对乙方提交的竣工结算报告进行审核时，乙方必须根据甲方及中介机构的要求履行配合义务，因乙方不配合中介机构，导致中介机构无法及时完成造价审核的，责任由乙方承担，乙方不得以此要求甲方承担逾期付款违约责任。</w:t>
      </w:r>
    </w:p>
    <w:p w14:paraId="78F17482">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21.6.16本合同所涉及的所有处罚违约金将以现金形式缴纳，月罚月交，如未按时递交违约金，本月工程款暂停支付。</w:t>
      </w:r>
    </w:p>
    <w:p w14:paraId="1F4563E5">
      <w:pPr>
        <w:adjustRightInd w:val="0"/>
        <w:snapToGrid w:val="0"/>
        <w:spacing w:line="312"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21.6.17本项目涉及到的检测、监测、质检费用由乙方在响应报价中综合考虑。</w:t>
      </w:r>
    </w:p>
    <w:p w14:paraId="48194A0C">
      <w:pPr>
        <w:adjustRightInd w:val="0"/>
        <w:snapToGrid w:val="0"/>
        <w:spacing w:line="312" w:lineRule="auto"/>
        <w:ind w:firstLine="440" w:firstLineChars="200"/>
        <w:jc w:val="left"/>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21.6.18合同双方确认，本合同及本合同约定的其它文件组成部分中的各项约定都是通过法定采购过程形成的合法成果，不存在与招标文件和乙方响应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合同履行过程中，经双方协商一致变更、补充本合同内容的，不受本条款限制，补充合同等内容与本合同内容不一致的，以补充合同内容为准。</w:t>
      </w:r>
    </w:p>
    <w:p w14:paraId="235F33CB">
      <w:pPr>
        <w:adjustRightInd w:val="0"/>
        <w:snapToGrid w:val="0"/>
        <w:spacing w:line="312" w:lineRule="auto"/>
        <w:ind w:firstLine="440" w:firstLineChars="200"/>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u w:val="single"/>
        </w:rPr>
        <w:t>21.6.19如遇国家政府法规调整税费，按规定调整当月工程价款相关费用（含进度款）。</w:t>
      </w:r>
    </w:p>
    <w:p w14:paraId="4812CDA5">
      <w:pPr>
        <w:adjustRightInd w:val="0"/>
        <w:snapToGrid w:val="0"/>
        <w:spacing w:line="360" w:lineRule="auto"/>
        <w:jc w:val="left"/>
        <w:rPr>
          <w:rFonts w:hint="eastAsia" w:ascii="宋体" w:hAnsi="宋体" w:eastAsia="宋体" w:cs="宋体"/>
          <w:bCs/>
          <w:color w:val="auto"/>
          <w:sz w:val="22"/>
          <w:szCs w:val="22"/>
          <w:highlight w:val="none"/>
        </w:rPr>
      </w:pPr>
    </w:p>
    <w:p w14:paraId="2E97B757">
      <w:pPr>
        <w:adjustRightInd w:val="0"/>
        <w:snapToGrid w:val="0"/>
        <w:spacing w:line="360" w:lineRule="auto"/>
        <w:jc w:val="left"/>
        <w:rPr>
          <w:rFonts w:hint="eastAsia" w:ascii="宋体" w:hAnsi="宋体" w:eastAsia="宋体" w:cs="宋体"/>
          <w:bCs/>
          <w:color w:val="auto"/>
          <w:sz w:val="22"/>
          <w:szCs w:val="22"/>
          <w:highlight w:val="none"/>
        </w:rPr>
        <w:sectPr>
          <w:footerReference r:id="rId5" w:type="first"/>
          <w:pgSz w:w="11906" w:h="16838"/>
          <w:pgMar w:top="1418" w:right="1555" w:bottom="1418" w:left="1531" w:header="851" w:footer="992" w:gutter="0"/>
          <w:cols w:space="720" w:num="1"/>
          <w:titlePg/>
          <w:docGrid w:type="lines" w:linePitch="312" w:charSpace="0"/>
        </w:sectPr>
      </w:pPr>
    </w:p>
    <w:p w14:paraId="4129E483">
      <w:pPr>
        <w:spacing w:before="120" w:beforeLines="50" w:after="120" w:afterLines="50" w:line="440" w:lineRule="exact"/>
        <w:jc w:val="left"/>
        <w:rPr>
          <w:rFonts w:hint="eastAsia" w:ascii="宋体" w:hAnsi="宋体" w:eastAsia="宋体" w:cs="宋体"/>
          <w:bCs/>
          <w:color w:val="auto"/>
          <w:sz w:val="22"/>
          <w:szCs w:val="22"/>
          <w:highlight w:val="none"/>
        </w:rPr>
      </w:pPr>
      <w:r>
        <w:rPr>
          <w:rFonts w:hint="eastAsia" w:ascii="宋体" w:hAnsi="宋体" w:eastAsia="宋体" w:cs="宋体"/>
          <w:bCs/>
          <w:color w:val="auto"/>
          <w:kern w:val="0"/>
          <w:sz w:val="22"/>
          <w:szCs w:val="22"/>
          <w:highlight w:val="none"/>
          <w:lang w:val="zh-CN"/>
        </w:rPr>
        <w:t>附件一：</w:t>
      </w:r>
    </w:p>
    <w:p w14:paraId="491E601F">
      <w:pPr>
        <w:spacing w:before="120" w:beforeLines="50" w:after="120" w:afterLines="50" w:line="440" w:lineRule="exact"/>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工程质量保修书</w:t>
      </w:r>
    </w:p>
    <w:p w14:paraId="062B8100">
      <w:pPr>
        <w:pStyle w:val="6"/>
        <w:rPr>
          <w:rFonts w:hint="eastAsia" w:ascii="宋体" w:hAnsi="宋体" w:eastAsia="宋体" w:cs="宋体"/>
          <w:color w:val="auto"/>
          <w:sz w:val="22"/>
          <w:szCs w:val="22"/>
          <w:highlight w:val="none"/>
        </w:rPr>
      </w:pPr>
    </w:p>
    <w:p w14:paraId="2E92908A">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甲方（全称）：</w:t>
      </w:r>
      <w:r>
        <w:rPr>
          <w:rFonts w:hint="eastAsia" w:ascii="宋体" w:hAnsi="宋体" w:eastAsia="宋体" w:cs="宋体"/>
          <w:bCs/>
          <w:color w:val="auto"/>
          <w:sz w:val="22"/>
          <w:szCs w:val="22"/>
          <w:highlight w:val="none"/>
          <w:u w:val="single"/>
        </w:rPr>
        <w:t xml:space="preserve">                </w:t>
      </w:r>
    </w:p>
    <w:p w14:paraId="3AB4C462">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w:t>
      </w:r>
    </w:p>
    <w:p w14:paraId="52A58E77">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rPr>
        <w:t>乙方（全称）：</w:t>
      </w:r>
      <w:r>
        <w:rPr>
          <w:rFonts w:hint="eastAsia" w:ascii="宋体" w:hAnsi="宋体" w:eastAsia="宋体" w:cs="宋体"/>
          <w:bCs/>
          <w:color w:val="auto"/>
          <w:sz w:val="22"/>
          <w:szCs w:val="22"/>
          <w:highlight w:val="none"/>
          <w:u w:val="single"/>
        </w:rPr>
        <w:t xml:space="preserve">                   </w:t>
      </w:r>
    </w:p>
    <w:p w14:paraId="4B94AFF3">
      <w:pPr>
        <w:snapToGrid w:val="0"/>
        <w:spacing w:line="360" w:lineRule="auto"/>
        <w:rPr>
          <w:rFonts w:hint="eastAsia" w:ascii="宋体" w:hAnsi="宋体" w:eastAsia="宋体" w:cs="宋体"/>
          <w:bCs/>
          <w:color w:val="auto"/>
          <w:sz w:val="22"/>
          <w:szCs w:val="22"/>
          <w:highlight w:val="none"/>
        </w:rPr>
      </w:pPr>
    </w:p>
    <w:p w14:paraId="3EF6F7EA">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甲方和乙方根据《中华人民共和国建筑法》和《建设工程质量管理条例》，经协商一致就（工程全称）签订工程质量保修书。</w:t>
      </w:r>
    </w:p>
    <w:p w14:paraId="725E64C7">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一、工程质量保修范围和内容</w:t>
      </w:r>
    </w:p>
    <w:p w14:paraId="16B36870">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乙方在质量保修期内，按照有关法律规定和合同约定，承担工程质量保修责任。</w:t>
      </w:r>
    </w:p>
    <w:p w14:paraId="3F5A5386">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eastAsia="宋体" w:cs="宋体"/>
          <w:bCs/>
          <w:color w:val="auto"/>
          <w:sz w:val="22"/>
          <w:szCs w:val="22"/>
          <w:highlight w:val="none"/>
          <w:u w:val="single"/>
        </w:rPr>
        <w:t>本合同承包范围内的全部工程内容</w:t>
      </w:r>
      <w:r>
        <w:rPr>
          <w:rFonts w:hint="eastAsia" w:ascii="宋体" w:hAnsi="宋体" w:eastAsia="宋体" w:cs="宋体"/>
          <w:bCs/>
          <w:color w:val="auto"/>
          <w:sz w:val="22"/>
          <w:szCs w:val="22"/>
          <w:highlight w:val="none"/>
        </w:rPr>
        <w:t>。</w:t>
      </w:r>
    </w:p>
    <w:p w14:paraId="2B5FD528">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二、质量保修期</w:t>
      </w:r>
    </w:p>
    <w:p w14:paraId="7A7A6F4B">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根据《建设工程质量管理条例》及有关规定，工程的质量保修期如下：</w:t>
      </w:r>
    </w:p>
    <w:p w14:paraId="6E90F523">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1．地基基础工程和主体结构工程为设计文件规定的工程合理使用年限；</w:t>
      </w:r>
    </w:p>
    <w:p w14:paraId="51BFBCF2">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2．屋面防水工程、有防水要求的卫生间、房间和外墙面的防渗为5年；</w:t>
      </w:r>
    </w:p>
    <w:p w14:paraId="7AC91AF2">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3．装修工程为</w:t>
      </w:r>
      <w:r>
        <w:rPr>
          <w:rFonts w:hint="eastAsia" w:ascii="宋体" w:hAnsi="宋体" w:eastAsia="宋体" w:cs="宋体"/>
          <w:bCs/>
          <w:color w:val="auto"/>
          <w:sz w:val="22"/>
          <w:szCs w:val="22"/>
          <w:highlight w:val="none"/>
          <w:u w:val="single"/>
        </w:rPr>
        <w:t>2</w:t>
      </w:r>
      <w:r>
        <w:rPr>
          <w:rFonts w:hint="eastAsia" w:ascii="宋体" w:hAnsi="宋体" w:eastAsia="宋体" w:cs="宋体"/>
          <w:bCs/>
          <w:color w:val="auto"/>
          <w:sz w:val="22"/>
          <w:szCs w:val="22"/>
          <w:highlight w:val="none"/>
        </w:rPr>
        <w:t>年；</w:t>
      </w:r>
    </w:p>
    <w:p w14:paraId="60546E3A">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4．电气管线、给排水管道、设备安装工程为</w:t>
      </w:r>
      <w:r>
        <w:rPr>
          <w:rFonts w:hint="eastAsia" w:ascii="宋体" w:hAnsi="宋体" w:eastAsia="宋体" w:cs="宋体"/>
          <w:bCs/>
          <w:color w:val="auto"/>
          <w:sz w:val="22"/>
          <w:szCs w:val="22"/>
          <w:highlight w:val="none"/>
          <w:u w:val="single"/>
        </w:rPr>
        <w:t xml:space="preserve"> 2 </w:t>
      </w:r>
      <w:r>
        <w:rPr>
          <w:rFonts w:hint="eastAsia" w:ascii="宋体" w:hAnsi="宋体" w:eastAsia="宋体" w:cs="宋体"/>
          <w:bCs/>
          <w:color w:val="auto"/>
          <w:sz w:val="22"/>
          <w:szCs w:val="22"/>
          <w:highlight w:val="none"/>
        </w:rPr>
        <w:t>年；</w:t>
      </w:r>
    </w:p>
    <w:p w14:paraId="5ADCC036">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5．供热与供冷系统为</w:t>
      </w:r>
      <w:r>
        <w:rPr>
          <w:rFonts w:hint="eastAsia" w:ascii="宋体" w:hAnsi="宋体" w:eastAsia="宋体" w:cs="宋体"/>
          <w:bCs/>
          <w:color w:val="auto"/>
          <w:sz w:val="22"/>
          <w:szCs w:val="22"/>
          <w:highlight w:val="none"/>
          <w:u w:val="single"/>
        </w:rPr>
        <w:t>2</w:t>
      </w:r>
      <w:r>
        <w:rPr>
          <w:rFonts w:hint="eastAsia" w:ascii="宋体" w:hAnsi="宋体" w:eastAsia="宋体" w:cs="宋体"/>
          <w:bCs/>
          <w:color w:val="auto"/>
          <w:sz w:val="22"/>
          <w:szCs w:val="22"/>
          <w:highlight w:val="none"/>
        </w:rPr>
        <w:t>个采暖期、供冷期；</w:t>
      </w:r>
    </w:p>
    <w:p w14:paraId="614E53D8">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6．住宅小区内的给排水设施、道路等配套工程为</w:t>
      </w:r>
      <w:r>
        <w:rPr>
          <w:rFonts w:hint="eastAsia" w:ascii="宋体" w:hAnsi="宋体" w:eastAsia="宋体" w:cs="宋体"/>
          <w:bCs/>
          <w:color w:val="auto"/>
          <w:sz w:val="22"/>
          <w:szCs w:val="22"/>
          <w:highlight w:val="none"/>
          <w:u w:val="single"/>
        </w:rPr>
        <w:t>2</w:t>
      </w:r>
      <w:r>
        <w:rPr>
          <w:rFonts w:hint="eastAsia" w:ascii="宋体" w:hAnsi="宋体" w:eastAsia="宋体" w:cs="宋体"/>
          <w:bCs/>
          <w:color w:val="auto"/>
          <w:sz w:val="22"/>
          <w:szCs w:val="22"/>
          <w:highlight w:val="none"/>
        </w:rPr>
        <w:t>年；</w:t>
      </w:r>
    </w:p>
    <w:p w14:paraId="6E6F32DD">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7．其他项目保修期限约定如下：</w:t>
      </w:r>
      <w:r>
        <w:rPr>
          <w:rFonts w:hint="eastAsia" w:ascii="宋体" w:hAnsi="宋体" w:eastAsia="宋体" w:cs="宋体"/>
          <w:bCs/>
          <w:color w:val="auto"/>
          <w:sz w:val="22"/>
          <w:szCs w:val="22"/>
          <w:highlight w:val="none"/>
          <w:u w:val="single"/>
        </w:rPr>
        <w:t>/</w:t>
      </w:r>
      <w:r>
        <w:rPr>
          <w:rFonts w:hint="eastAsia" w:ascii="宋体" w:hAnsi="宋体" w:eastAsia="宋体" w:cs="宋体"/>
          <w:bCs/>
          <w:color w:val="auto"/>
          <w:sz w:val="22"/>
          <w:szCs w:val="22"/>
          <w:highlight w:val="none"/>
        </w:rPr>
        <w:t>。</w:t>
      </w:r>
    </w:p>
    <w:p w14:paraId="351098F2">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质量保修期自工程竣工验收合格之日起计算。</w:t>
      </w:r>
    </w:p>
    <w:p w14:paraId="6C0E7494">
      <w:pPr>
        <w:snapToGrid w:val="0"/>
        <w:spacing w:line="360" w:lineRule="auto"/>
        <w:ind w:firstLine="440" w:firstLineChars="200"/>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三、缺陷责任期</w:t>
      </w:r>
    </w:p>
    <w:p w14:paraId="77B9BFC1">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工程缺陷责任期为</w:t>
      </w:r>
      <w:r>
        <w:rPr>
          <w:rFonts w:hint="eastAsia" w:ascii="宋体" w:hAnsi="宋体" w:eastAsia="宋体" w:cs="宋体"/>
          <w:bCs/>
          <w:color w:val="auto"/>
          <w:sz w:val="22"/>
          <w:szCs w:val="22"/>
          <w:highlight w:val="none"/>
          <w:u w:val="single"/>
        </w:rPr>
        <w:t xml:space="preserve">  24 </w:t>
      </w:r>
      <w:r>
        <w:rPr>
          <w:rFonts w:hint="eastAsia" w:ascii="宋体" w:hAnsi="宋体" w:eastAsia="宋体" w:cs="宋体"/>
          <w:bCs/>
          <w:color w:val="auto"/>
          <w:sz w:val="22"/>
          <w:szCs w:val="22"/>
          <w:highlight w:val="none"/>
        </w:rPr>
        <w:t>个月，缺陷责任期自工程通过竣工验收之日起计算。单位工程先于全部工程进行验收，单位工程缺陷责任期自单位工程验收合格之日起算。</w:t>
      </w:r>
    </w:p>
    <w:p w14:paraId="172E32EF">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缺陷责任期终止后，甲方应退还剩余的质量保证金。</w:t>
      </w:r>
    </w:p>
    <w:p w14:paraId="0908A180">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四、质量保修责任</w:t>
      </w:r>
    </w:p>
    <w:p w14:paraId="5D3FDB51">
      <w:pPr>
        <w:snapToGrid w:val="0"/>
        <w:spacing w:line="360" w:lineRule="auto"/>
        <w:ind w:left="105" w:leftChars="50" w:firstLine="450" w:firstLineChars="20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1．属于保修范围、内容的项目，乙方应当在接到保修通知之日起3天内派人保修。乙方不在约定期限内派人保修的，甲方可以委托他人修理。</w:t>
      </w:r>
    </w:p>
    <w:p w14:paraId="6AC279A3">
      <w:pPr>
        <w:snapToGrid w:val="0"/>
        <w:spacing w:line="360" w:lineRule="auto"/>
        <w:ind w:left="105" w:leftChars="50" w:firstLine="450" w:firstLineChars="20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2．发生紧急事故需抢修的，乙方在接到事故通知后，应当立即到达事故现场抢修。</w:t>
      </w:r>
    </w:p>
    <w:p w14:paraId="3A015BCB">
      <w:pPr>
        <w:snapToGrid w:val="0"/>
        <w:spacing w:line="360" w:lineRule="auto"/>
        <w:ind w:left="105" w:leftChars="50" w:firstLine="450" w:firstLineChars="205"/>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乙方实施保修。</w:t>
      </w:r>
    </w:p>
    <w:p w14:paraId="676208EA">
      <w:pPr>
        <w:snapToGrid w:val="0"/>
        <w:spacing w:line="360" w:lineRule="auto"/>
        <w:ind w:left="420" w:leftChars="200" w:firstLine="110" w:firstLineChars="5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4．质量保修完成后，由甲方组织验收。</w:t>
      </w:r>
    </w:p>
    <w:p w14:paraId="3B7E1778">
      <w:pPr>
        <w:snapToGrid w:val="0"/>
        <w:spacing w:line="360" w:lineRule="auto"/>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五、保修费用</w:t>
      </w:r>
    </w:p>
    <w:p w14:paraId="341DCD67">
      <w:pPr>
        <w:snapToGrid w:val="0"/>
        <w:spacing w:line="360" w:lineRule="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保修费用由造成质量缺陷的责任方承担。</w:t>
      </w:r>
    </w:p>
    <w:p w14:paraId="1FA21F04">
      <w:pPr>
        <w:snapToGrid w:val="0"/>
        <w:spacing w:line="360" w:lineRule="auto"/>
        <w:ind w:firstLine="431" w:firstLineChars="196"/>
        <w:jc w:val="left"/>
        <w:outlineLvl w:val="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六、双方约定的其他工程质量保修事项：</w:t>
      </w:r>
      <w:r>
        <w:rPr>
          <w:rFonts w:hint="eastAsia" w:ascii="宋体" w:hAnsi="宋体" w:eastAsia="宋体" w:cs="宋体"/>
          <w:bCs/>
          <w:color w:val="auto"/>
          <w:sz w:val="22"/>
          <w:szCs w:val="22"/>
          <w:highlight w:val="none"/>
          <w:u w:val="single"/>
        </w:rPr>
        <w:t xml:space="preserve">   /   </w:t>
      </w:r>
      <w:r>
        <w:rPr>
          <w:rFonts w:hint="eastAsia" w:ascii="宋体" w:hAnsi="宋体" w:eastAsia="宋体" w:cs="宋体"/>
          <w:bCs/>
          <w:color w:val="auto"/>
          <w:sz w:val="22"/>
          <w:szCs w:val="22"/>
          <w:highlight w:val="none"/>
        </w:rPr>
        <w:t>。</w:t>
      </w:r>
    </w:p>
    <w:p w14:paraId="02ADC93F">
      <w:pPr>
        <w:snapToGrid w:val="0"/>
        <w:spacing w:line="360" w:lineRule="auto"/>
        <w:ind w:firstLine="418" w:firstLineChars="19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工程质量保修书由甲方、乙方在工程竣工验收前共同签署，作为施工合同附件，其有效期限至保修期满。</w:t>
      </w:r>
    </w:p>
    <w:p w14:paraId="43CBA727">
      <w:pPr>
        <w:snapToGrid w:val="0"/>
        <w:spacing w:line="360" w:lineRule="auto"/>
        <w:ind w:firstLine="420"/>
        <w:rPr>
          <w:rFonts w:hint="eastAsia" w:ascii="宋体" w:hAnsi="宋体" w:eastAsia="宋体" w:cs="宋体"/>
          <w:bCs/>
          <w:color w:val="auto"/>
          <w:sz w:val="22"/>
          <w:szCs w:val="22"/>
          <w:highlight w:val="none"/>
        </w:rPr>
      </w:pPr>
    </w:p>
    <w:p w14:paraId="1E75F9C1">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甲方(公章)：                       乙方(公章)：</w:t>
      </w:r>
    </w:p>
    <w:p w14:paraId="7D3E360D">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地  址：                             地  址：</w:t>
      </w:r>
    </w:p>
    <w:p w14:paraId="38F6246C">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法定代表人(签字)：                   法定代表人(签字)：</w:t>
      </w:r>
    </w:p>
    <w:p w14:paraId="0796BAF1">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委托代理人(签字)：                   委托代理人(签字)：</w:t>
      </w:r>
    </w:p>
    <w:p w14:paraId="7DCBFB78">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电  话：                             电  话：</w:t>
      </w:r>
    </w:p>
    <w:p w14:paraId="2D31FBD0">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传  真：                             传  真：</w:t>
      </w:r>
    </w:p>
    <w:p w14:paraId="3C62389A">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开户银行：                           开户银行：</w:t>
      </w:r>
    </w:p>
    <w:p w14:paraId="06D84EDB">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账  号：                             账  号：</w:t>
      </w:r>
    </w:p>
    <w:p w14:paraId="067076BD">
      <w:pPr>
        <w:snapToGrid w:val="0"/>
        <w:spacing w:line="360" w:lineRule="auto"/>
        <w:ind w:firstLine="1100" w:firstLineChars="5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邮政编码：                           邮政编码：</w:t>
      </w:r>
    </w:p>
    <w:p w14:paraId="30851E23">
      <w:pPr>
        <w:snapToGrid w:val="0"/>
        <w:spacing w:line="360" w:lineRule="auto"/>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br w:type="page"/>
      </w:r>
      <w:r>
        <w:rPr>
          <w:rFonts w:hint="eastAsia" w:ascii="宋体" w:hAnsi="宋体" w:eastAsia="宋体" w:cs="宋体"/>
          <w:bCs/>
          <w:color w:val="auto"/>
          <w:sz w:val="22"/>
          <w:szCs w:val="22"/>
          <w:highlight w:val="none"/>
        </w:rPr>
        <w:t>附件二：</w:t>
      </w:r>
    </w:p>
    <w:p w14:paraId="6AD4AA7C">
      <w:pPr>
        <w:snapToGrid w:val="0"/>
        <w:spacing w:line="360" w:lineRule="auto"/>
        <w:ind w:firstLine="440" w:firstLineChars="200"/>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安全生产责任协议书</w:t>
      </w:r>
    </w:p>
    <w:p w14:paraId="201EAD82">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甲方（甲方）：</w:t>
      </w:r>
    </w:p>
    <w:p w14:paraId="1F23D515">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乙方（乙方）： </w:t>
      </w:r>
    </w:p>
    <w:p w14:paraId="712E2553">
      <w:pPr>
        <w:snapToGrid w:val="0"/>
        <w:spacing w:line="360" w:lineRule="auto"/>
        <w:ind w:firstLine="440" w:firstLineChars="200"/>
        <w:rPr>
          <w:rFonts w:hint="eastAsia" w:ascii="宋体" w:hAnsi="宋体" w:eastAsia="宋体" w:cs="宋体"/>
          <w:bCs/>
          <w:color w:val="auto"/>
          <w:kern w:val="0"/>
          <w:sz w:val="22"/>
          <w:szCs w:val="22"/>
          <w:highlight w:val="none"/>
        </w:rPr>
      </w:pPr>
      <w:r>
        <w:rPr>
          <w:rFonts w:hint="eastAsia" w:ascii="宋体" w:hAnsi="宋体" w:eastAsia="宋体" w:cs="宋体"/>
          <w:bCs/>
          <w:color w:val="auto"/>
          <w:sz w:val="22"/>
          <w:szCs w:val="22"/>
          <w:highlight w:val="none"/>
        </w:rPr>
        <w:t>工程项目名称：</w:t>
      </w:r>
    </w:p>
    <w:p w14:paraId="1A12C45C">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为落实安全生产的管理要求，确保工程建设的顺利进行，按《浙江省建筑安全文明施工标准化工地管理办法》（浙建建[2005]41号)规定，甲乙双方共同协商，一致同意如下：</w:t>
      </w:r>
    </w:p>
    <w:p w14:paraId="6E5E3A78">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一、甲方在施工开始前向乙方提交必要的施工场地，明确乙方安全生产管理的责任区域和要求，乙方负责施工现场的安全管理工作，是施工现场的安全管理的责任单位。乙方必须建立健全安全生产保证体系，建立健全应急救援体系其相关文件报甲方备案。</w:t>
      </w:r>
    </w:p>
    <w:p w14:paraId="431D223E">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二、甲方应积极组织和督促乙方开展安全达标活动，及时传达和部署上级的有关安全生产精神和要求，定期听取乙方的意见和要求。加强安全生产的指导和协调。</w:t>
      </w:r>
    </w:p>
    <w:p w14:paraId="1B4DE09E">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三、甲方负责组织对乙方安全规范作业、文明施工情况的检查，定期组织考核；对乙方及有关人员在安全生产工作中有突出贡献或成绩显著的集体、个人应给予表彰和物资奖励。对乙方及有关人员发出的违章、违法行为和存在的问题以及在安全生产、文明等创优达标活动中不积极配合的，甲方有权制止教育、责成其限期整改。</w:t>
      </w:r>
    </w:p>
    <w:p w14:paraId="52FCBC1E">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四、凡工地内发生生产事故或重大人员伤亡的，甲方派员参与劳动行政部门、司法机关调查处理。甲方可按其造成的后果及影响，对责任单位以按责任违约给予一次性经济的处理。责任违约的经济处理按约定扣除。事故造成的经济损失及因乙方责任给甲方造成的连带经济损失全部由乙方承担。</w:t>
      </w:r>
    </w:p>
    <w:p w14:paraId="3DC97CE2">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责任违约的经济处理的约定：</w:t>
      </w:r>
    </w:p>
    <w:p w14:paraId="34CA8B3F">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依据国家和地方相关法律法规、政策、规定、制度以及本工程施工合同执行。</w:t>
      </w:r>
    </w:p>
    <w:p w14:paraId="1A8D4ECC">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五、乙方应严格贯彻执行国家和市颁布的有关安全生产的法律、法规，严格按照中华人民共和国建设部建标（99）79号“关于发布行业标准《建筑施工安全检查标准》的通知”（编号JGJ59—99）的要求加强内部安全管理，落实各项安全防护措施，确保工程建设中不发生人员死亡事故。</w:t>
      </w:r>
    </w:p>
    <w:p w14:paraId="2956F31C">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六、乙方要按照安全作业规范针对本工程项目的特点、性质、规模以及施工现场条件编制施工组织设计和施工方案，制定和组织落实各项的施工安全技术措施，并向全体施工人员进行安全技术交底。严格按照施工组织设计和有关安全要求施工。</w:t>
      </w:r>
    </w:p>
    <w:p w14:paraId="6A073A71">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七、乙方进入工地后应明确落实施工现场安全生产第一责任人。根据建设部办公厅2000年10号文件要求配置专职安全管理人员。即施工人员超过50人的工地必须配置专职安全管理人员；工程造价在1000万元以上的工地，必须配置2-3名管理安全生产工作人员；工程造价在5000万元以上的工地，要按专业设置专职安全员，组成安全管理组负责工地的安全生产管理工作。并将名单报甲方备案。乙方要建立健全安全生产保证体系，落实各级安全责任制，完善各项安全生产制度（包括奖惩制度）：按照”谁施工谁负责”的原则，负责单位内部和施工责任区域的安全生产管理工作。</w:t>
      </w:r>
    </w:p>
    <w:p w14:paraId="3EAE55D2">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八、乙方对各分包单位及外聘人员的安全生产工作要纳入本单位统一管理的范围，明确要求，签订管理协议；要加强对全体施工人员安全作业、文明施工和自我保护的宣传教育；做好上岗前的安全培训，特殊工种作业人员必须做到持证上岗：进入本市施工的外市特殊作业人员，还必须经本市有关特种作业考核站进审证教育，禁止实习、学习人员现场作业。严格执行各种安全操作规程，确保施工安全。</w:t>
      </w:r>
    </w:p>
    <w:p w14:paraId="7A6A7177">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九、乙方要按照“安全自查，隐患自改、责任自负”的原则加强对施工责任区的日常安全检查。及叫制上和处理各类违章违法行为。对查获的隐患要及时落实整改措施，消除隐患。</w:t>
      </w:r>
    </w:p>
    <w:p w14:paraId="1C0ECF93">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十、乙方应主动接受甲方在安全生产工作上的业务指导，检查和督促，服从管理；对甲方的工作布置和组织的活动要积极贯彻实施和参加。对甲方给予因责任违约的经济处理如有异议可要求复核。对甲方工作人员利用职权营私舞弊、有意刁难的违法行为，有权检举揭发，要求处理。</w:t>
      </w:r>
    </w:p>
    <w:p w14:paraId="0CD95A4F">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十一、在施工现场或施工作业过程中，因乙方原因发生安全事故或造成人员伤亡的，由乙方承担处理和所有的经济赔偿责任。乙方须妥善处理事故，积极抢救受伤人员、保护现场，并按规定时限向当地安监等相关政府部门报告，并立即报告甲方，不得迟报瞒报。甲方应积极配合处理。</w:t>
      </w:r>
    </w:p>
    <w:p w14:paraId="1CFB5C8A">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十二、乙方须参加由甲方召集的每周一次的工程工作列会，对工程进度、工程质量、安全施工等情况向会议进行汇报，并接受甲方的安全检查。</w:t>
      </w:r>
    </w:p>
    <w:p w14:paraId="29678C02">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十三、乙方不准将工程项目进行整体转包。</w:t>
      </w:r>
    </w:p>
    <w:p w14:paraId="25FAA234">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十四、乙方对施工现场的安全负责。在施工过程中或施工现场，因乙方原因造成的安全事故，由乙方承担处理和所有的经济赔偿责任，乙方须按规定将事故发生情况向当地政府相关部门报告，并立即报告甲方。甲方积极协助处理。</w:t>
      </w:r>
    </w:p>
    <w:p w14:paraId="28ECBC2D">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十五、乙方须将施工作业人员名册报甲方备案，乙方的施工作业人员必须接受甲方组织的安全培训，培训合格后由甲方发给盖有甲方印章的“施工出入证”。持有“施工出入证”的人员方可进场施工作业。</w:t>
      </w:r>
    </w:p>
    <w:p w14:paraId="74EAC5D5">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十六、乙方须为施工作业人员缴纳相关保险，并在合同签订之日起的 个工作日内将缴纳保险凭证复印件交甲方。</w:t>
      </w:r>
    </w:p>
    <w:p w14:paraId="7B7E5830">
      <w:pPr>
        <w:snapToGrid w:val="0"/>
        <w:spacing w:line="360" w:lineRule="auto"/>
        <w:ind w:firstLine="440" w:firstLineChars="200"/>
        <w:rPr>
          <w:rFonts w:hint="eastAsia" w:ascii="宋体" w:hAnsi="宋体" w:eastAsia="宋体" w:cs="宋体"/>
          <w:bCs/>
          <w:color w:val="auto"/>
          <w:sz w:val="22"/>
          <w:szCs w:val="22"/>
          <w:highlight w:val="none"/>
          <w:u w:val="single"/>
        </w:rPr>
      </w:pPr>
      <w:r>
        <w:rPr>
          <w:rFonts w:hint="eastAsia" w:ascii="宋体" w:hAnsi="宋体" w:eastAsia="宋体" w:cs="宋体"/>
          <w:bCs/>
          <w:color w:val="auto"/>
          <w:sz w:val="22"/>
          <w:szCs w:val="22"/>
          <w:highlight w:val="none"/>
          <w:u w:val="single"/>
        </w:rPr>
        <w:t>十七、乙方必须严格按医院管理规范要求进场施工：必须报医院后勤处、安保处备案，并接受医院安保处的安全教育；进场施工必须佩戴胸牌，统一着装；施工垃圾及时清运，垃圾密闭包装，不得裸露在外。</w:t>
      </w:r>
    </w:p>
    <w:p w14:paraId="17FFD8BC">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十八、本协议中木涉及的有关条款，甲乙双方可根据需要协商补充修改。</w:t>
      </w:r>
    </w:p>
    <w:p w14:paraId="6D830B83">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如遇有国家和本市的有关法规不符的，应按国家和本市的有关法规执行。</w:t>
      </w:r>
    </w:p>
    <w:p w14:paraId="1E9545F5">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十九、本协议作为甲乙双方工程承包合同的附件，在工程承包合同签约后生效，与工程承包合同具有同等法律效力。工程承包合同期满，本协议终上。</w:t>
      </w:r>
    </w:p>
    <w:p w14:paraId="049EA66D">
      <w:pPr>
        <w:snapToGrid w:val="0"/>
        <w:spacing w:line="360" w:lineRule="auto"/>
        <w:ind w:firstLine="440" w:firstLineChars="200"/>
        <w:rPr>
          <w:rFonts w:hint="eastAsia" w:ascii="宋体" w:hAnsi="宋体" w:eastAsia="宋体" w:cs="宋体"/>
          <w:bCs/>
          <w:color w:val="auto"/>
          <w:sz w:val="22"/>
          <w:szCs w:val="22"/>
          <w:highlight w:val="none"/>
        </w:rPr>
      </w:pPr>
    </w:p>
    <w:p w14:paraId="1CAFCFF0">
      <w:pPr>
        <w:snapToGrid w:val="0"/>
        <w:spacing w:line="360" w:lineRule="auto"/>
        <w:ind w:firstLine="440" w:firstLineChars="200"/>
        <w:rPr>
          <w:rFonts w:hint="eastAsia" w:ascii="宋体" w:hAnsi="宋体" w:eastAsia="宋体" w:cs="宋体"/>
          <w:bCs/>
          <w:color w:val="auto"/>
          <w:sz w:val="22"/>
          <w:szCs w:val="22"/>
          <w:highlight w:val="none"/>
        </w:rPr>
      </w:pPr>
    </w:p>
    <w:p w14:paraId="1A374B9A">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甲方（公章）：                                 乙方（公章）：</w:t>
      </w:r>
    </w:p>
    <w:p w14:paraId="252B5631">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法定代表人：                                    法定代表人：</w:t>
      </w:r>
    </w:p>
    <w:p w14:paraId="239240B3">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或委托代理人：                                  或委托代理人：</w:t>
      </w:r>
    </w:p>
    <w:p w14:paraId="3439BB51">
      <w:pPr>
        <w:snapToGrid w:val="0"/>
        <w:spacing w:line="360" w:lineRule="auto"/>
        <w:ind w:firstLine="440" w:firstLineChars="20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 xml:space="preserve">      年    月    日                                  年    月    日</w:t>
      </w:r>
    </w:p>
    <w:p w14:paraId="5A617AFE">
      <w:pPr>
        <w:snapToGrid w:val="0"/>
        <w:spacing w:line="360" w:lineRule="auto"/>
        <w:ind w:firstLine="440" w:firstLineChars="200"/>
        <w:rPr>
          <w:rFonts w:hint="eastAsia" w:ascii="宋体" w:hAnsi="宋体" w:eastAsia="宋体" w:cs="宋体"/>
          <w:bCs/>
          <w:color w:val="auto"/>
          <w:sz w:val="22"/>
          <w:szCs w:val="22"/>
          <w:highlight w:val="none"/>
        </w:rPr>
      </w:pPr>
    </w:p>
    <w:p w14:paraId="56854164">
      <w:pPr>
        <w:snapToGrid w:val="0"/>
        <w:spacing w:line="360" w:lineRule="auto"/>
        <w:ind w:firstLine="440" w:firstLineChars="200"/>
        <w:jc w:val="center"/>
        <w:rPr>
          <w:rFonts w:hint="eastAsia" w:ascii="宋体" w:hAnsi="宋体" w:eastAsia="宋体" w:cs="宋体"/>
          <w:bCs/>
          <w:color w:val="auto"/>
          <w:sz w:val="22"/>
          <w:szCs w:val="22"/>
          <w:highlight w:val="none"/>
        </w:rPr>
        <w:sectPr>
          <w:footerReference r:id="rId6" w:type="default"/>
          <w:type w:val="nextColumn"/>
          <w:pgSz w:w="11906" w:h="16838"/>
          <w:pgMar w:top="1418" w:right="1588" w:bottom="1418" w:left="1588" w:header="851" w:footer="992" w:gutter="0"/>
          <w:cols w:space="720" w:num="1"/>
          <w:docGrid w:linePitch="312" w:charSpace="0"/>
        </w:sectPr>
      </w:pPr>
    </w:p>
    <w:p w14:paraId="704316AA">
      <w:pPr>
        <w:snapToGrid w:val="0"/>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color w:val="auto"/>
          <w:kern w:val="0"/>
          <w:sz w:val="22"/>
          <w:szCs w:val="22"/>
          <w:highlight w:val="none"/>
          <w:lang w:val="zh-CN"/>
        </w:rPr>
        <w:t xml:space="preserve">附件三 </w:t>
      </w:r>
    </w:p>
    <w:p w14:paraId="0D157934">
      <w:pPr>
        <w:snapToGrid w:val="0"/>
        <w:spacing w:line="360" w:lineRule="auto"/>
        <w:ind w:firstLine="442" w:firstLineChars="20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文明施工责任协议书</w:t>
      </w:r>
    </w:p>
    <w:p w14:paraId="16E9A558">
      <w:pPr>
        <w:snapToGrid w:val="0"/>
        <w:spacing w:line="360" w:lineRule="auto"/>
        <w:ind w:firstLine="440" w:firstLineChars="200"/>
        <w:rPr>
          <w:rFonts w:hint="eastAsia" w:ascii="宋体" w:hAnsi="宋体" w:eastAsia="宋体" w:cs="宋体"/>
          <w:color w:val="auto"/>
          <w:sz w:val="22"/>
          <w:szCs w:val="22"/>
          <w:highlight w:val="none"/>
        </w:rPr>
      </w:pPr>
    </w:p>
    <w:p w14:paraId="70419EC4">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 xml:space="preserve">甲方（甲方）：乙方（乙方）： </w:t>
      </w:r>
    </w:p>
    <w:p w14:paraId="032DD3C8">
      <w:pPr>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工程项目名称：</w:t>
      </w:r>
    </w:p>
    <w:p w14:paraId="70D6F89A">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为认真做好工程建设施工区域内的文明施工，现经甲、乙双方协商同意，明确在文明施工和文明施工管理中的各自职责，并签订如下协议。</w:t>
      </w:r>
    </w:p>
    <w:p w14:paraId="3E4B95F4">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一、双方同意在在工程管理和工程建设中必须坚持社会效益第一，经济效益和社会效益相—致，“方便人民生活，有利于发展生产、保护生态环境”的原则，坚持便民、利民、为民服务的宗旨。搞好工程建设中的文明施工。</w:t>
      </w:r>
    </w:p>
    <w:p w14:paraId="7D693758">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二、双方要认真贯彻”建设单位负责，施工单位实施，地方政府监督”的文明施工原则。现场由甲方代表牵头，建立参方共同参与的文明施工管理小组，负责日常管理协调工作，争创文明工地。甲方按合同有关要求，及时拨付有关费用并按市有关创建文明工地的规定，组织、指导、检查、考核、和开展选评工作，创建活动的实施由乙方负责。</w:t>
      </w:r>
    </w:p>
    <w:p w14:paraId="2CA5C45F">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三、乙方应遵守如下规定：</w:t>
      </w:r>
    </w:p>
    <w:p w14:paraId="77FC8954">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1、根据工程的特点，编制文明施工实施方案，在开工前5日内，将文明施工实施方案报甲方和市安全监督部门备案。</w:t>
      </w:r>
    </w:p>
    <w:p w14:paraId="4BF9D6CA">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2、乙方按有关规定专项包干使用文明施工费，不得挪作他用。</w:t>
      </w:r>
    </w:p>
    <w:p w14:paraId="0262368B">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3、工地应设置专职文明施工安全员，做到佩证上岗、动态管理，及时收集、记录、整理、管理台帐等技术资料。</w:t>
      </w:r>
    </w:p>
    <w:p w14:paraId="196D506A">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4、施工现场应按文明施工安全生产的要求，设置各项临时设施，并达到下列要求：</w:t>
      </w:r>
    </w:p>
    <w:p w14:paraId="1C174E0D">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（1）施工区域与非施工区域严格分隔。</w:t>
      </w:r>
    </w:p>
    <w:p w14:paraId="33AED597">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（2）施工区域内应设置能保证施工安全的夜间照明和警示标志，并采取安全防护措施。</w:t>
      </w:r>
    </w:p>
    <w:p w14:paraId="7297190C">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（3）各类材料、机具设备按工地总平面图的布置，在固定场地整齐堆放，不得侵占场内道路及安全防护等设施。</w:t>
      </w:r>
    </w:p>
    <w:p w14:paraId="531C6B11">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5、工地民工宿舍应符合卫生要求和居住条件，地面应用砼硬化，照明电线敷设应符合规范，不得任意拉线接电。宿舍应保持整洁有序，不得男女混杂居住及居住与施工无关的人员。</w:t>
      </w:r>
    </w:p>
    <w:p w14:paraId="0D47EEF4">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6、施工现场设有食堂的，应符合</w:t>
      </w:r>
      <w:r>
        <w:rPr>
          <w:rFonts w:hint="eastAsia" w:ascii="宋体" w:hAnsi="宋体" w:eastAsia="宋体" w:cs="宋体"/>
          <w:color w:val="auto"/>
          <w:sz w:val="22"/>
          <w:szCs w:val="22"/>
          <w:highlight w:val="none"/>
          <w:lang w:eastAsia="zh-CN"/>
        </w:rPr>
        <w:t>温州</w:t>
      </w:r>
      <w:r>
        <w:rPr>
          <w:rFonts w:hint="eastAsia" w:ascii="宋体" w:hAnsi="宋体" w:eastAsia="宋体" w:cs="宋体"/>
          <w:color w:val="auto"/>
          <w:sz w:val="22"/>
          <w:szCs w:val="22"/>
          <w:highlight w:val="none"/>
        </w:rPr>
        <w:t>市职工食堂管理的有关规定，并配备冷冻、冷藏设备，其位置应远离厕所、垃圾容器等污染源，炊事员应持有效健康证明及岗位培训合格证。</w:t>
      </w:r>
    </w:p>
    <w:p w14:paraId="79534FD8">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施工现场应设置茶桶、保障茶水供应。</w:t>
      </w:r>
    </w:p>
    <w:p w14:paraId="187C779D">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7、建筑垃圾和其他散体物料装运应实行车辆密闭式运输，冲洗干净后出场，运输过程中严禁沿途抛、洒、滴、漏。</w:t>
      </w:r>
    </w:p>
    <w:p w14:paraId="001A06BE">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8、乙方应当严格依照《中华人民共和国消防条例》的规定，在工地建立和执行防火管理制度，重点部位设置符合消防要求的消防设施，并保持完好的备用状态。　</w:t>
      </w:r>
    </w:p>
    <w:p w14:paraId="21179A1B">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9、遵守建设地的现场管理要求。</w:t>
      </w:r>
    </w:p>
    <w:p w14:paraId="09D81715">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10、施工单位在施工中应遵守下列规定：</w:t>
      </w:r>
    </w:p>
    <w:p w14:paraId="516858BC">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（1）完善技术和操作管理规程，确保防汛设施和地下管线通畅、安全。</w:t>
      </w:r>
    </w:p>
    <w:p w14:paraId="734B94A4">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（2）采取各种有效措施，控制扬尘、噪声。</w:t>
      </w:r>
    </w:p>
    <w:p w14:paraId="219BE39D">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（3）设置各种防护设施，防止施工中废弃物、杂物影响周围环境，伤害过往行人。</w:t>
      </w:r>
    </w:p>
    <w:p w14:paraId="3DA8AC8F">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（4）随时清理建筑垃圾，控制工地污染。</w:t>
      </w:r>
    </w:p>
    <w:p w14:paraId="7E380C7D">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（5）控制夜间施工作业，确需夜间作业的，必须事先向环保部门申办《夜间施工许可证》。</w:t>
      </w:r>
    </w:p>
    <w:p w14:paraId="1AD01F44">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（6）运用其他有效方式，减少施工时对市容、绿化和环境的不良影响。</w:t>
      </w:r>
    </w:p>
    <w:p w14:paraId="59FF798D">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（7）遵守交通管理规定，不得使用人力车、三轮车向场外运输建筑垃圾、废土、物料。</w:t>
      </w:r>
    </w:p>
    <w:p w14:paraId="5A020F86">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11、施工人员在施工中应严格遵守下列规定:</w:t>
      </w:r>
    </w:p>
    <w:p w14:paraId="4B5DB50B">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（1）施工中产生的各类垃圾应及时清运到市容环境卫生管理部门指定的地点，严禁随意倾倒在城市道路、河道、绿化带、空旷地带和居民生活垃圾容器内。</w:t>
      </w:r>
    </w:p>
    <w:p w14:paraId="392DF9F4">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（2）施工中不得随意丢弃废物、旧料和其他杂物。</w:t>
      </w:r>
    </w:p>
    <w:p w14:paraId="1FF70BDE">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（3）施工中应注意清理施工场地，做到随做随清。</w:t>
      </w:r>
    </w:p>
    <w:p w14:paraId="144A99AE">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（4）其他：</w:t>
      </w:r>
    </w:p>
    <w:p w14:paraId="0ED769B2">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12、乙方应确保工地出入口和道路的畅通、安全。施工中造成沿线单位、人员的出入口障碍和道路交通堵塞，应及时采取有效措施。</w:t>
      </w:r>
    </w:p>
    <w:p w14:paraId="0964A1F7">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13、施工中造成下水道和其他地下管线堵塞或损坏的，应立即疏浚或修复；对工地周围的单位及人员财产造成损失的，应承担经济赔偿责任。</w:t>
      </w:r>
    </w:p>
    <w:p w14:paraId="32A23BFF">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四、甲方对乙方开展创建文明土地的工作要经常性地给予指导，定期组织检查，对乙方存在的问题应及时通知乙方进行整改，并有权对乙方责任违约，按约定办法进行经济处理。</w:t>
      </w:r>
    </w:p>
    <w:p w14:paraId="1F1235B9">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五、因乙方违反文明施工管理要求，被地方政府有关部门查获而受到的经济处罚，以及由此而使甲方受到的经济损失，均由乙方承担。</w:t>
      </w:r>
    </w:p>
    <w:p w14:paraId="33E5A355">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六、本协议作为甲乙双方工程合同的附件，在工程合同正式签约后有效，与工程合同具有同等法律效力。工程合同期满，本协议终止。</w:t>
      </w:r>
    </w:p>
    <w:p w14:paraId="7FC0382F">
      <w:pPr>
        <w:snapToGrid w:val="0"/>
        <w:spacing w:line="360" w:lineRule="auto"/>
        <w:ind w:firstLine="440" w:firstLineChars="200"/>
        <w:rPr>
          <w:rFonts w:hint="eastAsia" w:ascii="宋体" w:hAnsi="宋体" w:eastAsia="宋体" w:cs="宋体"/>
          <w:color w:val="auto"/>
          <w:sz w:val="22"/>
          <w:szCs w:val="22"/>
          <w:highlight w:val="none"/>
        </w:rPr>
      </w:pPr>
    </w:p>
    <w:p w14:paraId="7F6E7199">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甲方（公章）：                                   乙方（公章）：</w:t>
      </w:r>
    </w:p>
    <w:p w14:paraId="042CF79E">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                                      法定代表人：</w:t>
      </w:r>
    </w:p>
    <w:p w14:paraId="05D419DA">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或委托代理人：                                    或委托代理人：</w:t>
      </w:r>
    </w:p>
    <w:p w14:paraId="46E18964">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                                年    月    日</w:t>
      </w:r>
    </w:p>
    <w:p w14:paraId="6284DF92">
      <w:pPr>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zh-CN"/>
        </w:rPr>
        <w:br w:type="page"/>
      </w:r>
      <w:r>
        <w:rPr>
          <w:rFonts w:hint="eastAsia" w:ascii="宋体" w:hAnsi="宋体" w:eastAsia="宋体" w:cs="宋体"/>
          <w:color w:val="auto"/>
          <w:kern w:val="0"/>
          <w:sz w:val="22"/>
          <w:szCs w:val="22"/>
          <w:highlight w:val="none"/>
          <w:lang w:val="zh-CN"/>
        </w:rPr>
        <w:t xml:space="preserve">附件四 </w:t>
      </w:r>
    </w:p>
    <w:p w14:paraId="0991E0F1">
      <w:pPr>
        <w:adjustRightInd w:val="0"/>
        <w:snapToGrid w:val="0"/>
        <w:spacing w:line="360" w:lineRule="auto"/>
        <w:ind w:firstLine="442" w:firstLineChars="20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建设工程廉洁协议书</w:t>
      </w:r>
    </w:p>
    <w:p w14:paraId="3D2596A8">
      <w:pPr>
        <w:adjustRightInd w:val="0"/>
        <w:snapToGrid w:val="0"/>
        <w:spacing w:line="360" w:lineRule="auto"/>
        <w:ind w:firstLine="440" w:firstLineChars="200"/>
        <w:rPr>
          <w:rFonts w:hint="eastAsia" w:ascii="宋体" w:hAnsi="宋体" w:eastAsia="宋体" w:cs="宋体"/>
          <w:color w:val="auto"/>
          <w:sz w:val="22"/>
          <w:szCs w:val="22"/>
          <w:highlight w:val="none"/>
        </w:rPr>
      </w:pPr>
    </w:p>
    <w:p w14:paraId="2EA1D332">
      <w:pPr>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 xml:space="preserve">甲方（甲方）：乙方（乙方）： </w:t>
      </w:r>
    </w:p>
    <w:p w14:paraId="6D4C4266">
      <w:pPr>
        <w:adjustRightInd w:val="0"/>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工程项目名称：</w:t>
      </w:r>
    </w:p>
    <w:p w14:paraId="5833FC5D">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为了在工程建设中保持廉政自律的工作作风，防止各种不正当行为的发生，根据国家和省市有关建设工程承发包和廉政建设的各项规定，结合工程建设的特点，订立本协议如下：</w:t>
      </w:r>
    </w:p>
    <w:p w14:paraId="62782D41">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一、甲乙双方应当自觉遵守国家和市关于建设工程承发包工作规则以及有关廉政建设的各项规定。</w:t>
      </w:r>
    </w:p>
    <w:p w14:paraId="61BB148A">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二、甲方及其工作人员不得以任何形式向乙方索要和收受回扣等好处费。</w:t>
      </w:r>
    </w:p>
    <w:p w14:paraId="03A895F5">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三、甲方工作人员应当保持与乙方的正常业务交往，不得接受乙方的现金、有价证券和贵重物品，不得在乙方报销任何应有个人支付的费用。</w:t>
      </w:r>
    </w:p>
    <w:p w14:paraId="3C993384">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四、甲方工作人员不得参加可能对公正执行公务有影响的宴请和娱乐活动。</w:t>
      </w:r>
    </w:p>
    <w:p w14:paraId="75C42134">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五、甲方工作人员不得要求接受乙方为其住房装修、婚丧嫁娶、家属和子女的工作安排以及出国等提供方便。</w:t>
      </w:r>
    </w:p>
    <w:p w14:paraId="4FAA8849">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六、甲方工作人员不得向乙方介绍家属或者亲友从事与甲方工程有关的材料设备供应、工程分包等经济活动。</w:t>
      </w:r>
    </w:p>
    <w:p w14:paraId="253573A1">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七、乙方应当通过正常途径开展相对业务工作，不得为获取某些不正当利益而向甲方工作人员赠送礼金、有价证券和贵重物品等。</w:t>
      </w:r>
    </w:p>
    <w:p w14:paraId="61E85FD6">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八、乙方不得为谋取私利擅自与甲方工作人员就工程承包、工程费用、材料设备供应、工程量变动、工程验收、工程质量问题处理等进行私下商谈或者达成默契。</w:t>
      </w:r>
    </w:p>
    <w:p w14:paraId="02A4DDAC">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九、乙方不得以洽谈业务、签订经济合同为借口，邀请甲方工作人员外出旅游和进入高档娱乐性场所。</w:t>
      </w:r>
    </w:p>
    <w:p w14:paraId="04BBA726">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十、乙方不得为甲方和个人购置或者提供通讯工具、家电、高档办公用品等物品。</w:t>
      </w:r>
    </w:p>
    <w:p w14:paraId="4612BD88">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一、乙方如发现甲方工作人员有违反上述协议者，应向甲方领导或者甲方上级单位举报。甲方不得找任何借口对乙方进行报复。甲方对举报属实和严格遵守廉政协议的乙方，在同等条件下给予承接后续工程的优先邀请投标权。</w:t>
      </w:r>
    </w:p>
    <w:p w14:paraId="1128B50F">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二、甲方发现乙方有违反本协议或者采用不正当的手段行贿甲方工作人员，甲方根据具体情节和造成的后果追究乙方工程合同造价1%—5%的违约金，由此给甲方造成的损失均由乙方承担，乙方用不正当手段获取的非法所得由甲方单位予以追缴。</w:t>
      </w:r>
    </w:p>
    <w:p w14:paraId="48D857CF">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十三、严格执行中纪委下发的中纪发【2007】7号《中共中央纪委关于严格禁止利用职务上的便利谋取不正当利益的若干规定》。</w:t>
      </w:r>
    </w:p>
    <w:p w14:paraId="2FDC6C66">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十四、本廉政协议作为工程承发包合同的附件，与工程承发包合同具有同等法律效力，经协议双方签署后立即生效。</w:t>
      </w:r>
    </w:p>
    <w:p w14:paraId="33DC3E8A">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十五、本协议一式三份，甲、乙双方各执一份，送交见证部门一份。</w:t>
      </w:r>
    </w:p>
    <w:p w14:paraId="24AB67F6">
      <w:pPr>
        <w:adjustRightInd w:val="0"/>
        <w:snapToGrid w:val="0"/>
        <w:spacing w:line="360" w:lineRule="auto"/>
        <w:ind w:firstLine="440" w:firstLineChars="200"/>
        <w:rPr>
          <w:rFonts w:hint="eastAsia" w:ascii="宋体" w:hAnsi="宋体" w:eastAsia="宋体" w:cs="宋体"/>
          <w:color w:val="auto"/>
          <w:sz w:val="22"/>
          <w:szCs w:val="22"/>
          <w:highlight w:val="none"/>
        </w:rPr>
      </w:pPr>
    </w:p>
    <w:p w14:paraId="267EABCA">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甲方（公章）：                                   乙方（公章）：</w:t>
      </w:r>
    </w:p>
    <w:p w14:paraId="5B5C09C1">
      <w:pPr>
        <w:adjustRightInd w:val="0"/>
        <w:snapToGrid w:val="0"/>
        <w:spacing w:line="360" w:lineRule="auto"/>
        <w:ind w:firstLine="440" w:firstLineChars="200"/>
        <w:rPr>
          <w:rFonts w:hint="eastAsia" w:ascii="宋体" w:hAnsi="宋体" w:eastAsia="宋体" w:cs="宋体"/>
          <w:color w:val="auto"/>
          <w:sz w:val="22"/>
          <w:szCs w:val="22"/>
          <w:highlight w:val="none"/>
        </w:rPr>
      </w:pPr>
    </w:p>
    <w:p w14:paraId="77B8FE92">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                                      法定代表人：</w:t>
      </w:r>
    </w:p>
    <w:p w14:paraId="4BF09417">
      <w:pPr>
        <w:adjustRightInd w:val="0"/>
        <w:snapToGrid w:val="0"/>
        <w:spacing w:line="360" w:lineRule="auto"/>
        <w:ind w:firstLine="440" w:firstLineChars="200"/>
        <w:rPr>
          <w:rFonts w:hint="eastAsia" w:ascii="宋体" w:hAnsi="宋体" w:eastAsia="宋体" w:cs="宋体"/>
          <w:color w:val="auto"/>
          <w:sz w:val="22"/>
          <w:szCs w:val="22"/>
          <w:highlight w:val="none"/>
        </w:rPr>
      </w:pPr>
    </w:p>
    <w:p w14:paraId="33A492B7">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或委托代理人：                                    或委托代理人：</w:t>
      </w:r>
    </w:p>
    <w:p w14:paraId="585BCD6F">
      <w:pPr>
        <w:adjustRightInd w:val="0"/>
        <w:snapToGrid w:val="0"/>
        <w:spacing w:line="360" w:lineRule="auto"/>
        <w:ind w:firstLine="440" w:firstLineChars="200"/>
        <w:rPr>
          <w:rFonts w:hint="eastAsia" w:ascii="宋体" w:hAnsi="宋体" w:eastAsia="宋体" w:cs="宋体"/>
          <w:color w:val="auto"/>
          <w:sz w:val="22"/>
          <w:szCs w:val="22"/>
          <w:highlight w:val="none"/>
        </w:rPr>
      </w:pPr>
    </w:p>
    <w:p w14:paraId="29653569">
      <w:pPr>
        <w:adjustRightInd w:val="0"/>
        <w:snapToGrid w:val="0"/>
        <w:spacing w:line="360" w:lineRule="auto"/>
        <w:ind w:firstLine="990" w:firstLineChars="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年    月   日                                     年    月   日</w:t>
      </w:r>
    </w:p>
    <w:p w14:paraId="738B8A0F">
      <w:pPr>
        <w:snapToGrid w:val="0"/>
        <w:spacing w:line="340" w:lineRule="exact"/>
        <w:rPr>
          <w:rFonts w:hint="eastAsia" w:ascii="宋体" w:hAnsi="宋体" w:eastAsia="宋体" w:cs="宋体"/>
          <w:b/>
          <w:color w:val="auto"/>
          <w:sz w:val="22"/>
          <w:highlight w:val="none"/>
        </w:rPr>
      </w:pPr>
    </w:p>
    <w:p w14:paraId="04A20E4F">
      <w:pPr>
        <w:snapToGrid w:val="0"/>
        <w:spacing w:line="400" w:lineRule="exact"/>
        <w:ind w:firstLine="437" w:firstLineChars="198"/>
        <w:rPr>
          <w:rFonts w:hint="eastAsia" w:ascii="宋体" w:hAnsi="宋体" w:eastAsia="宋体" w:cs="宋体"/>
          <w:color w:val="auto"/>
          <w:sz w:val="22"/>
          <w:szCs w:val="22"/>
          <w:highlight w:val="none"/>
        </w:rPr>
      </w:pPr>
      <w:r>
        <w:rPr>
          <w:rFonts w:hint="eastAsia" w:ascii="宋体" w:hAnsi="宋体" w:eastAsia="宋体" w:cs="宋体"/>
          <w:b/>
          <w:color w:val="auto"/>
          <w:sz w:val="22"/>
          <w:highlight w:val="none"/>
        </w:rPr>
        <w:t>注：本合同作为示范文本，具体以中标供应商与采购人所签定正式合同为准。</w:t>
      </w:r>
    </w:p>
    <w:p w14:paraId="730E49DD">
      <w:pPr>
        <w:ind w:firstLine="420" w:firstLineChars="200"/>
        <w:rPr>
          <w:rFonts w:hint="eastAsia" w:ascii="宋体" w:hAnsi="宋体" w:eastAsia="宋体" w:cs="宋体"/>
          <w:color w:val="auto"/>
          <w:szCs w:val="21"/>
          <w:highlight w:val="none"/>
        </w:rPr>
        <w:sectPr>
          <w:footerReference r:id="rId7" w:type="default"/>
          <w:pgSz w:w="11906" w:h="16838"/>
          <w:pgMar w:top="1134" w:right="680" w:bottom="1134" w:left="737" w:header="397" w:footer="482" w:gutter="0"/>
          <w:pgNumType w:start="77"/>
          <w:cols w:space="720" w:num="1"/>
          <w:docGrid w:linePitch="323" w:charSpace="0"/>
        </w:sectPr>
      </w:pPr>
    </w:p>
    <w:p w14:paraId="1D46848F">
      <w:pPr>
        <w:autoSpaceDE w:val="0"/>
        <w:autoSpaceDN w:val="0"/>
        <w:snapToGrid w:val="0"/>
        <w:spacing w:line="420" w:lineRule="exact"/>
        <w:jc w:val="center"/>
        <w:rPr>
          <w:rFonts w:hint="eastAsia" w:hAnsi="宋体"/>
          <w:color w:val="auto"/>
          <w:sz w:val="36"/>
          <w:szCs w:val="36"/>
          <w:highlight w:val="none"/>
        </w:rPr>
      </w:pPr>
    </w:p>
    <w:p w14:paraId="02AE1511">
      <w:pPr>
        <w:autoSpaceDE w:val="0"/>
        <w:autoSpaceDN w:val="0"/>
        <w:snapToGrid w:val="0"/>
        <w:spacing w:line="420" w:lineRule="exact"/>
        <w:jc w:val="center"/>
        <w:rPr>
          <w:rFonts w:hint="eastAsia" w:hAnsi="宋体"/>
          <w:color w:val="auto"/>
          <w:sz w:val="36"/>
          <w:szCs w:val="36"/>
          <w:highlight w:val="none"/>
        </w:rPr>
      </w:pPr>
    </w:p>
    <w:p w14:paraId="74316CF6">
      <w:pPr>
        <w:autoSpaceDE w:val="0"/>
        <w:autoSpaceDN w:val="0"/>
        <w:snapToGrid w:val="0"/>
        <w:spacing w:line="420" w:lineRule="exact"/>
        <w:jc w:val="center"/>
        <w:rPr>
          <w:rFonts w:hint="eastAsia" w:hAnsi="宋体"/>
          <w:color w:val="auto"/>
          <w:sz w:val="36"/>
          <w:szCs w:val="36"/>
          <w:highlight w:val="none"/>
        </w:rPr>
      </w:pPr>
    </w:p>
    <w:p w14:paraId="1FC02118">
      <w:pPr>
        <w:autoSpaceDE w:val="0"/>
        <w:autoSpaceDN w:val="0"/>
        <w:snapToGrid w:val="0"/>
        <w:spacing w:line="420" w:lineRule="exact"/>
        <w:jc w:val="center"/>
        <w:rPr>
          <w:rFonts w:hint="eastAsia" w:hAnsi="宋体"/>
          <w:color w:val="auto"/>
          <w:sz w:val="36"/>
          <w:szCs w:val="36"/>
          <w:highlight w:val="none"/>
        </w:rPr>
      </w:pPr>
    </w:p>
    <w:p w14:paraId="4D0D11A2">
      <w:pPr>
        <w:autoSpaceDE w:val="0"/>
        <w:autoSpaceDN w:val="0"/>
        <w:snapToGrid w:val="0"/>
        <w:spacing w:line="420" w:lineRule="exact"/>
        <w:jc w:val="center"/>
        <w:rPr>
          <w:rFonts w:hint="eastAsia" w:hAnsi="宋体"/>
          <w:color w:val="auto"/>
          <w:sz w:val="36"/>
          <w:szCs w:val="36"/>
          <w:highlight w:val="none"/>
        </w:rPr>
      </w:pPr>
    </w:p>
    <w:p w14:paraId="5D69A1A0">
      <w:pPr>
        <w:autoSpaceDE w:val="0"/>
        <w:autoSpaceDN w:val="0"/>
        <w:snapToGrid w:val="0"/>
        <w:spacing w:line="420" w:lineRule="exact"/>
        <w:jc w:val="center"/>
        <w:rPr>
          <w:rFonts w:hint="eastAsia" w:hAnsi="宋体"/>
          <w:color w:val="auto"/>
          <w:sz w:val="36"/>
          <w:szCs w:val="36"/>
          <w:highlight w:val="none"/>
        </w:rPr>
      </w:pPr>
    </w:p>
    <w:p w14:paraId="013F0428">
      <w:pPr>
        <w:autoSpaceDE w:val="0"/>
        <w:autoSpaceDN w:val="0"/>
        <w:snapToGrid w:val="0"/>
        <w:spacing w:line="420" w:lineRule="exact"/>
        <w:jc w:val="center"/>
        <w:rPr>
          <w:rFonts w:hint="eastAsia" w:hAnsi="宋体"/>
          <w:color w:val="auto"/>
          <w:sz w:val="36"/>
          <w:szCs w:val="36"/>
          <w:highlight w:val="none"/>
        </w:rPr>
      </w:pPr>
    </w:p>
    <w:p w14:paraId="4A02FA2B">
      <w:pPr>
        <w:autoSpaceDE w:val="0"/>
        <w:autoSpaceDN w:val="0"/>
        <w:snapToGrid w:val="0"/>
        <w:spacing w:line="420" w:lineRule="exact"/>
        <w:jc w:val="center"/>
        <w:rPr>
          <w:rFonts w:hint="eastAsia" w:hAnsi="宋体"/>
          <w:color w:val="auto"/>
          <w:sz w:val="36"/>
          <w:szCs w:val="36"/>
          <w:highlight w:val="none"/>
        </w:rPr>
      </w:pPr>
    </w:p>
    <w:p w14:paraId="7DDBE36D">
      <w:pPr>
        <w:autoSpaceDE w:val="0"/>
        <w:autoSpaceDN w:val="0"/>
        <w:snapToGrid w:val="0"/>
        <w:spacing w:line="420" w:lineRule="exact"/>
        <w:jc w:val="both"/>
        <w:rPr>
          <w:rFonts w:hint="eastAsia" w:hAnsi="宋体"/>
          <w:color w:val="auto"/>
          <w:sz w:val="36"/>
          <w:szCs w:val="36"/>
          <w:highlight w:val="none"/>
        </w:rPr>
      </w:pPr>
    </w:p>
    <w:p w14:paraId="55C9A54D">
      <w:pPr>
        <w:autoSpaceDE w:val="0"/>
        <w:autoSpaceDN w:val="0"/>
        <w:snapToGrid w:val="0"/>
        <w:spacing w:line="420" w:lineRule="exact"/>
        <w:jc w:val="center"/>
        <w:rPr>
          <w:rFonts w:hint="eastAsia" w:hAnsi="宋体"/>
          <w:color w:val="auto"/>
          <w:sz w:val="36"/>
          <w:szCs w:val="36"/>
          <w:highlight w:val="none"/>
        </w:rPr>
      </w:pPr>
      <w:r>
        <w:rPr>
          <w:rFonts w:hint="eastAsia" w:hAnsi="宋体"/>
          <w:color w:val="auto"/>
          <w:sz w:val="36"/>
          <w:szCs w:val="36"/>
          <w:highlight w:val="none"/>
        </w:rPr>
        <w:t>第六部分    附件—投标文件格式</w:t>
      </w:r>
    </w:p>
    <w:p w14:paraId="5844EC9F">
      <w:pPr>
        <w:pStyle w:val="39"/>
        <w:snapToGrid w:val="0"/>
        <w:spacing w:line="500" w:lineRule="exact"/>
        <w:rPr>
          <w:rFonts w:hAnsi="宋体"/>
          <w:color w:val="auto"/>
          <w:sz w:val="30"/>
          <w:highlight w:val="none"/>
        </w:rPr>
      </w:pPr>
    </w:p>
    <w:p w14:paraId="3C3BFED1">
      <w:pPr>
        <w:snapToGrid w:val="0"/>
        <w:spacing w:line="460" w:lineRule="atLeast"/>
        <w:jc w:val="center"/>
        <w:rPr>
          <w:rFonts w:hint="eastAsia"/>
          <w:color w:val="auto"/>
          <w:sz w:val="36"/>
          <w:highlight w:val="none"/>
        </w:rPr>
      </w:pPr>
      <w:r>
        <w:rPr>
          <w:rFonts w:hint="eastAsia"/>
          <w:color w:val="auto"/>
          <w:sz w:val="36"/>
          <w:highlight w:val="none"/>
        </w:rPr>
        <w:t>（未提供格式的由供应商自拟）</w:t>
      </w:r>
    </w:p>
    <w:p w14:paraId="7C938715">
      <w:pPr>
        <w:spacing w:line="360" w:lineRule="auto"/>
        <w:ind w:firstLine="424" w:firstLineChars="151"/>
        <w:rPr>
          <w:rFonts w:ascii="仿宋" w:hAnsi="仿宋" w:eastAsia="仿宋"/>
          <w:b/>
          <w:color w:val="auto"/>
          <w:sz w:val="28"/>
          <w:szCs w:val="22"/>
          <w:highlight w:val="none"/>
        </w:rPr>
      </w:pPr>
    </w:p>
    <w:p w14:paraId="064C45CC">
      <w:pPr>
        <w:spacing w:line="360" w:lineRule="auto"/>
        <w:ind w:firstLine="424" w:firstLineChars="151"/>
        <w:rPr>
          <w:rFonts w:ascii="仿宋" w:hAnsi="仿宋" w:eastAsia="仿宋"/>
          <w:b/>
          <w:color w:val="auto"/>
          <w:sz w:val="28"/>
          <w:szCs w:val="22"/>
          <w:highlight w:val="none"/>
        </w:rPr>
      </w:pPr>
    </w:p>
    <w:p w14:paraId="66AFD6DF">
      <w:pPr>
        <w:spacing w:line="360" w:lineRule="auto"/>
        <w:ind w:firstLine="424" w:firstLineChars="151"/>
        <w:rPr>
          <w:rFonts w:ascii="仿宋" w:hAnsi="仿宋" w:eastAsia="仿宋"/>
          <w:b/>
          <w:color w:val="auto"/>
          <w:sz w:val="28"/>
          <w:szCs w:val="22"/>
          <w:highlight w:val="none"/>
        </w:rPr>
      </w:pPr>
      <w:r>
        <w:rPr>
          <w:rFonts w:ascii="仿宋" w:hAnsi="仿宋" w:eastAsia="仿宋"/>
          <w:b/>
          <w:color w:val="auto"/>
          <w:sz w:val="28"/>
          <w:szCs w:val="22"/>
          <w:highlight w:val="none"/>
        </w:rPr>
        <w:t>重要提示：</w:t>
      </w:r>
    </w:p>
    <w:p w14:paraId="5D3657D7">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（1）</w:t>
      </w:r>
      <w:r>
        <w:rPr>
          <w:rFonts w:hint="eastAsia" w:ascii="仿宋" w:hAnsi="仿宋" w:eastAsia="仿宋"/>
          <w:b/>
          <w:color w:val="auto"/>
          <w:sz w:val="28"/>
          <w:szCs w:val="28"/>
          <w:highlight w:val="none"/>
          <w:u w:val="single"/>
        </w:rPr>
        <w:t>本章节中有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14:paraId="00D2AA16">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（2）</w:t>
      </w:r>
      <w:r>
        <w:rPr>
          <w:rFonts w:hint="eastAsia" w:ascii="仿宋" w:hAnsi="仿宋" w:eastAsia="仿宋"/>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14:paraId="539158A5">
      <w:pPr>
        <w:pStyle w:val="26"/>
        <w:rPr>
          <w:color w:val="auto"/>
          <w:highlight w:val="none"/>
        </w:rPr>
      </w:pPr>
      <w:bookmarkStart w:id="555" w:name="_Toc30408914"/>
      <w:bookmarkStart w:id="556" w:name="_Toc24550049"/>
    </w:p>
    <w:p w14:paraId="3E19462F">
      <w:pPr>
        <w:pStyle w:val="32"/>
        <w:rPr>
          <w:color w:val="auto"/>
          <w:highlight w:val="none"/>
        </w:rPr>
      </w:pPr>
    </w:p>
    <w:bookmarkEnd w:id="555"/>
    <w:bookmarkEnd w:id="556"/>
    <w:p w14:paraId="0AEF75AF">
      <w:pPr>
        <w:pStyle w:val="26"/>
        <w:rPr>
          <w:rFonts w:hint="eastAsia"/>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p>
    <w:p w14:paraId="75F24F7F">
      <w:pPr>
        <w:pStyle w:val="27"/>
        <w:rPr>
          <w:rFonts w:hint="eastAsia"/>
          <w:color w:val="auto"/>
          <w:highlight w:val="none"/>
        </w:rPr>
      </w:pPr>
      <w:r>
        <w:rPr>
          <w:rFonts w:hint="eastAsia"/>
          <w:color w:val="auto"/>
          <w:highlight w:val="none"/>
        </w:rPr>
        <w:t>1.1 “资格文件”封面</w:t>
      </w:r>
    </w:p>
    <w:p w14:paraId="477F8DD1">
      <w:pPr>
        <w:spacing w:line="360" w:lineRule="auto"/>
        <w:jc w:val="right"/>
        <w:rPr>
          <w:rFonts w:ascii="Arial" w:hAnsi="Arial" w:eastAsia="新宋体"/>
          <w:b/>
          <w:color w:val="auto"/>
          <w:sz w:val="32"/>
          <w:szCs w:val="22"/>
          <w:highlight w:val="none"/>
        </w:rPr>
      </w:pPr>
    </w:p>
    <w:p w14:paraId="3E1A24DE">
      <w:pPr>
        <w:pStyle w:val="78"/>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平阳县社会心理服务综合体装修、办公家具软装及设备采购(重)</w:t>
      </w:r>
    </w:p>
    <w:p w14:paraId="2A41FF66">
      <w:pPr>
        <w:spacing w:line="360" w:lineRule="auto"/>
        <w:jc w:val="center"/>
        <w:rPr>
          <w:rFonts w:ascii="Arial" w:hAnsi="Arial" w:eastAsia="新宋体"/>
          <w:b/>
          <w:color w:val="auto"/>
          <w:sz w:val="52"/>
          <w:szCs w:val="22"/>
          <w:highlight w:val="none"/>
        </w:rPr>
      </w:pPr>
    </w:p>
    <w:p w14:paraId="6A0B407D">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27D5886F">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（资格文件）</w:t>
      </w:r>
    </w:p>
    <w:p w14:paraId="5C1CF32B">
      <w:pPr>
        <w:spacing w:line="360" w:lineRule="auto"/>
        <w:jc w:val="center"/>
        <w:rPr>
          <w:rFonts w:ascii="华文中宋" w:hAnsi="华文中宋" w:eastAsia="华文中宋"/>
          <w:b/>
          <w:color w:val="auto"/>
          <w:sz w:val="52"/>
          <w:szCs w:val="22"/>
          <w:highlight w:val="none"/>
        </w:rPr>
      </w:pPr>
    </w:p>
    <w:tbl>
      <w:tblPr>
        <w:tblStyle w:val="20"/>
        <w:tblW w:w="0" w:type="auto"/>
        <w:tblInd w:w="142" w:type="dxa"/>
        <w:tblLayout w:type="fixed"/>
        <w:tblCellMar>
          <w:top w:w="0" w:type="dxa"/>
          <w:left w:w="108" w:type="dxa"/>
          <w:bottom w:w="0" w:type="dxa"/>
          <w:right w:w="108" w:type="dxa"/>
        </w:tblCellMar>
      </w:tblPr>
      <w:tblGrid>
        <w:gridCol w:w="8789"/>
      </w:tblGrid>
      <w:tr w14:paraId="2BC633E8">
        <w:tblPrEx>
          <w:tblCellMar>
            <w:top w:w="0" w:type="dxa"/>
            <w:left w:w="108" w:type="dxa"/>
            <w:bottom w:w="0" w:type="dxa"/>
            <w:right w:w="108" w:type="dxa"/>
          </w:tblCellMar>
        </w:tblPrEx>
        <w:trPr>
          <w:trHeight w:val="680" w:hRule="atLeast"/>
        </w:trPr>
        <w:tc>
          <w:tcPr>
            <w:tcW w:w="8789" w:type="dxa"/>
            <w:vAlign w:val="center"/>
          </w:tcPr>
          <w:p w14:paraId="698AD9F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00280FC5">
        <w:tblPrEx>
          <w:tblCellMar>
            <w:top w:w="0" w:type="dxa"/>
            <w:left w:w="108" w:type="dxa"/>
            <w:bottom w:w="0" w:type="dxa"/>
            <w:right w:w="108" w:type="dxa"/>
          </w:tblCellMar>
        </w:tblPrEx>
        <w:trPr>
          <w:trHeight w:val="680" w:hRule="atLeast"/>
        </w:trPr>
        <w:tc>
          <w:tcPr>
            <w:tcW w:w="8789" w:type="dxa"/>
            <w:vAlign w:val="center"/>
          </w:tcPr>
          <w:p w14:paraId="4A1D2E8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52D6D71B">
        <w:tblPrEx>
          <w:tblCellMar>
            <w:top w:w="0" w:type="dxa"/>
            <w:left w:w="108" w:type="dxa"/>
            <w:bottom w:w="0" w:type="dxa"/>
            <w:right w:w="108" w:type="dxa"/>
          </w:tblCellMar>
        </w:tblPrEx>
        <w:trPr>
          <w:trHeight w:val="680" w:hRule="atLeast"/>
        </w:trPr>
        <w:tc>
          <w:tcPr>
            <w:tcW w:w="8789" w:type="dxa"/>
            <w:vAlign w:val="center"/>
          </w:tcPr>
          <w:p w14:paraId="51084659">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43B2D73F">
        <w:tblPrEx>
          <w:tblCellMar>
            <w:top w:w="0" w:type="dxa"/>
            <w:left w:w="108" w:type="dxa"/>
            <w:bottom w:w="0" w:type="dxa"/>
            <w:right w:w="108" w:type="dxa"/>
          </w:tblCellMar>
        </w:tblPrEx>
        <w:trPr>
          <w:trHeight w:val="680" w:hRule="atLeast"/>
        </w:trPr>
        <w:tc>
          <w:tcPr>
            <w:tcW w:w="8789" w:type="dxa"/>
            <w:vAlign w:val="center"/>
          </w:tcPr>
          <w:p w14:paraId="51A552F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6FE687E2">
        <w:tblPrEx>
          <w:tblCellMar>
            <w:top w:w="0" w:type="dxa"/>
            <w:left w:w="108" w:type="dxa"/>
            <w:bottom w:w="0" w:type="dxa"/>
            <w:right w:w="108" w:type="dxa"/>
          </w:tblCellMar>
        </w:tblPrEx>
        <w:trPr>
          <w:trHeight w:val="680" w:hRule="atLeast"/>
        </w:trPr>
        <w:tc>
          <w:tcPr>
            <w:tcW w:w="8789" w:type="dxa"/>
            <w:vAlign w:val="center"/>
          </w:tcPr>
          <w:p w14:paraId="571DFB25">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bl>
    <w:p w14:paraId="69724863">
      <w:pPr>
        <w:pStyle w:val="27"/>
        <w:rPr>
          <w:rFonts w:ascii="Times New Roman" w:hAnsi="Times New Roman"/>
          <w:color w:val="auto"/>
          <w:highlight w:val="none"/>
        </w:rPr>
      </w:pPr>
      <w:r>
        <w:rPr>
          <w:rFonts w:ascii="Times New Roman" w:hAnsi="Times New Roman"/>
          <w:color w:val="auto"/>
          <w:highlight w:val="none"/>
        </w:rPr>
        <w:br w:type="page"/>
      </w:r>
      <w:r>
        <w:rPr>
          <w:rFonts w:hint="eastAsia"/>
          <w:color w:val="auto"/>
          <w:highlight w:val="none"/>
        </w:rPr>
        <w:t>1.2供应商资格审查声明函</w:t>
      </w:r>
    </w:p>
    <w:p w14:paraId="6D08EAC4">
      <w:pPr>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供应商资格审查声明函</w:t>
      </w:r>
    </w:p>
    <w:p w14:paraId="5849F5B1">
      <w:pPr>
        <w:spacing w:line="360" w:lineRule="auto"/>
        <w:rPr>
          <w:rFonts w:hint="eastAsia" w:ascii="仿宋" w:hAnsi="仿宋" w:eastAsia="仿宋"/>
          <w:b/>
          <w:color w:val="auto"/>
          <w:sz w:val="32"/>
          <w:szCs w:val="28"/>
          <w:highlight w:val="none"/>
          <w:u w:val="single"/>
          <w:lang w:eastAsia="zh-CN"/>
        </w:rPr>
      </w:pPr>
      <w:r>
        <w:rPr>
          <w:rFonts w:hint="eastAsia" w:ascii="仿宋" w:hAnsi="仿宋" w:eastAsia="仿宋"/>
          <w:b/>
          <w:color w:val="auto"/>
          <w:sz w:val="32"/>
          <w:szCs w:val="28"/>
          <w:highlight w:val="none"/>
          <w:u w:val="single"/>
          <w:lang w:eastAsia="zh-CN"/>
        </w:rPr>
        <w:t>平阳县兴阳控股集团有限公司</w:t>
      </w:r>
      <w:r>
        <w:rPr>
          <w:rFonts w:hint="eastAsia" w:ascii="仿宋" w:hAnsi="仿宋" w:eastAsia="仿宋"/>
          <w:b/>
          <w:color w:val="auto"/>
          <w:sz w:val="32"/>
          <w:szCs w:val="28"/>
          <w:highlight w:val="none"/>
          <w:u w:val="single"/>
        </w:rPr>
        <w:t xml:space="preserve"> </w:t>
      </w:r>
      <w:r>
        <w:rPr>
          <w:rFonts w:hint="eastAsia" w:ascii="仿宋" w:hAnsi="仿宋" w:eastAsia="仿宋"/>
          <w:b/>
          <w:color w:val="auto"/>
          <w:w w:val="90"/>
          <w:sz w:val="28"/>
          <w:szCs w:val="22"/>
          <w:highlight w:val="none"/>
          <w:u w:val="single"/>
        </w:rPr>
        <w:t>：</w:t>
      </w:r>
    </w:p>
    <w:p w14:paraId="72364E37">
      <w:pPr>
        <w:pStyle w:val="49"/>
        <w:keepNext w:val="0"/>
        <w:keepLines w:val="0"/>
        <w:pageBreakBefore w:val="0"/>
        <w:shd w:val="clear" w:color="auto" w:fill="FFFFFF"/>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（供应商名称）</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参与</w:t>
      </w:r>
      <w:r>
        <w:rPr>
          <w:rFonts w:hint="eastAsia" w:ascii="宋体" w:hAnsi="宋体" w:eastAsia="宋体"/>
          <w:color w:val="auto"/>
          <w:sz w:val="22"/>
          <w:szCs w:val="22"/>
          <w:highlight w:val="none"/>
          <w:u w:val="single"/>
        </w:rPr>
        <w:t xml:space="preserve">    </w:t>
      </w:r>
      <w:r>
        <w:rPr>
          <w:rFonts w:hint="eastAsia" w:ascii="宋体" w:hAnsi="宋体" w:eastAsia="宋体"/>
          <w:i/>
          <w:iCs/>
          <w:color w:val="auto"/>
          <w:sz w:val="22"/>
          <w:szCs w:val="22"/>
          <w:highlight w:val="none"/>
          <w:u w:val="single"/>
        </w:rPr>
        <w:t xml:space="preserve">  （项目名称）   </w:t>
      </w:r>
      <w:r>
        <w:rPr>
          <w:rFonts w:hint="eastAsia" w:ascii="宋体" w:hAnsi="宋体" w:eastAsia="宋体"/>
          <w:color w:val="auto"/>
          <w:sz w:val="22"/>
          <w:szCs w:val="22"/>
          <w:highlight w:val="none"/>
        </w:rPr>
        <w:t>政府采购活动，针对</w:t>
      </w:r>
      <w:r>
        <w:rPr>
          <w:rFonts w:hint="eastAsia" w:ascii="宋体" w:hAnsi="宋体"/>
          <w:color w:val="auto"/>
          <w:sz w:val="22"/>
          <w:szCs w:val="22"/>
          <w:highlight w:val="none"/>
        </w:rPr>
        <w:t>《平阳县县属国有企业采购管理办法（试行）》第十四条</w:t>
      </w:r>
      <w:r>
        <w:rPr>
          <w:rFonts w:hint="eastAsia" w:ascii="宋体" w:hAnsi="宋体" w:eastAsia="宋体"/>
          <w:color w:val="auto"/>
          <w:sz w:val="22"/>
          <w:szCs w:val="22"/>
          <w:highlight w:val="none"/>
        </w:rPr>
        <w:t>所述条件做如下承诺：</w:t>
      </w:r>
    </w:p>
    <w:p w14:paraId="2539A32C">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我方</w:t>
      </w:r>
      <w:r>
        <w:rPr>
          <w:rFonts w:hint="eastAsia" w:ascii="宋体" w:hAnsi="宋体" w:eastAsia="宋体"/>
          <w:color w:val="auto"/>
          <w:sz w:val="22"/>
          <w:szCs w:val="22"/>
          <w:highlight w:val="none"/>
        </w:rPr>
        <w:t>具有独立承担民事责任的能力；</w:t>
      </w:r>
    </w:p>
    <w:p w14:paraId="1656026E">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我方具有良好的商业信誉和健全的财务会计制度；</w:t>
      </w:r>
    </w:p>
    <w:p w14:paraId="1B43EDD0">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我方具有履行合同所必需的设备和专业技术、售后保障等能力；</w:t>
      </w:r>
    </w:p>
    <w:p w14:paraId="7971DD73">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我方有依法缴纳税收和社会保障资金的良好记录；</w:t>
      </w:r>
    </w:p>
    <w:p w14:paraId="17DD7135">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olor w:val="auto"/>
          <w:sz w:val="22"/>
          <w:szCs w:val="22"/>
          <w:highlight w:val="none"/>
          <w:lang w:eastAsia="zh-CN"/>
        </w:rPr>
        <w:t>。</w:t>
      </w:r>
    </w:p>
    <w:p w14:paraId="02033D0A">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我方与参加本次项目同一合同项下政府采购活动的其他供应商不存在单位负责人为同一人或者直接控股、管理关系</w:t>
      </w:r>
      <w:r>
        <w:rPr>
          <w:rFonts w:hint="eastAsia" w:ascii="宋体" w:hAnsi="宋体" w:eastAsia="宋体"/>
          <w:color w:val="auto"/>
          <w:sz w:val="22"/>
          <w:szCs w:val="22"/>
          <w:highlight w:val="none"/>
          <w:lang w:eastAsia="zh-CN"/>
        </w:rPr>
        <w:t>。</w:t>
      </w:r>
    </w:p>
    <w:p w14:paraId="51A22FB2">
      <w:pPr>
        <w:pStyle w:val="49"/>
        <w:keepNext w:val="0"/>
        <w:keepLines w:val="0"/>
        <w:pageBreakBefore w:val="0"/>
        <w:numPr>
          <w:ilvl w:val="0"/>
          <w:numId w:val="14"/>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14:paraId="6C2B8A86">
      <w:pPr>
        <w:pStyle w:val="49"/>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我方对上述承诺内容的真实性负责。我公司郑重声明，我公司参加</w:t>
      </w:r>
      <w:r>
        <w:rPr>
          <w:rFonts w:hint="eastAsia" w:ascii="宋体" w:hAnsi="宋体" w:eastAsia="宋体"/>
          <w:color w:val="auto"/>
          <w:sz w:val="22"/>
          <w:szCs w:val="22"/>
          <w:highlight w:val="none"/>
          <w:u w:val="none"/>
          <w:lang w:eastAsia="zh-CN"/>
        </w:rPr>
        <w:t>本次</w:t>
      </w:r>
      <w:r>
        <w:rPr>
          <w:rFonts w:hint="eastAsia" w:ascii="宋体" w:hAnsi="宋体" w:eastAsia="宋体"/>
          <w:color w:val="auto"/>
          <w:sz w:val="22"/>
          <w:szCs w:val="22"/>
          <w:highlight w:val="none"/>
        </w:rPr>
        <w:t>政府采购活动中所提交的《资格文件》所有内容真实、有效，不存在提供虚假材料的行为。如有违反，愿承担一切责任。如有虚假，将依法承担相应责任。</w:t>
      </w:r>
    </w:p>
    <w:p w14:paraId="3DE8721E">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供应商名称（盖章）：</w:t>
      </w:r>
      <w:r>
        <w:rPr>
          <w:rFonts w:hint="eastAsia" w:ascii="宋体" w:hAnsi="宋体" w:eastAsia="宋体"/>
          <w:color w:val="auto"/>
          <w:w w:val="90"/>
          <w:sz w:val="22"/>
          <w:szCs w:val="22"/>
          <w:highlight w:val="none"/>
        </w:rPr>
        <w:t>__________________________________________</w:t>
      </w:r>
    </w:p>
    <w:p w14:paraId="3123162B">
      <w:pPr>
        <w:keepNext w:val="0"/>
        <w:keepLines w:val="0"/>
        <w:pageBreakBefore w:val="0"/>
        <w:kinsoku/>
        <w:wordWrap/>
        <w:overflowPunct/>
        <w:topLinePunct w:val="0"/>
        <w:autoSpaceDE/>
        <w:autoSpaceDN/>
        <w:bidi w:val="0"/>
        <w:snapToGrid w:val="0"/>
        <w:spacing w:line="44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法定代表人或其授权代表（签字或签章）：</w:t>
      </w:r>
      <w:r>
        <w:rPr>
          <w:rFonts w:hint="eastAsia" w:ascii="宋体" w:hAnsi="宋体" w:eastAsia="宋体"/>
          <w:color w:val="auto"/>
          <w:w w:val="90"/>
          <w:sz w:val="22"/>
          <w:szCs w:val="22"/>
          <w:highlight w:val="none"/>
        </w:rPr>
        <w:t>______________________</w:t>
      </w:r>
    </w:p>
    <w:p w14:paraId="0FE67436">
      <w:pPr>
        <w:pStyle w:val="27"/>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日期：</w:t>
      </w:r>
      <w:r>
        <w:rPr>
          <w:rFonts w:hint="eastAsia" w:ascii="宋体" w:hAnsi="宋体" w:eastAsia="宋体"/>
          <w:color w:val="auto"/>
          <w:w w:val="90"/>
          <w:sz w:val="22"/>
          <w:szCs w:val="22"/>
          <w:highlight w:val="none"/>
        </w:rPr>
        <w:t>________年____月____日</w:t>
      </w:r>
      <w:r>
        <w:rPr>
          <w:rFonts w:hint="eastAsia" w:ascii="宋体" w:hAnsi="宋体"/>
          <w:color w:val="auto"/>
          <w:highlight w:val="none"/>
        </w:rPr>
        <w:br w:type="page"/>
      </w:r>
      <w:r>
        <w:rPr>
          <w:rFonts w:hint="eastAsia"/>
          <w:color w:val="auto"/>
          <w:highlight w:val="none"/>
        </w:rPr>
        <w:t>1.3具有独立承担民事责任能力的证明材料</w:t>
      </w:r>
    </w:p>
    <w:p w14:paraId="781CB8FE">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20"/>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145"/>
      </w:tblGrid>
      <w:tr w14:paraId="7EB144D5">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10874" w:hRule="atLeast"/>
        </w:trPr>
        <w:tc>
          <w:tcPr>
            <w:tcW w:w="9145" w:type="dxa"/>
            <w:vAlign w:val="center"/>
          </w:tcPr>
          <w:p w14:paraId="43AC04EC">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资格要求：具有独立承担民事责任能力</w:t>
            </w:r>
          </w:p>
          <w:p w14:paraId="2CD5DA09">
            <w:pPr>
              <w:spacing w:line="276" w:lineRule="auto"/>
              <w:rPr>
                <w:rFonts w:ascii="仿宋" w:hAnsi="仿宋" w:eastAsia="仿宋"/>
                <w:b/>
                <w:color w:val="auto"/>
                <w:sz w:val="22"/>
                <w:szCs w:val="28"/>
                <w:highlight w:val="none"/>
              </w:rPr>
            </w:pPr>
          </w:p>
          <w:p w14:paraId="739DD362">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（提供复制件加盖供应商公章）或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14:paraId="74ADE303">
            <w:pPr>
              <w:spacing w:line="276" w:lineRule="auto"/>
              <w:rPr>
                <w:rFonts w:ascii="仿宋" w:hAnsi="仿宋" w:eastAsia="仿宋"/>
                <w:color w:val="auto"/>
                <w:sz w:val="22"/>
                <w:szCs w:val="28"/>
                <w:highlight w:val="none"/>
              </w:rPr>
            </w:pPr>
          </w:p>
          <w:p w14:paraId="5EE92F7A">
            <w:pPr>
              <w:spacing w:line="360" w:lineRule="auto"/>
              <w:rPr>
                <w:rFonts w:hint="eastAsia" w:ascii="仿宋" w:hAnsi="仿宋" w:eastAsia="仿宋"/>
                <w:color w:val="auto"/>
                <w:sz w:val="22"/>
                <w:szCs w:val="28"/>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14:paraId="39D09ED1">
      <w:pPr>
        <w:spacing w:line="360" w:lineRule="auto"/>
        <w:rPr>
          <w:rFonts w:ascii="Arial" w:hAnsi="Arial" w:eastAsia="新宋体"/>
          <w:i/>
          <w:color w:val="auto"/>
          <w:sz w:val="22"/>
          <w:szCs w:val="22"/>
          <w:highlight w:val="none"/>
        </w:rPr>
      </w:pPr>
    </w:p>
    <w:p w14:paraId="7CD6EA8B">
      <w:pPr>
        <w:rPr>
          <w:color w:val="auto"/>
          <w:highlight w:val="none"/>
        </w:rPr>
      </w:pPr>
    </w:p>
    <w:p w14:paraId="02479585">
      <w:pPr>
        <w:autoSpaceDE w:val="0"/>
        <w:autoSpaceDN w:val="0"/>
        <w:adjustRightInd w:val="0"/>
        <w:snapToGrid w:val="0"/>
        <w:spacing w:line="460" w:lineRule="exact"/>
        <w:textAlignment w:val="bottom"/>
        <w:rPr>
          <w:rFonts w:hint="eastAsia" w:ascii="Calibri" w:hAnsi="Calibri" w:eastAsia="宋体" w:cs="Times New Roman"/>
          <w:b/>
          <w:bCs/>
          <w:color w:val="auto"/>
          <w:kern w:val="2"/>
          <w:sz w:val="32"/>
          <w:szCs w:val="32"/>
          <w:highlight w:val="none"/>
          <w:lang w:val="en-US" w:eastAsia="zh-CN" w:bidi="ar-SA"/>
        </w:rPr>
      </w:pPr>
    </w:p>
    <w:p w14:paraId="1A17CF83">
      <w:pPr>
        <w:autoSpaceDE w:val="0"/>
        <w:autoSpaceDN w:val="0"/>
        <w:adjustRightInd w:val="0"/>
        <w:snapToGrid w:val="0"/>
        <w:spacing w:line="460" w:lineRule="exact"/>
        <w:textAlignment w:val="bottom"/>
        <w:rPr>
          <w:rFonts w:hint="eastAsia" w:ascii="Times New Roman" w:hAnsi="Times New Roman" w:eastAsia="宋体" w:cs="Times New Roman"/>
          <w:color w:val="auto"/>
          <w:sz w:val="22"/>
          <w:szCs w:val="22"/>
          <w:highlight w:val="none"/>
          <w:lang w:val="en-US" w:eastAsia="zh-CN"/>
        </w:rPr>
      </w:pPr>
      <w:r>
        <w:rPr>
          <w:rFonts w:hint="eastAsia" w:ascii="Calibri" w:hAnsi="Calibri" w:eastAsia="宋体" w:cs="Times New Roman"/>
          <w:b/>
          <w:bCs/>
          <w:color w:val="auto"/>
          <w:kern w:val="2"/>
          <w:sz w:val="32"/>
          <w:szCs w:val="32"/>
          <w:highlight w:val="none"/>
          <w:lang w:val="en-US" w:eastAsia="zh-CN" w:bidi="ar-SA"/>
        </w:rPr>
        <w:t>1.4、建筑装修装饰工程专业承包二级及以上资质，且具有有效期内的安全生产许可证。</w:t>
      </w:r>
    </w:p>
    <w:p w14:paraId="4463EF6B">
      <w:pPr>
        <w:spacing w:line="360" w:lineRule="auto"/>
        <w:jc w:val="center"/>
        <w:rPr>
          <w:rFonts w:ascii="华文中宋" w:hAnsi="华文中宋" w:eastAsia="华文中宋"/>
          <w:b/>
          <w:bCs/>
          <w:color w:val="auto"/>
          <w:sz w:val="40"/>
          <w:szCs w:val="40"/>
          <w:highlight w:val="none"/>
        </w:rPr>
      </w:pPr>
      <w:r>
        <w:rPr>
          <w:rFonts w:hint="eastAsia" w:ascii="Calibri" w:hAnsi="Calibri" w:eastAsia="宋体" w:cs="Times New Roman"/>
          <w:b/>
          <w:bCs/>
          <w:color w:val="auto"/>
          <w:kern w:val="2"/>
          <w:sz w:val="28"/>
          <w:szCs w:val="28"/>
          <w:highlight w:val="none"/>
          <w:lang w:val="en-US" w:eastAsia="zh-CN" w:bidi="ar-SA"/>
        </w:rPr>
        <w:t>建筑装修装饰工程专业承包二级及以上资质，且具有有效期内的安全生产许可证。</w:t>
      </w:r>
    </w:p>
    <w:tbl>
      <w:tblPr>
        <w:tblStyle w:val="20"/>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14:paraId="3ED9FB3E">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14:paraId="5D638FFB">
            <w:pPr>
              <w:spacing w:line="276" w:lineRule="auto"/>
              <w:rPr>
                <w:rFonts w:hint="eastAsia" w:ascii="仿宋" w:hAnsi="仿宋" w:eastAsia="仿宋" w:cs="Arial"/>
                <w:b/>
                <w:color w:val="auto"/>
                <w:sz w:val="22"/>
                <w:szCs w:val="28"/>
                <w:highlight w:val="none"/>
              </w:rPr>
            </w:pPr>
            <w:r>
              <w:rPr>
                <w:rFonts w:hint="eastAsia" w:ascii="仿宋" w:hAnsi="仿宋" w:eastAsia="仿宋" w:cs="Arial"/>
                <w:b/>
                <w:color w:val="auto"/>
                <w:sz w:val="22"/>
                <w:szCs w:val="28"/>
                <w:highlight w:val="none"/>
              </w:rPr>
              <w:t>资格要求：</w:t>
            </w:r>
            <w:r>
              <w:rPr>
                <w:rFonts w:hint="eastAsia" w:ascii="仿宋" w:hAnsi="仿宋" w:eastAsia="仿宋" w:cs="Arial"/>
                <w:b/>
                <w:color w:val="auto"/>
                <w:sz w:val="22"/>
                <w:szCs w:val="28"/>
                <w:highlight w:val="none"/>
                <w:lang w:val="en-US" w:eastAsia="zh-CN"/>
              </w:rPr>
              <w:t>具有有效期内的建筑装修装饰工程专业承包二级及以上资质，且具有有效期内的安全生产许可证。</w:t>
            </w:r>
          </w:p>
          <w:p w14:paraId="7B27391D">
            <w:pPr>
              <w:spacing w:line="276" w:lineRule="auto"/>
              <w:rPr>
                <w:rFonts w:ascii="仿宋" w:hAnsi="仿宋" w:eastAsia="仿宋"/>
                <w:b/>
                <w:color w:val="auto"/>
                <w:sz w:val="22"/>
                <w:szCs w:val="28"/>
                <w:highlight w:val="none"/>
              </w:rPr>
            </w:pPr>
          </w:p>
          <w:p w14:paraId="64F5CEAC">
            <w:pPr>
              <w:spacing w:line="360" w:lineRule="auto"/>
              <w:rPr>
                <w:rFonts w:ascii="仿宋" w:hAnsi="仿宋" w:eastAsia="仿宋" w:cs="Arial"/>
                <w:color w:val="auto"/>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lang w:val="en-US" w:eastAsia="zh-CN"/>
              </w:rPr>
              <w:t>资质证书及安全生产许可证</w:t>
            </w:r>
            <w:r>
              <w:rPr>
                <w:rFonts w:hint="eastAsia" w:ascii="仿宋" w:hAnsi="仿宋" w:eastAsia="仿宋"/>
                <w:color w:val="auto"/>
                <w:sz w:val="22"/>
                <w:szCs w:val="28"/>
                <w:highlight w:val="none"/>
              </w:rPr>
              <w:t>（提供</w:t>
            </w:r>
            <w:r>
              <w:rPr>
                <w:rFonts w:hint="eastAsia" w:ascii="仿宋" w:hAnsi="仿宋" w:eastAsia="仿宋" w:cs="Arial"/>
                <w:color w:val="auto"/>
                <w:sz w:val="22"/>
                <w:szCs w:val="28"/>
                <w:highlight w:val="none"/>
              </w:rPr>
              <w:t>复制件</w:t>
            </w:r>
            <w:r>
              <w:rPr>
                <w:rFonts w:hint="eastAsia" w:ascii="仿宋" w:hAnsi="仿宋" w:eastAsia="仿宋"/>
                <w:color w:val="auto"/>
                <w:sz w:val="22"/>
                <w:szCs w:val="28"/>
                <w:highlight w:val="none"/>
              </w:rPr>
              <w:t>加盖供应商公章）</w:t>
            </w:r>
            <w:r>
              <w:rPr>
                <w:rFonts w:hint="eastAsia" w:ascii="仿宋" w:hAnsi="仿宋" w:eastAsia="仿宋" w:cs="Arial"/>
                <w:color w:val="auto"/>
                <w:sz w:val="22"/>
                <w:szCs w:val="28"/>
                <w:highlight w:val="none"/>
              </w:rPr>
              <w:t>。</w:t>
            </w:r>
          </w:p>
        </w:tc>
      </w:tr>
    </w:tbl>
    <w:p w14:paraId="6693D1E6">
      <w:pPr>
        <w:pStyle w:val="18"/>
        <w:rPr>
          <w:rFonts w:hint="eastAsia"/>
          <w:color w:val="auto"/>
          <w:highlight w:val="none"/>
          <w:lang w:val="en-US" w:eastAsia="zh-CN"/>
        </w:rPr>
      </w:pPr>
    </w:p>
    <w:p w14:paraId="2F759A6E">
      <w:pPr>
        <w:shd w:val="clear" w:color="auto" w:fill="FFFFFF"/>
        <w:snapToGrid w:val="0"/>
        <w:spacing w:line="360" w:lineRule="auto"/>
        <w:jc w:val="both"/>
        <w:rPr>
          <w:rFonts w:ascii="Arial" w:hAnsi="新宋体" w:eastAsia="新宋体"/>
          <w:color w:val="auto"/>
          <w:sz w:val="22"/>
          <w:szCs w:val="22"/>
          <w:highlight w:val="none"/>
        </w:rPr>
      </w:pPr>
    </w:p>
    <w:p w14:paraId="311B751B">
      <w:pPr>
        <w:rPr>
          <w:color w:val="auto"/>
          <w:highlight w:val="none"/>
        </w:rPr>
      </w:pPr>
    </w:p>
    <w:p w14:paraId="50284F65">
      <w:pPr>
        <w:shd w:val="clear" w:color="auto" w:fill="FFFFFF"/>
        <w:snapToGrid w:val="0"/>
        <w:spacing w:line="360" w:lineRule="auto"/>
        <w:jc w:val="both"/>
        <w:rPr>
          <w:rFonts w:hint="eastAsia" w:ascii="Calibri" w:hAnsi="Calibri" w:eastAsia="宋体" w:cs="Times New Roman"/>
          <w:b/>
          <w:bCs/>
          <w:color w:val="auto"/>
          <w:kern w:val="2"/>
          <w:sz w:val="32"/>
          <w:szCs w:val="32"/>
          <w:highlight w:val="none"/>
          <w:lang w:val="en-US" w:eastAsia="zh-CN" w:bidi="ar-SA"/>
        </w:rPr>
      </w:pPr>
      <w:r>
        <w:rPr>
          <w:rFonts w:hint="eastAsia" w:ascii="Calibri" w:hAnsi="Calibri" w:eastAsia="宋体" w:cs="Times New Roman"/>
          <w:b/>
          <w:bCs/>
          <w:color w:val="auto"/>
          <w:kern w:val="2"/>
          <w:sz w:val="32"/>
          <w:szCs w:val="32"/>
          <w:highlight w:val="none"/>
          <w:lang w:val="en-US" w:eastAsia="zh-CN" w:bidi="ar-SA"/>
        </w:rPr>
        <w:t>1.5联合体协议书（若为联合体投标，需提供联合体协议书，格式自拟，若施工单位无设备制造或经销资格的，必须与所投产品的制造商或经销商联合投标，否则视为资格审查不通过）</w:t>
      </w:r>
    </w:p>
    <w:p w14:paraId="2DABCCD4">
      <w:pPr>
        <w:shd w:val="clear" w:color="auto" w:fill="FFFFFF"/>
        <w:snapToGrid w:val="0"/>
        <w:spacing w:line="360" w:lineRule="auto"/>
        <w:jc w:val="both"/>
        <w:rPr>
          <w:rFonts w:ascii="Arial" w:hAnsi="新宋体" w:eastAsia="新宋体"/>
          <w:color w:val="auto"/>
          <w:sz w:val="22"/>
          <w:szCs w:val="22"/>
          <w:highlight w:val="none"/>
        </w:rPr>
      </w:pPr>
      <w:r>
        <w:rPr>
          <w:rFonts w:ascii="Arial" w:hAnsi="新宋体" w:eastAsia="新宋体"/>
          <w:color w:val="auto"/>
          <w:sz w:val="22"/>
          <w:szCs w:val="22"/>
          <w:highlight w:val="none"/>
        </w:rPr>
        <w:br w:type="page"/>
      </w:r>
      <w:r>
        <w:rPr>
          <w:rFonts w:hint="eastAsia"/>
          <w:b/>
          <w:bCs/>
          <w:color w:val="auto"/>
          <w:sz w:val="28"/>
          <w:szCs w:val="36"/>
          <w:highlight w:val="none"/>
        </w:rPr>
        <w:t>二、“报价文件</w:t>
      </w:r>
      <w:r>
        <w:rPr>
          <w:b/>
          <w:bCs/>
          <w:color w:val="auto"/>
          <w:sz w:val="28"/>
          <w:szCs w:val="36"/>
          <w:highlight w:val="none"/>
        </w:rPr>
        <w:t>”</w:t>
      </w:r>
      <w:r>
        <w:rPr>
          <w:rFonts w:hint="eastAsia"/>
          <w:b/>
          <w:bCs/>
          <w:color w:val="auto"/>
          <w:sz w:val="28"/>
          <w:szCs w:val="36"/>
          <w:highlight w:val="none"/>
        </w:rPr>
        <w:t>格式</w:t>
      </w:r>
    </w:p>
    <w:p w14:paraId="3E8264F1">
      <w:pPr>
        <w:pStyle w:val="28"/>
        <w:rPr>
          <w:rFonts w:hint="eastAsia"/>
          <w:color w:val="auto"/>
          <w:highlight w:val="none"/>
        </w:rPr>
      </w:pPr>
      <w:r>
        <w:rPr>
          <w:rFonts w:hint="eastAsia"/>
          <w:color w:val="auto"/>
          <w:highlight w:val="none"/>
        </w:rPr>
        <w:t>2.1 “报价文件”封面</w:t>
      </w:r>
    </w:p>
    <w:p w14:paraId="7CDB839C">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平阳县社会心理服务综合体装修、办公家具软装及设备采购(重)</w:t>
      </w:r>
    </w:p>
    <w:p w14:paraId="3BF406AD">
      <w:pPr>
        <w:pStyle w:val="71"/>
        <w:rPr>
          <w:color w:val="auto"/>
          <w:highlight w:val="none"/>
        </w:rPr>
      </w:pPr>
    </w:p>
    <w:p w14:paraId="68FB1676">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72CD0927">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（报价文件）</w:t>
      </w:r>
    </w:p>
    <w:p w14:paraId="691AD24C">
      <w:pPr>
        <w:spacing w:line="360" w:lineRule="auto"/>
        <w:jc w:val="center"/>
        <w:rPr>
          <w:rFonts w:ascii="华文中宋" w:hAnsi="华文中宋" w:eastAsia="华文中宋"/>
          <w:b/>
          <w:color w:val="auto"/>
          <w:sz w:val="52"/>
          <w:szCs w:val="22"/>
          <w:highlight w:val="none"/>
        </w:rPr>
      </w:pPr>
    </w:p>
    <w:tbl>
      <w:tblPr>
        <w:tblStyle w:val="20"/>
        <w:tblW w:w="0" w:type="auto"/>
        <w:tblInd w:w="142" w:type="dxa"/>
        <w:tblLayout w:type="fixed"/>
        <w:tblCellMar>
          <w:top w:w="0" w:type="dxa"/>
          <w:left w:w="108" w:type="dxa"/>
          <w:bottom w:w="0" w:type="dxa"/>
          <w:right w:w="108" w:type="dxa"/>
        </w:tblCellMar>
      </w:tblPr>
      <w:tblGrid>
        <w:gridCol w:w="8789"/>
      </w:tblGrid>
      <w:tr w14:paraId="04A95E37">
        <w:tblPrEx>
          <w:tblCellMar>
            <w:top w:w="0" w:type="dxa"/>
            <w:left w:w="108" w:type="dxa"/>
            <w:bottom w:w="0" w:type="dxa"/>
            <w:right w:w="108" w:type="dxa"/>
          </w:tblCellMar>
        </w:tblPrEx>
        <w:trPr>
          <w:trHeight w:val="680" w:hRule="atLeast"/>
        </w:trPr>
        <w:tc>
          <w:tcPr>
            <w:tcW w:w="8789" w:type="dxa"/>
            <w:vAlign w:val="center"/>
          </w:tcPr>
          <w:p w14:paraId="3072AAE1">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14:paraId="45BE3F33">
        <w:tblPrEx>
          <w:tblCellMar>
            <w:top w:w="0" w:type="dxa"/>
            <w:left w:w="108" w:type="dxa"/>
            <w:bottom w:w="0" w:type="dxa"/>
            <w:right w:w="108" w:type="dxa"/>
          </w:tblCellMar>
        </w:tblPrEx>
        <w:trPr>
          <w:trHeight w:val="680" w:hRule="atLeast"/>
        </w:trPr>
        <w:tc>
          <w:tcPr>
            <w:tcW w:w="8789" w:type="dxa"/>
            <w:vAlign w:val="center"/>
          </w:tcPr>
          <w:p w14:paraId="5FB753A8">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455AC712">
        <w:tblPrEx>
          <w:tblCellMar>
            <w:top w:w="0" w:type="dxa"/>
            <w:left w:w="108" w:type="dxa"/>
            <w:bottom w:w="0" w:type="dxa"/>
            <w:right w:w="108" w:type="dxa"/>
          </w:tblCellMar>
        </w:tblPrEx>
        <w:trPr>
          <w:trHeight w:val="680" w:hRule="atLeast"/>
        </w:trPr>
        <w:tc>
          <w:tcPr>
            <w:tcW w:w="8789" w:type="dxa"/>
            <w:vAlign w:val="center"/>
          </w:tcPr>
          <w:p w14:paraId="46E3FB05">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72F93DC">
        <w:tblPrEx>
          <w:tblCellMar>
            <w:top w:w="0" w:type="dxa"/>
            <w:left w:w="108" w:type="dxa"/>
            <w:bottom w:w="0" w:type="dxa"/>
            <w:right w:w="108" w:type="dxa"/>
          </w:tblCellMar>
        </w:tblPrEx>
        <w:trPr>
          <w:trHeight w:val="680" w:hRule="atLeast"/>
        </w:trPr>
        <w:tc>
          <w:tcPr>
            <w:tcW w:w="8789" w:type="dxa"/>
            <w:vAlign w:val="center"/>
          </w:tcPr>
          <w:p w14:paraId="3251B9A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14:paraId="1EA76EC5">
        <w:tblPrEx>
          <w:tblCellMar>
            <w:top w:w="0" w:type="dxa"/>
            <w:left w:w="108" w:type="dxa"/>
            <w:bottom w:w="0" w:type="dxa"/>
            <w:right w:w="108" w:type="dxa"/>
          </w:tblCellMar>
        </w:tblPrEx>
        <w:trPr>
          <w:trHeight w:val="680" w:hRule="atLeast"/>
        </w:trPr>
        <w:tc>
          <w:tcPr>
            <w:tcW w:w="8789" w:type="dxa"/>
            <w:vAlign w:val="center"/>
          </w:tcPr>
          <w:p w14:paraId="6A8D200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61439A07">
        <w:tblPrEx>
          <w:tblCellMar>
            <w:top w:w="0" w:type="dxa"/>
            <w:left w:w="108" w:type="dxa"/>
            <w:bottom w:w="0" w:type="dxa"/>
            <w:right w:w="108" w:type="dxa"/>
          </w:tblCellMar>
        </w:tblPrEx>
        <w:trPr>
          <w:trHeight w:val="335" w:hRule="atLeast"/>
        </w:trPr>
        <w:tc>
          <w:tcPr>
            <w:tcW w:w="8789" w:type="dxa"/>
            <w:vAlign w:val="center"/>
          </w:tcPr>
          <w:p w14:paraId="49927CB1">
            <w:pPr>
              <w:rPr>
                <w:rFonts w:ascii="仿宋" w:hAnsi="仿宋" w:eastAsia="仿宋"/>
                <w:color w:val="auto"/>
                <w:sz w:val="28"/>
                <w:szCs w:val="28"/>
                <w:highlight w:val="none"/>
              </w:rPr>
            </w:pPr>
          </w:p>
        </w:tc>
      </w:tr>
      <w:tr w14:paraId="25506A6C">
        <w:tblPrEx>
          <w:tblCellMar>
            <w:top w:w="0" w:type="dxa"/>
            <w:left w:w="108" w:type="dxa"/>
            <w:bottom w:w="0" w:type="dxa"/>
            <w:right w:w="108" w:type="dxa"/>
          </w:tblCellMar>
        </w:tblPrEx>
        <w:trPr>
          <w:trHeight w:val="680" w:hRule="atLeast"/>
        </w:trPr>
        <w:tc>
          <w:tcPr>
            <w:tcW w:w="8789" w:type="dxa"/>
            <w:vAlign w:val="center"/>
          </w:tcPr>
          <w:p w14:paraId="176A894C">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14:paraId="28544D53">
      <w:pPr>
        <w:autoSpaceDE w:val="0"/>
        <w:autoSpaceDN w:val="0"/>
        <w:snapToGrid w:val="0"/>
        <w:spacing w:line="360" w:lineRule="atLeast"/>
        <w:rPr>
          <w:color w:val="auto"/>
          <w:highlight w:val="none"/>
        </w:rPr>
        <w:sectPr>
          <w:headerReference r:id="rId9" w:type="first"/>
          <w:footerReference r:id="rId11" w:type="first"/>
          <w:headerReference r:id="rId8" w:type="default"/>
          <w:footerReference r:id="rId10" w:type="default"/>
          <w:pgSz w:w="11906" w:h="16838"/>
          <w:pgMar w:top="1440" w:right="1800" w:bottom="1440" w:left="1800" w:header="720" w:footer="720" w:gutter="0"/>
          <w:pgBorders>
            <w:top w:val="none" w:sz="0" w:space="0"/>
            <w:left w:val="none" w:sz="0" w:space="0"/>
            <w:bottom w:val="none" w:sz="0" w:space="0"/>
            <w:right w:val="none" w:sz="0" w:space="0"/>
          </w:pgBorders>
          <w:pgNumType w:fmt="decimal"/>
          <w:cols w:space="720" w:num="1"/>
          <w:titlePg/>
          <w:docGrid w:linePitch="286" w:charSpace="-3831"/>
        </w:sectPr>
      </w:pPr>
    </w:p>
    <w:p w14:paraId="288C5624">
      <w:pPr>
        <w:pStyle w:val="39"/>
        <w:snapToGrid w:val="0"/>
        <w:spacing w:line="400" w:lineRule="exact"/>
        <w:rPr>
          <w:rFonts w:hint="eastAsia" w:hAnsi="宋体"/>
          <w:color w:val="auto"/>
          <w:sz w:val="36"/>
          <w:szCs w:val="36"/>
          <w:highlight w:val="none"/>
        </w:rPr>
      </w:pPr>
      <w:r>
        <w:rPr>
          <w:rFonts w:hint="eastAsia" w:hAnsi="宋体"/>
          <w:color w:val="auto"/>
          <w:sz w:val="36"/>
          <w:szCs w:val="36"/>
          <w:highlight w:val="none"/>
        </w:rPr>
        <w:t xml:space="preserve">2.2开标一览表   </w:t>
      </w:r>
    </w:p>
    <w:p w14:paraId="6103AC99">
      <w:pPr>
        <w:pStyle w:val="39"/>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开标一览表</w:t>
      </w:r>
    </w:p>
    <w:p w14:paraId="45522423">
      <w:pPr>
        <w:pStyle w:val="39"/>
        <w:snapToGrid w:val="0"/>
        <w:spacing w:line="400" w:lineRule="exact"/>
        <w:rPr>
          <w:rFonts w:hAnsi="宋体"/>
          <w:color w:val="auto"/>
          <w:sz w:val="36"/>
          <w:szCs w:val="36"/>
          <w:highlight w:val="none"/>
        </w:rPr>
      </w:pPr>
    </w:p>
    <w:p w14:paraId="0BF30110">
      <w:pPr>
        <w:pStyle w:val="39"/>
        <w:snapToGrid w:val="0"/>
        <w:spacing w:line="400" w:lineRule="exact"/>
        <w:rPr>
          <w:rFonts w:hint="eastAsia" w:hAnsi="宋体"/>
          <w:color w:val="auto"/>
          <w:sz w:val="24"/>
          <w:highlight w:val="none"/>
        </w:rPr>
      </w:pPr>
    </w:p>
    <w:p w14:paraId="2303384D">
      <w:pPr>
        <w:pStyle w:val="39"/>
        <w:snapToGrid w:val="0"/>
        <w:spacing w:line="400" w:lineRule="exact"/>
        <w:rPr>
          <w:rFonts w:hint="eastAsia" w:hAnsi="宋体"/>
          <w:color w:val="auto"/>
          <w:sz w:val="24"/>
          <w:highlight w:val="none"/>
        </w:rPr>
      </w:pPr>
    </w:p>
    <w:p w14:paraId="0D3F24AF">
      <w:pPr>
        <w:pStyle w:val="39"/>
        <w:snapToGrid w:val="0"/>
        <w:spacing w:line="400" w:lineRule="exact"/>
        <w:rPr>
          <w:rFonts w:hint="eastAsia" w:hAnsi="宋体"/>
          <w:color w:val="auto"/>
          <w:sz w:val="24"/>
          <w:highlight w:val="none"/>
        </w:rPr>
      </w:pPr>
      <w:r>
        <w:rPr>
          <w:rFonts w:hint="eastAsia" w:hAnsi="宋体"/>
          <w:color w:val="auto"/>
          <w:sz w:val="24"/>
          <w:highlight w:val="none"/>
        </w:rPr>
        <w:t>供应</w:t>
      </w:r>
      <w:r>
        <w:rPr>
          <w:rFonts w:hint="eastAsia" w:ascii="宋体" w:hAnsi="宋体" w:eastAsia="宋体"/>
          <w:color w:val="auto"/>
          <w:sz w:val="24"/>
          <w:highlight w:val="none"/>
        </w:rPr>
        <w:t xml:space="preserve">商名称：       </w:t>
      </w:r>
      <w:r>
        <w:rPr>
          <w:rFonts w:hint="eastAsia" w:hAnsi="宋体"/>
          <w:color w:val="auto"/>
          <w:sz w:val="24"/>
          <w:highlight w:val="none"/>
          <w:lang w:val="en-US" w:eastAsia="zh-CN"/>
        </w:rPr>
        <w:t xml:space="preserve">             </w:t>
      </w:r>
      <w:r>
        <w:rPr>
          <w:rFonts w:hint="eastAsia" w:ascii="宋体" w:hAnsi="宋体" w:eastAsia="宋体"/>
          <w:color w:val="auto"/>
          <w:sz w:val="24"/>
          <w:highlight w:val="none"/>
        </w:rPr>
        <w:t xml:space="preserve">招标编号： </w:t>
      </w:r>
      <w:r>
        <w:rPr>
          <w:rFonts w:hint="eastAsia" w:hAnsi="宋体"/>
          <w:color w:val="auto"/>
          <w:sz w:val="24"/>
          <w:highlight w:val="none"/>
          <w:lang w:eastAsia="zh-CN"/>
        </w:rPr>
        <w:t>PYCG250731080(重)</w:t>
      </w:r>
      <w:r>
        <w:rPr>
          <w:rFonts w:hint="eastAsia" w:ascii="宋体" w:hAnsi="宋体" w:eastAsia="宋体"/>
          <w:color w:val="auto"/>
          <w:sz w:val="24"/>
          <w:highlight w:val="none"/>
        </w:rPr>
        <w:t xml:space="preserve">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单位：人民币元</w:t>
      </w:r>
    </w:p>
    <w:p w14:paraId="0F6A1CB7">
      <w:pPr>
        <w:pStyle w:val="39"/>
        <w:snapToGrid w:val="0"/>
        <w:spacing w:line="400" w:lineRule="exact"/>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项目名称：</w:t>
      </w:r>
      <w:r>
        <w:rPr>
          <w:rFonts w:hint="eastAsia" w:hAnsi="宋体"/>
          <w:color w:val="auto"/>
          <w:sz w:val="24"/>
          <w:highlight w:val="none"/>
          <w:lang w:eastAsia="zh-CN"/>
        </w:rPr>
        <w:t>平阳县社会心理服务综合体装修、办公家具软装及设备采购(重)</w:t>
      </w:r>
    </w:p>
    <w:tbl>
      <w:tblPr>
        <w:tblStyle w:val="20"/>
        <w:tblpPr w:leftFromText="180" w:rightFromText="180" w:vertAnchor="page" w:horzAnchor="page" w:tblpX="1348" w:tblpY="4731"/>
        <w:tblW w:w="4995" w:type="pct"/>
        <w:tblInd w:w="0" w:type="dxa"/>
        <w:tblLayout w:type="autofit"/>
        <w:tblCellMar>
          <w:top w:w="0" w:type="dxa"/>
          <w:left w:w="108" w:type="dxa"/>
          <w:bottom w:w="0" w:type="dxa"/>
          <w:right w:w="108" w:type="dxa"/>
        </w:tblCellMar>
      </w:tblPr>
      <w:tblGrid>
        <w:gridCol w:w="2514"/>
        <w:gridCol w:w="4569"/>
        <w:gridCol w:w="2308"/>
      </w:tblGrid>
      <w:tr w14:paraId="5225F3E7">
        <w:trPr>
          <w:trHeight w:val="958" w:hRule="atLeast"/>
        </w:trPr>
        <w:tc>
          <w:tcPr>
            <w:tcW w:w="2514" w:type="dxa"/>
            <w:tcBorders>
              <w:top w:val="single" w:color="000000" w:sz="4" w:space="0"/>
              <w:left w:val="single" w:color="000000" w:sz="4" w:space="0"/>
              <w:bottom w:val="single" w:color="000000" w:sz="4" w:space="0"/>
              <w:right w:val="single" w:color="000000" w:sz="4" w:space="0"/>
            </w:tcBorders>
            <w:vAlign w:val="center"/>
          </w:tcPr>
          <w:p w14:paraId="3CD56D85">
            <w:pPr>
              <w:jc w:val="center"/>
              <w:rPr>
                <w:rFonts w:hint="eastAsia" w:ascii="宋体" w:hAnsi="宋体" w:eastAsia="宋体"/>
                <w:color w:val="auto"/>
                <w:sz w:val="24"/>
                <w:highlight w:val="none"/>
              </w:rPr>
            </w:pPr>
            <w:r>
              <w:rPr>
                <w:rFonts w:hint="eastAsia" w:ascii="宋体" w:hAnsi="宋体" w:eastAsia="宋体"/>
                <w:color w:val="auto"/>
                <w:sz w:val="24"/>
                <w:highlight w:val="none"/>
              </w:rPr>
              <w:t>项目名称</w:t>
            </w:r>
          </w:p>
        </w:tc>
        <w:tc>
          <w:tcPr>
            <w:tcW w:w="4569" w:type="dxa"/>
            <w:tcBorders>
              <w:top w:val="single" w:color="000000" w:sz="4" w:space="0"/>
              <w:left w:val="single" w:color="000000" w:sz="4" w:space="0"/>
              <w:bottom w:val="single" w:color="000000" w:sz="4" w:space="0"/>
              <w:right w:val="single" w:color="000000" w:sz="4" w:space="0"/>
            </w:tcBorders>
            <w:vAlign w:val="center"/>
          </w:tcPr>
          <w:p w14:paraId="20E05599">
            <w:pPr>
              <w:jc w:val="center"/>
              <w:rPr>
                <w:rFonts w:hint="eastAsia" w:ascii="宋体" w:hAnsi="宋体"/>
                <w:color w:val="auto"/>
                <w:sz w:val="24"/>
                <w:highlight w:val="none"/>
              </w:rPr>
            </w:pPr>
            <w:r>
              <w:rPr>
                <w:rFonts w:hint="eastAsia" w:ascii="宋体" w:hAnsi="宋体"/>
                <w:color w:val="auto"/>
                <w:sz w:val="24"/>
                <w:highlight w:val="none"/>
              </w:rPr>
              <w:t>投标</w:t>
            </w:r>
            <w:r>
              <w:rPr>
                <w:rFonts w:hint="eastAsia" w:ascii="宋体" w:hAnsi="宋体"/>
                <w:color w:val="auto"/>
                <w:sz w:val="24"/>
                <w:highlight w:val="none"/>
                <w:lang w:eastAsia="zh-CN"/>
              </w:rPr>
              <w:t>折扣率</w:t>
            </w:r>
          </w:p>
        </w:tc>
        <w:tc>
          <w:tcPr>
            <w:tcW w:w="2308" w:type="dxa"/>
            <w:tcBorders>
              <w:top w:val="single" w:color="000000" w:sz="4" w:space="0"/>
              <w:left w:val="single" w:color="000000" w:sz="4" w:space="0"/>
              <w:bottom w:val="single" w:color="000000" w:sz="4" w:space="0"/>
              <w:right w:val="single" w:color="000000" w:sz="4" w:space="0"/>
            </w:tcBorders>
            <w:vAlign w:val="center"/>
          </w:tcPr>
          <w:p w14:paraId="5B4E9055">
            <w:pPr>
              <w:jc w:val="center"/>
              <w:rPr>
                <w:rFonts w:hint="eastAsia" w:ascii="宋体" w:hAnsi="宋体"/>
                <w:color w:val="auto"/>
                <w:sz w:val="24"/>
                <w:highlight w:val="none"/>
              </w:rPr>
            </w:pPr>
            <w:r>
              <w:rPr>
                <w:rFonts w:hint="eastAsia" w:ascii="宋体" w:hAnsi="宋体"/>
                <w:color w:val="auto"/>
                <w:sz w:val="24"/>
                <w:highlight w:val="none"/>
              </w:rPr>
              <w:t>备注</w:t>
            </w:r>
          </w:p>
        </w:tc>
      </w:tr>
      <w:tr w14:paraId="3EE5C30D">
        <w:tblPrEx>
          <w:tblCellMar>
            <w:top w:w="0" w:type="dxa"/>
            <w:left w:w="108" w:type="dxa"/>
            <w:bottom w:w="0" w:type="dxa"/>
            <w:right w:w="108" w:type="dxa"/>
          </w:tblCellMar>
        </w:tblPrEx>
        <w:trPr>
          <w:trHeight w:val="1688" w:hRule="atLeast"/>
        </w:trPr>
        <w:tc>
          <w:tcPr>
            <w:tcW w:w="2514" w:type="dxa"/>
            <w:tcBorders>
              <w:top w:val="single" w:color="000000" w:sz="4" w:space="0"/>
              <w:left w:val="single" w:color="000000" w:sz="4" w:space="0"/>
              <w:bottom w:val="single" w:color="000000" w:sz="4" w:space="0"/>
              <w:right w:val="single" w:color="000000" w:sz="4" w:space="0"/>
            </w:tcBorders>
            <w:vAlign w:val="center"/>
          </w:tcPr>
          <w:p w14:paraId="6B81940F">
            <w:pPr>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平阳县社会心理服务综合体装修、办公家具软装及设备采购(重)</w:t>
            </w:r>
          </w:p>
        </w:tc>
        <w:tc>
          <w:tcPr>
            <w:tcW w:w="4569" w:type="dxa"/>
            <w:tcBorders>
              <w:top w:val="single" w:color="000000" w:sz="4" w:space="0"/>
              <w:left w:val="single" w:color="000000" w:sz="4" w:space="0"/>
              <w:bottom w:val="single" w:color="000000" w:sz="4" w:space="0"/>
              <w:right w:val="single" w:color="000000" w:sz="4" w:space="0"/>
            </w:tcBorders>
            <w:vAlign w:val="center"/>
          </w:tcPr>
          <w:p w14:paraId="30CAC15A">
            <w:pPr>
              <w:pStyle w:val="25"/>
              <w:jc w:val="center"/>
              <w:rPr>
                <w:rFonts w:hint="eastAsia" w:ascii="宋体" w:hAnsi="宋体" w:eastAsia="宋体"/>
                <w:b w:val="0"/>
                <w:color w:val="auto"/>
                <w:sz w:val="24"/>
                <w:highlight w:val="none"/>
                <w:lang w:eastAsia="zh-CN"/>
              </w:rPr>
            </w:pPr>
            <w:r>
              <w:rPr>
                <w:rFonts w:hint="eastAsia"/>
                <w:color w:val="auto"/>
                <w:sz w:val="24"/>
                <w:highlight w:val="none"/>
                <w:lang w:val="en-US" w:eastAsia="zh-CN"/>
              </w:rPr>
              <w:t>%</w:t>
            </w:r>
          </w:p>
        </w:tc>
        <w:tc>
          <w:tcPr>
            <w:tcW w:w="2308" w:type="dxa"/>
            <w:tcBorders>
              <w:top w:val="single" w:color="000000" w:sz="4" w:space="0"/>
              <w:left w:val="single" w:color="000000" w:sz="4" w:space="0"/>
              <w:bottom w:val="single" w:color="000000" w:sz="4" w:space="0"/>
              <w:right w:val="single" w:color="000000" w:sz="4" w:space="0"/>
            </w:tcBorders>
            <w:vAlign w:val="center"/>
          </w:tcPr>
          <w:p w14:paraId="6E1C4707">
            <w:pPr>
              <w:jc w:val="center"/>
              <w:rPr>
                <w:rFonts w:hint="eastAsia" w:ascii="宋体" w:hAnsi="宋体" w:eastAsia="宋体"/>
                <w:color w:val="auto"/>
                <w:sz w:val="24"/>
                <w:highlight w:val="none"/>
              </w:rPr>
            </w:pPr>
          </w:p>
        </w:tc>
      </w:tr>
    </w:tbl>
    <w:p w14:paraId="0EDF4EBB">
      <w:pPr>
        <w:autoSpaceDE w:val="0"/>
        <w:autoSpaceDN w:val="0"/>
        <w:adjustRightInd w:val="0"/>
        <w:snapToGrid w:val="0"/>
        <w:spacing w:line="480" w:lineRule="exact"/>
        <w:textAlignment w:val="baseline"/>
        <w:rPr>
          <w:rFonts w:hint="eastAsia"/>
          <w:bCs/>
          <w:color w:val="auto"/>
          <w:sz w:val="22"/>
          <w:szCs w:val="22"/>
          <w:highlight w:val="none"/>
        </w:rPr>
      </w:pPr>
    </w:p>
    <w:p w14:paraId="354C20F2">
      <w:pPr>
        <w:autoSpaceDE w:val="0"/>
        <w:autoSpaceDN w:val="0"/>
        <w:adjustRightInd w:val="0"/>
        <w:snapToGrid w:val="0"/>
        <w:spacing w:line="480" w:lineRule="exact"/>
        <w:textAlignment w:val="baseline"/>
        <w:rPr>
          <w:rFonts w:hint="eastAsia"/>
          <w:bCs/>
          <w:color w:val="auto"/>
          <w:sz w:val="22"/>
          <w:szCs w:val="22"/>
          <w:highlight w:val="none"/>
        </w:rPr>
      </w:pPr>
      <w:r>
        <w:rPr>
          <w:rFonts w:hint="eastAsia"/>
          <w:bCs/>
          <w:color w:val="auto"/>
          <w:sz w:val="22"/>
          <w:szCs w:val="22"/>
          <w:highlight w:val="none"/>
        </w:rPr>
        <w:t>▲投标供应商的报价包含在承包区域内所需的一切人员工资、奖金、各种加班费、餐费、饮用水、各种社会保险、食宿与交通、服装、安全、仓储、运输（包括垃圾外运）、管理费用、税费、利润、招标代理服务费、完成合同所需的一切本身和不可或缺的所有工作开支、政策性文件规定及合同包含的所有风险、责任等各项全部费用并承担一切风险责任。</w:t>
      </w:r>
    </w:p>
    <w:p w14:paraId="55C1EBBC">
      <w:pPr>
        <w:autoSpaceDE w:val="0"/>
        <w:autoSpaceDN w:val="0"/>
        <w:adjustRightInd w:val="0"/>
        <w:snapToGrid w:val="0"/>
        <w:spacing w:line="480" w:lineRule="exact"/>
        <w:textAlignment w:val="baseline"/>
        <w:rPr>
          <w:rFonts w:hint="eastAsia"/>
          <w:bCs/>
          <w:color w:val="auto"/>
          <w:sz w:val="22"/>
          <w:szCs w:val="22"/>
          <w:highlight w:val="none"/>
        </w:rPr>
      </w:pPr>
      <w:r>
        <w:rPr>
          <w:rFonts w:hint="eastAsia"/>
          <w:bCs/>
          <w:color w:val="auto"/>
          <w:sz w:val="22"/>
          <w:szCs w:val="22"/>
          <w:highlight w:val="none"/>
        </w:rPr>
        <w:t>▲不提供此表格的将视为没有实质性响应招标文件。</w:t>
      </w:r>
    </w:p>
    <w:p w14:paraId="3E2CCB14">
      <w:pPr>
        <w:autoSpaceDE w:val="0"/>
        <w:autoSpaceDN w:val="0"/>
        <w:adjustRightInd w:val="0"/>
        <w:spacing w:line="440" w:lineRule="atLeast"/>
        <w:rPr>
          <w:rFonts w:hint="eastAsia"/>
          <w:b/>
          <w:bCs/>
          <w:color w:val="auto"/>
          <w:sz w:val="22"/>
          <w:szCs w:val="22"/>
          <w:highlight w:val="none"/>
          <w:lang w:val="zh-CN"/>
        </w:rPr>
      </w:pPr>
      <w:r>
        <w:rPr>
          <w:rFonts w:hint="eastAsia"/>
          <w:bCs/>
          <w:color w:val="auto"/>
          <w:sz w:val="22"/>
          <w:szCs w:val="22"/>
          <w:highlight w:val="none"/>
        </w:rPr>
        <w:t>▲本项目实行统一</w:t>
      </w:r>
      <w:r>
        <w:rPr>
          <w:rFonts w:hint="eastAsia"/>
          <w:bCs/>
          <w:color w:val="auto"/>
          <w:sz w:val="22"/>
          <w:szCs w:val="22"/>
          <w:highlight w:val="none"/>
          <w:lang w:val="en-US" w:eastAsia="zh-CN"/>
        </w:rPr>
        <w:t>折扣率</w:t>
      </w:r>
      <w:r>
        <w:rPr>
          <w:rFonts w:hint="eastAsia"/>
          <w:bCs/>
          <w:color w:val="auto"/>
          <w:sz w:val="22"/>
          <w:szCs w:val="22"/>
          <w:highlight w:val="none"/>
        </w:rPr>
        <w:t>报价方式。最终根据各项服务项目（内容）、工作量及其所对应的中标</w:t>
      </w:r>
      <w:r>
        <w:rPr>
          <w:rFonts w:hint="eastAsia"/>
          <w:bCs/>
          <w:color w:val="auto"/>
          <w:sz w:val="22"/>
          <w:szCs w:val="22"/>
          <w:highlight w:val="none"/>
          <w:lang w:val="en-US" w:eastAsia="zh-CN"/>
        </w:rPr>
        <w:t>折扣率折扣</w:t>
      </w:r>
      <w:r>
        <w:rPr>
          <w:rFonts w:hint="eastAsia"/>
          <w:bCs/>
          <w:color w:val="auto"/>
          <w:sz w:val="22"/>
          <w:szCs w:val="22"/>
          <w:highlight w:val="none"/>
        </w:rPr>
        <w:t>后的单价进行结算。</w:t>
      </w:r>
      <w:r>
        <w:rPr>
          <w:rFonts w:hint="eastAsia"/>
          <w:b/>
          <w:bCs/>
          <w:color w:val="auto"/>
          <w:sz w:val="22"/>
          <w:szCs w:val="22"/>
          <w:highlight w:val="none"/>
        </w:rPr>
        <w:t>本项目结算方式为：中标折扣率*与之对应项目的招标控制价*实际工程量</w:t>
      </w:r>
      <w:r>
        <w:rPr>
          <w:rFonts w:hint="eastAsia"/>
          <w:b/>
          <w:bCs/>
          <w:color w:val="auto"/>
          <w:sz w:val="22"/>
          <w:szCs w:val="22"/>
          <w:highlight w:val="none"/>
          <w:lang w:eastAsia="zh-CN"/>
        </w:rPr>
        <w:t>（</w:t>
      </w:r>
      <w:r>
        <w:rPr>
          <w:rFonts w:hint="eastAsia"/>
          <w:b/>
          <w:bCs/>
          <w:color w:val="auto"/>
          <w:sz w:val="22"/>
          <w:szCs w:val="22"/>
          <w:highlight w:val="none"/>
          <w:lang w:val="en-US" w:eastAsia="zh-CN"/>
        </w:rPr>
        <w:t>若投标折扣率报价=85%，即</w:t>
      </w:r>
      <w:r>
        <w:rPr>
          <w:rFonts w:hint="eastAsia"/>
          <w:b/>
          <w:bCs/>
          <w:color w:val="auto"/>
          <w:sz w:val="22"/>
          <w:szCs w:val="22"/>
          <w:highlight w:val="none"/>
        </w:rPr>
        <w:t>结算方式=0.85*与之对应项目的招标控制价*实际工程量</w:t>
      </w:r>
      <w:r>
        <w:rPr>
          <w:rFonts w:hint="eastAsia"/>
          <w:b/>
          <w:bCs/>
          <w:color w:val="auto"/>
          <w:sz w:val="22"/>
          <w:szCs w:val="22"/>
          <w:highlight w:val="none"/>
          <w:lang w:eastAsia="zh-CN"/>
        </w:rPr>
        <w:t>）</w:t>
      </w:r>
      <w:r>
        <w:rPr>
          <w:rFonts w:hint="eastAsia"/>
          <w:b/>
          <w:bCs/>
          <w:color w:val="auto"/>
          <w:sz w:val="22"/>
          <w:szCs w:val="22"/>
          <w:highlight w:val="none"/>
        </w:rPr>
        <w:t>。招标控制价中的工程量为暂定量，工程完工后按实结算。</w:t>
      </w:r>
    </w:p>
    <w:p w14:paraId="4A10146B">
      <w:pPr>
        <w:autoSpaceDE w:val="0"/>
        <w:autoSpaceDN w:val="0"/>
        <w:adjustRightInd w:val="0"/>
        <w:spacing w:line="440" w:lineRule="atLeast"/>
        <w:rPr>
          <w:rFonts w:hint="eastAsia"/>
          <w:b/>
          <w:bCs/>
          <w:color w:val="auto"/>
          <w:szCs w:val="22"/>
          <w:highlight w:val="none"/>
          <w:lang w:val="zh-CN"/>
        </w:rPr>
      </w:pPr>
      <w:r>
        <w:rPr>
          <w:rFonts w:hint="eastAsia"/>
          <w:b/>
          <w:bCs/>
          <w:color w:val="auto"/>
          <w:sz w:val="22"/>
          <w:szCs w:val="22"/>
          <w:highlight w:val="none"/>
        </w:rPr>
        <w:t>本次采购本项目按照中标价（合同价）一次包干，合同期内采购人不再</w:t>
      </w:r>
      <w:r>
        <w:rPr>
          <w:rFonts w:hint="eastAsia"/>
          <w:b/>
          <w:color w:val="auto"/>
          <w:sz w:val="22"/>
          <w:szCs w:val="22"/>
          <w:highlight w:val="none"/>
        </w:rPr>
        <w:t>另行支付其他费用。</w:t>
      </w:r>
    </w:p>
    <w:p w14:paraId="4285C600">
      <w:pPr>
        <w:autoSpaceDE w:val="0"/>
        <w:autoSpaceDN w:val="0"/>
        <w:adjustRightInd w:val="0"/>
        <w:spacing w:line="440" w:lineRule="atLeas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供应商名称（盖章）：</w:t>
      </w:r>
    </w:p>
    <w:p w14:paraId="44C2CFFF">
      <w:pPr>
        <w:autoSpaceDE w:val="0"/>
        <w:autoSpaceDN w:val="0"/>
        <w:adjustRightInd w:val="0"/>
        <w:spacing w:line="440" w:lineRule="atLeas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法定代表人或授权代表（签字或签章）：</w:t>
      </w:r>
    </w:p>
    <w:p w14:paraId="1B23F949">
      <w:pPr>
        <w:autoSpaceDE w:val="0"/>
        <w:autoSpaceDN w:val="0"/>
        <w:adjustRightInd w:val="0"/>
        <w:spacing w:line="440" w:lineRule="atLeas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14:paraId="447416E2">
      <w:pPr>
        <w:pStyle w:val="39"/>
        <w:snapToGrid w:val="0"/>
        <w:spacing w:line="400" w:lineRule="exact"/>
        <w:jc w:val="left"/>
        <w:rPr>
          <w:rFonts w:hint="eastAsia" w:ascii="宋体" w:hAnsi="宋体" w:eastAsia="宋体"/>
          <w:color w:val="auto"/>
          <w:sz w:val="24"/>
          <w:szCs w:val="24"/>
          <w:highlight w:val="none"/>
        </w:rPr>
      </w:pPr>
    </w:p>
    <w:p w14:paraId="2BFADD83">
      <w:pPr>
        <w:pStyle w:val="39"/>
        <w:snapToGrid w:val="0"/>
        <w:spacing w:line="460" w:lineRule="atLeast"/>
        <w:rPr>
          <w:rFonts w:hAnsi="宋体"/>
          <w:color w:val="auto"/>
          <w:sz w:val="30"/>
          <w:highlight w:val="none"/>
        </w:rPr>
        <w:sectPr>
          <w:pgSz w:w="11906" w:h="16838"/>
          <w:pgMar w:top="1440" w:right="1361" w:bottom="1440"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585CDDBC">
      <w:pPr>
        <w:rPr>
          <w:rFonts w:hint="eastAsia" w:ascii="宋体" w:hAnsi="宋体" w:eastAsia="宋体"/>
          <w:color w:val="auto"/>
          <w:sz w:val="36"/>
          <w:szCs w:val="36"/>
          <w:highlight w:val="none"/>
          <w:lang w:val="en-US" w:eastAsia="zh-CN"/>
        </w:rPr>
      </w:pPr>
      <w:r>
        <w:rPr>
          <w:rFonts w:hint="eastAsia" w:ascii="宋体" w:hAnsi="宋体" w:eastAsia="宋体"/>
          <w:color w:val="auto"/>
          <w:sz w:val="36"/>
          <w:szCs w:val="36"/>
          <w:highlight w:val="none"/>
          <w:lang w:val="en-US" w:eastAsia="zh-CN"/>
        </w:rPr>
        <w:t>2.</w:t>
      </w:r>
      <w:r>
        <w:rPr>
          <w:rFonts w:hint="eastAsia" w:ascii="宋体" w:hAnsi="宋体"/>
          <w:color w:val="auto"/>
          <w:sz w:val="36"/>
          <w:szCs w:val="36"/>
          <w:highlight w:val="none"/>
          <w:lang w:val="en-US" w:eastAsia="zh-CN"/>
        </w:rPr>
        <w:t>3</w:t>
      </w:r>
      <w:r>
        <w:rPr>
          <w:rFonts w:hint="eastAsia" w:ascii="宋体" w:hAnsi="宋体" w:eastAsia="宋体"/>
          <w:color w:val="auto"/>
          <w:sz w:val="36"/>
          <w:szCs w:val="36"/>
          <w:highlight w:val="none"/>
        </w:rPr>
        <w:t>中小企业声明函、监狱企业、残疾人福利性单位及其他相关的充分的证明材料</w:t>
      </w:r>
    </w:p>
    <w:p w14:paraId="20581359">
      <w:pPr>
        <w:snapToGrid w:val="0"/>
        <w:spacing w:line="360" w:lineRule="auto"/>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中小企业声明函及其相关的充分的证明材料中小企业声明函</w:t>
      </w:r>
    </w:p>
    <w:p w14:paraId="03885F83">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【不属于中小企业的无需填写、递交】</w:t>
      </w:r>
    </w:p>
    <w:p w14:paraId="15AEF741">
      <w:pPr>
        <w:spacing w:line="440" w:lineRule="atLeast"/>
        <w:jc w:val="left"/>
        <w:rPr>
          <w:rFonts w:hint="eastAsia" w:ascii="宋体" w:hAnsi="宋体" w:eastAsia="宋体"/>
          <w:color w:val="auto"/>
          <w:sz w:val="22"/>
          <w:szCs w:val="22"/>
          <w:highlight w:val="none"/>
        </w:rPr>
      </w:pPr>
    </w:p>
    <w:p w14:paraId="0C0C5F13">
      <w:pPr>
        <w:jc w:val="center"/>
        <w:rPr>
          <w:rFonts w:hint="eastAsia" w:ascii="宋体" w:hAnsi="宋体" w:eastAsia="宋体"/>
          <w:b/>
          <w:bCs/>
          <w:color w:val="auto"/>
          <w:sz w:val="32"/>
          <w:szCs w:val="32"/>
          <w:highlight w:val="none"/>
        </w:rPr>
      </w:pPr>
      <w:r>
        <w:rPr>
          <w:rFonts w:hint="eastAsia" w:ascii="宋体" w:hAnsi="宋体" w:eastAsia="宋体"/>
          <w:b/>
          <w:bCs/>
          <w:color w:val="auto"/>
          <w:sz w:val="32"/>
          <w:szCs w:val="32"/>
          <w:highlight w:val="none"/>
        </w:rPr>
        <w:t>中小企业声明函（工程、服务）</w:t>
      </w:r>
    </w:p>
    <w:p w14:paraId="61EC657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本公司（联合体）郑重声明，根据《政府采购促进中小企业发展管理办法》（财库﹝2020﹞46 号）的规定，本公司 </w:t>
      </w:r>
      <w:r>
        <w:rPr>
          <w:rFonts w:hint="eastAsia" w:ascii="宋体" w:hAnsi="宋体" w:eastAsia="宋体"/>
          <w:color w:val="auto"/>
          <w:sz w:val="22"/>
          <w:szCs w:val="22"/>
          <w:highlight w:val="none"/>
          <w:u w:val="single"/>
        </w:rPr>
        <w:t>（联合体）</w:t>
      </w:r>
      <w:r>
        <w:rPr>
          <w:rFonts w:hint="eastAsia" w:ascii="宋体" w:hAnsi="宋体" w:eastAsia="宋体"/>
          <w:color w:val="auto"/>
          <w:sz w:val="22"/>
          <w:szCs w:val="22"/>
          <w:highlight w:val="none"/>
        </w:rPr>
        <w:t>参加</w:t>
      </w:r>
      <w:r>
        <w:rPr>
          <w:rFonts w:hint="eastAsia" w:ascii="宋体" w:hAnsi="宋体" w:eastAsia="宋体"/>
          <w:color w:val="auto"/>
          <w:sz w:val="22"/>
          <w:szCs w:val="22"/>
          <w:highlight w:val="none"/>
          <w:u w:val="single"/>
        </w:rPr>
        <w:t>（单位名称）</w:t>
      </w:r>
      <w:r>
        <w:rPr>
          <w:rFonts w:hint="eastAsia" w:ascii="宋体" w:hAnsi="宋体" w:eastAsia="宋体"/>
          <w:color w:val="auto"/>
          <w:sz w:val="22"/>
          <w:szCs w:val="22"/>
          <w:highlight w:val="none"/>
        </w:rPr>
        <w:t>的</w:t>
      </w:r>
      <w:r>
        <w:rPr>
          <w:rFonts w:hint="eastAsia" w:ascii="宋体" w:hAnsi="宋体" w:eastAsia="宋体"/>
          <w:color w:val="auto"/>
          <w:sz w:val="22"/>
          <w:szCs w:val="22"/>
          <w:highlight w:val="none"/>
          <w:u w:val="single"/>
        </w:rPr>
        <w:t>（项目名称）</w:t>
      </w:r>
      <w:r>
        <w:rPr>
          <w:rFonts w:hint="eastAsia" w:ascii="宋体" w:hAnsi="宋体" w:eastAsia="宋体"/>
          <w:color w:val="auto"/>
          <w:sz w:val="22"/>
          <w:szCs w:val="22"/>
          <w:highlight w:val="none"/>
        </w:rPr>
        <w:t xml:space="preserve">采购活动，工程的施工单位全部为符合政策要求的中小企业（或者：服务全部由符合政策要求的中小企业承接）。相关企业（含联合体中的中小企业、签订分包意向协议的中小企业）的具体情 况如下： </w:t>
      </w:r>
    </w:p>
    <w:p w14:paraId="67A74D2C">
      <w:pPr>
        <w:numPr>
          <w:ilvl w:val="0"/>
          <w:numId w:val="0"/>
        </w:numPr>
        <w:spacing w:line="400" w:lineRule="exact"/>
        <w:ind w:firstLine="440" w:firstLineChars="200"/>
        <w:rPr>
          <w:rFonts w:hint="eastAsia" w:ascii="宋体" w:hAnsi="宋体" w:eastAsia="宋体"/>
          <w:color w:val="auto"/>
          <w:sz w:val="22"/>
          <w:szCs w:val="22"/>
          <w:highlight w:val="none"/>
          <w:u w:val="single"/>
          <w:lang w:val="en-US" w:eastAsia="zh-CN"/>
        </w:rPr>
      </w:pPr>
      <w:r>
        <w:rPr>
          <w:rFonts w:hint="eastAsia" w:ascii="宋体" w:hAnsi="宋体" w:eastAsia="宋体"/>
          <w:color w:val="auto"/>
          <w:sz w:val="22"/>
          <w:szCs w:val="22"/>
          <w:highlight w:val="none"/>
          <w:u w:val="single"/>
          <w:lang w:val="en-US" w:eastAsia="zh-CN"/>
        </w:rPr>
        <w:t>1.</w:t>
      </w:r>
      <w:r>
        <w:rPr>
          <w:rFonts w:hint="eastAsia" w:ascii="宋体" w:hAnsi="宋体" w:eastAsia="宋体"/>
          <w:color w:val="auto"/>
          <w:sz w:val="22"/>
          <w:szCs w:val="22"/>
          <w:highlight w:val="none"/>
          <w:u w:val="single"/>
        </w:rPr>
        <w:t>（标的名称）</w:t>
      </w:r>
      <w:r>
        <w:rPr>
          <w:rFonts w:hint="eastAsia" w:ascii="宋体" w:hAnsi="宋体" w:eastAsia="宋体"/>
          <w:color w:val="auto"/>
          <w:sz w:val="22"/>
          <w:szCs w:val="22"/>
          <w:highlight w:val="none"/>
        </w:rPr>
        <w:t xml:space="preserve"> ，属于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建筑业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人，营业收入为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 ，属于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AD64CCC">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w:t>
      </w:r>
      <w:r>
        <w:rPr>
          <w:rFonts w:hint="eastAsia" w:ascii="宋体" w:hAnsi="宋体" w:eastAsia="宋体"/>
          <w:color w:val="auto"/>
          <w:sz w:val="22"/>
          <w:szCs w:val="22"/>
          <w:highlight w:val="none"/>
          <w:u w:val="single"/>
        </w:rPr>
        <w:t xml:space="preserve"> （标的名称）   </w:t>
      </w:r>
      <w:r>
        <w:rPr>
          <w:rFonts w:hint="eastAsia" w:ascii="宋体" w:hAnsi="宋体" w:eastAsia="宋体"/>
          <w:color w:val="auto"/>
          <w:sz w:val="22"/>
          <w:szCs w:val="22"/>
          <w:highlight w:val="none"/>
        </w:rPr>
        <w:t>，属于</w:t>
      </w:r>
      <w:r>
        <w:rPr>
          <w:rFonts w:hint="eastAsia" w:ascii="宋体" w:hAnsi="宋体" w:eastAsia="宋体"/>
          <w:color w:val="auto"/>
          <w:sz w:val="22"/>
          <w:szCs w:val="22"/>
          <w:highlight w:val="none"/>
          <w:u w:val="single"/>
        </w:rPr>
        <w:t>（</w:t>
      </w:r>
      <w:r>
        <w:rPr>
          <w:rFonts w:hint="eastAsia" w:ascii="宋体" w:hAnsi="宋体"/>
          <w:color w:val="auto"/>
          <w:sz w:val="22"/>
          <w:szCs w:val="22"/>
          <w:highlight w:val="none"/>
          <w:u w:val="single"/>
          <w:lang w:val="en-US" w:eastAsia="zh-CN"/>
        </w:rPr>
        <w:t>工业</w:t>
      </w:r>
      <w:r>
        <w:rPr>
          <w:rFonts w:hint="eastAsia" w:ascii="宋体" w:hAnsi="宋体" w:eastAsia="宋体"/>
          <w:color w:val="auto"/>
          <w:sz w:val="22"/>
          <w:szCs w:val="22"/>
          <w:highlight w:val="none"/>
          <w:u w:val="single"/>
        </w:rPr>
        <w:t>）</w:t>
      </w:r>
      <w:r>
        <w:rPr>
          <w:rFonts w:hint="eastAsia" w:ascii="宋体" w:hAnsi="宋体" w:eastAsia="宋体"/>
          <w:color w:val="auto"/>
          <w:sz w:val="22"/>
          <w:szCs w:val="22"/>
          <w:highlight w:val="none"/>
        </w:rPr>
        <w:t>； 承建（承接）企业为</w:t>
      </w:r>
      <w:r>
        <w:rPr>
          <w:rFonts w:hint="eastAsia" w:ascii="宋体" w:hAnsi="宋体" w:eastAsia="宋体"/>
          <w:color w:val="auto"/>
          <w:sz w:val="22"/>
          <w:szCs w:val="22"/>
          <w:highlight w:val="none"/>
          <w:u w:val="single"/>
        </w:rPr>
        <w:t>（企业名称）</w:t>
      </w:r>
      <w:r>
        <w:rPr>
          <w:rFonts w:hint="eastAsia" w:ascii="宋体" w:hAnsi="宋体" w:eastAsia="宋体"/>
          <w:color w:val="auto"/>
          <w:sz w:val="22"/>
          <w:szCs w:val="22"/>
          <w:highlight w:val="none"/>
        </w:rPr>
        <w:t>，从业人员</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 xml:space="preserve">人，营业收入为 </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万元，资产总额为</w:t>
      </w:r>
      <w:r>
        <w:rPr>
          <w:rFonts w:hint="eastAsia" w:ascii="宋体" w:hAnsi="宋体" w:eastAsia="宋体"/>
          <w:color w:val="auto"/>
          <w:sz w:val="22"/>
          <w:szCs w:val="22"/>
          <w:highlight w:val="none"/>
          <w:u w:val="single"/>
        </w:rPr>
        <w:t xml:space="preserve">   </w:t>
      </w:r>
      <w:r>
        <w:rPr>
          <w:rFonts w:hint="eastAsia" w:ascii="宋体" w:hAnsi="宋体" w:eastAsia="宋体"/>
          <w:color w:val="auto"/>
          <w:sz w:val="22"/>
          <w:szCs w:val="22"/>
          <w:highlight w:val="none"/>
        </w:rPr>
        <w:t>万元，属于</w:t>
      </w:r>
      <w:r>
        <w:rPr>
          <w:rFonts w:hint="eastAsia" w:ascii="宋体" w:hAnsi="宋体" w:eastAsia="宋体"/>
          <w:color w:val="auto"/>
          <w:sz w:val="22"/>
          <w:szCs w:val="22"/>
          <w:highlight w:val="none"/>
          <w:u w:val="single"/>
        </w:rPr>
        <w:t>（中型企业、 小型企业、微型企业）</w:t>
      </w:r>
      <w:r>
        <w:rPr>
          <w:rFonts w:hint="eastAsia" w:ascii="宋体" w:hAnsi="宋体" w:eastAsia="宋体"/>
          <w:color w:val="auto"/>
          <w:sz w:val="22"/>
          <w:szCs w:val="22"/>
          <w:highlight w:val="none"/>
        </w:rPr>
        <w:t xml:space="preserve">； </w:t>
      </w:r>
    </w:p>
    <w:p w14:paraId="7CC5718D">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14:paraId="5013B7E3">
      <w:pPr>
        <w:spacing w:line="400" w:lineRule="exact"/>
        <w:ind w:firstLine="440" w:firstLineChars="200"/>
        <w:rPr>
          <w:rFonts w:hint="eastAsia" w:ascii="宋体" w:hAnsi="宋体" w:eastAsia="宋体"/>
          <w:color w:val="auto"/>
          <w:sz w:val="22"/>
          <w:szCs w:val="22"/>
          <w:highlight w:val="none"/>
        </w:rPr>
      </w:pPr>
    </w:p>
    <w:p w14:paraId="2A9D9BA8">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 xml:space="preserve">企业名称（盖章）： </w:t>
      </w:r>
    </w:p>
    <w:p w14:paraId="414B9FBF">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日 期：</w:t>
      </w:r>
    </w:p>
    <w:p w14:paraId="18EA0D58">
      <w:pPr>
        <w:pStyle w:val="34"/>
        <w:rPr>
          <w:rFonts w:hint="eastAsia" w:ascii="宋体" w:hAnsi="宋体" w:eastAsia="宋体"/>
          <w:color w:val="auto"/>
          <w:highlight w:val="none"/>
          <w:lang w:eastAsia="zh-CN"/>
        </w:rPr>
      </w:pPr>
    </w:p>
    <w:p w14:paraId="453382EA">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 从业人员、营业收入、资产总额填报上一年度数据，无上一年度数据的新成立企业可不填报。</w:t>
      </w:r>
    </w:p>
    <w:p w14:paraId="5253EF7E">
      <w:pPr>
        <w:snapToGrid w:val="0"/>
        <w:spacing w:line="360" w:lineRule="auto"/>
        <w:rPr>
          <w:rFonts w:hint="eastAsia" w:ascii="宋体" w:hAnsi="宋体" w:eastAsia="宋体"/>
          <w:b/>
          <w:bCs/>
          <w:color w:val="auto"/>
          <w:highlight w:val="none"/>
        </w:rPr>
      </w:pPr>
    </w:p>
    <w:p w14:paraId="0873BF58">
      <w:pPr>
        <w:snapToGrid w:val="0"/>
        <w:spacing w:line="360" w:lineRule="auto"/>
        <w:ind w:firstLine="422" w:firstLineChars="200"/>
        <w:rPr>
          <w:rFonts w:hint="eastAsia" w:ascii="宋体" w:hAnsi="宋体" w:eastAsia="宋体"/>
          <w:b/>
          <w:bCs/>
          <w:color w:val="auto"/>
          <w:highlight w:val="none"/>
        </w:rPr>
      </w:pPr>
      <w:r>
        <w:rPr>
          <w:rFonts w:hint="eastAsia" w:ascii="宋体" w:hAnsi="宋体" w:eastAsia="宋体"/>
          <w:b/>
          <w:bCs/>
          <w:color w:val="auto"/>
          <w:highlight w:val="none"/>
        </w:rPr>
        <w:t>▲投标人提供的中小企业声明函与实际情况不符的，视为投标人提供虚假材料投标的，投标无效。</w:t>
      </w:r>
    </w:p>
    <w:p w14:paraId="103ACB3C">
      <w:pPr>
        <w:snapToGrid w:val="0"/>
        <w:spacing w:line="360" w:lineRule="auto"/>
        <w:jc w:val="center"/>
        <w:rPr>
          <w:rFonts w:hint="eastAsia" w:ascii="宋体" w:hAnsi="宋体" w:eastAsia="宋体"/>
          <w:b/>
          <w:color w:val="auto"/>
          <w:highlight w:val="none"/>
        </w:rPr>
      </w:pPr>
    </w:p>
    <w:p w14:paraId="61F89C12">
      <w:pPr>
        <w:snapToGrid w:val="0"/>
        <w:spacing w:line="360" w:lineRule="auto"/>
        <w:jc w:val="center"/>
        <w:rPr>
          <w:rFonts w:hint="eastAsia" w:ascii="宋体" w:hAnsi="宋体" w:eastAsia="宋体"/>
          <w:b/>
          <w:color w:val="auto"/>
          <w:highlight w:val="none"/>
        </w:rPr>
      </w:pPr>
    </w:p>
    <w:p w14:paraId="521690E3">
      <w:pPr>
        <w:snapToGrid w:val="0"/>
        <w:spacing w:line="360" w:lineRule="auto"/>
        <w:jc w:val="center"/>
        <w:rPr>
          <w:rFonts w:hint="eastAsia" w:ascii="宋体" w:hAnsi="宋体" w:eastAsia="宋体"/>
          <w:b/>
          <w:color w:val="auto"/>
          <w:sz w:val="28"/>
          <w:szCs w:val="36"/>
          <w:highlight w:val="none"/>
        </w:rPr>
      </w:pPr>
    </w:p>
    <w:p w14:paraId="41A13F9F">
      <w:pPr>
        <w:snapToGrid w:val="0"/>
        <w:spacing w:line="360" w:lineRule="auto"/>
        <w:jc w:val="center"/>
        <w:rPr>
          <w:rFonts w:hint="eastAsia" w:ascii="宋体" w:hAnsi="宋体" w:eastAsia="宋体"/>
          <w:b/>
          <w:color w:val="auto"/>
          <w:sz w:val="28"/>
          <w:szCs w:val="36"/>
          <w:highlight w:val="none"/>
        </w:rPr>
      </w:pPr>
    </w:p>
    <w:p w14:paraId="3F22F66F">
      <w:pPr>
        <w:pStyle w:val="31"/>
        <w:ind w:left="0" w:leftChars="0" w:firstLine="0" w:firstLineChars="0"/>
        <w:rPr>
          <w:rFonts w:hint="eastAsia"/>
          <w:color w:val="auto"/>
          <w:highlight w:val="none"/>
        </w:rPr>
      </w:pPr>
    </w:p>
    <w:p w14:paraId="55E82A03">
      <w:pPr>
        <w:snapToGrid w:val="0"/>
        <w:spacing w:line="360" w:lineRule="auto"/>
        <w:jc w:val="center"/>
        <w:rPr>
          <w:rFonts w:hint="eastAsia" w:ascii="宋体" w:hAnsi="宋体" w:eastAsia="宋体"/>
          <w:b/>
          <w:color w:val="auto"/>
          <w:sz w:val="28"/>
          <w:szCs w:val="36"/>
          <w:highlight w:val="none"/>
        </w:rPr>
      </w:pPr>
    </w:p>
    <w:p w14:paraId="7B5CD2E3">
      <w:pPr>
        <w:snapToGrid w:val="0"/>
        <w:spacing w:line="360" w:lineRule="auto"/>
        <w:jc w:val="center"/>
        <w:rPr>
          <w:rFonts w:hint="eastAsia" w:ascii="宋体" w:hAnsi="宋体" w:eastAsia="宋体"/>
          <w:b/>
          <w:color w:val="auto"/>
          <w:sz w:val="28"/>
          <w:szCs w:val="36"/>
          <w:highlight w:val="none"/>
        </w:rPr>
      </w:pPr>
    </w:p>
    <w:p w14:paraId="3E3349DE">
      <w:pPr>
        <w:snapToGrid w:val="0"/>
        <w:spacing w:line="360" w:lineRule="auto"/>
        <w:jc w:val="center"/>
        <w:rPr>
          <w:rFonts w:hint="eastAsia" w:ascii="宋体" w:hAnsi="宋体" w:eastAsia="宋体"/>
          <w:b/>
          <w:color w:val="auto"/>
          <w:sz w:val="28"/>
          <w:szCs w:val="36"/>
          <w:highlight w:val="none"/>
        </w:rPr>
      </w:pPr>
      <w:r>
        <w:rPr>
          <w:rFonts w:hint="eastAsia" w:ascii="宋体" w:hAnsi="宋体" w:eastAsia="宋体"/>
          <w:b/>
          <w:color w:val="auto"/>
          <w:sz w:val="28"/>
          <w:szCs w:val="36"/>
          <w:highlight w:val="none"/>
        </w:rPr>
        <w:t>监狱企业声明函</w:t>
      </w:r>
    </w:p>
    <w:p w14:paraId="4411F382">
      <w:pPr>
        <w:snapToGrid w:val="0"/>
        <w:spacing w:line="360" w:lineRule="auto"/>
        <w:ind w:firstLine="420" w:firstLineChars="200"/>
        <w:jc w:val="center"/>
        <w:rPr>
          <w:rFonts w:hint="eastAsia" w:ascii="宋体" w:hAnsi="宋体" w:eastAsia="宋体"/>
          <w:color w:val="auto"/>
          <w:highlight w:val="none"/>
        </w:rPr>
      </w:pPr>
      <w:r>
        <w:rPr>
          <w:rFonts w:hint="eastAsia" w:ascii="宋体" w:hAnsi="宋体" w:eastAsia="宋体"/>
          <w:color w:val="auto"/>
          <w:highlight w:val="none"/>
        </w:rPr>
        <w:t>【不属于监狱企业的无需填写、递交】</w:t>
      </w:r>
    </w:p>
    <w:p w14:paraId="38953165">
      <w:pPr>
        <w:snapToGrid w:val="0"/>
        <w:spacing w:line="360" w:lineRule="auto"/>
        <w:ind w:firstLine="420" w:firstLineChars="200"/>
        <w:rPr>
          <w:rFonts w:hint="eastAsia" w:ascii="宋体" w:hAnsi="宋体" w:eastAsia="宋体"/>
          <w:color w:val="auto"/>
          <w:highlight w:val="none"/>
        </w:rPr>
      </w:pPr>
    </w:p>
    <w:p w14:paraId="3D856591">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本公司郑重声明，根据《关于政府采购支持监狱企业发展有关问题的通知》 （财库[2014]68 号）的规定，本公司为</w:t>
      </w:r>
      <w:r>
        <w:rPr>
          <w:rFonts w:hint="eastAsia" w:ascii="宋体" w:hAnsi="宋体" w:eastAsia="宋体"/>
          <w:color w:val="auto"/>
          <w:highlight w:val="none"/>
          <w:u w:val="single"/>
        </w:rPr>
        <w:t>监狱企业</w:t>
      </w:r>
      <w:r>
        <w:rPr>
          <w:rFonts w:hint="eastAsia" w:ascii="宋体" w:hAnsi="宋体" w:eastAsia="宋体"/>
          <w:color w:val="auto"/>
          <w:highlight w:val="none"/>
        </w:rPr>
        <w:t>。</w:t>
      </w:r>
    </w:p>
    <w:p w14:paraId="4EAB8577">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根据上述标准，我公司属于监狱企业的理由为：</w:t>
      </w:r>
      <w:r>
        <w:rPr>
          <w:rFonts w:hint="eastAsia" w:ascii="宋体" w:hAnsi="宋体" w:eastAsia="宋体"/>
          <w:color w:val="auto"/>
          <w:highlight w:val="none"/>
          <w:u w:val="single"/>
        </w:rPr>
        <w:t xml:space="preserve">         </w:t>
      </w:r>
      <w:r>
        <w:rPr>
          <w:rFonts w:hint="eastAsia" w:ascii="宋体" w:hAnsi="宋体" w:eastAsia="宋体"/>
          <w:color w:val="auto"/>
          <w:highlight w:val="none"/>
        </w:rPr>
        <w:t>。</w:t>
      </w:r>
    </w:p>
    <w:p w14:paraId="176A1AAC">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本公司为参加（</w:t>
      </w:r>
      <w:r>
        <w:rPr>
          <w:rFonts w:hint="eastAsia" w:ascii="宋体" w:hAnsi="宋体" w:eastAsia="宋体"/>
          <w:color w:val="auto"/>
          <w:highlight w:val="none"/>
          <w:u w:val="single"/>
        </w:rPr>
        <w:t xml:space="preserve">    项目名称    </w:t>
      </w:r>
      <w:r>
        <w:rPr>
          <w:rFonts w:hint="eastAsia" w:ascii="宋体" w:hAnsi="宋体" w:eastAsia="宋体"/>
          <w:color w:val="auto"/>
          <w:highlight w:val="none"/>
        </w:rPr>
        <w:t>） （项目编号：</w:t>
      </w:r>
      <w:r>
        <w:rPr>
          <w:rFonts w:hint="eastAsia" w:ascii="宋体" w:hAnsi="宋体" w:eastAsia="宋体"/>
          <w:color w:val="auto"/>
          <w:highlight w:val="none"/>
          <w:u w:val="single"/>
        </w:rPr>
        <w:t xml:space="preserve">      </w:t>
      </w:r>
      <w:r>
        <w:rPr>
          <w:rFonts w:hint="eastAsia" w:ascii="宋体" w:hAnsi="宋体" w:eastAsia="宋体"/>
          <w:color w:val="auto"/>
          <w:highlight w:val="none"/>
        </w:rPr>
        <w:t>）采购活动提供本企业提供服务。</w:t>
      </w:r>
    </w:p>
    <w:p w14:paraId="193A3A06">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本公司对上述声明的真实性负责。如有虚假，将依法承担相应责任。</w:t>
      </w:r>
    </w:p>
    <w:p w14:paraId="36C07CE8">
      <w:pPr>
        <w:snapToGrid w:val="0"/>
        <w:spacing w:line="360" w:lineRule="auto"/>
        <w:ind w:firstLine="420" w:firstLineChars="200"/>
        <w:rPr>
          <w:rFonts w:hint="eastAsia" w:ascii="宋体" w:hAnsi="宋体" w:eastAsia="宋体"/>
          <w:color w:val="auto"/>
          <w:highlight w:val="none"/>
        </w:rPr>
      </w:pPr>
    </w:p>
    <w:p w14:paraId="58E37604">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投标人名称（盖章）：</w:t>
      </w:r>
    </w:p>
    <w:p w14:paraId="54306540">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日期：    年  月  日</w:t>
      </w:r>
    </w:p>
    <w:p w14:paraId="7E60E93C">
      <w:pPr>
        <w:snapToGrid w:val="0"/>
        <w:spacing w:line="360" w:lineRule="auto"/>
        <w:ind w:firstLine="420" w:firstLineChars="200"/>
        <w:rPr>
          <w:rFonts w:hint="eastAsia" w:ascii="宋体" w:hAnsi="宋体" w:eastAsia="宋体"/>
          <w:color w:val="auto"/>
          <w:highlight w:val="none"/>
        </w:rPr>
      </w:pPr>
    </w:p>
    <w:p w14:paraId="7ED7732F">
      <w:pPr>
        <w:snapToGrid w:val="0"/>
        <w:spacing w:line="360" w:lineRule="auto"/>
        <w:ind w:firstLine="420" w:firstLineChars="200"/>
        <w:rPr>
          <w:rFonts w:hint="eastAsia" w:ascii="宋体" w:hAnsi="宋体" w:eastAsia="宋体"/>
          <w:color w:val="auto"/>
          <w:highlight w:val="none"/>
        </w:rPr>
      </w:pPr>
    </w:p>
    <w:p w14:paraId="47647AD1">
      <w:pPr>
        <w:snapToGrid w:val="0"/>
        <w:spacing w:line="360" w:lineRule="auto"/>
        <w:ind w:firstLine="420" w:firstLineChars="200"/>
        <w:rPr>
          <w:rFonts w:hint="eastAsia" w:ascii="宋体" w:hAnsi="宋体" w:eastAsia="宋体"/>
          <w:color w:val="auto"/>
          <w:highlight w:val="none"/>
        </w:rPr>
      </w:pPr>
    </w:p>
    <w:p w14:paraId="65A797DA">
      <w:pPr>
        <w:snapToGrid w:val="0"/>
        <w:spacing w:line="360" w:lineRule="auto"/>
        <w:ind w:firstLine="420" w:firstLineChars="200"/>
        <w:rPr>
          <w:rFonts w:hint="eastAsia" w:ascii="宋体" w:hAnsi="宋体" w:eastAsia="宋体"/>
          <w:color w:val="auto"/>
          <w:highlight w:val="none"/>
        </w:rPr>
      </w:pPr>
    </w:p>
    <w:p w14:paraId="0655D738">
      <w:pPr>
        <w:snapToGrid w:val="0"/>
        <w:spacing w:line="360" w:lineRule="auto"/>
        <w:ind w:firstLine="420" w:firstLineChars="200"/>
        <w:rPr>
          <w:rFonts w:hint="eastAsia" w:ascii="宋体" w:hAnsi="宋体" w:eastAsia="宋体"/>
          <w:color w:val="auto"/>
          <w:highlight w:val="none"/>
        </w:rPr>
      </w:pPr>
    </w:p>
    <w:p w14:paraId="121043D8">
      <w:pPr>
        <w:snapToGrid w:val="0"/>
        <w:spacing w:line="360" w:lineRule="auto"/>
        <w:ind w:firstLine="420" w:firstLineChars="200"/>
        <w:rPr>
          <w:rFonts w:hint="eastAsia" w:ascii="宋体" w:hAnsi="宋体" w:eastAsia="宋体"/>
          <w:color w:val="auto"/>
          <w:highlight w:val="none"/>
        </w:rPr>
      </w:pPr>
    </w:p>
    <w:p w14:paraId="39084433">
      <w:pPr>
        <w:snapToGrid w:val="0"/>
        <w:spacing w:line="360" w:lineRule="auto"/>
        <w:rPr>
          <w:rFonts w:hint="eastAsia" w:ascii="宋体" w:hAnsi="宋体" w:eastAsia="宋体"/>
          <w:b/>
          <w:color w:val="auto"/>
          <w:spacing w:val="6"/>
          <w:highlight w:val="none"/>
        </w:rPr>
      </w:pPr>
    </w:p>
    <w:p w14:paraId="37A480D3">
      <w:pPr>
        <w:snapToGrid w:val="0"/>
        <w:spacing w:line="360" w:lineRule="auto"/>
        <w:rPr>
          <w:rFonts w:hint="eastAsia" w:ascii="宋体" w:hAnsi="宋体" w:eastAsia="宋体"/>
          <w:b/>
          <w:color w:val="auto"/>
          <w:spacing w:val="6"/>
          <w:highlight w:val="none"/>
        </w:rPr>
      </w:pPr>
    </w:p>
    <w:p w14:paraId="6DAFB936">
      <w:pPr>
        <w:snapToGrid w:val="0"/>
        <w:spacing w:line="360" w:lineRule="auto"/>
        <w:jc w:val="center"/>
        <w:rPr>
          <w:rFonts w:hint="eastAsia" w:ascii="宋体" w:hAnsi="宋体" w:eastAsia="宋体"/>
          <w:b/>
          <w:color w:val="auto"/>
          <w:spacing w:val="6"/>
          <w:highlight w:val="none"/>
        </w:rPr>
      </w:pPr>
    </w:p>
    <w:p w14:paraId="5804D661">
      <w:pPr>
        <w:snapToGrid w:val="0"/>
        <w:spacing w:line="360" w:lineRule="auto"/>
        <w:jc w:val="center"/>
        <w:rPr>
          <w:rFonts w:hint="eastAsia" w:ascii="宋体" w:hAnsi="宋体" w:eastAsia="宋体"/>
          <w:b/>
          <w:color w:val="auto"/>
          <w:spacing w:val="6"/>
          <w:highlight w:val="none"/>
        </w:rPr>
      </w:pPr>
    </w:p>
    <w:p w14:paraId="782DC51C">
      <w:pPr>
        <w:pageBreakBefore/>
        <w:snapToGrid w:val="0"/>
        <w:spacing w:line="360" w:lineRule="auto"/>
        <w:jc w:val="center"/>
        <w:rPr>
          <w:rFonts w:hint="eastAsia" w:ascii="宋体" w:hAnsi="宋体" w:eastAsia="宋体"/>
          <w:b/>
          <w:color w:val="auto"/>
          <w:spacing w:val="6"/>
          <w:sz w:val="28"/>
          <w:szCs w:val="36"/>
          <w:highlight w:val="none"/>
        </w:rPr>
      </w:pPr>
      <w:r>
        <w:rPr>
          <w:rFonts w:hint="eastAsia" w:ascii="宋体" w:hAnsi="宋体" w:eastAsia="宋体"/>
          <w:b/>
          <w:color w:val="auto"/>
          <w:spacing w:val="6"/>
          <w:sz w:val="28"/>
          <w:szCs w:val="36"/>
          <w:highlight w:val="none"/>
        </w:rPr>
        <w:t>残疾人福利性单位声明函</w:t>
      </w:r>
    </w:p>
    <w:p w14:paraId="1EC4A9E6">
      <w:pPr>
        <w:snapToGrid w:val="0"/>
        <w:spacing w:line="360" w:lineRule="auto"/>
        <w:ind w:firstLine="420" w:firstLineChars="200"/>
        <w:rPr>
          <w:rFonts w:hint="eastAsia" w:ascii="宋体" w:hAnsi="宋体" w:eastAsia="宋体"/>
          <w:color w:val="auto"/>
          <w:highlight w:val="none"/>
        </w:rPr>
      </w:pPr>
    </w:p>
    <w:p w14:paraId="6D99BFD1">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D2C9A13">
      <w:pPr>
        <w:snapToGrid w:val="0"/>
        <w:spacing w:line="360" w:lineRule="auto"/>
        <w:ind w:firstLine="420" w:firstLineChars="200"/>
        <w:rPr>
          <w:rFonts w:hint="eastAsia" w:ascii="宋体" w:hAnsi="宋体" w:eastAsia="宋体"/>
          <w:color w:val="auto"/>
          <w:highlight w:val="none"/>
        </w:rPr>
      </w:pPr>
      <w:r>
        <w:rPr>
          <w:rFonts w:hint="eastAsia" w:ascii="宋体" w:hAnsi="宋体" w:eastAsia="宋体"/>
          <w:color w:val="auto"/>
          <w:highlight w:val="none"/>
        </w:rPr>
        <w:t>本单位对上述声明的真实性负责。如有虚假，将依法承担相应责任。</w:t>
      </w:r>
    </w:p>
    <w:p w14:paraId="3BCA03BC">
      <w:pPr>
        <w:snapToGrid w:val="0"/>
        <w:spacing w:line="360" w:lineRule="auto"/>
        <w:ind w:firstLine="420" w:firstLineChars="200"/>
        <w:rPr>
          <w:rFonts w:hint="eastAsia" w:ascii="宋体" w:hAnsi="宋体" w:eastAsia="宋体"/>
          <w:color w:val="auto"/>
          <w:highlight w:val="none"/>
        </w:rPr>
      </w:pPr>
    </w:p>
    <w:p w14:paraId="15A2E28A">
      <w:pPr>
        <w:snapToGrid w:val="0"/>
        <w:spacing w:line="360" w:lineRule="auto"/>
        <w:ind w:firstLine="420" w:firstLineChars="200"/>
        <w:rPr>
          <w:rFonts w:hint="eastAsia" w:ascii="宋体" w:hAnsi="宋体" w:eastAsia="宋体"/>
          <w:color w:val="auto"/>
          <w:highlight w:val="none"/>
        </w:rPr>
      </w:pPr>
    </w:p>
    <w:p w14:paraId="764A6026">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单位名称（盖章）：</w:t>
      </w:r>
    </w:p>
    <w:p w14:paraId="1F60B8BF">
      <w:pPr>
        <w:tabs>
          <w:tab w:val="left" w:pos="4860"/>
        </w:tabs>
        <w:snapToGrid w:val="0"/>
        <w:spacing w:line="360" w:lineRule="auto"/>
        <w:ind w:right="1560" w:firstLine="420" w:firstLineChars="200"/>
        <w:rPr>
          <w:rFonts w:hint="eastAsia" w:ascii="宋体" w:hAnsi="宋体" w:eastAsia="宋体"/>
          <w:color w:val="auto"/>
          <w:highlight w:val="none"/>
        </w:rPr>
      </w:pPr>
      <w:r>
        <w:rPr>
          <w:rFonts w:hint="eastAsia" w:ascii="宋体" w:hAnsi="宋体" w:eastAsia="宋体"/>
          <w:color w:val="auto"/>
          <w:highlight w:val="none"/>
        </w:rPr>
        <w:t xml:space="preserve">       日  期：</w:t>
      </w:r>
    </w:p>
    <w:p w14:paraId="2193E2BE">
      <w:pPr>
        <w:pStyle w:val="80"/>
        <w:snapToGrid w:val="0"/>
        <w:spacing w:line="360" w:lineRule="auto"/>
        <w:ind w:left="360" w:firstLine="0" w:firstLineChars="0"/>
        <w:rPr>
          <w:rFonts w:hint="eastAsia" w:ascii="宋体" w:hAnsi="宋体" w:eastAsia="宋体"/>
          <w:color w:val="auto"/>
          <w:highlight w:val="none"/>
        </w:rPr>
      </w:pPr>
      <w:r>
        <w:rPr>
          <w:rFonts w:hint="eastAsia" w:ascii="宋体" w:hAnsi="宋体" w:eastAsia="宋体"/>
          <w:color w:val="auto"/>
          <w:highlight w:val="none"/>
        </w:rPr>
        <w:t>扶持政策说明：</w:t>
      </w:r>
    </w:p>
    <w:p w14:paraId="637F767D">
      <w:pPr>
        <w:pStyle w:val="80"/>
        <w:snapToGrid w:val="0"/>
        <w:spacing w:line="360" w:lineRule="auto"/>
        <w:rPr>
          <w:rFonts w:hint="eastAsia" w:ascii="宋体" w:hAnsi="宋体" w:eastAsia="宋体"/>
          <w:color w:val="auto"/>
          <w:highlight w:val="none"/>
        </w:rPr>
      </w:pPr>
      <w:r>
        <w:rPr>
          <w:rFonts w:hint="eastAsia" w:ascii="宋体" w:hAnsi="宋体" w:eastAsia="宋体"/>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扣除，并用扣除后的价格计算价格评分。</w:t>
      </w:r>
    </w:p>
    <w:p w14:paraId="0E283C92">
      <w:pPr>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2、监狱企业视同小微企业，参加本项目投标的，享受小微企业同等的价格扣除。【注：提供《监狱企业声明函》及其相关的充分的证明材料】。</w:t>
      </w:r>
    </w:p>
    <w:p w14:paraId="73DA68C2">
      <w:pPr>
        <w:pStyle w:val="80"/>
        <w:snapToGrid w:val="0"/>
        <w:spacing w:line="360" w:lineRule="auto"/>
        <w:ind w:firstLine="210" w:firstLineChars="100"/>
        <w:rPr>
          <w:rFonts w:hint="eastAsia" w:ascii="宋体" w:hAnsi="宋体" w:eastAsia="宋体"/>
          <w:color w:val="auto"/>
          <w:highlight w:val="none"/>
        </w:rPr>
      </w:pPr>
      <w:r>
        <w:rPr>
          <w:rFonts w:hint="eastAsia" w:ascii="宋体" w:hAnsi="宋体" w:eastAsia="宋体"/>
          <w:color w:val="auto"/>
          <w:highlight w:val="none"/>
        </w:rPr>
        <w:t>3、残疾人福利性单位参加投标【提供《残疾人福利性单位声明函》】，视为小型、微型企业，享受小微企业政策扶持。</w:t>
      </w:r>
    </w:p>
    <w:p w14:paraId="43D398E6">
      <w:pPr>
        <w:pStyle w:val="80"/>
        <w:snapToGrid w:val="0"/>
        <w:spacing w:line="360" w:lineRule="auto"/>
        <w:ind w:firstLine="210" w:firstLineChars="100"/>
        <w:rPr>
          <w:color w:val="auto"/>
          <w:highlight w:val="none"/>
        </w:rPr>
      </w:pPr>
    </w:p>
    <w:p w14:paraId="16E1FAB8">
      <w:pPr>
        <w:pStyle w:val="39"/>
        <w:snapToGrid w:val="0"/>
        <w:spacing w:line="460" w:lineRule="atLeast"/>
        <w:rPr>
          <w:rFonts w:hAnsi="宋体"/>
          <w:color w:val="auto"/>
          <w:sz w:val="30"/>
          <w:highlight w:val="none"/>
        </w:rPr>
      </w:pPr>
    </w:p>
    <w:p w14:paraId="4812AE34">
      <w:pPr>
        <w:pStyle w:val="39"/>
        <w:snapToGrid w:val="0"/>
        <w:spacing w:line="460" w:lineRule="atLeast"/>
        <w:rPr>
          <w:rFonts w:hAnsi="宋体"/>
          <w:color w:val="auto"/>
          <w:sz w:val="30"/>
          <w:highlight w:val="none"/>
        </w:rPr>
      </w:pPr>
    </w:p>
    <w:p w14:paraId="3FF1296D">
      <w:pPr>
        <w:pStyle w:val="39"/>
        <w:snapToGrid w:val="0"/>
        <w:spacing w:line="460" w:lineRule="atLeast"/>
        <w:rPr>
          <w:rFonts w:hAnsi="宋体"/>
          <w:color w:val="auto"/>
          <w:sz w:val="30"/>
          <w:highlight w:val="none"/>
        </w:rPr>
      </w:pPr>
    </w:p>
    <w:p w14:paraId="2BA45C09">
      <w:pPr>
        <w:pStyle w:val="39"/>
        <w:snapToGrid w:val="0"/>
        <w:spacing w:line="460" w:lineRule="atLeast"/>
        <w:rPr>
          <w:rFonts w:hAnsi="宋体"/>
          <w:color w:val="auto"/>
          <w:sz w:val="30"/>
          <w:highlight w:val="none"/>
        </w:rPr>
      </w:pPr>
    </w:p>
    <w:p w14:paraId="602EB5D8">
      <w:pPr>
        <w:pStyle w:val="39"/>
        <w:snapToGrid w:val="0"/>
        <w:spacing w:line="460" w:lineRule="atLeast"/>
        <w:rPr>
          <w:rFonts w:hAnsi="宋体"/>
          <w:color w:val="auto"/>
          <w:sz w:val="30"/>
          <w:highlight w:val="none"/>
        </w:rPr>
      </w:pPr>
    </w:p>
    <w:p w14:paraId="219B2C4C">
      <w:pPr>
        <w:pStyle w:val="39"/>
        <w:snapToGrid w:val="0"/>
        <w:spacing w:line="460" w:lineRule="atLeast"/>
        <w:rPr>
          <w:rFonts w:hAnsi="宋体"/>
          <w:color w:val="auto"/>
          <w:sz w:val="30"/>
          <w:highlight w:val="none"/>
        </w:rPr>
      </w:pPr>
    </w:p>
    <w:p w14:paraId="7A81D117">
      <w:pPr>
        <w:pStyle w:val="39"/>
        <w:snapToGrid w:val="0"/>
        <w:spacing w:line="460" w:lineRule="atLeast"/>
        <w:rPr>
          <w:rFonts w:hAnsi="宋体"/>
          <w:color w:val="auto"/>
          <w:sz w:val="30"/>
          <w:highlight w:val="none"/>
        </w:rPr>
      </w:pPr>
    </w:p>
    <w:p w14:paraId="273A5AA0">
      <w:pPr>
        <w:pStyle w:val="39"/>
        <w:snapToGrid w:val="0"/>
        <w:spacing w:line="460" w:lineRule="atLeast"/>
        <w:rPr>
          <w:rFonts w:hAnsi="宋体"/>
          <w:color w:val="auto"/>
          <w:sz w:val="30"/>
          <w:highlight w:val="none"/>
        </w:rPr>
      </w:pPr>
    </w:p>
    <w:p w14:paraId="17D7C41B">
      <w:pPr>
        <w:pStyle w:val="39"/>
        <w:snapToGrid w:val="0"/>
        <w:spacing w:line="460" w:lineRule="atLeast"/>
        <w:rPr>
          <w:rFonts w:hAnsi="宋体"/>
          <w:color w:val="auto"/>
          <w:sz w:val="30"/>
          <w:highlight w:val="none"/>
        </w:rPr>
      </w:pPr>
    </w:p>
    <w:p w14:paraId="381082D3">
      <w:pPr>
        <w:pStyle w:val="39"/>
        <w:snapToGrid w:val="0"/>
        <w:spacing w:line="460" w:lineRule="atLeast"/>
        <w:rPr>
          <w:rFonts w:hAnsi="宋体"/>
          <w:color w:val="auto"/>
          <w:sz w:val="30"/>
          <w:highlight w:val="none"/>
        </w:rPr>
      </w:pPr>
    </w:p>
    <w:p w14:paraId="7F192AAB">
      <w:pPr>
        <w:pStyle w:val="39"/>
        <w:snapToGrid w:val="0"/>
        <w:spacing w:line="460" w:lineRule="atLeast"/>
        <w:rPr>
          <w:rFonts w:hAnsi="宋体"/>
          <w:color w:val="auto"/>
          <w:sz w:val="30"/>
          <w:highlight w:val="none"/>
        </w:rPr>
      </w:pPr>
    </w:p>
    <w:p w14:paraId="0300D78D">
      <w:pPr>
        <w:pStyle w:val="39"/>
        <w:snapToGrid w:val="0"/>
        <w:spacing w:line="460" w:lineRule="atLeast"/>
        <w:rPr>
          <w:rFonts w:hAnsi="宋体"/>
          <w:color w:val="auto"/>
          <w:sz w:val="30"/>
          <w:highlight w:val="none"/>
        </w:rPr>
      </w:pPr>
    </w:p>
    <w:p w14:paraId="7BBEBF46">
      <w:pPr>
        <w:pStyle w:val="26"/>
        <w:rPr>
          <w:rFonts w:hint="eastAsia"/>
          <w:color w:val="auto"/>
          <w:highlight w:val="none"/>
        </w:rPr>
      </w:pPr>
      <w:bookmarkStart w:id="557" w:name="_Toc7988468"/>
      <w:bookmarkEnd w:id="557"/>
      <w:bookmarkStart w:id="558" w:name="_Toc8008423"/>
      <w:bookmarkEnd w:id="558"/>
      <w:bookmarkStart w:id="559" w:name="_Toc7988414"/>
      <w:bookmarkEnd w:id="559"/>
      <w:bookmarkStart w:id="560" w:name="_Toc440162800"/>
      <w:bookmarkEnd w:id="560"/>
      <w:bookmarkStart w:id="561" w:name="_Toc30408915"/>
      <w:bookmarkEnd w:id="561"/>
      <w:bookmarkStart w:id="562" w:name="_Toc24550050"/>
      <w:bookmarkEnd w:id="562"/>
      <w:bookmarkStart w:id="563" w:name="_Toc424164168"/>
      <w:bookmarkEnd w:id="563"/>
      <w:r>
        <w:rPr>
          <w:rFonts w:hint="eastAsia"/>
          <w:color w:val="auto"/>
          <w:highlight w:val="none"/>
        </w:rPr>
        <w:t>三、“商务技术文件</w:t>
      </w:r>
      <w:r>
        <w:rPr>
          <w:color w:val="auto"/>
          <w:highlight w:val="none"/>
        </w:rPr>
        <w:t>”</w:t>
      </w:r>
      <w:r>
        <w:rPr>
          <w:rFonts w:hint="eastAsia"/>
          <w:color w:val="auto"/>
          <w:highlight w:val="none"/>
        </w:rPr>
        <w:t>格式</w:t>
      </w:r>
    </w:p>
    <w:p w14:paraId="48BF6D40">
      <w:pPr>
        <w:pStyle w:val="27"/>
        <w:rPr>
          <w:rFonts w:hint="eastAsia"/>
          <w:color w:val="auto"/>
          <w:highlight w:val="none"/>
        </w:rPr>
      </w:pPr>
      <w:r>
        <w:rPr>
          <w:rFonts w:hint="eastAsia"/>
          <w:color w:val="auto"/>
          <w:highlight w:val="none"/>
        </w:rPr>
        <w:t>3.1 “商务技术文件”封面</w:t>
      </w:r>
    </w:p>
    <w:p w14:paraId="7E9EFA15">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平阳县社会心理服务综合体装修、办公家具软装及设备采购(重)</w:t>
      </w:r>
    </w:p>
    <w:p w14:paraId="31B22E4B">
      <w:pPr>
        <w:pStyle w:val="71"/>
        <w:rPr>
          <w:color w:val="auto"/>
          <w:highlight w:val="none"/>
        </w:rPr>
      </w:pPr>
    </w:p>
    <w:p w14:paraId="00559309">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14:paraId="60BAF0F5">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（商务技术文件）</w:t>
      </w:r>
    </w:p>
    <w:p w14:paraId="63184B9F">
      <w:pPr>
        <w:spacing w:line="360" w:lineRule="auto"/>
        <w:jc w:val="center"/>
        <w:rPr>
          <w:rFonts w:ascii="华文中宋" w:hAnsi="华文中宋" w:eastAsia="华文中宋"/>
          <w:b/>
          <w:color w:val="auto"/>
          <w:sz w:val="52"/>
          <w:szCs w:val="22"/>
          <w:highlight w:val="none"/>
        </w:rPr>
      </w:pPr>
    </w:p>
    <w:tbl>
      <w:tblPr>
        <w:tblStyle w:val="20"/>
        <w:tblW w:w="0" w:type="auto"/>
        <w:tblInd w:w="142" w:type="dxa"/>
        <w:tblLayout w:type="fixed"/>
        <w:tblCellMar>
          <w:top w:w="0" w:type="dxa"/>
          <w:left w:w="108" w:type="dxa"/>
          <w:bottom w:w="0" w:type="dxa"/>
          <w:right w:w="108" w:type="dxa"/>
        </w:tblCellMar>
      </w:tblPr>
      <w:tblGrid>
        <w:gridCol w:w="8789"/>
      </w:tblGrid>
      <w:tr w14:paraId="5E213869">
        <w:tblPrEx>
          <w:tblCellMar>
            <w:top w:w="0" w:type="dxa"/>
            <w:left w:w="108" w:type="dxa"/>
            <w:bottom w:w="0" w:type="dxa"/>
            <w:right w:w="108" w:type="dxa"/>
          </w:tblCellMar>
        </w:tblPrEx>
        <w:trPr>
          <w:trHeight w:val="680" w:hRule="atLeast"/>
        </w:trPr>
        <w:tc>
          <w:tcPr>
            <w:tcW w:w="8789" w:type="dxa"/>
            <w:vAlign w:val="center"/>
          </w:tcPr>
          <w:p w14:paraId="540C3D1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r>
              <w:rPr>
                <w:rFonts w:hint="eastAsia" w:ascii="仿宋" w:hAnsi="仿宋" w:eastAsia="仿宋"/>
                <w:b/>
                <w:color w:val="auto"/>
                <w:sz w:val="28"/>
                <w:szCs w:val="28"/>
                <w:highlight w:val="none"/>
                <w:lang w:eastAsia="zh-CN"/>
              </w:rPr>
              <w:t>PYCG250731080(重)</w:t>
            </w:r>
          </w:p>
        </w:tc>
      </w:tr>
      <w:tr w14:paraId="67D5B1BF">
        <w:tblPrEx>
          <w:tblCellMar>
            <w:top w:w="0" w:type="dxa"/>
            <w:left w:w="108" w:type="dxa"/>
            <w:bottom w:w="0" w:type="dxa"/>
            <w:right w:w="108" w:type="dxa"/>
          </w:tblCellMar>
        </w:tblPrEx>
        <w:trPr>
          <w:trHeight w:val="680" w:hRule="atLeast"/>
        </w:trPr>
        <w:tc>
          <w:tcPr>
            <w:tcW w:w="8789" w:type="dxa"/>
            <w:vAlign w:val="center"/>
          </w:tcPr>
          <w:p w14:paraId="6CE7FDD2">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14:paraId="3923F61B">
        <w:tblPrEx>
          <w:tblCellMar>
            <w:top w:w="0" w:type="dxa"/>
            <w:left w:w="108" w:type="dxa"/>
            <w:bottom w:w="0" w:type="dxa"/>
            <w:right w:w="108" w:type="dxa"/>
          </w:tblCellMar>
        </w:tblPrEx>
        <w:trPr>
          <w:trHeight w:val="680" w:hRule="atLeast"/>
        </w:trPr>
        <w:tc>
          <w:tcPr>
            <w:tcW w:w="8789" w:type="dxa"/>
            <w:vAlign w:val="center"/>
          </w:tcPr>
          <w:p w14:paraId="47D948DD">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14:paraId="53993A34">
        <w:tblPrEx>
          <w:tblCellMar>
            <w:top w:w="0" w:type="dxa"/>
            <w:left w:w="108" w:type="dxa"/>
            <w:bottom w:w="0" w:type="dxa"/>
            <w:right w:w="108" w:type="dxa"/>
          </w:tblCellMar>
        </w:tblPrEx>
        <w:trPr>
          <w:trHeight w:val="680" w:hRule="atLeast"/>
        </w:trPr>
        <w:tc>
          <w:tcPr>
            <w:tcW w:w="8789" w:type="dxa"/>
            <w:vAlign w:val="center"/>
          </w:tcPr>
          <w:p w14:paraId="2062EC87">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b/>
                <w:color w:val="auto"/>
                <w:w w:val="90"/>
                <w:sz w:val="28"/>
                <w:szCs w:val="28"/>
                <w:highlight w:val="none"/>
              </w:rPr>
              <w:t>________________________</w:t>
            </w:r>
          </w:p>
        </w:tc>
      </w:tr>
      <w:tr w14:paraId="0D4377A7">
        <w:tblPrEx>
          <w:tblCellMar>
            <w:top w:w="0" w:type="dxa"/>
            <w:left w:w="108" w:type="dxa"/>
            <w:bottom w:w="0" w:type="dxa"/>
            <w:right w:w="108" w:type="dxa"/>
          </w:tblCellMar>
        </w:tblPrEx>
        <w:trPr>
          <w:trHeight w:val="680" w:hRule="atLeast"/>
        </w:trPr>
        <w:tc>
          <w:tcPr>
            <w:tcW w:w="8789" w:type="dxa"/>
            <w:vAlign w:val="center"/>
          </w:tcPr>
          <w:p w14:paraId="62B01F74">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14:paraId="47075DB0">
        <w:tblPrEx>
          <w:tblCellMar>
            <w:top w:w="0" w:type="dxa"/>
            <w:left w:w="108" w:type="dxa"/>
            <w:bottom w:w="0" w:type="dxa"/>
            <w:right w:w="108" w:type="dxa"/>
          </w:tblCellMar>
        </w:tblPrEx>
        <w:trPr>
          <w:trHeight w:val="335" w:hRule="atLeast"/>
        </w:trPr>
        <w:tc>
          <w:tcPr>
            <w:tcW w:w="8789" w:type="dxa"/>
            <w:vAlign w:val="center"/>
          </w:tcPr>
          <w:p w14:paraId="43C2C740">
            <w:pPr>
              <w:rPr>
                <w:rFonts w:ascii="仿宋" w:hAnsi="仿宋" w:eastAsia="仿宋"/>
                <w:color w:val="auto"/>
                <w:sz w:val="28"/>
                <w:szCs w:val="28"/>
                <w:highlight w:val="none"/>
              </w:rPr>
            </w:pPr>
          </w:p>
        </w:tc>
      </w:tr>
    </w:tbl>
    <w:p w14:paraId="5B3C342B">
      <w:pPr>
        <w:rPr>
          <w:color w:val="auto"/>
          <w:highlight w:val="none"/>
        </w:rPr>
      </w:pPr>
    </w:p>
    <w:p w14:paraId="444843CD">
      <w:pPr>
        <w:pStyle w:val="3"/>
        <w:rPr>
          <w:color w:val="auto"/>
          <w:highlight w:val="none"/>
        </w:rPr>
      </w:pPr>
      <w:r>
        <w:rPr>
          <w:color w:val="auto"/>
          <w:highlight w:val="none"/>
        </w:rPr>
        <w:br w:type="page"/>
      </w:r>
      <w:r>
        <w:rPr>
          <w:rFonts w:hint="eastAsia"/>
          <w:color w:val="auto"/>
          <w:highlight w:val="none"/>
        </w:rPr>
        <w:t>3.2供应商自评分指引表</w:t>
      </w:r>
    </w:p>
    <w:tbl>
      <w:tblPr>
        <w:tblStyle w:val="20"/>
        <w:tblW w:w="0" w:type="auto"/>
        <w:tblInd w:w="0" w:type="dxa"/>
        <w:tblLayout w:type="fixed"/>
        <w:tblCellMar>
          <w:top w:w="0" w:type="dxa"/>
          <w:left w:w="0" w:type="dxa"/>
          <w:bottom w:w="0" w:type="dxa"/>
          <w:right w:w="0" w:type="dxa"/>
        </w:tblCellMar>
      </w:tblPr>
      <w:tblGrid>
        <w:gridCol w:w="1095"/>
        <w:gridCol w:w="7470"/>
        <w:gridCol w:w="1340"/>
      </w:tblGrid>
      <w:tr w14:paraId="5B02362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3C8EC1">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8A9ADD">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084B55">
            <w:pPr>
              <w:snapToGrid w:val="0"/>
              <w:jc w:val="center"/>
              <w:rPr>
                <w:color w:val="auto"/>
                <w:sz w:val="22"/>
                <w:highlight w:val="none"/>
              </w:rPr>
            </w:pPr>
            <w:r>
              <w:rPr>
                <w:color w:val="auto"/>
                <w:sz w:val="22"/>
                <w:highlight w:val="none"/>
              </w:rPr>
              <w:t>投标文件索引（页码）</w:t>
            </w:r>
          </w:p>
        </w:tc>
      </w:tr>
      <w:tr w14:paraId="3627D6E4">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B9A1F33">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F90F3B">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F7F59E">
            <w:pPr>
              <w:snapToGrid w:val="0"/>
              <w:jc w:val="center"/>
              <w:rPr>
                <w:color w:val="auto"/>
                <w:sz w:val="22"/>
                <w:highlight w:val="none"/>
              </w:rPr>
            </w:pPr>
          </w:p>
        </w:tc>
      </w:tr>
      <w:tr w14:paraId="680C1385">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27C8CB">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795A34">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A0CE1E0">
            <w:pPr>
              <w:snapToGrid w:val="0"/>
              <w:jc w:val="center"/>
              <w:rPr>
                <w:color w:val="auto"/>
                <w:sz w:val="22"/>
                <w:highlight w:val="none"/>
              </w:rPr>
            </w:pPr>
          </w:p>
        </w:tc>
      </w:tr>
      <w:tr w14:paraId="517AADF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8A4E2CC">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81A589">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802685">
            <w:pPr>
              <w:snapToGrid w:val="0"/>
              <w:jc w:val="center"/>
              <w:rPr>
                <w:color w:val="auto"/>
                <w:sz w:val="22"/>
                <w:highlight w:val="none"/>
              </w:rPr>
            </w:pPr>
          </w:p>
        </w:tc>
      </w:tr>
      <w:tr w14:paraId="1CF551C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9CAF9D">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B5AFDC">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53D99A">
            <w:pPr>
              <w:snapToGrid w:val="0"/>
              <w:jc w:val="center"/>
              <w:rPr>
                <w:color w:val="auto"/>
                <w:sz w:val="22"/>
                <w:highlight w:val="none"/>
              </w:rPr>
            </w:pPr>
          </w:p>
        </w:tc>
      </w:tr>
      <w:tr w14:paraId="21F93112">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8478D3C">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14D26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79C929">
            <w:pPr>
              <w:snapToGrid w:val="0"/>
              <w:jc w:val="center"/>
              <w:rPr>
                <w:color w:val="auto"/>
                <w:sz w:val="22"/>
                <w:highlight w:val="none"/>
              </w:rPr>
            </w:pPr>
          </w:p>
        </w:tc>
      </w:tr>
      <w:tr w14:paraId="4E1D4279">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87B84D">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2D69582">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FE80D8">
            <w:pPr>
              <w:snapToGrid w:val="0"/>
              <w:jc w:val="center"/>
              <w:rPr>
                <w:color w:val="auto"/>
                <w:sz w:val="22"/>
                <w:highlight w:val="none"/>
              </w:rPr>
            </w:pPr>
          </w:p>
        </w:tc>
      </w:tr>
      <w:tr w14:paraId="166D16DF">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9DB94F0">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6B186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906B4AC">
            <w:pPr>
              <w:snapToGrid w:val="0"/>
              <w:jc w:val="center"/>
              <w:rPr>
                <w:color w:val="auto"/>
                <w:sz w:val="22"/>
                <w:highlight w:val="none"/>
              </w:rPr>
            </w:pPr>
          </w:p>
        </w:tc>
      </w:tr>
      <w:tr w14:paraId="1D848DA0">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3A03F8">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21668EE">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089A48">
            <w:pPr>
              <w:snapToGrid w:val="0"/>
              <w:jc w:val="center"/>
              <w:rPr>
                <w:color w:val="auto"/>
                <w:sz w:val="22"/>
                <w:highlight w:val="none"/>
              </w:rPr>
            </w:pPr>
          </w:p>
        </w:tc>
      </w:tr>
      <w:tr w14:paraId="17869618">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A6DBE6">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A5DB922">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1BDCC6">
            <w:pPr>
              <w:snapToGrid w:val="0"/>
              <w:jc w:val="center"/>
              <w:rPr>
                <w:color w:val="auto"/>
                <w:sz w:val="22"/>
                <w:highlight w:val="none"/>
              </w:rPr>
            </w:pPr>
          </w:p>
        </w:tc>
      </w:tr>
      <w:tr w14:paraId="762CB0F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A28B8A">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BF6F9AF">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02F70EF">
            <w:pPr>
              <w:snapToGrid w:val="0"/>
              <w:jc w:val="center"/>
              <w:rPr>
                <w:color w:val="auto"/>
                <w:sz w:val="22"/>
                <w:highlight w:val="none"/>
              </w:rPr>
            </w:pPr>
          </w:p>
        </w:tc>
      </w:tr>
      <w:tr w14:paraId="622020FE">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19418B1">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4CE370">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16D92B4">
            <w:pPr>
              <w:snapToGrid w:val="0"/>
              <w:jc w:val="center"/>
              <w:rPr>
                <w:color w:val="auto"/>
                <w:sz w:val="22"/>
                <w:highlight w:val="none"/>
              </w:rPr>
            </w:pPr>
          </w:p>
        </w:tc>
      </w:tr>
      <w:tr w14:paraId="2473CC7D">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F72737">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CA361FD">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9109CE">
            <w:pPr>
              <w:snapToGrid w:val="0"/>
              <w:jc w:val="center"/>
              <w:rPr>
                <w:color w:val="auto"/>
                <w:sz w:val="22"/>
                <w:highlight w:val="none"/>
              </w:rPr>
            </w:pPr>
          </w:p>
        </w:tc>
      </w:tr>
      <w:tr w14:paraId="50007CE7">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347977">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79684A">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954D3C">
            <w:pPr>
              <w:snapToGrid w:val="0"/>
              <w:jc w:val="center"/>
              <w:rPr>
                <w:color w:val="auto"/>
                <w:sz w:val="22"/>
                <w:highlight w:val="none"/>
              </w:rPr>
            </w:pPr>
          </w:p>
        </w:tc>
      </w:tr>
    </w:tbl>
    <w:p w14:paraId="43603862">
      <w:pPr>
        <w:rPr>
          <w:color w:val="auto"/>
          <w:highlight w:val="none"/>
        </w:rPr>
      </w:pPr>
    </w:p>
    <w:p w14:paraId="1A9692FB">
      <w:pPr>
        <w:rPr>
          <w:color w:val="auto"/>
          <w:sz w:val="32"/>
          <w:highlight w:val="none"/>
        </w:rPr>
      </w:pPr>
    </w:p>
    <w:p w14:paraId="18EEAAFE">
      <w:pPr>
        <w:rPr>
          <w:color w:val="auto"/>
          <w:sz w:val="32"/>
          <w:highlight w:val="none"/>
        </w:rPr>
      </w:pPr>
    </w:p>
    <w:p w14:paraId="18B798CC">
      <w:pPr>
        <w:rPr>
          <w:color w:val="auto"/>
          <w:sz w:val="32"/>
          <w:highlight w:val="none"/>
        </w:rPr>
      </w:pPr>
    </w:p>
    <w:p w14:paraId="78483689">
      <w:pPr>
        <w:rPr>
          <w:color w:val="auto"/>
          <w:sz w:val="32"/>
          <w:highlight w:val="none"/>
        </w:rPr>
      </w:pPr>
    </w:p>
    <w:p w14:paraId="114E38DD">
      <w:pPr>
        <w:rPr>
          <w:color w:val="auto"/>
          <w:sz w:val="32"/>
          <w:highlight w:val="none"/>
        </w:rPr>
      </w:pPr>
    </w:p>
    <w:p w14:paraId="3EDC003D">
      <w:pPr>
        <w:rPr>
          <w:color w:val="auto"/>
          <w:sz w:val="32"/>
          <w:highlight w:val="none"/>
        </w:rPr>
      </w:pPr>
    </w:p>
    <w:p w14:paraId="10E9631C">
      <w:pPr>
        <w:rPr>
          <w:color w:val="auto"/>
          <w:sz w:val="32"/>
          <w:highlight w:val="none"/>
        </w:rPr>
      </w:pPr>
    </w:p>
    <w:p w14:paraId="68283B78">
      <w:pPr>
        <w:rPr>
          <w:color w:val="auto"/>
          <w:sz w:val="32"/>
          <w:highlight w:val="none"/>
        </w:rPr>
      </w:pPr>
    </w:p>
    <w:p w14:paraId="204785E4">
      <w:pPr>
        <w:rPr>
          <w:color w:val="auto"/>
          <w:sz w:val="32"/>
          <w:highlight w:val="none"/>
        </w:rPr>
      </w:pPr>
    </w:p>
    <w:p w14:paraId="73EE4F7F">
      <w:pPr>
        <w:rPr>
          <w:color w:val="auto"/>
          <w:sz w:val="32"/>
          <w:highlight w:val="none"/>
        </w:rPr>
      </w:pPr>
    </w:p>
    <w:p w14:paraId="32EA17C5">
      <w:pPr>
        <w:rPr>
          <w:color w:val="auto"/>
          <w:sz w:val="32"/>
          <w:highlight w:val="none"/>
        </w:rPr>
      </w:pPr>
      <w:r>
        <w:rPr>
          <w:rFonts w:hint="eastAsia"/>
          <w:color w:val="auto"/>
          <w:sz w:val="32"/>
          <w:highlight w:val="none"/>
        </w:rPr>
        <w:br w:type="page"/>
      </w:r>
      <w:r>
        <w:rPr>
          <w:rFonts w:hint="eastAsia"/>
          <w:color w:val="auto"/>
          <w:sz w:val="32"/>
          <w:highlight w:val="none"/>
        </w:rPr>
        <w:t>3.3</w:t>
      </w:r>
      <w:r>
        <w:rPr>
          <w:color w:val="auto"/>
          <w:sz w:val="32"/>
          <w:highlight w:val="none"/>
        </w:rPr>
        <w:t>供应商参与采购活动投标资格声明函</w:t>
      </w:r>
    </w:p>
    <w:p w14:paraId="1863A122">
      <w:pPr>
        <w:pStyle w:val="78"/>
        <w:rPr>
          <w:color w:val="auto"/>
          <w:highlight w:val="none"/>
        </w:rPr>
      </w:pPr>
    </w:p>
    <w:p w14:paraId="20B9213D">
      <w:pPr>
        <w:snapToGrid w:val="0"/>
        <w:spacing w:line="360" w:lineRule="exact"/>
        <w:jc w:val="center"/>
        <w:rPr>
          <w:b/>
          <w:color w:val="auto"/>
          <w:sz w:val="28"/>
          <w:szCs w:val="22"/>
          <w:highlight w:val="none"/>
        </w:rPr>
      </w:pPr>
      <w:r>
        <w:rPr>
          <w:b/>
          <w:color w:val="auto"/>
          <w:sz w:val="28"/>
          <w:szCs w:val="22"/>
          <w:highlight w:val="none"/>
        </w:rPr>
        <w:t>供应商参与采购活动投标资格声明函</w:t>
      </w:r>
    </w:p>
    <w:tbl>
      <w:tblPr>
        <w:tblStyle w:val="20"/>
        <w:tblW w:w="0" w:type="auto"/>
        <w:tblInd w:w="108" w:type="dxa"/>
        <w:tblLayout w:type="fixed"/>
        <w:tblCellMar>
          <w:top w:w="0" w:type="dxa"/>
          <w:left w:w="0" w:type="dxa"/>
          <w:bottom w:w="0" w:type="dxa"/>
          <w:right w:w="0" w:type="dxa"/>
        </w:tblCellMar>
      </w:tblPr>
      <w:tblGrid>
        <w:gridCol w:w="1620"/>
        <w:gridCol w:w="7992"/>
      </w:tblGrid>
      <w:tr w14:paraId="0266AAA6">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A6B20F0">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29E26B">
            <w:pPr>
              <w:snapToGrid w:val="0"/>
              <w:spacing w:line="400" w:lineRule="exact"/>
              <w:ind w:left="422" w:firstLine="331"/>
              <w:rPr>
                <w:color w:val="auto"/>
                <w:sz w:val="22"/>
                <w:highlight w:val="none"/>
              </w:rPr>
            </w:pPr>
          </w:p>
        </w:tc>
      </w:tr>
      <w:tr w14:paraId="6D3B17D8">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6E275A8">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B99880">
            <w:pPr>
              <w:snapToGrid w:val="0"/>
              <w:spacing w:line="400" w:lineRule="exact"/>
              <w:rPr>
                <w:rFonts w:hint="eastAsia"/>
                <w:color w:val="auto"/>
                <w:sz w:val="22"/>
                <w:highlight w:val="none"/>
              </w:rPr>
            </w:pPr>
          </w:p>
        </w:tc>
      </w:tr>
      <w:tr w14:paraId="607EC659">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FD4C601">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9EC37CE">
            <w:pPr>
              <w:snapToGrid w:val="0"/>
              <w:spacing w:line="400" w:lineRule="exact"/>
              <w:rPr>
                <w:color w:val="auto"/>
                <w:sz w:val="22"/>
                <w:highlight w:val="none"/>
              </w:rPr>
            </w:pPr>
            <w:r>
              <w:rPr>
                <w:color w:val="auto"/>
                <w:sz w:val="22"/>
                <w:highlight w:val="none"/>
              </w:rPr>
              <w:t>投标截止时间：</w:t>
            </w:r>
          </w:p>
        </w:tc>
      </w:tr>
      <w:tr w14:paraId="3CFC2DA9">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215CF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1、根据《平阳县县属国有企业采购管理办法（试行）》第十四条规定，我单位满足以下条件：</w:t>
            </w:r>
          </w:p>
          <w:p w14:paraId="1152D040">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（一）具有独立承担民事责任的能力；</w:t>
            </w:r>
          </w:p>
          <w:p w14:paraId="4CDC9158">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（二）具有良好的商业信誉和健全的财务会计制度；</w:t>
            </w:r>
          </w:p>
          <w:p w14:paraId="24B72A30">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（三）具有履行合同所必需的设备和专业技术、售后保障等能力；</w:t>
            </w:r>
          </w:p>
          <w:p w14:paraId="056390E7">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（四）有依法缴纳税收和社会保障资金的良好记录；</w:t>
            </w:r>
          </w:p>
          <w:p w14:paraId="6224E12C">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（五）参加采购、招投标等活动前三年内，在经营活动中没有重大违法记录、严重失信行为和行贿记录；</w:t>
            </w:r>
          </w:p>
          <w:p w14:paraId="145D6A3D">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（六）法律、行政法规规定的其他条件。</w:t>
            </w:r>
          </w:p>
          <w:p w14:paraId="594DDE6F">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14:paraId="0D0544DE">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3、我单位承诺没有被各地、各级财政部门限制参加采购活动。</w:t>
            </w:r>
          </w:p>
          <w:p w14:paraId="2DDD59EC">
            <w:pPr>
              <w:tabs>
                <w:tab w:val="center" w:pos="4483"/>
              </w:tabs>
              <w:snapToGrid w:val="0"/>
              <w:spacing w:line="360" w:lineRule="auto"/>
              <w:ind w:firstLine="440"/>
              <w:rPr>
                <w:rFonts w:hint="eastAsia"/>
                <w:color w:val="auto"/>
                <w:sz w:val="22"/>
                <w:highlight w:val="none"/>
              </w:rPr>
            </w:pPr>
            <w:r>
              <w:rPr>
                <w:rFonts w:hint="eastAsia"/>
                <w:color w:val="auto"/>
                <w:sz w:val="22"/>
                <w:highlight w:val="none"/>
              </w:rPr>
              <w:t>4、我单位承诺参与本项目采购活动3年内没有其它重大违法记录（重大违法记录，是指供应商因违法经营受到刑事处罚或者责令停产停业、吊销许可证或者执照、较大数额罚款等行政处罚）。</w:t>
            </w:r>
          </w:p>
          <w:p w14:paraId="26EDACF9">
            <w:pPr>
              <w:tabs>
                <w:tab w:val="center" w:pos="4483"/>
              </w:tabs>
              <w:snapToGrid w:val="0"/>
              <w:spacing w:line="360" w:lineRule="auto"/>
              <w:ind w:firstLine="440"/>
              <w:rPr>
                <w:color w:val="auto"/>
                <w:sz w:val="22"/>
                <w:highlight w:val="none"/>
              </w:rPr>
            </w:pPr>
            <w:r>
              <w:rPr>
                <w:rFonts w:hint="eastAsia"/>
                <w:color w:val="auto"/>
                <w:sz w:val="22"/>
                <w:highlight w:val="non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37178FF">
        <w:tblPrEx>
          <w:tblCellMar>
            <w:top w:w="0" w:type="dxa"/>
            <w:left w:w="0" w:type="dxa"/>
            <w:bottom w:w="0" w:type="dxa"/>
            <w:right w:w="0" w:type="dxa"/>
          </w:tblCellMar>
        </w:tblPrEx>
        <w:trPr>
          <w:trHeight w:val="32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BD7A30">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公章</w:t>
            </w:r>
            <w:r>
              <w:rPr>
                <w:color w:val="auto"/>
                <w:sz w:val="22"/>
                <w:highlight w:val="none"/>
              </w:rPr>
              <w:t>）：</w:t>
            </w:r>
          </w:p>
        </w:tc>
      </w:tr>
      <w:tr w14:paraId="2D1A82B9">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4DDCBA">
            <w:pPr>
              <w:snapToGrid w:val="0"/>
              <w:spacing w:line="400" w:lineRule="exact"/>
              <w:ind w:left="422" w:firstLine="316"/>
              <w:rPr>
                <w:color w:val="auto"/>
                <w:sz w:val="22"/>
                <w:highlight w:val="none"/>
              </w:rPr>
            </w:pPr>
            <w:r>
              <w:rPr>
                <w:color w:val="auto"/>
                <w:sz w:val="22"/>
                <w:highlight w:val="none"/>
              </w:rPr>
              <w:t>法定代表人或授权代表（签字或盖章）：</w:t>
            </w:r>
          </w:p>
        </w:tc>
      </w:tr>
      <w:tr w14:paraId="690D742F">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EF8DA3">
            <w:pPr>
              <w:snapToGrid w:val="0"/>
              <w:spacing w:line="400" w:lineRule="exact"/>
              <w:ind w:left="422" w:firstLine="331"/>
              <w:rPr>
                <w:color w:val="auto"/>
                <w:sz w:val="22"/>
                <w:highlight w:val="none"/>
              </w:rPr>
            </w:pPr>
            <w:r>
              <w:rPr>
                <w:color w:val="auto"/>
                <w:sz w:val="22"/>
                <w:highlight w:val="none"/>
              </w:rPr>
              <w:t>签署日期：</w:t>
            </w:r>
          </w:p>
        </w:tc>
      </w:tr>
    </w:tbl>
    <w:p w14:paraId="3F201E8D">
      <w:pPr>
        <w:pStyle w:val="11"/>
        <w:adjustRightInd w:val="0"/>
        <w:snapToGrid w:val="0"/>
        <w:spacing w:line="500" w:lineRule="exact"/>
        <w:rPr>
          <w:rFonts w:hAnsi="宋体"/>
          <w:color w:val="auto"/>
          <w:sz w:val="36"/>
          <w:highlight w:val="none"/>
        </w:rPr>
      </w:pPr>
      <w:r>
        <w:rPr>
          <w:rFonts w:hint="eastAsia" w:hAnsi="宋体" w:cs="宋体"/>
          <w:color w:val="auto"/>
          <w:kern w:val="0"/>
          <w:sz w:val="32"/>
          <w:szCs w:val="24"/>
          <w:highlight w:val="none"/>
        </w:rPr>
        <w:br w:type="page"/>
      </w: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14:paraId="3E2DA5BA">
      <w:pPr>
        <w:pStyle w:val="11"/>
        <w:adjustRightInd w:val="0"/>
        <w:snapToGrid w:val="0"/>
        <w:spacing w:line="360" w:lineRule="atLeast"/>
        <w:ind w:firstLine="450"/>
        <w:rPr>
          <w:rFonts w:hAnsi="宋体"/>
          <w:color w:val="auto"/>
          <w:sz w:val="22"/>
          <w:szCs w:val="22"/>
          <w:highlight w:val="none"/>
          <w:u w:val="single"/>
        </w:rPr>
      </w:pPr>
      <w:r>
        <w:rPr>
          <w:rFonts w:hint="eastAsia" w:hAnsi="宋体"/>
          <w:color w:val="auto"/>
          <w:sz w:val="22"/>
          <w:szCs w:val="22"/>
          <w:highlight w:val="none"/>
          <w:u w:val="single"/>
          <w:lang w:eastAsia="zh-CN"/>
        </w:rPr>
        <w:t>平阳县兴阳控股集团有限公司</w:t>
      </w:r>
      <w:r>
        <w:rPr>
          <w:rFonts w:hint="eastAsia" w:hAnsi="宋体"/>
          <w:color w:val="auto"/>
          <w:sz w:val="22"/>
          <w:szCs w:val="22"/>
          <w:highlight w:val="none"/>
          <w:u w:val="single"/>
        </w:rPr>
        <w:t xml:space="preserve"> ：</w:t>
      </w:r>
    </w:p>
    <w:p w14:paraId="5A43BCEA">
      <w:pPr>
        <w:pStyle w:val="11"/>
        <w:adjustRightInd w:val="0"/>
        <w:snapToGrid w:val="0"/>
        <w:spacing w:line="360" w:lineRule="atLeast"/>
        <w:ind w:firstLine="450"/>
        <w:rPr>
          <w:rFonts w:hAnsi="宋体"/>
          <w:color w:val="auto"/>
          <w:sz w:val="22"/>
          <w:szCs w:val="22"/>
          <w:highlight w:val="none"/>
        </w:rPr>
      </w:pPr>
    </w:p>
    <w:p w14:paraId="0FD5015E">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14:paraId="298C339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14:paraId="3ED2195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14:paraId="7B39E98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14:paraId="427E0726">
      <w:pPr>
        <w:autoSpaceDE w:val="0"/>
        <w:autoSpaceDN w:val="0"/>
        <w:adjustRightInd w:val="0"/>
        <w:snapToGrid w:val="0"/>
        <w:spacing w:line="360" w:lineRule="atLeast"/>
        <w:ind w:left="1" w:firstLine="585" w:firstLineChars="266"/>
        <w:rPr>
          <w:rFonts w:cs="仿宋_GB2312"/>
          <w:b/>
          <w:color w:val="auto"/>
          <w:sz w:val="22"/>
          <w:szCs w:val="22"/>
          <w:highlight w:val="none"/>
          <w:u w:val="single"/>
        </w:rPr>
      </w:pPr>
      <w:r>
        <w:rPr>
          <w:rFonts w:hint="eastAsia" w:cs="仿宋_GB2312"/>
          <w:color w:val="auto"/>
          <w:sz w:val="22"/>
          <w:szCs w:val="22"/>
          <w:highlight w:val="none"/>
          <w:lang w:val="zh-CN"/>
        </w:rPr>
        <w:t>4、我方承诺在合同生效后</w:t>
      </w:r>
      <w:r>
        <w:rPr>
          <w:rFonts w:hint="eastAsia" w:cs="仿宋_GB2312"/>
          <w:bCs/>
          <w:color w:val="auto"/>
          <w:sz w:val="22"/>
          <w:szCs w:val="22"/>
          <w:highlight w:val="none"/>
          <w:lang w:val="zh-CN"/>
        </w:rPr>
        <w:t>按招标文件要求完成本项目</w:t>
      </w:r>
      <w:r>
        <w:rPr>
          <w:rFonts w:hint="eastAsia" w:cs="仿宋_GB2312"/>
          <w:bCs/>
          <w:color w:val="auto"/>
          <w:sz w:val="22"/>
          <w:szCs w:val="22"/>
          <w:highlight w:val="none"/>
        </w:rPr>
        <w:t>。</w:t>
      </w:r>
    </w:p>
    <w:p w14:paraId="1E92C04A">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279C7786">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14:paraId="523B45CB">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7、我公司近三年内没有行贿受贿记录；我公司符合《平阳县县属国有企业采购管理办法（试行）》（平国资办〔2021〕81号）第十四条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我公司没有被采购管理部门限制参加投标。</w:t>
      </w:r>
    </w:p>
    <w:p w14:paraId="75681B9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14:paraId="291D6A1E">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14:paraId="6658E2B0">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14:paraId="71513878">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14:paraId="005F0319">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14:paraId="1E7CFEBC">
      <w:pPr>
        <w:autoSpaceDE w:val="0"/>
        <w:autoSpaceDN w:val="0"/>
        <w:adjustRightInd w:val="0"/>
        <w:snapToGrid w:val="0"/>
        <w:spacing w:line="360" w:lineRule="atLeast"/>
        <w:ind w:firstLine="26" w:firstLineChars="12"/>
        <w:rPr>
          <w:rFonts w:cs="仿宋_GB2312"/>
          <w:color w:val="auto"/>
          <w:sz w:val="22"/>
          <w:szCs w:val="22"/>
          <w:highlight w:val="none"/>
          <w:lang w:val="zh-CN"/>
        </w:rPr>
      </w:pPr>
    </w:p>
    <w:p w14:paraId="5A20D2B1">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供应商全称（盖章）：</w:t>
      </w:r>
    </w:p>
    <w:p w14:paraId="1D04745A">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法定代表人（负责人）或授权代表（签字或签章）：</w:t>
      </w:r>
    </w:p>
    <w:p w14:paraId="162C4456">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日期：</w:t>
      </w:r>
    </w:p>
    <w:p w14:paraId="4FE455B4">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p>
    <w:p w14:paraId="18632B0C">
      <w:pPr>
        <w:autoSpaceDE w:val="0"/>
        <w:autoSpaceDN w:val="0"/>
        <w:adjustRightInd w:val="0"/>
        <w:snapToGrid w:val="0"/>
        <w:spacing w:line="360" w:lineRule="atLeast"/>
        <w:ind w:firstLine="601"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14:paraId="6DF73285">
      <w:pPr>
        <w:pStyle w:val="11"/>
        <w:spacing w:line="400" w:lineRule="atLeast"/>
        <w:rPr>
          <w:rFonts w:hAnsi="宋体"/>
          <w:b/>
          <w:color w:val="auto"/>
          <w:sz w:val="32"/>
          <w:szCs w:val="32"/>
          <w:highlight w:val="none"/>
        </w:rPr>
      </w:pPr>
    </w:p>
    <w:p w14:paraId="62DBC15C">
      <w:pPr>
        <w:pStyle w:val="11"/>
        <w:spacing w:line="400" w:lineRule="atLeast"/>
        <w:rPr>
          <w:rFonts w:hAnsi="宋体"/>
          <w:b/>
          <w:color w:val="auto"/>
          <w:sz w:val="32"/>
          <w:szCs w:val="32"/>
          <w:highlight w:val="none"/>
        </w:rPr>
      </w:pPr>
    </w:p>
    <w:p w14:paraId="312833BB">
      <w:pPr>
        <w:tabs>
          <w:tab w:val="left" w:pos="1080"/>
        </w:tabs>
        <w:autoSpaceDE w:val="0"/>
        <w:autoSpaceDN w:val="0"/>
        <w:adjustRightInd w:val="0"/>
        <w:spacing w:line="440" w:lineRule="atLeast"/>
        <w:outlineLvl w:val="0"/>
        <w:rPr>
          <w:color w:val="auto"/>
          <w:sz w:val="32"/>
          <w:highlight w:val="none"/>
        </w:rPr>
      </w:pPr>
      <w:r>
        <w:rPr>
          <w:rFonts w:hint="eastAsia"/>
          <w:color w:val="auto"/>
          <w:sz w:val="32"/>
          <w:highlight w:val="none"/>
        </w:rPr>
        <w:br w:type="page"/>
      </w:r>
      <w:r>
        <w:rPr>
          <w:rFonts w:hint="eastAsia"/>
          <w:color w:val="auto"/>
          <w:sz w:val="32"/>
          <w:highlight w:val="none"/>
        </w:rPr>
        <w:t>3.5法定代表人授权书</w:t>
      </w:r>
    </w:p>
    <w:p w14:paraId="6A30E78F">
      <w:pPr>
        <w:tabs>
          <w:tab w:val="left" w:pos="1080"/>
        </w:tabs>
        <w:autoSpaceDE w:val="0"/>
        <w:autoSpaceDN w:val="0"/>
        <w:adjustRightInd w:val="0"/>
        <w:spacing w:line="440" w:lineRule="atLeast"/>
        <w:jc w:val="center"/>
        <w:outlineLvl w:val="0"/>
        <w:rPr>
          <w:rFonts w:hint="eastAsia"/>
          <w:b/>
          <w:color w:val="auto"/>
          <w:sz w:val="36"/>
          <w:highlight w:val="none"/>
          <w:lang w:val="zh-CN"/>
        </w:rPr>
      </w:pPr>
    </w:p>
    <w:p w14:paraId="55EB99C6">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14:paraId="7BA0A008">
      <w:pPr>
        <w:spacing w:line="360" w:lineRule="auto"/>
        <w:rPr>
          <w:color w:val="auto"/>
          <w:highlight w:val="none"/>
          <w:u w:val="single"/>
        </w:rPr>
      </w:pPr>
    </w:p>
    <w:p w14:paraId="1CA02451">
      <w:pPr>
        <w:pStyle w:val="11"/>
        <w:adjustRightInd w:val="0"/>
        <w:snapToGrid w:val="0"/>
        <w:spacing w:line="340" w:lineRule="atLeast"/>
        <w:rPr>
          <w:rFonts w:hAnsi="宋体"/>
          <w:color w:val="auto"/>
          <w:sz w:val="22"/>
          <w:szCs w:val="22"/>
          <w:highlight w:val="none"/>
        </w:rPr>
      </w:pPr>
      <w:r>
        <w:rPr>
          <w:rFonts w:hint="eastAsia" w:hAnsi="宋体"/>
          <w:color w:val="auto"/>
          <w:sz w:val="22"/>
          <w:szCs w:val="22"/>
          <w:highlight w:val="none"/>
          <w:u w:val="single"/>
          <w:lang w:eastAsia="zh-CN"/>
        </w:rPr>
        <w:t>平阳县兴阳控股集团有限公司</w:t>
      </w:r>
      <w:r>
        <w:rPr>
          <w:rFonts w:hint="eastAsia" w:hAnsi="宋体"/>
          <w:color w:val="auto"/>
          <w:sz w:val="22"/>
          <w:szCs w:val="22"/>
          <w:highlight w:val="none"/>
          <w:u w:val="single"/>
        </w:rPr>
        <w:t xml:space="preserve"> </w:t>
      </w:r>
      <w:r>
        <w:rPr>
          <w:rFonts w:hint="eastAsia" w:hAnsi="宋体"/>
          <w:color w:val="auto"/>
          <w:sz w:val="22"/>
          <w:szCs w:val="22"/>
          <w:highlight w:val="none"/>
        </w:rPr>
        <w:t>：</w:t>
      </w:r>
    </w:p>
    <w:p w14:paraId="4AAACC9D">
      <w:pPr>
        <w:pStyle w:val="11"/>
        <w:adjustRightInd w:val="0"/>
        <w:snapToGrid w:val="0"/>
        <w:spacing w:line="340" w:lineRule="atLeast"/>
        <w:rPr>
          <w:rFonts w:hAnsi="宋体"/>
          <w:color w:val="auto"/>
          <w:sz w:val="22"/>
          <w:szCs w:val="22"/>
          <w:highlight w:val="none"/>
          <w:u w:val="single"/>
        </w:rPr>
      </w:pPr>
    </w:p>
    <w:p w14:paraId="20CA6109">
      <w:pPr>
        <w:snapToGrid w:val="0"/>
        <w:spacing w:line="440" w:lineRule="atLeast"/>
        <w:ind w:firstLine="420" w:firstLineChars="200"/>
        <w:rPr>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14:paraId="34BB6A82">
      <w:pPr>
        <w:snapToGrid w:val="0"/>
        <w:spacing w:line="440" w:lineRule="atLeast"/>
        <w:ind w:firstLine="420" w:firstLineChars="200"/>
        <w:rPr>
          <w:color w:val="auto"/>
          <w:highlight w:val="none"/>
        </w:rPr>
      </w:pPr>
      <w:r>
        <w:rPr>
          <w:rFonts w:hint="eastAsia"/>
          <w:color w:val="auto"/>
          <w:highlight w:val="none"/>
        </w:rPr>
        <w:t>授权代表无转授权，特此授权</w:t>
      </w:r>
    </w:p>
    <w:p w14:paraId="7F615430">
      <w:pPr>
        <w:snapToGrid w:val="0"/>
        <w:spacing w:line="440" w:lineRule="atLeast"/>
        <w:ind w:left="1260"/>
        <w:rPr>
          <w:color w:val="auto"/>
          <w:highlight w:val="none"/>
        </w:rPr>
      </w:pPr>
    </w:p>
    <w:p w14:paraId="319174FB">
      <w:pPr>
        <w:snapToGrid w:val="0"/>
        <w:spacing w:line="440" w:lineRule="atLeast"/>
        <w:ind w:left="1902" w:leftChars="247" w:hanging="1383" w:hangingChars="659"/>
        <w:rPr>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14:paraId="1FF924E4">
      <w:pPr>
        <w:snapToGrid w:val="0"/>
        <w:spacing w:line="440" w:lineRule="atLeast"/>
        <w:ind w:left="1902" w:leftChars="247" w:hanging="1383" w:hangingChars="659"/>
        <w:rPr>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14:paraId="4CC60C4B">
      <w:pPr>
        <w:snapToGrid w:val="0"/>
        <w:spacing w:line="440" w:lineRule="atLeast"/>
        <w:ind w:left="1902" w:leftChars="247" w:hanging="1383" w:hangingChars="659"/>
        <w:rPr>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14:paraId="2A06C373">
      <w:pPr>
        <w:snapToGrid w:val="0"/>
        <w:spacing w:line="440" w:lineRule="atLeast"/>
        <w:ind w:left="1902" w:leftChars="247" w:hanging="1383" w:hangingChars="659"/>
        <w:rPr>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14:paraId="392E6D35">
      <w:pPr>
        <w:snapToGrid w:val="0"/>
        <w:spacing w:line="440" w:lineRule="atLeast"/>
        <w:ind w:left="1902" w:leftChars="247" w:hanging="1383" w:hangingChars="659"/>
        <w:rPr>
          <w:color w:val="auto"/>
          <w:highlight w:val="none"/>
          <w:u w:val="single"/>
        </w:rPr>
      </w:pPr>
      <w:r>
        <w:rPr>
          <w:rFonts w:hint="eastAsia"/>
          <w:color w:val="auto"/>
          <w:highlight w:val="none"/>
        </w:rPr>
        <w:t>供应商：</w:t>
      </w:r>
      <w:r>
        <w:rPr>
          <w:rFonts w:hint="eastAsia"/>
          <w:color w:val="auto"/>
          <w:highlight w:val="none"/>
          <w:u w:val="single"/>
        </w:rPr>
        <w:t xml:space="preserve">                                      （盖章）</w:t>
      </w:r>
    </w:p>
    <w:p w14:paraId="5DB48FAA">
      <w:pPr>
        <w:snapToGrid w:val="0"/>
        <w:spacing w:line="440" w:lineRule="atLeast"/>
        <w:ind w:left="1902" w:leftChars="247" w:hanging="1383" w:hangingChars="659"/>
        <w:rPr>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14:paraId="7B1FDEF4">
      <w:pPr>
        <w:snapToGrid w:val="0"/>
        <w:spacing w:line="440" w:lineRule="atLeast"/>
        <w:ind w:left="2699"/>
        <w:rPr>
          <w:color w:val="auto"/>
          <w:highlight w:val="none"/>
        </w:rPr>
      </w:pPr>
    </w:p>
    <w:p w14:paraId="79542127">
      <w:pPr>
        <w:snapToGrid w:val="0"/>
        <w:spacing w:line="440" w:lineRule="atLeast"/>
        <w:ind w:left="2833" w:leftChars="1349" w:firstLine="2100" w:firstLineChars="1000"/>
        <w:rPr>
          <w:color w:val="auto"/>
          <w:highlight w:val="none"/>
        </w:rPr>
      </w:pPr>
    </w:p>
    <w:p w14:paraId="15E0AD6D">
      <w:pPr>
        <w:snapToGrid w:val="0"/>
        <w:spacing w:line="440" w:lineRule="atLeast"/>
        <w:ind w:firstLine="3150" w:firstLineChars="1500"/>
        <w:jc w:val="right"/>
        <w:rPr>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26138DD3">
      <w:pPr>
        <w:spacing w:line="360" w:lineRule="auto"/>
        <w:ind w:firstLine="3162" w:firstLineChars="1500"/>
        <w:jc w:val="right"/>
        <w:rPr>
          <w:b/>
          <w:color w:val="auto"/>
          <w:highlight w:val="none"/>
        </w:rPr>
      </w:pPr>
    </w:p>
    <w:tbl>
      <w:tblPr>
        <w:tblStyle w:val="2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14:paraId="5F3F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noWrap w:val="0"/>
            <w:vAlign w:val="top"/>
          </w:tcPr>
          <w:p w14:paraId="679EB8FB">
            <w:pPr>
              <w:pStyle w:val="11"/>
              <w:adjustRightInd w:val="0"/>
              <w:snapToGrid w:val="0"/>
              <w:spacing w:line="320" w:lineRule="atLeast"/>
              <w:rPr>
                <w:rFonts w:hAnsi="宋体"/>
                <w:color w:val="auto"/>
                <w:sz w:val="36"/>
                <w:szCs w:val="24"/>
                <w:highlight w:val="none"/>
                <w:u w:val="single"/>
              </w:rPr>
            </w:pPr>
          </w:p>
          <w:p w14:paraId="3C100C02">
            <w:pPr>
              <w:pStyle w:val="11"/>
              <w:adjustRightInd w:val="0"/>
              <w:snapToGrid w:val="0"/>
              <w:spacing w:line="320" w:lineRule="atLeast"/>
              <w:rPr>
                <w:rFonts w:hAnsi="宋体"/>
                <w:color w:val="auto"/>
                <w:sz w:val="36"/>
                <w:szCs w:val="24"/>
                <w:highlight w:val="none"/>
                <w:u w:val="single"/>
              </w:rPr>
            </w:pPr>
          </w:p>
          <w:p w14:paraId="769FD861">
            <w:pPr>
              <w:pStyle w:val="11"/>
              <w:adjustRightInd w:val="0"/>
              <w:snapToGrid w:val="0"/>
              <w:spacing w:line="320" w:lineRule="atLeast"/>
              <w:jc w:val="center"/>
              <w:rPr>
                <w:b/>
                <w:color w:val="auto"/>
                <w:sz w:val="24"/>
                <w:szCs w:val="24"/>
                <w:highlight w:val="none"/>
              </w:rPr>
            </w:pPr>
            <w:r>
              <w:rPr>
                <w:rFonts w:hint="eastAsia"/>
                <w:b/>
                <w:color w:val="auto"/>
                <w:sz w:val="24"/>
                <w:szCs w:val="24"/>
                <w:highlight w:val="none"/>
              </w:rPr>
              <w:t>（授权代表身份证复印件或影印件）</w:t>
            </w:r>
          </w:p>
        </w:tc>
      </w:tr>
    </w:tbl>
    <w:p w14:paraId="456E6304">
      <w:pPr>
        <w:spacing w:line="360" w:lineRule="auto"/>
        <w:ind w:firstLine="3162" w:firstLineChars="1500"/>
        <w:jc w:val="right"/>
        <w:rPr>
          <w:b/>
          <w:color w:val="auto"/>
          <w:highlight w:val="none"/>
        </w:rPr>
      </w:pPr>
    </w:p>
    <w:p w14:paraId="35998A66">
      <w:pPr>
        <w:pStyle w:val="11"/>
        <w:adjustRightInd w:val="0"/>
        <w:snapToGrid w:val="0"/>
        <w:spacing w:line="320" w:lineRule="atLeast"/>
        <w:outlineLvl w:val="0"/>
        <w:rPr>
          <w:color w:val="auto"/>
          <w:sz w:val="32"/>
          <w:highlight w:val="none"/>
        </w:rPr>
      </w:pPr>
      <w:r>
        <w:rPr>
          <w:rFonts w:hint="eastAsia" w:hAnsi="宋体" w:cs="宋体"/>
          <w:color w:val="auto"/>
          <w:kern w:val="0"/>
          <w:sz w:val="32"/>
          <w:szCs w:val="24"/>
          <w:highlight w:val="none"/>
        </w:rPr>
        <w:br w:type="page"/>
      </w:r>
      <w:r>
        <w:rPr>
          <w:rFonts w:hint="eastAsia" w:hAnsi="宋体" w:cs="宋体"/>
          <w:color w:val="auto"/>
          <w:kern w:val="0"/>
          <w:sz w:val="32"/>
          <w:szCs w:val="24"/>
          <w:highlight w:val="none"/>
        </w:rPr>
        <w:t>3.</w:t>
      </w:r>
      <w:r>
        <w:rPr>
          <w:rFonts w:hint="eastAsia"/>
          <w:color w:val="auto"/>
          <w:sz w:val="32"/>
          <w:highlight w:val="none"/>
        </w:rPr>
        <w:t>6投标供应商情况声明</w:t>
      </w:r>
    </w:p>
    <w:p w14:paraId="36BDF1F5">
      <w:pPr>
        <w:pStyle w:val="11"/>
        <w:adjustRightInd w:val="0"/>
        <w:snapToGrid w:val="0"/>
        <w:spacing w:line="320" w:lineRule="atLeast"/>
        <w:jc w:val="center"/>
        <w:outlineLvl w:val="0"/>
        <w:rPr>
          <w:rFonts w:hint="eastAsia" w:hAnsi="宋体"/>
          <w:b/>
          <w:color w:val="auto"/>
          <w:sz w:val="36"/>
          <w:highlight w:val="none"/>
        </w:rPr>
      </w:pPr>
    </w:p>
    <w:p w14:paraId="0D1DAE00">
      <w:pPr>
        <w:pStyle w:val="11"/>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14:paraId="651D633F">
      <w:pPr>
        <w:spacing w:line="400" w:lineRule="exact"/>
        <w:outlineLvl w:val="0"/>
        <w:rPr>
          <w:color w:val="auto"/>
          <w:sz w:val="22"/>
          <w:highlight w:val="none"/>
        </w:rPr>
      </w:pPr>
      <w:r>
        <w:rPr>
          <w:rFonts w:hint="eastAsia"/>
          <w:color w:val="auto"/>
          <w:sz w:val="22"/>
          <w:highlight w:val="none"/>
        </w:rPr>
        <w:t>1. 名称及概况：</w:t>
      </w:r>
    </w:p>
    <w:p w14:paraId="705A6187">
      <w:pPr>
        <w:spacing w:line="400" w:lineRule="exact"/>
        <w:rPr>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14:paraId="593E3AA6">
      <w:pPr>
        <w:spacing w:line="400" w:lineRule="exact"/>
        <w:rPr>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14:paraId="16FE18D6">
      <w:pPr>
        <w:spacing w:line="400" w:lineRule="exact"/>
        <w:ind w:firstLine="600"/>
        <w:rPr>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14:paraId="38E8D97E">
      <w:pPr>
        <w:spacing w:line="400" w:lineRule="exact"/>
        <w:rPr>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14:paraId="33221883">
      <w:pPr>
        <w:spacing w:line="400" w:lineRule="exact"/>
        <w:rPr>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14:paraId="38AC04A9">
      <w:pPr>
        <w:spacing w:line="400" w:lineRule="exact"/>
        <w:rPr>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14:paraId="445F50C5">
      <w:pPr>
        <w:spacing w:line="400" w:lineRule="exact"/>
        <w:rPr>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14:paraId="5A72B2DE">
      <w:pPr>
        <w:spacing w:line="400" w:lineRule="exact"/>
        <w:rPr>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14:paraId="7EBF56ED">
      <w:pPr>
        <w:spacing w:line="400" w:lineRule="exact"/>
        <w:rPr>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14:paraId="7727D015">
      <w:pPr>
        <w:spacing w:line="400" w:lineRule="exact"/>
        <w:rPr>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14:paraId="2E52E90F">
      <w:pPr>
        <w:spacing w:line="400" w:lineRule="exact"/>
        <w:rPr>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14:paraId="4A354873">
      <w:pPr>
        <w:spacing w:line="400" w:lineRule="exact"/>
        <w:rPr>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14:paraId="00569137">
      <w:pPr>
        <w:spacing w:line="400" w:lineRule="exact"/>
        <w:rPr>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14:paraId="01B2C7DB">
      <w:pPr>
        <w:spacing w:line="400" w:lineRule="exact"/>
        <w:rPr>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14:paraId="421A1987">
      <w:pPr>
        <w:spacing w:line="360" w:lineRule="exact"/>
        <w:ind w:left="660" w:hanging="660" w:hangingChars="300"/>
        <w:rPr>
          <w:color w:val="auto"/>
          <w:sz w:val="22"/>
          <w:highlight w:val="none"/>
        </w:rPr>
      </w:pPr>
      <w:r>
        <w:rPr>
          <w:rFonts w:hint="eastAsia"/>
          <w:color w:val="auto"/>
          <w:sz w:val="22"/>
          <w:highlight w:val="none"/>
        </w:rPr>
        <w:t>2．企业生产设备及规模：</w:t>
      </w:r>
    </w:p>
    <w:p w14:paraId="6932FAD7">
      <w:pPr>
        <w:spacing w:line="360" w:lineRule="exact"/>
        <w:ind w:left="660" w:hanging="660" w:hangingChars="300"/>
        <w:outlineLvl w:val="0"/>
        <w:rPr>
          <w:color w:val="auto"/>
          <w:sz w:val="22"/>
          <w:highlight w:val="none"/>
        </w:rPr>
      </w:pPr>
      <w:r>
        <w:rPr>
          <w:rFonts w:hint="eastAsia"/>
          <w:color w:val="auto"/>
          <w:sz w:val="22"/>
          <w:highlight w:val="none"/>
        </w:rPr>
        <w:t>3. 企业人员情况：</w:t>
      </w:r>
    </w:p>
    <w:p w14:paraId="15E6463D">
      <w:pPr>
        <w:spacing w:line="400" w:lineRule="exact"/>
        <w:rPr>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14:paraId="3702E97F">
      <w:pPr>
        <w:spacing w:line="360" w:lineRule="exact"/>
        <w:ind w:left="660" w:hanging="660" w:hangingChars="300"/>
        <w:outlineLvl w:val="0"/>
        <w:rPr>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14:paraId="4F5E5B24">
      <w:pPr>
        <w:spacing w:line="400" w:lineRule="exact"/>
        <w:ind w:firstLine="220" w:firstLineChars="100"/>
        <w:rPr>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14:paraId="0B489A00">
      <w:pPr>
        <w:spacing w:line="400" w:lineRule="exact"/>
        <w:rPr>
          <w:color w:val="auto"/>
          <w:sz w:val="22"/>
          <w:highlight w:val="none"/>
        </w:rPr>
      </w:pPr>
    </w:p>
    <w:p w14:paraId="1BAC495A">
      <w:pPr>
        <w:spacing w:line="400" w:lineRule="exact"/>
        <w:rPr>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14:paraId="5A975DD2">
      <w:pPr>
        <w:spacing w:line="400" w:lineRule="exact"/>
        <w:rPr>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14:paraId="34A44034">
      <w:pPr>
        <w:spacing w:line="400" w:lineRule="exact"/>
        <w:rPr>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14:paraId="7B574FA3">
      <w:pPr>
        <w:spacing w:line="400" w:lineRule="exact"/>
        <w:rPr>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14:paraId="4FDFF63E">
      <w:pPr>
        <w:spacing w:line="360" w:lineRule="exact"/>
        <w:rPr>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14:paraId="599ECD34">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1DB43622">
      <w:pPr>
        <w:pStyle w:val="11"/>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lang w:val="zh-CN"/>
        </w:rPr>
        <w:br w:type="page"/>
      </w:r>
      <w:r>
        <w:rPr>
          <w:rFonts w:hint="eastAsia" w:hAnsi="宋体" w:cs="宋体"/>
          <w:color w:val="auto"/>
          <w:kern w:val="0"/>
          <w:sz w:val="32"/>
          <w:szCs w:val="24"/>
          <w:highlight w:val="none"/>
          <w:lang w:val="zh-CN"/>
        </w:rPr>
        <w:t>3.</w:t>
      </w:r>
      <w:r>
        <w:rPr>
          <w:rFonts w:hint="eastAsia" w:hAnsi="宋体" w:cs="宋体"/>
          <w:color w:val="auto"/>
          <w:kern w:val="0"/>
          <w:sz w:val="32"/>
          <w:szCs w:val="24"/>
          <w:highlight w:val="none"/>
        </w:rPr>
        <w:t>7.1 商务响应表</w:t>
      </w:r>
    </w:p>
    <w:p w14:paraId="3FCF169D">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rPr>
        <w:t>响 应</w:t>
      </w:r>
      <w:r>
        <w:rPr>
          <w:b/>
          <w:color w:val="auto"/>
          <w:sz w:val="36"/>
          <w:highlight w:val="none"/>
          <w:lang w:val="zh-CN"/>
        </w:rPr>
        <w:t xml:space="preserve"> </w:t>
      </w:r>
      <w:r>
        <w:rPr>
          <w:rFonts w:hint="eastAsia"/>
          <w:b/>
          <w:color w:val="auto"/>
          <w:sz w:val="36"/>
          <w:highlight w:val="none"/>
          <w:lang w:val="zh-CN"/>
        </w:rPr>
        <w:t>表</w:t>
      </w:r>
    </w:p>
    <w:p w14:paraId="7ED11A06">
      <w:pPr>
        <w:autoSpaceDE w:val="0"/>
        <w:autoSpaceDN w:val="0"/>
        <w:adjustRightInd w:val="0"/>
        <w:spacing w:line="440" w:lineRule="atLeast"/>
        <w:ind w:firstLine="3413"/>
        <w:rPr>
          <w:b/>
          <w:color w:val="auto"/>
          <w:sz w:val="36"/>
          <w:highlight w:val="none"/>
          <w:lang w:val="zh-CN"/>
        </w:rPr>
      </w:pPr>
    </w:p>
    <w:tbl>
      <w:tblPr>
        <w:tblStyle w:val="20"/>
        <w:tblW w:w="0" w:type="auto"/>
        <w:tblInd w:w="0" w:type="dxa"/>
        <w:tblLayout w:type="fixed"/>
        <w:tblCellMar>
          <w:top w:w="0" w:type="dxa"/>
          <w:left w:w="108" w:type="dxa"/>
          <w:bottom w:w="0" w:type="dxa"/>
          <w:right w:w="108" w:type="dxa"/>
        </w:tblCellMar>
      </w:tblPr>
      <w:tblGrid>
        <w:gridCol w:w="900"/>
        <w:gridCol w:w="1800"/>
        <w:gridCol w:w="2664"/>
        <w:gridCol w:w="2110"/>
        <w:gridCol w:w="2126"/>
      </w:tblGrid>
      <w:tr w14:paraId="2157191B">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5E5521FA">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77DFC66F">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14:paraId="7B4C56AE">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14:paraId="27FC160E">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14:paraId="7B456545">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14:paraId="1F366114">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6B61B11D">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3DA5CF0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060334">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7D3FEAE8">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13052DFA">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BD35558">
            <w:pPr>
              <w:autoSpaceDE w:val="0"/>
              <w:autoSpaceDN w:val="0"/>
              <w:adjustRightInd w:val="0"/>
              <w:spacing w:line="440" w:lineRule="atLeast"/>
              <w:jc w:val="center"/>
              <w:rPr>
                <w:b/>
                <w:color w:val="auto"/>
                <w:highlight w:val="none"/>
                <w:lang w:val="zh-CN"/>
              </w:rPr>
            </w:pPr>
          </w:p>
        </w:tc>
      </w:tr>
      <w:tr w14:paraId="4E7DA196">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0C7145D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6E16D64">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52FD5D10">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2014743">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37EA03C">
            <w:pPr>
              <w:autoSpaceDE w:val="0"/>
              <w:autoSpaceDN w:val="0"/>
              <w:adjustRightInd w:val="0"/>
              <w:spacing w:line="440" w:lineRule="atLeast"/>
              <w:jc w:val="center"/>
              <w:rPr>
                <w:b/>
                <w:color w:val="auto"/>
                <w:highlight w:val="none"/>
                <w:lang w:val="zh-CN"/>
              </w:rPr>
            </w:pPr>
          </w:p>
        </w:tc>
      </w:tr>
      <w:tr w14:paraId="7B1E23CA">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DB97B48">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8B3A1B5">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6E885A5">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69B4C20">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4A8774D9">
            <w:pPr>
              <w:autoSpaceDE w:val="0"/>
              <w:autoSpaceDN w:val="0"/>
              <w:adjustRightInd w:val="0"/>
              <w:spacing w:line="440" w:lineRule="atLeast"/>
              <w:jc w:val="center"/>
              <w:rPr>
                <w:b/>
                <w:color w:val="auto"/>
                <w:highlight w:val="none"/>
                <w:lang w:val="zh-CN"/>
              </w:rPr>
            </w:pPr>
          </w:p>
        </w:tc>
      </w:tr>
      <w:tr w14:paraId="7DCDF486">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5E0F381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E3784C0">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860DD4A">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4AF5F169">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08BAB71">
            <w:pPr>
              <w:autoSpaceDE w:val="0"/>
              <w:autoSpaceDN w:val="0"/>
              <w:adjustRightInd w:val="0"/>
              <w:spacing w:line="440" w:lineRule="atLeast"/>
              <w:jc w:val="center"/>
              <w:rPr>
                <w:b/>
                <w:color w:val="auto"/>
                <w:highlight w:val="none"/>
                <w:lang w:val="zh-CN"/>
              </w:rPr>
            </w:pPr>
          </w:p>
        </w:tc>
      </w:tr>
      <w:tr w14:paraId="49BDCAD1">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838ECB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276B1CD">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4865F8CB">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3232932D">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6D84802A">
            <w:pPr>
              <w:autoSpaceDE w:val="0"/>
              <w:autoSpaceDN w:val="0"/>
              <w:adjustRightInd w:val="0"/>
              <w:spacing w:line="440" w:lineRule="atLeast"/>
              <w:jc w:val="center"/>
              <w:rPr>
                <w:b/>
                <w:color w:val="auto"/>
                <w:highlight w:val="none"/>
                <w:lang w:val="zh-CN"/>
              </w:rPr>
            </w:pPr>
          </w:p>
        </w:tc>
      </w:tr>
      <w:tr w14:paraId="26DD882C">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734FE793">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4BB0855C">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D4F6444">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790BB5A4">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BDF63AC">
            <w:pPr>
              <w:autoSpaceDE w:val="0"/>
              <w:autoSpaceDN w:val="0"/>
              <w:adjustRightInd w:val="0"/>
              <w:spacing w:line="440" w:lineRule="atLeast"/>
              <w:jc w:val="center"/>
              <w:rPr>
                <w:b/>
                <w:color w:val="auto"/>
                <w:highlight w:val="none"/>
                <w:lang w:val="zh-CN"/>
              </w:rPr>
            </w:pPr>
          </w:p>
        </w:tc>
      </w:tr>
      <w:tr w14:paraId="3ED4071C">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B919692">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8109FE0">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3C2C3649">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4A69616D">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5C85632">
            <w:pPr>
              <w:autoSpaceDE w:val="0"/>
              <w:autoSpaceDN w:val="0"/>
              <w:adjustRightInd w:val="0"/>
              <w:spacing w:line="440" w:lineRule="atLeast"/>
              <w:jc w:val="center"/>
              <w:rPr>
                <w:b/>
                <w:color w:val="auto"/>
                <w:highlight w:val="none"/>
                <w:lang w:val="zh-CN"/>
              </w:rPr>
            </w:pPr>
          </w:p>
        </w:tc>
      </w:tr>
      <w:tr w14:paraId="078B57E0">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25E4D84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760FBF7">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DA6941E">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0FEB9353">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7B4F05E7">
            <w:pPr>
              <w:autoSpaceDE w:val="0"/>
              <w:autoSpaceDN w:val="0"/>
              <w:adjustRightInd w:val="0"/>
              <w:spacing w:line="440" w:lineRule="atLeast"/>
              <w:jc w:val="center"/>
              <w:rPr>
                <w:b/>
                <w:color w:val="auto"/>
                <w:highlight w:val="none"/>
                <w:lang w:val="zh-CN"/>
              </w:rPr>
            </w:pPr>
          </w:p>
        </w:tc>
      </w:tr>
      <w:tr w14:paraId="0F2EA9F3">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15A76BE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F21AE37">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2FC79E0C">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04D5DE18">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2DAF7C9C">
            <w:pPr>
              <w:autoSpaceDE w:val="0"/>
              <w:autoSpaceDN w:val="0"/>
              <w:adjustRightInd w:val="0"/>
              <w:spacing w:line="440" w:lineRule="atLeast"/>
              <w:jc w:val="center"/>
              <w:rPr>
                <w:b/>
                <w:color w:val="auto"/>
                <w:highlight w:val="none"/>
                <w:lang w:val="zh-CN"/>
              </w:rPr>
            </w:pPr>
          </w:p>
        </w:tc>
      </w:tr>
      <w:tr w14:paraId="4623EDD2">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005AD23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2B46456">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107613DC">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61415735">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07C5F10E">
            <w:pPr>
              <w:autoSpaceDE w:val="0"/>
              <w:autoSpaceDN w:val="0"/>
              <w:adjustRightInd w:val="0"/>
              <w:spacing w:line="440" w:lineRule="atLeast"/>
              <w:jc w:val="center"/>
              <w:rPr>
                <w:b/>
                <w:color w:val="auto"/>
                <w:highlight w:val="none"/>
                <w:lang w:val="zh-CN"/>
              </w:rPr>
            </w:pPr>
          </w:p>
        </w:tc>
      </w:tr>
      <w:tr w14:paraId="3843ED08">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14:paraId="47A441BD">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882D146">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14:paraId="0070E639">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14:paraId="21D442CA">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14:paraId="12D4FECB">
            <w:pPr>
              <w:autoSpaceDE w:val="0"/>
              <w:autoSpaceDN w:val="0"/>
              <w:adjustRightInd w:val="0"/>
              <w:spacing w:line="440" w:lineRule="atLeast"/>
              <w:jc w:val="center"/>
              <w:rPr>
                <w:b/>
                <w:color w:val="auto"/>
                <w:highlight w:val="none"/>
                <w:lang w:val="zh-CN"/>
              </w:rPr>
            </w:pPr>
          </w:p>
        </w:tc>
      </w:tr>
    </w:tbl>
    <w:p w14:paraId="7E4EA6FE">
      <w:pPr>
        <w:autoSpaceDE w:val="0"/>
        <w:autoSpaceDN w:val="0"/>
        <w:adjustRightInd w:val="0"/>
        <w:spacing w:line="440" w:lineRule="atLeast"/>
        <w:rPr>
          <w:b/>
          <w:color w:val="auto"/>
          <w:highlight w:val="none"/>
          <w:u w:val="single"/>
        </w:rPr>
      </w:pPr>
      <w:r>
        <w:rPr>
          <w:rFonts w:hint="eastAsia"/>
          <w:b/>
          <w:color w:val="auto"/>
          <w:highlight w:val="none"/>
          <w:lang w:val="zh-CN"/>
        </w:rPr>
        <w:t>供应商盖章：</w:t>
      </w:r>
      <w:r>
        <w:rPr>
          <w:rFonts w:hint="eastAsia"/>
          <w:b/>
          <w:color w:val="auto"/>
          <w:highlight w:val="none"/>
          <w:u w:val="single"/>
        </w:rPr>
        <w:t xml:space="preserve">                    </w:t>
      </w:r>
    </w:p>
    <w:p w14:paraId="506B5E97">
      <w:pPr>
        <w:autoSpaceDE w:val="0"/>
        <w:autoSpaceDN w:val="0"/>
        <w:adjustRightInd w:val="0"/>
        <w:spacing w:line="44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14:paraId="57FC1BB6">
      <w:pPr>
        <w:autoSpaceDE w:val="0"/>
        <w:autoSpaceDN w:val="0"/>
        <w:adjustRightInd w:val="0"/>
        <w:spacing w:line="440" w:lineRule="atLeast"/>
        <w:rPr>
          <w:b/>
          <w:color w:val="auto"/>
          <w:sz w:val="32"/>
          <w:highlight w:val="none"/>
          <w:lang w:val="zh-CN"/>
        </w:rPr>
      </w:pPr>
    </w:p>
    <w:p w14:paraId="6233C0A7">
      <w:pPr>
        <w:autoSpaceDE w:val="0"/>
        <w:autoSpaceDN w:val="0"/>
        <w:adjustRightInd w:val="0"/>
        <w:spacing w:line="440" w:lineRule="atLeast"/>
        <w:rPr>
          <w:b/>
          <w:color w:val="auto"/>
          <w:sz w:val="32"/>
          <w:highlight w:val="none"/>
          <w:lang w:val="zh-CN"/>
        </w:rPr>
      </w:pPr>
    </w:p>
    <w:p w14:paraId="35D75D21">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70052CAC">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1EDB3805">
      <w:pPr>
        <w:autoSpaceDE w:val="0"/>
        <w:autoSpaceDN w:val="0"/>
        <w:adjustRightInd w:val="0"/>
        <w:spacing w:line="440" w:lineRule="atLeast"/>
        <w:outlineLvl w:val="0"/>
        <w:rPr>
          <w:b/>
          <w:color w:val="auto"/>
          <w:sz w:val="32"/>
          <w:highlight w:val="none"/>
          <w:lang w:val="zh-CN"/>
        </w:rPr>
        <w:sectPr>
          <w:headerReference r:id="rId12" w:type="default"/>
          <w:footerReference r:id="rId13" w:type="default"/>
          <w:pgSz w:w="11906" w:h="16838"/>
          <w:pgMar w:top="1440" w:right="1361" w:bottom="1440" w:left="1361" w:header="851" w:footer="992" w:gutter="0"/>
          <w:pgNumType w:fmt="decimal"/>
          <w:cols w:space="720" w:num="1"/>
          <w:docGrid w:linePitch="312" w:charSpace="0"/>
        </w:sectPr>
      </w:pPr>
    </w:p>
    <w:p w14:paraId="7F0A59FA">
      <w:pPr>
        <w:pStyle w:val="11"/>
        <w:adjustRightInd w:val="0"/>
        <w:snapToGrid w:val="0"/>
        <w:spacing w:line="320" w:lineRule="atLeast"/>
        <w:outlineLvl w:val="0"/>
        <w:rPr>
          <w:rFonts w:hAnsi="宋体" w:cs="宋体"/>
          <w:color w:val="auto"/>
          <w:kern w:val="0"/>
          <w:sz w:val="32"/>
          <w:szCs w:val="24"/>
          <w:highlight w:val="none"/>
        </w:rPr>
      </w:pPr>
      <w:r>
        <w:rPr>
          <w:rFonts w:hint="eastAsia" w:hAnsi="宋体" w:cs="宋体"/>
          <w:color w:val="auto"/>
          <w:kern w:val="0"/>
          <w:sz w:val="32"/>
          <w:szCs w:val="24"/>
          <w:highlight w:val="none"/>
        </w:rPr>
        <w:t>3.7.2 技术响应表</w:t>
      </w:r>
    </w:p>
    <w:p w14:paraId="0D72EA93">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w:t>
      </w:r>
      <w:r>
        <w:rPr>
          <w:rFonts w:hint="eastAsia"/>
          <w:b/>
          <w:color w:val="auto"/>
          <w:sz w:val="36"/>
          <w:highlight w:val="none"/>
        </w:rPr>
        <w:t xml:space="preserve"> </w:t>
      </w:r>
      <w:r>
        <w:rPr>
          <w:rFonts w:hint="eastAsia"/>
          <w:b/>
          <w:color w:val="auto"/>
          <w:sz w:val="36"/>
          <w:highlight w:val="none"/>
          <w:lang w:val="zh-CN"/>
        </w:rPr>
        <w:t>术</w:t>
      </w:r>
      <w:r>
        <w:rPr>
          <w:rFonts w:hint="eastAsia"/>
          <w:b/>
          <w:color w:val="auto"/>
          <w:sz w:val="36"/>
          <w:highlight w:val="none"/>
        </w:rPr>
        <w:t xml:space="preserve"> 响 应 </w:t>
      </w:r>
      <w:r>
        <w:rPr>
          <w:rFonts w:hint="eastAsia"/>
          <w:b/>
          <w:color w:val="auto"/>
          <w:sz w:val="36"/>
          <w:highlight w:val="none"/>
          <w:lang w:val="zh-CN"/>
        </w:rPr>
        <w:t>表</w:t>
      </w:r>
    </w:p>
    <w:tbl>
      <w:tblPr>
        <w:tblStyle w:val="20"/>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14:paraId="697769C1">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6C89A251">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430E5FFD">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14:paraId="5F6F02E9">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14:paraId="3A7C7F94">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14:paraId="5ECC3169">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14:paraId="55EECF99">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14:paraId="432A9BC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672990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3CF188C">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1A3138A">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3EC3C4A9">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5BD7C572">
            <w:pPr>
              <w:autoSpaceDE w:val="0"/>
              <w:autoSpaceDN w:val="0"/>
              <w:adjustRightInd w:val="0"/>
              <w:spacing w:line="440" w:lineRule="atLeast"/>
              <w:jc w:val="center"/>
              <w:rPr>
                <w:b/>
                <w:color w:val="auto"/>
                <w:highlight w:val="none"/>
                <w:lang w:val="zh-CN"/>
              </w:rPr>
            </w:pPr>
          </w:p>
        </w:tc>
      </w:tr>
      <w:tr w14:paraId="6EF0F0F3">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ECAFB41">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674D80D">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527997CE">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76D75D1">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37E19B73">
            <w:pPr>
              <w:autoSpaceDE w:val="0"/>
              <w:autoSpaceDN w:val="0"/>
              <w:adjustRightInd w:val="0"/>
              <w:spacing w:line="440" w:lineRule="atLeast"/>
              <w:jc w:val="center"/>
              <w:rPr>
                <w:b/>
                <w:color w:val="auto"/>
                <w:highlight w:val="none"/>
                <w:lang w:val="zh-CN"/>
              </w:rPr>
            </w:pPr>
          </w:p>
        </w:tc>
      </w:tr>
      <w:tr w14:paraId="686EFAB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562721B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16A905E">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3442AFED">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2D072DCF">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1B6524EB">
            <w:pPr>
              <w:autoSpaceDE w:val="0"/>
              <w:autoSpaceDN w:val="0"/>
              <w:adjustRightInd w:val="0"/>
              <w:spacing w:line="440" w:lineRule="atLeast"/>
              <w:jc w:val="center"/>
              <w:rPr>
                <w:b/>
                <w:color w:val="auto"/>
                <w:highlight w:val="none"/>
                <w:lang w:val="zh-CN"/>
              </w:rPr>
            </w:pPr>
          </w:p>
        </w:tc>
      </w:tr>
      <w:tr w14:paraId="35D3A54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6CDAC0B3">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0068FC7">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0E28A4D7">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0714FC1C">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4E0DC18E">
            <w:pPr>
              <w:autoSpaceDE w:val="0"/>
              <w:autoSpaceDN w:val="0"/>
              <w:adjustRightInd w:val="0"/>
              <w:spacing w:line="440" w:lineRule="atLeast"/>
              <w:jc w:val="center"/>
              <w:rPr>
                <w:b/>
                <w:color w:val="auto"/>
                <w:highlight w:val="none"/>
                <w:lang w:val="zh-CN"/>
              </w:rPr>
            </w:pPr>
          </w:p>
        </w:tc>
      </w:tr>
      <w:tr w14:paraId="615D2300">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780854C">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42E0D82">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222CFB17">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493E48E1">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37833BE1">
            <w:pPr>
              <w:autoSpaceDE w:val="0"/>
              <w:autoSpaceDN w:val="0"/>
              <w:adjustRightInd w:val="0"/>
              <w:spacing w:line="440" w:lineRule="atLeast"/>
              <w:jc w:val="center"/>
              <w:rPr>
                <w:b/>
                <w:color w:val="auto"/>
                <w:highlight w:val="none"/>
                <w:lang w:val="zh-CN"/>
              </w:rPr>
            </w:pPr>
          </w:p>
        </w:tc>
      </w:tr>
      <w:tr w14:paraId="3E0A2458">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4729D34A">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68F0F03">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14:paraId="5B87F1F0">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14:paraId="1F597265">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14:paraId="23B7D002">
            <w:pPr>
              <w:autoSpaceDE w:val="0"/>
              <w:autoSpaceDN w:val="0"/>
              <w:adjustRightInd w:val="0"/>
              <w:spacing w:line="440" w:lineRule="atLeast"/>
              <w:jc w:val="center"/>
              <w:rPr>
                <w:b/>
                <w:color w:val="auto"/>
                <w:highlight w:val="none"/>
                <w:lang w:val="zh-CN"/>
              </w:rPr>
            </w:pPr>
          </w:p>
        </w:tc>
      </w:tr>
    </w:tbl>
    <w:p w14:paraId="00A3F7E1">
      <w:pPr>
        <w:autoSpaceDE w:val="0"/>
        <w:autoSpaceDN w:val="0"/>
        <w:adjustRightInd w:val="0"/>
        <w:spacing w:line="440" w:lineRule="atLeast"/>
        <w:rPr>
          <w:b/>
          <w:color w:val="auto"/>
          <w:highlight w:val="none"/>
          <w:lang w:val="zh-CN"/>
        </w:rPr>
      </w:pPr>
    </w:p>
    <w:p w14:paraId="0CFBD86B">
      <w:pPr>
        <w:autoSpaceDE w:val="0"/>
        <w:autoSpaceDN w:val="0"/>
        <w:adjustRightInd w:val="0"/>
        <w:spacing w:line="440" w:lineRule="atLeast"/>
        <w:rPr>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14:paraId="055B05AA">
      <w:pPr>
        <w:pStyle w:val="11"/>
        <w:adjustRightInd w:val="0"/>
        <w:snapToGrid w:val="0"/>
        <w:spacing w:line="460" w:lineRule="atLeast"/>
        <w:rPr>
          <w:rFonts w:hAnsi="宋体"/>
          <w:color w:val="auto"/>
          <w:spacing w:val="20"/>
          <w:sz w:val="24"/>
          <w:highlight w:val="none"/>
        </w:rPr>
      </w:pPr>
    </w:p>
    <w:p w14:paraId="4774EAF9">
      <w:pPr>
        <w:pStyle w:val="11"/>
        <w:adjustRightInd w:val="0"/>
        <w:snapToGrid w:val="0"/>
        <w:spacing w:line="460" w:lineRule="atLeast"/>
        <w:rPr>
          <w:rFonts w:hAnsi="宋体"/>
          <w:color w:val="auto"/>
          <w:spacing w:val="20"/>
          <w:sz w:val="24"/>
          <w:highlight w:val="none"/>
        </w:rPr>
      </w:pPr>
      <w:r>
        <w:rPr>
          <w:rFonts w:hint="eastAsia" w:hAnsi="宋体"/>
          <w:color w:val="auto"/>
          <w:spacing w:val="20"/>
          <w:sz w:val="24"/>
          <w:highlight w:val="none"/>
        </w:rPr>
        <w:t>注：不填写此表，视全部响应招标文件</w:t>
      </w:r>
    </w:p>
    <w:p w14:paraId="2E9AF334">
      <w:pPr>
        <w:autoSpaceDE w:val="0"/>
        <w:autoSpaceDN w:val="0"/>
        <w:adjustRightInd w:val="0"/>
        <w:rPr>
          <w:b/>
          <w:color w:val="auto"/>
          <w:sz w:val="32"/>
          <w:highlight w:val="none"/>
        </w:rPr>
      </w:pPr>
    </w:p>
    <w:p w14:paraId="3219F584">
      <w:pPr>
        <w:pStyle w:val="9"/>
        <w:spacing w:before="120" w:after="120"/>
        <w:ind w:left="650" w:hanging="650"/>
        <w:rPr>
          <w:b/>
          <w:color w:val="auto"/>
          <w:sz w:val="32"/>
          <w:highlight w:val="none"/>
        </w:rPr>
      </w:pPr>
    </w:p>
    <w:p w14:paraId="0B750166">
      <w:pPr>
        <w:rPr>
          <w:b/>
          <w:color w:val="auto"/>
          <w:sz w:val="32"/>
          <w:highlight w:val="none"/>
          <w:lang w:val="zh-CN"/>
        </w:rPr>
      </w:pPr>
      <w:r>
        <w:rPr>
          <w:rFonts w:hint="eastAsia"/>
          <w:b/>
          <w:color w:val="auto"/>
          <w:sz w:val="32"/>
          <w:highlight w:val="none"/>
        </w:rPr>
        <w:br w:type="page"/>
      </w:r>
      <w:r>
        <w:rPr>
          <w:rFonts w:hint="eastAsia"/>
          <w:b/>
          <w:color w:val="auto"/>
          <w:sz w:val="32"/>
          <w:highlight w:val="none"/>
        </w:rPr>
        <w:t xml:space="preserve">3.9 </w:t>
      </w:r>
      <w:r>
        <w:rPr>
          <w:rFonts w:hint="eastAsia" w:hAnsi="宋体"/>
          <w:b/>
          <w:color w:val="auto"/>
          <w:sz w:val="30"/>
          <w:highlight w:val="none"/>
        </w:rPr>
        <w:t>投标产品的数量、配置及主要技术参数表</w:t>
      </w:r>
    </w:p>
    <w:p w14:paraId="611B3A34">
      <w:pPr>
        <w:jc w:val="center"/>
        <w:rPr>
          <w:rFonts w:hint="eastAsia" w:ascii="宋体" w:hAnsi="宋体" w:cs="宋体"/>
          <w:b/>
          <w:color w:val="auto"/>
          <w:spacing w:val="20"/>
          <w:sz w:val="32"/>
          <w:szCs w:val="32"/>
          <w:highlight w:val="none"/>
        </w:rPr>
      </w:pPr>
      <w:r>
        <w:rPr>
          <w:rFonts w:hint="eastAsia" w:hAnsi="宋体"/>
          <w:b/>
          <w:color w:val="auto"/>
          <w:sz w:val="30"/>
          <w:highlight w:val="none"/>
        </w:rPr>
        <w:t>投标产品的数量、配置及主要技术参数表</w:t>
      </w:r>
    </w:p>
    <w:p w14:paraId="3D41BD5D">
      <w:pPr>
        <w:rPr>
          <w:rFonts w:hint="eastAsia" w:ascii="宋体" w:hAnsi="宋体" w:cs="宋体"/>
          <w:b/>
          <w:color w:val="auto"/>
          <w:spacing w:val="20"/>
          <w:sz w:val="24"/>
          <w:highlight w:val="none"/>
        </w:rPr>
      </w:pPr>
      <w:r>
        <w:rPr>
          <w:rFonts w:hint="eastAsia" w:ascii="宋体" w:hAnsi="宋体" w:cs="宋体"/>
          <w:b/>
          <w:color w:val="auto"/>
          <w:spacing w:val="20"/>
          <w:sz w:val="24"/>
          <w:highlight w:val="none"/>
        </w:rPr>
        <w:t>招标编号：                       项目名称：</w:t>
      </w:r>
      <w:r>
        <w:rPr>
          <w:rFonts w:hint="eastAsia" w:ascii="宋体" w:hAnsi="宋体" w:cs="宋体"/>
          <w:b/>
          <w:color w:val="auto"/>
          <w:spacing w:val="20"/>
          <w:sz w:val="24"/>
          <w:highlight w:val="none"/>
          <w:u w:val="single"/>
        </w:rPr>
        <w:t xml:space="preserve">         </w:t>
      </w:r>
    </w:p>
    <w:tbl>
      <w:tblPr>
        <w:tblStyle w:val="20"/>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14:paraId="2FD2F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28D19745">
            <w:pPr>
              <w:jc w:val="center"/>
              <w:rPr>
                <w:rFonts w:hint="eastAsia" w:ascii="宋体" w:hAnsi="宋体" w:cs="宋体"/>
                <w:b/>
                <w:color w:val="auto"/>
                <w:spacing w:val="20"/>
                <w:highlight w:val="none"/>
              </w:rPr>
            </w:pPr>
            <w:r>
              <w:rPr>
                <w:rFonts w:hint="eastAsia" w:ascii="宋体" w:hAnsi="宋体" w:cs="宋体"/>
                <w:b/>
                <w:color w:val="auto"/>
                <w:spacing w:val="20"/>
                <w:highlight w:val="none"/>
              </w:rPr>
              <w:t>货号</w:t>
            </w:r>
          </w:p>
        </w:tc>
        <w:tc>
          <w:tcPr>
            <w:tcW w:w="1671" w:type="dxa"/>
            <w:noWrap w:val="0"/>
            <w:vAlign w:val="center"/>
          </w:tcPr>
          <w:p w14:paraId="2367A309">
            <w:pPr>
              <w:jc w:val="center"/>
              <w:rPr>
                <w:rFonts w:hint="eastAsia" w:ascii="宋体" w:hAnsi="宋体" w:cs="宋体"/>
                <w:b/>
                <w:color w:val="auto"/>
                <w:spacing w:val="20"/>
                <w:highlight w:val="none"/>
              </w:rPr>
            </w:pPr>
            <w:r>
              <w:rPr>
                <w:rFonts w:hint="eastAsia" w:ascii="宋体" w:hAnsi="宋体" w:cs="宋体"/>
                <w:b/>
                <w:color w:val="auto"/>
                <w:spacing w:val="20"/>
                <w:highlight w:val="none"/>
              </w:rPr>
              <w:t>名称</w:t>
            </w:r>
          </w:p>
        </w:tc>
        <w:tc>
          <w:tcPr>
            <w:tcW w:w="1322" w:type="dxa"/>
            <w:noWrap w:val="0"/>
            <w:vAlign w:val="center"/>
          </w:tcPr>
          <w:p w14:paraId="1FC9F352">
            <w:pPr>
              <w:jc w:val="center"/>
              <w:rPr>
                <w:rFonts w:hint="eastAsia" w:ascii="宋体" w:hAnsi="宋体" w:cs="宋体"/>
                <w:b/>
                <w:color w:val="auto"/>
                <w:spacing w:val="20"/>
                <w:highlight w:val="none"/>
              </w:rPr>
            </w:pPr>
            <w:r>
              <w:rPr>
                <w:rFonts w:hint="eastAsia" w:ascii="宋体" w:hAnsi="宋体" w:cs="宋体"/>
                <w:b/>
                <w:color w:val="auto"/>
                <w:spacing w:val="20"/>
                <w:highlight w:val="none"/>
              </w:rPr>
              <w:t>品牌产地</w:t>
            </w:r>
          </w:p>
        </w:tc>
        <w:tc>
          <w:tcPr>
            <w:tcW w:w="2019" w:type="dxa"/>
            <w:noWrap w:val="0"/>
            <w:vAlign w:val="center"/>
          </w:tcPr>
          <w:p w14:paraId="328B04AF">
            <w:pPr>
              <w:jc w:val="center"/>
              <w:rPr>
                <w:rFonts w:hint="eastAsia" w:ascii="宋体" w:hAnsi="宋体" w:cs="宋体"/>
                <w:b/>
                <w:color w:val="auto"/>
                <w:spacing w:val="20"/>
                <w:highlight w:val="none"/>
              </w:rPr>
            </w:pPr>
            <w:r>
              <w:rPr>
                <w:rFonts w:hint="eastAsia" w:ascii="宋体" w:hAnsi="宋体" w:cs="宋体"/>
                <w:b/>
                <w:color w:val="auto"/>
                <w:spacing w:val="20"/>
                <w:highlight w:val="none"/>
              </w:rPr>
              <w:t>主要规格、型号</w:t>
            </w:r>
          </w:p>
        </w:tc>
        <w:tc>
          <w:tcPr>
            <w:tcW w:w="836" w:type="dxa"/>
            <w:noWrap w:val="0"/>
            <w:vAlign w:val="center"/>
          </w:tcPr>
          <w:p w14:paraId="63B5B08C">
            <w:pPr>
              <w:jc w:val="center"/>
              <w:rPr>
                <w:rFonts w:hint="eastAsia" w:ascii="宋体" w:hAnsi="宋体" w:cs="宋体"/>
                <w:b/>
                <w:color w:val="auto"/>
                <w:spacing w:val="20"/>
                <w:highlight w:val="none"/>
              </w:rPr>
            </w:pPr>
            <w:r>
              <w:rPr>
                <w:rFonts w:hint="eastAsia" w:ascii="宋体" w:hAnsi="宋体" w:cs="宋体"/>
                <w:b/>
                <w:color w:val="auto"/>
                <w:spacing w:val="20"/>
                <w:highlight w:val="none"/>
              </w:rPr>
              <w:t>数量</w:t>
            </w:r>
          </w:p>
        </w:tc>
        <w:tc>
          <w:tcPr>
            <w:tcW w:w="2480" w:type="dxa"/>
            <w:noWrap w:val="0"/>
            <w:vAlign w:val="center"/>
          </w:tcPr>
          <w:p w14:paraId="178A39DF">
            <w:pPr>
              <w:jc w:val="center"/>
              <w:rPr>
                <w:rFonts w:hint="eastAsia" w:ascii="宋体" w:hAnsi="宋体" w:cs="宋体"/>
                <w:b/>
                <w:color w:val="auto"/>
                <w:spacing w:val="20"/>
                <w:highlight w:val="none"/>
              </w:rPr>
            </w:pPr>
            <w:r>
              <w:rPr>
                <w:rFonts w:hint="eastAsia" w:ascii="宋体" w:hAnsi="宋体" w:cs="宋体"/>
                <w:b/>
                <w:color w:val="auto"/>
                <w:spacing w:val="20"/>
                <w:highlight w:val="none"/>
              </w:rPr>
              <w:t>备注</w:t>
            </w:r>
          </w:p>
        </w:tc>
      </w:tr>
      <w:tr w14:paraId="4BE899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5EED0A93">
            <w:pPr>
              <w:jc w:val="center"/>
              <w:rPr>
                <w:rFonts w:hint="eastAsia" w:ascii="宋体" w:hAnsi="宋体" w:cs="宋体"/>
                <w:color w:val="auto"/>
                <w:spacing w:val="20"/>
                <w:highlight w:val="none"/>
              </w:rPr>
            </w:pPr>
          </w:p>
        </w:tc>
        <w:tc>
          <w:tcPr>
            <w:tcW w:w="1671" w:type="dxa"/>
            <w:noWrap w:val="0"/>
            <w:vAlign w:val="center"/>
          </w:tcPr>
          <w:p w14:paraId="497D1DA3">
            <w:pPr>
              <w:widowControl/>
              <w:spacing w:line="400" w:lineRule="exact"/>
              <w:jc w:val="center"/>
              <w:rPr>
                <w:rFonts w:hint="eastAsia" w:ascii="宋体" w:hAnsi="宋体" w:cs="宋体"/>
                <w:color w:val="auto"/>
                <w:sz w:val="24"/>
                <w:highlight w:val="none"/>
              </w:rPr>
            </w:pPr>
          </w:p>
        </w:tc>
        <w:tc>
          <w:tcPr>
            <w:tcW w:w="1322" w:type="dxa"/>
            <w:noWrap w:val="0"/>
            <w:vAlign w:val="center"/>
          </w:tcPr>
          <w:p w14:paraId="2174B78F">
            <w:pPr>
              <w:jc w:val="center"/>
              <w:rPr>
                <w:rFonts w:hint="eastAsia" w:ascii="宋体" w:hAnsi="宋体" w:cs="宋体"/>
                <w:color w:val="auto"/>
                <w:spacing w:val="20"/>
                <w:highlight w:val="none"/>
              </w:rPr>
            </w:pPr>
          </w:p>
        </w:tc>
        <w:tc>
          <w:tcPr>
            <w:tcW w:w="2019" w:type="dxa"/>
            <w:noWrap w:val="0"/>
            <w:vAlign w:val="center"/>
          </w:tcPr>
          <w:p w14:paraId="7312BE76">
            <w:pPr>
              <w:jc w:val="center"/>
              <w:rPr>
                <w:rFonts w:hint="eastAsia" w:ascii="宋体" w:hAnsi="宋体" w:cs="宋体"/>
                <w:color w:val="auto"/>
                <w:spacing w:val="20"/>
                <w:highlight w:val="none"/>
              </w:rPr>
            </w:pPr>
          </w:p>
        </w:tc>
        <w:tc>
          <w:tcPr>
            <w:tcW w:w="836" w:type="dxa"/>
            <w:noWrap w:val="0"/>
            <w:vAlign w:val="center"/>
          </w:tcPr>
          <w:p w14:paraId="4E8AC245">
            <w:pPr>
              <w:jc w:val="center"/>
              <w:rPr>
                <w:rFonts w:hint="eastAsia" w:ascii="宋体" w:hAnsi="宋体" w:cs="宋体"/>
                <w:color w:val="auto"/>
                <w:spacing w:val="20"/>
                <w:highlight w:val="none"/>
              </w:rPr>
            </w:pPr>
          </w:p>
        </w:tc>
        <w:tc>
          <w:tcPr>
            <w:tcW w:w="2480" w:type="dxa"/>
            <w:noWrap w:val="0"/>
            <w:vAlign w:val="center"/>
          </w:tcPr>
          <w:p w14:paraId="1DBA393A">
            <w:pPr>
              <w:jc w:val="center"/>
              <w:rPr>
                <w:rFonts w:hint="eastAsia" w:ascii="宋体" w:hAnsi="宋体" w:cs="宋体"/>
                <w:color w:val="auto"/>
                <w:spacing w:val="20"/>
                <w:highlight w:val="none"/>
              </w:rPr>
            </w:pPr>
          </w:p>
        </w:tc>
      </w:tr>
      <w:tr w14:paraId="260D24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3FB9F701">
            <w:pPr>
              <w:jc w:val="center"/>
              <w:rPr>
                <w:rFonts w:hint="eastAsia" w:ascii="宋体" w:hAnsi="宋体" w:cs="宋体"/>
                <w:color w:val="auto"/>
                <w:spacing w:val="20"/>
                <w:highlight w:val="none"/>
              </w:rPr>
            </w:pPr>
          </w:p>
        </w:tc>
        <w:tc>
          <w:tcPr>
            <w:tcW w:w="1671" w:type="dxa"/>
            <w:noWrap w:val="0"/>
            <w:vAlign w:val="center"/>
          </w:tcPr>
          <w:p w14:paraId="6E1E7329">
            <w:pPr>
              <w:widowControl/>
              <w:spacing w:line="400" w:lineRule="exact"/>
              <w:jc w:val="center"/>
              <w:rPr>
                <w:rFonts w:hint="eastAsia" w:ascii="宋体" w:hAnsi="宋体" w:cs="宋体"/>
                <w:color w:val="auto"/>
                <w:sz w:val="24"/>
                <w:highlight w:val="none"/>
              </w:rPr>
            </w:pPr>
          </w:p>
        </w:tc>
        <w:tc>
          <w:tcPr>
            <w:tcW w:w="1322" w:type="dxa"/>
            <w:noWrap w:val="0"/>
            <w:vAlign w:val="center"/>
          </w:tcPr>
          <w:p w14:paraId="599DF483">
            <w:pPr>
              <w:jc w:val="center"/>
              <w:rPr>
                <w:rFonts w:hint="eastAsia" w:ascii="宋体" w:hAnsi="宋体" w:cs="宋体"/>
                <w:color w:val="auto"/>
                <w:spacing w:val="20"/>
                <w:highlight w:val="none"/>
              </w:rPr>
            </w:pPr>
          </w:p>
        </w:tc>
        <w:tc>
          <w:tcPr>
            <w:tcW w:w="2019" w:type="dxa"/>
            <w:noWrap w:val="0"/>
            <w:vAlign w:val="center"/>
          </w:tcPr>
          <w:p w14:paraId="00400FF9">
            <w:pPr>
              <w:jc w:val="center"/>
              <w:rPr>
                <w:rFonts w:hint="eastAsia" w:ascii="宋体" w:hAnsi="宋体" w:cs="宋体"/>
                <w:color w:val="auto"/>
                <w:spacing w:val="20"/>
                <w:highlight w:val="none"/>
              </w:rPr>
            </w:pPr>
          </w:p>
        </w:tc>
        <w:tc>
          <w:tcPr>
            <w:tcW w:w="836" w:type="dxa"/>
            <w:noWrap w:val="0"/>
            <w:vAlign w:val="center"/>
          </w:tcPr>
          <w:p w14:paraId="33CCAA53">
            <w:pPr>
              <w:jc w:val="center"/>
              <w:rPr>
                <w:rFonts w:hint="eastAsia" w:ascii="宋体" w:hAnsi="宋体" w:cs="宋体"/>
                <w:color w:val="auto"/>
                <w:spacing w:val="20"/>
                <w:highlight w:val="none"/>
              </w:rPr>
            </w:pPr>
          </w:p>
        </w:tc>
        <w:tc>
          <w:tcPr>
            <w:tcW w:w="2480" w:type="dxa"/>
            <w:noWrap w:val="0"/>
            <w:vAlign w:val="center"/>
          </w:tcPr>
          <w:p w14:paraId="732263FE">
            <w:pPr>
              <w:jc w:val="center"/>
              <w:rPr>
                <w:rFonts w:hint="eastAsia" w:ascii="宋体" w:hAnsi="宋体" w:cs="宋体"/>
                <w:color w:val="auto"/>
                <w:spacing w:val="20"/>
                <w:highlight w:val="none"/>
              </w:rPr>
            </w:pPr>
          </w:p>
        </w:tc>
      </w:tr>
      <w:tr w14:paraId="3BF725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69C1FB49">
            <w:pPr>
              <w:jc w:val="center"/>
              <w:rPr>
                <w:rFonts w:hint="eastAsia" w:ascii="宋体" w:hAnsi="宋体" w:cs="宋体"/>
                <w:color w:val="auto"/>
                <w:spacing w:val="20"/>
                <w:highlight w:val="none"/>
              </w:rPr>
            </w:pPr>
          </w:p>
        </w:tc>
        <w:tc>
          <w:tcPr>
            <w:tcW w:w="1671" w:type="dxa"/>
            <w:noWrap w:val="0"/>
            <w:vAlign w:val="center"/>
          </w:tcPr>
          <w:p w14:paraId="6EC91B12">
            <w:pPr>
              <w:jc w:val="center"/>
              <w:rPr>
                <w:rFonts w:hint="eastAsia" w:ascii="宋体" w:hAnsi="宋体" w:cs="宋体"/>
                <w:color w:val="auto"/>
                <w:spacing w:val="20"/>
                <w:highlight w:val="none"/>
              </w:rPr>
            </w:pPr>
          </w:p>
        </w:tc>
        <w:tc>
          <w:tcPr>
            <w:tcW w:w="1322" w:type="dxa"/>
            <w:noWrap w:val="0"/>
            <w:vAlign w:val="center"/>
          </w:tcPr>
          <w:p w14:paraId="657D738C">
            <w:pPr>
              <w:jc w:val="center"/>
              <w:rPr>
                <w:rFonts w:hint="eastAsia" w:ascii="宋体" w:hAnsi="宋体" w:cs="宋体"/>
                <w:color w:val="auto"/>
                <w:spacing w:val="20"/>
                <w:highlight w:val="none"/>
              </w:rPr>
            </w:pPr>
          </w:p>
        </w:tc>
        <w:tc>
          <w:tcPr>
            <w:tcW w:w="2019" w:type="dxa"/>
            <w:noWrap w:val="0"/>
            <w:vAlign w:val="center"/>
          </w:tcPr>
          <w:p w14:paraId="5BA9563E">
            <w:pPr>
              <w:jc w:val="center"/>
              <w:rPr>
                <w:rFonts w:hint="eastAsia" w:ascii="宋体" w:hAnsi="宋体" w:cs="宋体"/>
                <w:color w:val="auto"/>
                <w:spacing w:val="20"/>
                <w:highlight w:val="none"/>
              </w:rPr>
            </w:pPr>
          </w:p>
        </w:tc>
        <w:tc>
          <w:tcPr>
            <w:tcW w:w="836" w:type="dxa"/>
            <w:noWrap w:val="0"/>
            <w:vAlign w:val="center"/>
          </w:tcPr>
          <w:p w14:paraId="5A55092E">
            <w:pPr>
              <w:jc w:val="center"/>
              <w:rPr>
                <w:rFonts w:hint="eastAsia" w:ascii="宋体" w:hAnsi="宋体" w:cs="宋体"/>
                <w:color w:val="auto"/>
                <w:spacing w:val="20"/>
                <w:highlight w:val="none"/>
              </w:rPr>
            </w:pPr>
          </w:p>
        </w:tc>
        <w:tc>
          <w:tcPr>
            <w:tcW w:w="2480" w:type="dxa"/>
            <w:noWrap w:val="0"/>
            <w:vAlign w:val="center"/>
          </w:tcPr>
          <w:p w14:paraId="18AF4188">
            <w:pPr>
              <w:jc w:val="center"/>
              <w:rPr>
                <w:rFonts w:hint="eastAsia" w:ascii="宋体" w:hAnsi="宋体" w:cs="宋体"/>
                <w:color w:val="auto"/>
                <w:spacing w:val="20"/>
                <w:highlight w:val="none"/>
              </w:rPr>
            </w:pPr>
          </w:p>
        </w:tc>
      </w:tr>
      <w:tr w14:paraId="68ED7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2483BF94">
            <w:pPr>
              <w:jc w:val="center"/>
              <w:rPr>
                <w:rFonts w:hint="eastAsia" w:ascii="宋体" w:hAnsi="宋体" w:cs="宋体"/>
                <w:color w:val="auto"/>
                <w:spacing w:val="20"/>
                <w:highlight w:val="none"/>
              </w:rPr>
            </w:pPr>
          </w:p>
        </w:tc>
        <w:tc>
          <w:tcPr>
            <w:tcW w:w="1671" w:type="dxa"/>
            <w:noWrap w:val="0"/>
            <w:vAlign w:val="center"/>
          </w:tcPr>
          <w:p w14:paraId="2474F633">
            <w:pPr>
              <w:jc w:val="center"/>
              <w:rPr>
                <w:rFonts w:hint="eastAsia" w:ascii="宋体" w:hAnsi="宋体" w:cs="宋体"/>
                <w:color w:val="auto"/>
                <w:spacing w:val="20"/>
                <w:highlight w:val="none"/>
              </w:rPr>
            </w:pPr>
          </w:p>
        </w:tc>
        <w:tc>
          <w:tcPr>
            <w:tcW w:w="1322" w:type="dxa"/>
            <w:noWrap w:val="0"/>
            <w:vAlign w:val="center"/>
          </w:tcPr>
          <w:p w14:paraId="05DD724E">
            <w:pPr>
              <w:jc w:val="center"/>
              <w:rPr>
                <w:rFonts w:hint="eastAsia" w:ascii="宋体" w:hAnsi="宋体" w:cs="宋体"/>
                <w:color w:val="auto"/>
                <w:spacing w:val="20"/>
                <w:highlight w:val="none"/>
              </w:rPr>
            </w:pPr>
          </w:p>
        </w:tc>
        <w:tc>
          <w:tcPr>
            <w:tcW w:w="2019" w:type="dxa"/>
            <w:noWrap w:val="0"/>
            <w:vAlign w:val="center"/>
          </w:tcPr>
          <w:p w14:paraId="3DCA093C">
            <w:pPr>
              <w:jc w:val="center"/>
              <w:rPr>
                <w:rFonts w:hint="eastAsia" w:ascii="宋体" w:hAnsi="宋体" w:cs="宋体"/>
                <w:color w:val="auto"/>
                <w:spacing w:val="20"/>
                <w:highlight w:val="none"/>
              </w:rPr>
            </w:pPr>
          </w:p>
        </w:tc>
        <w:tc>
          <w:tcPr>
            <w:tcW w:w="836" w:type="dxa"/>
            <w:noWrap w:val="0"/>
            <w:vAlign w:val="center"/>
          </w:tcPr>
          <w:p w14:paraId="644C6BF7">
            <w:pPr>
              <w:jc w:val="center"/>
              <w:rPr>
                <w:rFonts w:hint="eastAsia" w:ascii="宋体" w:hAnsi="宋体" w:cs="宋体"/>
                <w:color w:val="auto"/>
                <w:spacing w:val="20"/>
                <w:highlight w:val="none"/>
              </w:rPr>
            </w:pPr>
          </w:p>
        </w:tc>
        <w:tc>
          <w:tcPr>
            <w:tcW w:w="2480" w:type="dxa"/>
            <w:noWrap w:val="0"/>
            <w:vAlign w:val="center"/>
          </w:tcPr>
          <w:p w14:paraId="3A2C4434">
            <w:pPr>
              <w:jc w:val="center"/>
              <w:rPr>
                <w:rFonts w:hint="eastAsia" w:ascii="宋体" w:hAnsi="宋体" w:cs="宋体"/>
                <w:color w:val="auto"/>
                <w:spacing w:val="20"/>
                <w:highlight w:val="none"/>
              </w:rPr>
            </w:pPr>
          </w:p>
        </w:tc>
      </w:tr>
      <w:tr w14:paraId="139822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1EB886F">
            <w:pPr>
              <w:jc w:val="center"/>
              <w:rPr>
                <w:rFonts w:hint="eastAsia" w:ascii="宋体" w:hAnsi="宋体" w:cs="宋体"/>
                <w:color w:val="auto"/>
                <w:spacing w:val="20"/>
                <w:highlight w:val="none"/>
              </w:rPr>
            </w:pPr>
          </w:p>
        </w:tc>
        <w:tc>
          <w:tcPr>
            <w:tcW w:w="1671" w:type="dxa"/>
            <w:noWrap w:val="0"/>
            <w:vAlign w:val="top"/>
          </w:tcPr>
          <w:p w14:paraId="5508BA98">
            <w:pPr>
              <w:widowControl/>
              <w:spacing w:line="400" w:lineRule="exact"/>
              <w:jc w:val="center"/>
              <w:rPr>
                <w:rFonts w:hint="eastAsia" w:ascii="宋体" w:hAnsi="宋体" w:cs="宋体"/>
                <w:color w:val="auto"/>
                <w:sz w:val="24"/>
                <w:highlight w:val="none"/>
              </w:rPr>
            </w:pPr>
          </w:p>
        </w:tc>
        <w:tc>
          <w:tcPr>
            <w:tcW w:w="1322" w:type="dxa"/>
            <w:noWrap w:val="0"/>
            <w:vAlign w:val="center"/>
          </w:tcPr>
          <w:p w14:paraId="6BEDF87C">
            <w:pPr>
              <w:jc w:val="center"/>
              <w:rPr>
                <w:rFonts w:hint="eastAsia" w:ascii="宋体" w:hAnsi="宋体" w:cs="宋体"/>
                <w:color w:val="auto"/>
                <w:spacing w:val="20"/>
                <w:highlight w:val="none"/>
              </w:rPr>
            </w:pPr>
          </w:p>
        </w:tc>
        <w:tc>
          <w:tcPr>
            <w:tcW w:w="2019" w:type="dxa"/>
            <w:noWrap w:val="0"/>
            <w:vAlign w:val="center"/>
          </w:tcPr>
          <w:p w14:paraId="356F226F">
            <w:pPr>
              <w:jc w:val="center"/>
              <w:rPr>
                <w:rFonts w:hint="eastAsia" w:ascii="宋体" w:hAnsi="宋体" w:cs="宋体"/>
                <w:color w:val="auto"/>
                <w:spacing w:val="20"/>
                <w:highlight w:val="none"/>
              </w:rPr>
            </w:pPr>
          </w:p>
        </w:tc>
        <w:tc>
          <w:tcPr>
            <w:tcW w:w="836" w:type="dxa"/>
            <w:noWrap w:val="0"/>
            <w:vAlign w:val="center"/>
          </w:tcPr>
          <w:p w14:paraId="7EBC8146">
            <w:pPr>
              <w:jc w:val="center"/>
              <w:rPr>
                <w:rFonts w:hint="eastAsia" w:ascii="宋体" w:hAnsi="宋体" w:cs="宋体"/>
                <w:color w:val="auto"/>
                <w:spacing w:val="20"/>
                <w:highlight w:val="none"/>
              </w:rPr>
            </w:pPr>
          </w:p>
        </w:tc>
        <w:tc>
          <w:tcPr>
            <w:tcW w:w="2480" w:type="dxa"/>
            <w:noWrap w:val="0"/>
            <w:vAlign w:val="center"/>
          </w:tcPr>
          <w:p w14:paraId="6D46E2B3">
            <w:pPr>
              <w:jc w:val="center"/>
              <w:rPr>
                <w:rFonts w:hint="eastAsia" w:ascii="宋体" w:hAnsi="宋体" w:cs="宋体"/>
                <w:color w:val="auto"/>
                <w:spacing w:val="20"/>
                <w:highlight w:val="none"/>
              </w:rPr>
            </w:pPr>
          </w:p>
        </w:tc>
      </w:tr>
      <w:tr w14:paraId="4FBCEA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2D095A2">
            <w:pPr>
              <w:jc w:val="center"/>
              <w:rPr>
                <w:rFonts w:hint="eastAsia" w:ascii="宋体" w:hAnsi="宋体" w:cs="宋体"/>
                <w:color w:val="auto"/>
                <w:spacing w:val="20"/>
                <w:highlight w:val="none"/>
              </w:rPr>
            </w:pPr>
          </w:p>
        </w:tc>
        <w:tc>
          <w:tcPr>
            <w:tcW w:w="1671" w:type="dxa"/>
            <w:noWrap w:val="0"/>
            <w:vAlign w:val="top"/>
          </w:tcPr>
          <w:p w14:paraId="32E4D3E4">
            <w:pPr>
              <w:widowControl/>
              <w:spacing w:line="400" w:lineRule="exact"/>
              <w:jc w:val="center"/>
              <w:rPr>
                <w:rFonts w:hint="eastAsia" w:ascii="宋体" w:hAnsi="宋体" w:cs="宋体"/>
                <w:color w:val="auto"/>
                <w:sz w:val="24"/>
                <w:highlight w:val="none"/>
              </w:rPr>
            </w:pPr>
          </w:p>
        </w:tc>
        <w:tc>
          <w:tcPr>
            <w:tcW w:w="1322" w:type="dxa"/>
            <w:noWrap w:val="0"/>
            <w:vAlign w:val="center"/>
          </w:tcPr>
          <w:p w14:paraId="0EA38A7C">
            <w:pPr>
              <w:jc w:val="center"/>
              <w:rPr>
                <w:rFonts w:hint="eastAsia" w:ascii="宋体" w:hAnsi="宋体" w:cs="宋体"/>
                <w:color w:val="auto"/>
                <w:spacing w:val="20"/>
                <w:highlight w:val="none"/>
              </w:rPr>
            </w:pPr>
          </w:p>
        </w:tc>
        <w:tc>
          <w:tcPr>
            <w:tcW w:w="2019" w:type="dxa"/>
            <w:noWrap w:val="0"/>
            <w:vAlign w:val="center"/>
          </w:tcPr>
          <w:p w14:paraId="053EF29D">
            <w:pPr>
              <w:jc w:val="center"/>
              <w:rPr>
                <w:rFonts w:hint="eastAsia" w:ascii="宋体" w:hAnsi="宋体" w:cs="宋体"/>
                <w:color w:val="auto"/>
                <w:spacing w:val="20"/>
                <w:highlight w:val="none"/>
              </w:rPr>
            </w:pPr>
          </w:p>
        </w:tc>
        <w:tc>
          <w:tcPr>
            <w:tcW w:w="836" w:type="dxa"/>
            <w:noWrap w:val="0"/>
            <w:vAlign w:val="center"/>
          </w:tcPr>
          <w:p w14:paraId="2EF4595F">
            <w:pPr>
              <w:jc w:val="center"/>
              <w:rPr>
                <w:rFonts w:hint="eastAsia" w:ascii="宋体" w:hAnsi="宋体" w:cs="宋体"/>
                <w:color w:val="auto"/>
                <w:spacing w:val="20"/>
                <w:highlight w:val="none"/>
              </w:rPr>
            </w:pPr>
          </w:p>
        </w:tc>
        <w:tc>
          <w:tcPr>
            <w:tcW w:w="2480" w:type="dxa"/>
            <w:noWrap w:val="0"/>
            <w:vAlign w:val="center"/>
          </w:tcPr>
          <w:p w14:paraId="4A58C32D">
            <w:pPr>
              <w:jc w:val="center"/>
              <w:rPr>
                <w:rFonts w:hint="eastAsia" w:ascii="宋体" w:hAnsi="宋体" w:cs="宋体"/>
                <w:color w:val="auto"/>
                <w:spacing w:val="20"/>
                <w:highlight w:val="none"/>
              </w:rPr>
            </w:pPr>
          </w:p>
        </w:tc>
      </w:tr>
      <w:tr w14:paraId="5A47A9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729AF8BE">
            <w:pPr>
              <w:jc w:val="center"/>
              <w:rPr>
                <w:rFonts w:hint="eastAsia" w:ascii="宋体" w:hAnsi="宋体" w:cs="宋体"/>
                <w:color w:val="auto"/>
                <w:spacing w:val="20"/>
                <w:highlight w:val="none"/>
              </w:rPr>
            </w:pPr>
          </w:p>
        </w:tc>
        <w:tc>
          <w:tcPr>
            <w:tcW w:w="1671" w:type="dxa"/>
            <w:noWrap w:val="0"/>
            <w:vAlign w:val="top"/>
          </w:tcPr>
          <w:p w14:paraId="1702ACEF">
            <w:pPr>
              <w:widowControl/>
              <w:spacing w:line="400" w:lineRule="exact"/>
              <w:jc w:val="center"/>
              <w:rPr>
                <w:rFonts w:hint="eastAsia" w:ascii="宋体" w:hAnsi="宋体" w:cs="宋体"/>
                <w:color w:val="auto"/>
                <w:sz w:val="24"/>
                <w:highlight w:val="none"/>
              </w:rPr>
            </w:pPr>
          </w:p>
        </w:tc>
        <w:tc>
          <w:tcPr>
            <w:tcW w:w="1322" w:type="dxa"/>
            <w:noWrap w:val="0"/>
            <w:vAlign w:val="center"/>
          </w:tcPr>
          <w:p w14:paraId="46CDEBD3">
            <w:pPr>
              <w:jc w:val="center"/>
              <w:rPr>
                <w:rFonts w:hint="eastAsia" w:ascii="宋体" w:hAnsi="宋体" w:cs="宋体"/>
                <w:color w:val="auto"/>
                <w:spacing w:val="20"/>
                <w:highlight w:val="none"/>
              </w:rPr>
            </w:pPr>
          </w:p>
        </w:tc>
        <w:tc>
          <w:tcPr>
            <w:tcW w:w="2019" w:type="dxa"/>
            <w:noWrap w:val="0"/>
            <w:vAlign w:val="center"/>
          </w:tcPr>
          <w:p w14:paraId="524D7F8A">
            <w:pPr>
              <w:jc w:val="center"/>
              <w:rPr>
                <w:rFonts w:hint="eastAsia" w:ascii="宋体" w:hAnsi="宋体" w:cs="宋体"/>
                <w:color w:val="auto"/>
                <w:spacing w:val="20"/>
                <w:highlight w:val="none"/>
              </w:rPr>
            </w:pPr>
          </w:p>
        </w:tc>
        <w:tc>
          <w:tcPr>
            <w:tcW w:w="836" w:type="dxa"/>
            <w:noWrap w:val="0"/>
            <w:vAlign w:val="center"/>
          </w:tcPr>
          <w:p w14:paraId="0934854D">
            <w:pPr>
              <w:jc w:val="center"/>
              <w:rPr>
                <w:rFonts w:hint="eastAsia" w:ascii="宋体" w:hAnsi="宋体" w:cs="宋体"/>
                <w:color w:val="auto"/>
                <w:spacing w:val="20"/>
                <w:highlight w:val="none"/>
              </w:rPr>
            </w:pPr>
          </w:p>
        </w:tc>
        <w:tc>
          <w:tcPr>
            <w:tcW w:w="2480" w:type="dxa"/>
            <w:noWrap w:val="0"/>
            <w:vAlign w:val="center"/>
          </w:tcPr>
          <w:p w14:paraId="0CC7488C">
            <w:pPr>
              <w:jc w:val="center"/>
              <w:rPr>
                <w:rFonts w:hint="eastAsia" w:ascii="宋体" w:hAnsi="宋体" w:cs="宋体"/>
                <w:color w:val="auto"/>
                <w:spacing w:val="20"/>
                <w:highlight w:val="none"/>
              </w:rPr>
            </w:pPr>
          </w:p>
        </w:tc>
      </w:tr>
      <w:tr w14:paraId="5973F8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468850AC">
            <w:pPr>
              <w:jc w:val="center"/>
              <w:rPr>
                <w:rFonts w:hint="eastAsia" w:ascii="宋体" w:hAnsi="宋体" w:cs="宋体"/>
                <w:color w:val="auto"/>
                <w:spacing w:val="20"/>
                <w:highlight w:val="none"/>
              </w:rPr>
            </w:pPr>
          </w:p>
        </w:tc>
        <w:tc>
          <w:tcPr>
            <w:tcW w:w="1671" w:type="dxa"/>
            <w:noWrap w:val="0"/>
            <w:vAlign w:val="center"/>
          </w:tcPr>
          <w:p w14:paraId="6A65EC1C">
            <w:pPr>
              <w:jc w:val="center"/>
              <w:rPr>
                <w:rFonts w:hint="eastAsia" w:ascii="宋体" w:hAnsi="宋体" w:cs="宋体"/>
                <w:color w:val="auto"/>
                <w:spacing w:val="20"/>
                <w:highlight w:val="none"/>
              </w:rPr>
            </w:pPr>
          </w:p>
        </w:tc>
        <w:tc>
          <w:tcPr>
            <w:tcW w:w="1322" w:type="dxa"/>
            <w:noWrap w:val="0"/>
            <w:vAlign w:val="center"/>
          </w:tcPr>
          <w:p w14:paraId="54C6A06E">
            <w:pPr>
              <w:jc w:val="center"/>
              <w:rPr>
                <w:rFonts w:hint="eastAsia" w:ascii="宋体" w:hAnsi="宋体" w:cs="宋体"/>
                <w:color w:val="auto"/>
                <w:spacing w:val="20"/>
                <w:highlight w:val="none"/>
              </w:rPr>
            </w:pPr>
          </w:p>
        </w:tc>
        <w:tc>
          <w:tcPr>
            <w:tcW w:w="2019" w:type="dxa"/>
            <w:noWrap w:val="0"/>
            <w:vAlign w:val="center"/>
          </w:tcPr>
          <w:p w14:paraId="4AEE2AEE">
            <w:pPr>
              <w:jc w:val="center"/>
              <w:rPr>
                <w:rFonts w:hint="eastAsia" w:ascii="宋体" w:hAnsi="宋体" w:cs="宋体"/>
                <w:color w:val="auto"/>
                <w:spacing w:val="20"/>
                <w:highlight w:val="none"/>
              </w:rPr>
            </w:pPr>
          </w:p>
        </w:tc>
        <w:tc>
          <w:tcPr>
            <w:tcW w:w="836" w:type="dxa"/>
            <w:noWrap w:val="0"/>
            <w:vAlign w:val="center"/>
          </w:tcPr>
          <w:p w14:paraId="71860B1B">
            <w:pPr>
              <w:jc w:val="center"/>
              <w:rPr>
                <w:rFonts w:hint="eastAsia" w:ascii="宋体" w:hAnsi="宋体" w:cs="宋体"/>
                <w:color w:val="auto"/>
                <w:spacing w:val="20"/>
                <w:highlight w:val="none"/>
              </w:rPr>
            </w:pPr>
          </w:p>
        </w:tc>
        <w:tc>
          <w:tcPr>
            <w:tcW w:w="2480" w:type="dxa"/>
            <w:noWrap w:val="0"/>
            <w:vAlign w:val="center"/>
          </w:tcPr>
          <w:p w14:paraId="2D7EDA1D">
            <w:pPr>
              <w:jc w:val="center"/>
              <w:rPr>
                <w:rFonts w:hint="eastAsia" w:ascii="宋体" w:hAnsi="宋体" w:cs="宋体"/>
                <w:color w:val="auto"/>
                <w:spacing w:val="20"/>
                <w:highlight w:val="none"/>
              </w:rPr>
            </w:pPr>
          </w:p>
        </w:tc>
      </w:tr>
      <w:tr w14:paraId="6D382F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6AC79720">
            <w:pPr>
              <w:jc w:val="center"/>
              <w:rPr>
                <w:rFonts w:hint="eastAsia" w:ascii="宋体" w:hAnsi="宋体" w:cs="宋体"/>
                <w:color w:val="auto"/>
                <w:spacing w:val="20"/>
                <w:highlight w:val="none"/>
              </w:rPr>
            </w:pPr>
          </w:p>
        </w:tc>
        <w:tc>
          <w:tcPr>
            <w:tcW w:w="1671" w:type="dxa"/>
            <w:noWrap w:val="0"/>
            <w:vAlign w:val="center"/>
          </w:tcPr>
          <w:p w14:paraId="500C1012">
            <w:pPr>
              <w:jc w:val="center"/>
              <w:rPr>
                <w:rFonts w:hint="eastAsia" w:ascii="宋体" w:hAnsi="宋体" w:cs="宋体"/>
                <w:color w:val="auto"/>
                <w:spacing w:val="20"/>
                <w:highlight w:val="none"/>
              </w:rPr>
            </w:pPr>
          </w:p>
        </w:tc>
        <w:tc>
          <w:tcPr>
            <w:tcW w:w="1322" w:type="dxa"/>
            <w:noWrap w:val="0"/>
            <w:vAlign w:val="center"/>
          </w:tcPr>
          <w:p w14:paraId="4E978162">
            <w:pPr>
              <w:jc w:val="center"/>
              <w:rPr>
                <w:rFonts w:hint="eastAsia" w:ascii="宋体" w:hAnsi="宋体" w:cs="宋体"/>
                <w:color w:val="auto"/>
                <w:spacing w:val="20"/>
                <w:highlight w:val="none"/>
              </w:rPr>
            </w:pPr>
          </w:p>
        </w:tc>
        <w:tc>
          <w:tcPr>
            <w:tcW w:w="2019" w:type="dxa"/>
            <w:noWrap w:val="0"/>
            <w:vAlign w:val="center"/>
          </w:tcPr>
          <w:p w14:paraId="7DDFBE2E">
            <w:pPr>
              <w:jc w:val="center"/>
              <w:rPr>
                <w:rFonts w:hint="eastAsia" w:ascii="宋体" w:hAnsi="宋体" w:cs="宋体"/>
                <w:color w:val="auto"/>
                <w:spacing w:val="20"/>
                <w:highlight w:val="none"/>
              </w:rPr>
            </w:pPr>
          </w:p>
        </w:tc>
        <w:tc>
          <w:tcPr>
            <w:tcW w:w="836" w:type="dxa"/>
            <w:noWrap w:val="0"/>
            <w:vAlign w:val="center"/>
          </w:tcPr>
          <w:p w14:paraId="2FA5671A">
            <w:pPr>
              <w:jc w:val="center"/>
              <w:rPr>
                <w:rFonts w:hint="eastAsia" w:ascii="宋体" w:hAnsi="宋体" w:cs="宋体"/>
                <w:color w:val="auto"/>
                <w:spacing w:val="20"/>
                <w:highlight w:val="none"/>
              </w:rPr>
            </w:pPr>
          </w:p>
        </w:tc>
        <w:tc>
          <w:tcPr>
            <w:tcW w:w="2480" w:type="dxa"/>
            <w:noWrap w:val="0"/>
            <w:vAlign w:val="center"/>
          </w:tcPr>
          <w:p w14:paraId="708BE151">
            <w:pPr>
              <w:jc w:val="center"/>
              <w:rPr>
                <w:rFonts w:hint="eastAsia" w:ascii="宋体" w:hAnsi="宋体" w:cs="宋体"/>
                <w:color w:val="auto"/>
                <w:spacing w:val="20"/>
                <w:highlight w:val="none"/>
              </w:rPr>
            </w:pPr>
          </w:p>
        </w:tc>
      </w:tr>
      <w:tr w14:paraId="7E3929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02916985">
            <w:pPr>
              <w:jc w:val="center"/>
              <w:rPr>
                <w:rFonts w:hint="eastAsia" w:ascii="宋体" w:hAnsi="宋体" w:cs="宋体"/>
                <w:color w:val="auto"/>
                <w:spacing w:val="20"/>
                <w:highlight w:val="none"/>
              </w:rPr>
            </w:pPr>
          </w:p>
        </w:tc>
        <w:tc>
          <w:tcPr>
            <w:tcW w:w="1671" w:type="dxa"/>
            <w:noWrap w:val="0"/>
            <w:vAlign w:val="top"/>
          </w:tcPr>
          <w:p w14:paraId="5AAC8DCE">
            <w:pPr>
              <w:widowControl/>
              <w:spacing w:line="400" w:lineRule="exact"/>
              <w:jc w:val="center"/>
              <w:rPr>
                <w:rFonts w:hint="eastAsia" w:ascii="宋体" w:hAnsi="宋体" w:cs="宋体"/>
                <w:color w:val="auto"/>
                <w:sz w:val="24"/>
                <w:highlight w:val="none"/>
              </w:rPr>
            </w:pPr>
          </w:p>
        </w:tc>
        <w:tc>
          <w:tcPr>
            <w:tcW w:w="1322" w:type="dxa"/>
            <w:noWrap w:val="0"/>
            <w:vAlign w:val="center"/>
          </w:tcPr>
          <w:p w14:paraId="7A89F8C3">
            <w:pPr>
              <w:jc w:val="center"/>
              <w:rPr>
                <w:rFonts w:hint="eastAsia" w:ascii="宋体" w:hAnsi="宋体" w:cs="宋体"/>
                <w:color w:val="auto"/>
                <w:spacing w:val="20"/>
                <w:highlight w:val="none"/>
              </w:rPr>
            </w:pPr>
          </w:p>
        </w:tc>
        <w:tc>
          <w:tcPr>
            <w:tcW w:w="2019" w:type="dxa"/>
            <w:noWrap w:val="0"/>
            <w:vAlign w:val="center"/>
          </w:tcPr>
          <w:p w14:paraId="45DE1325">
            <w:pPr>
              <w:jc w:val="center"/>
              <w:rPr>
                <w:rFonts w:hint="eastAsia" w:ascii="宋体" w:hAnsi="宋体" w:cs="宋体"/>
                <w:color w:val="auto"/>
                <w:spacing w:val="20"/>
                <w:highlight w:val="none"/>
              </w:rPr>
            </w:pPr>
          </w:p>
        </w:tc>
        <w:tc>
          <w:tcPr>
            <w:tcW w:w="836" w:type="dxa"/>
            <w:noWrap w:val="0"/>
            <w:vAlign w:val="center"/>
          </w:tcPr>
          <w:p w14:paraId="422B70AF">
            <w:pPr>
              <w:jc w:val="center"/>
              <w:rPr>
                <w:rFonts w:hint="eastAsia" w:ascii="宋体" w:hAnsi="宋体" w:cs="宋体"/>
                <w:color w:val="auto"/>
                <w:spacing w:val="20"/>
                <w:highlight w:val="none"/>
              </w:rPr>
            </w:pPr>
          </w:p>
        </w:tc>
        <w:tc>
          <w:tcPr>
            <w:tcW w:w="2480" w:type="dxa"/>
            <w:noWrap w:val="0"/>
            <w:vAlign w:val="center"/>
          </w:tcPr>
          <w:p w14:paraId="6FB1D72B">
            <w:pPr>
              <w:jc w:val="center"/>
              <w:rPr>
                <w:rFonts w:hint="eastAsia" w:ascii="宋体" w:hAnsi="宋体" w:cs="宋体"/>
                <w:color w:val="auto"/>
                <w:spacing w:val="20"/>
                <w:highlight w:val="none"/>
              </w:rPr>
            </w:pPr>
          </w:p>
        </w:tc>
      </w:tr>
      <w:tr w14:paraId="6BBA2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42A969ED">
            <w:pPr>
              <w:jc w:val="center"/>
              <w:rPr>
                <w:rFonts w:hint="eastAsia" w:ascii="宋体" w:hAnsi="宋体" w:cs="宋体"/>
                <w:color w:val="auto"/>
                <w:spacing w:val="20"/>
                <w:highlight w:val="none"/>
              </w:rPr>
            </w:pPr>
          </w:p>
        </w:tc>
        <w:tc>
          <w:tcPr>
            <w:tcW w:w="1671" w:type="dxa"/>
            <w:noWrap w:val="0"/>
            <w:vAlign w:val="top"/>
          </w:tcPr>
          <w:p w14:paraId="2DA6E50B">
            <w:pPr>
              <w:widowControl/>
              <w:spacing w:line="400" w:lineRule="exact"/>
              <w:jc w:val="center"/>
              <w:rPr>
                <w:rFonts w:hint="eastAsia" w:ascii="宋体" w:hAnsi="宋体" w:cs="宋体"/>
                <w:color w:val="auto"/>
                <w:sz w:val="24"/>
                <w:highlight w:val="none"/>
              </w:rPr>
            </w:pPr>
          </w:p>
        </w:tc>
        <w:tc>
          <w:tcPr>
            <w:tcW w:w="1322" w:type="dxa"/>
            <w:noWrap w:val="0"/>
            <w:vAlign w:val="center"/>
          </w:tcPr>
          <w:p w14:paraId="27347DE9">
            <w:pPr>
              <w:jc w:val="center"/>
              <w:rPr>
                <w:rFonts w:hint="eastAsia" w:ascii="宋体" w:hAnsi="宋体" w:cs="宋体"/>
                <w:color w:val="auto"/>
                <w:spacing w:val="20"/>
                <w:highlight w:val="none"/>
              </w:rPr>
            </w:pPr>
          </w:p>
        </w:tc>
        <w:tc>
          <w:tcPr>
            <w:tcW w:w="2019" w:type="dxa"/>
            <w:noWrap w:val="0"/>
            <w:vAlign w:val="center"/>
          </w:tcPr>
          <w:p w14:paraId="61E0F099">
            <w:pPr>
              <w:jc w:val="center"/>
              <w:rPr>
                <w:rFonts w:hint="eastAsia" w:ascii="宋体" w:hAnsi="宋体" w:cs="宋体"/>
                <w:color w:val="auto"/>
                <w:spacing w:val="20"/>
                <w:highlight w:val="none"/>
              </w:rPr>
            </w:pPr>
          </w:p>
        </w:tc>
        <w:tc>
          <w:tcPr>
            <w:tcW w:w="836" w:type="dxa"/>
            <w:noWrap w:val="0"/>
            <w:vAlign w:val="center"/>
          </w:tcPr>
          <w:p w14:paraId="4A4AC7CC">
            <w:pPr>
              <w:jc w:val="center"/>
              <w:rPr>
                <w:rFonts w:hint="eastAsia" w:ascii="宋体" w:hAnsi="宋体" w:cs="宋体"/>
                <w:color w:val="auto"/>
                <w:spacing w:val="20"/>
                <w:highlight w:val="none"/>
              </w:rPr>
            </w:pPr>
          </w:p>
        </w:tc>
        <w:tc>
          <w:tcPr>
            <w:tcW w:w="2480" w:type="dxa"/>
            <w:noWrap w:val="0"/>
            <w:vAlign w:val="center"/>
          </w:tcPr>
          <w:p w14:paraId="37CF5010">
            <w:pPr>
              <w:jc w:val="center"/>
              <w:rPr>
                <w:rFonts w:hint="eastAsia" w:ascii="宋体" w:hAnsi="宋体" w:cs="宋体"/>
                <w:color w:val="auto"/>
                <w:spacing w:val="20"/>
                <w:highlight w:val="none"/>
              </w:rPr>
            </w:pPr>
          </w:p>
        </w:tc>
      </w:tr>
      <w:tr w14:paraId="42A73D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14:paraId="1860FA1B">
            <w:pPr>
              <w:jc w:val="center"/>
              <w:rPr>
                <w:rFonts w:hint="eastAsia" w:ascii="宋体" w:hAnsi="宋体" w:cs="宋体"/>
                <w:color w:val="auto"/>
                <w:spacing w:val="20"/>
                <w:highlight w:val="none"/>
              </w:rPr>
            </w:pPr>
          </w:p>
        </w:tc>
        <w:tc>
          <w:tcPr>
            <w:tcW w:w="1671" w:type="dxa"/>
            <w:noWrap w:val="0"/>
            <w:vAlign w:val="top"/>
          </w:tcPr>
          <w:p w14:paraId="674F3973">
            <w:pPr>
              <w:widowControl/>
              <w:spacing w:line="400" w:lineRule="exact"/>
              <w:jc w:val="center"/>
              <w:rPr>
                <w:rFonts w:hint="eastAsia" w:ascii="宋体" w:hAnsi="宋体" w:cs="宋体"/>
                <w:color w:val="auto"/>
                <w:sz w:val="24"/>
                <w:highlight w:val="none"/>
              </w:rPr>
            </w:pPr>
          </w:p>
        </w:tc>
        <w:tc>
          <w:tcPr>
            <w:tcW w:w="1322" w:type="dxa"/>
            <w:noWrap w:val="0"/>
            <w:vAlign w:val="center"/>
          </w:tcPr>
          <w:p w14:paraId="7EA24002">
            <w:pPr>
              <w:jc w:val="center"/>
              <w:rPr>
                <w:rFonts w:hint="eastAsia" w:ascii="宋体" w:hAnsi="宋体" w:cs="宋体"/>
                <w:color w:val="auto"/>
                <w:spacing w:val="20"/>
                <w:highlight w:val="none"/>
              </w:rPr>
            </w:pPr>
          </w:p>
        </w:tc>
        <w:tc>
          <w:tcPr>
            <w:tcW w:w="2019" w:type="dxa"/>
            <w:noWrap w:val="0"/>
            <w:vAlign w:val="center"/>
          </w:tcPr>
          <w:p w14:paraId="592AA37C">
            <w:pPr>
              <w:jc w:val="center"/>
              <w:rPr>
                <w:rFonts w:hint="eastAsia" w:ascii="宋体" w:hAnsi="宋体" w:cs="宋体"/>
                <w:color w:val="auto"/>
                <w:spacing w:val="20"/>
                <w:highlight w:val="none"/>
              </w:rPr>
            </w:pPr>
          </w:p>
        </w:tc>
        <w:tc>
          <w:tcPr>
            <w:tcW w:w="836" w:type="dxa"/>
            <w:noWrap w:val="0"/>
            <w:vAlign w:val="center"/>
          </w:tcPr>
          <w:p w14:paraId="6FE55F29">
            <w:pPr>
              <w:jc w:val="center"/>
              <w:rPr>
                <w:rFonts w:hint="eastAsia" w:ascii="宋体" w:hAnsi="宋体" w:cs="宋体"/>
                <w:color w:val="auto"/>
                <w:spacing w:val="20"/>
                <w:highlight w:val="none"/>
              </w:rPr>
            </w:pPr>
          </w:p>
        </w:tc>
        <w:tc>
          <w:tcPr>
            <w:tcW w:w="2480" w:type="dxa"/>
            <w:noWrap w:val="0"/>
            <w:vAlign w:val="center"/>
          </w:tcPr>
          <w:p w14:paraId="67ABB5E1">
            <w:pPr>
              <w:jc w:val="center"/>
              <w:rPr>
                <w:rFonts w:hint="eastAsia" w:ascii="宋体" w:hAnsi="宋体" w:cs="宋体"/>
                <w:color w:val="auto"/>
                <w:spacing w:val="20"/>
                <w:highlight w:val="none"/>
              </w:rPr>
            </w:pPr>
          </w:p>
        </w:tc>
      </w:tr>
    </w:tbl>
    <w:p w14:paraId="0FBD4DDA">
      <w:pPr>
        <w:rPr>
          <w:rFonts w:ascii="宋体"/>
          <w:bCs/>
          <w:color w:val="auto"/>
          <w:kern w:val="0"/>
          <w:sz w:val="22"/>
          <w:szCs w:val="22"/>
          <w:highlight w:val="none"/>
        </w:rPr>
      </w:pPr>
    </w:p>
    <w:p w14:paraId="653F3140">
      <w:pPr>
        <w:pStyle w:val="11"/>
        <w:snapToGrid w:val="0"/>
        <w:spacing w:line="324" w:lineRule="auto"/>
        <w:rPr>
          <w:rFonts w:hAnsi="宋体"/>
          <w:color w:val="auto"/>
          <w:sz w:val="22"/>
          <w:szCs w:val="22"/>
          <w:highlight w:val="none"/>
        </w:rPr>
      </w:pPr>
    </w:p>
    <w:p w14:paraId="5D373569">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供应商全称（公章）：</w:t>
      </w:r>
    </w:p>
    <w:p w14:paraId="0CCBDAD4">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法定代表人或授权代表（签字或签章）：</w:t>
      </w:r>
    </w:p>
    <w:p w14:paraId="34074A83">
      <w:pPr>
        <w:pStyle w:val="11"/>
        <w:snapToGrid w:val="0"/>
        <w:spacing w:line="324" w:lineRule="auto"/>
        <w:rPr>
          <w:rFonts w:hAnsi="宋体"/>
          <w:b/>
          <w:color w:val="auto"/>
          <w:sz w:val="30"/>
          <w:szCs w:val="30"/>
          <w:highlight w:val="none"/>
        </w:rPr>
      </w:pPr>
      <w:r>
        <w:rPr>
          <w:rFonts w:hint="eastAsia" w:hAnsi="宋体"/>
          <w:color w:val="auto"/>
          <w:sz w:val="22"/>
          <w:szCs w:val="22"/>
          <w:highlight w:val="none"/>
        </w:rPr>
        <w:t>日期：</w:t>
      </w:r>
    </w:p>
    <w:p w14:paraId="3CFCD987">
      <w:pPr>
        <w:adjustRightInd w:val="0"/>
        <w:snapToGrid w:val="0"/>
        <w:spacing w:line="360" w:lineRule="auto"/>
        <w:rPr>
          <w:rFonts w:ascii="宋体"/>
          <w:color w:val="auto"/>
          <w:sz w:val="10"/>
          <w:szCs w:val="10"/>
          <w:highlight w:val="none"/>
        </w:rPr>
      </w:pPr>
    </w:p>
    <w:p w14:paraId="3DDB2731">
      <w:pPr>
        <w:pStyle w:val="78"/>
        <w:rPr>
          <w:rFonts w:ascii="宋体"/>
          <w:color w:val="auto"/>
          <w:sz w:val="10"/>
          <w:szCs w:val="10"/>
          <w:highlight w:val="none"/>
        </w:rPr>
      </w:pPr>
    </w:p>
    <w:p w14:paraId="05AE161E">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607F9D3E">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20151146">
      <w:pPr>
        <w:pStyle w:val="6"/>
        <w:rPr>
          <w:rFonts w:hint="eastAsia" w:ascii="Arial" w:hAnsi="Arial" w:eastAsia="宋体" w:cs="Times New Roman"/>
          <w:b/>
          <w:color w:val="auto"/>
          <w:sz w:val="32"/>
          <w:highlight w:val="none"/>
          <w:lang w:val="en-US" w:eastAsia="zh-CN"/>
        </w:rPr>
      </w:pPr>
      <w:r>
        <w:rPr>
          <w:rFonts w:ascii="宋体"/>
          <w:color w:val="auto"/>
          <w:sz w:val="10"/>
          <w:szCs w:val="10"/>
          <w:highlight w:val="none"/>
        </w:rPr>
        <w:br w:type="page"/>
      </w:r>
      <w:r>
        <w:rPr>
          <w:rFonts w:hint="eastAsia" w:ascii="Arial" w:hAnsi="Arial" w:eastAsia="宋体" w:cs="Times New Roman"/>
          <w:b/>
          <w:color w:val="auto"/>
          <w:sz w:val="32"/>
          <w:highlight w:val="none"/>
          <w:lang w:val="en-US" w:eastAsia="zh-CN"/>
        </w:rPr>
        <w:t>3.11 “★”技术条款项评分对应表</w:t>
      </w:r>
    </w:p>
    <w:p w14:paraId="3436E0CF">
      <w:pPr>
        <w:pStyle w:val="18"/>
        <w:rPr>
          <w:rFonts w:hint="eastAsia"/>
          <w:color w:val="auto"/>
          <w:highlight w:val="none"/>
          <w:lang w:val="en-US" w:eastAsia="zh-CN"/>
        </w:rPr>
      </w:pPr>
    </w:p>
    <w:tbl>
      <w:tblPr>
        <w:tblStyle w:val="20"/>
        <w:tblW w:w="0" w:type="auto"/>
        <w:tblInd w:w="-192" w:type="dxa"/>
        <w:tblLayout w:type="fixed"/>
        <w:tblCellMar>
          <w:top w:w="0" w:type="dxa"/>
          <w:left w:w="108" w:type="dxa"/>
          <w:bottom w:w="0" w:type="dxa"/>
          <w:right w:w="108" w:type="dxa"/>
        </w:tblCellMar>
      </w:tblPr>
      <w:tblGrid>
        <w:gridCol w:w="900"/>
        <w:gridCol w:w="1800"/>
        <w:gridCol w:w="2008"/>
        <w:gridCol w:w="2919"/>
        <w:gridCol w:w="2173"/>
      </w:tblGrid>
      <w:tr w14:paraId="1993157F">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14:paraId="7F7D5927">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14:paraId="08329642">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008" w:type="dxa"/>
            <w:tcBorders>
              <w:top w:val="single" w:color="auto" w:sz="6" w:space="0"/>
              <w:left w:val="single" w:color="auto" w:sz="6" w:space="0"/>
              <w:bottom w:val="single" w:color="auto" w:sz="6" w:space="0"/>
              <w:right w:val="single" w:color="auto" w:sz="6" w:space="0"/>
            </w:tcBorders>
            <w:noWrap w:val="0"/>
            <w:vAlign w:val="center"/>
          </w:tcPr>
          <w:p w14:paraId="75CD5FEB">
            <w:pPr>
              <w:autoSpaceDE w:val="0"/>
              <w:autoSpaceDN w:val="0"/>
              <w:adjustRightInd w:val="0"/>
              <w:spacing w:line="440" w:lineRule="atLeast"/>
              <w:jc w:val="center"/>
              <w:rPr>
                <w:rFonts w:hint="default" w:eastAsia="宋体"/>
                <w:b/>
                <w:color w:val="auto"/>
                <w:highlight w:val="none"/>
                <w:lang w:val="en-US" w:eastAsia="zh-CN"/>
              </w:rPr>
            </w:pPr>
            <w:r>
              <w:rPr>
                <w:rFonts w:hint="eastAsia"/>
                <w:b/>
                <w:color w:val="auto"/>
                <w:highlight w:val="none"/>
                <w:lang w:val="zh-CN"/>
              </w:rPr>
              <w:t>招标文件</w:t>
            </w:r>
            <w:r>
              <w:rPr>
                <w:rFonts w:hint="eastAsia"/>
                <w:b/>
                <w:color w:val="auto"/>
                <w:highlight w:val="none"/>
                <w:lang w:val="en-US" w:eastAsia="zh-CN"/>
              </w:rPr>
              <w:t>技术条款</w:t>
            </w:r>
          </w:p>
        </w:tc>
        <w:tc>
          <w:tcPr>
            <w:tcW w:w="2919" w:type="dxa"/>
            <w:tcBorders>
              <w:top w:val="single" w:color="auto" w:sz="6" w:space="0"/>
              <w:left w:val="single" w:color="auto" w:sz="6" w:space="0"/>
              <w:bottom w:val="single" w:color="auto" w:sz="6" w:space="0"/>
              <w:right w:val="single" w:color="auto" w:sz="6" w:space="0"/>
            </w:tcBorders>
            <w:noWrap w:val="0"/>
            <w:vAlign w:val="center"/>
          </w:tcPr>
          <w:p w14:paraId="443D3A27">
            <w:pPr>
              <w:autoSpaceDE w:val="0"/>
              <w:autoSpaceDN w:val="0"/>
              <w:adjustRightInd w:val="0"/>
              <w:spacing w:line="440" w:lineRule="atLeast"/>
              <w:jc w:val="center"/>
              <w:rPr>
                <w:rFonts w:hint="default" w:eastAsia="宋体"/>
                <w:b/>
                <w:color w:val="auto"/>
                <w:highlight w:val="none"/>
                <w:lang w:val="en-US" w:eastAsia="zh-CN"/>
              </w:rPr>
            </w:pPr>
            <w:r>
              <w:rPr>
                <w:rFonts w:hint="eastAsia"/>
                <w:b/>
                <w:color w:val="auto"/>
                <w:highlight w:val="none"/>
                <w:lang w:val="zh-CN"/>
              </w:rPr>
              <w:t>投标文件对应</w:t>
            </w:r>
            <w:r>
              <w:rPr>
                <w:rFonts w:hint="eastAsia"/>
                <w:b/>
                <w:color w:val="auto"/>
                <w:highlight w:val="none"/>
                <w:lang w:val="en-US" w:eastAsia="zh-CN"/>
              </w:rPr>
              <w:t>技术条款</w:t>
            </w:r>
          </w:p>
        </w:tc>
        <w:tc>
          <w:tcPr>
            <w:tcW w:w="2173" w:type="dxa"/>
            <w:tcBorders>
              <w:top w:val="single" w:color="auto" w:sz="6" w:space="0"/>
              <w:left w:val="single" w:color="auto" w:sz="6" w:space="0"/>
              <w:bottom w:val="single" w:color="auto" w:sz="6" w:space="0"/>
              <w:right w:val="single" w:color="auto" w:sz="6" w:space="0"/>
            </w:tcBorders>
            <w:noWrap w:val="0"/>
            <w:vAlign w:val="center"/>
          </w:tcPr>
          <w:p w14:paraId="06D53598">
            <w:pPr>
              <w:autoSpaceDE w:val="0"/>
              <w:autoSpaceDN w:val="0"/>
              <w:adjustRightInd w:val="0"/>
              <w:spacing w:line="440" w:lineRule="atLeast"/>
              <w:jc w:val="center"/>
              <w:rPr>
                <w:rFonts w:hint="eastAsia" w:eastAsia="宋体"/>
                <w:b/>
                <w:color w:val="auto"/>
                <w:highlight w:val="none"/>
                <w:lang w:val="zh-CN" w:eastAsia="zh-CN"/>
              </w:rPr>
            </w:pPr>
            <w:r>
              <w:rPr>
                <w:rFonts w:hint="eastAsia"/>
                <w:b/>
                <w:color w:val="auto"/>
                <w:highlight w:val="none"/>
                <w:lang w:val="zh-CN"/>
              </w:rPr>
              <w:t>投标文件</w:t>
            </w:r>
            <w:r>
              <w:rPr>
                <w:rFonts w:hint="eastAsia"/>
                <w:b/>
                <w:color w:val="auto"/>
                <w:highlight w:val="none"/>
                <w:lang w:val="en-US" w:eastAsia="zh-CN"/>
              </w:rPr>
              <w:t>页码</w:t>
            </w:r>
          </w:p>
        </w:tc>
      </w:tr>
      <w:tr w14:paraId="36E221CF">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A146427">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71781EA">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C6C3D8A">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6C3781BF">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E455ED7">
            <w:pPr>
              <w:autoSpaceDE w:val="0"/>
              <w:autoSpaceDN w:val="0"/>
              <w:adjustRightInd w:val="0"/>
              <w:spacing w:line="440" w:lineRule="atLeast"/>
              <w:jc w:val="center"/>
              <w:rPr>
                <w:b/>
                <w:color w:val="auto"/>
                <w:highlight w:val="none"/>
                <w:lang w:val="zh-CN"/>
              </w:rPr>
            </w:pPr>
          </w:p>
        </w:tc>
      </w:tr>
      <w:tr w14:paraId="7E8D4A2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03C1EE6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E865FD0">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6A3A280E">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132F2759">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78ADE437">
            <w:pPr>
              <w:autoSpaceDE w:val="0"/>
              <w:autoSpaceDN w:val="0"/>
              <w:adjustRightInd w:val="0"/>
              <w:spacing w:line="440" w:lineRule="atLeast"/>
              <w:jc w:val="center"/>
              <w:rPr>
                <w:b/>
                <w:color w:val="auto"/>
                <w:highlight w:val="none"/>
                <w:lang w:val="zh-CN"/>
              </w:rPr>
            </w:pPr>
          </w:p>
        </w:tc>
      </w:tr>
      <w:tr w14:paraId="5617B6D7">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561C575">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0A5B5828">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33E8345C">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10F6D65C">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5CC09933">
            <w:pPr>
              <w:autoSpaceDE w:val="0"/>
              <w:autoSpaceDN w:val="0"/>
              <w:adjustRightInd w:val="0"/>
              <w:spacing w:line="440" w:lineRule="atLeast"/>
              <w:jc w:val="center"/>
              <w:rPr>
                <w:b/>
                <w:color w:val="auto"/>
                <w:highlight w:val="none"/>
                <w:lang w:val="zh-CN"/>
              </w:rPr>
            </w:pPr>
          </w:p>
        </w:tc>
      </w:tr>
      <w:tr w14:paraId="2F92F251">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DFC09D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E8B81EF">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5EE669A9">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029CA036">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5B0CF87D">
            <w:pPr>
              <w:autoSpaceDE w:val="0"/>
              <w:autoSpaceDN w:val="0"/>
              <w:adjustRightInd w:val="0"/>
              <w:spacing w:line="440" w:lineRule="atLeast"/>
              <w:jc w:val="center"/>
              <w:rPr>
                <w:b/>
                <w:color w:val="auto"/>
                <w:highlight w:val="none"/>
                <w:lang w:val="zh-CN"/>
              </w:rPr>
            </w:pPr>
          </w:p>
        </w:tc>
      </w:tr>
      <w:tr w14:paraId="4E8DC9EB">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F436ACE">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5F4A47F9">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432146D2">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37DB5488">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2EF9A3E9">
            <w:pPr>
              <w:autoSpaceDE w:val="0"/>
              <w:autoSpaceDN w:val="0"/>
              <w:adjustRightInd w:val="0"/>
              <w:spacing w:line="440" w:lineRule="atLeast"/>
              <w:jc w:val="center"/>
              <w:rPr>
                <w:b/>
                <w:color w:val="auto"/>
                <w:highlight w:val="none"/>
                <w:lang w:val="zh-CN"/>
              </w:rPr>
            </w:pPr>
          </w:p>
        </w:tc>
      </w:tr>
      <w:tr w14:paraId="2FCA6FA6">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08C65A6">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DCBD4C0">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9F469F5">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81BED81">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69EBD541">
            <w:pPr>
              <w:autoSpaceDE w:val="0"/>
              <w:autoSpaceDN w:val="0"/>
              <w:adjustRightInd w:val="0"/>
              <w:spacing w:line="440" w:lineRule="atLeast"/>
              <w:jc w:val="center"/>
              <w:rPr>
                <w:b/>
                <w:color w:val="auto"/>
                <w:highlight w:val="none"/>
                <w:lang w:val="zh-CN"/>
              </w:rPr>
            </w:pPr>
          </w:p>
        </w:tc>
      </w:tr>
      <w:tr w14:paraId="17AD50B5">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12EF14E9">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12798099">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6B53AEB">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2482E37">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730091E">
            <w:pPr>
              <w:autoSpaceDE w:val="0"/>
              <w:autoSpaceDN w:val="0"/>
              <w:adjustRightInd w:val="0"/>
              <w:spacing w:line="440" w:lineRule="atLeast"/>
              <w:jc w:val="center"/>
              <w:rPr>
                <w:b/>
                <w:color w:val="auto"/>
                <w:highlight w:val="none"/>
                <w:lang w:val="zh-CN"/>
              </w:rPr>
            </w:pPr>
          </w:p>
        </w:tc>
      </w:tr>
      <w:tr w14:paraId="2E061429">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CF3819B">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6CC108CB">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4E87C5DF">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0C82DB9E">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681B3D97">
            <w:pPr>
              <w:autoSpaceDE w:val="0"/>
              <w:autoSpaceDN w:val="0"/>
              <w:adjustRightInd w:val="0"/>
              <w:spacing w:line="440" w:lineRule="atLeast"/>
              <w:jc w:val="center"/>
              <w:rPr>
                <w:b/>
                <w:color w:val="auto"/>
                <w:highlight w:val="none"/>
                <w:lang w:val="zh-CN"/>
              </w:rPr>
            </w:pPr>
          </w:p>
        </w:tc>
      </w:tr>
      <w:tr w14:paraId="1CF59F12">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3FD9DA10">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2573D88B">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D283F41">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5F9C18FB">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09EB3D47">
            <w:pPr>
              <w:autoSpaceDE w:val="0"/>
              <w:autoSpaceDN w:val="0"/>
              <w:adjustRightInd w:val="0"/>
              <w:spacing w:line="440" w:lineRule="atLeast"/>
              <w:jc w:val="center"/>
              <w:rPr>
                <w:b/>
                <w:color w:val="auto"/>
                <w:highlight w:val="none"/>
                <w:lang w:val="zh-CN"/>
              </w:rPr>
            </w:pPr>
          </w:p>
        </w:tc>
      </w:tr>
      <w:tr w14:paraId="08DF6B1A">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14:paraId="2E1A1219">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14:paraId="7F97475A">
            <w:pPr>
              <w:autoSpaceDE w:val="0"/>
              <w:autoSpaceDN w:val="0"/>
              <w:adjustRightInd w:val="0"/>
              <w:spacing w:line="440" w:lineRule="atLeast"/>
              <w:jc w:val="center"/>
              <w:rPr>
                <w:b/>
                <w:color w:val="auto"/>
                <w:highlight w:val="none"/>
                <w:lang w:val="zh-CN"/>
              </w:rPr>
            </w:pPr>
          </w:p>
        </w:tc>
        <w:tc>
          <w:tcPr>
            <w:tcW w:w="2008" w:type="dxa"/>
            <w:tcBorders>
              <w:top w:val="single" w:color="auto" w:sz="6" w:space="0"/>
              <w:left w:val="single" w:color="auto" w:sz="6" w:space="0"/>
              <w:bottom w:val="single" w:color="auto" w:sz="6" w:space="0"/>
              <w:right w:val="single" w:color="auto" w:sz="6" w:space="0"/>
            </w:tcBorders>
            <w:noWrap w:val="0"/>
            <w:vAlign w:val="top"/>
          </w:tcPr>
          <w:p w14:paraId="7998FA9E">
            <w:pPr>
              <w:autoSpaceDE w:val="0"/>
              <w:autoSpaceDN w:val="0"/>
              <w:adjustRightInd w:val="0"/>
              <w:spacing w:line="440" w:lineRule="atLeast"/>
              <w:jc w:val="center"/>
              <w:rPr>
                <w:b/>
                <w:color w:val="auto"/>
                <w:highlight w:val="none"/>
                <w:lang w:val="zh-CN"/>
              </w:rPr>
            </w:pPr>
          </w:p>
        </w:tc>
        <w:tc>
          <w:tcPr>
            <w:tcW w:w="2919" w:type="dxa"/>
            <w:tcBorders>
              <w:top w:val="single" w:color="auto" w:sz="6" w:space="0"/>
              <w:left w:val="single" w:color="auto" w:sz="6" w:space="0"/>
              <w:bottom w:val="single" w:color="auto" w:sz="6" w:space="0"/>
              <w:right w:val="single" w:color="auto" w:sz="6" w:space="0"/>
            </w:tcBorders>
            <w:noWrap w:val="0"/>
            <w:vAlign w:val="top"/>
          </w:tcPr>
          <w:p w14:paraId="2BD1DDBD">
            <w:pPr>
              <w:autoSpaceDE w:val="0"/>
              <w:autoSpaceDN w:val="0"/>
              <w:adjustRightInd w:val="0"/>
              <w:spacing w:line="440" w:lineRule="atLeast"/>
              <w:jc w:val="center"/>
              <w:rPr>
                <w:b/>
                <w:color w:val="auto"/>
                <w:highlight w:val="none"/>
                <w:lang w:val="zh-CN"/>
              </w:rPr>
            </w:pPr>
          </w:p>
        </w:tc>
        <w:tc>
          <w:tcPr>
            <w:tcW w:w="2173" w:type="dxa"/>
            <w:tcBorders>
              <w:top w:val="single" w:color="auto" w:sz="6" w:space="0"/>
              <w:left w:val="single" w:color="auto" w:sz="6" w:space="0"/>
              <w:bottom w:val="single" w:color="auto" w:sz="6" w:space="0"/>
              <w:right w:val="single" w:color="auto" w:sz="6" w:space="0"/>
            </w:tcBorders>
            <w:noWrap w:val="0"/>
            <w:vAlign w:val="top"/>
          </w:tcPr>
          <w:p w14:paraId="363514BE">
            <w:pPr>
              <w:autoSpaceDE w:val="0"/>
              <w:autoSpaceDN w:val="0"/>
              <w:adjustRightInd w:val="0"/>
              <w:spacing w:line="440" w:lineRule="atLeast"/>
              <w:jc w:val="center"/>
              <w:rPr>
                <w:b/>
                <w:color w:val="auto"/>
                <w:highlight w:val="none"/>
                <w:lang w:val="zh-CN"/>
              </w:rPr>
            </w:pPr>
          </w:p>
        </w:tc>
      </w:tr>
    </w:tbl>
    <w:p w14:paraId="66D780F8">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供应商全称（公章）：</w:t>
      </w:r>
    </w:p>
    <w:p w14:paraId="7B900719">
      <w:pPr>
        <w:spacing w:line="360" w:lineRule="auto"/>
        <w:ind w:right="-21" w:rightChars="-10"/>
        <w:rPr>
          <w:rFonts w:ascii="宋体"/>
          <w:color w:val="auto"/>
          <w:sz w:val="22"/>
          <w:szCs w:val="22"/>
          <w:highlight w:val="none"/>
        </w:rPr>
      </w:pPr>
      <w:r>
        <w:rPr>
          <w:rFonts w:hint="eastAsia" w:ascii="宋体" w:hAnsi="宋体"/>
          <w:color w:val="auto"/>
          <w:sz w:val="22"/>
          <w:szCs w:val="22"/>
          <w:highlight w:val="none"/>
        </w:rPr>
        <w:t>法定代表人或授权代表（签字或签章）：</w:t>
      </w:r>
    </w:p>
    <w:p w14:paraId="30560C32">
      <w:pPr>
        <w:pStyle w:val="11"/>
        <w:snapToGrid w:val="0"/>
        <w:spacing w:line="324" w:lineRule="auto"/>
        <w:rPr>
          <w:rFonts w:hAnsi="宋体"/>
          <w:b/>
          <w:color w:val="auto"/>
          <w:sz w:val="30"/>
          <w:szCs w:val="30"/>
          <w:highlight w:val="none"/>
        </w:rPr>
      </w:pPr>
      <w:r>
        <w:rPr>
          <w:rFonts w:hint="eastAsia" w:hAnsi="宋体"/>
          <w:color w:val="auto"/>
          <w:sz w:val="22"/>
          <w:szCs w:val="22"/>
          <w:highlight w:val="none"/>
        </w:rPr>
        <w:t>日期：</w:t>
      </w:r>
    </w:p>
    <w:p w14:paraId="33B9D0B8">
      <w:pPr>
        <w:adjustRightInd w:val="0"/>
        <w:snapToGrid w:val="0"/>
        <w:spacing w:line="360" w:lineRule="auto"/>
        <w:rPr>
          <w:rFonts w:ascii="宋体"/>
          <w:color w:val="auto"/>
          <w:sz w:val="10"/>
          <w:szCs w:val="10"/>
          <w:highlight w:val="none"/>
        </w:rPr>
      </w:pPr>
    </w:p>
    <w:p w14:paraId="57A0A790">
      <w:pPr>
        <w:pStyle w:val="78"/>
        <w:rPr>
          <w:rFonts w:ascii="宋体"/>
          <w:color w:val="auto"/>
          <w:sz w:val="10"/>
          <w:szCs w:val="10"/>
          <w:highlight w:val="none"/>
        </w:rPr>
      </w:pPr>
    </w:p>
    <w:p w14:paraId="05876DC1">
      <w:pPr>
        <w:pStyle w:val="18"/>
        <w:rPr>
          <w:rFonts w:hint="eastAsia" w:ascii="宋体" w:hAnsi="宋体" w:eastAsia="宋体" w:cs="宋体"/>
          <w:b/>
          <w:bCs w:val="0"/>
          <w:color w:val="auto"/>
          <w:sz w:val="22"/>
          <w:szCs w:val="22"/>
          <w:highlight w:val="none"/>
        </w:rPr>
      </w:pPr>
      <w:r>
        <w:rPr>
          <w:rFonts w:hint="eastAsia"/>
          <w:b/>
          <w:bCs w:val="0"/>
          <w:color w:val="auto"/>
          <w:highlight w:val="none"/>
          <w:lang w:val="en-US" w:eastAsia="zh-CN"/>
        </w:rPr>
        <w:t>注：</w:t>
      </w:r>
      <w:r>
        <w:rPr>
          <w:rFonts w:hint="eastAsia" w:ascii="宋体" w:hAnsi="宋体" w:eastAsia="宋体" w:cs="宋体"/>
          <w:b/>
          <w:bCs w:val="0"/>
          <w:color w:val="auto"/>
          <w:sz w:val="22"/>
          <w:szCs w:val="22"/>
          <w:highlight w:val="none"/>
        </w:rPr>
        <w:t>技术参数中要求提供证明材料的，</w:t>
      </w:r>
      <w:r>
        <w:rPr>
          <w:rFonts w:hint="eastAsia" w:ascii="宋体" w:hAnsi="宋体" w:eastAsia="宋体" w:cs="宋体"/>
          <w:b/>
          <w:bCs w:val="0"/>
          <w:color w:val="auto"/>
          <w:sz w:val="22"/>
          <w:szCs w:val="22"/>
          <w:highlight w:val="none"/>
          <w:lang w:val="en-US" w:eastAsia="zh-CN"/>
        </w:rPr>
        <w:t>需后附</w:t>
      </w:r>
      <w:r>
        <w:rPr>
          <w:rFonts w:hint="eastAsia" w:ascii="宋体" w:hAnsi="宋体" w:eastAsia="宋体" w:cs="宋体"/>
          <w:b/>
          <w:bCs w:val="0"/>
          <w:color w:val="auto"/>
          <w:sz w:val="22"/>
          <w:szCs w:val="22"/>
          <w:highlight w:val="none"/>
        </w:rPr>
        <w:t>证明材料予以佐证，否则此项不予认可</w:t>
      </w:r>
    </w:p>
    <w:p w14:paraId="6894EAB4">
      <w:pPr>
        <w:pStyle w:val="15"/>
        <w:rPr>
          <w:rFonts w:hint="eastAsia" w:ascii="宋体" w:hAnsi="宋体" w:eastAsia="宋体" w:cs="宋体"/>
          <w:b/>
          <w:bCs w:val="0"/>
          <w:color w:val="auto"/>
          <w:sz w:val="22"/>
          <w:szCs w:val="22"/>
          <w:highlight w:val="none"/>
        </w:rPr>
      </w:pPr>
    </w:p>
    <w:p w14:paraId="0DDB5656">
      <w:pPr>
        <w:rPr>
          <w:rFonts w:hint="eastAsia" w:ascii="宋体" w:hAnsi="宋体" w:eastAsia="宋体" w:cs="宋体"/>
          <w:b/>
          <w:bCs w:val="0"/>
          <w:color w:val="auto"/>
          <w:sz w:val="22"/>
          <w:szCs w:val="22"/>
          <w:highlight w:val="none"/>
        </w:rPr>
      </w:pPr>
    </w:p>
    <w:p w14:paraId="6B6D1A27">
      <w:pPr>
        <w:pStyle w:val="78"/>
        <w:rPr>
          <w:rFonts w:hint="default"/>
          <w:color w:val="auto"/>
          <w:highlight w:val="none"/>
          <w:lang w:val="en-US" w:eastAsia="zh-CN"/>
        </w:rPr>
        <w:sectPr>
          <w:headerReference r:id="rId14" w:type="default"/>
          <w:footerReference r:id="rId15" w:type="default"/>
          <w:pgSz w:w="11907" w:h="16840"/>
          <w:pgMar w:top="1440" w:right="1106" w:bottom="1440" w:left="1157" w:header="720" w:footer="720" w:gutter="0"/>
          <w:pgNumType w:fmt="decimal"/>
          <w:cols w:space="720" w:num="1"/>
          <w:docGrid w:linePitch="312" w:charSpace="0"/>
        </w:sectPr>
      </w:pPr>
    </w:p>
    <w:p w14:paraId="031699F1">
      <w:pPr>
        <w:pStyle w:val="6"/>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t>3.12 产品零件、易损件、备品备件报价表</w:t>
      </w:r>
    </w:p>
    <w:p w14:paraId="70BAFAFA">
      <w:pPr>
        <w:pStyle w:val="11"/>
        <w:adjustRightInd w:val="0"/>
        <w:snapToGrid w:val="0"/>
        <w:spacing w:line="400" w:lineRule="exact"/>
        <w:ind w:firstLine="1440" w:firstLineChars="400"/>
        <w:rPr>
          <w:rFonts w:hAnsi="宋体" w:cs="宋体"/>
          <w:color w:val="auto"/>
          <w:sz w:val="36"/>
          <w:szCs w:val="36"/>
          <w:highlight w:val="none"/>
        </w:rPr>
      </w:pPr>
      <w:r>
        <w:rPr>
          <w:rFonts w:hint="eastAsia" w:hAnsi="宋体" w:cs="宋体"/>
          <w:color w:val="auto"/>
          <w:sz w:val="36"/>
          <w:szCs w:val="36"/>
          <w:highlight w:val="none"/>
        </w:rPr>
        <w:t>产品零件、易损件、备品备件报价表</w:t>
      </w:r>
    </w:p>
    <w:p w14:paraId="7618D628">
      <w:pPr>
        <w:pStyle w:val="11"/>
        <w:adjustRightInd w:val="0"/>
        <w:snapToGrid w:val="0"/>
        <w:spacing w:line="400" w:lineRule="exact"/>
        <w:ind w:firstLine="1440" w:firstLineChars="400"/>
        <w:rPr>
          <w:rFonts w:hAnsi="宋体" w:cs="宋体"/>
          <w:color w:val="auto"/>
          <w:sz w:val="36"/>
          <w:szCs w:val="36"/>
          <w:highlight w:val="none"/>
        </w:rPr>
      </w:pPr>
    </w:p>
    <w:tbl>
      <w:tblPr>
        <w:tblStyle w:val="20"/>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14:paraId="1289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noWrap w:val="0"/>
            <w:vAlign w:val="center"/>
          </w:tcPr>
          <w:p w14:paraId="78C42BA5">
            <w:pPr>
              <w:pStyle w:val="11"/>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序号</w:t>
            </w:r>
          </w:p>
        </w:tc>
        <w:tc>
          <w:tcPr>
            <w:tcW w:w="2642" w:type="dxa"/>
            <w:noWrap w:val="0"/>
            <w:vAlign w:val="center"/>
          </w:tcPr>
          <w:p w14:paraId="2CF93612">
            <w:pPr>
              <w:pStyle w:val="11"/>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名称</w:t>
            </w:r>
          </w:p>
        </w:tc>
        <w:tc>
          <w:tcPr>
            <w:tcW w:w="2604" w:type="dxa"/>
            <w:noWrap w:val="0"/>
            <w:vAlign w:val="center"/>
          </w:tcPr>
          <w:p w14:paraId="3F5BE6B1">
            <w:pPr>
              <w:pStyle w:val="11"/>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产地/规格/型号</w:t>
            </w:r>
          </w:p>
        </w:tc>
        <w:tc>
          <w:tcPr>
            <w:tcW w:w="1136" w:type="dxa"/>
            <w:noWrap w:val="0"/>
            <w:vAlign w:val="center"/>
          </w:tcPr>
          <w:p w14:paraId="047F70B4">
            <w:pPr>
              <w:pStyle w:val="11"/>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数量</w:t>
            </w:r>
          </w:p>
        </w:tc>
        <w:tc>
          <w:tcPr>
            <w:tcW w:w="1149" w:type="dxa"/>
            <w:noWrap w:val="0"/>
            <w:vAlign w:val="center"/>
          </w:tcPr>
          <w:p w14:paraId="5A4346A6">
            <w:pPr>
              <w:pStyle w:val="11"/>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单价</w:t>
            </w:r>
          </w:p>
        </w:tc>
        <w:tc>
          <w:tcPr>
            <w:tcW w:w="2068" w:type="dxa"/>
            <w:noWrap w:val="0"/>
            <w:vAlign w:val="center"/>
          </w:tcPr>
          <w:p w14:paraId="75F58F4C">
            <w:pPr>
              <w:pStyle w:val="11"/>
              <w:adjustRightInd w:val="0"/>
              <w:snapToGrid w:val="0"/>
              <w:spacing w:line="400" w:lineRule="exact"/>
              <w:jc w:val="center"/>
              <w:rPr>
                <w:rFonts w:hAnsi="宋体" w:cs="宋体"/>
                <w:color w:val="auto"/>
                <w:sz w:val="22"/>
                <w:szCs w:val="22"/>
                <w:highlight w:val="none"/>
              </w:rPr>
            </w:pPr>
            <w:r>
              <w:rPr>
                <w:rFonts w:hint="eastAsia" w:hAnsi="宋体" w:cs="宋体"/>
                <w:color w:val="auto"/>
                <w:sz w:val="22"/>
                <w:szCs w:val="22"/>
                <w:highlight w:val="none"/>
              </w:rPr>
              <w:t>备 注</w:t>
            </w:r>
          </w:p>
        </w:tc>
      </w:tr>
      <w:tr w14:paraId="3AC71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74F8F77C">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65C6F140">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544681F">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049534B2">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3A8F2C85">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17A0CE53">
            <w:pPr>
              <w:pStyle w:val="11"/>
              <w:adjustRightInd w:val="0"/>
              <w:snapToGrid w:val="0"/>
              <w:spacing w:line="400" w:lineRule="exact"/>
              <w:jc w:val="center"/>
              <w:rPr>
                <w:rFonts w:hAnsi="宋体" w:cs="宋体"/>
                <w:color w:val="auto"/>
                <w:sz w:val="22"/>
                <w:szCs w:val="22"/>
                <w:highlight w:val="none"/>
              </w:rPr>
            </w:pPr>
          </w:p>
        </w:tc>
      </w:tr>
      <w:tr w14:paraId="196B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43688FC">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2D070F23">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3B388498">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4090F838">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00FB493">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351A11D">
            <w:pPr>
              <w:pStyle w:val="11"/>
              <w:adjustRightInd w:val="0"/>
              <w:snapToGrid w:val="0"/>
              <w:spacing w:line="400" w:lineRule="exact"/>
              <w:jc w:val="center"/>
              <w:rPr>
                <w:rFonts w:hAnsi="宋体" w:cs="宋体"/>
                <w:color w:val="auto"/>
                <w:sz w:val="22"/>
                <w:szCs w:val="22"/>
                <w:highlight w:val="none"/>
              </w:rPr>
            </w:pPr>
          </w:p>
        </w:tc>
      </w:tr>
      <w:tr w14:paraId="0AB59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6A0B5D7">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2D4453D7">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24C3BD51">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8ED429E">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535C06D">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36101D3">
            <w:pPr>
              <w:pStyle w:val="11"/>
              <w:adjustRightInd w:val="0"/>
              <w:snapToGrid w:val="0"/>
              <w:spacing w:line="400" w:lineRule="exact"/>
              <w:jc w:val="center"/>
              <w:rPr>
                <w:rFonts w:hAnsi="宋体" w:cs="宋体"/>
                <w:color w:val="auto"/>
                <w:sz w:val="22"/>
                <w:szCs w:val="22"/>
                <w:highlight w:val="none"/>
              </w:rPr>
            </w:pPr>
          </w:p>
        </w:tc>
      </w:tr>
      <w:tr w14:paraId="5E22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06172DD2">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2225EFC">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3D9DB597">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226249F">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66F246E">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07E43A7">
            <w:pPr>
              <w:pStyle w:val="11"/>
              <w:adjustRightInd w:val="0"/>
              <w:snapToGrid w:val="0"/>
              <w:spacing w:line="400" w:lineRule="exact"/>
              <w:jc w:val="center"/>
              <w:rPr>
                <w:rFonts w:hAnsi="宋体" w:cs="宋体"/>
                <w:color w:val="auto"/>
                <w:sz w:val="22"/>
                <w:szCs w:val="22"/>
                <w:highlight w:val="none"/>
              </w:rPr>
            </w:pPr>
          </w:p>
        </w:tc>
      </w:tr>
      <w:tr w14:paraId="61C2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1C8DED40">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DA03846">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4033D543">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087C8035">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3F6C141A">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5DE469D5">
            <w:pPr>
              <w:pStyle w:val="11"/>
              <w:adjustRightInd w:val="0"/>
              <w:snapToGrid w:val="0"/>
              <w:spacing w:line="400" w:lineRule="exact"/>
              <w:jc w:val="center"/>
              <w:rPr>
                <w:rFonts w:hAnsi="宋体" w:cs="宋体"/>
                <w:color w:val="auto"/>
                <w:sz w:val="22"/>
                <w:szCs w:val="22"/>
                <w:highlight w:val="none"/>
              </w:rPr>
            </w:pPr>
          </w:p>
        </w:tc>
      </w:tr>
      <w:tr w14:paraId="3F93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1DEF2290">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AAEF404">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445C7C9C">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4191F13D">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5E1ACD05">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7A835182">
            <w:pPr>
              <w:pStyle w:val="11"/>
              <w:adjustRightInd w:val="0"/>
              <w:snapToGrid w:val="0"/>
              <w:spacing w:line="400" w:lineRule="exact"/>
              <w:jc w:val="center"/>
              <w:rPr>
                <w:rFonts w:hAnsi="宋体" w:cs="宋体"/>
                <w:color w:val="auto"/>
                <w:sz w:val="22"/>
                <w:szCs w:val="22"/>
                <w:highlight w:val="none"/>
              </w:rPr>
            </w:pPr>
          </w:p>
        </w:tc>
      </w:tr>
      <w:tr w14:paraId="58BD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5E95D940">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69627797">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D76B770">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7F63BB81">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7D493655">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13E8471">
            <w:pPr>
              <w:pStyle w:val="11"/>
              <w:adjustRightInd w:val="0"/>
              <w:snapToGrid w:val="0"/>
              <w:spacing w:line="400" w:lineRule="exact"/>
              <w:jc w:val="center"/>
              <w:rPr>
                <w:rFonts w:hAnsi="宋体" w:cs="宋体"/>
                <w:color w:val="auto"/>
                <w:sz w:val="22"/>
                <w:szCs w:val="22"/>
                <w:highlight w:val="none"/>
              </w:rPr>
            </w:pPr>
          </w:p>
        </w:tc>
      </w:tr>
      <w:tr w14:paraId="1D7F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207B716">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05940B0">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7876CA34">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1F5F28C1">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613241E">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36EE5B59">
            <w:pPr>
              <w:pStyle w:val="11"/>
              <w:adjustRightInd w:val="0"/>
              <w:snapToGrid w:val="0"/>
              <w:spacing w:line="400" w:lineRule="exact"/>
              <w:jc w:val="center"/>
              <w:rPr>
                <w:rFonts w:hAnsi="宋体" w:cs="宋体"/>
                <w:color w:val="auto"/>
                <w:sz w:val="22"/>
                <w:szCs w:val="22"/>
                <w:highlight w:val="none"/>
              </w:rPr>
            </w:pPr>
          </w:p>
        </w:tc>
      </w:tr>
      <w:tr w14:paraId="1968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4A4B61B1">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0700F116">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6CBC4928">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1F8F19A4">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089FD3C9">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45E13382">
            <w:pPr>
              <w:pStyle w:val="11"/>
              <w:adjustRightInd w:val="0"/>
              <w:snapToGrid w:val="0"/>
              <w:spacing w:line="400" w:lineRule="exact"/>
              <w:jc w:val="center"/>
              <w:rPr>
                <w:rFonts w:hAnsi="宋体" w:cs="宋体"/>
                <w:color w:val="auto"/>
                <w:sz w:val="22"/>
                <w:szCs w:val="22"/>
                <w:highlight w:val="none"/>
              </w:rPr>
            </w:pPr>
          </w:p>
        </w:tc>
      </w:tr>
      <w:tr w14:paraId="175E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3448021E">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5E31DBD3">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7E20D873">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336DAA37">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40C5FBA">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7F070FD8">
            <w:pPr>
              <w:pStyle w:val="11"/>
              <w:adjustRightInd w:val="0"/>
              <w:snapToGrid w:val="0"/>
              <w:spacing w:line="400" w:lineRule="exact"/>
              <w:jc w:val="center"/>
              <w:rPr>
                <w:rFonts w:hAnsi="宋体" w:cs="宋体"/>
                <w:color w:val="auto"/>
                <w:sz w:val="22"/>
                <w:szCs w:val="22"/>
                <w:highlight w:val="none"/>
              </w:rPr>
            </w:pPr>
          </w:p>
        </w:tc>
      </w:tr>
      <w:tr w14:paraId="1C30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5C386B08">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11B816CE">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0B3CDD18">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5C8E710F">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15A0DF8A">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189E2284">
            <w:pPr>
              <w:pStyle w:val="11"/>
              <w:adjustRightInd w:val="0"/>
              <w:snapToGrid w:val="0"/>
              <w:spacing w:line="400" w:lineRule="exact"/>
              <w:jc w:val="center"/>
              <w:rPr>
                <w:rFonts w:hAnsi="宋体" w:cs="宋体"/>
                <w:color w:val="auto"/>
                <w:sz w:val="22"/>
                <w:szCs w:val="22"/>
                <w:highlight w:val="none"/>
              </w:rPr>
            </w:pPr>
          </w:p>
        </w:tc>
      </w:tr>
      <w:tr w14:paraId="77DE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0B02DFFF">
            <w:pPr>
              <w:pStyle w:val="11"/>
              <w:adjustRightInd w:val="0"/>
              <w:snapToGrid w:val="0"/>
              <w:spacing w:line="400" w:lineRule="exact"/>
              <w:jc w:val="center"/>
              <w:rPr>
                <w:rFonts w:hAnsi="宋体" w:cs="宋体"/>
                <w:color w:val="auto"/>
                <w:sz w:val="22"/>
                <w:szCs w:val="22"/>
                <w:highlight w:val="none"/>
              </w:rPr>
            </w:pPr>
          </w:p>
        </w:tc>
        <w:tc>
          <w:tcPr>
            <w:tcW w:w="2642" w:type="dxa"/>
            <w:noWrap w:val="0"/>
            <w:vAlign w:val="top"/>
          </w:tcPr>
          <w:p w14:paraId="376FDF3E">
            <w:pPr>
              <w:pStyle w:val="11"/>
              <w:adjustRightInd w:val="0"/>
              <w:snapToGrid w:val="0"/>
              <w:spacing w:line="400" w:lineRule="exact"/>
              <w:jc w:val="center"/>
              <w:rPr>
                <w:rFonts w:hAnsi="宋体" w:cs="宋体"/>
                <w:color w:val="auto"/>
                <w:sz w:val="22"/>
                <w:szCs w:val="22"/>
                <w:highlight w:val="none"/>
              </w:rPr>
            </w:pPr>
          </w:p>
        </w:tc>
        <w:tc>
          <w:tcPr>
            <w:tcW w:w="2604" w:type="dxa"/>
            <w:noWrap w:val="0"/>
            <w:vAlign w:val="top"/>
          </w:tcPr>
          <w:p w14:paraId="58078FE6">
            <w:pPr>
              <w:pStyle w:val="11"/>
              <w:adjustRightInd w:val="0"/>
              <w:snapToGrid w:val="0"/>
              <w:spacing w:line="400" w:lineRule="exact"/>
              <w:jc w:val="center"/>
              <w:rPr>
                <w:rFonts w:hAnsi="宋体" w:cs="宋体"/>
                <w:color w:val="auto"/>
                <w:sz w:val="22"/>
                <w:szCs w:val="22"/>
                <w:highlight w:val="none"/>
              </w:rPr>
            </w:pPr>
          </w:p>
        </w:tc>
        <w:tc>
          <w:tcPr>
            <w:tcW w:w="1136" w:type="dxa"/>
            <w:noWrap w:val="0"/>
            <w:vAlign w:val="top"/>
          </w:tcPr>
          <w:p w14:paraId="64D56270">
            <w:pPr>
              <w:pStyle w:val="11"/>
              <w:adjustRightInd w:val="0"/>
              <w:snapToGrid w:val="0"/>
              <w:spacing w:line="400" w:lineRule="exact"/>
              <w:jc w:val="center"/>
              <w:rPr>
                <w:rFonts w:hAnsi="宋体" w:cs="宋体"/>
                <w:color w:val="auto"/>
                <w:sz w:val="22"/>
                <w:szCs w:val="22"/>
                <w:highlight w:val="none"/>
              </w:rPr>
            </w:pPr>
          </w:p>
        </w:tc>
        <w:tc>
          <w:tcPr>
            <w:tcW w:w="1149" w:type="dxa"/>
            <w:noWrap w:val="0"/>
            <w:vAlign w:val="top"/>
          </w:tcPr>
          <w:p w14:paraId="4974E17F">
            <w:pPr>
              <w:pStyle w:val="11"/>
              <w:adjustRightInd w:val="0"/>
              <w:snapToGrid w:val="0"/>
              <w:spacing w:line="400" w:lineRule="exact"/>
              <w:jc w:val="center"/>
              <w:rPr>
                <w:rFonts w:hAnsi="宋体" w:cs="宋体"/>
                <w:color w:val="auto"/>
                <w:sz w:val="22"/>
                <w:szCs w:val="22"/>
                <w:highlight w:val="none"/>
              </w:rPr>
            </w:pPr>
          </w:p>
        </w:tc>
        <w:tc>
          <w:tcPr>
            <w:tcW w:w="2068" w:type="dxa"/>
            <w:noWrap w:val="0"/>
            <w:vAlign w:val="top"/>
          </w:tcPr>
          <w:p w14:paraId="589269E4">
            <w:pPr>
              <w:pStyle w:val="11"/>
              <w:adjustRightInd w:val="0"/>
              <w:snapToGrid w:val="0"/>
              <w:spacing w:line="400" w:lineRule="exact"/>
              <w:jc w:val="center"/>
              <w:rPr>
                <w:rFonts w:hAnsi="宋体" w:cs="宋体"/>
                <w:color w:val="auto"/>
                <w:sz w:val="22"/>
                <w:szCs w:val="22"/>
                <w:highlight w:val="none"/>
              </w:rPr>
            </w:pPr>
          </w:p>
        </w:tc>
      </w:tr>
      <w:tr w14:paraId="60E9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2E10B727">
            <w:pPr>
              <w:pStyle w:val="11"/>
              <w:adjustRightInd w:val="0"/>
              <w:snapToGrid w:val="0"/>
              <w:spacing w:line="400" w:lineRule="exact"/>
              <w:rPr>
                <w:rFonts w:hAnsi="宋体" w:cs="宋体"/>
                <w:color w:val="auto"/>
                <w:sz w:val="22"/>
                <w:szCs w:val="22"/>
                <w:highlight w:val="none"/>
              </w:rPr>
            </w:pPr>
          </w:p>
        </w:tc>
        <w:tc>
          <w:tcPr>
            <w:tcW w:w="2642" w:type="dxa"/>
            <w:noWrap w:val="0"/>
            <w:vAlign w:val="top"/>
          </w:tcPr>
          <w:p w14:paraId="20BB3FF6">
            <w:pPr>
              <w:pStyle w:val="11"/>
              <w:adjustRightInd w:val="0"/>
              <w:snapToGrid w:val="0"/>
              <w:spacing w:line="400" w:lineRule="exact"/>
              <w:rPr>
                <w:rFonts w:hAnsi="宋体" w:cs="宋体"/>
                <w:color w:val="auto"/>
                <w:sz w:val="22"/>
                <w:szCs w:val="22"/>
                <w:highlight w:val="none"/>
              </w:rPr>
            </w:pPr>
          </w:p>
        </w:tc>
        <w:tc>
          <w:tcPr>
            <w:tcW w:w="2604" w:type="dxa"/>
            <w:noWrap w:val="0"/>
            <w:vAlign w:val="top"/>
          </w:tcPr>
          <w:p w14:paraId="09BAEF2D">
            <w:pPr>
              <w:pStyle w:val="11"/>
              <w:adjustRightInd w:val="0"/>
              <w:snapToGrid w:val="0"/>
              <w:spacing w:line="400" w:lineRule="exact"/>
              <w:rPr>
                <w:rFonts w:hAnsi="宋体" w:cs="宋体"/>
                <w:color w:val="auto"/>
                <w:sz w:val="22"/>
                <w:szCs w:val="22"/>
                <w:highlight w:val="none"/>
              </w:rPr>
            </w:pPr>
          </w:p>
        </w:tc>
        <w:tc>
          <w:tcPr>
            <w:tcW w:w="1136" w:type="dxa"/>
            <w:noWrap w:val="0"/>
            <w:vAlign w:val="top"/>
          </w:tcPr>
          <w:p w14:paraId="78E1D910">
            <w:pPr>
              <w:pStyle w:val="11"/>
              <w:adjustRightInd w:val="0"/>
              <w:snapToGrid w:val="0"/>
              <w:spacing w:line="400" w:lineRule="exact"/>
              <w:rPr>
                <w:rFonts w:hAnsi="宋体" w:cs="宋体"/>
                <w:color w:val="auto"/>
                <w:sz w:val="22"/>
                <w:szCs w:val="22"/>
                <w:highlight w:val="none"/>
              </w:rPr>
            </w:pPr>
          </w:p>
        </w:tc>
        <w:tc>
          <w:tcPr>
            <w:tcW w:w="1149" w:type="dxa"/>
            <w:noWrap w:val="0"/>
            <w:vAlign w:val="top"/>
          </w:tcPr>
          <w:p w14:paraId="2D164DF8">
            <w:pPr>
              <w:pStyle w:val="11"/>
              <w:adjustRightInd w:val="0"/>
              <w:snapToGrid w:val="0"/>
              <w:spacing w:line="400" w:lineRule="exact"/>
              <w:rPr>
                <w:rFonts w:hAnsi="宋体" w:cs="宋体"/>
                <w:color w:val="auto"/>
                <w:sz w:val="22"/>
                <w:szCs w:val="22"/>
                <w:highlight w:val="none"/>
              </w:rPr>
            </w:pPr>
          </w:p>
        </w:tc>
        <w:tc>
          <w:tcPr>
            <w:tcW w:w="2068" w:type="dxa"/>
            <w:noWrap w:val="0"/>
            <w:vAlign w:val="top"/>
          </w:tcPr>
          <w:p w14:paraId="546BD9BC">
            <w:pPr>
              <w:pStyle w:val="11"/>
              <w:adjustRightInd w:val="0"/>
              <w:snapToGrid w:val="0"/>
              <w:spacing w:line="400" w:lineRule="exact"/>
              <w:rPr>
                <w:rFonts w:hAnsi="宋体" w:cs="宋体"/>
                <w:color w:val="auto"/>
                <w:sz w:val="22"/>
                <w:szCs w:val="22"/>
                <w:highlight w:val="none"/>
              </w:rPr>
            </w:pPr>
          </w:p>
        </w:tc>
      </w:tr>
      <w:tr w14:paraId="3FD5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noWrap w:val="0"/>
            <w:vAlign w:val="top"/>
          </w:tcPr>
          <w:p w14:paraId="6DB87525">
            <w:pPr>
              <w:pStyle w:val="11"/>
              <w:adjustRightInd w:val="0"/>
              <w:snapToGrid w:val="0"/>
              <w:spacing w:line="400" w:lineRule="exact"/>
              <w:rPr>
                <w:rFonts w:hAnsi="宋体" w:cs="宋体"/>
                <w:color w:val="auto"/>
                <w:sz w:val="22"/>
                <w:szCs w:val="22"/>
                <w:highlight w:val="none"/>
              </w:rPr>
            </w:pPr>
          </w:p>
        </w:tc>
        <w:tc>
          <w:tcPr>
            <w:tcW w:w="2642" w:type="dxa"/>
            <w:noWrap w:val="0"/>
            <w:vAlign w:val="top"/>
          </w:tcPr>
          <w:p w14:paraId="58B28171">
            <w:pPr>
              <w:pStyle w:val="11"/>
              <w:adjustRightInd w:val="0"/>
              <w:snapToGrid w:val="0"/>
              <w:spacing w:line="400" w:lineRule="exact"/>
              <w:rPr>
                <w:rFonts w:hAnsi="宋体" w:cs="宋体"/>
                <w:color w:val="auto"/>
                <w:sz w:val="22"/>
                <w:szCs w:val="22"/>
                <w:highlight w:val="none"/>
              </w:rPr>
            </w:pPr>
          </w:p>
        </w:tc>
        <w:tc>
          <w:tcPr>
            <w:tcW w:w="2604" w:type="dxa"/>
            <w:noWrap w:val="0"/>
            <w:vAlign w:val="top"/>
          </w:tcPr>
          <w:p w14:paraId="5C0B3ADC">
            <w:pPr>
              <w:pStyle w:val="11"/>
              <w:adjustRightInd w:val="0"/>
              <w:snapToGrid w:val="0"/>
              <w:spacing w:line="400" w:lineRule="exact"/>
              <w:rPr>
                <w:rFonts w:hAnsi="宋体" w:cs="宋体"/>
                <w:color w:val="auto"/>
                <w:sz w:val="22"/>
                <w:szCs w:val="22"/>
                <w:highlight w:val="none"/>
              </w:rPr>
            </w:pPr>
          </w:p>
        </w:tc>
        <w:tc>
          <w:tcPr>
            <w:tcW w:w="1136" w:type="dxa"/>
            <w:noWrap w:val="0"/>
            <w:vAlign w:val="top"/>
          </w:tcPr>
          <w:p w14:paraId="00692AEE">
            <w:pPr>
              <w:pStyle w:val="11"/>
              <w:adjustRightInd w:val="0"/>
              <w:snapToGrid w:val="0"/>
              <w:spacing w:line="400" w:lineRule="exact"/>
              <w:rPr>
                <w:rFonts w:hAnsi="宋体" w:cs="宋体"/>
                <w:color w:val="auto"/>
                <w:sz w:val="22"/>
                <w:szCs w:val="22"/>
                <w:highlight w:val="none"/>
              </w:rPr>
            </w:pPr>
          </w:p>
        </w:tc>
        <w:tc>
          <w:tcPr>
            <w:tcW w:w="1149" w:type="dxa"/>
            <w:noWrap w:val="0"/>
            <w:vAlign w:val="top"/>
          </w:tcPr>
          <w:p w14:paraId="6306E84B">
            <w:pPr>
              <w:pStyle w:val="11"/>
              <w:adjustRightInd w:val="0"/>
              <w:snapToGrid w:val="0"/>
              <w:spacing w:line="400" w:lineRule="exact"/>
              <w:rPr>
                <w:rFonts w:hAnsi="宋体" w:cs="宋体"/>
                <w:color w:val="auto"/>
                <w:sz w:val="22"/>
                <w:szCs w:val="22"/>
                <w:highlight w:val="none"/>
              </w:rPr>
            </w:pPr>
          </w:p>
        </w:tc>
        <w:tc>
          <w:tcPr>
            <w:tcW w:w="2068" w:type="dxa"/>
            <w:noWrap w:val="0"/>
            <w:vAlign w:val="top"/>
          </w:tcPr>
          <w:p w14:paraId="4B8DBB4E">
            <w:pPr>
              <w:pStyle w:val="11"/>
              <w:adjustRightInd w:val="0"/>
              <w:snapToGrid w:val="0"/>
              <w:spacing w:line="400" w:lineRule="exact"/>
              <w:rPr>
                <w:rFonts w:hAnsi="宋体" w:cs="宋体"/>
                <w:color w:val="auto"/>
                <w:sz w:val="22"/>
                <w:szCs w:val="22"/>
                <w:highlight w:val="none"/>
              </w:rPr>
            </w:pPr>
          </w:p>
        </w:tc>
      </w:tr>
    </w:tbl>
    <w:p w14:paraId="72E13160">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供应商（盖章）：</w:t>
      </w:r>
    </w:p>
    <w:p w14:paraId="4D1DA341">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法定代表人或授权代表（签字或签章）：</w:t>
      </w:r>
    </w:p>
    <w:p w14:paraId="7FC40FCC">
      <w:pPr>
        <w:autoSpaceDE w:val="0"/>
        <w:autoSpaceDN w:val="0"/>
        <w:adjustRightInd w:val="0"/>
        <w:spacing w:line="440" w:lineRule="atLeast"/>
        <w:rPr>
          <w:rFonts w:cs="仿宋_GB2312"/>
          <w:color w:val="auto"/>
          <w:sz w:val="22"/>
          <w:highlight w:val="none"/>
          <w:lang w:val="zh-CN"/>
        </w:rPr>
      </w:pPr>
      <w:r>
        <w:rPr>
          <w:rFonts w:hint="eastAsia" w:cs="仿宋_GB2312"/>
          <w:color w:val="auto"/>
          <w:sz w:val="22"/>
          <w:highlight w:val="none"/>
          <w:lang w:val="zh-CN"/>
        </w:rPr>
        <w:t>日期：</w:t>
      </w:r>
    </w:p>
    <w:p w14:paraId="517A346F">
      <w:pPr>
        <w:pStyle w:val="12"/>
        <w:rPr>
          <w:color w:val="auto"/>
          <w:highlight w:val="none"/>
        </w:rPr>
      </w:pPr>
    </w:p>
    <w:p w14:paraId="3EB7F994">
      <w:pPr>
        <w:spacing w:line="360" w:lineRule="auto"/>
        <w:rPr>
          <w:rFonts w:hint="eastAsia" w:ascii="宋体" w:hAnsi="宋体" w:cs="宋体"/>
          <w:color w:val="auto"/>
          <w:sz w:val="22"/>
          <w:szCs w:val="22"/>
          <w:highlight w:val="none"/>
        </w:rPr>
      </w:pPr>
    </w:p>
    <w:p w14:paraId="0A48FDC2">
      <w:pPr>
        <w:spacing w:line="360" w:lineRule="auto"/>
        <w:rPr>
          <w:rFonts w:hint="eastAsia" w:ascii="宋体" w:hAnsi="宋体" w:cs="宋体"/>
          <w:color w:val="auto"/>
          <w:sz w:val="22"/>
          <w:szCs w:val="22"/>
          <w:highlight w:val="none"/>
        </w:rPr>
      </w:pPr>
    </w:p>
    <w:p w14:paraId="5F2F85AF">
      <w:pP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本表为质保期满后供设备使用两年的必备的零件，易损件，专用工具的报价表。由投标商填写，费用不包括在投标总价中，也作为质保期满后采购人选购零件，易损件，专用工具的价格依据。</w:t>
      </w:r>
    </w:p>
    <w:p w14:paraId="32131AEF">
      <w:pPr>
        <w:spacing w:line="360" w:lineRule="auto"/>
        <w:rPr>
          <w:rFonts w:hint="eastAsia" w:ascii="新宋体" w:hAnsi="新宋体" w:eastAsia="新宋体"/>
          <w:b/>
          <w:color w:val="auto"/>
          <w:sz w:val="28"/>
          <w:szCs w:val="28"/>
          <w:highlight w:val="none"/>
        </w:rPr>
      </w:pPr>
    </w:p>
    <w:p w14:paraId="1D017CA3">
      <w:pPr>
        <w:pStyle w:val="6"/>
        <w:rPr>
          <w:rFonts w:hint="eastAsia" w:ascii="新宋体" w:hAnsi="新宋体" w:eastAsia="新宋体"/>
          <w:b/>
          <w:color w:val="auto"/>
          <w:sz w:val="28"/>
          <w:szCs w:val="28"/>
          <w:highlight w:val="none"/>
        </w:rPr>
      </w:pPr>
    </w:p>
    <w:p w14:paraId="715B8C9E">
      <w:pPr>
        <w:rPr>
          <w:rFonts w:hint="eastAsia" w:ascii="新宋体" w:hAnsi="新宋体" w:eastAsia="新宋体"/>
          <w:b/>
          <w:color w:val="auto"/>
          <w:sz w:val="28"/>
          <w:szCs w:val="28"/>
          <w:highlight w:val="none"/>
        </w:rPr>
      </w:pPr>
    </w:p>
    <w:p w14:paraId="5DB62D39">
      <w:pPr>
        <w:pStyle w:val="6"/>
        <w:rPr>
          <w:rFonts w:hint="eastAsia" w:ascii="新宋体" w:hAnsi="新宋体" w:eastAsia="新宋体"/>
          <w:b/>
          <w:color w:val="auto"/>
          <w:sz w:val="28"/>
          <w:szCs w:val="28"/>
          <w:highlight w:val="none"/>
        </w:rPr>
      </w:pPr>
    </w:p>
    <w:p w14:paraId="29717188">
      <w:pPr>
        <w:rPr>
          <w:rFonts w:hint="eastAsia"/>
          <w:color w:val="auto"/>
          <w:highlight w:val="none"/>
        </w:rPr>
      </w:pPr>
    </w:p>
    <w:p w14:paraId="6B1E9D14">
      <w:pPr>
        <w:pStyle w:val="6"/>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br w:type="page"/>
      </w:r>
      <w:r>
        <w:rPr>
          <w:rFonts w:hint="eastAsia" w:ascii="Arial" w:hAnsi="Arial" w:eastAsia="宋体" w:cs="Times New Roman"/>
          <w:b/>
          <w:color w:val="auto"/>
          <w:sz w:val="32"/>
          <w:highlight w:val="none"/>
          <w:lang w:val="en-US" w:eastAsia="zh-CN"/>
        </w:rPr>
        <w:t>3.13真实应标的承诺书</w:t>
      </w:r>
    </w:p>
    <w:p w14:paraId="09E4D1EC">
      <w:pPr>
        <w:pStyle w:val="6"/>
        <w:rPr>
          <w:rFonts w:hint="eastAsia" w:ascii="宋体" w:hAnsi="宋体" w:eastAsia="宋体" w:cs="宋体"/>
          <w:b/>
          <w:bCs/>
          <w:color w:val="auto"/>
          <w:sz w:val="22"/>
          <w:szCs w:val="22"/>
          <w:highlight w:val="none"/>
          <w:lang w:eastAsia="zh-CN"/>
        </w:rPr>
      </w:pPr>
    </w:p>
    <w:p w14:paraId="5E985158">
      <w:pPr>
        <w:pStyle w:val="6"/>
        <w:rPr>
          <w:rFonts w:hint="eastAsia" w:ascii="宋体" w:hAnsi="宋体" w:eastAsia="宋体" w:cs="宋体"/>
          <w:b/>
          <w:bCs/>
          <w:color w:val="auto"/>
          <w:sz w:val="22"/>
          <w:szCs w:val="22"/>
          <w:highlight w:val="none"/>
          <w:lang w:eastAsia="zh-CN"/>
        </w:rPr>
      </w:pPr>
    </w:p>
    <w:p w14:paraId="3D21A7BD">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3AC2967E">
      <w:pPr>
        <w:spacing w:line="360" w:lineRule="auto"/>
        <w:ind w:firstLine="420" w:firstLineChars="200"/>
        <w:rPr>
          <w:rFonts w:hint="eastAsia" w:hAnsi="新宋体" w:eastAsia="新宋体"/>
          <w:color w:val="auto"/>
          <w:highlight w:val="none"/>
        </w:rPr>
      </w:pPr>
    </w:p>
    <w:p w14:paraId="07CB94F4">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w:t>
      </w:r>
      <w:r>
        <w:rPr>
          <w:rFonts w:hint="eastAsia" w:ascii="Times New Roman" w:hAnsi="新宋体" w:eastAsia="新宋体" w:cs="Times New Roman"/>
          <w:color w:val="auto"/>
          <w:highlight w:val="none"/>
        </w:rPr>
        <w:t>承诺</w:t>
      </w:r>
      <w:r>
        <w:rPr>
          <w:rFonts w:hint="eastAsia" w:ascii="Times New Roman" w:hAnsi="新宋体" w:eastAsia="新宋体" w:cs="Times New Roman"/>
          <w:color w:val="auto"/>
          <w:highlight w:val="none"/>
          <w:lang w:eastAsia="zh-CN"/>
        </w:rPr>
        <w:t>，对其真实性负责，不虚假应标</w:t>
      </w:r>
      <w:r>
        <w:rPr>
          <w:rFonts w:hint="eastAsia" w:ascii="Times New Roman" w:hAnsi="新宋体" w:eastAsia="新宋体" w:cs="Times New Roman"/>
          <w:color w:val="auto"/>
          <w:highlight w:val="none"/>
        </w:rPr>
        <w:t>：</w:t>
      </w:r>
    </w:p>
    <w:p w14:paraId="65001AD6">
      <w:pPr>
        <w:spacing w:line="360" w:lineRule="auto"/>
        <w:ind w:firstLine="420" w:firstLineChars="200"/>
        <w:rPr>
          <w:rFonts w:hint="eastAsia" w:ascii="Times New Roman" w:hAnsi="新宋体" w:eastAsia="新宋体" w:cs="Times New Roman"/>
          <w:color w:val="auto"/>
          <w:highlight w:val="none"/>
        </w:rPr>
      </w:pPr>
    </w:p>
    <w:p w14:paraId="1461EE8F">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一、本公司</w:t>
      </w:r>
      <w:r>
        <w:rPr>
          <w:rFonts w:hint="eastAsia" w:ascii="Times New Roman" w:hAnsi="新宋体" w:eastAsia="新宋体" w:cs="Times New Roman"/>
          <w:color w:val="auto"/>
          <w:highlight w:val="none"/>
          <w:lang w:val="en-US" w:eastAsia="zh-CN"/>
        </w:rPr>
        <w:t>实际</w:t>
      </w:r>
      <w:r>
        <w:rPr>
          <w:rFonts w:hint="eastAsia" w:ascii="Times New Roman" w:hAnsi="新宋体" w:eastAsia="新宋体" w:cs="Times New Roman"/>
          <w:color w:val="auto"/>
          <w:highlight w:val="none"/>
        </w:rPr>
        <w:t>所提供的</w:t>
      </w:r>
      <w:r>
        <w:rPr>
          <w:rFonts w:hint="eastAsia" w:ascii="Times New Roman" w:hAnsi="新宋体" w:eastAsia="新宋体" w:cs="Times New Roman"/>
          <w:color w:val="auto"/>
          <w:highlight w:val="none"/>
          <w:lang w:val="en-US" w:eastAsia="zh-CN"/>
        </w:rPr>
        <w:t>货物品种、型号、规格、技术参数</w:t>
      </w:r>
      <w:r>
        <w:rPr>
          <w:rFonts w:hint="eastAsia" w:ascii="宋体" w:hAnsi="宋体" w:eastAsia="宋体" w:cs="宋体"/>
          <w:color w:val="auto"/>
          <w:kern w:val="2"/>
          <w:sz w:val="22"/>
          <w:szCs w:val="22"/>
          <w:highlight w:val="none"/>
          <w:lang w:val="en-US" w:eastAsia="zh-CN"/>
        </w:rPr>
        <w:t>、质量等</w:t>
      </w:r>
      <w:r>
        <w:rPr>
          <w:rFonts w:hint="eastAsia" w:ascii="Times New Roman" w:hAnsi="新宋体" w:eastAsia="新宋体" w:cs="Times New Roman"/>
          <w:color w:val="auto"/>
          <w:highlight w:val="none"/>
          <w:lang w:val="en-US" w:eastAsia="zh-CN"/>
        </w:rPr>
        <w:t>与投标时响应的完全符合</w:t>
      </w:r>
      <w:r>
        <w:rPr>
          <w:rFonts w:hint="eastAsia" w:ascii="Times New Roman" w:hAnsi="新宋体" w:eastAsia="新宋体" w:cs="Times New Roman"/>
          <w:color w:val="auto"/>
          <w:highlight w:val="none"/>
        </w:rPr>
        <w:t>；</w:t>
      </w:r>
    </w:p>
    <w:p w14:paraId="7D7BD737">
      <w:pPr>
        <w:spacing w:line="360" w:lineRule="auto"/>
        <w:ind w:firstLine="420" w:firstLineChars="200"/>
        <w:rPr>
          <w:rFonts w:hint="eastAsia" w:ascii="Times New Roman" w:hAnsi="新宋体" w:eastAsia="新宋体" w:cs="Times New Roman"/>
          <w:color w:val="auto"/>
          <w:highlight w:val="none"/>
        </w:rPr>
      </w:pPr>
    </w:p>
    <w:p w14:paraId="238BF807">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二、本公司</w:t>
      </w:r>
      <w:r>
        <w:rPr>
          <w:rFonts w:hint="eastAsia" w:ascii="Times New Roman" w:hAnsi="新宋体" w:eastAsia="新宋体" w:cs="Times New Roman"/>
          <w:color w:val="auto"/>
          <w:highlight w:val="none"/>
          <w:lang w:val="en-US" w:eastAsia="zh-CN"/>
        </w:rPr>
        <w:t>投标时提供的所有证明材料皆真实有效</w:t>
      </w:r>
      <w:r>
        <w:rPr>
          <w:rFonts w:hint="eastAsia" w:ascii="Times New Roman" w:hAnsi="新宋体" w:eastAsia="新宋体" w:cs="Times New Roman"/>
          <w:color w:val="auto"/>
          <w:highlight w:val="none"/>
        </w:rPr>
        <w:t>；</w:t>
      </w:r>
    </w:p>
    <w:p w14:paraId="4132D3CA">
      <w:pPr>
        <w:spacing w:line="360" w:lineRule="auto"/>
        <w:ind w:firstLine="420" w:firstLineChars="200"/>
        <w:rPr>
          <w:rFonts w:hint="eastAsia" w:ascii="Times New Roman" w:hAnsi="新宋体" w:eastAsia="新宋体" w:cs="Times New Roman"/>
          <w:color w:val="auto"/>
          <w:highlight w:val="none"/>
        </w:rPr>
      </w:pPr>
    </w:p>
    <w:p w14:paraId="7037C921">
      <w:pPr>
        <w:spacing w:line="360" w:lineRule="auto"/>
        <w:ind w:firstLine="420" w:firstLineChars="200"/>
        <w:rPr>
          <w:rFonts w:hint="eastAsia" w:ascii="Times New Roman" w:hAnsi="新宋体" w:eastAsia="新宋体" w:cs="Times New Roman"/>
          <w:color w:val="auto"/>
          <w:highlight w:val="none"/>
        </w:rPr>
      </w:pPr>
    </w:p>
    <w:p w14:paraId="3CA64385">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lang w:val="en-US" w:eastAsia="zh-CN"/>
        </w:rPr>
        <w:t>若虚假应标，本单位接受采购人对本单位做出的相应惩罚，并赔偿由本单位产生的所有损失。</w:t>
      </w:r>
    </w:p>
    <w:p w14:paraId="5977A59B">
      <w:pPr>
        <w:spacing w:line="360" w:lineRule="auto"/>
        <w:ind w:firstLine="420" w:firstLineChars="200"/>
        <w:rPr>
          <w:rFonts w:hint="eastAsia" w:ascii="Times New Roman" w:hAnsi="新宋体" w:eastAsia="新宋体" w:cs="Times New Roman"/>
          <w:color w:val="auto"/>
          <w:highlight w:val="none"/>
        </w:rPr>
      </w:pPr>
      <w:r>
        <w:rPr>
          <w:rFonts w:hint="eastAsia" w:ascii="Times New Roman" w:hAnsi="新宋体" w:eastAsia="新宋体" w:cs="Times New Roman"/>
          <w:color w:val="auto"/>
          <w:highlight w:val="none"/>
        </w:rPr>
        <w:t>本承诺书自开标日起至招标方与中标方合同结束之日均有效。</w:t>
      </w:r>
    </w:p>
    <w:p w14:paraId="51BF73E6">
      <w:pPr>
        <w:spacing w:line="360" w:lineRule="auto"/>
        <w:ind w:firstLine="420" w:firstLineChars="200"/>
        <w:rPr>
          <w:rFonts w:hAnsi="新宋体" w:eastAsia="新宋体"/>
          <w:color w:val="auto"/>
          <w:highlight w:val="none"/>
        </w:rPr>
      </w:pPr>
    </w:p>
    <w:p w14:paraId="76BA5BB0">
      <w:pPr>
        <w:spacing w:line="360" w:lineRule="auto"/>
        <w:ind w:firstLine="420" w:firstLineChars="200"/>
        <w:rPr>
          <w:rFonts w:eastAsia="新宋体"/>
          <w:color w:val="auto"/>
          <w:highlight w:val="none"/>
        </w:rPr>
      </w:pPr>
    </w:p>
    <w:p w14:paraId="2FAB3C80">
      <w:pPr>
        <w:spacing w:line="360" w:lineRule="auto"/>
        <w:ind w:firstLine="420" w:firstLineChars="200"/>
        <w:rPr>
          <w:rFonts w:eastAsia="新宋体"/>
          <w:color w:val="auto"/>
          <w:highlight w:val="none"/>
        </w:rPr>
      </w:pPr>
    </w:p>
    <w:p w14:paraId="4F7425B3">
      <w:pPr>
        <w:spacing w:line="360" w:lineRule="auto"/>
        <w:ind w:firstLine="420" w:firstLineChars="200"/>
        <w:rPr>
          <w:rFonts w:eastAsia="新宋体"/>
          <w:color w:val="auto"/>
          <w:highlight w:val="none"/>
        </w:rPr>
      </w:pPr>
    </w:p>
    <w:p w14:paraId="50C507CD">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36C16DA8">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706522E6">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7D3D063F">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5F29FE01">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14:paraId="51128D27">
      <w:pPr>
        <w:pStyle w:val="6"/>
        <w:rPr>
          <w:rFonts w:hint="eastAsia" w:ascii="宋体" w:hAnsi="宋体" w:eastAsia="宋体" w:cs="宋体"/>
          <w:b/>
          <w:bCs/>
          <w:color w:val="auto"/>
          <w:sz w:val="22"/>
          <w:szCs w:val="22"/>
          <w:highlight w:val="none"/>
          <w:lang w:eastAsia="zh-CN"/>
        </w:rPr>
      </w:pPr>
    </w:p>
    <w:p w14:paraId="0AB9FEB6">
      <w:pPr>
        <w:pStyle w:val="6"/>
        <w:rPr>
          <w:rFonts w:hint="eastAsia" w:ascii="宋体" w:hAnsi="宋体" w:eastAsia="宋体" w:cs="Times New Roman"/>
          <w:b/>
          <w:bCs/>
          <w:color w:val="auto"/>
          <w:sz w:val="22"/>
          <w:szCs w:val="22"/>
          <w:highlight w:val="none"/>
          <w:u w:val="none"/>
        </w:rPr>
      </w:pPr>
    </w:p>
    <w:p w14:paraId="5D0919B8">
      <w:pPr>
        <w:pStyle w:val="6"/>
        <w:rPr>
          <w:rFonts w:hint="eastAsia" w:ascii="Arial" w:hAnsi="Arial" w:eastAsia="宋体" w:cs="Times New Roman"/>
          <w:b/>
          <w:color w:val="auto"/>
          <w:sz w:val="32"/>
          <w:highlight w:val="none"/>
          <w:lang w:val="en-US" w:eastAsia="zh-CN"/>
        </w:rPr>
      </w:pPr>
      <w:r>
        <w:rPr>
          <w:rFonts w:hint="eastAsia" w:ascii="Arial" w:hAnsi="Arial" w:eastAsia="宋体" w:cs="Times New Roman"/>
          <w:b/>
          <w:color w:val="auto"/>
          <w:sz w:val="32"/>
          <w:highlight w:val="none"/>
          <w:lang w:val="en-US" w:eastAsia="zh-CN"/>
        </w:rPr>
        <w:br w:type="page"/>
      </w:r>
      <w:r>
        <w:rPr>
          <w:rFonts w:hint="eastAsia" w:ascii="Arial" w:hAnsi="Arial" w:eastAsia="宋体" w:cs="Times New Roman"/>
          <w:b/>
          <w:color w:val="auto"/>
          <w:sz w:val="32"/>
          <w:highlight w:val="none"/>
          <w:lang w:val="en-US" w:eastAsia="zh-CN"/>
        </w:rPr>
        <w:t>3.14  质量服务承诺书、诚信投标承诺书</w:t>
      </w:r>
    </w:p>
    <w:p w14:paraId="1F1AF053">
      <w:pPr>
        <w:pStyle w:val="6"/>
        <w:rPr>
          <w:rFonts w:eastAsia="新宋体"/>
          <w:b/>
          <w:color w:val="auto"/>
          <w:sz w:val="36"/>
          <w:szCs w:val="36"/>
          <w:highlight w:val="none"/>
        </w:rPr>
      </w:pPr>
    </w:p>
    <w:p w14:paraId="3D1B4624">
      <w:pPr>
        <w:tabs>
          <w:tab w:val="left" w:pos="1575"/>
        </w:tabs>
        <w:adjustRightInd w:val="0"/>
        <w:snapToGrid w:val="0"/>
        <w:spacing w:line="360" w:lineRule="auto"/>
        <w:jc w:val="center"/>
        <w:rPr>
          <w:rFonts w:eastAsia="新宋体"/>
          <w:b/>
          <w:color w:val="auto"/>
          <w:sz w:val="36"/>
          <w:szCs w:val="36"/>
          <w:highlight w:val="none"/>
        </w:rPr>
      </w:pPr>
      <w:r>
        <w:rPr>
          <w:rFonts w:hint="eastAsia" w:eastAsia="新宋体"/>
          <w:b/>
          <w:color w:val="auto"/>
          <w:sz w:val="36"/>
          <w:szCs w:val="36"/>
          <w:highlight w:val="none"/>
        </w:rPr>
        <w:t>质量服务承诺书</w:t>
      </w:r>
    </w:p>
    <w:p w14:paraId="77F9E6EE">
      <w:pPr>
        <w:spacing w:line="360" w:lineRule="auto"/>
        <w:rPr>
          <w:rFonts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14:paraId="043091FD">
      <w:pPr>
        <w:spacing w:line="360" w:lineRule="auto"/>
        <w:ind w:firstLine="420" w:firstLineChars="200"/>
        <w:rPr>
          <w:rFonts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14:paraId="1C27A6AA">
      <w:pPr>
        <w:spacing w:line="360" w:lineRule="auto"/>
        <w:rPr>
          <w:rFonts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14:paraId="4C2B0CC7">
      <w:pPr>
        <w:spacing w:line="360" w:lineRule="auto"/>
        <w:ind w:firstLine="420" w:firstLineChars="200"/>
        <w:rPr>
          <w:rFonts w:hAnsi="新宋体" w:eastAsia="新宋体"/>
          <w:color w:val="auto"/>
          <w:highlight w:val="none"/>
        </w:rPr>
      </w:pPr>
    </w:p>
    <w:p w14:paraId="7B9C0AD6">
      <w:pPr>
        <w:spacing w:line="360" w:lineRule="auto"/>
        <w:ind w:firstLine="420" w:firstLineChars="200"/>
        <w:rPr>
          <w:rFonts w:hAnsi="新宋体" w:eastAsia="新宋体"/>
          <w:color w:val="auto"/>
          <w:highlight w:val="none"/>
        </w:rPr>
      </w:pPr>
      <w:r>
        <w:rPr>
          <w:rFonts w:hint="eastAsia" w:hAnsi="新宋体" w:eastAsia="新宋体"/>
          <w:color w:val="auto"/>
          <w:highlight w:val="none"/>
        </w:rPr>
        <w:t>一、本公司所提供的工程（或服务或货物）都是质量合格的；</w:t>
      </w:r>
    </w:p>
    <w:p w14:paraId="77FE99BA">
      <w:pPr>
        <w:spacing w:line="360" w:lineRule="auto"/>
        <w:ind w:firstLine="420" w:firstLineChars="200"/>
        <w:rPr>
          <w:rFonts w:hAnsi="新宋体" w:eastAsia="新宋体"/>
          <w:color w:val="auto"/>
          <w:highlight w:val="none"/>
        </w:rPr>
      </w:pPr>
    </w:p>
    <w:p w14:paraId="57132BE0">
      <w:pPr>
        <w:spacing w:line="360" w:lineRule="auto"/>
        <w:ind w:firstLine="420" w:firstLineChars="200"/>
        <w:rPr>
          <w:rFonts w:hAnsi="新宋体" w:eastAsia="新宋体"/>
          <w:color w:val="auto"/>
          <w:highlight w:val="none"/>
        </w:rPr>
      </w:pPr>
      <w:r>
        <w:rPr>
          <w:rFonts w:hint="eastAsia" w:hAnsi="新宋体" w:eastAsia="新宋体"/>
          <w:color w:val="auto"/>
          <w:highlight w:val="none"/>
        </w:rPr>
        <w:t>二、在招标文件要求的服务期内，对有质量问题的工程（或服务或货物）进行无条件技术服务直至满足使用方的项目使用需求；</w:t>
      </w:r>
    </w:p>
    <w:p w14:paraId="6B078AFF">
      <w:pPr>
        <w:spacing w:line="360" w:lineRule="auto"/>
        <w:ind w:firstLine="420" w:firstLineChars="200"/>
        <w:rPr>
          <w:rFonts w:eastAsia="新宋体"/>
          <w:color w:val="auto"/>
          <w:highlight w:val="none"/>
        </w:rPr>
      </w:pPr>
    </w:p>
    <w:p w14:paraId="0EB4C909">
      <w:pPr>
        <w:spacing w:line="360" w:lineRule="auto"/>
        <w:rPr>
          <w:rFonts w:eastAsia="新宋体"/>
          <w:color w:val="auto"/>
          <w:highlight w:val="none"/>
        </w:rPr>
      </w:pPr>
    </w:p>
    <w:p w14:paraId="1410EBD7">
      <w:pPr>
        <w:spacing w:line="360" w:lineRule="auto"/>
        <w:ind w:firstLine="420" w:firstLineChars="200"/>
        <w:rPr>
          <w:rFonts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14:paraId="548CC148">
      <w:pPr>
        <w:spacing w:line="360" w:lineRule="auto"/>
        <w:ind w:firstLine="420" w:firstLineChars="200"/>
        <w:rPr>
          <w:rFonts w:hAnsi="新宋体" w:eastAsia="新宋体"/>
          <w:color w:val="auto"/>
          <w:highlight w:val="none"/>
        </w:rPr>
      </w:pPr>
    </w:p>
    <w:p w14:paraId="50F177E6">
      <w:pPr>
        <w:spacing w:line="360" w:lineRule="auto"/>
        <w:ind w:firstLine="420" w:firstLineChars="200"/>
        <w:rPr>
          <w:rFonts w:eastAsia="新宋体"/>
          <w:color w:val="auto"/>
          <w:highlight w:val="none"/>
        </w:rPr>
      </w:pPr>
    </w:p>
    <w:p w14:paraId="569EA840">
      <w:pPr>
        <w:spacing w:line="360" w:lineRule="auto"/>
        <w:ind w:firstLine="420" w:firstLineChars="200"/>
        <w:rPr>
          <w:rFonts w:eastAsia="新宋体"/>
          <w:color w:val="auto"/>
          <w:highlight w:val="none"/>
        </w:rPr>
      </w:pPr>
    </w:p>
    <w:p w14:paraId="0825392B">
      <w:pPr>
        <w:spacing w:line="360" w:lineRule="auto"/>
        <w:ind w:firstLine="420" w:firstLineChars="200"/>
        <w:rPr>
          <w:rFonts w:eastAsia="新宋体"/>
          <w:color w:val="auto"/>
          <w:highlight w:val="none"/>
        </w:rPr>
      </w:pPr>
    </w:p>
    <w:p w14:paraId="51A8C789">
      <w:pPr>
        <w:snapToGrid w:val="0"/>
        <w:spacing w:line="360" w:lineRule="auto"/>
        <w:ind w:right="480"/>
        <w:rPr>
          <w:rFonts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14:paraId="4D7DF874">
      <w:pPr>
        <w:snapToGrid w:val="0"/>
        <w:spacing w:line="360" w:lineRule="auto"/>
        <w:ind w:right="480"/>
        <w:rPr>
          <w:rFonts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14:paraId="5E6FE07B">
      <w:pPr>
        <w:snapToGrid w:val="0"/>
        <w:spacing w:line="360" w:lineRule="auto"/>
        <w:ind w:right="480"/>
        <w:rPr>
          <w:rFonts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14:paraId="0569FE02">
      <w:pPr>
        <w:tabs>
          <w:tab w:val="left" w:pos="1260"/>
        </w:tabs>
        <w:spacing w:line="360" w:lineRule="auto"/>
        <w:ind w:right="480"/>
        <w:rPr>
          <w:rFonts w:eastAsia="新宋体"/>
          <w:color w:val="auto"/>
          <w:highlight w:val="none"/>
          <w:u w:val="singl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14:paraId="29C9D8F3">
      <w:pPr>
        <w:tabs>
          <w:tab w:val="left" w:pos="1260"/>
        </w:tabs>
        <w:spacing w:line="360" w:lineRule="auto"/>
        <w:ind w:right="480"/>
        <w:rPr>
          <w:rFonts w:hAnsi="新宋体" w:eastAsia="新宋体"/>
          <w:color w:val="auto"/>
          <w:highlight w:val="none"/>
        </w:rPr>
      </w:pPr>
      <w:r>
        <w:rPr>
          <w:rFonts w:hint="eastAsia" w:hAnsi="新宋体" w:eastAsia="新宋体"/>
          <w:color w:val="auto"/>
          <w:highlight w:val="none"/>
        </w:rPr>
        <w:t>法定代表人（负责人）或授权代表（签字或盖章）：</w:t>
      </w:r>
    </w:p>
    <w:p w14:paraId="7ED623F1">
      <w:pPr>
        <w:pStyle w:val="11"/>
        <w:adjustRightInd w:val="0"/>
        <w:snapToGrid w:val="0"/>
        <w:spacing w:line="400" w:lineRule="exact"/>
        <w:rPr>
          <w:rFonts w:hAnsi="宋体" w:eastAsia="新宋体"/>
          <w:color w:val="auto"/>
          <w:sz w:val="24"/>
          <w:highlight w:val="none"/>
        </w:rPr>
      </w:pPr>
    </w:p>
    <w:p w14:paraId="5F2572F4">
      <w:pPr>
        <w:pStyle w:val="11"/>
        <w:adjustRightInd w:val="0"/>
        <w:snapToGrid w:val="0"/>
        <w:spacing w:line="400" w:lineRule="exact"/>
        <w:rPr>
          <w:rFonts w:hAnsi="宋体" w:eastAsia="新宋体"/>
          <w:color w:val="auto"/>
          <w:sz w:val="24"/>
          <w:highlight w:val="none"/>
        </w:rPr>
      </w:pPr>
    </w:p>
    <w:p w14:paraId="701BF4B4">
      <w:pPr>
        <w:pStyle w:val="11"/>
        <w:adjustRightInd w:val="0"/>
        <w:snapToGrid w:val="0"/>
        <w:spacing w:line="400" w:lineRule="exact"/>
        <w:rPr>
          <w:rFonts w:hAnsi="宋体" w:eastAsia="新宋体"/>
          <w:color w:val="auto"/>
          <w:sz w:val="24"/>
          <w:highlight w:val="none"/>
        </w:rPr>
      </w:pPr>
    </w:p>
    <w:p w14:paraId="31998327">
      <w:pPr>
        <w:pStyle w:val="11"/>
        <w:adjustRightInd w:val="0"/>
        <w:snapToGrid w:val="0"/>
        <w:spacing w:line="400" w:lineRule="exact"/>
        <w:rPr>
          <w:rFonts w:hAnsi="宋体" w:eastAsia="新宋体"/>
          <w:color w:val="auto"/>
          <w:sz w:val="24"/>
          <w:highlight w:val="none"/>
        </w:rPr>
      </w:pPr>
    </w:p>
    <w:p w14:paraId="5D0DBEC7">
      <w:pPr>
        <w:pStyle w:val="11"/>
        <w:adjustRightInd w:val="0"/>
        <w:snapToGrid w:val="0"/>
        <w:spacing w:line="400" w:lineRule="exact"/>
        <w:rPr>
          <w:rFonts w:hAnsi="宋体" w:eastAsia="新宋体"/>
          <w:color w:val="auto"/>
          <w:sz w:val="24"/>
          <w:highlight w:val="none"/>
        </w:rPr>
      </w:pPr>
    </w:p>
    <w:p w14:paraId="25D23544">
      <w:pPr>
        <w:autoSpaceDE w:val="0"/>
        <w:autoSpaceDN w:val="0"/>
        <w:adjustRightInd w:val="0"/>
        <w:spacing w:before="120" w:beforeLines="50" w:after="120" w:afterLines="50" w:line="360" w:lineRule="auto"/>
        <w:rPr>
          <w:rFonts w:hint="eastAsia" w:hAnsi="宋体"/>
          <w:b/>
          <w:bCs/>
          <w:color w:val="auto"/>
          <w:sz w:val="36"/>
          <w:szCs w:val="36"/>
          <w:highlight w:val="none"/>
        </w:rPr>
      </w:pPr>
    </w:p>
    <w:p w14:paraId="3AA668D1">
      <w:pPr>
        <w:pStyle w:val="11"/>
        <w:adjustRightInd w:val="0"/>
        <w:snapToGrid w:val="0"/>
        <w:spacing w:line="400" w:lineRule="exact"/>
        <w:rPr>
          <w:rFonts w:hAnsi="宋体" w:eastAsia="新宋体"/>
          <w:color w:val="auto"/>
          <w:sz w:val="24"/>
          <w:highlight w:val="none"/>
        </w:rPr>
      </w:pPr>
    </w:p>
    <w:p w14:paraId="569538E4">
      <w:pPr>
        <w:pStyle w:val="11"/>
        <w:adjustRightInd w:val="0"/>
        <w:snapToGrid w:val="0"/>
        <w:spacing w:line="400" w:lineRule="exact"/>
        <w:rPr>
          <w:rFonts w:hAnsi="宋体" w:eastAsia="新宋体"/>
          <w:color w:val="auto"/>
          <w:sz w:val="24"/>
          <w:highlight w:val="none"/>
        </w:rPr>
      </w:pPr>
    </w:p>
    <w:p w14:paraId="38AC0A40">
      <w:pPr>
        <w:spacing w:line="360" w:lineRule="auto"/>
        <w:jc w:val="center"/>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br w:type="page"/>
      </w:r>
      <w:r>
        <w:rPr>
          <w:rFonts w:hint="eastAsia" w:ascii="新宋体" w:hAnsi="新宋体" w:eastAsia="新宋体"/>
          <w:b/>
          <w:color w:val="auto"/>
          <w:sz w:val="28"/>
          <w:szCs w:val="28"/>
          <w:highlight w:val="none"/>
        </w:rPr>
        <w:t>诚信投标承诺书</w:t>
      </w:r>
    </w:p>
    <w:p w14:paraId="69910876">
      <w:pPr>
        <w:spacing w:line="520" w:lineRule="exact"/>
        <w:ind w:right="-153" w:rightChars="-73"/>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14:paraId="4C628EF5">
      <w:pPr>
        <w:spacing w:line="500" w:lineRule="exact"/>
        <w:ind w:firstLine="440" w:firstLineChars="200"/>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14:paraId="1F8CACA8">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14:paraId="7AC3FBED">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14:paraId="75D16726">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14:paraId="62B201D3">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14:paraId="7FAC8355">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74401403">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14:paraId="3F76DE50">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14:paraId="6BDB6788">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14:paraId="064A260C">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14:paraId="36652C8D">
      <w:pPr>
        <w:snapToGrid w:val="0"/>
        <w:spacing w:line="500" w:lineRule="exact"/>
        <w:ind w:firstLine="385" w:firstLineChars="175"/>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14:paraId="6C7EE3F5">
      <w:pPr>
        <w:snapToGrid w:val="0"/>
        <w:spacing w:line="500" w:lineRule="exact"/>
        <w:ind w:firstLine="385" w:firstLineChars="175"/>
        <w:rPr>
          <w:rFonts w:ascii="新宋体" w:hAnsi="新宋体" w:eastAsia="新宋体"/>
          <w:color w:val="auto"/>
          <w:sz w:val="22"/>
          <w:szCs w:val="22"/>
          <w:highlight w:val="none"/>
        </w:rPr>
      </w:pPr>
    </w:p>
    <w:p w14:paraId="606212B4">
      <w:pPr>
        <w:spacing w:line="440" w:lineRule="exact"/>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14:paraId="0573C473">
      <w:pPr>
        <w:spacing w:line="440" w:lineRule="exact"/>
        <w:rPr>
          <w:rFonts w:ascii="新宋体" w:hAnsi="新宋体" w:eastAsia="新宋体"/>
          <w:color w:val="auto"/>
          <w:sz w:val="22"/>
          <w:szCs w:val="22"/>
          <w:highlight w:val="none"/>
          <w:u w:val="singl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14:paraId="13EBCA88">
      <w:pPr>
        <w:spacing w:line="440" w:lineRule="exact"/>
        <w:rPr>
          <w:rFonts w:ascii="新宋体" w:hAnsi="新宋体" w:eastAsia="新宋体"/>
          <w:bCs/>
          <w:color w:val="auto"/>
          <w:sz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14:paraId="1BEC6111">
      <w:pPr>
        <w:spacing w:line="440" w:lineRule="exact"/>
        <w:rPr>
          <w:rFonts w:hint="eastAsia" w:ascii="新宋体" w:hAnsi="新宋体" w:eastAsia="新宋体"/>
          <w:color w:val="auto"/>
          <w:sz w:val="22"/>
          <w:szCs w:val="22"/>
          <w:highlight w:val="none"/>
        </w:rPr>
      </w:pPr>
    </w:p>
    <w:p w14:paraId="67113619">
      <w:pPr>
        <w:pStyle w:val="39"/>
        <w:snapToGrid w:val="0"/>
        <w:spacing w:line="400" w:lineRule="exact"/>
        <w:jc w:val="center"/>
        <w:rPr>
          <w:rFonts w:hAnsi="宋体" w:eastAsia="新宋体"/>
          <w:color w:val="auto"/>
          <w:sz w:val="24"/>
          <w:highlight w:val="none"/>
        </w:rPr>
      </w:pPr>
    </w:p>
    <w:p w14:paraId="317B5F0F">
      <w:pPr>
        <w:pStyle w:val="39"/>
        <w:snapToGrid w:val="0"/>
        <w:spacing w:line="460" w:lineRule="atLeast"/>
        <w:rPr>
          <w:rFonts w:hAnsi="宋体"/>
          <w:color w:val="auto"/>
          <w:sz w:val="30"/>
          <w:highlight w:val="none"/>
        </w:rPr>
      </w:pPr>
    </w:p>
    <w:p w14:paraId="4AA5807A">
      <w:pPr>
        <w:pStyle w:val="39"/>
        <w:snapToGrid w:val="0"/>
        <w:spacing w:line="460" w:lineRule="atLeast"/>
        <w:rPr>
          <w:rFonts w:hAnsi="宋体"/>
          <w:color w:val="auto"/>
          <w:sz w:val="30"/>
          <w:highlight w:val="none"/>
        </w:rPr>
      </w:pPr>
    </w:p>
    <w:p w14:paraId="2467FA0D">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br w:type="page"/>
      </w:r>
    </w:p>
    <w:p w14:paraId="3E4A65DA">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t>第</w:t>
      </w:r>
      <w:r>
        <w:rPr>
          <w:rFonts w:hint="eastAsia" w:ascii="宋体" w:hAnsi="宋体"/>
          <w:color w:val="auto"/>
          <w:sz w:val="36"/>
          <w:highlight w:val="none"/>
          <w:lang w:val="en-US" w:eastAsia="zh-CN"/>
        </w:rPr>
        <w:t>七</w:t>
      </w:r>
      <w:r>
        <w:rPr>
          <w:rFonts w:hint="eastAsia" w:ascii="宋体" w:hAnsi="宋体"/>
          <w:color w:val="auto"/>
          <w:sz w:val="36"/>
          <w:highlight w:val="none"/>
        </w:rPr>
        <w:t>部分   评标办法</w:t>
      </w:r>
    </w:p>
    <w:p w14:paraId="7DF46406">
      <w:pPr>
        <w:pStyle w:val="42"/>
        <w:snapToGrid w:val="0"/>
        <w:spacing w:line="400" w:lineRule="exact"/>
        <w:rPr>
          <w:rFonts w:hint="eastAsia" w:hAnsi="宋体"/>
          <w:color w:val="auto"/>
          <w:sz w:val="22"/>
          <w:szCs w:val="22"/>
          <w:highlight w:val="none"/>
        </w:rPr>
      </w:pPr>
      <w:r>
        <w:rPr>
          <w:rFonts w:hint="eastAsia" w:hAnsi="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14:paraId="3C548334">
      <w:pPr>
        <w:pStyle w:val="42"/>
        <w:snapToGrid w:val="0"/>
        <w:spacing w:line="400" w:lineRule="exact"/>
        <w:jc w:val="center"/>
        <w:rPr>
          <w:rFonts w:hint="eastAsia" w:hAnsi="宋体"/>
          <w:color w:val="auto"/>
          <w:sz w:val="22"/>
          <w:szCs w:val="22"/>
          <w:highlight w:val="none"/>
        </w:rPr>
      </w:pPr>
      <w:r>
        <w:rPr>
          <w:rFonts w:hint="eastAsia" w:hAnsi="宋体"/>
          <w:color w:val="auto"/>
          <w:sz w:val="22"/>
          <w:szCs w:val="22"/>
          <w:highlight w:val="none"/>
        </w:rPr>
        <w:t>一、总则</w:t>
      </w:r>
    </w:p>
    <w:p w14:paraId="0FAC6444">
      <w:pPr>
        <w:pStyle w:val="42"/>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72861C52">
      <w:pPr>
        <w:snapToGrid w:val="0"/>
        <w:spacing w:line="420" w:lineRule="atLeast"/>
        <w:jc w:val="center"/>
        <w:outlineLvl w:val="0"/>
        <w:rPr>
          <w:rFonts w:hint="eastAsia" w:ascii="宋体" w:hAnsi="宋体"/>
          <w:bCs/>
          <w:color w:val="auto"/>
          <w:sz w:val="22"/>
          <w:szCs w:val="22"/>
          <w:highlight w:val="none"/>
        </w:rPr>
      </w:pPr>
      <w:r>
        <w:rPr>
          <w:rFonts w:hint="eastAsia" w:ascii="宋体" w:hAnsi="宋体"/>
          <w:bCs/>
          <w:color w:val="auto"/>
          <w:sz w:val="22"/>
          <w:szCs w:val="22"/>
          <w:highlight w:val="none"/>
        </w:rPr>
        <w:t>二．评标组织</w:t>
      </w:r>
    </w:p>
    <w:p w14:paraId="3BFB4B0A">
      <w:pPr>
        <w:pStyle w:val="42"/>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评标工作由采购机构依法组建的评标委员会负责，评标委员会由采购人依法组建，成员人数应当为</w:t>
      </w:r>
      <w:r>
        <w:rPr>
          <w:rFonts w:hint="eastAsia" w:hAnsi="宋体"/>
          <w:color w:val="auto"/>
          <w:sz w:val="22"/>
          <w:szCs w:val="22"/>
          <w:highlight w:val="none"/>
          <w:lang w:val="en-US" w:eastAsia="zh-CN"/>
        </w:rPr>
        <w:t>5</w:t>
      </w:r>
      <w:r>
        <w:rPr>
          <w:rFonts w:hint="eastAsia" w:hAnsi="宋体"/>
          <w:color w:val="auto"/>
          <w:sz w:val="22"/>
          <w:szCs w:val="22"/>
          <w:highlight w:val="none"/>
        </w:rPr>
        <w:t>人及以上单数，其中评审专家不得少于成员总数的三分之二；评审专家确定方式：按相关规定从专家库中抽取。评标全过程由招标管理部门监督整个开标、评标和定标过程。</w:t>
      </w:r>
    </w:p>
    <w:p w14:paraId="60FFFF8E">
      <w:pPr>
        <w:pStyle w:val="77"/>
        <w:widowControl w:val="0"/>
        <w:pBdr>
          <w:left w:val="none" w:color="000000" w:sz="0" w:space="0"/>
          <w:bottom w:val="none" w:color="000000" w:sz="0" w:space="0"/>
          <w:right w:val="none" w:color="000000" w:sz="0" w:space="0"/>
        </w:pBdr>
        <w:snapToGrid w:val="0"/>
        <w:spacing w:before="0" w:beforeAutospacing="0" w:after="0" w:afterAutospacing="0" w:line="420" w:lineRule="atLeast"/>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三、评标程序</w:t>
      </w:r>
    </w:p>
    <w:p w14:paraId="6F59610F">
      <w:pPr>
        <w:pStyle w:val="34"/>
        <w:snapToGrid w:val="0"/>
        <w:spacing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本次开标，资格审核部分、商务技术文件和报价文件分别开启</w:t>
      </w:r>
      <w:r>
        <w:rPr>
          <w:rFonts w:hint="eastAsia" w:ascii="宋体" w:hAnsi="宋体"/>
          <w:b/>
          <w:color w:val="auto"/>
          <w:sz w:val="22"/>
          <w:szCs w:val="22"/>
          <w:highlight w:val="none"/>
        </w:rPr>
        <w:t>。</w:t>
      </w:r>
      <w:r>
        <w:rPr>
          <w:rFonts w:hint="eastAsia" w:ascii="宋体" w:hAnsi="宋体"/>
          <w:color w:val="auto"/>
          <w:sz w:val="22"/>
          <w:szCs w:val="22"/>
          <w:highlight w:val="none"/>
        </w:rPr>
        <w:t>开标程序如下：</w:t>
      </w:r>
    </w:p>
    <w:p w14:paraId="761AEC2F">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第一步：</w:t>
      </w:r>
      <w:r>
        <w:rPr>
          <w:rFonts w:hint="eastAsia" w:ascii="宋体" w:hAnsi="宋体"/>
          <w:color w:val="auto"/>
          <w:sz w:val="22"/>
          <w:szCs w:val="22"/>
          <w:highlight w:val="none"/>
          <w:u w:val="single"/>
        </w:rPr>
        <w:t>首先开启资格审核资料部分及商务技术文件投标文件，</w:t>
      </w:r>
      <w:r>
        <w:rPr>
          <w:rFonts w:hint="eastAsia" w:ascii="宋体" w:hAnsi="宋体"/>
          <w:color w:val="auto"/>
          <w:sz w:val="22"/>
          <w:szCs w:val="22"/>
          <w:highlight w:val="none"/>
        </w:rPr>
        <w:t>采购人或招标代理机构根据投标资格要求对各</w:t>
      </w:r>
      <w:r>
        <w:rPr>
          <w:rFonts w:hint="eastAsia" w:ascii="宋体" w:hAnsi="宋体"/>
          <w:color w:val="auto"/>
          <w:sz w:val="22"/>
          <w:szCs w:val="22"/>
          <w:highlight w:val="none"/>
          <w:lang w:eastAsia="zh-CN"/>
        </w:rPr>
        <w:t>投标供应商</w:t>
      </w:r>
      <w:r>
        <w:rPr>
          <w:rFonts w:hint="eastAsia" w:ascii="宋体" w:hAnsi="宋体"/>
          <w:color w:val="auto"/>
          <w:sz w:val="22"/>
          <w:szCs w:val="22"/>
          <w:highlight w:val="none"/>
        </w:rPr>
        <w:t>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14:paraId="5BF1C4C9">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第二步：</w:t>
      </w:r>
      <w:r>
        <w:rPr>
          <w:rFonts w:hint="eastAsia" w:ascii="宋体" w:hAnsi="宋体"/>
          <w:color w:val="auto"/>
          <w:sz w:val="22"/>
          <w:szCs w:val="22"/>
          <w:highlight w:val="none"/>
          <w:u w:val="single"/>
        </w:rPr>
        <w:t>公布资格审核情况及技术资信标得分</w:t>
      </w:r>
      <w:r>
        <w:rPr>
          <w:rFonts w:hint="eastAsia" w:ascii="宋体" w:hAnsi="宋体"/>
          <w:color w:val="auto"/>
          <w:sz w:val="22"/>
          <w:szCs w:val="22"/>
          <w:highlight w:val="none"/>
        </w:rPr>
        <w:t>，开启合格供应商的报价文件。</w:t>
      </w:r>
    </w:p>
    <w:p w14:paraId="7AF02C13">
      <w:pPr>
        <w:pStyle w:val="48"/>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第三步：</w:t>
      </w: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以技术资信标和商务报价标合计分值由高到低的顺序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w:t>
      </w:r>
    </w:p>
    <w:p w14:paraId="057DD643">
      <w:pPr>
        <w:pStyle w:val="48"/>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w:t>
      </w:r>
      <w:r>
        <w:rPr>
          <w:rFonts w:hint="eastAsia" w:ascii="宋体" w:hAnsi="宋体" w:eastAsia="宋体"/>
          <w:color w:val="auto"/>
          <w:sz w:val="22"/>
          <w:szCs w:val="22"/>
          <w:highlight w:val="none"/>
          <w:lang w:eastAsia="zh-CN"/>
        </w:rPr>
        <w:t>投标供应商</w:t>
      </w:r>
      <w:r>
        <w:rPr>
          <w:rFonts w:hint="eastAsia" w:ascii="宋体" w:hAnsi="宋体" w:eastAsia="宋体"/>
          <w:color w:val="auto"/>
          <w:sz w:val="22"/>
          <w:szCs w:val="22"/>
          <w:highlight w:val="none"/>
        </w:rPr>
        <w:t>为排名第一的中标候选人。</w:t>
      </w:r>
    </w:p>
    <w:p w14:paraId="2EE0D63B">
      <w:pPr>
        <w:snapToGrid w:val="0"/>
        <w:spacing w:line="420" w:lineRule="atLeast"/>
        <w:ind w:firstLine="420"/>
        <w:rPr>
          <w:rFonts w:hint="eastAsia" w:ascii="宋体" w:hAnsi="宋体"/>
          <w:color w:val="auto"/>
          <w:sz w:val="22"/>
          <w:szCs w:val="22"/>
          <w:highlight w:val="none"/>
        </w:rPr>
      </w:pPr>
      <w:r>
        <w:rPr>
          <w:rFonts w:hint="eastAsia" w:ascii="宋体" w:hAnsi="宋体"/>
          <w:color w:val="auto"/>
          <w:sz w:val="22"/>
          <w:szCs w:val="22"/>
          <w:highlight w:val="none"/>
        </w:rPr>
        <w:t>中标供应商放弃中标，或者因不可抗力提出不能履行合同，采购机构可以取消其中标资格。本次采购失败，依法重新组织采购。</w:t>
      </w:r>
    </w:p>
    <w:p w14:paraId="28434932">
      <w:pPr>
        <w:snapToGrid w:val="0"/>
        <w:spacing w:before="100" w:after="50"/>
        <w:ind w:firstLine="420"/>
        <w:rPr>
          <w:rFonts w:hint="eastAsia" w:ascii="宋体" w:hAnsi="宋体"/>
          <w:b/>
          <w:color w:val="auto"/>
          <w:sz w:val="22"/>
          <w:szCs w:val="22"/>
          <w:highlight w:val="none"/>
        </w:rPr>
      </w:pPr>
      <w:r>
        <w:rPr>
          <w:rFonts w:hint="eastAsia" w:ascii="宋体" w:hAnsi="宋体"/>
          <w:b/>
          <w:color w:val="auto"/>
          <w:sz w:val="22"/>
          <w:szCs w:val="22"/>
          <w:highlight w:val="none"/>
        </w:rPr>
        <w:t>其它参见本采购文件第三部分：“供应商须知” 中的相关内容。</w:t>
      </w:r>
    </w:p>
    <w:p w14:paraId="3CF7FB39">
      <w:pPr>
        <w:snapToGrid w:val="0"/>
        <w:spacing w:line="420" w:lineRule="atLeast"/>
        <w:rPr>
          <w:rFonts w:ascii="宋体" w:hAnsi="宋体"/>
          <w:color w:val="auto"/>
          <w:sz w:val="24"/>
          <w:highlight w:val="none"/>
        </w:rPr>
        <w:sectPr>
          <w:headerReference r:id="rId16" w:type="default"/>
          <w:footerReference r:id="rId17" w:type="default"/>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71CC26F5">
      <w:pPr>
        <w:pStyle w:val="39"/>
        <w:snapToGrid w:val="0"/>
        <w:spacing w:line="420" w:lineRule="exact"/>
        <w:jc w:val="center"/>
        <w:rPr>
          <w:rFonts w:hint="eastAsia" w:hAnsi="宋体"/>
          <w:b/>
          <w:color w:val="auto"/>
          <w:sz w:val="36"/>
          <w:szCs w:val="36"/>
          <w:highlight w:val="none"/>
        </w:rPr>
      </w:pPr>
      <w:r>
        <w:rPr>
          <w:rFonts w:hint="eastAsia" w:hAnsi="宋体"/>
          <w:b/>
          <w:color w:val="auto"/>
          <w:sz w:val="36"/>
          <w:szCs w:val="36"/>
          <w:highlight w:val="none"/>
        </w:rPr>
        <w:t>评标细则</w:t>
      </w:r>
    </w:p>
    <w:p w14:paraId="07AD3A2E">
      <w:pPr>
        <w:pStyle w:val="39"/>
        <w:tabs>
          <w:tab w:val="left" w:pos="5325"/>
        </w:tabs>
        <w:snapToGrid w:val="0"/>
        <w:spacing w:line="400" w:lineRule="atLeast"/>
        <w:rPr>
          <w:rFonts w:hint="eastAsia" w:hAnsi="宋体"/>
          <w:b/>
          <w:bCs/>
          <w:color w:val="auto"/>
          <w:sz w:val="22"/>
          <w:szCs w:val="22"/>
          <w:highlight w:val="none"/>
        </w:rPr>
      </w:pPr>
      <w:r>
        <w:rPr>
          <w:rFonts w:hint="eastAsia" w:hAnsi="宋体"/>
          <w:b/>
          <w:bCs/>
          <w:color w:val="auto"/>
          <w:sz w:val="22"/>
          <w:szCs w:val="22"/>
          <w:highlight w:val="none"/>
        </w:rPr>
        <w:t>一、</w:t>
      </w:r>
      <w:r>
        <w:rPr>
          <w:rFonts w:hint="eastAsia" w:hAnsi="宋体"/>
          <w:b/>
          <w:bCs/>
          <w:color w:val="auto"/>
          <w:sz w:val="22"/>
          <w:szCs w:val="22"/>
          <w:highlight w:val="none"/>
          <w:u w:val="single"/>
        </w:rPr>
        <w:t>商务报价评分</w:t>
      </w:r>
      <w:r>
        <w:rPr>
          <w:rFonts w:hint="eastAsia" w:hAnsi="宋体"/>
          <w:b/>
          <w:bCs/>
          <w:color w:val="auto"/>
          <w:sz w:val="22"/>
          <w:szCs w:val="22"/>
          <w:highlight w:val="none"/>
          <w:lang w:val="en-US" w:eastAsia="zh-CN"/>
        </w:rPr>
        <w:t>3</w:t>
      </w:r>
      <w:r>
        <w:rPr>
          <w:rFonts w:hint="eastAsia" w:hAnsi="宋体"/>
          <w:b/>
          <w:bCs/>
          <w:color w:val="auto"/>
          <w:sz w:val="22"/>
          <w:szCs w:val="22"/>
          <w:highlight w:val="none"/>
        </w:rPr>
        <w:t xml:space="preserve">0分  </w:t>
      </w:r>
      <w:r>
        <w:rPr>
          <w:rFonts w:hAnsi="宋体"/>
          <w:b/>
          <w:bCs/>
          <w:color w:val="auto"/>
          <w:sz w:val="22"/>
          <w:szCs w:val="22"/>
          <w:highlight w:val="none"/>
        </w:rPr>
        <w:tab/>
      </w:r>
    </w:p>
    <w:p w14:paraId="6A14DFF4">
      <w:pPr>
        <w:pStyle w:val="37"/>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1、以有效投标供应商的有效投标</w:t>
      </w:r>
      <w:r>
        <w:rPr>
          <w:rFonts w:hint="eastAsia" w:ascii="宋体" w:hAnsi="宋体"/>
          <w:color w:val="auto"/>
          <w:sz w:val="22"/>
          <w:szCs w:val="22"/>
          <w:highlight w:val="none"/>
          <w:lang w:val="en-US" w:eastAsia="zh-CN"/>
        </w:rPr>
        <w:t>价（折扣率）</w:t>
      </w:r>
      <w:r>
        <w:rPr>
          <w:rFonts w:hint="eastAsia" w:ascii="宋体" w:hAnsi="宋体"/>
          <w:color w:val="auto"/>
          <w:sz w:val="22"/>
          <w:szCs w:val="22"/>
          <w:highlight w:val="none"/>
        </w:rPr>
        <w:t>中的最低</w:t>
      </w:r>
      <w:r>
        <w:rPr>
          <w:rFonts w:hint="eastAsia" w:ascii="宋体" w:hAnsi="宋体"/>
          <w:color w:val="auto"/>
          <w:sz w:val="22"/>
          <w:szCs w:val="22"/>
          <w:highlight w:val="none"/>
          <w:lang w:val="en-US" w:eastAsia="zh-CN"/>
        </w:rPr>
        <w:t>投标价（折扣率）</w:t>
      </w:r>
      <w:r>
        <w:rPr>
          <w:rFonts w:hint="eastAsia" w:ascii="宋体" w:hAnsi="宋体"/>
          <w:color w:val="auto"/>
          <w:sz w:val="22"/>
          <w:szCs w:val="22"/>
          <w:highlight w:val="none"/>
        </w:rPr>
        <w:t>为评标基准</w:t>
      </w:r>
      <w:r>
        <w:rPr>
          <w:rFonts w:hint="eastAsia" w:ascii="宋体" w:hAnsi="宋体"/>
          <w:color w:val="auto"/>
          <w:sz w:val="22"/>
          <w:szCs w:val="22"/>
          <w:highlight w:val="none"/>
          <w:lang w:val="en-US" w:eastAsia="zh-CN"/>
        </w:rPr>
        <w:t>价（折扣率）</w:t>
      </w:r>
      <w:r>
        <w:rPr>
          <w:rFonts w:hint="eastAsia" w:ascii="宋体" w:hAnsi="宋体"/>
          <w:color w:val="auto"/>
          <w:sz w:val="22"/>
          <w:szCs w:val="22"/>
          <w:highlight w:val="none"/>
        </w:rPr>
        <w:t>，得满分</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0分。</w:t>
      </w:r>
      <w:r>
        <w:rPr>
          <w:rFonts w:hint="eastAsia" w:ascii="宋体" w:hAnsi="宋体"/>
          <w:bCs/>
          <w:color w:val="auto"/>
          <w:sz w:val="22"/>
          <w:szCs w:val="22"/>
          <w:highlight w:val="none"/>
        </w:rPr>
        <w:t>商务报价评分</w:t>
      </w:r>
      <w:r>
        <w:rPr>
          <w:rFonts w:hint="eastAsia" w:ascii="宋体" w:hAnsi="宋体"/>
          <w:color w:val="auto"/>
          <w:sz w:val="22"/>
          <w:szCs w:val="22"/>
          <w:highlight w:val="none"/>
        </w:rPr>
        <w:t>结算公式为:商务报价得分=(评标基准</w:t>
      </w:r>
      <w:r>
        <w:rPr>
          <w:rFonts w:hint="eastAsia" w:ascii="宋体" w:hAnsi="宋体"/>
          <w:color w:val="auto"/>
          <w:sz w:val="22"/>
          <w:szCs w:val="22"/>
          <w:highlight w:val="none"/>
          <w:lang w:val="en-US" w:eastAsia="zh-CN"/>
        </w:rPr>
        <w:t>价（折扣率）</w:t>
      </w:r>
      <w:r>
        <w:rPr>
          <w:rFonts w:hint="eastAsia" w:ascii="宋体" w:hAnsi="宋体"/>
          <w:color w:val="auto"/>
          <w:sz w:val="22"/>
          <w:szCs w:val="22"/>
          <w:highlight w:val="none"/>
        </w:rPr>
        <w:t>／投标</w:t>
      </w:r>
      <w:r>
        <w:rPr>
          <w:rFonts w:hint="eastAsia" w:ascii="宋体" w:hAnsi="宋体"/>
          <w:color w:val="auto"/>
          <w:sz w:val="22"/>
          <w:szCs w:val="22"/>
          <w:highlight w:val="none"/>
          <w:lang w:val="en-US" w:eastAsia="zh-CN"/>
        </w:rPr>
        <w:t>价（折扣率）</w:t>
      </w:r>
      <w:r>
        <w:rPr>
          <w:rFonts w:hint="eastAsia" w:ascii="宋体" w:hAnsi="宋体"/>
          <w:color w:val="auto"/>
          <w:sz w:val="22"/>
          <w:szCs w:val="22"/>
          <w:highlight w:val="none"/>
        </w:rPr>
        <w:t>)×</w:t>
      </w: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0%×100；</w:t>
      </w:r>
    </w:p>
    <w:p w14:paraId="7023F832">
      <w:pPr>
        <w:pStyle w:val="37"/>
        <w:spacing w:after="0" w:line="400" w:lineRule="atLeast"/>
        <w:ind w:left="0" w:leftChars="0"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2、如果某些（个）供应商投标报价超出该采购</w:t>
      </w:r>
      <w:r>
        <w:rPr>
          <w:rFonts w:hint="eastAsia" w:ascii="宋体" w:hAnsi="宋体"/>
          <w:color w:val="auto"/>
          <w:sz w:val="22"/>
          <w:szCs w:val="22"/>
          <w:highlight w:val="none"/>
          <w:lang w:val="en-US" w:eastAsia="zh-CN"/>
        </w:rPr>
        <w:t>预算金额</w:t>
      </w:r>
      <w:r>
        <w:rPr>
          <w:rFonts w:hint="eastAsia" w:ascii="宋体" w:hAnsi="宋体"/>
          <w:color w:val="auto"/>
          <w:sz w:val="22"/>
          <w:szCs w:val="22"/>
          <w:highlight w:val="none"/>
        </w:rPr>
        <w:t>，该供应商投标按无效投标处理。</w:t>
      </w:r>
    </w:p>
    <w:p w14:paraId="6A7EC2B7">
      <w:pPr>
        <w:pStyle w:val="39"/>
        <w:snapToGrid w:val="0"/>
        <w:spacing w:line="400" w:lineRule="atLeast"/>
        <w:rPr>
          <w:rFonts w:hint="eastAsia" w:hAnsi="宋体"/>
          <w:b/>
          <w:color w:val="auto"/>
          <w:sz w:val="22"/>
          <w:szCs w:val="22"/>
          <w:highlight w:val="none"/>
        </w:rPr>
      </w:pPr>
      <w:r>
        <w:rPr>
          <w:rFonts w:hint="eastAsia" w:hAnsi="宋体"/>
          <w:b/>
          <w:color w:val="auto"/>
          <w:sz w:val="22"/>
          <w:szCs w:val="22"/>
          <w:highlight w:val="none"/>
        </w:rPr>
        <w:t>二、</w:t>
      </w:r>
      <w:r>
        <w:rPr>
          <w:rFonts w:hint="eastAsia" w:hAnsi="宋体"/>
          <w:b/>
          <w:color w:val="auto"/>
          <w:sz w:val="22"/>
          <w:szCs w:val="22"/>
          <w:highlight w:val="none"/>
          <w:u w:val="single"/>
        </w:rPr>
        <w:t>技术、服务、资信、业绩综合评分</w:t>
      </w:r>
      <w:r>
        <w:rPr>
          <w:rFonts w:hint="eastAsia" w:hAnsi="宋体"/>
          <w:b/>
          <w:color w:val="auto"/>
          <w:sz w:val="22"/>
          <w:szCs w:val="22"/>
          <w:highlight w:val="none"/>
        </w:rPr>
        <w:t xml:space="preserve"> </w:t>
      </w:r>
      <w:r>
        <w:rPr>
          <w:rFonts w:hint="eastAsia" w:hAnsi="宋体"/>
          <w:b/>
          <w:color w:val="auto"/>
          <w:sz w:val="22"/>
          <w:szCs w:val="22"/>
          <w:highlight w:val="none"/>
          <w:lang w:val="en-US" w:eastAsia="zh-CN"/>
        </w:rPr>
        <w:t>7</w:t>
      </w:r>
      <w:r>
        <w:rPr>
          <w:rFonts w:hint="eastAsia" w:hAnsi="宋体"/>
          <w:b/>
          <w:color w:val="auto"/>
          <w:sz w:val="22"/>
          <w:szCs w:val="22"/>
          <w:highlight w:val="none"/>
        </w:rPr>
        <w:t>0分</w:t>
      </w: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4"/>
        <w:gridCol w:w="1522"/>
        <w:gridCol w:w="758"/>
        <w:gridCol w:w="7293"/>
      </w:tblGrid>
      <w:tr w14:paraId="775F7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F0DE969">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755" w:type="pct"/>
            <w:tcBorders>
              <w:top w:val="single" w:color="000000" w:sz="8" w:space="0"/>
              <w:left w:val="nil"/>
              <w:bottom w:val="single" w:color="000000" w:sz="8" w:space="0"/>
              <w:right w:val="single" w:color="000000" w:sz="8" w:space="0"/>
            </w:tcBorders>
            <w:shd w:val="clear" w:color="auto" w:fill="auto"/>
            <w:vAlign w:val="center"/>
          </w:tcPr>
          <w:p w14:paraId="75C9639A">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评分内容</w:t>
            </w:r>
          </w:p>
        </w:tc>
        <w:tc>
          <w:tcPr>
            <w:tcW w:w="376" w:type="pct"/>
            <w:tcBorders>
              <w:top w:val="single" w:color="000000" w:sz="8" w:space="0"/>
              <w:left w:val="nil"/>
              <w:bottom w:val="single" w:color="000000" w:sz="8" w:space="0"/>
              <w:right w:val="single" w:color="000000" w:sz="8" w:space="0"/>
            </w:tcBorders>
            <w:shd w:val="clear" w:color="auto" w:fill="auto"/>
            <w:noWrap/>
            <w:vAlign w:val="center"/>
          </w:tcPr>
          <w:p w14:paraId="3AD46545">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分值</w:t>
            </w:r>
          </w:p>
        </w:tc>
        <w:tc>
          <w:tcPr>
            <w:tcW w:w="3618" w:type="pct"/>
            <w:tcBorders>
              <w:top w:val="single" w:color="000000" w:sz="8" w:space="0"/>
              <w:left w:val="nil"/>
              <w:bottom w:val="single" w:color="000000" w:sz="8" w:space="0"/>
              <w:right w:val="single" w:color="000000" w:sz="8" w:space="0"/>
            </w:tcBorders>
            <w:shd w:val="clear" w:color="auto" w:fill="auto"/>
            <w:vAlign w:val="center"/>
          </w:tcPr>
          <w:p w14:paraId="2325EA2D">
            <w:pPr>
              <w:keepNext w:val="0"/>
              <w:keepLines w:val="0"/>
              <w:widowControl/>
              <w:suppressLineNumbers w:val="0"/>
              <w:spacing w:line="360" w:lineRule="auto"/>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评分内容</w:t>
            </w:r>
          </w:p>
        </w:tc>
      </w:tr>
      <w:tr w14:paraId="16A4B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A065F1">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55" w:type="pct"/>
            <w:tcBorders>
              <w:top w:val="nil"/>
              <w:left w:val="nil"/>
              <w:bottom w:val="single" w:color="000000" w:sz="8" w:space="0"/>
              <w:right w:val="single" w:color="000000" w:sz="8" w:space="0"/>
            </w:tcBorders>
            <w:shd w:val="clear" w:color="auto" w:fill="auto"/>
            <w:vAlign w:val="center"/>
          </w:tcPr>
          <w:p w14:paraId="0E0792B6">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同类项目业绩</w:t>
            </w:r>
          </w:p>
        </w:tc>
        <w:tc>
          <w:tcPr>
            <w:tcW w:w="376" w:type="pct"/>
            <w:tcBorders>
              <w:top w:val="nil"/>
              <w:left w:val="nil"/>
              <w:bottom w:val="single" w:color="000000" w:sz="8" w:space="0"/>
              <w:right w:val="single" w:color="000000" w:sz="8" w:space="0"/>
            </w:tcBorders>
            <w:shd w:val="clear" w:color="auto" w:fill="auto"/>
            <w:noWrap/>
            <w:vAlign w:val="center"/>
          </w:tcPr>
          <w:p w14:paraId="06A88009">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618" w:type="pct"/>
            <w:tcBorders>
              <w:top w:val="nil"/>
              <w:left w:val="nil"/>
              <w:bottom w:val="single" w:color="000000" w:sz="8" w:space="0"/>
              <w:right w:val="single" w:color="000000" w:sz="8" w:space="0"/>
            </w:tcBorders>
            <w:shd w:val="clear" w:color="auto" w:fill="auto"/>
            <w:vAlign w:val="top"/>
          </w:tcPr>
          <w:p w14:paraId="732BBE8A">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投标人提供2020年1月1日（以合同签订时间为准）以来的同类业绩，每提供一个得1</w:t>
            </w:r>
            <w:r>
              <w:rPr>
                <w:rFonts w:hint="eastAsia" w:ascii="宋体" w:hAnsi="宋体" w:cs="宋体"/>
                <w:i w:val="0"/>
                <w:iCs w:val="0"/>
                <w:color w:val="auto"/>
                <w:kern w:val="0"/>
                <w:sz w:val="22"/>
                <w:szCs w:val="22"/>
                <w:highlight w:val="none"/>
                <w:u w:val="none"/>
                <w:lang w:val="en-US" w:eastAsia="zh-CN" w:bidi="ar"/>
              </w:rPr>
              <w:t>.5</w:t>
            </w:r>
            <w:r>
              <w:rPr>
                <w:rFonts w:hint="eastAsia" w:ascii="宋体" w:hAnsi="宋体" w:eastAsia="宋体" w:cs="宋体"/>
                <w:i w:val="0"/>
                <w:iCs w:val="0"/>
                <w:color w:val="auto"/>
                <w:kern w:val="0"/>
                <w:sz w:val="22"/>
                <w:szCs w:val="22"/>
                <w:highlight w:val="none"/>
                <w:u w:val="none"/>
                <w:lang w:val="en-US" w:eastAsia="zh-CN" w:bidi="ar"/>
              </w:rPr>
              <w:t>分，最高得3分。</w:t>
            </w:r>
          </w:p>
          <w:p w14:paraId="2B910402">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注：提供合同扫描件加盖公章，否则不得分。</w:t>
            </w:r>
          </w:p>
        </w:tc>
      </w:tr>
      <w:tr w14:paraId="52707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7BECB21">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AE8A237">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项目实施人员情况</w:t>
            </w:r>
          </w:p>
        </w:tc>
        <w:tc>
          <w:tcPr>
            <w:tcW w:w="37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58C0B08">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335438EE">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项目组成员具有工程建筑类专业资格证书（建造师）、心理学专业技能证书（心理咨询师证书、心理治疗师证书）人员。每</w:t>
            </w:r>
            <w:r>
              <w:rPr>
                <w:rFonts w:hint="eastAsia" w:ascii="宋体" w:hAnsi="宋体" w:cs="宋体"/>
                <w:i w:val="0"/>
                <w:iCs w:val="0"/>
                <w:color w:val="auto"/>
                <w:kern w:val="0"/>
                <w:sz w:val="22"/>
                <w:szCs w:val="22"/>
                <w:highlight w:val="none"/>
                <w:u w:val="none"/>
                <w:lang w:val="en-US" w:eastAsia="zh-CN" w:bidi="ar"/>
              </w:rPr>
              <w:t>提供一个</w:t>
            </w:r>
            <w:r>
              <w:rPr>
                <w:rFonts w:hint="eastAsia" w:ascii="宋体" w:hAnsi="宋体" w:eastAsia="宋体" w:cs="宋体"/>
                <w:i w:val="0"/>
                <w:iCs w:val="0"/>
                <w:color w:val="auto"/>
                <w:kern w:val="0"/>
                <w:sz w:val="22"/>
                <w:szCs w:val="22"/>
                <w:highlight w:val="none"/>
                <w:u w:val="none"/>
                <w:lang w:val="en-US" w:eastAsia="zh-CN" w:bidi="ar"/>
              </w:rPr>
              <w:t>得1分，</w:t>
            </w:r>
            <w:r>
              <w:rPr>
                <w:rFonts w:hint="eastAsia" w:ascii="宋体" w:hAnsi="宋体" w:cs="宋体"/>
                <w:i w:val="0"/>
                <w:iCs w:val="0"/>
                <w:color w:val="auto"/>
                <w:kern w:val="0"/>
                <w:sz w:val="22"/>
                <w:szCs w:val="22"/>
                <w:highlight w:val="none"/>
                <w:u w:val="none"/>
                <w:lang w:val="en-US" w:eastAsia="zh-CN" w:bidi="ar"/>
              </w:rPr>
              <w:t>最高得</w:t>
            </w:r>
            <w:r>
              <w:rPr>
                <w:rFonts w:hint="eastAsia" w:ascii="宋体" w:hAnsi="宋体" w:eastAsia="宋体" w:cs="宋体"/>
                <w:i w:val="0"/>
                <w:iCs w:val="0"/>
                <w:color w:val="auto"/>
                <w:kern w:val="0"/>
                <w:sz w:val="22"/>
                <w:szCs w:val="22"/>
                <w:highlight w:val="none"/>
                <w:u w:val="none"/>
                <w:lang w:val="en-US" w:eastAsia="zh-CN" w:bidi="ar"/>
              </w:rPr>
              <w:t>6分。</w:t>
            </w:r>
          </w:p>
          <w:p w14:paraId="5DAAAB34">
            <w:pPr>
              <w:keepNext w:val="0"/>
              <w:keepLines w:val="0"/>
              <w:widowControl/>
              <w:suppressLineNumbers w:val="0"/>
              <w:spacing w:line="360" w:lineRule="auto"/>
              <w:jc w:val="left"/>
              <w:textAlignment w:val="top"/>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注：以上人员须提供人员有效证书扫描件及本单位（投标人）投标截止前近三个月社保缴纳证明扫描件加盖盖章，否则不得分。同一人员不得重复计分。</w:t>
            </w:r>
          </w:p>
        </w:tc>
      </w:tr>
      <w:tr w14:paraId="619A6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CC03DA5">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
              </w:rPr>
              <w:t>3</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3F4DC0">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投标产品技术参数响应程度</w:t>
            </w:r>
          </w:p>
        </w:tc>
        <w:tc>
          <w:tcPr>
            <w:tcW w:w="37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DBA3324">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25</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00FDD4E6">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根据投标产品响应的技术要求是否符合招标文件的要求及符合程度进行评价，所有技术要求响应招标需求的得25分。</w:t>
            </w:r>
          </w:p>
          <w:p w14:paraId="022C7C82">
            <w:pPr>
              <w:keepNext w:val="0"/>
              <w:keepLines w:val="0"/>
              <w:widowControl/>
              <w:suppressLineNumbers w:val="0"/>
              <w:spacing w:line="360" w:lineRule="auto"/>
              <w:jc w:val="left"/>
              <w:textAlignment w:val="top"/>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
              </w:rPr>
              <w:t>1、</w:t>
            </w:r>
            <w:r>
              <w:rPr>
                <w:rFonts w:hint="eastAsia" w:ascii="宋体" w:hAnsi="宋体" w:eastAsia="宋体" w:cs="宋体"/>
                <w:i w:val="0"/>
                <w:iCs w:val="0"/>
                <w:color w:val="auto"/>
                <w:kern w:val="0"/>
                <w:sz w:val="22"/>
                <w:szCs w:val="22"/>
                <w:highlight w:val="none"/>
                <w:u w:val="none"/>
                <w:lang w:val="en-US" w:eastAsia="zh-CN" w:bidi="ar"/>
              </w:rPr>
              <w:t>评审各投标人投标产品响应的技术指标、性能等若有一项“★”不满足的，每项扣0.5分，扣完为止（20分）。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i w:val="0"/>
                <w:iCs w:val="0"/>
                <w:color w:val="auto"/>
                <w:kern w:val="0"/>
                <w:sz w:val="22"/>
                <w:szCs w:val="22"/>
                <w:highlight w:val="none"/>
                <w:u w:val="none"/>
                <w:lang w:val="en-US" w:eastAsia="zh-CN" w:bidi="ar"/>
              </w:rPr>
              <w:t>2、</w:t>
            </w:r>
            <w:r>
              <w:rPr>
                <w:rFonts w:hint="eastAsia" w:ascii="宋体" w:hAnsi="宋体" w:eastAsia="宋体" w:cs="宋体"/>
                <w:i w:val="0"/>
                <w:iCs w:val="0"/>
                <w:color w:val="auto"/>
                <w:kern w:val="0"/>
                <w:sz w:val="22"/>
                <w:szCs w:val="22"/>
                <w:highlight w:val="none"/>
                <w:u w:val="none"/>
                <w:lang w:val="en-US" w:eastAsia="zh-CN" w:bidi="ar"/>
              </w:rPr>
              <w:t>评审各投标人投标产品响应的技术指标、性能等未标记“★”，由评委进行打分。</w:t>
            </w:r>
            <w:r>
              <w:rPr>
                <w:rFonts w:hint="eastAsia" w:ascii="宋体" w:hAnsi="宋体" w:eastAsia="宋体" w:cs="宋体"/>
                <w:b/>
                <w:bCs/>
                <w:i w:val="0"/>
                <w:iCs w:val="0"/>
                <w:color w:val="auto"/>
                <w:kern w:val="0"/>
                <w:sz w:val="22"/>
                <w:szCs w:val="22"/>
                <w:highlight w:val="none"/>
                <w:u w:val="none"/>
                <w:lang w:val="en-US" w:eastAsia="zh-CN" w:bidi="ar"/>
              </w:rPr>
              <w:t>（评分范围：5,4,3,0）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注：上述须根据招标文件要求提供</w:t>
            </w:r>
            <w:r>
              <w:rPr>
                <w:rFonts w:hint="eastAsia" w:ascii="宋体" w:hAnsi="宋体" w:eastAsia="宋体" w:cs="宋体"/>
                <w:b/>
                <w:bCs/>
                <w:i w:val="0"/>
                <w:iCs w:val="0"/>
                <w:color w:val="auto"/>
                <w:kern w:val="0"/>
                <w:sz w:val="22"/>
                <w:szCs w:val="22"/>
                <w:highlight w:val="none"/>
                <w:u w:val="none"/>
                <w:lang w:val="zh-CN" w:eastAsia="zh-CN" w:bidi="ar"/>
              </w:rPr>
              <w:t>证书等证明文件扫描件</w:t>
            </w:r>
            <w:r>
              <w:rPr>
                <w:rFonts w:hint="eastAsia" w:ascii="宋体" w:hAnsi="宋体" w:eastAsia="宋体" w:cs="宋体"/>
                <w:b/>
                <w:bCs/>
                <w:i w:val="0"/>
                <w:iCs w:val="0"/>
                <w:color w:val="auto"/>
                <w:kern w:val="0"/>
                <w:sz w:val="22"/>
                <w:szCs w:val="22"/>
                <w:highlight w:val="none"/>
                <w:u w:val="none"/>
                <w:lang w:val="en-US" w:eastAsia="zh-CN" w:bidi="ar"/>
              </w:rPr>
              <w:t>加盖公章，否则不得分。</w:t>
            </w:r>
          </w:p>
        </w:tc>
      </w:tr>
      <w:tr w14:paraId="0D73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5BEE614">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4</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795A58A">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color w:val="auto"/>
                <w:sz w:val="22"/>
                <w:szCs w:val="22"/>
                <w:highlight w:val="none"/>
                <w:vertAlign w:val="baseline"/>
                <w:lang w:val="en-US" w:eastAsia="zh-CN"/>
              </w:rPr>
              <w:t>场馆规划设计及效果图呈现</w:t>
            </w:r>
          </w:p>
        </w:tc>
        <w:tc>
          <w:tcPr>
            <w:tcW w:w="37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744F30">
            <w:pPr>
              <w:keepNext w:val="0"/>
              <w:keepLines w:val="0"/>
              <w:widowControl/>
              <w:suppressLineNumbers w:val="0"/>
              <w:spacing w:line="360" w:lineRule="auto"/>
              <w:jc w:val="center"/>
              <w:textAlignment w:val="top"/>
              <w:rPr>
                <w:rFonts w:hint="default" w:ascii="宋体" w:hAnsi="宋体" w:eastAsia="宋体" w:cs="宋体"/>
                <w:i w:val="0"/>
                <w:iCs w:val="0"/>
                <w:color w:val="auto"/>
                <w:sz w:val="22"/>
                <w:szCs w:val="22"/>
                <w:highlight w:val="none"/>
                <w:u w:val="none"/>
                <w:lang w:val="en-US"/>
              </w:rPr>
            </w:pPr>
            <w:r>
              <w:rPr>
                <w:rFonts w:hint="eastAsia" w:ascii="宋体" w:hAnsi="宋体" w:cs="宋体"/>
                <w:i w:val="0"/>
                <w:iCs w:val="0"/>
                <w:color w:val="auto"/>
                <w:kern w:val="0"/>
                <w:sz w:val="22"/>
                <w:szCs w:val="22"/>
                <w:highlight w:val="none"/>
                <w:u w:val="none"/>
                <w:lang w:val="en-US" w:eastAsia="zh-CN" w:bidi="ar"/>
              </w:rPr>
              <w:t>10</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28C1AAE7">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1、场馆规划设计及效果图呈现：</w:t>
            </w:r>
            <w:r>
              <w:rPr>
                <w:rFonts w:hint="eastAsia" w:ascii="宋体" w:hAnsi="宋体" w:eastAsia="宋体" w:cs="宋体"/>
                <w:i w:val="0"/>
                <w:iCs w:val="0"/>
                <w:color w:val="auto"/>
                <w:kern w:val="0"/>
                <w:sz w:val="22"/>
                <w:szCs w:val="22"/>
                <w:highlight w:val="none"/>
                <w:u w:val="none"/>
                <w:lang w:val="en-US" w:eastAsia="zh-CN" w:bidi="ar"/>
              </w:rPr>
              <w:t>根据附件中提供的CAD平面图规划约1100㎡场馆空间，包含不限于个体心理咨询室、团体辅导室、研讨督导室、家庭咨询室、心理放松室、接待区、心理宣泄室等不少于10个以上功能室进行合理配置划分设计，出具平面设计图并出具不少于10个功能室的实景渲染图，符合心理功能室实际使用场景需求和合理设备安放摆设，</w:t>
            </w:r>
            <w:r>
              <w:rPr>
                <w:rFonts w:hint="eastAsia" w:ascii="宋体" w:hAnsi="宋体" w:eastAsia="宋体" w:cs="宋体"/>
                <w:b/>
                <w:bCs/>
                <w:i w:val="0"/>
                <w:iCs w:val="0"/>
                <w:color w:val="auto"/>
                <w:kern w:val="0"/>
                <w:sz w:val="22"/>
                <w:szCs w:val="22"/>
                <w:highlight w:val="none"/>
                <w:u w:val="none"/>
                <w:lang w:val="en-US" w:eastAsia="zh-CN" w:bidi="ar"/>
              </w:rPr>
              <w:t>须提供不少于10张以上不同功能室的实景渲染图</w:t>
            </w:r>
            <w:r>
              <w:rPr>
                <w:rFonts w:hint="eastAsia" w:ascii="宋体" w:hAnsi="宋体" w:eastAsia="宋体" w:cs="宋体"/>
                <w:i w:val="0"/>
                <w:iCs w:val="0"/>
                <w:color w:val="auto"/>
                <w:kern w:val="0"/>
                <w:sz w:val="22"/>
                <w:szCs w:val="22"/>
                <w:highlight w:val="none"/>
                <w:u w:val="none"/>
                <w:lang w:val="en-US" w:eastAsia="zh-CN" w:bidi="ar"/>
              </w:rPr>
              <w:t>。整体方案项目设计空间布局利用率高、心理功能室符合使用需求；平面图清晰易懂、布局合理，效果图制作符合实际需求等方面进行打分；</w:t>
            </w:r>
            <w:r>
              <w:rPr>
                <w:rFonts w:hint="eastAsia" w:ascii="宋体" w:hAnsi="宋体" w:eastAsia="宋体" w:cs="宋体"/>
                <w:b/>
                <w:bCs/>
                <w:i w:val="0"/>
                <w:iCs w:val="0"/>
                <w:color w:val="auto"/>
                <w:kern w:val="0"/>
                <w:sz w:val="22"/>
                <w:szCs w:val="22"/>
                <w:highlight w:val="none"/>
                <w:u w:val="none"/>
                <w:lang w:val="en-US" w:eastAsia="zh-CN" w:bidi="ar"/>
              </w:rPr>
              <w:t>（评分范围：5,4,3,0）</w:t>
            </w:r>
          </w:p>
          <w:p w14:paraId="5C2FA7A9">
            <w:pPr>
              <w:keepNext w:val="0"/>
              <w:keepLines w:val="0"/>
              <w:widowControl/>
              <w:suppressLineNumbers w:val="0"/>
              <w:spacing w:line="360" w:lineRule="auto"/>
              <w:jc w:val="left"/>
              <w:textAlignment w:val="top"/>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2、场馆品牌IP及文化墙设计：</w:t>
            </w:r>
            <w:r>
              <w:rPr>
                <w:rFonts w:hint="eastAsia" w:ascii="宋体" w:hAnsi="宋体" w:eastAsia="宋体" w:cs="宋体"/>
                <w:b w:val="0"/>
                <w:bCs w:val="0"/>
                <w:i w:val="0"/>
                <w:iCs w:val="0"/>
                <w:color w:val="auto"/>
                <w:kern w:val="0"/>
                <w:sz w:val="22"/>
                <w:szCs w:val="22"/>
                <w:highlight w:val="none"/>
                <w:u w:val="none"/>
                <w:lang w:val="en-US" w:eastAsia="zh-CN" w:bidi="ar"/>
              </w:rPr>
              <w:t>根据场馆空间划分及各个功能室设计文化上墙内容，需包含场馆整体logo设计、楼梯、走廊过道、各功能室文化墙设计，提供详细文化设计图小样及上墙位置摆放说明。</w:t>
            </w:r>
            <w:r>
              <w:rPr>
                <w:rFonts w:hint="eastAsia" w:ascii="宋体" w:hAnsi="宋体" w:eastAsia="宋体" w:cs="宋体"/>
                <w:i w:val="0"/>
                <w:iCs w:val="0"/>
                <w:color w:val="auto"/>
                <w:kern w:val="0"/>
                <w:sz w:val="22"/>
                <w:szCs w:val="22"/>
                <w:highlight w:val="none"/>
                <w:u w:val="none"/>
                <w:lang w:val="en-US" w:eastAsia="zh-CN" w:bidi="ar"/>
              </w:rPr>
              <w:t>根据投标人提供的上墙文化设计精美、品牌IP设计具有新意符合项目特点、上墙文创内容布局合理且具有原创性，符合心理功能室审美要求等方面进行打分；</w:t>
            </w:r>
            <w:r>
              <w:rPr>
                <w:rFonts w:hint="eastAsia" w:ascii="宋体" w:hAnsi="宋体" w:eastAsia="宋体" w:cs="宋体"/>
                <w:b/>
                <w:bCs/>
                <w:i w:val="0"/>
                <w:iCs w:val="0"/>
                <w:color w:val="auto"/>
                <w:kern w:val="0"/>
                <w:sz w:val="22"/>
                <w:szCs w:val="22"/>
                <w:highlight w:val="none"/>
                <w:u w:val="none"/>
                <w:lang w:val="en-US" w:eastAsia="zh-CN" w:bidi="ar"/>
              </w:rPr>
              <w:t>（评分范围：5,4,3,0）</w:t>
            </w:r>
          </w:p>
        </w:tc>
      </w:tr>
      <w:tr w14:paraId="37C3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526AB6E">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246364">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项目实施方案</w:t>
            </w:r>
          </w:p>
        </w:tc>
        <w:tc>
          <w:tcPr>
            <w:tcW w:w="37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DD9AB50">
            <w:pPr>
              <w:keepNext w:val="0"/>
              <w:keepLines w:val="0"/>
              <w:widowControl/>
              <w:suppressLineNumbers w:val="0"/>
              <w:spacing w:line="360" w:lineRule="auto"/>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7100DBE2">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根据实施方案的内容（施工进度计划、安全保证措施、质量保证措施、进度保证措施和环境保证措施、运输计划的安排、现场安装管理计划）等，由评委进行打分。（评分范围：5,4,3,0）</w:t>
            </w:r>
          </w:p>
        </w:tc>
      </w:tr>
      <w:tr w14:paraId="5C8A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6"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56BF8A">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CE3446F">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系统功能演示</w:t>
            </w:r>
          </w:p>
        </w:tc>
        <w:tc>
          <w:tcPr>
            <w:tcW w:w="37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E1FB849">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2A1EAD8C">
            <w:pPr>
              <w:keepNext w:val="0"/>
              <w:keepLines w:val="0"/>
              <w:widowControl/>
              <w:suppressLineNumbers w:val="0"/>
              <w:spacing w:line="360" w:lineRule="auto"/>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按照招标文件的演示要求</w:t>
            </w:r>
            <w:r>
              <w:rPr>
                <w:rFonts w:hint="eastAsia" w:ascii="宋体" w:hAnsi="宋体" w:cs="宋体"/>
                <w:b/>
                <w:bCs/>
                <w:i w:val="0"/>
                <w:iCs w:val="0"/>
                <w:color w:val="auto"/>
                <w:kern w:val="0"/>
                <w:sz w:val="22"/>
                <w:szCs w:val="22"/>
                <w:highlight w:val="none"/>
                <w:u w:val="none"/>
                <w:lang w:val="en-US" w:eastAsia="zh-CN" w:bidi="ar"/>
              </w:rPr>
              <w:t>进行打分</w:t>
            </w:r>
            <w:r>
              <w:rPr>
                <w:rFonts w:hint="eastAsia" w:ascii="宋体" w:hAnsi="宋体" w:eastAsia="宋体" w:cs="宋体"/>
                <w:b/>
                <w:bCs/>
                <w:i w:val="0"/>
                <w:iCs w:val="0"/>
                <w:color w:val="auto"/>
                <w:kern w:val="0"/>
                <w:sz w:val="22"/>
                <w:szCs w:val="22"/>
                <w:highlight w:val="none"/>
                <w:u w:val="none"/>
                <w:lang w:val="en-US" w:eastAsia="zh-CN" w:bidi="ar"/>
              </w:rPr>
              <w:t>，最高得15分（需系统演示（提供系统录屏演示，人员不得到达评标现场</w:t>
            </w:r>
            <w:r>
              <w:rPr>
                <w:rFonts w:hint="eastAsia" w:ascii="宋体" w:hAnsi="宋体" w:cs="宋体"/>
                <w:b/>
                <w:bCs/>
                <w:i w:val="0"/>
                <w:iCs w:val="0"/>
                <w:color w:val="auto"/>
                <w:kern w:val="0"/>
                <w:sz w:val="22"/>
                <w:szCs w:val="22"/>
                <w:highlight w:val="none"/>
                <w:u w:val="none"/>
                <w:lang w:val="en-US" w:eastAsia="zh-CN" w:bidi="ar"/>
              </w:rPr>
              <w:t>，</w:t>
            </w:r>
            <w:r>
              <w:rPr>
                <w:rFonts w:hint="eastAsia" w:ascii="宋体" w:hAnsi="宋体" w:eastAsia="宋体" w:cs="宋体"/>
                <w:b/>
                <w:bCs/>
                <w:i w:val="0"/>
                <w:iCs w:val="0"/>
                <w:color w:val="auto"/>
                <w:kern w:val="0"/>
                <w:sz w:val="22"/>
                <w:szCs w:val="22"/>
                <w:highlight w:val="none"/>
                <w:u w:val="none"/>
                <w:lang w:val="en-US" w:eastAsia="zh-CN" w:bidi="ar"/>
              </w:rPr>
              <w:t>演示过程中可增加语音介绍演示内容。））（注：各投标人提供演示U盘（密封），建议提供两个U盘，其中一个作为备用U盘，但不做强制要求，演示时间控制在</w:t>
            </w:r>
            <w:r>
              <w:rPr>
                <w:rFonts w:hint="eastAsia" w:ascii="宋体" w:hAnsi="宋体" w:cs="宋体"/>
                <w:b/>
                <w:bCs/>
                <w:i w:val="0"/>
                <w:iCs w:val="0"/>
                <w:color w:val="auto"/>
                <w:kern w:val="0"/>
                <w:sz w:val="22"/>
                <w:szCs w:val="22"/>
                <w:highlight w:val="none"/>
                <w:u w:val="none"/>
                <w:lang w:val="en-US" w:eastAsia="zh-CN" w:bidi="ar"/>
              </w:rPr>
              <w:t>10</w:t>
            </w:r>
            <w:r>
              <w:rPr>
                <w:rFonts w:hint="eastAsia" w:ascii="宋体" w:hAnsi="宋体" w:eastAsia="宋体" w:cs="宋体"/>
                <w:b/>
                <w:bCs/>
                <w:i w:val="0"/>
                <w:iCs w:val="0"/>
                <w:color w:val="auto"/>
                <w:kern w:val="0"/>
                <w:sz w:val="22"/>
                <w:szCs w:val="22"/>
                <w:highlight w:val="none"/>
                <w:u w:val="none"/>
                <w:lang w:val="en-US" w:eastAsia="zh-CN" w:bidi="ar"/>
              </w:rPr>
              <w:t>分钟之内，</w:t>
            </w:r>
            <w:r>
              <w:rPr>
                <w:rFonts w:hint="eastAsia" w:ascii="宋体" w:hAnsi="宋体" w:cs="宋体"/>
                <w:b/>
                <w:bCs/>
                <w:i w:val="0"/>
                <w:iCs w:val="0"/>
                <w:color w:val="auto"/>
                <w:kern w:val="0"/>
                <w:sz w:val="22"/>
                <w:szCs w:val="22"/>
                <w:highlight w:val="none"/>
                <w:u w:val="none"/>
                <w:lang w:val="en-US" w:eastAsia="zh-CN" w:bidi="ar"/>
              </w:rPr>
              <w:t>超出部分不予评审，</w:t>
            </w:r>
            <w:r>
              <w:rPr>
                <w:rFonts w:hint="eastAsia" w:ascii="宋体" w:hAnsi="宋体" w:eastAsia="宋体" w:cs="宋体"/>
                <w:b/>
                <w:bCs/>
                <w:i w:val="0"/>
                <w:iCs w:val="0"/>
                <w:color w:val="auto"/>
                <w:kern w:val="0"/>
                <w:sz w:val="22"/>
                <w:szCs w:val="22"/>
                <w:highlight w:val="none"/>
                <w:u w:val="none"/>
                <w:lang w:val="en-US" w:eastAsia="zh-CN" w:bidi="ar"/>
              </w:rPr>
              <w:t>无演示不得分</w:t>
            </w:r>
            <w:r>
              <w:rPr>
                <w:rFonts w:hint="eastAsia" w:ascii="宋体" w:hAnsi="宋体" w:cs="宋体"/>
                <w:b/>
                <w:bCs/>
                <w:i w:val="0"/>
                <w:iCs w:val="0"/>
                <w:color w:val="auto"/>
                <w:kern w:val="0"/>
                <w:sz w:val="22"/>
                <w:szCs w:val="22"/>
                <w:highlight w:val="none"/>
                <w:u w:val="none"/>
                <w:lang w:val="en-US" w:eastAsia="zh-CN" w:bidi="ar"/>
              </w:rPr>
              <w:t>；</w:t>
            </w:r>
            <w:r>
              <w:rPr>
                <w:rFonts w:hint="eastAsia" w:ascii="宋体" w:hAnsi="宋体" w:eastAsia="宋体" w:cs="宋体"/>
                <w:b/>
                <w:bCs/>
                <w:i w:val="0"/>
                <w:iCs w:val="0"/>
                <w:color w:val="auto"/>
                <w:kern w:val="0"/>
                <w:sz w:val="22"/>
                <w:szCs w:val="22"/>
                <w:highlight w:val="none"/>
                <w:u w:val="none"/>
                <w:lang w:val="en-US" w:eastAsia="zh-CN" w:bidi="ar"/>
              </w:rPr>
              <w:t>）</w:t>
            </w:r>
          </w:p>
          <w:p w14:paraId="6CD9A340">
            <w:pPr>
              <w:pStyle w:val="6"/>
              <w:spacing w:line="360" w:lineRule="auto"/>
              <w:rPr>
                <w:rFonts w:hint="eastAsia" w:ascii="宋体" w:hAnsi="宋体" w:eastAsia="宋体" w:cs="宋体"/>
                <w:color w:val="auto"/>
                <w:sz w:val="22"/>
                <w:szCs w:val="22"/>
                <w:highlight w:val="none"/>
                <w:lang w:val="en-US" w:eastAsia="zh-CN"/>
              </w:rPr>
            </w:pPr>
            <w:r>
              <w:rPr>
                <w:rFonts w:hint="eastAsia" w:ascii="宋体" w:hAnsi="宋体" w:eastAsia="宋体" w:cs="宋体"/>
                <w:b/>
                <w:bCs/>
                <w:i w:val="0"/>
                <w:iCs w:val="0"/>
                <w:color w:val="auto"/>
                <w:kern w:val="0"/>
                <w:sz w:val="22"/>
                <w:szCs w:val="22"/>
                <w:highlight w:val="none"/>
                <w:u w:val="none"/>
                <w:lang w:val="en-US" w:eastAsia="zh-CN" w:bidi="ar"/>
              </w:rPr>
              <w:t>1）心理自助仪（含云平台系统）：</w:t>
            </w:r>
            <w:r>
              <w:rPr>
                <w:rFonts w:hint="eastAsia" w:ascii="宋体" w:hAnsi="宋体" w:eastAsia="宋体" w:cs="宋体"/>
                <w:i w:val="0"/>
                <w:iCs w:val="0"/>
                <w:color w:val="auto"/>
                <w:kern w:val="0"/>
                <w:sz w:val="22"/>
                <w:szCs w:val="22"/>
                <w:highlight w:val="none"/>
                <w:u w:val="none"/>
                <w:lang w:val="en-US" w:eastAsia="zh-CN" w:bidi="ar"/>
              </w:rPr>
              <w:t>a）系统自带功能不少于会员中心，心理游戏，心理测试，心理教师，心理百科，心理课堂，心理教案，心理悦读，心理预约，心理影院，心理音乐，注意力训练12大功能模块。</w:t>
            </w:r>
            <w:r>
              <w:rPr>
                <w:rFonts w:hint="eastAsia" w:ascii="宋体" w:hAnsi="宋体" w:eastAsia="宋体" w:cs="宋体"/>
                <w:b/>
                <w:bCs/>
                <w:i w:val="0"/>
                <w:iCs w:val="0"/>
                <w:color w:val="auto"/>
                <w:kern w:val="0"/>
                <w:sz w:val="22"/>
                <w:szCs w:val="22"/>
                <w:highlight w:val="none"/>
                <w:u w:val="none"/>
                <w:lang w:val="en-US" w:eastAsia="zh-CN" w:bidi="ar"/>
              </w:rPr>
              <w:t>(评分范围：0.5,0.25,0)</w:t>
            </w:r>
          </w:p>
          <w:p w14:paraId="451684C2">
            <w:pPr>
              <w:pStyle w:val="6"/>
              <w:numPr>
                <w:ilvl w:val="0"/>
                <w:numId w:val="0"/>
              </w:numPr>
              <w:spacing w:line="360" w:lineRule="auto"/>
              <w:rPr>
                <w:rFonts w:hint="eastAsia" w:ascii="宋体" w:hAnsi="宋体" w:eastAsia="宋体" w:cs="宋体"/>
                <w:color w:val="auto"/>
                <w:sz w:val="22"/>
                <w:szCs w:val="22"/>
                <w:highlight w:val="none"/>
                <w:lang w:val="en-US" w:eastAsia="zh-CN"/>
              </w:rPr>
            </w:pPr>
            <w:r>
              <w:rPr>
                <w:rFonts w:hint="eastAsia" w:ascii="宋体" w:hAnsi="宋体" w:eastAsia="宋体" w:cs="宋体"/>
                <w:b/>
                <w:bCs/>
                <w:i w:val="0"/>
                <w:iCs w:val="0"/>
                <w:color w:val="auto"/>
                <w:kern w:val="0"/>
                <w:sz w:val="22"/>
                <w:szCs w:val="22"/>
                <w:highlight w:val="none"/>
                <w:u w:val="none"/>
                <w:lang w:val="en-US" w:eastAsia="zh-CN" w:bidi="ar"/>
              </w:rPr>
              <w:t>2)心理测评档案及管理系统（网络版）</w:t>
            </w:r>
            <w:r>
              <w:rPr>
                <w:rFonts w:hint="eastAsia" w:ascii="宋体" w:hAnsi="宋体" w:eastAsia="宋体" w:cs="宋体"/>
                <w:i w:val="0"/>
                <w:iCs w:val="0"/>
                <w:color w:val="auto"/>
                <w:kern w:val="0"/>
                <w:sz w:val="22"/>
                <w:szCs w:val="22"/>
                <w:highlight w:val="none"/>
                <w:u w:val="none"/>
                <w:lang w:val="en-US" w:eastAsia="zh-CN" w:bidi="ar"/>
              </w:rPr>
              <w:t>：a）系统功能不少于13项目：系统设置、量表管理、测评计划、危机干预、档案中心、资源中心、预约管理、在线问答、调查问卷、信息发布、功能室模块、朋辈心理、科研管理。b）心理筛查功能：可根据预警因子信息，自动筛查需要干预的人员，并出具预警团体报告。后台可自由查看被预警人员的被预警因子信息、预警因子包含的题目答题选项和分值情况，生成个人异常心理报告，便于展开后续的个性化的心理干预辅导。所有报告均支持打印输出。</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16A7BA72">
            <w:pPr>
              <w:pStyle w:val="6"/>
              <w:numPr>
                <w:ilvl w:val="0"/>
                <w:numId w:val="0"/>
              </w:numPr>
              <w:spacing w:line="360" w:lineRule="auto"/>
              <w:rPr>
                <w:rFonts w:hint="eastAsia" w:ascii="宋体" w:hAnsi="宋体" w:eastAsia="宋体" w:cs="宋体"/>
                <w:color w:val="auto"/>
                <w:sz w:val="22"/>
                <w:szCs w:val="22"/>
                <w:highlight w:val="none"/>
                <w:lang w:val="en-US" w:eastAsia="zh-CN"/>
              </w:rPr>
            </w:pPr>
            <w:r>
              <w:rPr>
                <w:rFonts w:hint="eastAsia" w:ascii="宋体" w:hAnsi="宋体" w:eastAsia="宋体" w:cs="宋体"/>
                <w:b/>
                <w:bCs/>
                <w:i w:val="0"/>
                <w:iCs w:val="0"/>
                <w:color w:val="auto"/>
                <w:kern w:val="0"/>
                <w:sz w:val="22"/>
                <w:szCs w:val="22"/>
                <w:highlight w:val="none"/>
                <w:u w:val="none"/>
                <w:lang w:val="en-US" w:eastAsia="zh-CN" w:bidi="ar"/>
              </w:rPr>
              <w:t>3)情绪倾诉亭：</w:t>
            </w:r>
            <w:r>
              <w:rPr>
                <w:rFonts w:hint="eastAsia" w:ascii="宋体" w:hAnsi="宋体" w:eastAsia="宋体" w:cs="宋体"/>
                <w:i w:val="0"/>
                <w:iCs w:val="0"/>
                <w:color w:val="auto"/>
                <w:kern w:val="0"/>
                <w:sz w:val="22"/>
                <w:szCs w:val="22"/>
                <w:highlight w:val="none"/>
                <w:u w:val="none"/>
                <w:lang w:val="en-US" w:eastAsia="zh-CN" w:bidi="ar"/>
              </w:rPr>
              <w:t>a）</w:t>
            </w:r>
            <w:r>
              <w:rPr>
                <w:rFonts w:hint="eastAsia" w:ascii="宋体" w:hAnsi="宋体" w:eastAsia="宋体" w:cs="宋体"/>
                <w:i w:val="0"/>
                <w:iCs w:val="0"/>
                <w:color w:val="auto"/>
                <w:kern w:val="0"/>
                <w:sz w:val="22"/>
                <w:szCs w:val="22"/>
                <w:highlight w:val="none"/>
                <w:u w:val="none"/>
                <w:lang w:val="en-US" w:eastAsia="zh-Hans" w:bidi="ar"/>
              </w:rPr>
              <w:t>心理课堂：平台不少于500多学时的网络课程，内容包括但不限于父母学堂、婚恋家庭、人际关系、情绪管理、睡眠健康、个体提升等六个模块的功能，来访者可在系统内里面及时收听学习，也可以通过手机微信扫码在家里及其他地方进行学习。</w:t>
            </w:r>
            <w:r>
              <w:rPr>
                <w:rFonts w:hint="eastAsia" w:ascii="宋体" w:hAnsi="宋体" w:eastAsia="宋体" w:cs="宋体"/>
                <w:i w:val="0"/>
                <w:iCs w:val="0"/>
                <w:color w:val="auto"/>
                <w:kern w:val="0"/>
                <w:sz w:val="22"/>
                <w:szCs w:val="22"/>
                <w:highlight w:val="none"/>
                <w:u w:val="none"/>
                <w:lang w:val="en-US" w:eastAsia="zh-CN" w:bidi="ar"/>
              </w:rPr>
              <w:t>b）心理测评：提供免费的专业测评及趣味测评，专业测评包含心理健康、压力应对、睡眠质量等量表：趣味测评包含爱情、社交、性格、家庭等量表。系统内置量表不少于20个量表。通过心理量表，了解用户心理健康状况和心理潜能优势，并拥有心理危机预警功能，提醒心理咨询师重点关注，及时开展心理危机干预。</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18D48D4D">
            <w:pPr>
              <w:numPr>
                <w:ilvl w:val="0"/>
                <w:numId w:val="0"/>
              </w:numPr>
              <w:spacing w:line="360" w:lineRule="auto"/>
              <w:ind w:left="0" w:leftChars="0" w:firstLine="0" w:firstLineChars="0"/>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lang w:val="en-US" w:eastAsia="zh-CN" w:bidi="ar"/>
              </w:rPr>
              <w:t>4）</w:t>
            </w:r>
            <w:r>
              <w:rPr>
                <w:rFonts w:hint="eastAsia" w:ascii="宋体" w:hAnsi="宋体" w:eastAsia="宋体" w:cs="宋体"/>
                <w:b/>
                <w:bCs/>
                <w:i w:val="0"/>
                <w:iCs w:val="0"/>
                <w:color w:val="auto"/>
                <w:kern w:val="0"/>
                <w:sz w:val="22"/>
                <w:szCs w:val="22"/>
                <w:highlight w:val="none"/>
                <w:u w:val="none"/>
                <w:lang w:val="en-US" w:eastAsia="zh-CN" w:bidi="ar"/>
              </w:rPr>
              <w:t>大脑健康检测仪：</w:t>
            </w:r>
            <w:r>
              <w:rPr>
                <w:rFonts w:hint="eastAsia" w:ascii="宋体" w:hAnsi="宋体" w:eastAsia="宋体" w:cs="宋体"/>
                <w:i w:val="0"/>
                <w:iCs w:val="0"/>
                <w:color w:val="auto"/>
                <w:kern w:val="0"/>
                <w:sz w:val="22"/>
                <w:szCs w:val="22"/>
                <w:highlight w:val="none"/>
                <w:u w:val="none"/>
                <w:lang w:val="en-US" w:eastAsia="zh-CN" w:bidi="ar"/>
              </w:rPr>
              <w:t>a）可检测不少于十二个大脑区，分别为左脑背侧、右脑内侧、脑皮质、皮质下交叉纵横部、脑干、胼胝体、脑干延髓部、小脑、脑白质、交感神经、星形胶质、锥体细胞。其中部分大脑区包含多个小功能区。b）共检测不少于全脑共43个脑区及神经系统（运动动作、协调、触觉、记忆、视觉、视觉处理、语言、声音、理解、味觉、嗅觉、思考、计划、判断、感受、情绪、认知、空间认知、海马体、大脑额叶联合区、体运动感觉联合区、空间信号联合区、自我约束联合区、边缘系统联合区、内容信号联合区、大脑皮质、眶额叶皮质联合区、基底神经节联合区、丘脑功能联合区、大脑后部感知信号分析传输功能、脑干功能、胼胝体膝部、胼胝体体部、胼胝体压部、脑干网状激活系统、中央灰质联合区、小脑（左）、小脑（右）、蚯蚓体连接处、脑白质、交感神经、星形胶质、脑白质）；c）报告单中可出具不少于12张脑区还原示意图：左脑背侧区、右脑内侧区、脑皮质功能区、皮质下交叉纵横部功能区、脑干功能区、胼胝体功能区、脑干延髓部功能区、小脑功能区、脑白质区、交感神经功能区、星形胶质细胞功能区、锥体细胞功能区。</w:t>
            </w:r>
            <w:r>
              <w:rPr>
                <w:rFonts w:hint="eastAsia" w:ascii="宋体" w:hAnsi="宋体" w:eastAsia="宋体" w:cs="宋体"/>
                <w:b/>
                <w:bCs/>
                <w:i w:val="0"/>
                <w:iCs w:val="0"/>
                <w:color w:val="auto"/>
                <w:kern w:val="0"/>
                <w:sz w:val="22"/>
                <w:szCs w:val="22"/>
                <w:highlight w:val="none"/>
                <w:u w:val="none"/>
                <w:lang w:val="en-US" w:eastAsia="zh-CN" w:bidi="ar"/>
              </w:rPr>
              <w:t>(评分范围：1.5,1,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35592823">
            <w:pPr>
              <w:numPr>
                <w:ilvl w:val="0"/>
                <w:numId w:val="0"/>
              </w:numPr>
              <w:spacing w:line="360" w:lineRule="auto"/>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lang w:val="en-US" w:eastAsia="zh-CN" w:bidi="ar"/>
              </w:rPr>
              <w:t>5）</w:t>
            </w:r>
            <w:r>
              <w:rPr>
                <w:rFonts w:hint="eastAsia" w:ascii="宋体" w:hAnsi="宋体" w:eastAsia="宋体" w:cs="宋体"/>
                <w:b/>
                <w:bCs/>
                <w:i w:val="0"/>
                <w:iCs w:val="0"/>
                <w:color w:val="auto"/>
                <w:kern w:val="0"/>
                <w:sz w:val="22"/>
                <w:szCs w:val="22"/>
                <w:highlight w:val="none"/>
                <w:u w:val="none"/>
                <w:lang w:val="en-US" w:eastAsia="zh-CN" w:bidi="ar"/>
              </w:rPr>
              <w:t>AR智能感应投影沙盘：</w:t>
            </w:r>
            <w:r>
              <w:rPr>
                <w:rFonts w:hint="eastAsia" w:ascii="宋体" w:hAnsi="宋体" w:eastAsia="宋体" w:cs="宋体"/>
                <w:i w:val="0"/>
                <w:iCs w:val="0"/>
                <w:color w:val="auto"/>
                <w:kern w:val="0"/>
                <w:sz w:val="22"/>
                <w:szCs w:val="22"/>
                <w:highlight w:val="none"/>
                <w:u w:val="none"/>
                <w:lang w:val="en-US" w:eastAsia="zh-CN" w:bidi="ar"/>
              </w:rPr>
              <w:t>a）AR互动场景应不少于10个场景。其中应包含（水的流动、生态系统、火山爆发、泥滩体验）等多种场景。b）投影互动方式至少包含：堆高成山、挥手下雨、下挖成河、拍打驱赶、制作火山、挥手音乐等不少于6种互动方式。</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07DD3DD6">
            <w:pPr>
              <w:numPr>
                <w:ilvl w:val="0"/>
                <w:numId w:val="0"/>
              </w:numPr>
              <w:spacing w:line="360" w:lineRule="auto"/>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6）脑波灯反馈放松训练系统（含脑波反馈训练系统）：</w:t>
            </w:r>
            <w:r>
              <w:rPr>
                <w:rFonts w:hint="eastAsia" w:ascii="宋体" w:hAnsi="宋体" w:eastAsia="宋体" w:cs="宋体"/>
                <w:i w:val="0"/>
                <w:iCs w:val="0"/>
                <w:color w:val="auto"/>
                <w:kern w:val="0"/>
                <w:sz w:val="22"/>
                <w:szCs w:val="22"/>
                <w:highlight w:val="none"/>
                <w:u w:val="none"/>
                <w:lang w:val="en-US" w:eastAsia="zh-CN" w:bidi="ar"/>
              </w:rPr>
              <w:t>a）脑波数据实时监测，能够实时动态监测和记录专注度，放松度及α波、β波、θ波、δ波、γ波8个等EET参数，专注度和放松度输出频率为1HZ。b）软件功能至少包含：数据监测、集中训练、放松训练、数据分析、用户管理、系统介绍、连接设置。</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5B96D205">
            <w:pPr>
              <w:numPr>
                <w:ilvl w:val="0"/>
                <w:numId w:val="0"/>
              </w:numPr>
              <w:spacing w:line="360" w:lineRule="auto"/>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7）HRV生物反馈系统+音乐按摩放松椅（台车版）：</w:t>
            </w:r>
            <w:r>
              <w:rPr>
                <w:rFonts w:hint="eastAsia" w:ascii="宋体" w:hAnsi="宋体" w:eastAsia="宋体" w:cs="宋体"/>
                <w:i w:val="0"/>
                <w:iCs w:val="0"/>
                <w:color w:val="auto"/>
                <w:kern w:val="0"/>
                <w:sz w:val="22"/>
                <w:szCs w:val="22"/>
                <w:highlight w:val="none"/>
                <w:u w:val="none"/>
                <w:lang w:val="en-US" w:eastAsia="zh-CN" w:bidi="ar"/>
              </w:rPr>
              <w:t>a）压力评估（通过权威压力评估常模进行压力测试，从生理，情绪，行为和认知全方面进行评估，评估后训练者可以准确的了解自己当前的压力指数，并可以获得压力管理指导建议。b）调节训练（主要包含放松训练，音乐调试与自主调三大类调节训练模式，通过评估训练后的指导建议进行不同方面的训练。</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4511D333">
            <w:pPr>
              <w:numPr>
                <w:ilvl w:val="0"/>
                <w:numId w:val="0"/>
              </w:numPr>
              <w:spacing w:line="360" w:lineRule="auto"/>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8）便携式PaD生物反馈音乐按摩放松椅：</w:t>
            </w:r>
            <w:r>
              <w:rPr>
                <w:rFonts w:hint="eastAsia" w:ascii="宋体" w:hAnsi="宋体" w:eastAsia="宋体" w:cs="宋体"/>
                <w:i w:val="0"/>
                <w:iCs w:val="0"/>
                <w:color w:val="auto"/>
                <w:kern w:val="0"/>
                <w:sz w:val="22"/>
                <w:szCs w:val="22"/>
                <w:highlight w:val="none"/>
                <w:u w:val="none"/>
                <w:lang w:val="en-US" w:eastAsia="zh-CN" w:bidi="ar"/>
              </w:rPr>
              <w:t>a）健康监测：运专业身心评估算法采集用户各项生理指标数据，专用生理指标采集仪采集用户HRV/心率/血氧/RR间接/PNN50等数据解析并且生成图文报告，由柱形图、散点图呈现用户的抗压、血液活性、情绪稳定、自助神经、疲劳程度、呼吸、情绪状态、RR间接的数据，并且根据这些数据自动给出心率脉搏/血氧饱和度/HRV变异性的指标建议，并提供训练建议以及食疗建议。根据所采集的用户生理数据自动推荐适合用户的调适音乐。b）EMDR眼动脱敏：EMDR是一个治疗创伤后应激障碍（PTSD）非常有效果的心理治疗方法，并且EMDR是在国外治疗PTSD的方法中使用最广泛的心理治疗方法，提供包含家暴、车祸、泥石流等10余种治疗场景，系统由评估-脱敏-自我调节三个大步骤与历史采集与治疗计划、准备阶段、评估、脱敏、置入、身体扫描、收尾、重新评估8个治疗流程严格组成，从评估到脱敏以及自我调节完成整个系统的治疗闭环。c）应激训练：提供≥10余种包含家暴、泥石流、车祸、地震、战争等应激场景，通过问卷式的互动方式训练与植入来访者在面对以外情况发生时的应处方式。</w:t>
            </w:r>
            <w:r>
              <w:rPr>
                <w:rFonts w:hint="eastAsia" w:ascii="宋体" w:hAnsi="宋体" w:eastAsia="宋体" w:cs="宋体"/>
                <w:b/>
                <w:bCs/>
                <w:i w:val="0"/>
                <w:iCs w:val="0"/>
                <w:color w:val="auto"/>
                <w:kern w:val="0"/>
                <w:sz w:val="22"/>
                <w:szCs w:val="22"/>
                <w:highlight w:val="none"/>
                <w:u w:val="none"/>
                <w:lang w:val="en-US" w:eastAsia="zh-CN" w:bidi="ar"/>
              </w:rPr>
              <w:t>(评分范围：1.5,1,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4B614CA2">
            <w:pPr>
              <w:pStyle w:val="18"/>
              <w:numPr>
                <w:ilvl w:val="0"/>
                <w:numId w:val="0"/>
              </w:numPr>
              <w:tabs>
                <w:tab w:val="left" w:pos="567"/>
              </w:tabs>
              <w:spacing w:line="360" w:lineRule="auto"/>
              <w:ind w:left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9)脑波反馈肌肉按摩放松一体机：</w:t>
            </w:r>
            <w:r>
              <w:rPr>
                <w:rFonts w:hint="eastAsia" w:ascii="宋体" w:hAnsi="宋体" w:eastAsia="宋体" w:cs="宋体"/>
                <w:i w:val="0"/>
                <w:iCs w:val="0"/>
                <w:color w:val="auto"/>
                <w:kern w:val="0"/>
                <w:sz w:val="22"/>
                <w:szCs w:val="22"/>
                <w:highlight w:val="none"/>
                <w:u w:val="none"/>
                <w:lang w:val="en-US" w:eastAsia="zh-CN" w:bidi="ar"/>
              </w:rPr>
              <w:t>a）专注度和放松度测试训练，提供至少9种注意力训练方法，提供音乐放松训练功能，所有训练自动数据记录和分析。b）系统具备统计分析功能，可对采集者的训练数据进行统计分析，用曲线图，饼状图，柱状图等形式显示分析结果，对训练效果进行评价，并自动生成报告，训练报告采用WORD等格式，支持多用户管理，管理员对训练记录统一管理，可生成所有用户的报告。</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r>
              <w:rPr>
                <w:rFonts w:hint="eastAsia" w:ascii="宋体" w:hAnsi="宋体" w:eastAsia="宋体" w:cs="宋体"/>
                <w:b/>
                <w:bCs/>
                <w:i w:val="0"/>
                <w:iCs w:val="0"/>
                <w:color w:val="auto"/>
                <w:kern w:val="0"/>
                <w:sz w:val="22"/>
                <w:szCs w:val="22"/>
                <w:highlight w:val="none"/>
                <w:u w:val="none"/>
                <w:lang w:val="en-US" w:eastAsia="zh-CN" w:bidi="ar"/>
              </w:rPr>
              <w:br w:type="textWrapping"/>
            </w:r>
            <w:r>
              <w:rPr>
                <w:rFonts w:hint="eastAsia" w:ascii="宋体" w:hAnsi="宋体" w:eastAsia="宋体" w:cs="宋体"/>
                <w:b/>
                <w:bCs/>
                <w:i w:val="0"/>
                <w:iCs w:val="0"/>
                <w:color w:val="auto"/>
                <w:kern w:val="0"/>
                <w:sz w:val="22"/>
                <w:szCs w:val="22"/>
                <w:highlight w:val="none"/>
                <w:u w:val="none"/>
                <w:lang w:val="en-US" w:eastAsia="zh-CN" w:bidi="ar"/>
              </w:rPr>
              <w:t>10)VR音乐放松宣泄系统（团体版）1拖4平台含放松椅</w:t>
            </w:r>
            <w:r>
              <w:rPr>
                <w:rFonts w:hint="eastAsia" w:ascii="宋体" w:hAnsi="宋体" w:eastAsia="宋体" w:cs="宋体"/>
                <w:i w:val="0"/>
                <w:iCs w:val="0"/>
                <w:color w:val="auto"/>
                <w:kern w:val="0"/>
                <w:sz w:val="22"/>
                <w:szCs w:val="22"/>
                <w:highlight w:val="none"/>
                <w:u w:val="none"/>
                <w:lang w:val="en-US" w:eastAsia="zh-CN" w:bidi="ar"/>
              </w:rPr>
              <w:t>：a）系统需采用C/S结构一对一的模式，分为心理咨询师操作端、用户端、综合数据管理平台。由综合数据管理平台对用户端进行全程管理，软件场景库系统具有9大训练模块（自然治疗、催眠治疗、共振呼吸、脱敏疗法、音乐治疗、认知引导、松弛治疗、中医五行、智能治疗（团体端独有），系统包含生物反馈设备：脉率检测设备、动态血氧实时监测，自动档案评估系统和阈值测定系统等。b）同步性：个体治疗实时监控用户端使用者的操作状态，数据的有效传输；团体治疗实现一个中控平台最多控制80台团体VR终端。c）丰富场景选择：51种自然场景包括：浩瀚星辰、草原之春、呼吸放松、中式田园 宁静草原、森林深处、夜晚火焰、冰雪之城等，并可根据场景不同属性分类自主匹配训练项目，点击即可自由从动态全景和静态全景之间做自由切换。d）自动化报告：调适结束后可点击查看当前训练疗程内各个训练场景的训练情况、自评情况，医师可对本次训练进行评估、记录、并保存所有训练数据，结束训练后，系统数据自动上传并生成报告。</w:t>
            </w:r>
            <w:r>
              <w:rPr>
                <w:rFonts w:hint="eastAsia" w:ascii="宋体" w:hAnsi="宋体" w:eastAsia="宋体" w:cs="宋体"/>
                <w:b/>
                <w:bCs/>
                <w:i w:val="0"/>
                <w:iCs w:val="0"/>
                <w:color w:val="auto"/>
                <w:kern w:val="0"/>
                <w:sz w:val="22"/>
                <w:szCs w:val="22"/>
                <w:highlight w:val="none"/>
                <w:u w:val="none"/>
                <w:lang w:val="en-US" w:eastAsia="zh-CN" w:bidi="ar"/>
              </w:rPr>
              <w:t>(评分范围：2,</w:t>
            </w:r>
            <w:r>
              <w:rPr>
                <w:rFonts w:hint="eastAsia" w:ascii="宋体" w:hAnsi="宋体" w:cs="宋体"/>
                <w:b/>
                <w:bCs/>
                <w:i w:val="0"/>
                <w:iCs w:val="0"/>
                <w:color w:val="auto"/>
                <w:kern w:val="0"/>
                <w:sz w:val="22"/>
                <w:szCs w:val="22"/>
                <w:highlight w:val="none"/>
                <w:u w:val="none"/>
                <w:lang w:val="en-US" w:eastAsia="zh-CN" w:bidi="ar"/>
              </w:rPr>
              <w:t>1.5,</w:t>
            </w:r>
            <w:r>
              <w:rPr>
                <w:rFonts w:hint="eastAsia" w:ascii="宋体" w:hAnsi="宋体" w:eastAsia="宋体" w:cs="宋体"/>
                <w:b/>
                <w:bCs/>
                <w:i w:val="0"/>
                <w:iCs w:val="0"/>
                <w:color w:val="auto"/>
                <w:kern w:val="0"/>
                <w:sz w:val="22"/>
                <w:szCs w:val="22"/>
                <w:highlight w:val="none"/>
                <w:u w:val="none"/>
                <w:lang w:val="en-US" w:eastAsia="zh-CN" w:bidi="ar"/>
              </w:rPr>
              <w:t>1,</w:t>
            </w:r>
            <w:r>
              <w:rPr>
                <w:rFonts w:hint="eastAsia" w:ascii="宋体" w:hAnsi="宋体" w:cs="宋体"/>
                <w:b/>
                <w:bCs/>
                <w:i w:val="0"/>
                <w:iCs w:val="0"/>
                <w:color w:val="auto"/>
                <w:kern w:val="0"/>
                <w:sz w:val="22"/>
                <w:szCs w:val="22"/>
                <w:highlight w:val="none"/>
                <w:u w:val="none"/>
                <w:lang w:val="en-US" w:eastAsia="zh-CN" w:bidi="ar"/>
              </w:rPr>
              <w:t>0.5,</w:t>
            </w:r>
            <w:r>
              <w:rPr>
                <w:rFonts w:hint="eastAsia" w:ascii="宋体" w:hAnsi="宋体" w:eastAsia="宋体" w:cs="宋体"/>
                <w:b/>
                <w:bCs/>
                <w:i w:val="0"/>
                <w:iCs w:val="0"/>
                <w:color w:val="auto"/>
                <w:kern w:val="0"/>
                <w:sz w:val="22"/>
                <w:szCs w:val="22"/>
                <w:highlight w:val="none"/>
                <w:u w:val="none"/>
                <w:lang w:val="en-US" w:eastAsia="zh-CN" w:bidi="ar"/>
              </w:rPr>
              <w:t>0)</w:t>
            </w:r>
          </w:p>
          <w:p w14:paraId="5C0B154B">
            <w:pPr>
              <w:pStyle w:val="18"/>
              <w:numPr>
                <w:ilvl w:val="0"/>
                <w:numId w:val="0"/>
              </w:numPr>
              <w:tabs>
                <w:tab w:val="left" w:pos="567"/>
              </w:tabs>
              <w:spacing w:line="360" w:lineRule="auto"/>
              <w:ind w:left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11)VR互动自行车：</w:t>
            </w:r>
            <w:r>
              <w:rPr>
                <w:rFonts w:hint="eastAsia" w:ascii="宋体" w:hAnsi="宋体" w:eastAsia="宋体" w:cs="宋体"/>
                <w:i w:val="0"/>
                <w:iCs w:val="0"/>
                <w:color w:val="auto"/>
                <w:kern w:val="0"/>
                <w:sz w:val="22"/>
                <w:szCs w:val="22"/>
                <w:highlight w:val="none"/>
                <w:u w:val="none"/>
                <w:lang w:val="en-US" w:eastAsia="zh-CN" w:bidi="ar"/>
              </w:rPr>
              <w:t>a）心理放松骑行，用户骑着自行车在树林和湖边休闲的骑行，看看周围的风景，模拟在户外运动放松状态，达到身心放松的效果。b）运动宣泄骑行，用户化身摩托车手，驾驶摩托车在山上进行各种跳跃，躲避不同障碍物，充分调动用户积极性，达到运动宣泄的作用。</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6DA31C91">
            <w:pPr>
              <w:numPr>
                <w:ilvl w:val="0"/>
                <w:numId w:val="0"/>
              </w:numPr>
              <w:spacing w:line="360" w:lineRule="auto"/>
              <w:ind w:left="0" w:leftChars="0" w:firstLine="0" w:firstLineChars="0"/>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12)脑波对抗机：</w:t>
            </w:r>
            <w:r>
              <w:rPr>
                <w:rFonts w:hint="eastAsia" w:ascii="宋体" w:hAnsi="宋体" w:eastAsia="宋体" w:cs="宋体"/>
                <w:i w:val="0"/>
                <w:iCs w:val="0"/>
                <w:color w:val="auto"/>
                <w:kern w:val="0"/>
                <w:sz w:val="22"/>
                <w:szCs w:val="22"/>
                <w:highlight w:val="none"/>
                <w:u w:val="none"/>
                <w:lang w:val="en-US" w:eastAsia="zh-CN" w:bidi="ar"/>
              </w:rPr>
              <w:t>a）脑波检测仪为固定在主控台两侧的U型支架结构，训练者在使用时将前额清洁后，确保前额皮肤贴紧支架内侧的三个电极，实时采集前额脑波数据。提供设计图稿或产品实拍图或视频。b）可切换专注度训练模式和放松度训练模式；c）内置音响，提供比赛开始、比赛获胜、背景音乐、加油助威等声音效果。</w:t>
            </w:r>
            <w:r>
              <w:rPr>
                <w:rFonts w:hint="eastAsia" w:ascii="宋体" w:hAnsi="宋体" w:eastAsia="宋体" w:cs="宋体"/>
                <w:b/>
                <w:bCs/>
                <w:i w:val="0"/>
                <w:iCs w:val="0"/>
                <w:color w:val="auto"/>
                <w:kern w:val="0"/>
                <w:sz w:val="22"/>
                <w:szCs w:val="22"/>
                <w:highlight w:val="none"/>
                <w:u w:val="none"/>
                <w:lang w:val="en-US" w:eastAsia="zh-CN" w:bidi="ar"/>
              </w:rPr>
              <w:t>(评分范围：1.5,1,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p w14:paraId="4D687F93">
            <w:pPr>
              <w:pStyle w:val="18"/>
              <w:tabs>
                <w:tab w:val="left" w:pos="567"/>
              </w:tabs>
              <w:spacing w:line="360" w:lineRule="auto"/>
              <w:ind w:left="0" w:leftChars="0" w:firstLine="0" w:firstLineChars="0"/>
              <w:rPr>
                <w:rFonts w:hint="eastAsia" w:ascii="宋体" w:hAnsi="宋体" w:eastAsia="宋体" w:cs="宋体"/>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13）静态UI数据系统：</w:t>
            </w:r>
            <w:r>
              <w:rPr>
                <w:rFonts w:hint="eastAsia" w:ascii="宋体" w:hAnsi="宋体" w:eastAsia="宋体" w:cs="宋体"/>
                <w:i w:val="0"/>
                <w:iCs w:val="0"/>
                <w:color w:val="auto"/>
                <w:kern w:val="0"/>
                <w:sz w:val="22"/>
                <w:szCs w:val="22"/>
                <w:highlight w:val="none"/>
                <w:u w:val="none"/>
                <w:lang w:val="en-US" w:eastAsia="zh-CN" w:bidi="ar"/>
              </w:rPr>
              <w:t>a）三色预警模块支持管理后台自定义数据及颜色分类管理，支持鼠标滑动详情展示。b）实时天气及数据位置信息通过互联网实时更新展示。</w:t>
            </w:r>
            <w:r>
              <w:rPr>
                <w:rFonts w:hint="eastAsia" w:ascii="宋体" w:hAnsi="宋体" w:eastAsia="宋体" w:cs="宋体"/>
                <w:b/>
                <w:bCs/>
                <w:i w:val="0"/>
                <w:iCs w:val="0"/>
                <w:color w:val="auto"/>
                <w:kern w:val="0"/>
                <w:sz w:val="22"/>
                <w:szCs w:val="22"/>
                <w:highlight w:val="none"/>
                <w:u w:val="none"/>
                <w:lang w:val="en-US" w:eastAsia="zh-CN" w:bidi="ar"/>
              </w:rPr>
              <w:t>(评分范围：1,</w:t>
            </w:r>
            <w:r>
              <w:rPr>
                <w:rFonts w:hint="eastAsia" w:ascii="宋体" w:hAnsi="宋体" w:cs="宋体"/>
                <w:b/>
                <w:bCs/>
                <w:i w:val="0"/>
                <w:iCs w:val="0"/>
                <w:color w:val="auto"/>
                <w:kern w:val="0"/>
                <w:sz w:val="22"/>
                <w:szCs w:val="22"/>
                <w:highlight w:val="none"/>
                <w:u w:val="none"/>
                <w:lang w:val="en-US" w:eastAsia="zh-CN" w:bidi="ar"/>
              </w:rPr>
              <w:t>0.75,</w:t>
            </w:r>
            <w:r>
              <w:rPr>
                <w:rFonts w:hint="eastAsia" w:ascii="宋体" w:hAnsi="宋体" w:eastAsia="宋体" w:cs="宋体"/>
                <w:b/>
                <w:bCs/>
                <w:i w:val="0"/>
                <w:iCs w:val="0"/>
                <w:color w:val="auto"/>
                <w:kern w:val="0"/>
                <w:sz w:val="22"/>
                <w:szCs w:val="22"/>
                <w:highlight w:val="none"/>
                <w:u w:val="none"/>
                <w:lang w:val="en-US" w:eastAsia="zh-CN" w:bidi="ar"/>
              </w:rPr>
              <w:t>0.5,0)</w:t>
            </w:r>
          </w:p>
        </w:tc>
      </w:tr>
      <w:tr w14:paraId="2631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3BF3D89">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1F6E6DD">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售后服务方案</w:t>
            </w:r>
          </w:p>
        </w:tc>
        <w:tc>
          <w:tcPr>
            <w:tcW w:w="37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78926C">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3</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1A2AB71F">
            <w:pPr>
              <w:keepNext w:val="0"/>
              <w:keepLines w:val="0"/>
              <w:widowControl/>
              <w:suppressLineNumbers w:val="0"/>
              <w:spacing w:line="360" w:lineRule="auto"/>
              <w:jc w:val="left"/>
              <w:textAlignment w:val="top"/>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根据投标人提供的售后服务方案、质保期内外的后续技术支持售后服务承诺的可行性、完整性和故障响应、服务保障措施等进行打分。</w:t>
            </w:r>
            <w:r>
              <w:rPr>
                <w:rFonts w:hint="eastAsia" w:ascii="宋体" w:hAnsi="宋体" w:eastAsia="宋体" w:cs="宋体"/>
                <w:b/>
                <w:bCs/>
                <w:i w:val="0"/>
                <w:iCs w:val="0"/>
                <w:color w:val="auto"/>
                <w:kern w:val="0"/>
                <w:sz w:val="22"/>
                <w:szCs w:val="22"/>
                <w:highlight w:val="none"/>
                <w:u w:val="none"/>
                <w:lang w:val="en-US" w:eastAsia="zh-CN" w:bidi="ar"/>
              </w:rPr>
              <w:t>（评分范围：3,2,1,0）</w:t>
            </w:r>
          </w:p>
        </w:tc>
      </w:tr>
      <w:tr w14:paraId="6E808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6" w:hRule="atLeast"/>
        </w:trPr>
        <w:tc>
          <w:tcPr>
            <w:tcW w:w="25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254422D">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75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8CAB723">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培训计划</w:t>
            </w:r>
          </w:p>
        </w:tc>
        <w:tc>
          <w:tcPr>
            <w:tcW w:w="37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23A4D1F">
            <w:pPr>
              <w:keepNext w:val="0"/>
              <w:keepLines w:val="0"/>
              <w:widowControl/>
              <w:suppressLineNumbers w:val="0"/>
              <w:spacing w:line="360" w:lineRule="auto"/>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3618" w:type="pct"/>
            <w:tcBorders>
              <w:top w:val="single" w:color="000000" w:sz="8" w:space="0"/>
              <w:left w:val="nil"/>
              <w:bottom w:val="single" w:color="000000" w:sz="8" w:space="0"/>
              <w:right w:val="single" w:color="000000" w:sz="8" w:space="0"/>
            </w:tcBorders>
            <w:shd w:val="clear" w:color="auto" w:fill="auto"/>
            <w:vAlign w:val="top"/>
          </w:tcPr>
          <w:p w14:paraId="0A9AA254">
            <w:pPr>
              <w:keepNext w:val="0"/>
              <w:keepLines w:val="0"/>
              <w:widowControl/>
              <w:suppressLineNumbers w:val="0"/>
              <w:spacing w:line="360" w:lineRule="auto"/>
              <w:jc w:val="left"/>
              <w:textAlignment w:val="top"/>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根据投标人给出的培训承诺和培训方案的合理性、计划安排是否及时缜密、培训内容是否科学有效等情况进行打分。</w:t>
            </w:r>
            <w:r>
              <w:rPr>
                <w:rFonts w:hint="eastAsia" w:ascii="宋体" w:hAnsi="宋体" w:eastAsia="宋体" w:cs="宋体"/>
                <w:b/>
                <w:bCs/>
                <w:i w:val="0"/>
                <w:iCs w:val="0"/>
                <w:color w:val="auto"/>
                <w:kern w:val="0"/>
                <w:sz w:val="22"/>
                <w:szCs w:val="22"/>
                <w:highlight w:val="none"/>
                <w:u w:val="none"/>
                <w:lang w:val="en-US" w:eastAsia="zh-CN" w:bidi="ar"/>
              </w:rPr>
              <w:t>（评分范围：3,2,1,0）</w:t>
            </w:r>
          </w:p>
        </w:tc>
      </w:tr>
    </w:tbl>
    <w:p w14:paraId="461A4FEC">
      <w:pPr>
        <w:pStyle w:val="42"/>
        <w:snapToGrid w:val="0"/>
        <w:spacing w:line="460" w:lineRule="atLeast"/>
        <w:ind w:firstLine="0"/>
        <w:rPr>
          <w:rFonts w:hint="eastAsia" w:hAnsi="宋体"/>
          <w:b/>
          <w:bCs/>
          <w:color w:val="auto"/>
          <w:sz w:val="22"/>
          <w:szCs w:val="22"/>
          <w:highlight w:val="none"/>
          <w:lang w:val="en-US" w:eastAsia="zh-CN"/>
        </w:rPr>
      </w:pPr>
      <w:r>
        <w:rPr>
          <w:rFonts w:hint="eastAsia" w:hAnsi="宋体"/>
          <w:b/>
          <w:bCs/>
          <w:color w:val="auto"/>
          <w:sz w:val="22"/>
          <w:szCs w:val="22"/>
          <w:highlight w:val="none"/>
          <w:lang w:val="en-US" w:eastAsia="zh-CN"/>
        </w:rPr>
        <w:t>三</w:t>
      </w:r>
      <w:r>
        <w:rPr>
          <w:rFonts w:hint="eastAsia" w:hAnsi="宋体"/>
          <w:b/>
          <w:bCs/>
          <w:color w:val="auto"/>
          <w:sz w:val="22"/>
          <w:szCs w:val="22"/>
          <w:highlight w:val="none"/>
        </w:rPr>
        <w:t>、说明</w:t>
      </w:r>
    </w:p>
    <w:p w14:paraId="5D7495D5">
      <w:pPr>
        <w:pStyle w:val="42"/>
        <w:snapToGrid w:val="0"/>
        <w:spacing w:line="460" w:lineRule="atLeast"/>
        <w:rPr>
          <w:rFonts w:hint="eastAsia" w:hAnsi="宋体"/>
          <w:color w:val="auto"/>
          <w:sz w:val="22"/>
          <w:szCs w:val="22"/>
          <w:highlight w:val="none"/>
        </w:rPr>
      </w:pPr>
      <w:r>
        <w:rPr>
          <w:rFonts w:hint="eastAsia" w:hAnsi="宋体"/>
          <w:color w:val="auto"/>
          <w:sz w:val="22"/>
          <w:szCs w:val="22"/>
          <w:highlight w:val="none"/>
        </w:rPr>
        <w:t>1、每个供应商最终得分=技术资信部分分值（所有评标委员会成员的算术平均值）＋商务报价部分分值。</w:t>
      </w:r>
    </w:p>
    <w:p w14:paraId="2B0D606C">
      <w:pPr>
        <w:pStyle w:val="42"/>
        <w:snapToGrid w:val="0"/>
        <w:spacing w:line="460" w:lineRule="atLeast"/>
        <w:rPr>
          <w:rFonts w:hint="eastAsia" w:hAnsi="宋体"/>
          <w:color w:val="auto"/>
          <w:sz w:val="22"/>
          <w:szCs w:val="22"/>
          <w:highlight w:val="none"/>
        </w:rPr>
      </w:pPr>
      <w:r>
        <w:rPr>
          <w:rFonts w:hint="eastAsia" w:hAnsi="宋体"/>
          <w:color w:val="auto"/>
          <w:sz w:val="22"/>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14:paraId="7DE86EE4">
      <w:pPr>
        <w:pStyle w:val="42"/>
        <w:snapToGrid w:val="0"/>
        <w:spacing w:line="460" w:lineRule="atLeast"/>
        <w:rPr>
          <w:rFonts w:hint="eastAsia" w:hAnsi="宋体"/>
          <w:color w:val="auto"/>
          <w:sz w:val="22"/>
          <w:szCs w:val="22"/>
          <w:highlight w:val="none"/>
        </w:rPr>
      </w:pPr>
      <w:r>
        <w:rPr>
          <w:rFonts w:hint="eastAsia" w:hAnsi="宋体"/>
          <w:color w:val="auto"/>
          <w:sz w:val="22"/>
          <w:szCs w:val="22"/>
          <w:highlight w:val="none"/>
        </w:rPr>
        <w:t>3、所有分值计算保留小数点后两位，小数点后三位四舍五入。</w:t>
      </w:r>
    </w:p>
    <w:p w14:paraId="77610843">
      <w:pPr>
        <w:pStyle w:val="42"/>
        <w:snapToGrid w:val="0"/>
        <w:spacing w:line="460" w:lineRule="atLeast"/>
        <w:rPr>
          <w:rFonts w:hint="eastAsia" w:hAnsi="宋体"/>
          <w:color w:val="auto"/>
          <w:sz w:val="22"/>
          <w:szCs w:val="22"/>
          <w:highlight w:val="none"/>
        </w:rPr>
      </w:pPr>
      <w:r>
        <w:rPr>
          <w:rFonts w:hint="eastAsia" w:hAnsi="宋体"/>
          <w:color w:val="auto"/>
          <w:sz w:val="22"/>
          <w:szCs w:val="22"/>
          <w:highlight w:val="none"/>
        </w:rPr>
        <w:t>4、评标过程中遇到特殊情况，由评标委员会遵循公开、公正原则，采取投票方式按照少数服从多数原则决定。</w:t>
      </w:r>
    </w:p>
    <w:p w14:paraId="0AB71099">
      <w:pPr>
        <w:pStyle w:val="42"/>
        <w:snapToGrid w:val="0"/>
        <w:spacing w:line="460" w:lineRule="atLeast"/>
        <w:rPr>
          <w:rFonts w:hint="eastAsia" w:ascii="宋体" w:hAnsi="宋体" w:eastAsia="宋体"/>
          <w:color w:val="auto"/>
          <w:sz w:val="22"/>
          <w:szCs w:val="22"/>
          <w:highlight w:val="none"/>
        </w:rPr>
        <w:sectPr>
          <w:pgSz w:w="11907" w:h="16840"/>
          <w:pgMar w:top="1134" w:right="1021" w:bottom="1134" w:left="1021" w:header="720" w:footer="720" w:gutter="0"/>
          <w:pgBorders>
            <w:top w:val="none" w:sz="0" w:space="0"/>
            <w:left w:val="none" w:sz="0" w:space="0"/>
            <w:bottom w:val="none" w:sz="0" w:space="0"/>
            <w:right w:val="none" w:sz="0" w:space="0"/>
          </w:pgBorders>
          <w:cols w:space="720" w:num="1"/>
          <w:docGrid w:linePitch="312" w:charSpace="0"/>
        </w:sectPr>
      </w:pPr>
      <w:r>
        <w:rPr>
          <w:rFonts w:hint="eastAsia" w:ascii="宋体" w:hAnsi="宋体" w:eastAsia="宋体"/>
          <w:color w:val="auto"/>
          <w:sz w:val="22"/>
          <w:szCs w:val="22"/>
          <w:highlight w:val="none"/>
        </w:rPr>
        <w:t>参见本招标文件第三部分：“供应商须知”中的相关内容，未尽事宜按有关法律规定处理</w:t>
      </w:r>
    </w:p>
    <w:p w14:paraId="03F85166">
      <w:pPr>
        <w:pStyle w:val="86"/>
        <w:widowControl w:val="0"/>
        <w:snapToGrid w:val="0"/>
        <w:spacing w:line="480" w:lineRule="exact"/>
        <w:ind w:firstLine="2560" w:firstLineChars="800"/>
        <w:rPr>
          <w:rFonts w:hint="eastAsia" w:ascii="方正小标宋简体" w:hAnsi="方正小标宋简体" w:eastAsia="方正小标宋简体"/>
          <w:color w:val="auto"/>
          <w:sz w:val="32"/>
          <w:szCs w:val="32"/>
          <w:highlight w:val="none"/>
          <w:lang w:eastAsia="zh-CN"/>
        </w:rPr>
      </w:pPr>
      <w:r>
        <w:rPr>
          <w:rFonts w:hint="eastAsia" w:ascii="方正小标宋简体" w:hAnsi="方正小标宋简体" w:eastAsia="方正小标宋简体"/>
          <w:color w:val="auto"/>
          <w:sz w:val="32"/>
          <w:szCs w:val="32"/>
          <w:highlight w:val="none"/>
          <w:lang w:eastAsia="zh-CN"/>
        </w:rPr>
        <w:t>国企采购</w:t>
      </w:r>
      <w:r>
        <w:rPr>
          <w:rFonts w:ascii="方正小标宋简体" w:hAnsi="方正小标宋简体" w:eastAsia="方正小标宋简体"/>
          <w:color w:val="auto"/>
          <w:sz w:val="32"/>
          <w:szCs w:val="32"/>
          <w:highlight w:val="none"/>
        </w:rPr>
        <w:t>活动现场确认声明书</w:t>
      </w:r>
    </w:p>
    <w:p w14:paraId="1E4B2DE9">
      <w:pPr>
        <w:pStyle w:val="86"/>
        <w:widowControl w:val="0"/>
        <w:snapToGrid w:val="0"/>
        <w:spacing w:line="480" w:lineRule="exact"/>
        <w:jc w:val="both"/>
        <w:rPr>
          <w:rFonts w:hint="eastAsia" w:ascii="仿宋" w:hAnsi="仿宋"/>
          <w:color w:val="auto"/>
          <w:kern w:val="0"/>
          <w:szCs w:val="21"/>
          <w:highlight w:val="none"/>
          <w:u w:val="single"/>
          <w:lang w:eastAsia="zh-CN"/>
        </w:rPr>
      </w:pPr>
      <w:r>
        <w:rPr>
          <w:rFonts w:hint="eastAsia" w:ascii="仿宋" w:hAnsi="仿宋"/>
          <w:color w:val="auto"/>
          <w:kern w:val="0"/>
          <w:szCs w:val="21"/>
          <w:highlight w:val="none"/>
          <w:u w:val="single"/>
          <w:lang w:eastAsia="zh-CN"/>
        </w:rPr>
        <w:t>浙江品信工程项目管理有限公司</w:t>
      </w:r>
      <w:r>
        <w:rPr>
          <w:rFonts w:ascii="仿宋" w:hAnsi="仿宋"/>
          <w:color w:val="auto"/>
          <w:kern w:val="0"/>
          <w:szCs w:val="21"/>
          <w:highlight w:val="none"/>
          <w:u w:val="single"/>
        </w:rPr>
        <w:t>（采购组织机构名称）</w:t>
      </w:r>
      <w:r>
        <w:rPr>
          <w:rFonts w:ascii="仿宋" w:hAnsi="仿宋"/>
          <w:color w:val="auto"/>
          <w:kern w:val="0"/>
          <w:szCs w:val="21"/>
          <w:highlight w:val="none"/>
        </w:rPr>
        <w:t>：</w:t>
      </w:r>
    </w:p>
    <w:p w14:paraId="56A31606">
      <w:pPr>
        <w:pStyle w:val="86"/>
        <w:widowControl w:val="0"/>
        <w:snapToGrid w:val="0"/>
        <w:spacing w:line="480" w:lineRule="exact"/>
        <w:ind w:firstLine="444" w:firstLineChars="200"/>
        <w:jc w:val="both"/>
        <w:rPr>
          <w:rFonts w:hAnsi="宋体"/>
          <w:color w:val="auto"/>
          <w:spacing w:val="6"/>
          <w:szCs w:val="21"/>
          <w:highlight w:val="none"/>
          <w:u w:val="singl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平阳县社会心理服务综合体装修、办公家具软装及设备采购(重)</w:t>
      </w:r>
      <w:r>
        <w:rPr>
          <w:rFonts w:hAnsi="宋体"/>
          <w:color w:val="auto"/>
          <w:spacing w:val="6"/>
          <w:szCs w:val="21"/>
          <w:highlight w:val="none"/>
          <w:u w:val="single"/>
        </w:rPr>
        <w:t>（采购编号：</w:t>
      </w:r>
      <w:r>
        <w:rPr>
          <w:rFonts w:hint="eastAsia" w:hAnsi="宋体"/>
          <w:color w:val="auto"/>
          <w:spacing w:val="6"/>
          <w:szCs w:val="21"/>
          <w:highlight w:val="none"/>
          <w:u w:val="single"/>
          <w:lang w:eastAsia="zh-CN"/>
        </w:rPr>
        <w:t>PYCG250731080(重)</w:t>
      </w:r>
      <w:r>
        <w:rPr>
          <w:rFonts w:hAnsi="宋体"/>
          <w:color w:val="auto"/>
          <w:spacing w:val="6"/>
          <w:szCs w:val="21"/>
          <w:highlight w:val="none"/>
          <w:u w:val="single"/>
        </w:rPr>
        <w:t>）</w:t>
      </w:r>
      <w:r>
        <w:rPr>
          <w:rFonts w:hint="eastAsia" w:hAnsi="宋体"/>
          <w:color w:val="auto"/>
          <w:spacing w:val="6"/>
          <w:szCs w:val="21"/>
          <w:highlight w:val="none"/>
          <w:lang w:eastAsia="zh-CN"/>
        </w:rPr>
        <w:t>国企采购</w:t>
      </w:r>
      <w:r>
        <w:rPr>
          <w:rFonts w:hAnsi="宋体"/>
          <w:color w:val="auto"/>
          <w:spacing w:val="6"/>
          <w:szCs w:val="21"/>
          <w:highlight w:val="none"/>
        </w:rPr>
        <w:t xml:space="preserve">活动，经与本单位法人代表（负责人）联系确认，现就有关公平竞争事项郑重声明如下： </w:t>
      </w:r>
    </w:p>
    <w:p w14:paraId="58D3EDDB">
      <w:pPr>
        <w:pStyle w:val="88"/>
        <w:widowControl/>
        <w:numPr>
          <w:ilvl w:val="0"/>
          <w:numId w:val="15"/>
        </w:numPr>
        <w:snapToGrid w:val="0"/>
        <w:spacing w:line="480" w:lineRule="exact"/>
        <w:ind w:firstLine="396" w:firstLineChars="189"/>
        <w:rPr>
          <w:rFonts w:ascii="宋体" w:hAnsi="宋体"/>
          <w:color w:val="auto"/>
          <w:kern w:val="0"/>
          <w:szCs w:val="21"/>
          <w:highlight w:val="none"/>
        </w:rPr>
      </w:pPr>
      <w:r>
        <w:rPr>
          <w:rFonts w:ascii="宋体" w:hAnsi="宋体"/>
          <w:color w:val="auto"/>
          <w:kern w:val="0"/>
          <w:szCs w:val="21"/>
          <w:highlight w:val="none"/>
        </w:rPr>
        <w:t>本单位与采购人之间 □不存在利害关系 □存在下列利害关系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4BB7B7B1">
      <w:pPr>
        <w:pStyle w:val="88"/>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14:paraId="4F6A8133">
      <w:pPr>
        <w:pStyle w:val="88"/>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14:paraId="4EBEA4BE">
      <w:pPr>
        <w:pStyle w:val="88"/>
        <w:widowControl/>
        <w:snapToGrid w:val="0"/>
        <w:spacing w:line="480" w:lineRule="exact"/>
        <w:rPr>
          <w:rFonts w:ascii="宋体" w:hAnsi="宋体"/>
          <w:color w:val="auto"/>
          <w:spacing w:val="6"/>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现已清楚知道参加本项目采购活动的其他所有供应商名称，本单位 □与其他所有供应商之间均不存在利害关系 □与</w:t>
      </w:r>
      <w:r>
        <w:rPr>
          <w:rFonts w:ascii="宋体" w:hAnsi="宋体"/>
          <w:color w:val="auto"/>
          <w:kern w:val="0"/>
          <w:szCs w:val="21"/>
          <w:highlight w:val="none"/>
          <w:u w:val="single"/>
        </w:rPr>
        <w:t xml:space="preserve">           （供应商名称）</w:t>
      </w:r>
      <w:r>
        <w:rPr>
          <w:rFonts w:ascii="宋体" w:hAnsi="宋体"/>
          <w:color w:val="auto"/>
          <w:kern w:val="0"/>
          <w:szCs w:val="21"/>
          <w:highlight w:val="none"/>
        </w:rPr>
        <w:t>之间存在下列利害关系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3F1247D">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14:paraId="1AB356E6">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B.法定代表人或负责人或实际控制人是夫妻关系</w:t>
      </w:r>
    </w:p>
    <w:p w14:paraId="367E5A0B">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C.法定代表人或负责人或实际控制人是直系血亲关系</w:t>
      </w:r>
    </w:p>
    <w:p w14:paraId="7EA747C9">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D.法定代表人或负责人或实际控制人存在三代以内旁系血亲关系</w:t>
      </w:r>
    </w:p>
    <w:p w14:paraId="2413980F">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14:paraId="45F81E4C">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14:paraId="5FB14C2C">
      <w:pPr>
        <w:pStyle w:val="86"/>
        <w:widowControl w:val="0"/>
        <w:snapToGrid w:val="0"/>
        <w:spacing w:line="480" w:lineRule="exact"/>
        <w:jc w:val="both"/>
        <w:outlineLvl w:val="0"/>
        <w:rPr>
          <w:rFonts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14:paraId="6D99D753">
      <w:pPr>
        <w:pStyle w:val="86"/>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14:paraId="06215C2D">
      <w:pPr>
        <w:pStyle w:val="86"/>
        <w:widowControl w:val="0"/>
        <w:snapToGrid w:val="0"/>
        <w:spacing w:line="480" w:lineRule="exact"/>
        <w:jc w:val="both"/>
        <w:rPr>
          <w:rFonts w:ascii="仿宋" w:hAnsi="仿宋"/>
          <w:color w:val="auto"/>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14:paraId="1CE650A3">
      <w:pPr>
        <w:pStyle w:val="88"/>
        <w:widowControl/>
        <w:numPr>
          <w:ilvl w:val="0"/>
          <w:numId w:val="16"/>
        </w:numPr>
        <w:snapToGrid w:val="0"/>
        <w:spacing w:line="480" w:lineRule="exact"/>
        <w:ind w:firstLine="396" w:firstLineChars="189"/>
        <w:rPr>
          <w:rFonts w:ascii="仿宋" w:hAnsi="仿宋"/>
          <w:color w:val="auto"/>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w:t>
      </w:r>
      <w:r>
        <w:rPr>
          <w:rFonts w:hint="eastAsia" w:ascii="仿宋" w:hAnsi="仿宋"/>
          <w:color w:val="auto"/>
          <w:kern w:val="0"/>
          <w:szCs w:val="21"/>
          <w:highlight w:val="none"/>
          <w:lang w:eastAsia="zh-CN"/>
        </w:rPr>
        <w:t>国企采购</w:t>
      </w:r>
      <w:r>
        <w:rPr>
          <w:rFonts w:ascii="仿宋" w:hAnsi="仿宋"/>
          <w:color w:val="auto"/>
          <w:kern w:val="0"/>
          <w:szCs w:val="21"/>
          <w:highlight w:val="none"/>
        </w:rPr>
        <w:t>法律法规和现场纪律。</w:t>
      </w:r>
    </w:p>
    <w:p w14:paraId="37A1EC4C">
      <w:pPr>
        <w:pStyle w:val="88"/>
        <w:widowControl/>
        <w:numPr>
          <w:ilvl w:val="0"/>
          <w:numId w:val="16"/>
        </w:numPr>
        <w:snapToGrid w:val="0"/>
        <w:spacing w:line="480" w:lineRule="exact"/>
        <w:ind w:firstLine="396" w:firstLineChars="189"/>
        <w:rPr>
          <w:rFonts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ascii="仿宋" w:hAnsi="仿宋"/>
          <w:color w:val="auto"/>
          <w:kern w:val="0"/>
          <w:szCs w:val="21"/>
          <w:highlight w:val="none"/>
        </w:rPr>
        <w:t>项利害关系</w:t>
      </w:r>
    </w:p>
    <w:p w14:paraId="326427F9">
      <w:pPr>
        <w:pStyle w:val="86"/>
        <w:widowControl w:val="0"/>
        <w:snapToGrid w:val="0"/>
        <w:spacing w:line="480" w:lineRule="exact"/>
        <w:ind w:firstLine="5040" w:firstLineChars="2400"/>
        <w:jc w:val="both"/>
        <w:rPr>
          <w:rFonts w:ascii="仿宋" w:hAnsi="仿宋"/>
          <w:color w:val="auto"/>
          <w:szCs w:val="21"/>
          <w:highlight w:val="none"/>
        </w:rPr>
      </w:pPr>
      <w:r>
        <w:rPr>
          <w:rFonts w:ascii="仿宋" w:hAnsi="仿宋"/>
          <w:color w:val="auto"/>
          <w:szCs w:val="21"/>
          <w:highlight w:val="none"/>
        </w:rPr>
        <w:t>（供应商代表签名）</w:t>
      </w:r>
    </w:p>
    <w:p w14:paraId="10A0A811">
      <w:pPr>
        <w:pStyle w:val="86"/>
        <w:widowControl w:val="0"/>
        <w:snapToGrid w:val="0"/>
        <w:spacing w:line="480" w:lineRule="exact"/>
        <w:ind w:firstLine="420" w:firstLineChars="200"/>
        <w:jc w:val="both"/>
        <w:rPr>
          <w:rFonts w:ascii="仿宋" w:hAnsi="仿宋"/>
          <w:color w:val="auto"/>
          <w:szCs w:val="21"/>
          <w:highlight w:val="none"/>
        </w:rPr>
      </w:pPr>
      <w:r>
        <w:rPr>
          <w:rFonts w:ascii="仿宋" w:hAnsi="仿宋"/>
          <w:color w:val="auto"/>
          <w:szCs w:val="21"/>
          <w:highlight w:val="none"/>
        </w:rPr>
        <w:t xml:space="preserve">                                              年  月   日</w:t>
      </w:r>
    </w:p>
    <w:p w14:paraId="421ACD8E">
      <w:pPr>
        <w:snapToGrid w:val="0"/>
        <w:ind w:firstLine="442" w:firstLineChars="200"/>
        <w:rPr>
          <w:rFonts w:ascii="宋体" w:hAnsi="宋体"/>
          <w:b/>
          <w:bCs/>
          <w:color w:val="auto"/>
          <w:sz w:val="22"/>
          <w:highlight w:val="none"/>
        </w:rPr>
      </w:pPr>
    </w:p>
    <w:p w14:paraId="7322100F">
      <w:pPr>
        <w:snapToGrid w:val="0"/>
        <w:ind w:firstLine="442" w:firstLineChars="200"/>
        <w:rPr>
          <w:rFonts w:hint="eastAsia" w:ascii="宋体" w:hAnsi="宋体"/>
          <w:b/>
          <w:bCs/>
          <w:color w:val="auto"/>
          <w:sz w:val="22"/>
          <w:highlight w:val="none"/>
        </w:rPr>
      </w:pPr>
      <w:r>
        <w:rPr>
          <w:rFonts w:hint="eastAsia" w:ascii="宋体" w:hAnsi="宋体"/>
          <w:b/>
          <w:bCs/>
          <w:color w:val="auto"/>
          <w:sz w:val="22"/>
          <w:highlight w:val="none"/>
        </w:rPr>
        <w:t>注：投标文件解密结束后，各</w:t>
      </w:r>
      <w:r>
        <w:rPr>
          <w:rFonts w:hint="eastAsia" w:ascii="宋体" w:hAnsi="宋体"/>
          <w:b/>
          <w:bCs/>
          <w:color w:val="auto"/>
          <w:sz w:val="22"/>
          <w:highlight w:val="none"/>
          <w:lang w:eastAsia="zh-CN"/>
        </w:rPr>
        <w:t>投标供应商</w:t>
      </w:r>
      <w:r>
        <w:rPr>
          <w:rFonts w:hint="eastAsia" w:ascii="宋体" w:hAnsi="宋体"/>
          <w:b/>
          <w:bCs/>
          <w:color w:val="auto"/>
          <w:sz w:val="22"/>
          <w:highlight w:val="none"/>
        </w:rPr>
        <w:t>签署《</w:t>
      </w:r>
      <w:r>
        <w:rPr>
          <w:rFonts w:hint="eastAsia" w:ascii="宋体" w:hAnsi="宋体"/>
          <w:b/>
          <w:bCs/>
          <w:color w:val="auto"/>
          <w:sz w:val="22"/>
          <w:highlight w:val="none"/>
          <w:lang w:eastAsia="zh-CN"/>
        </w:rPr>
        <w:t>国企采购</w:t>
      </w:r>
      <w:r>
        <w:rPr>
          <w:rFonts w:hint="eastAsia" w:ascii="宋体" w:hAnsi="宋体"/>
          <w:b/>
          <w:bCs/>
          <w:color w:val="auto"/>
          <w:sz w:val="22"/>
          <w:highlight w:val="none"/>
        </w:rPr>
        <w:t>活动现场确认声明书》，并在15分钟内以扫描件方式发送至代理机构邮箱：</w:t>
      </w:r>
      <w:r>
        <w:rPr>
          <w:rFonts w:hint="eastAsia" w:ascii="宋体" w:hAnsi="宋体"/>
          <w:b/>
          <w:bCs/>
          <w:color w:val="auto"/>
          <w:sz w:val="22"/>
          <w:highlight w:val="none"/>
          <w:lang w:eastAsia="zh-CN"/>
        </w:rPr>
        <w:t>513596377</w:t>
      </w:r>
      <w:r>
        <w:rPr>
          <w:rFonts w:hint="eastAsia" w:ascii="宋体" w:hAnsi="宋体"/>
          <w:b/>
          <w:bCs/>
          <w:color w:val="auto"/>
          <w:sz w:val="22"/>
          <w:highlight w:val="none"/>
        </w:rPr>
        <w:t>@qq.com。</w:t>
      </w:r>
    </w:p>
    <w:p w14:paraId="16045FF6">
      <w:pPr>
        <w:pStyle w:val="78"/>
        <w:rPr>
          <w:color w:val="auto"/>
          <w:highlight w:val="none"/>
        </w:rPr>
      </w:pPr>
    </w:p>
    <w:p w14:paraId="0EEBB496">
      <w:pPr>
        <w:pStyle w:val="38"/>
        <w:spacing w:before="120" w:after="120"/>
        <w:rPr>
          <w:color w:val="auto"/>
          <w:highlight w:val="none"/>
        </w:rPr>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pPr>
    </w:p>
    <w:p w14:paraId="5D451866">
      <w:pPr>
        <w:jc w:val="center"/>
        <w:rPr>
          <w:rFonts w:hint="eastAsia" w:ascii="宋体" w:hAnsi="宋体"/>
          <w:b/>
          <w:bCs/>
          <w:color w:val="auto"/>
          <w:sz w:val="44"/>
          <w:szCs w:val="44"/>
          <w:highlight w:val="none"/>
        </w:rPr>
      </w:pPr>
      <w:r>
        <w:rPr>
          <w:rFonts w:hint="eastAsia" w:ascii="宋体" w:hAnsi="宋体"/>
          <w:b/>
          <w:bCs/>
          <w:color w:val="auto"/>
          <w:sz w:val="44"/>
          <w:szCs w:val="44"/>
          <w:highlight w:val="none"/>
        </w:rPr>
        <w:t>质疑函范本</w:t>
      </w:r>
    </w:p>
    <w:p w14:paraId="2A468C46">
      <w:pPr>
        <w:snapToGrid w:val="0"/>
        <w:spacing w:before="240"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一、质疑供应商基本信息</w:t>
      </w:r>
    </w:p>
    <w:p w14:paraId="6DE35E23">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质疑供应商：</w:t>
      </w:r>
      <w:r>
        <w:rPr>
          <w:rFonts w:hint="eastAsia" w:ascii="宋体" w:hAnsi="宋体"/>
          <w:color w:val="auto"/>
          <w:sz w:val="21"/>
          <w:szCs w:val="21"/>
          <w:highlight w:val="none"/>
          <w:u w:val="dotted"/>
        </w:rPr>
        <w:t xml:space="preserve">                                        </w:t>
      </w:r>
    </w:p>
    <w:p w14:paraId="5C779CC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地址：</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52A4592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联系人：</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p>
    <w:p w14:paraId="26FF2408">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授权代表：</w:t>
      </w:r>
      <w:r>
        <w:rPr>
          <w:rFonts w:hint="eastAsia" w:ascii="宋体" w:hAnsi="宋体"/>
          <w:color w:val="auto"/>
          <w:sz w:val="21"/>
          <w:szCs w:val="21"/>
          <w:highlight w:val="none"/>
          <w:u w:val="dotted"/>
        </w:rPr>
        <w:t xml:space="preserve">                                          </w:t>
      </w:r>
    </w:p>
    <w:p w14:paraId="5FD4C6DE">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联系电话：</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 xml:space="preserve"> </w:t>
      </w:r>
    </w:p>
    <w:p w14:paraId="2B128B40">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 xml:space="preserve">地址： </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邮编：</w:t>
      </w:r>
      <w:r>
        <w:rPr>
          <w:rFonts w:hint="eastAsia" w:ascii="宋体" w:hAnsi="宋体"/>
          <w:color w:val="auto"/>
          <w:sz w:val="21"/>
          <w:szCs w:val="21"/>
          <w:highlight w:val="none"/>
          <w:u w:val="dotted"/>
        </w:rPr>
        <w:t xml:space="preserve">                                                </w:t>
      </w:r>
    </w:p>
    <w:p w14:paraId="38B8F690">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二、质疑项目基本情况</w:t>
      </w:r>
    </w:p>
    <w:p w14:paraId="0796FEF8">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质疑项目的名称：</w:t>
      </w:r>
      <w:r>
        <w:rPr>
          <w:rFonts w:hint="eastAsia" w:ascii="宋体" w:hAnsi="宋体"/>
          <w:color w:val="auto"/>
          <w:sz w:val="21"/>
          <w:szCs w:val="21"/>
          <w:highlight w:val="none"/>
          <w:u w:val="dotted"/>
        </w:rPr>
        <w:t xml:space="preserve">                                      </w:t>
      </w:r>
    </w:p>
    <w:p w14:paraId="3FCEA3C9">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质疑项目的编号：</w:t>
      </w:r>
      <w:r>
        <w:rPr>
          <w:rFonts w:hint="eastAsia" w:ascii="宋体" w:hAnsi="宋体"/>
          <w:color w:val="auto"/>
          <w:sz w:val="21"/>
          <w:szCs w:val="21"/>
          <w:highlight w:val="none"/>
          <w:u w:val="dotted"/>
        </w:rPr>
        <w:t xml:space="preserve">               </w:t>
      </w:r>
      <w:r>
        <w:rPr>
          <w:rFonts w:hint="eastAsia" w:ascii="宋体" w:hAnsi="宋体"/>
          <w:color w:val="auto"/>
          <w:sz w:val="21"/>
          <w:szCs w:val="21"/>
          <w:highlight w:val="none"/>
        </w:rPr>
        <w:t>包号：</w:t>
      </w:r>
      <w:r>
        <w:rPr>
          <w:rFonts w:hint="eastAsia" w:ascii="宋体" w:hAnsi="宋体"/>
          <w:color w:val="auto"/>
          <w:sz w:val="21"/>
          <w:szCs w:val="21"/>
          <w:highlight w:val="none"/>
          <w:u w:val="dotted"/>
        </w:rPr>
        <w:t xml:space="preserve">                 </w:t>
      </w:r>
    </w:p>
    <w:p w14:paraId="4BC6E03B">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采购人名称：</w:t>
      </w:r>
      <w:r>
        <w:rPr>
          <w:rFonts w:hint="eastAsia" w:ascii="宋体" w:hAnsi="宋体"/>
          <w:color w:val="auto"/>
          <w:sz w:val="21"/>
          <w:szCs w:val="21"/>
          <w:highlight w:val="none"/>
          <w:u w:val="dotted"/>
        </w:rPr>
        <w:t xml:space="preserve">                                         </w:t>
      </w:r>
    </w:p>
    <w:p w14:paraId="12CDEF3E">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采购文件获取日期：</w:t>
      </w:r>
      <w:r>
        <w:rPr>
          <w:rFonts w:hint="eastAsia" w:ascii="宋体" w:hAnsi="宋体"/>
          <w:color w:val="auto"/>
          <w:sz w:val="21"/>
          <w:szCs w:val="21"/>
          <w:highlight w:val="none"/>
          <w:u w:val="dotted"/>
        </w:rPr>
        <w:t xml:space="preserve">                                           </w:t>
      </w:r>
    </w:p>
    <w:p w14:paraId="5ACF98A3">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三、质疑事项具体内容</w:t>
      </w:r>
    </w:p>
    <w:p w14:paraId="74C72C8F">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质疑事项1：</w:t>
      </w:r>
      <w:r>
        <w:rPr>
          <w:rFonts w:hint="eastAsia" w:ascii="宋体" w:hAnsi="宋体"/>
          <w:color w:val="auto"/>
          <w:sz w:val="21"/>
          <w:szCs w:val="21"/>
          <w:highlight w:val="none"/>
          <w:u w:val="dotted"/>
        </w:rPr>
        <w:t xml:space="preserve">                                         </w:t>
      </w:r>
    </w:p>
    <w:p w14:paraId="2D7ED506">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事实依据：</w:t>
      </w:r>
      <w:r>
        <w:rPr>
          <w:rFonts w:hint="eastAsia" w:ascii="宋体" w:hAnsi="宋体"/>
          <w:color w:val="auto"/>
          <w:sz w:val="21"/>
          <w:szCs w:val="21"/>
          <w:highlight w:val="none"/>
          <w:u w:val="dotted"/>
        </w:rPr>
        <w:t xml:space="preserve">                                          </w:t>
      </w:r>
    </w:p>
    <w:p w14:paraId="1EE6DED8">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5A0FD1D1">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法律依据：</w:t>
      </w:r>
      <w:r>
        <w:rPr>
          <w:rFonts w:hint="eastAsia" w:ascii="宋体" w:hAnsi="宋体"/>
          <w:color w:val="auto"/>
          <w:sz w:val="21"/>
          <w:szCs w:val="21"/>
          <w:highlight w:val="none"/>
          <w:u w:val="dotted"/>
        </w:rPr>
        <w:t xml:space="preserve">                                          </w:t>
      </w:r>
    </w:p>
    <w:p w14:paraId="1056045E">
      <w:pPr>
        <w:snapToGrid w:val="0"/>
        <w:spacing w:line="360" w:lineRule="auto"/>
        <w:rPr>
          <w:rFonts w:hint="eastAsia" w:ascii="宋体" w:hAnsi="宋体"/>
          <w:color w:val="auto"/>
          <w:sz w:val="21"/>
          <w:szCs w:val="21"/>
          <w:highlight w:val="none"/>
          <w:u w:val="dotted"/>
        </w:rPr>
      </w:pPr>
      <w:r>
        <w:rPr>
          <w:rFonts w:hint="eastAsia" w:ascii="宋体" w:hAnsi="宋体"/>
          <w:color w:val="auto"/>
          <w:sz w:val="21"/>
          <w:szCs w:val="21"/>
          <w:highlight w:val="none"/>
          <w:u w:val="dotted"/>
        </w:rPr>
        <w:t xml:space="preserve">                                                     </w:t>
      </w:r>
    </w:p>
    <w:p w14:paraId="1E0C2EAA">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质疑事项2</w:t>
      </w:r>
    </w:p>
    <w:p w14:paraId="2AC102BF">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w:t>
      </w:r>
    </w:p>
    <w:p w14:paraId="4BFB26B0">
      <w:pPr>
        <w:snapToGrid w:val="0"/>
        <w:spacing w:line="360" w:lineRule="auto"/>
        <w:rPr>
          <w:rFonts w:ascii="宋体" w:hAnsi="宋体"/>
          <w:color w:val="auto"/>
          <w:sz w:val="21"/>
          <w:szCs w:val="21"/>
          <w:highlight w:val="none"/>
        </w:rPr>
      </w:pPr>
    </w:p>
    <w:p w14:paraId="3896C8B5">
      <w:pPr>
        <w:snapToGrid w:val="0"/>
        <w:spacing w:line="360" w:lineRule="auto"/>
        <w:rPr>
          <w:rFonts w:hint="eastAsia" w:ascii="宋体" w:hAnsi="宋体"/>
          <w:bCs/>
          <w:color w:val="auto"/>
          <w:sz w:val="21"/>
          <w:szCs w:val="21"/>
          <w:highlight w:val="none"/>
        </w:rPr>
      </w:pPr>
      <w:r>
        <w:rPr>
          <w:rFonts w:hint="eastAsia" w:ascii="宋体" w:hAnsi="宋体"/>
          <w:bCs/>
          <w:color w:val="auto"/>
          <w:sz w:val="21"/>
          <w:szCs w:val="21"/>
          <w:highlight w:val="none"/>
        </w:rPr>
        <w:t>四、与质疑事项相关的质疑请求</w:t>
      </w:r>
    </w:p>
    <w:p w14:paraId="388E6322">
      <w:pPr>
        <w:snapToGrid w:val="0"/>
        <w:spacing w:line="360" w:lineRule="auto"/>
        <w:rPr>
          <w:rFonts w:hint="eastAsia" w:ascii="宋体" w:hAnsi="宋体"/>
          <w:color w:val="auto"/>
          <w:sz w:val="21"/>
          <w:szCs w:val="21"/>
          <w:highlight w:val="none"/>
        </w:rPr>
      </w:pPr>
      <w:r>
        <w:rPr>
          <w:rFonts w:hint="eastAsia" w:ascii="宋体" w:hAnsi="宋体"/>
          <w:color w:val="auto"/>
          <w:sz w:val="21"/>
          <w:szCs w:val="21"/>
          <w:highlight w:val="none"/>
        </w:rPr>
        <w:t>请求：</w:t>
      </w:r>
      <w:r>
        <w:rPr>
          <w:rFonts w:hint="eastAsia" w:ascii="宋体" w:hAnsi="宋体"/>
          <w:color w:val="auto"/>
          <w:sz w:val="21"/>
          <w:szCs w:val="21"/>
          <w:highlight w:val="none"/>
          <w:u w:val="dotted"/>
        </w:rPr>
        <w:t xml:space="preserve">                                               </w:t>
      </w:r>
    </w:p>
    <w:p w14:paraId="33F4DBD4">
      <w:pPr>
        <w:rPr>
          <w:rFonts w:hint="eastAsia" w:ascii="宋体" w:hAnsi="宋体"/>
          <w:color w:val="auto"/>
          <w:sz w:val="21"/>
          <w:szCs w:val="21"/>
          <w:highlight w:val="none"/>
        </w:rPr>
      </w:pPr>
      <w:r>
        <w:rPr>
          <w:rFonts w:hint="eastAsia" w:ascii="宋体" w:hAnsi="宋体"/>
          <w:color w:val="auto"/>
          <w:sz w:val="21"/>
          <w:szCs w:val="21"/>
          <w:highlight w:val="none"/>
        </w:rPr>
        <w:t xml:space="preserve">签字(签章)：                   公章：                      </w:t>
      </w:r>
    </w:p>
    <w:p w14:paraId="4D790729">
      <w:pPr>
        <w:rPr>
          <w:rFonts w:hint="eastAsia" w:ascii="宋体" w:hAnsi="宋体"/>
          <w:color w:val="auto"/>
          <w:sz w:val="21"/>
          <w:szCs w:val="21"/>
          <w:highlight w:val="none"/>
        </w:rPr>
      </w:pPr>
      <w:r>
        <w:rPr>
          <w:rFonts w:hint="eastAsia" w:ascii="宋体" w:hAnsi="宋体"/>
          <w:color w:val="auto"/>
          <w:sz w:val="21"/>
          <w:szCs w:val="21"/>
          <w:highlight w:val="none"/>
        </w:rPr>
        <w:t xml:space="preserve">日期：    </w:t>
      </w:r>
    </w:p>
    <w:p w14:paraId="37CDBAE0">
      <w:pPr>
        <w:rPr>
          <w:rFonts w:hint="eastAsia" w:ascii="宋体" w:hAnsi="宋体"/>
          <w:b/>
          <w:color w:val="auto"/>
          <w:sz w:val="21"/>
          <w:szCs w:val="21"/>
          <w:highlight w:val="none"/>
        </w:rPr>
      </w:pPr>
      <w:r>
        <w:rPr>
          <w:rFonts w:hint="eastAsia" w:ascii="宋体" w:hAnsi="宋体"/>
          <w:b/>
          <w:color w:val="auto"/>
          <w:sz w:val="21"/>
          <w:szCs w:val="21"/>
          <w:highlight w:val="none"/>
        </w:rPr>
        <w:t>质疑函制作说明：</w:t>
      </w:r>
    </w:p>
    <w:p w14:paraId="6C62A8DE">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1.供应商提出质疑时，应提交质疑函和必要的证明材料。</w:t>
      </w:r>
    </w:p>
    <w:p w14:paraId="48821493">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2.质疑供应商若委托代理人进行质疑的，质疑函应按要求列明“授权代表”的有关内容，并在附件中提交由质疑</w:t>
      </w:r>
      <w:r>
        <w:rPr>
          <w:rFonts w:hint="eastAsia" w:ascii="宋体" w:hAnsi="宋体"/>
          <w:color w:val="auto"/>
          <w:kern w:val="0"/>
          <w:sz w:val="21"/>
          <w:szCs w:val="21"/>
          <w:highlight w:val="none"/>
        </w:rPr>
        <w:t>供应商签署的授权委托书。授权委托书应载明代理人的姓名或者名称、代理事项、具体权限、期限和相关事项。</w:t>
      </w:r>
    </w:p>
    <w:p w14:paraId="4048DC09">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3.质疑供应商若对项目的某一分包进行质疑，质疑函中应列明具体分包号。</w:t>
      </w:r>
    </w:p>
    <w:p w14:paraId="34933FC2">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4.质疑函的质疑事项应具体、明确，并有必要的事实依据和法律依据。</w:t>
      </w:r>
    </w:p>
    <w:p w14:paraId="7870506F">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5.质疑函的质疑请求应与质疑事项相关。</w:t>
      </w:r>
    </w:p>
    <w:p w14:paraId="4595E721">
      <w:pPr>
        <w:widowControl/>
        <w:ind w:firstLine="420" w:firstLineChars="200"/>
        <w:jc w:val="left"/>
        <w:rPr>
          <w:rFonts w:hint="eastAsia" w:ascii="宋体" w:hAnsi="宋体"/>
          <w:color w:val="auto"/>
          <w:sz w:val="21"/>
          <w:szCs w:val="21"/>
          <w:highlight w:val="none"/>
        </w:rPr>
      </w:pPr>
      <w:r>
        <w:rPr>
          <w:rFonts w:hint="eastAsia" w:ascii="宋体" w:hAnsi="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微软雅黑 Light">
    <w:altName w:val="黑体"/>
    <w:panose1 w:val="020B0502040204020203"/>
    <w:charset w:val="86"/>
    <w:family w:val="swiss"/>
    <w:pitch w:val="default"/>
    <w:sig w:usb0="00000000" w:usb1="00000000" w:usb2="00000016" w:usb3="00000000" w:csb0="0004001F" w:csb1="00000000"/>
  </w:font>
  <w:font w:name="Cambria">
    <w:panose1 w:val="02040503050406030204"/>
    <w:charset w:val="00"/>
    <w:family w:val="roman"/>
    <w:pitch w:val="default"/>
    <w:sig w:usb0="E00002FF" w:usb1="400004FF" w:usb2="00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3F7DD">
    <w:pPr>
      <w:pStyle w:val="45"/>
      <w:tabs>
        <w:tab w:val="clear" w:pos="4153"/>
        <w:tab w:val="clear" w:pos="8306"/>
      </w:tabs>
      <w:rPr>
        <w:sz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41BE04C2">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40B38373"/>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yowfe6AQAAhgMAAA4AAABkcnMvZTJvRG9jLnhtbK1TTW/bMAy9&#10;D9h/EHRv7BjZlhpxemiwYcCwFeh2LhRZigVYHyOV2NmvHyW7adBdepgPMmlKT+890pu70fbspACN&#10;dw1fLkrOlJO+Ne7Q8F8/P9+sOcMoXCt671TDzwr53fb9u80QalX5zvetAkYgDushNLyLMdRFgbJT&#10;VuDCB+WoqD1YESmFQ9GCGAjd9kVVlh+LwUMbwEuFSF93U5HPiPAWQK+1kWrn5dEqFydUUL2IJAk7&#10;E5BvM1utlYw/tEYVWd9wUhrzSpdQvE9rsd2I+gAidEbOFMRbKLzSZIVxdOkFaieiYEcw/0BZI8Gj&#10;13EhvS0mIdkRUrEsX3nz2ImgshayGsPFdPx/sPL76QGYaWkSOHPCUsOfxpKeJ6zK1W3yZwhY07bH&#10;8ABzhhQmsaMGm94kg43Z0/PFUzVGJunjcl2t1yXZLan2nBBO8XI8AMYvyluWgoYDNS17KU7fME5b&#10;n7fQuURnIpCiOO7HmdXet2fSAn5qMo04BZ2HP5wN1OCG4++jAMVZ/9WRg7fL1SpNRE5WHz5VlMB1&#10;ZX9dEU4SVMMjZ1N4H/MUJXqJB7Una5pHKfX/Os+7Xn6f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jKjB97oBAACGAwAADgAAAAAAAAABACAAAAAiAQAAZHJzL2Uyb0RvYy54bWxQSwUGAAAA&#10;AAYABgBZAQAATgUAAAAA&#10;">
              <v:fill on="f" focussize="0,0"/>
              <v:stroke on="f"/>
              <v:imagedata o:title=""/>
              <o:lock v:ext="edit" aspectratio="f"/>
              <v:textbox>
                <w:txbxContent>
                  <w:p w14:paraId="41BE04C2">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p w14:paraId="40B38373"/>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3F853">
    <w:pPr>
      <w:pStyle w:val="45"/>
      <w:tabs>
        <w:tab w:val="clear" w:pos="4153"/>
        <w:tab w:val="clear" w:pos="8306"/>
      </w:tabs>
    </w:pPr>
  </w:p>
  <w:p w14:paraId="6E49990C">
    <w:pPr>
      <w:pStyle w:val="45"/>
      <w:tabs>
        <w:tab w:val="clear" w:pos="4153"/>
        <w:tab w:val="clear" w:pos="8306"/>
      </w:tabs>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8"/>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69305129">
                          <w:pPr>
                            <w:pStyle w:val="45"/>
                            <w:tabs>
                              <w:tab w:val="clear" w:pos="4153"/>
                              <w:tab w:val="clear" w:pos="8306"/>
                            </w:tabs>
                          </w:pPr>
                          <w:r>
                            <w:fldChar w:fldCharType="begin"/>
                          </w:r>
                          <w:r>
                            <w:instrText xml:space="preserve"> PAGE  \* MERGEFORMAT </w:instrText>
                          </w:r>
                          <w:r>
                            <w:fldChar w:fldCharType="separate"/>
                          </w:r>
                          <w:r>
                            <w:t>2</w:t>
                          </w:r>
                          <w:r>
                            <w:fldChar w:fldCharType="end"/>
                          </w:r>
                        </w:p>
                        <w:p w14:paraId="0F06CF27"/>
                      </w:txbxContent>
                    </wps:txbx>
                    <wps:bodyPr rot="0" vert="horz" wrap="square" lIns="91440" tIns="45720" rIns="91440" bIns="45720" anchor="t" anchorCtr="0"/>
                  </wps:wsp>
                </a:graphicData>
              </a:graphic>
            </wp:anchor>
          </w:drawing>
        </mc:Choice>
        <mc:Fallback>
          <w:pict>
            <v:rect id="_x0000_s2058"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K5Alvy6AQAAhgMAAA4AAABkcnMvZTJvRG9jLnhtbK1TTW/bMAy9&#10;D9h/EHRf7Bhp5xlxemjQYUCxFeh2LhRZjgVYHyWV2NmvHyW7adBdeqgPMmlST+89yuub0fTsqAC1&#10;szVfLnLOlJWu0XZf8z+/776UnGEQthG9s6rmJ4X8ZvP503rwlSpc5/pGASMQi9Xga96F4KssQ9kp&#10;I3DhvLJUbB0YESiFfdaAGAjd9FmR59fZ4KDx4KRCpK/bqchnRHgPoGtbLdXWyYNRNkyooHoRSBJ2&#10;2iPfJLZtq2T41baoAutrTkpDWukQindxzTZrUe1B+E7LmYJ4D4U3mozQlg49Q21FEOwA+j8ooyU4&#10;dG1YSGeySUhyhFQs8zfePHbCq6SFrEZ/Nh0/Dlb+PD4A003NC86sMDTwpzGn5wmL/KqM/gweK2p7&#10;9A8wZ0hhFDu2YOKbZLAxeXo6e6rGwCR9XJZFWeZkt6TaS0I42et2Dxi+K2dYDGoONLTkpTjeY5ha&#10;X1poX6QzEYhRGHfjzGrnmhNpATcNma44BZ2Dv5wNNOCa4/NBgOKs/2HJwW/L1SreiJSsrr4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rkCW/LoBAACGAwAADgAAAAAAAAABACAAAAAiAQAAZHJzL2Uyb0RvYy54bWxQSwUGAAAA&#10;AAYABgBZAQAATgUAAAAA&#10;">
              <v:fill on="f" focussize="0,0"/>
              <v:stroke on="f"/>
              <v:imagedata o:title=""/>
              <o:lock v:ext="edit" aspectratio="f"/>
              <v:textbox>
                <w:txbxContent>
                  <w:p w14:paraId="69305129">
                    <w:pPr>
                      <w:pStyle w:val="45"/>
                      <w:tabs>
                        <w:tab w:val="clear" w:pos="4153"/>
                        <w:tab w:val="clear" w:pos="8306"/>
                      </w:tabs>
                    </w:pPr>
                    <w:r>
                      <w:fldChar w:fldCharType="begin"/>
                    </w:r>
                    <w:r>
                      <w:instrText xml:space="preserve"> PAGE  \* MERGEFORMAT </w:instrText>
                    </w:r>
                    <w:r>
                      <w:fldChar w:fldCharType="separate"/>
                    </w:r>
                    <w:r>
                      <w:t>2</w:t>
                    </w:r>
                    <w:r>
                      <w:fldChar w:fldCharType="end"/>
                    </w:r>
                  </w:p>
                  <w:p w14:paraId="0F06CF27"/>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527AF">
    <w:pPr>
      <w:jc w:val="center"/>
    </w:pPr>
    <w:r>
      <w:fldChar w:fldCharType="begin"/>
    </w:r>
    <w:r>
      <w:instrText xml:space="preserve"> PAGE  \* MERGEFORMAT </w:instrText>
    </w:r>
    <w:r>
      <w:fldChar w:fldCharType="separate"/>
    </w:r>
    <w:r>
      <w:t>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337E7">
    <w:pPr>
      <w:pStyle w:val="13"/>
      <w:framePr w:wrap="around" w:vAnchor="text" w:hAnchor="margin" w:xAlign="center" w:y="1"/>
      <w:rPr>
        <w:rStyle w:val="23"/>
      </w:rPr>
    </w:pPr>
    <w:r>
      <w:fldChar w:fldCharType="begin"/>
    </w:r>
    <w:r>
      <w:rPr>
        <w:rStyle w:val="23"/>
      </w:rPr>
      <w:instrText xml:space="preserve">PAGE  </w:instrText>
    </w:r>
    <w:r>
      <w:fldChar w:fldCharType="separate"/>
    </w:r>
    <w:r>
      <w:rPr>
        <w:rStyle w:val="23"/>
      </w:rPr>
      <w:t>49</w:t>
    </w:r>
    <w:r>
      <w:fldChar w:fldCharType="end"/>
    </w:r>
  </w:p>
  <w:p w14:paraId="35058B14">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67253">
    <w:pPr>
      <w:pStyle w:val="13"/>
    </w:pPr>
  </w:p>
  <w:p w14:paraId="3A8CA413">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F9F0547">
                          <w:pPr>
                            <w:pStyle w:val="13"/>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6F9F0547">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3C952">
    <w:pPr>
      <w:pStyle w:val="45"/>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_x0000_s2050"/>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5747174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30B59323"/>
                      </w:txbxContent>
                    </wps:txbx>
                    <wps:bodyPr rot="0" vert="horz" wrap="square" lIns="91440" tIns="45720" rIns="91440" bIns="45720" anchor="t" anchorCtr="0"/>
                  </wps:wsp>
                </a:graphicData>
              </a:graphic>
            </wp:anchor>
          </w:drawing>
        </mc:Choice>
        <mc:Fallback>
          <w:pict>
            <v:rect id="_x0000_s2050"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HffqjO5AQAAhgMAAA4AAABkcnMvZTJvRG9jLnhtbK1TTW/bMAy9&#10;D9h/EHRf7BjJlhlRemiwYcCwFeh2LhRZig1YHyOV2NmvHyWnSdBdeqgPMilST3yP1PputD07asDO&#10;O8Hns5Iz7ZRvOrcX/PevLx9WnGGUrpG9d1rwk0Z+t3n/bj2EWle+9X2jgRGIw3oIgrcxhrooULXa&#10;Spz5oB0FjQcrI7mwLxqQA6HbvqjK8mMxeGgCeKURaXc7BfkZEV4D6I3plN56dbDaxQkVdC8jUcK2&#10;C8g3uVpjtIo/jUEdWS84MY15pUvI3qW12KxlvQcZ2k6dS5CvKeEFJys7R5deoLYySnaA7j8o2ynw&#10;6E2cKW+LiUhWhFjMyxfaPLYy6MyFpMZwER3fDlb9OD4A6xrBl5w5aanhT2NJ3xNW5TLrMwSsKe0x&#10;PACplTwkM5EdDdj0JxpszJqeLprqMTJFm/NVtVqVJLei2LNDOMX1eACMX7W3LBmCAzUtaymP3zFO&#10;qc8pdO5aQLLiuBvPVe18cyIu4Kcm04iT0Xr4y9lADRYc/xwkaM76b44U/DxfLNJEZGex/FSRA7eR&#10;3W1EOkVQgkfOJvM+5ilK5aU6qD2Z03mUUv9v/Zx1fT6b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jGzwTTAAAABQEAAA8AAAAAAAAAAQAgAAAAIgAAAGRycy9kb3ducmV2LnhtbFBLAQIUABQAAAAI&#10;AIdO4kB336ozuQEAAIYDAAAOAAAAAAAAAAEAIAAAACIBAABkcnMvZTJvRG9jLnhtbFBLBQYAAAAA&#10;BgAGAFkBAABNBQAAAAA=&#10;">
              <v:fill on="f" focussize="0,0"/>
              <v:stroke on="f"/>
              <v:imagedata o:title=""/>
              <o:lock v:ext="edit" aspectratio="f"/>
              <v:textbox>
                <w:txbxContent>
                  <w:p w14:paraId="5747174A">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p w14:paraId="30B59323"/>
                </w:txbxContent>
              </v:textbox>
            </v:rect>
          </w:pict>
        </mc:Fallback>
      </mc:AlternateContent>
    </w:r>
    <w:r>
      <w:rPr>
        <w:rFonts w:hint="eastAsia"/>
        <w:shd w:val="pct10" w:color="auto" w:fill="FFFFFF"/>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DEA5B">
    <w:pPr>
      <w:pStyle w:val="45"/>
      <w:tabs>
        <w:tab w:val="clear" w:pos="4153"/>
        <w:tab w:val="clear" w:pos="8306"/>
      </w:tabs>
      <w:jc w:val="right"/>
      <w:rPr>
        <w:sz w:val="24"/>
      </w:rPr>
    </w:pPr>
    <w:r>
      <w:rPr>
        <w:sz w:val="24"/>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C513BFD">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23279237"/>
                      </w:txbxContent>
                    </wps:txbx>
                    <wps:bodyPr rot="0" vert="horz" wrap="square" lIns="91440" tIns="45720" rIns="91440" bIns="45720" anchor="t" anchorCtr="0"/>
                  </wps:wsp>
                </a:graphicData>
              </a:graphic>
            </wp:anchor>
          </w:drawing>
        </mc:Choice>
        <mc:Fallback>
          <w:pict>
            <v:rect id="_x0000_s2051"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F3QbaK6AQAAhgMAAA4AAABkcnMvZTJvRG9jLnhtbK1Ty27bMBC8&#10;F+g/ELzXesBJXcFyDjFSFAjaAGnPAU1RFgHxkV3akvv1XVKKY6SXHKIDtatdDmdmqfXNaHp2VIDa&#10;2ZoXi5wzZaVrtN3X/M/vuy8rzjAI24jeWVXzk0J+s/n8aT34SpWuc32jgBGIxWrwNe9C8FWWoeyU&#10;EbhwXlkqtg6MCJTCPmtADIRu+qzM8+tscNB4cFIh0tftVOQzIrwH0LWtlmrr5MEoGyZUUL0IJAk7&#10;7ZFvEtu2VTL8altUgfU1J6UhrXQIxbu4Zpu1qPYgfKflTEG8h8IbTUZoS4eeobYiCHYA/R+U0RIc&#10;ujYspDPZJCQ5QiqK/I03j53wKmkhq9GfTcePg5U/jw/AdFPzJWdWGBr405jT84RlflVEfwaPFbU9&#10;+geYM6Qwih1bMPFNMtiYPD2dPVVjYJI+FqtytcrJbkm1l4RwstftHjB8V86wGNQcaGjJS3G8xzC1&#10;vrTQvkhnIhCjMO7GmdXONSfSAm4aMl1xCjoHfzkbaMA1x+eDAMVZ/8OSg9+K5TLeiJQsr76WlMBl&#10;ZXdZEVYSVM0DZ1N4G9ItivQiDxpP0jRfpTj/yzx1vf4+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XdBtoroBAACGAwAADgAAAAAAAAABACAAAAAiAQAAZHJzL2Uyb0RvYy54bWxQSwUGAAAA&#10;AAYABgBZAQAATgUAAAAA&#10;">
              <v:fill on="f" focussize="0,0"/>
              <v:stroke on="f"/>
              <v:imagedata o:title=""/>
              <o:lock v:ext="edit" aspectratio="f"/>
              <v:textbox>
                <w:txbxContent>
                  <w:p w14:paraId="7C513BFD">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p w14:paraId="23279237"/>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8D92">
    <w:pPr>
      <w:pStyle w:val="13"/>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F285F">
                          <w:pPr>
                            <w:pStyle w:val="13"/>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5D8F285F">
                    <w:pPr>
                      <w:pStyle w:val="13"/>
                    </w:pPr>
                    <w:r>
                      <w:fldChar w:fldCharType="begin"/>
                    </w:r>
                    <w:r>
                      <w:instrText xml:space="preserve"> PAGE  \* MERGEFORMAT </w:instrText>
                    </w:r>
                    <w:r>
                      <w:fldChar w:fldCharType="separate"/>
                    </w:r>
                    <w:r>
                      <w:t>10</w:t>
                    </w:r>
                    <w:r>
                      <w:fldChar w:fldCharType="end"/>
                    </w:r>
                  </w:p>
                </w:txbxContent>
              </v:textbox>
            </v:shape>
          </w:pict>
        </mc:Fallback>
      </mc:AlternateContent>
    </w:r>
    <w:r>
      <w:rPr>
        <w:rFonts w:hint="eastAsia"/>
        <w:shd w:val="pct10" w:color="auto" w:fill="FFFFFF"/>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D4B1">
    <w:pPr>
      <w:pStyle w:val="13"/>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9EE719">
                          <w:pPr>
                            <w:pStyle w:val="13"/>
                          </w:pPr>
                          <w:r>
                            <w:fldChar w:fldCharType="begin"/>
                          </w:r>
                          <w:r>
                            <w:instrText xml:space="preserve"> PAGE  \* MERGEFORMAT </w:instrText>
                          </w:r>
                          <w:r>
                            <w:fldChar w:fldCharType="separate"/>
                          </w:r>
                          <w:r>
                            <w:t>100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09EE719">
                    <w:pPr>
                      <w:pStyle w:val="13"/>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CE3AC">
    <w:pPr>
      <w:pStyle w:val="45"/>
      <w:tabs>
        <w:tab w:val="clear" w:pos="4153"/>
        <w:tab w:val="clear" w:pos="8306"/>
      </w:tabs>
      <w:jc w:val="right"/>
      <w:rPr>
        <w:sz w:val="18"/>
      </w:rPr>
    </w:pPr>
    <w:r>
      <w:rPr>
        <w:sz w:val="18"/>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2052"/>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7E5D5A8F">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1A60DFD"/>
                      </w:txbxContent>
                    </wps:txbx>
                    <wps:bodyPr rot="0" vert="horz" wrap="square" lIns="91440" tIns="45720" rIns="91440" bIns="45720" anchor="t" anchorCtr="0"/>
                  </wps:wsp>
                </a:graphicData>
              </a:graphic>
            </wp:anchor>
          </w:drawing>
        </mc:Choice>
        <mc:Fallback>
          <w:pict>
            <v:rect id="_x0000_s2052" o:spid="_x0000_s1026" o:spt="1"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OCBtC7AQAAhgMAAA4AAABkcnMvZTJvRG9jLnhtbK1TTW/bMAy9&#10;D9h/EHRf7BhplxlReliwYcCwFWh3LhRZig1YHyOV2NmvHyW7adBdepgPMmlST+89ypu70fbspAE7&#10;7wRfLkrOtFO+6dxB8F+PXz6sOcMoXSN777TgZ438bvv+3WYIta586/tGAyMQh/UQBG9jDHVRoGq1&#10;lbjwQTsqGg9WRkrhUDQgB0K3fVGV5W0xeGgCeKUR6etuKvIZEd4C6I3plN55dbTaxQkVdC8jScK2&#10;C8i3ma0xWsWfxqCOrBeclMa80iEU79NabDeyPoAMbadmCvItFF5psrJzdOgFaiejZEfo/oGynQKP&#10;3sSF8raYhGRHSMWyfOXNQyuDzlrIagwX0/H/waofp3tgXSP4LWdOWhr401jS84RVeVMlf4aANbU9&#10;hHuYM6QwiR0N2PQmGWzMnp4vnuoxMkUfl+tqvS7JbkW154RwipftATB+1d6yFAgONLTspTx9xzi1&#10;PrfQvkRnIpCiOO7HmdXeN2fSAn4aMl1xCloPfzgbaMCC4++jBM1Z/82Rg5+Wq1W6ETlZ3XysKIHr&#10;yv66Ip0iKMEjZ1P4OeZblOglHjSerGm+Smn+13nuevl9t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GOCBtC7AQAAhgMAAA4AAAAAAAAAAQAgAAAAIgEAAGRycy9lMm9Eb2MueG1sUEsFBgAA&#10;AAAGAAYAWQEAAE8FAAAAAA==&#10;">
              <v:fill on="f" focussize="0,0"/>
              <v:stroke on="f"/>
              <v:imagedata o:title=""/>
              <o:lock v:ext="edit" aspectratio="f"/>
              <v:textbox>
                <w:txbxContent>
                  <w:p w14:paraId="7E5D5A8F">
                    <w:pPr>
                      <w:snapToGrid w:val="0"/>
                      <w:rPr>
                        <w:rFonts w:hint="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p w14:paraId="31A60DFD"/>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61C36">
    <w:pPr>
      <w:pStyle w:val="46"/>
      <w:pBdr>
        <w:bottom w:val="none" w:color="000000" w:sz="0" w:space="1"/>
      </w:pBdr>
      <w:shd w:val="clear" w:color="auto" w:fill="FFFFFF"/>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3097">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CA78">
    <w:pPr>
      <w:pStyle w:val="14"/>
      <w:pBdr>
        <w:bottom w:val="none" w:color="auto" w:sz="0" w:space="1"/>
      </w:pBdr>
      <w:shd w:val="clear" w:color="auto" w:fill="FFFFFF"/>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EEDF4">
    <w:pPr>
      <w:pStyle w:val="14"/>
      <w:pBdr>
        <w:bottom w:val="none" w:color="auto" w:sz="0" w:space="1"/>
      </w:pBdr>
      <w:shd w:val="clear" w:color="auto" w:fill="FFFFFF"/>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7EA6F">
    <w:pPr>
      <w:pStyle w:val="46"/>
      <w:pBdr>
        <w:bottom w:val="none" w:color="000000" w:sz="0" w:space="1"/>
      </w:pBdr>
      <w:shd w:val="clear" w:color="auto" w:fill="FFFFFF"/>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31189"/>
    <w:multiLevelType w:val="singleLevel"/>
    <w:tmpl w:val="8F831189"/>
    <w:lvl w:ilvl="0" w:tentative="0">
      <w:start w:val="1"/>
      <w:numFmt w:val="decimal"/>
      <w:lvlText w:val="%1."/>
      <w:lvlJc w:val="left"/>
      <w:pPr>
        <w:tabs>
          <w:tab w:val="left" w:pos="312"/>
        </w:tabs>
      </w:pPr>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88AD1C3"/>
    <w:multiLevelType w:val="singleLevel"/>
    <w:tmpl w:val="D88AD1C3"/>
    <w:lvl w:ilvl="0" w:tentative="0">
      <w:start w:val="1"/>
      <w:numFmt w:val="decimal"/>
      <w:suff w:val="space"/>
      <w:lvlText w:val="%1."/>
      <w:lvlJc w:val="left"/>
    </w:lvl>
  </w:abstractNum>
  <w:abstractNum w:abstractNumId="3">
    <w:nsid w:val="00000016"/>
    <w:multiLevelType w:val="multilevel"/>
    <w:tmpl w:val="00000016"/>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20"/>
        </w:tabs>
        <w:ind w:left="720" w:hanging="720"/>
      </w:pPr>
      <w:rPr>
        <w:rFonts w:ascii="Arial (W1)" w:hAnsi="Arial (W1)"/>
        <w:b/>
        <w:i w:val="0"/>
        <w:sz w:val="28"/>
      </w:rPr>
    </w:lvl>
    <w:lvl w:ilvl="2" w:tentative="0">
      <w:start w:val="1"/>
      <w:numFmt w:val="decimal"/>
      <w:lvlText w:val="%1.%3."/>
      <w:lvlJc w:val="left"/>
      <w:pPr>
        <w:tabs>
          <w:tab w:val="left" w:pos="720"/>
        </w:tabs>
        <w:ind w:left="720" w:hanging="720"/>
      </w:pPr>
    </w:lvl>
    <w:lvl w:ilvl="3" w:tentative="0">
      <w:start w:val="1"/>
      <w:numFmt w:val="decimal"/>
      <w:lvlText w:val="%1.%3.%4."/>
      <w:lvlJc w:val="left"/>
      <w:pPr>
        <w:tabs>
          <w:tab w:val="left" w:pos="1728"/>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5040"/>
        </w:tabs>
        <w:ind w:left="4320" w:hanging="1440"/>
      </w:pPr>
    </w:lvl>
  </w:abstractNum>
  <w:abstractNum w:abstractNumId="4">
    <w:nsid w:val="15662A2D"/>
    <w:multiLevelType w:val="singleLevel"/>
    <w:tmpl w:val="15662A2D"/>
    <w:lvl w:ilvl="0" w:tentative="0">
      <w:start w:val="1"/>
      <w:numFmt w:val="decimal"/>
      <w:suff w:val="nothing"/>
      <w:lvlText w:val="（%1）"/>
      <w:lvlJc w:val="left"/>
    </w:lvl>
  </w:abstractNum>
  <w:abstractNum w:abstractNumId="5">
    <w:nsid w:val="19DE2C87"/>
    <w:multiLevelType w:val="singleLevel"/>
    <w:tmpl w:val="19DE2C87"/>
    <w:lvl w:ilvl="0" w:tentative="0">
      <w:start w:val="1"/>
      <w:numFmt w:val="decimal"/>
      <w:suff w:val="nothing"/>
      <w:lvlText w:val="（%1）"/>
      <w:lvlJc w:val="left"/>
    </w:lvl>
  </w:abstractNum>
  <w:abstractNum w:abstractNumId="6">
    <w:nsid w:val="229734FF"/>
    <w:multiLevelType w:val="multilevel"/>
    <w:tmpl w:val="229734FF"/>
    <w:lvl w:ilvl="0" w:tentative="0">
      <w:start w:val="1"/>
      <w:numFmt w:val="decimal"/>
      <w:lvlText w:val="第%1条"/>
      <w:lvlJc w:val="left"/>
      <w:pPr>
        <w:ind w:left="0" w:firstLine="0"/>
      </w:pPr>
    </w:lvl>
    <w:lvl w:ilvl="1" w:tentative="0">
      <w:start w:val="1"/>
      <w:numFmt w:val="decimal"/>
      <w:pStyle w:val="98"/>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7">
    <w:nsid w:val="37BE7A68"/>
    <w:multiLevelType w:val="singleLevel"/>
    <w:tmpl w:val="37BE7A68"/>
    <w:lvl w:ilvl="0" w:tentative="0">
      <w:start w:val="1"/>
      <w:numFmt w:val="decimal"/>
      <w:suff w:val="nothing"/>
      <w:lvlText w:val="%1、"/>
      <w:lvlJc w:val="left"/>
    </w:lvl>
  </w:abstractNum>
  <w:abstractNum w:abstractNumId="8">
    <w:nsid w:val="3B1161EC"/>
    <w:multiLevelType w:val="singleLevel"/>
    <w:tmpl w:val="3B1161EC"/>
    <w:lvl w:ilvl="0" w:tentative="0">
      <w:start w:val="19"/>
      <w:numFmt w:val="decimal"/>
      <w:suff w:val="nothing"/>
      <w:lvlText w:val="%1、"/>
      <w:lvlJc w:val="left"/>
    </w:lvl>
  </w:abstractNum>
  <w:abstractNum w:abstractNumId="9">
    <w:nsid w:val="54F403B5"/>
    <w:multiLevelType w:val="singleLevel"/>
    <w:tmpl w:val="54F403B5"/>
    <w:lvl w:ilvl="0" w:tentative="0">
      <w:start w:val="1"/>
      <w:numFmt w:val="chineseCounting"/>
      <w:suff w:val="nothing"/>
      <w:lvlText w:val="%1、"/>
      <w:lvlJc w:val="left"/>
    </w:lvl>
  </w:abstractNum>
  <w:abstractNum w:abstractNumId="10">
    <w:nsid w:val="557FD3DA"/>
    <w:multiLevelType w:val="singleLevel"/>
    <w:tmpl w:val="557FD3DA"/>
    <w:lvl w:ilvl="0" w:tentative="0">
      <w:start w:val="3"/>
      <w:numFmt w:val="chineseCounting"/>
      <w:suff w:val="nothing"/>
      <w:lvlText w:val="%1、"/>
      <w:lvlJc w:val="left"/>
    </w:lvl>
  </w:abstractNum>
  <w:abstractNum w:abstractNumId="11">
    <w:nsid w:val="5A951B85"/>
    <w:multiLevelType w:val="singleLevel"/>
    <w:tmpl w:val="5A951B85"/>
    <w:lvl w:ilvl="0" w:tentative="0">
      <w:start w:val="2"/>
      <w:numFmt w:val="chineseCounting"/>
      <w:suff w:val="space"/>
      <w:lvlText w:val="第%1部分"/>
      <w:lvlJc w:val="left"/>
    </w:lvl>
  </w:abstractNum>
  <w:abstractNum w:abstractNumId="12">
    <w:nsid w:val="62687BB6"/>
    <w:multiLevelType w:val="multilevel"/>
    <w:tmpl w:val="62687BB6"/>
    <w:lvl w:ilvl="0" w:tentative="0">
      <w:start w:val="1"/>
      <w:numFmt w:val="decimal"/>
      <w:pStyle w:val="100"/>
      <w:lvlText w:val="附件%1"/>
      <w:lvlJc w:val="left"/>
      <w:pPr>
        <w:ind w:left="3681" w:hanging="420"/>
      </w:pPr>
      <w:rPr>
        <w:sz w:val="30"/>
        <w:szCs w:val="30"/>
      </w:rPr>
    </w:lvl>
    <w:lvl w:ilvl="1" w:tentative="0">
      <w:start w:val="1"/>
      <w:numFmt w:val="lowerLetter"/>
      <w:lvlText w:val="%2)"/>
      <w:lvlJc w:val="left"/>
      <w:pPr>
        <w:ind w:left="983" w:hanging="420"/>
      </w:pPr>
    </w:lvl>
    <w:lvl w:ilvl="2" w:tentative="0">
      <w:start w:val="1"/>
      <w:numFmt w:val="lowerRoman"/>
      <w:lvlText w:val="%3."/>
      <w:lvlJc w:val="right"/>
      <w:pPr>
        <w:ind w:left="1403" w:hanging="420"/>
      </w:pPr>
    </w:lvl>
    <w:lvl w:ilvl="3" w:tentative="0">
      <w:start w:val="1"/>
      <w:numFmt w:val="decimal"/>
      <w:lvlText w:val="%4."/>
      <w:lvlJc w:val="left"/>
      <w:pPr>
        <w:ind w:left="1823" w:hanging="420"/>
      </w:pPr>
    </w:lvl>
    <w:lvl w:ilvl="4" w:tentative="0">
      <w:start w:val="1"/>
      <w:numFmt w:val="lowerLetter"/>
      <w:lvlText w:val="%5)"/>
      <w:lvlJc w:val="left"/>
      <w:pPr>
        <w:ind w:left="2243" w:hanging="420"/>
      </w:pPr>
    </w:lvl>
    <w:lvl w:ilvl="5" w:tentative="0">
      <w:start w:val="1"/>
      <w:numFmt w:val="lowerRoman"/>
      <w:lvlText w:val="%6."/>
      <w:lvlJc w:val="right"/>
      <w:pPr>
        <w:ind w:left="2663" w:hanging="420"/>
      </w:pPr>
    </w:lvl>
    <w:lvl w:ilvl="6" w:tentative="0">
      <w:start w:val="1"/>
      <w:numFmt w:val="decimal"/>
      <w:lvlText w:val="%7."/>
      <w:lvlJc w:val="left"/>
      <w:pPr>
        <w:ind w:left="3083" w:hanging="420"/>
      </w:pPr>
    </w:lvl>
    <w:lvl w:ilvl="7" w:tentative="0">
      <w:start w:val="1"/>
      <w:numFmt w:val="lowerLetter"/>
      <w:lvlText w:val="%8)"/>
      <w:lvlJc w:val="left"/>
      <w:pPr>
        <w:ind w:left="3503" w:hanging="420"/>
      </w:pPr>
    </w:lvl>
    <w:lvl w:ilvl="8" w:tentative="0">
      <w:start w:val="1"/>
      <w:numFmt w:val="lowerRoman"/>
      <w:lvlText w:val="%9."/>
      <w:lvlJc w:val="right"/>
      <w:pPr>
        <w:ind w:left="3923" w:hanging="420"/>
      </w:pPr>
    </w:lvl>
  </w:abstractNum>
  <w:abstractNum w:abstractNumId="13">
    <w:nsid w:val="656D6133"/>
    <w:multiLevelType w:val="multilevel"/>
    <w:tmpl w:val="656D6133"/>
    <w:lvl w:ilvl="0" w:tentative="0">
      <w:start w:val="1"/>
      <w:numFmt w:val="chineseCountingThousand"/>
      <w:suff w:val="nothing"/>
      <w:lvlText w:val="第%1部分"/>
      <w:lvlJc w:val="center"/>
      <w:pPr>
        <w:ind w:left="0" w:firstLine="288"/>
      </w:pPr>
      <w:rPr>
        <w:rFonts w:hint="eastAsia"/>
        <w:sz w:val="28"/>
        <w:szCs w:val="28"/>
      </w:rPr>
    </w:lvl>
    <w:lvl w:ilvl="1" w:tentative="0">
      <w:start w:val="1"/>
      <w:numFmt w:val="chineseCountingThousand"/>
      <w:pStyle w:val="2"/>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4">
    <w:nsid w:val="6DCB2FDC"/>
    <w:multiLevelType w:val="singleLevel"/>
    <w:tmpl w:val="6DCB2FDC"/>
    <w:lvl w:ilvl="0" w:tentative="0">
      <w:start w:val="5"/>
      <w:numFmt w:val="chineseCounting"/>
      <w:suff w:val="nothing"/>
      <w:lvlText w:val="%1、"/>
      <w:lvlJc w:val="left"/>
      <w:rPr>
        <w:rFonts w:hint="eastAsia"/>
      </w:rPr>
    </w:lvl>
  </w:abstractNum>
  <w:abstractNum w:abstractNumId="15">
    <w:nsid w:val="6E87019F"/>
    <w:multiLevelType w:val="multilevel"/>
    <w:tmpl w:val="6E87019F"/>
    <w:lvl w:ilvl="0" w:tentative="0">
      <w:start w:val="1"/>
      <w:numFmt w:val="chineseCountingThousand"/>
      <w:pStyle w:val="95"/>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3"/>
  </w:num>
  <w:num w:numId="2">
    <w:abstractNumId w:val="15"/>
  </w:num>
  <w:num w:numId="3">
    <w:abstractNumId w:val="6"/>
  </w:num>
  <w:num w:numId="4">
    <w:abstractNumId w:val="12"/>
  </w:num>
  <w:num w:numId="5">
    <w:abstractNumId w:val="14"/>
  </w:num>
  <w:num w:numId="6">
    <w:abstractNumId w:val="3"/>
  </w:num>
  <w:num w:numId="7">
    <w:abstractNumId w:val="11"/>
  </w:num>
  <w:num w:numId="8">
    <w:abstractNumId w:val="7"/>
  </w:num>
  <w:num w:numId="9">
    <w:abstractNumId w:val="0"/>
  </w:num>
  <w:num w:numId="10">
    <w:abstractNumId w:val="8"/>
  </w:num>
  <w:num w:numId="11">
    <w:abstractNumId w:val="4"/>
  </w:num>
  <w:num w:numId="12">
    <w:abstractNumId w:val="5"/>
  </w:num>
  <w:num w:numId="13">
    <w:abstractNumId w:val="2"/>
  </w:num>
  <w:num w:numId="14">
    <w:abstractNumId w:val="1"/>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YjIxNWI0NGJlNDhlNzE1MTFhNTc3YTcxMWEzZGQifQ=="/>
  </w:docVars>
  <w:rsids>
    <w:rsidRoot w:val="00000000"/>
    <w:rsid w:val="000C5FE7"/>
    <w:rsid w:val="00C92DAA"/>
    <w:rsid w:val="0116312F"/>
    <w:rsid w:val="012F41F1"/>
    <w:rsid w:val="01A324E9"/>
    <w:rsid w:val="02E62FD5"/>
    <w:rsid w:val="037353D1"/>
    <w:rsid w:val="04373B97"/>
    <w:rsid w:val="04EE7063"/>
    <w:rsid w:val="06212055"/>
    <w:rsid w:val="07195727"/>
    <w:rsid w:val="08920AB6"/>
    <w:rsid w:val="08CF1E16"/>
    <w:rsid w:val="094D16B8"/>
    <w:rsid w:val="097906FF"/>
    <w:rsid w:val="09A84B40"/>
    <w:rsid w:val="0A3E36F7"/>
    <w:rsid w:val="0A430D0D"/>
    <w:rsid w:val="0A7B2255"/>
    <w:rsid w:val="0B837613"/>
    <w:rsid w:val="0BA4241C"/>
    <w:rsid w:val="0BBC7831"/>
    <w:rsid w:val="0BCB2D68"/>
    <w:rsid w:val="0C2C6669"/>
    <w:rsid w:val="0C7A68D5"/>
    <w:rsid w:val="0CD22534"/>
    <w:rsid w:val="0F981457"/>
    <w:rsid w:val="0FAA00FB"/>
    <w:rsid w:val="1053332C"/>
    <w:rsid w:val="10593038"/>
    <w:rsid w:val="10855BDB"/>
    <w:rsid w:val="10CD1330"/>
    <w:rsid w:val="110D4237"/>
    <w:rsid w:val="11C6025A"/>
    <w:rsid w:val="11FF19BD"/>
    <w:rsid w:val="120314AE"/>
    <w:rsid w:val="12846E00"/>
    <w:rsid w:val="129C545E"/>
    <w:rsid w:val="12AD31C8"/>
    <w:rsid w:val="13217712"/>
    <w:rsid w:val="13AA5A7A"/>
    <w:rsid w:val="13BE7ED3"/>
    <w:rsid w:val="14B446A4"/>
    <w:rsid w:val="15051099"/>
    <w:rsid w:val="161517B0"/>
    <w:rsid w:val="162E1CF3"/>
    <w:rsid w:val="163C4FE1"/>
    <w:rsid w:val="164F7412"/>
    <w:rsid w:val="16B50F36"/>
    <w:rsid w:val="1732013F"/>
    <w:rsid w:val="181D494B"/>
    <w:rsid w:val="184E57C1"/>
    <w:rsid w:val="19453724"/>
    <w:rsid w:val="19B532D7"/>
    <w:rsid w:val="19FD4A34"/>
    <w:rsid w:val="1B5543FC"/>
    <w:rsid w:val="1C275D99"/>
    <w:rsid w:val="1CD35F20"/>
    <w:rsid w:val="1CE65C54"/>
    <w:rsid w:val="1E9D56D7"/>
    <w:rsid w:val="1EDA17E8"/>
    <w:rsid w:val="1EDD4E34"/>
    <w:rsid w:val="1FCC1B3F"/>
    <w:rsid w:val="20B94930"/>
    <w:rsid w:val="20D058EF"/>
    <w:rsid w:val="223968A6"/>
    <w:rsid w:val="22486A69"/>
    <w:rsid w:val="225D0766"/>
    <w:rsid w:val="22972076"/>
    <w:rsid w:val="22DE738C"/>
    <w:rsid w:val="23767D8D"/>
    <w:rsid w:val="23F24D45"/>
    <w:rsid w:val="25445C0D"/>
    <w:rsid w:val="26A52C44"/>
    <w:rsid w:val="26B52BDE"/>
    <w:rsid w:val="26CB07CB"/>
    <w:rsid w:val="26E74A51"/>
    <w:rsid w:val="26F14FB2"/>
    <w:rsid w:val="27B150B0"/>
    <w:rsid w:val="28096C9A"/>
    <w:rsid w:val="28191E47"/>
    <w:rsid w:val="28495805"/>
    <w:rsid w:val="295D2091"/>
    <w:rsid w:val="298A7967"/>
    <w:rsid w:val="2A9F7DBE"/>
    <w:rsid w:val="2B6C37C8"/>
    <w:rsid w:val="2C002162"/>
    <w:rsid w:val="2C810180"/>
    <w:rsid w:val="2D544027"/>
    <w:rsid w:val="2E075A2A"/>
    <w:rsid w:val="2EA9088F"/>
    <w:rsid w:val="2F012479"/>
    <w:rsid w:val="2F2A2B97"/>
    <w:rsid w:val="32935BDC"/>
    <w:rsid w:val="344078BE"/>
    <w:rsid w:val="34F30AB6"/>
    <w:rsid w:val="36F97CFA"/>
    <w:rsid w:val="394A69A7"/>
    <w:rsid w:val="396401D4"/>
    <w:rsid w:val="3A914C6E"/>
    <w:rsid w:val="3B286FE0"/>
    <w:rsid w:val="3B5F50F7"/>
    <w:rsid w:val="3B9603ED"/>
    <w:rsid w:val="3BF44347"/>
    <w:rsid w:val="3CBE720A"/>
    <w:rsid w:val="3D184A13"/>
    <w:rsid w:val="3D2832C7"/>
    <w:rsid w:val="3F317475"/>
    <w:rsid w:val="3F6D757A"/>
    <w:rsid w:val="3F794BDA"/>
    <w:rsid w:val="40D038D9"/>
    <w:rsid w:val="41190E1C"/>
    <w:rsid w:val="41263FC1"/>
    <w:rsid w:val="413C7368"/>
    <w:rsid w:val="42417305"/>
    <w:rsid w:val="43B65AD0"/>
    <w:rsid w:val="456910F1"/>
    <w:rsid w:val="45DF5600"/>
    <w:rsid w:val="46401681"/>
    <w:rsid w:val="48541414"/>
    <w:rsid w:val="48AB008C"/>
    <w:rsid w:val="49F32E25"/>
    <w:rsid w:val="4A6F0787"/>
    <w:rsid w:val="4B521A81"/>
    <w:rsid w:val="4B736055"/>
    <w:rsid w:val="4D397FBC"/>
    <w:rsid w:val="4D842881"/>
    <w:rsid w:val="4DE648AB"/>
    <w:rsid w:val="4E573A0C"/>
    <w:rsid w:val="4ED84B4D"/>
    <w:rsid w:val="4EF00F70"/>
    <w:rsid w:val="4F0F394F"/>
    <w:rsid w:val="4F8E75F4"/>
    <w:rsid w:val="50303B78"/>
    <w:rsid w:val="509B5BC8"/>
    <w:rsid w:val="52036385"/>
    <w:rsid w:val="52B96526"/>
    <w:rsid w:val="530A3743"/>
    <w:rsid w:val="538746A2"/>
    <w:rsid w:val="53F266B1"/>
    <w:rsid w:val="54E35FFA"/>
    <w:rsid w:val="54F71AA5"/>
    <w:rsid w:val="55AD3B99"/>
    <w:rsid w:val="5649247E"/>
    <w:rsid w:val="565746B8"/>
    <w:rsid w:val="57BA2CEE"/>
    <w:rsid w:val="5940666D"/>
    <w:rsid w:val="59F760A3"/>
    <w:rsid w:val="5A8262B5"/>
    <w:rsid w:val="5B266C40"/>
    <w:rsid w:val="5B3550D5"/>
    <w:rsid w:val="5B5639C9"/>
    <w:rsid w:val="5BC337FC"/>
    <w:rsid w:val="5BE63D42"/>
    <w:rsid w:val="5E250B66"/>
    <w:rsid w:val="5EC92704"/>
    <w:rsid w:val="5FAD16DE"/>
    <w:rsid w:val="5FCD1D80"/>
    <w:rsid w:val="602540C6"/>
    <w:rsid w:val="602D281F"/>
    <w:rsid w:val="60854409"/>
    <w:rsid w:val="60DB4671"/>
    <w:rsid w:val="621B0688"/>
    <w:rsid w:val="62C258A1"/>
    <w:rsid w:val="635B1617"/>
    <w:rsid w:val="63C106B5"/>
    <w:rsid w:val="64052BF6"/>
    <w:rsid w:val="64E75692"/>
    <w:rsid w:val="65C2671C"/>
    <w:rsid w:val="66A12FB8"/>
    <w:rsid w:val="6712276E"/>
    <w:rsid w:val="671E5B28"/>
    <w:rsid w:val="678371C8"/>
    <w:rsid w:val="67890C82"/>
    <w:rsid w:val="68A56EBD"/>
    <w:rsid w:val="68E048D2"/>
    <w:rsid w:val="693E3CEF"/>
    <w:rsid w:val="694E1C94"/>
    <w:rsid w:val="6AAE4999"/>
    <w:rsid w:val="6ABF6769"/>
    <w:rsid w:val="6C1839BC"/>
    <w:rsid w:val="6D042B59"/>
    <w:rsid w:val="6D224D47"/>
    <w:rsid w:val="6D3421F8"/>
    <w:rsid w:val="6DD57F11"/>
    <w:rsid w:val="6F944668"/>
    <w:rsid w:val="6FA7614A"/>
    <w:rsid w:val="6FFD3FBC"/>
    <w:rsid w:val="70545BA6"/>
    <w:rsid w:val="711517D9"/>
    <w:rsid w:val="711D36E7"/>
    <w:rsid w:val="71533EA0"/>
    <w:rsid w:val="71854CFA"/>
    <w:rsid w:val="72E871A5"/>
    <w:rsid w:val="731A6C33"/>
    <w:rsid w:val="744516AF"/>
    <w:rsid w:val="74B26BC5"/>
    <w:rsid w:val="75FA3CBE"/>
    <w:rsid w:val="77265E27"/>
    <w:rsid w:val="773C7DA1"/>
    <w:rsid w:val="77626DFA"/>
    <w:rsid w:val="7A3C5920"/>
    <w:rsid w:val="7B5A7937"/>
    <w:rsid w:val="7BA07EF1"/>
    <w:rsid w:val="7C886774"/>
    <w:rsid w:val="7E502CBC"/>
    <w:rsid w:val="7F723028"/>
    <w:rsid w:val="7FFF34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iPriority="39"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bCs/>
      <w:kern w:val="0"/>
      <w:sz w:val="32"/>
      <w:szCs w:val="32"/>
    </w:rPr>
  </w:style>
  <w:style w:type="paragraph" w:styleId="3">
    <w:name w:val="heading 3"/>
    <w:basedOn w:val="1"/>
    <w:next w:val="1"/>
    <w:qFormat/>
    <w:uiPriority w:val="0"/>
    <w:pPr>
      <w:keepNext/>
      <w:keepLines/>
      <w:spacing w:before="260" w:after="260" w:line="416" w:lineRule="auto"/>
      <w:outlineLvl w:val="2"/>
    </w:pPr>
    <w:rPr>
      <w:rFonts w:ascii="Calibri" w:hAnsi="Calibri"/>
      <w:b/>
      <w:bCs/>
      <w:sz w:val="32"/>
      <w:szCs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ody Text"/>
    <w:basedOn w:val="1"/>
    <w:next w:val="7"/>
    <w:unhideWhenUsed/>
    <w:qFormat/>
    <w:uiPriority w:val="99"/>
    <w:pPr>
      <w:spacing w:after="120"/>
    </w:pPr>
  </w:style>
  <w:style w:type="paragraph" w:customStyle="1" w:styleId="7">
    <w:name w:val="段"/>
    <w:next w:val="1"/>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styleId="8">
    <w:name w:val="Body Text Indent"/>
    <w:basedOn w:val="1"/>
    <w:qFormat/>
    <w:uiPriority w:val="0"/>
    <w:pPr>
      <w:spacing w:line="500" w:lineRule="exact"/>
      <w:ind w:left="1588" w:leftChars="832" w:firstLine="433" w:firstLineChars="196"/>
    </w:pPr>
    <w:rPr>
      <w:sz w:val="24"/>
    </w:rPr>
  </w:style>
  <w:style w:type="paragraph" w:styleId="9">
    <w:name w:val="Block Text"/>
    <w:basedOn w:val="1"/>
    <w:qFormat/>
    <w:uiPriority w:val="0"/>
    <w:pPr>
      <w:spacing w:before="156" w:beforeLines="50" w:after="156" w:afterLines="50"/>
      <w:ind w:left="426" w:right="-11" w:hanging="426" w:hangingChars="203"/>
    </w:pPr>
    <w:rPr>
      <w:rFonts w:eastAsia="楷体_GB2312"/>
    </w:rPr>
  </w:style>
  <w:style w:type="paragraph" w:styleId="10">
    <w:name w:val="toc 5"/>
    <w:basedOn w:val="1"/>
    <w:next w:val="1"/>
    <w:unhideWhenUsed/>
    <w:qFormat/>
    <w:uiPriority w:val="39"/>
    <w:pPr>
      <w:ind w:left="840"/>
      <w:jc w:val="left"/>
    </w:pPr>
    <w:rPr>
      <w:rFonts w:ascii="等线" w:eastAsia="等线"/>
      <w:sz w:val="18"/>
      <w:szCs w:val="18"/>
    </w:rPr>
  </w:style>
  <w:style w:type="paragraph" w:styleId="11">
    <w:name w:val="Plain Text"/>
    <w:basedOn w:val="1"/>
    <w:next w:val="12"/>
    <w:qFormat/>
    <w:uiPriority w:val="0"/>
    <w:rPr>
      <w:rFonts w:ascii="宋体" w:hAnsi="Courier New"/>
      <w:szCs w:val="20"/>
    </w:rPr>
  </w:style>
  <w:style w:type="paragraph" w:styleId="12">
    <w:name w:val="toc 2"/>
    <w:basedOn w:val="1"/>
    <w:next w:val="1"/>
    <w:qFormat/>
    <w:uiPriority w:val="0"/>
    <w:pPr>
      <w:ind w:left="420" w:leftChars="200"/>
    </w:pPr>
    <w:rPr>
      <w:szCs w:val="20"/>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6"/>
    <w:basedOn w:val="1"/>
    <w:next w:val="1"/>
    <w:qFormat/>
    <w:uiPriority w:val="0"/>
    <w:pPr>
      <w:ind w:left="1400"/>
    </w:pPr>
    <w:rPr>
      <w:rFonts w:ascii="Calibri"/>
      <w:sz w:val="18"/>
      <w:szCs w:val="18"/>
    </w:rPr>
  </w:style>
  <w:style w:type="paragraph" w:styleId="16">
    <w:name w:val="index 7"/>
    <w:basedOn w:val="1"/>
    <w:next w:val="1"/>
    <w:qFormat/>
    <w:uiPriority w:val="0"/>
    <w:pPr>
      <w:autoSpaceDE/>
      <w:autoSpaceDN/>
      <w:adjustRightInd/>
      <w:ind w:left="1200" w:leftChars="1200"/>
    </w:pPr>
    <w:rPr>
      <w:color w:val="auto"/>
      <w:kern w:val="2"/>
      <w:szCs w:val="24"/>
    </w:rPr>
  </w:style>
  <w:style w:type="paragraph" w:styleId="17">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18">
    <w:name w:val="Body Text First Indent"/>
    <w:basedOn w:val="6"/>
    <w:qFormat/>
    <w:uiPriority w:val="0"/>
    <w:pPr>
      <w:spacing w:after="120"/>
      <w:ind w:firstLine="420" w:firstLineChars="100"/>
    </w:pPr>
    <w:rPr>
      <w:rFonts w:ascii="Times New Roman"/>
      <w:kern w:val="2"/>
      <w:sz w:val="21"/>
      <w:szCs w:val="22"/>
    </w:rPr>
  </w:style>
  <w:style w:type="paragraph" w:styleId="19">
    <w:name w:val="Body Text First Indent 2"/>
    <w:basedOn w:val="8"/>
    <w:next w:val="18"/>
    <w:qFormat/>
    <w:uiPriority w:val="0"/>
    <w:pPr>
      <w:spacing w:after="120" w:afterLines="0" w:line="240" w:lineRule="auto"/>
      <w:ind w:left="420" w:leftChars="200" w:firstLine="420"/>
    </w:pPr>
    <w:rPr>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paragraph" w:customStyle="1" w:styleId="24">
    <w:name w:val="无间距1"/>
    <w:qFormat/>
    <w:uiPriority w:val="0"/>
    <w:pPr>
      <w:widowControl w:val="0"/>
      <w:jc w:val="both"/>
    </w:pPr>
    <w:rPr>
      <w:rFonts w:ascii="Calibri" w:hAnsi="Calibri" w:eastAsia="微软雅黑 Light" w:cs="Times New Roman"/>
      <w:kern w:val="2"/>
      <w:sz w:val="24"/>
      <w:szCs w:val="22"/>
      <w:lang w:val="en-US" w:eastAsia="zh-CN" w:bidi="ar-SA"/>
    </w:rPr>
  </w:style>
  <w:style w:type="paragraph" w:customStyle="1" w:styleId="25">
    <w:name w:val="标题 11"/>
    <w:basedOn w:val="1"/>
    <w:qFormat/>
    <w:uiPriority w:val="0"/>
    <w:pPr>
      <w:keepNext/>
      <w:jc w:val="left"/>
      <w:outlineLvl w:val="0"/>
    </w:pPr>
    <w:rPr>
      <w:rFonts w:ascii="Calibri" w:hAnsi="Calibri"/>
      <w:b/>
      <w:sz w:val="28"/>
    </w:rPr>
  </w:style>
  <w:style w:type="paragraph" w:customStyle="1" w:styleId="26">
    <w:name w:val="标题 21"/>
    <w:basedOn w:val="1"/>
    <w:qFormat/>
    <w:uiPriority w:val="0"/>
    <w:pPr>
      <w:keepNext/>
      <w:keepLines/>
      <w:spacing w:before="260" w:after="260" w:line="416" w:lineRule="auto"/>
      <w:outlineLvl w:val="1"/>
    </w:pPr>
    <w:rPr>
      <w:rFonts w:ascii="Arial" w:hAnsi="Arial" w:eastAsia="黑体"/>
      <w:b/>
      <w:bCs/>
      <w:sz w:val="32"/>
      <w:szCs w:val="32"/>
    </w:rPr>
  </w:style>
  <w:style w:type="paragraph" w:customStyle="1" w:styleId="27">
    <w:name w:val="标题 31"/>
    <w:basedOn w:val="1"/>
    <w:qFormat/>
    <w:uiPriority w:val="0"/>
    <w:pPr>
      <w:keepNext/>
      <w:keepLines/>
      <w:spacing w:before="260" w:after="260" w:line="416" w:lineRule="auto"/>
      <w:outlineLvl w:val="2"/>
    </w:pPr>
    <w:rPr>
      <w:rFonts w:ascii="Calibri" w:hAnsi="Calibri"/>
      <w:b/>
      <w:bCs/>
      <w:sz w:val="32"/>
      <w:szCs w:val="32"/>
    </w:rPr>
  </w:style>
  <w:style w:type="paragraph" w:customStyle="1" w:styleId="28">
    <w:name w:val="标题 41"/>
    <w:basedOn w:val="1"/>
    <w:qFormat/>
    <w:uiPriority w:val="0"/>
    <w:pPr>
      <w:keepNext/>
      <w:keepLines/>
      <w:spacing w:before="280" w:after="290" w:line="376" w:lineRule="auto"/>
      <w:outlineLvl w:val="3"/>
    </w:pPr>
    <w:rPr>
      <w:rFonts w:ascii="Cambria" w:hAnsi="Cambria"/>
      <w:b/>
      <w:bCs/>
      <w:sz w:val="28"/>
      <w:szCs w:val="28"/>
    </w:rPr>
  </w:style>
  <w:style w:type="character" w:customStyle="1" w:styleId="29">
    <w:name w:val="默认段落字体1"/>
    <w:link w:val="1"/>
    <w:qFormat/>
    <w:uiPriority w:val="0"/>
  </w:style>
  <w:style w:type="table" w:customStyle="1" w:styleId="30">
    <w:name w:val="普通表格1"/>
    <w:qFormat/>
    <w:uiPriority w:val="0"/>
  </w:style>
  <w:style w:type="paragraph" w:customStyle="1" w:styleId="31">
    <w:name w:val="正文首行缩进1"/>
    <w:basedOn w:val="32"/>
    <w:qFormat/>
    <w:uiPriority w:val="0"/>
    <w:pPr>
      <w:spacing w:after="120"/>
      <w:ind w:firstLine="420" w:firstLineChars="100"/>
    </w:pPr>
    <w:rPr>
      <w:rFonts w:ascii="Calibri" w:hAnsi="Calibri"/>
      <w:sz w:val="21"/>
      <w:szCs w:val="22"/>
    </w:rPr>
  </w:style>
  <w:style w:type="paragraph" w:customStyle="1" w:styleId="32">
    <w:name w:val="正文文本1"/>
    <w:basedOn w:val="1"/>
    <w:qFormat/>
    <w:uiPriority w:val="0"/>
    <w:rPr>
      <w:rFonts w:ascii="Arial" w:hAnsi="Arial"/>
      <w:bCs/>
      <w:sz w:val="24"/>
    </w:rPr>
  </w:style>
  <w:style w:type="paragraph" w:customStyle="1" w:styleId="33">
    <w:name w:val="目录 61"/>
    <w:basedOn w:val="1"/>
    <w:qFormat/>
    <w:uiPriority w:val="0"/>
    <w:pPr>
      <w:ind w:left="1400"/>
    </w:pPr>
    <w:rPr>
      <w:rFonts w:ascii="Calibri"/>
      <w:sz w:val="18"/>
      <w:szCs w:val="18"/>
    </w:rPr>
  </w:style>
  <w:style w:type="paragraph" w:customStyle="1" w:styleId="34">
    <w:name w:val="正文缩进1"/>
    <w:basedOn w:val="1"/>
    <w:link w:val="35"/>
    <w:qFormat/>
    <w:uiPriority w:val="0"/>
    <w:pPr>
      <w:ind w:firstLine="420" w:firstLineChars="200"/>
    </w:pPr>
  </w:style>
  <w:style w:type="character" w:customStyle="1" w:styleId="35">
    <w:name w:val="正文缩进 字符"/>
    <w:link w:val="34"/>
    <w:qFormat/>
    <w:uiPriority w:val="0"/>
    <w:rPr>
      <w:kern w:val="2"/>
      <w:sz w:val="21"/>
      <w:szCs w:val="24"/>
    </w:rPr>
  </w:style>
  <w:style w:type="paragraph" w:customStyle="1" w:styleId="36">
    <w:name w:val="批注文字1"/>
    <w:basedOn w:val="1"/>
    <w:qFormat/>
    <w:uiPriority w:val="0"/>
    <w:pPr>
      <w:jc w:val="left"/>
    </w:pPr>
  </w:style>
  <w:style w:type="paragraph" w:customStyle="1" w:styleId="37">
    <w:name w:val="正文文本缩进1"/>
    <w:basedOn w:val="1"/>
    <w:qFormat/>
    <w:uiPriority w:val="0"/>
    <w:pPr>
      <w:spacing w:after="120"/>
      <w:ind w:left="420" w:leftChars="200"/>
    </w:pPr>
  </w:style>
  <w:style w:type="paragraph" w:customStyle="1" w:styleId="38">
    <w:name w:val="文本块1"/>
    <w:basedOn w:val="1"/>
    <w:qFormat/>
    <w:uiPriority w:val="0"/>
    <w:pPr>
      <w:spacing w:before="156" w:after="156"/>
      <w:ind w:left="426" w:right="-11" w:hanging="426" w:hangingChars="203"/>
    </w:pPr>
    <w:rPr>
      <w:rFonts w:eastAsia="楷体_GB2312"/>
    </w:rPr>
  </w:style>
  <w:style w:type="paragraph" w:customStyle="1" w:styleId="39">
    <w:name w:val="纯文本11"/>
    <w:basedOn w:val="1"/>
    <w:qFormat/>
    <w:uiPriority w:val="0"/>
    <w:rPr>
      <w:rFonts w:ascii="宋体" w:hAnsi="Courier New"/>
      <w:szCs w:val="20"/>
    </w:rPr>
  </w:style>
  <w:style w:type="paragraph" w:customStyle="1" w:styleId="40">
    <w:name w:val="目录 21"/>
    <w:basedOn w:val="1"/>
    <w:qFormat/>
    <w:uiPriority w:val="0"/>
    <w:pPr>
      <w:ind w:left="420" w:leftChars="200"/>
    </w:pPr>
    <w:rPr>
      <w:szCs w:val="20"/>
    </w:rPr>
  </w:style>
  <w:style w:type="paragraph" w:customStyle="1" w:styleId="41">
    <w:name w:val="日期1"/>
    <w:basedOn w:val="1"/>
    <w:qFormat/>
    <w:uiPriority w:val="0"/>
    <w:pPr>
      <w:ind w:left="100" w:leftChars="2500"/>
    </w:pPr>
    <w:rPr>
      <w:color w:val="000000"/>
      <w:sz w:val="24"/>
    </w:rPr>
  </w:style>
  <w:style w:type="paragraph" w:customStyle="1" w:styleId="42">
    <w:name w:val="正文文本缩进 21"/>
    <w:basedOn w:val="1"/>
    <w:qFormat/>
    <w:uiPriority w:val="0"/>
    <w:pPr>
      <w:widowControl/>
      <w:spacing w:line="480" w:lineRule="atLeast"/>
      <w:ind w:firstLine="480"/>
    </w:pPr>
    <w:rPr>
      <w:rFonts w:ascii="宋体"/>
      <w:kern w:val="0"/>
      <w:sz w:val="24"/>
      <w:szCs w:val="20"/>
    </w:rPr>
  </w:style>
  <w:style w:type="paragraph" w:customStyle="1" w:styleId="43">
    <w:name w:val="批注框文本1"/>
    <w:basedOn w:val="1"/>
    <w:link w:val="44"/>
    <w:qFormat/>
    <w:uiPriority w:val="0"/>
    <w:rPr>
      <w:sz w:val="18"/>
      <w:szCs w:val="18"/>
    </w:rPr>
  </w:style>
  <w:style w:type="character" w:customStyle="1" w:styleId="44">
    <w:name w:val="批注框文本 字符"/>
    <w:basedOn w:val="29"/>
    <w:link w:val="43"/>
    <w:qFormat/>
    <w:uiPriority w:val="0"/>
    <w:rPr>
      <w:kern w:val="2"/>
      <w:sz w:val="18"/>
      <w:szCs w:val="18"/>
    </w:rPr>
  </w:style>
  <w:style w:type="paragraph" w:customStyle="1" w:styleId="45">
    <w:name w:val="页脚1"/>
    <w:basedOn w:val="1"/>
    <w:qFormat/>
    <w:uiPriority w:val="0"/>
    <w:pPr>
      <w:tabs>
        <w:tab w:val="center" w:pos="4153"/>
        <w:tab w:val="right" w:pos="8306"/>
      </w:tabs>
      <w:snapToGrid w:val="0"/>
      <w:jc w:val="left"/>
    </w:pPr>
    <w:rPr>
      <w:sz w:val="18"/>
      <w:szCs w:val="18"/>
    </w:rPr>
  </w:style>
  <w:style w:type="paragraph" w:customStyle="1" w:styleId="46">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47">
    <w:name w:val="目录 11"/>
    <w:basedOn w:val="1"/>
    <w:qFormat/>
    <w:uiPriority w:val="0"/>
    <w:rPr>
      <w:szCs w:val="20"/>
    </w:rPr>
  </w:style>
  <w:style w:type="paragraph" w:customStyle="1" w:styleId="48">
    <w:name w:val="正文文本缩进 31"/>
    <w:basedOn w:val="1"/>
    <w:qFormat/>
    <w:uiPriority w:val="0"/>
    <w:pPr>
      <w:autoSpaceDE w:val="0"/>
      <w:autoSpaceDN w:val="0"/>
      <w:spacing w:line="400" w:lineRule="atLeast"/>
      <w:ind w:firstLine="443" w:firstLineChars="200"/>
    </w:pPr>
    <w:rPr>
      <w:rFonts w:eastAsia="黑体"/>
      <w:color w:val="000000"/>
      <w:sz w:val="24"/>
    </w:rPr>
  </w:style>
  <w:style w:type="paragraph" w:customStyle="1" w:styleId="49">
    <w:name w:val="普通(网站)1"/>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50">
    <w:name w:val="标题1"/>
    <w:basedOn w:val="1"/>
    <w:qFormat/>
    <w:uiPriority w:val="0"/>
    <w:pPr>
      <w:spacing w:before="240" w:after="60" w:line="460" w:lineRule="exact"/>
      <w:jc w:val="center"/>
      <w:outlineLvl w:val="0"/>
    </w:pPr>
    <w:rPr>
      <w:rFonts w:ascii="Arial" w:hAnsi="Arial"/>
      <w:b/>
      <w:spacing w:val="14"/>
      <w:kern w:val="24"/>
      <w:sz w:val="32"/>
      <w:szCs w:val="20"/>
    </w:rPr>
  </w:style>
  <w:style w:type="paragraph" w:customStyle="1" w:styleId="51">
    <w:name w:val="正文首行缩进 211"/>
    <w:basedOn w:val="37"/>
    <w:qFormat/>
    <w:uiPriority w:val="0"/>
    <w:pPr>
      <w:tabs>
        <w:tab w:val="left" w:pos="720"/>
      </w:tabs>
      <w:ind w:firstLine="420" w:firstLineChars="200"/>
    </w:pPr>
    <w:rPr>
      <w:rFonts w:ascii="宋体"/>
      <w:szCs w:val="20"/>
    </w:rPr>
  </w:style>
  <w:style w:type="paragraph" w:customStyle="1" w:styleId="52">
    <w:name w:val="xl53"/>
    <w:basedOn w:val="1"/>
    <w:qFormat/>
    <w:uiPriority w:val="0"/>
    <w:pPr>
      <w:widowControl/>
      <w:pBdr>
        <w:top w:val="single" w:color="000000" w:sz="4" w:space="0"/>
        <w:left w:val="single" w:color="000000" w:sz="8" w:space="0"/>
        <w:bottom w:val="single" w:color="000000" w:sz="8" w:space="0"/>
        <w:right w:val="single" w:color="000000" w:sz="4" w:space="0"/>
      </w:pBdr>
      <w:spacing w:before="100" w:beforeAutospacing="1" w:after="100" w:afterAutospacing="1" w:line="100" w:lineRule="exact"/>
      <w:jc w:val="center"/>
    </w:pPr>
    <w:rPr>
      <w:rFonts w:ascii="宋体" w:hAnsi="宋体"/>
      <w:b/>
      <w:bCs/>
      <w:kern w:val="0"/>
      <w:sz w:val="20"/>
      <w:szCs w:val="20"/>
    </w:rPr>
  </w:style>
  <w:style w:type="table" w:customStyle="1" w:styleId="53">
    <w:name w:val="网格型1"/>
    <w:basedOn w:val="30"/>
    <w:qFormat/>
    <w:uiPriority w:val="0"/>
    <w:pPr>
      <w:widowControl w:val="0"/>
      <w:jc w:val="both"/>
    </w:pPr>
  </w:style>
  <w:style w:type="character" w:customStyle="1" w:styleId="54">
    <w:name w:val="要点1"/>
    <w:basedOn w:val="29"/>
    <w:link w:val="1"/>
    <w:qFormat/>
    <w:uiPriority w:val="0"/>
    <w:rPr>
      <w:b/>
      <w:bCs/>
    </w:rPr>
  </w:style>
  <w:style w:type="character" w:customStyle="1" w:styleId="55">
    <w:name w:val="页码1"/>
    <w:basedOn w:val="29"/>
    <w:link w:val="1"/>
    <w:qFormat/>
    <w:uiPriority w:val="0"/>
  </w:style>
  <w:style w:type="character" w:customStyle="1" w:styleId="56">
    <w:name w:val="已访问的超链接1"/>
    <w:basedOn w:val="29"/>
    <w:link w:val="1"/>
    <w:qFormat/>
    <w:uiPriority w:val="0"/>
    <w:rPr>
      <w:color w:val="4A4A4A"/>
      <w:u w:val="none"/>
    </w:rPr>
  </w:style>
  <w:style w:type="character" w:customStyle="1" w:styleId="57">
    <w:name w:val="强调1"/>
    <w:basedOn w:val="29"/>
    <w:link w:val="1"/>
    <w:qFormat/>
    <w:uiPriority w:val="0"/>
  </w:style>
  <w:style w:type="character" w:customStyle="1" w:styleId="58">
    <w:name w:val="HTML 定义1"/>
    <w:basedOn w:val="29"/>
    <w:link w:val="1"/>
    <w:qFormat/>
    <w:uiPriority w:val="0"/>
  </w:style>
  <w:style w:type="character" w:customStyle="1" w:styleId="59">
    <w:name w:val="HTML 打字机1"/>
    <w:basedOn w:val="29"/>
    <w:link w:val="1"/>
    <w:qFormat/>
    <w:uiPriority w:val="0"/>
    <w:rPr>
      <w:rFonts w:ascii="monospace" w:hAnsi="monospace" w:eastAsia="monospace"/>
      <w:sz w:val="20"/>
    </w:rPr>
  </w:style>
  <w:style w:type="character" w:customStyle="1" w:styleId="60">
    <w:name w:val="HTML 缩写1"/>
    <w:basedOn w:val="29"/>
    <w:link w:val="1"/>
    <w:qFormat/>
    <w:uiPriority w:val="0"/>
  </w:style>
  <w:style w:type="character" w:customStyle="1" w:styleId="61">
    <w:name w:val="HTML 变量1"/>
    <w:basedOn w:val="29"/>
    <w:link w:val="1"/>
    <w:qFormat/>
    <w:uiPriority w:val="0"/>
  </w:style>
  <w:style w:type="character" w:customStyle="1" w:styleId="62">
    <w:name w:val="超链接1"/>
    <w:basedOn w:val="29"/>
    <w:link w:val="1"/>
    <w:qFormat/>
    <w:uiPriority w:val="0"/>
    <w:rPr>
      <w:color w:val="0000FF"/>
      <w:u w:val="single"/>
    </w:rPr>
  </w:style>
  <w:style w:type="character" w:customStyle="1" w:styleId="63">
    <w:name w:val="HTML 代码1"/>
    <w:basedOn w:val="29"/>
    <w:link w:val="1"/>
    <w:qFormat/>
    <w:uiPriority w:val="0"/>
    <w:rPr>
      <w:rFonts w:ascii="monospace" w:hAnsi="monospace" w:eastAsia="monospace"/>
      <w:sz w:val="20"/>
    </w:rPr>
  </w:style>
  <w:style w:type="character" w:customStyle="1" w:styleId="64">
    <w:name w:val="HTML 引文1"/>
    <w:basedOn w:val="29"/>
    <w:link w:val="1"/>
    <w:qFormat/>
    <w:uiPriority w:val="0"/>
  </w:style>
  <w:style w:type="character" w:customStyle="1" w:styleId="65">
    <w:name w:val="HTML 键盘1"/>
    <w:basedOn w:val="29"/>
    <w:link w:val="1"/>
    <w:qFormat/>
    <w:uiPriority w:val="0"/>
    <w:rPr>
      <w:rFonts w:ascii="monospace" w:hAnsi="monospace" w:eastAsia="monospace"/>
      <w:sz w:val="20"/>
    </w:rPr>
  </w:style>
  <w:style w:type="character" w:customStyle="1" w:styleId="66">
    <w:name w:val="HTML 样本1"/>
    <w:basedOn w:val="29"/>
    <w:link w:val="1"/>
    <w:qFormat/>
    <w:uiPriority w:val="0"/>
    <w:rPr>
      <w:rFonts w:ascii="monospace" w:hAnsi="monospace" w:eastAsia="monospace"/>
    </w:rPr>
  </w:style>
  <w:style w:type="paragraph" w:customStyle="1" w:styleId="67">
    <w:name w:val="Fließtext"/>
    <w:basedOn w:val="1"/>
    <w:qFormat/>
    <w:uiPriority w:val="0"/>
    <w:pPr>
      <w:overflowPunct w:val="0"/>
      <w:autoSpaceDE w:val="0"/>
      <w:autoSpaceDN w:val="0"/>
    </w:pPr>
    <w:rPr>
      <w:kern w:val="28"/>
      <w:szCs w:val="20"/>
    </w:rPr>
  </w:style>
  <w:style w:type="paragraph" w:customStyle="1" w:styleId="68">
    <w:name w:val="BodyText1I"/>
    <w:basedOn w:val="69"/>
    <w:qFormat/>
    <w:uiPriority w:val="0"/>
    <w:pPr>
      <w:ind w:firstLine="420" w:firstLineChars="100"/>
    </w:pPr>
  </w:style>
  <w:style w:type="paragraph" w:customStyle="1" w:styleId="69">
    <w:name w:val="BodyText"/>
    <w:basedOn w:val="1"/>
    <w:qFormat/>
    <w:uiPriority w:val="0"/>
    <w:pPr>
      <w:spacing w:after="120"/>
    </w:pPr>
  </w:style>
  <w:style w:type="paragraph" w:customStyle="1" w:styleId="70">
    <w:name w:val="表内文字"/>
    <w:basedOn w:val="1"/>
    <w:qFormat/>
    <w:uiPriority w:val="0"/>
    <w:pPr>
      <w:spacing w:line="500" w:lineRule="atLeast"/>
      <w:jc w:val="center"/>
    </w:pPr>
    <w:rPr>
      <w:rFonts w:ascii="Arial" w:hAnsi="Arial" w:eastAsia="楷体_GB2312"/>
      <w:sz w:val="28"/>
    </w:rPr>
  </w:style>
  <w:style w:type="paragraph" w:customStyle="1" w:styleId="71">
    <w:name w:val="BodyText1I2"/>
    <w:basedOn w:val="72"/>
    <w:qFormat/>
    <w:uiPriority w:val="0"/>
    <w:pPr>
      <w:ind w:firstLine="420" w:firstLineChars="200"/>
    </w:pPr>
  </w:style>
  <w:style w:type="paragraph" w:customStyle="1" w:styleId="72">
    <w:name w:val="BodyTextIndent"/>
    <w:basedOn w:val="1"/>
    <w:qFormat/>
    <w:uiPriority w:val="0"/>
    <w:pPr>
      <w:spacing w:after="120"/>
      <w:ind w:left="420" w:leftChars="200"/>
    </w:pPr>
    <w:rPr>
      <w:color w:val="000000"/>
    </w:rPr>
  </w:style>
  <w:style w:type="character" w:customStyle="1" w:styleId="73">
    <w:name w:val="font11"/>
    <w:basedOn w:val="29"/>
    <w:link w:val="1"/>
    <w:qFormat/>
    <w:uiPriority w:val="0"/>
    <w:rPr>
      <w:rFonts w:ascii="Calibri" w:hAnsi="Calibri"/>
      <w:color w:val="000000"/>
      <w:sz w:val="21"/>
      <w:szCs w:val="21"/>
      <w:u w:val="none"/>
    </w:rPr>
  </w:style>
  <w:style w:type="character" w:customStyle="1" w:styleId="74">
    <w:name w:val="font21"/>
    <w:basedOn w:val="29"/>
    <w:link w:val="1"/>
    <w:qFormat/>
    <w:uiPriority w:val="0"/>
    <w:rPr>
      <w:rFonts w:ascii="Calibri" w:hAnsi="Calibri"/>
      <w:color w:val="000000"/>
      <w:sz w:val="22"/>
      <w:szCs w:val="22"/>
      <w:u w:val="none"/>
    </w:rPr>
  </w:style>
  <w:style w:type="character" w:customStyle="1" w:styleId="75">
    <w:name w:val="font01"/>
    <w:basedOn w:val="29"/>
    <w:link w:val="1"/>
    <w:qFormat/>
    <w:uiPriority w:val="0"/>
    <w:rPr>
      <w:rFonts w:hint="eastAsia" w:ascii="宋体" w:hAnsi="宋体" w:eastAsia="宋体"/>
      <w:color w:val="000000"/>
      <w:sz w:val="21"/>
      <w:szCs w:val="21"/>
      <w:u w:val="none"/>
    </w:rPr>
  </w:style>
  <w:style w:type="character" w:customStyle="1" w:styleId="76">
    <w:name w:val="font41"/>
    <w:basedOn w:val="29"/>
    <w:link w:val="1"/>
    <w:qFormat/>
    <w:uiPriority w:val="0"/>
    <w:rPr>
      <w:rFonts w:hint="eastAsia" w:ascii="宋体" w:hAnsi="宋体" w:eastAsia="宋体"/>
      <w:color w:val="000000"/>
      <w:sz w:val="22"/>
      <w:szCs w:val="22"/>
      <w:u w:val="none"/>
    </w:rPr>
  </w:style>
  <w:style w:type="paragraph" w:customStyle="1" w:styleId="77">
    <w:name w:val="xl7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b/>
      <w:bCs/>
      <w:kern w:val="0"/>
      <w:sz w:val="28"/>
      <w:szCs w:val="28"/>
    </w:rPr>
  </w:style>
  <w:style w:type="paragraph" w:customStyle="1" w:styleId="78">
    <w:name w:val="表格文字"/>
    <w:basedOn w:val="11"/>
    <w:next w:val="6"/>
    <w:qFormat/>
    <w:uiPriority w:val="0"/>
    <w:pPr>
      <w:spacing w:line="420" w:lineRule="atLeast"/>
      <w:jc w:val="left"/>
    </w:pPr>
    <w:rPr>
      <w:rFonts w:ascii="Times New Roman" w:hAnsi="Times New Roman"/>
      <w:kern w:val="0"/>
      <w:szCs w:val="24"/>
    </w:rPr>
  </w:style>
  <w:style w:type="paragraph" w:customStyle="1" w:styleId="79">
    <w:name w:val="zw1"/>
    <w:basedOn w:val="1"/>
    <w:qFormat/>
    <w:uiPriority w:val="0"/>
    <w:pPr>
      <w:spacing w:line="360" w:lineRule="auto"/>
      <w:ind w:firstLine="560" w:firstLineChars="200"/>
    </w:pPr>
    <w:rPr>
      <w:sz w:val="28"/>
      <w:szCs w:val="20"/>
    </w:rPr>
  </w:style>
  <w:style w:type="paragraph" w:customStyle="1" w:styleId="80">
    <w:name w:val="列出段落1"/>
    <w:basedOn w:val="81"/>
    <w:qFormat/>
    <w:uiPriority w:val="0"/>
    <w:pPr>
      <w:ind w:firstLine="420" w:firstLineChars="200"/>
    </w:pPr>
  </w:style>
  <w:style w:type="paragraph" w:customStyle="1" w:styleId="81">
    <w:name w:val="正文 New"/>
    <w:next w:val="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
    <w:name w:val="正文缩进2"/>
    <w:basedOn w:val="1"/>
    <w:qFormat/>
    <w:uiPriority w:val="0"/>
    <w:pPr>
      <w:spacing w:line="500" w:lineRule="exact"/>
      <w:ind w:firstLine="567"/>
    </w:pPr>
    <w:rPr>
      <w:sz w:val="24"/>
      <w:szCs w:val="20"/>
    </w:rPr>
  </w:style>
  <w:style w:type="paragraph" w:styleId="83">
    <w:name w:val="List Paragraph"/>
    <w:basedOn w:val="1"/>
    <w:qFormat/>
    <w:uiPriority w:val="0"/>
    <w:pPr>
      <w:ind w:firstLine="420" w:firstLineChars="200"/>
    </w:pPr>
    <w:rPr>
      <w:rFonts w:ascii="Calibri" w:hAnsi="Calibri"/>
      <w:szCs w:val="22"/>
    </w:rPr>
  </w:style>
  <w:style w:type="paragraph" w:customStyle="1" w:styleId="84">
    <w:name w:val="xl55"/>
    <w:basedOn w:val="1"/>
    <w:qFormat/>
    <w:uiPriority w:val="0"/>
    <w:pPr>
      <w:widowControl/>
      <w:spacing w:before="100" w:beforeAutospacing="1" w:after="100" w:afterAutospacing="1"/>
      <w:jc w:val="center"/>
    </w:pPr>
    <w:rPr>
      <w:rFonts w:ascii="Arial Unicode MS" w:hAnsi="Arial Unicode MS"/>
      <w:kern w:val="0"/>
      <w:sz w:val="24"/>
    </w:rPr>
  </w:style>
  <w:style w:type="paragraph" w:customStyle="1" w:styleId="85">
    <w:name w:val="正文首行缩进 21"/>
    <w:basedOn w:val="1"/>
    <w:qFormat/>
    <w:uiPriority w:val="0"/>
    <w:pPr>
      <w:spacing w:after="120"/>
      <w:ind w:left="420" w:leftChars="200" w:firstLine="420"/>
    </w:pPr>
    <w:rPr>
      <w:color w:val="000000"/>
      <w:sz w:val="21"/>
      <w:szCs w:val="21"/>
    </w:rPr>
  </w:style>
  <w:style w:type="paragraph" w:customStyle="1" w:styleId="86">
    <w:name w:val="纯文本1"/>
    <w:qFormat/>
    <w:uiPriority w:val="0"/>
    <w:rPr>
      <w:rFonts w:hint="eastAsia" w:ascii="宋体" w:hAnsi="Courier New" w:eastAsia="宋体" w:cs="Times New Roman"/>
      <w:kern w:val="2"/>
      <w:sz w:val="21"/>
      <w:lang w:val="en-US" w:eastAsia="zh-CN" w:bidi="ar-SA"/>
    </w:rPr>
  </w:style>
  <w:style w:type="paragraph" w:customStyle="1" w:styleId="87">
    <w:name w:val="Table Paragraph"/>
    <w:basedOn w:val="1"/>
    <w:qFormat/>
    <w:uiPriority w:val="0"/>
    <w:rPr>
      <w:rFonts w:ascii="宋体" w:hAnsi="宋体"/>
      <w:lang w:val="zh-CN" w:bidi="zh-CN"/>
    </w:rPr>
  </w:style>
  <w:style w:type="paragraph" w:customStyle="1" w:styleId="88">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89">
    <w:name w:val="内文正文"/>
    <w:basedOn w:val="39"/>
    <w:qFormat/>
    <w:uiPriority w:val="0"/>
    <w:pPr>
      <w:widowControl w:val="0"/>
      <w:overflowPunct/>
      <w:autoSpaceDE/>
      <w:autoSpaceDN/>
      <w:snapToGrid w:val="0"/>
      <w:spacing w:line="400" w:lineRule="exact"/>
      <w:ind w:firstLine="200" w:firstLineChars="200"/>
      <w:jc w:val="both"/>
    </w:pPr>
    <w:rPr>
      <w:rFonts w:ascii="Arial" w:hAnsi="Arial"/>
      <w:color w:val="000000"/>
      <w:kern w:val="2"/>
      <w:szCs w:val="20"/>
    </w:rPr>
  </w:style>
  <w:style w:type="paragraph" w:customStyle="1" w:styleId="90">
    <w:name w:val="Body text|1"/>
    <w:basedOn w:val="1"/>
    <w:qFormat/>
    <w:uiPriority w:val="0"/>
    <w:pPr>
      <w:keepNext w:val="0"/>
      <w:keepLines w:val="0"/>
      <w:widowControl w:val="0"/>
      <w:suppressLineNumbers w:val="0"/>
      <w:spacing w:before="0" w:beforeAutospacing="0" w:after="0" w:afterAutospacing="0" w:line="432" w:lineRule="auto"/>
      <w:ind w:left="0" w:right="0" w:firstLine="400"/>
      <w:jc w:val="left"/>
    </w:pPr>
    <w:rPr>
      <w:rFonts w:hint="eastAsia" w:ascii="宋体" w:hAnsi="宋体" w:eastAsia="宋体"/>
      <w:kern w:val="0"/>
      <w:sz w:val="30"/>
      <w:szCs w:val="30"/>
      <w:lang w:val="en-US" w:eastAsia="zh-CN" w:bidi="ar"/>
    </w:rPr>
  </w:style>
  <w:style w:type="paragraph" w:customStyle="1" w:styleId="91">
    <w:name w:val="Body text|5"/>
    <w:basedOn w:val="1"/>
    <w:qFormat/>
    <w:uiPriority w:val="0"/>
    <w:pPr>
      <w:keepNext w:val="0"/>
      <w:keepLines w:val="0"/>
      <w:widowControl w:val="0"/>
      <w:suppressLineNumbers w:val="0"/>
      <w:spacing w:before="0" w:beforeAutospacing="0" w:after="0" w:afterAutospacing="0" w:line="360" w:lineRule="auto"/>
      <w:ind w:left="0" w:right="0" w:hanging="1640"/>
      <w:jc w:val="left"/>
    </w:pPr>
    <w:rPr>
      <w:rFonts w:hint="eastAsia" w:ascii="宋体" w:hAnsi="宋体" w:eastAsia="宋体"/>
      <w:kern w:val="0"/>
      <w:sz w:val="22"/>
      <w:szCs w:val="22"/>
      <w:u w:val="single"/>
      <w:lang w:val="en-US" w:eastAsia="zh-CN" w:bidi="ar"/>
    </w:rPr>
  </w:style>
  <w:style w:type="paragraph" w:customStyle="1" w:styleId="92">
    <w:name w:val="Body text|3"/>
    <w:basedOn w:val="1"/>
    <w:qFormat/>
    <w:uiPriority w:val="0"/>
    <w:pPr>
      <w:keepNext w:val="0"/>
      <w:keepLines w:val="0"/>
      <w:widowControl w:val="0"/>
      <w:suppressLineNumbers w:val="0"/>
      <w:spacing w:before="0" w:beforeAutospacing="0" w:after="60" w:afterAutospacing="0" w:line="360" w:lineRule="auto"/>
      <w:ind w:left="1510" w:right="0"/>
      <w:jc w:val="left"/>
    </w:pPr>
    <w:rPr>
      <w:rFonts w:hint="eastAsia" w:ascii="宋体" w:hAnsi="宋体" w:eastAsia="宋体"/>
      <w:kern w:val="0"/>
      <w:sz w:val="26"/>
      <w:szCs w:val="26"/>
      <w:lang w:val="en-US" w:eastAsia="zh-CN" w:bidi="ar"/>
    </w:rPr>
  </w:style>
  <w:style w:type="paragraph" w:customStyle="1" w:styleId="93">
    <w:name w:val="Default"/>
    <w:qFormat/>
    <w:uiPriority w:val="0"/>
    <w:pPr>
      <w:widowControl w:val="0"/>
      <w:autoSpaceDE w:val="0"/>
      <w:autoSpaceDN w:val="0"/>
    </w:pPr>
    <w:rPr>
      <w:rFonts w:ascii="Arial" w:hAnsi="Arial" w:eastAsia="宋体" w:cs="Times New Roman"/>
      <w:color w:val="000000"/>
      <w:sz w:val="24"/>
      <w:szCs w:val="24"/>
      <w:lang w:val="en-US" w:eastAsia="zh-CN" w:bidi="ar-SA"/>
    </w:rPr>
  </w:style>
  <w:style w:type="paragraph" w:customStyle="1" w:styleId="94">
    <w:name w:val="目录 7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95">
    <w:name w:val="协议书标题2"/>
    <w:basedOn w:val="26"/>
    <w:qFormat/>
    <w:uiPriority w:val="0"/>
    <w:pPr>
      <w:keepNext w:val="0"/>
      <w:keepLines w:val="0"/>
      <w:numPr>
        <w:ilvl w:val="0"/>
        <w:numId w:val="2"/>
      </w:numPr>
      <w:tabs>
        <w:tab w:val="left" w:pos="567"/>
      </w:tabs>
      <w:spacing w:line="360" w:lineRule="auto"/>
      <w:ind w:firstLine="0" w:firstLineChars="0"/>
      <w:jc w:val="left"/>
    </w:pPr>
    <w:rPr>
      <w:rFonts w:ascii="宋体" w:hAnsi="宋体" w:eastAsia="宋体"/>
      <w:sz w:val="24"/>
    </w:rPr>
  </w:style>
  <w:style w:type="paragraph" w:customStyle="1" w:styleId="96">
    <w:name w:val="table"/>
    <w:qFormat/>
    <w:uiPriority w:val="0"/>
    <w:pPr>
      <w:framePr w:hSpace="180" w:wrap="around" w:vAnchor="text" w:hAnchor="margin" w:y="1418"/>
      <w:snapToGrid w:val="0"/>
    </w:pPr>
    <w:rPr>
      <w:rFonts w:ascii="宋体" w:hAnsi="Calibri" w:eastAsia="宋体" w:cs="Times New Roman"/>
      <w:kern w:val="2"/>
      <w:sz w:val="24"/>
      <w:szCs w:val="22"/>
      <w:lang w:val="en-US" w:eastAsia="zh-CN" w:bidi="ar-SA"/>
    </w:rPr>
  </w:style>
  <w:style w:type="paragraph" w:customStyle="1" w:styleId="97">
    <w:name w:val="TOC 标题2"/>
    <w:basedOn w:val="25"/>
    <w:qFormat/>
    <w:uiPriority w:val="0"/>
    <w:pPr>
      <w:keepNext/>
      <w:keepLines/>
      <w:widowControl w:val="0"/>
      <w:snapToGrid/>
      <w:spacing w:before="260" w:after="260" w:line="413" w:lineRule="auto"/>
    </w:pPr>
    <w:rPr>
      <w:rFonts w:ascii="宋体" w:hAnsi="宋体" w:eastAsia="宋体"/>
      <w:sz w:val="36"/>
      <w:szCs w:val="44"/>
      <w:lang w:val="zh-CN"/>
    </w:rPr>
  </w:style>
  <w:style w:type="paragraph" w:customStyle="1" w:styleId="98">
    <w:name w:val="通用标题3"/>
    <w:qFormat/>
    <w:uiPriority w:val="0"/>
    <w:pPr>
      <w:widowControl w:val="0"/>
      <w:numPr>
        <w:ilvl w:val="1"/>
        <w:numId w:val="3"/>
      </w:numPr>
      <w:tabs>
        <w:tab w:val="left" w:pos="851"/>
      </w:tabs>
      <w:snapToGrid w:val="0"/>
      <w:spacing w:after="120" w:line="360" w:lineRule="auto"/>
      <w:jc w:val="both"/>
      <w:outlineLvl w:val="2"/>
    </w:pPr>
    <w:rPr>
      <w:rFonts w:ascii="黑体" w:hAnsi="黑体" w:eastAsia="黑体" w:cs="Times New Roman"/>
      <w:b/>
      <w:kern w:val="2"/>
      <w:sz w:val="24"/>
      <w:szCs w:val="24"/>
      <w:lang w:val="en-US" w:eastAsia="zh-CN" w:bidi="ar-SA"/>
    </w:rPr>
  </w:style>
  <w:style w:type="paragraph" w:customStyle="1" w:styleId="99">
    <w:name w:val="专用标题2"/>
    <w:basedOn w:val="26"/>
    <w:qFormat/>
    <w:uiPriority w:val="0"/>
    <w:pPr>
      <w:keepNext w:val="0"/>
      <w:keepLines w:val="0"/>
      <w:tabs>
        <w:tab w:val="left" w:pos="993"/>
      </w:tabs>
      <w:wordWrap/>
      <w:topLinePunct w:val="0"/>
      <w:spacing w:line="360" w:lineRule="auto"/>
      <w:ind w:firstLine="0" w:firstLineChars="0"/>
    </w:pPr>
    <w:rPr>
      <w:rFonts w:ascii="宋体" w:hAnsi="宋体" w:eastAsia="宋体"/>
    </w:rPr>
  </w:style>
  <w:style w:type="paragraph" w:customStyle="1" w:styleId="100">
    <w:name w:val="附件标题"/>
    <w:basedOn w:val="26"/>
    <w:qFormat/>
    <w:uiPriority w:val="0"/>
    <w:pPr>
      <w:numPr>
        <w:ilvl w:val="0"/>
        <w:numId w:val="4"/>
      </w:numPr>
      <w:tabs>
        <w:tab w:val="left" w:pos="1134"/>
      </w:tabs>
      <w:spacing w:line="360" w:lineRule="auto"/>
      <w:ind w:firstLine="0" w:firstLineChars="0"/>
      <w:jc w:val="center"/>
    </w:pPr>
    <w:rPr>
      <w:rFonts w:ascii="黑体" w:hAnsi="黑体"/>
      <w:sz w:val="30"/>
      <w:szCs w:val="30"/>
    </w:rPr>
  </w:style>
  <w:style w:type="character" w:customStyle="1" w:styleId="101">
    <w:name w:val="NormalCharacter"/>
    <w:link w:val="1"/>
    <w:semiHidden/>
    <w:qFormat/>
    <w:uiPriority w:val="0"/>
    <w:rPr>
      <w:kern w:val="2"/>
      <w:sz w:val="21"/>
      <w:szCs w:val="24"/>
      <w:lang w:val="en-US" w:eastAsia="zh-CN" w:bidi="ar-SA"/>
    </w:rPr>
  </w:style>
  <w:style w:type="character" w:customStyle="1" w:styleId="102">
    <w:name w:val="font61"/>
    <w:basedOn w:val="22"/>
    <w:qFormat/>
    <w:uiPriority w:val="0"/>
    <w:rPr>
      <w:rFonts w:hint="eastAsia" w:ascii="宋体" w:hAnsi="宋体" w:eastAsia="宋体" w:cs="宋体"/>
      <w:color w:val="000000"/>
      <w:sz w:val="24"/>
      <w:szCs w:val="24"/>
      <w:u w:val="none"/>
    </w:rPr>
  </w:style>
  <w:style w:type="character" w:customStyle="1" w:styleId="103">
    <w:name w:val="font31"/>
    <w:basedOn w:val="22"/>
    <w:qFormat/>
    <w:uiPriority w:val="0"/>
    <w:rPr>
      <w:rFonts w:hint="default" w:ascii="仿宋_GB2312" w:eastAsia="仿宋_GB2312" w:cs="仿宋_GB2312"/>
      <w:color w:val="000000"/>
      <w:sz w:val="20"/>
      <w:szCs w:val="20"/>
      <w:u w:val="none"/>
    </w:rPr>
  </w:style>
  <w:style w:type="paragraph" w:customStyle="1" w:styleId="104">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character" w:customStyle="1" w:styleId="105">
    <w:name w:val="font71"/>
    <w:basedOn w:val="22"/>
    <w:qFormat/>
    <w:uiPriority w:val="0"/>
    <w:rPr>
      <w:rFonts w:hint="eastAsia" w:ascii="宋体" w:hAnsi="宋体" w:eastAsia="宋体" w:cs="宋体"/>
      <w:color w:val="000000"/>
      <w:sz w:val="24"/>
      <w:szCs w:val="24"/>
      <w:u w:val="none"/>
    </w:rPr>
  </w:style>
  <w:style w:type="character" w:customStyle="1" w:styleId="106">
    <w:name w:val="font51"/>
    <w:basedOn w:val="22"/>
    <w:qFormat/>
    <w:uiPriority w:val="0"/>
    <w:rPr>
      <w:rFonts w:hint="eastAsia" w:ascii="宋体" w:hAnsi="宋体" w:eastAsia="宋体" w:cs="宋体"/>
      <w:color w:val="000000"/>
      <w:sz w:val="20"/>
      <w:szCs w:val="20"/>
      <w:u w:val="none"/>
    </w:rPr>
  </w:style>
  <w:style w:type="character" w:customStyle="1" w:styleId="107">
    <w:name w:val="font91"/>
    <w:basedOn w:val="2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76.png"/><Relationship Id="rId93" Type="http://schemas.openxmlformats.org/officeDocument/2006/relationships/image" Target="media/image75.png"/><Relationship Id="rId92" Type="http://schemas.openxmlformats.org/officeDocument/2006/relationships/image" Target="media/image74.png"/><Relationship Id="rId91" Type="http://schemas.openxmlformats.org/officeDocument/2006/relationships/image" Target="media/image73.png"/><Relationship Id="rId90" Type="http://schemas.openxmlformats.org/officeDocument/2006/relationships/image" Target="media/image72.png"/><Relationship Id="rId9" Type="http://schemas.openxmlformats.org/officeDocument/2006/relationships/header" Target="header2.xml"/><Relationship Id="rId89" Type="http://schemas.openxmlformats.org/officeDocument/2006/relationships/image" Target="media/image71.png"/><Relationship Id="rId88" Type="http://schemas.openxmlformats.org/officeDocument/2006/relationships/image" Target="media/image70.png"/><Relationship Id="rId87" Type="http://schemas.openxmlformats.org/officeDocument/2006/relationships/image" Target="media/image69.png"/><Relationship Id="rId86" Type="http://schemas.openxmlformats.org/officeDocument/2006/relationships/image" Target="media/image68.png"/><Relationship Id="rId85" Type="http://schemas.openxmlformats.org/officeDocument/2006/relationships/image" Target="media/image67.png"/><Relationship Id="rId84" Type="http://schemas.openxmlformats.org/officeDocument/2006/relationships/image" Target="media/image66.png"/><Relationship Id="rId83" Type="http://schemas.openxmlformats.org/officeDocument/2006/relationships/image" Target="media/image65.png"/><Relationship Id="rId82" Type="http://schemas.openxmlformats.org/officeDocument/2006/relationships/image" Target="media/image64.png"/><Relationship Id="rId81" Type="http://schemas.openxmlformats.org/officeDocument/2006/relationships/image" Target="media/image63.png"/><Relationship Id="rId80" Type="http://schemas.openxmlformats.org/officeDocument/2006/relationships/image" Target="media/image62.png"/><Relationship Id="rId8" Type="http://schemas.openxmlformats.org/officeDocument/2006/relationships/header" Target="header1.xml"/><Relationship Id="rId79" Type="http://schemas.openxmlformats.org/officeDocument/2006/relationships/image" Target="media/image61.png"/><Relationship Id="rId78" Type="http://schemas.openxmlformats.org/officeDocument/2006/relationships/image" Target="media/image60.png"/><Relationship Id="rId77" Type="http://schemas.openxmlformats.org/officeDocument/2006/relationships/image" Target="media/image59.png"/><Relationship Id="rId76" Type="http://schemas.openxmlformats.org/officeDocument/2006/relationships/image" Target="media/image58.png"/><Relationship Id="rId75" Type="http://schemas.openxmlformats.org/officeDocument/2006/relationships/image" Target="media/image57.png"/><Relationship Id="rId74" Type="http://schemas.openxmlformats.org/officeDocument/2006/relationships/image" Target="media/image56.png"/><Relationship Id="rId73" Type="http://schemas.openxmlformats.org/officeDocument/2006/relationships/image" Target="media/image55.png"/><Relationship Id="rId72" Type="http://schemas.openxmlformats.org/officeDocument/2006/relationships/image" Target="media/image54.png"/><Relationship Id="rId71" Type="http://schemas.openxmlformats.org/officeDocument/2006/relationships/image" Target="media/image53.png"/><Relationship Id="rId70" Type="http://schemas.openxmlformats.org/officeDocument/2006/relationships/image" Target="media/image52.png"/><Relationship Id="rId7" Type="http://schemas.openxmlformats.org/officeDocument/2006/relationships/footer" Target="footer5.xml"/><Relationship Id="rId69" Type="http://schemas.openxmlformats.org/officeDocument/2006/relationships/image" Target="media/image51.png"/><Relationship Id="rId68" Type="http://schemas.openxmlformats.org/officeDocument/2006/relationships/image" Target="media/image50.png"/><Relationship Id="rId67" Type="http://schemas.openxmlformats.org/officeDocument/2006/relationships/image" Target="media/image49.png"/><Relationship Id="rId66" Type="http://schemas.openxmlformats.org/officeDocument/2006/relationships/image" Target="media/image48.png"/><Relationship Id="rId65" Type="http://schemas.openxmlformats.org/officeDocument/2006/relationships/image" Target="media/image47.png"/><Relationship Id="rId64" Type="http://schemas.openxmlformats.org/officeDocument/2006/relationships/image" Target="media/image46.png"/><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png"/><Relationship Id="rId6" Type="http://schemas.openxmlformats.org/officeDocument/2006/relationships/footer" Target="footer4.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footer" Target="footer3.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footer" Target="foot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er" Target="foot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123</Pages>
  <Words>27766</Words>
  <Characters>29852</Characters>
  <Lines>0</Lines>
  <Paragraphs>0</Paragraphs>
  <TotalTime>31</TotalTime>
  <ScaleCrop>false</ScaleCrop>
  <LinksUpToDate>false</LinksUpToDate>
  <CharactersWithSpaces>30179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2024-07-22T07:51:00Z</dcterms:created>
  <dc:creator>谢作恒</dc:creator>
  <cp:lastModifiedBy>小玉</cp:lastModifiedBy>
  <cp:lastPrinted>2024-08-01T01:51:00Z</cp:lastPrinted>
  <dcterms:modified xsi:type="dcterms:W3CDTF">2025-09-04T01:21:46Z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93F0190031F64FF4865C42300B9D9D13_13</vt:lpwstr>
  </property>
  <property fmtid="{D5CDD505-2E9C-101B-9397-08002B2CF9AE}" pid="4" name="KSOTemplateDocerSaveRecord">
    <vt:lpwstr>eyJoZGlkIjoiMjQxYjIxNWI0NGJlNDhlNzE1MTFhNTc3YTcxMWEzZGQiLCJ1c2VySWQiOiIxMDQ0OTc4MzE3In0=</vt:lpwstr>
  </property>
</Properties>
</file>