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center"/>
        <w:rPr>
          <w:bCs w:val="0"/>
          <w:sz w:val="28"/>
          <w:szCs w:val="72"/>
        </w:rPr>
      </w:pPr>
      <w:bookmarkStart w:id="0" w:name="_Toc22633"/>
      <w:r>
        <w:rPr>
          <w:bCs w:val="0"/>
          <w:sz w:val="28"/>
          <w:szCs w:val="72"/>
        </w:rPr>
        <w:t>（二）投标函附录</w:t>
      </w:r>
      <w:bookmarkEnd w:id="0"/>
    </w:p>
    <w:p>
      <w:pPr>
        <w:pStyle w:val="3"/>
        <w:ind w:left="0"/>
        <w:rPr>
          <w:b/>
          <w:sz w:val="20"/>
        </w:rPr>
      </w:pPr>
    </w:p>
    <w:p>
      <w:pPr>
        <w:pStyle w:val="3"/>
        <w:ind w:left="0"/>
        <w:rPr>
          <w:b/>
          <w:sz w:val="15"/>
        </w:rPr>
      </w:pPr>
    </w:p>
    <w:tbl>
      <w:tblPr>
        <w:tblStyle w:val="6"/>
        <w:tblW w:w="5014" w:type="pct"/>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671"/>
        <w:gridCol w:w="2208"/>
        <w:gridCol w:w="1179"/>
        <w:gridCol w:w="3477"/>
        <w:gridCol w:w="824"/>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401" w:type="pct"/>
            <w:tcBorders>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序号</w:t>
            </w:r>
          </w:p>
        </w:tc>
        <w:tc>
          <w:tcPr>
            <w:tcW w:w="1320" w:type="pct"/>
            <w:tcBorders>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条款名称</w:t>
            </w:r>
          </w:p>
        </w:tc>
        <w:tc>
          <w:tcPr>
            <w:tcW w:w="705" w:type="pct"/>
            <w:tcBorders>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合同条款号</w:t>
            </w:r>
          </w:p>
        </w:tc>
        <w:tc>
          <w:tcPr>
            <w:tcW w:w="2079" w:type="pct"/>
            <w:tcBorders>
              <w:left w:val="single" w:color="000000" w:sz="6" w:space="0"/>
              <w:bottom w:val="single" w:color="000000" w:sz="6" w:space="0"/>
              <w:right w:val="single" w:color="000000" w:sz="4" w:space="0"/>
            </w:tcBorders>
            <w:vAlign w:val="center"/>
          </w:tcPr>
          <w:p>
            <w:pPr>
              <w:pStyle w:val="8"/>
              <w:ind w:left="44" w:leftChars="20" w:firstLine="0"/>
              <w:jc w:val="center"/>
              <w:rPr>
                <w:spacing w:val="0"/>
                <w:w w:val="100"/>
                <w:sz w:val="21"/>
              </w:rPr>
            </w:pPr>
            <w:r>
              <w:rPr>
                <w:spacing w:val="0"/>
                <w:w w:val="100"/>
                <w:sz w:val="21"/>
              </w:rPr>
              <w:t>约定内容</w:t>
            </w:r>
          </w:p>
        </w:tc>
        <w:tc>
          <w:tcPr>
            <w:tcW w:w="493" w:type="pct"/>
            <w:tcBorders>
              <w:left w:val="single" w:color="000000" w:sz="4" w:space="0"/>
              <w:bottom w:val="single" w:color="000000" w:sz="6" w:space="0"/>
            </w:tcBorders>
            <w:vAlign w:val="center"/>
          </w:tcPr>
          <w:p>
            <w:pPr>
              <w:pStyle w:val="8"/>
              <w:ind w:left="44" w:leftChars="20" w:firstLine="0"/>
              <w:jc w:val="center"/>
              <w:rPr>
                <w:spacing w:val="0"/>
                <w:w w:val="100"/>
                <w:sz w:val="21"/>
              </w:rPr>
            </w:pPr>
            <w:r>
              <w:rPr>
                <w:spacing w:val="0"/>
                <w:w w:val="100"/>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20"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缺陷责任期</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1.1.4.5</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自实际交工日期（交工证书颁发之日）起计算 24 个月</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2</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逾期交工违约金</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11.5</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100000 元/天</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3</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逾期交工违约金限额</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11.5</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10％签约合同价</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4</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提前交工的奖金</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11.6</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无</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5</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提前交工的奖金限额</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11.6</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无</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51"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6</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价格调整的差额计算</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16.1</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因物价波动引起的价格调整</w:t>
            </w:r>
            <w:r>
              <w:rPr>
                <w:rFonts w:hint="eastAsia"/>
                <w:spacing w:val="0"/>
                <w:w w:val="100"/>
                <w:sz w:val="21"/>
              </w:rPr>
              <w:t>：按照项目专用合同条款第16.1项约定的原则处理</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05"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7</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预付款</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17.2</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开工预付款：签约合同价中“3.施工” 价格清单合计金额的</w:t>
            </w:r>
            <w:r>
              <w:rPr>
                <w:rFonts w:hint="eastAsia"/>
                <w:spacing w:val="0"/>
                <w:w w:val="100"/>
                <w:sz w:val="21"/>
                <w:lang w:val="en-US" w:eastAsia="zh-CN"/>
              </w:rPr>
              <w:t>1</w:t>
            </w:r>
            <w:r>
              <w:rPr>
                <w:spacing w:val="0"/>
                <w:w w:val="100"/>
                <w:sz w:val="21"/>
              </w:rPr>
              <w:t>0％</w:t>
            </w:r>
          </w:p>
          <w:p>
            <w:pPr>
              <w:pStyle w:val="8"/>
              <w:ind w:left="44" w:leftChars="20" w:firstLine="0"/>
              <w:rPr>
                <w:spacing w:val="0"/>
                <w:w w:val="100"/>
                <w:sz w:val="21"/>
              </w:rPr>
            </w:pPr>
            <w:r>
              <w:rPr>
                <w:spacing w:val="0"/>
                <w:w w:val="100"/>
                <w:sz w:val="21"/>
              </w:rPr>
              <w:t>材料、设备预付款：本项目不适用</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8</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进度付款证书最低限额</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17.3.4（1）</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100 万元</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12"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9</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逾期付款违约金的利率</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17.3.4（2）</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rFonts w:hint="eastAsia"/>
                <w:spacing w:val="0"/>
                <w:w w:val="100"/>
                <w:sz w:val="21"/>
              </w:rPr>
              <w:t>中国人民银行授权全国银行间同业拆借中心发布的贷款市场报价利率一年期（LPR）计算（不计复利）</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10</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质量保证金限额</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17.4.1</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质量保证金限额：</w:t>
            </w:r>
            <w:r>
              <w:rPr>
                <w:rFonts w:hint="eastAsia"/>
                <w:spacing w:val="0"/>
                <w:w w:val="100"/>
                <w:sz w:val="21"/>
                <w:lang w:val="en-US"/>
              </w:rPr>
              <w:t>1</w:t>
            </w:r>
            <w:r>
              <w:rPr>
                <w:spacing w:val="0"/>
                <w:w w:val="100"/>
                <w:sz w:val="21"/>
              </w:rPr>
              <w:t>.5%</w:t>
            </w:r>
            <w:r>
              <w:rPr>
                <w:spacing w:val="0"/>
                <w:w w:val="100"/>
                <w:sz w:val="21"/>
              </w:rPr>
              <w:t>签约合同价</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00" w:hRule="atLeast"/>
        </w:trPr>
        <w:tc>
          <w:tcPr>
            <w:tcW w:w="401" w:type="pct"/>
            <w:tcBorders>
              <w:top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11</w:t>
            </w:r>
          </w:p>
        </w:tc>
        <w:tc>
          <w:tcPr>
            <w:tcW w:w="1320"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保留金比例</w:t>
            </w:r>
          </w:p>
        </w:tc>
        <w:tc>
          <w:tcPr>
            <w:tcW w:w="705" w:type="pct"/>
            <w:tcBorders>
              <w:top w:val="single" w:color="000000" w:sz="6" w:space="0"/>
              <w:left w:val="single" w:color="000000" w:sz="6" w:space="0"/>
              <w:bottom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17.4.4</w:t>
            </w:r>
          </w:p>
        </w:tc>
        <w:tc>
          <w:tcPr>
            <w:tcW w:w="2079" w:type="pct"/>
            <w:tcBorders>
              <w:top w:val="single" w:color="000000" w:sz="6" w:space="0"/>
              <w:left w:val="single" w:color="000000" w:sz="6" w:space="0"/>
              <w:bottom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保留金比例：</w:t>
            </w:r>
            <w:r>
              <w:rPr>
                <w:rFonts w:hint="eastAsia"/>
                <w:spacing w:val="0"/>
                <w:w w:val="100"/>
                <w:sz w:val="21"/>
                <w:lang w:val="en-US" w:eastAsia="zh-CN"/>
              </w:rPr>
              <w:t>月支付额的15%(质量保证金1.5%、审计预留金13.5%)根据平政办(2010)66号文件要求预留工程限额：13.5%合同价</w:t>
            </w:r>
          </w:p>
        </w:tc>
        <w:tc>
          <w:tcPr>
            <w:tcW w:w="493" w:type="pct"/>
            <w:tcBorders>
              <w:top w:val="single" w:color="000000" w:sz="6" w:space="0"/>
              <w:left w:val="single" w:color="000000" w:sz="4" w:space="0"/>
              <w:bottom w:val="single" w:color="000000" w:sz="6" w:space="0"/>
            </w:tcBorders>
            <w:vAlign w:val="center"/>
          </w:tcPr>
          <w:p>
            <w:pPr>
              <w:pStyle w:val="8"/>
              <w:ind w:left="44" w:leftChars="20" w:firstLine="0"/>
              <w:rPr>
                <w:rFonts w:ascii="Times New Roman"/>
                <w:spacing w:val="0"/>
                <w:w w:val="100"/>
                <w:sz w:val="20"/>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9" w:hRule="atLeast"/>
        </w:trPr>
        <w:tc>
          <w:tcPr>
            <w:tcW w:w="401" w:type="pct"/>
            <w:tcBorders>
              <w:top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12</w:t>
            </w:r>
          </w:p>
        </w:tc>
        <w:tc>
          <w:tcPr>
            <w:tcW w:w="1320" w:type="pct"/>
            <w:tcBorders>
              <w:top w:val="single" w:color="000000" w:sz="6" w:space="0"/>
              <w:left w:val="single" w:color="000000" w:sz="6" w:space="0"/>
              <w:right w:val="single" w:color="000000" w:sz="6" w:space="0"/>
            </w:tcBorders>
            <w:vAlign w:val="center"/>
          </w:tcPr>
          <w:p>
            <w:pPr>
              <w:pStyle w:val="8"/>
              <w:ind w:left="44" w:leftChars="20" w:firstLine="0"/>
              <w:rPr>
                <w:spacing w:val="0"/>
                <w:w w:val="100"/>
                <w:sz w:val="21"/>
              </w:rPr>
            </w:pPr>
            <w:r>
              <w:rPr>
                <w:spacing w:val="0"/>
                <w:w w:val="100"/>
                <w:sz w:val="21"/>
              </w:rPr>
              <w:t>保修期</w:t>
            </w:r>
          </w:p>
        </w:tc>
        <w:tc>
          <w:tcPr>
            <w:tcW w:w="705" w:type="pct"/>
            <w:tcBorders>
              <w:top w:val="single" w:color="000000" w:sz="6" w:space="0"/>
              <w:left w:val="single" w:color="000000" w:sz="6" w:space="0"/>
              <w:right w:val="single" w:color="000000" w:sz="6" w:space="0"/>
            </w:tcBorders>
            <w:vAlign w:val="center"/>
          </w:tcPr>
          <w:p>
            <w:pPr>
              <w:pStyle w:val="8"/>
              <w:ind w:left="44" w:leftChars="20" w:firstLine="0"/>
              <w:jc w:val="center"/>
              <w:rPr>
                <w:spacing w:val="0"/>
                <w:w w:val="100"/>
                <w:sz w:val="21"/>
              </w:rPr>
            </w:pPr>
            <w:r>
              <w:rPr>
                <w:spacing w:val="0"/>
                <w:w w:val="100"/>
                <w:sz w:val="21"/>
              </w:rPr>
              <w:t>19.7</w:t>
            </w:r>
          </w:p>
        </w:tc>
        <w:tc>
          <w:tcPr>
            <w:tcW w:w="2079" w:type="pct"/>
            <w:tcBorders>
              <w:top w:val="single" w:color="000000" w:sz="6" w:space="0"/>
              <w:left w:val="single" w:color="000000" w:sz="6" w:space="0"/>
              <w:right w:val="single" w:color="000000" w:sz="4" w:space="0"/>
            </w:tcBorders>
            <w:vAlign w:val="center"/>
          </w:tcPr>
          <w:p>
            <w:pPr>
              <w:pStyle w:val="8"/>
              <w:ind w:left="44" w:leftChars="20" w:firstLine="0"/>
              <w:rPr>
                <w:spacing w:val="0"/>
                <w:w w:val="100"/>
                <w:sz w:val="21"/>
              </w:rPr>
            </w:pPr>
            <w:r>
              <w:rPr>
                <w:spacing w:val="0"/>
                <w:w w:val="100"/>
                <w:sz w:val="21"/>
              </w:rPr>
              <w:t>自实际交工日期（交工证书颁发之日）起计算 2</w:t>
            </w:r>
            <w:bookmarkStart w:id="1" w:name="_GoBack"/>
            <w:bookmarkEnd w:id="1"/>
            <w:r>
              <w:rPr>
                <w:spacing w:val="0"/>
                <w:w w:val="100"/>
                <w:sz w:val="21"/>
              </w:rPr>
              <w:t>4 个月</w:t>
            </w:r>
          </w:p>
        </w:tc>
        <w:tc>
          <w:tcPr>
            <w:tcW w:w="493" w:type="pct"/>
            <w:tcBorders>
              <w:top w:val="single" w:color="000000" w:sz="6" w:space="0"/>
              <w:left w:val="single" w:color="000000" w:sz="4" w:space="0"/>
            </w:tcBorders>
            <w:vAlign w:val="center"/>
          </w:tcPr>
          <w:p>
            <w:pPr>
              <w:pStyle w:val="8"/>
              <w:ind w:left="44" w:leftChars="20" w:firstLine="0"/>
              <w:rPr>
                <w:rFonts w:ascii="Times New Roman"/>
                <w:spacing w:val="0"/>
                <w:w w:val="100"/>
                <w:sz w:val="20"/>
              </w:rPr>
            </w:pPr>
          </w:p>
        </w:tc>
      </w:tr>
    </w:tbl>
    <w:p>
      <w:pPr>
        <w:pStyle w:val="3"/>
        <w:ind w:left="0"/>
        <w:rPr>
          <w:b/>
          <w:sz w:val="20"/>
        </w:rPr>
      </w:pPr>
    </w:p>
    <w:p>
      <w:pPr>
        <w:spacing w:before="240" w:beforeLines="100" w:line="500" w:lineRule="exact"/>
        <w:rPr>
          <w:sz w:val="24"/>
        </w:rPr>
      </w:pPr>
      <w:r>
        <w:rPr>
          <w:rFonts w:hint="eastAsia"/>
          <w:sz w:val="24"/>
        </w:rPr>
        <w:t xml:space="preserve">                             投 标 人：</w:t>
      </w:r>
      <w:r>
        <w:rPr>
          <w:rFonts w:hint="eastAsia"/>
          <w:sz w:val="24"/>
          <w:u w:val="single"/>
        </w:rPr>
        <w:t xml:space="preserve">             </w:t>
      </w:r>
      <w:r>
        <w:rPr>
          <w:rFonts w:hint="eastAsia"/>
          <w:sz w:val="24"/>
        </w:rPr>
        <w:t>（盖单位公章）</w:t>
      </w:r>
    </w:p>
    <w:p>
      <w:pPr>
        <w:spacing w:line="440" w:lineRule="exact"/>
        <w:ind w:firstLine="3444" w:firstLineChars="1435"/>
        <w:rPr>
          <w:sz w:val="24"/>
        </w:rPr>
      </w:pPr>
      <w:r>
        <w:rPr>
          <w:rFonts w:hint="eastAsia"/>
          <w:sz w:val="24"/>
        </w:rPr>
        <w:t>投标文件签署人：</w:t>
      </w:r>
      <w:r>
        <w:rPr>
          <w:rFonts w:hint="eastAsia"/>
          <w:sz w:val="24"/>
          <w:u w:val="single"/>
        </w:rPr>
        <w:t xml:space="preserve">            </w:t>
      </w:r>
      <w:r>
        <w:rPr>
          <w:rFonts w:hint="eastAsia"/>
          <w:sz w:val="24"/>
        </w:rPr>
        <w:t>（签字）</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86"/>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178</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178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11753C"/>
    <w:rsid w:val="1DE32193"/>
    <w:rsid w:val="3BD076D0"/>
    <w:rsid w:val="5911753C"/>
    <w:rsid w:val="63C33BC6"/>
    <w:rsid w:val="660679FD"/>
    <w:rsid w:val="67BB5057"/>
    <w:rsid w:val="709E48FE"/>
    <w:rsid w:val="76164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3"/>
    <w:basedOn w:val="1"/>
    <w:next w:val="1"/>
    <w:qFormat/>
    <w:uiPriority w:val="1"/>
    <w:pPr>
      <w:jc w:val="both"/>
      <w:outlineLvl w:val="2"/>
    </w:pPr>
    <w:rPr>
      <w:rFonts w:ascii="黑体" w:hAnsi="黑体" w:cs="黑体"/>
      <w:b/>
      <w:bCs/>
      <w:sz w:val="21"/>
      <w:szCs w:val="44"/>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2"/>
    <w:qFormat/>
    <w:uiPriority w:val="1"/>
    <w:pPr>
      <w:ind w:left="1300"/>
    </w:pPr>
    <w:rPr>
      <w:sz w:val="21"/>
      <w:szCs w:val="21"/>
    </w:rPr>
  </w:style>
  <w:style w:type="paragraph" w:styleId="5">
    <w:name w:val="footer"/>
    <w:basedOn w:val="1"/>
    <w:qFormat/>
    <w:uiPriority w:val="0"/>
    <w:pPr>
      <w:tabs>
        <w:tab w:val="center" w:pos="4153"/>
        <w:tab w:val="right" w:pos="8306"/>
      </w:tabs>
      <w:snapToGrid w:val="0"/>
    </w:pPr>
    <w:rPr>
      <w:sz w:val="18"/>
    </w:rPr>
  </w:style>
  <w:style w:type="paragraph" w:styleId="8">
    <w:name w:val="List Paragraph"/>
    <w:basedOn w:val="1"/>
    <w:qFormat/>
    <w:uiPriority w:val="1"/>
    <w:pPr>
      <w:ind w:left="1300" w:firstLine="434"/>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2022-02-14T10:08:00Z</dcterms:created>
  <dc:creator>海飞</dc:creator>
  <cp:lastModifiedBy>海飞</cp:lastModifiedBy>
  <dcterms:modified xsi:type="dcterms:W3CDTF">2022-02-14T11:35:04Z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97014D4728914915B9AF31F9ED96291E</vt:lpwstr>
  </property>
</Properties>
</file>