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pPr>
              <w:pStyle w:val="10"/>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pPr>
              <w:pStyle w:val="11"/>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pPr>
              <w:pStyle w:val="10"/>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590"/>
            </w:tblGrid>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南雁荡山景区及周边环境生态修复工程初步设计采购</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PYCG240927077</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平阳县兴阳控股集团有限公司</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黄先生</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highlight w:val="none"/>
                      <w:lang w:eastAsia="zh-CN"/>
                    </w:rPr>
                    <w:t>新征程（杭州）招标代理有限公司</w:t>
                  </w:r>
                </w:p>
              </w:tc>
            </w:tr>
            <w:tr>
              <w:tblPrEx>
                <w:tblCellMar>
                  <w:top w:w="0" w:type="dxa"/>
                  <w:left w:w="108" w:type="dxa"/>
                  <w:bottom w:w="0" w:type="dxa"/>
                  <w:right w:w="108" w:type="dxa"/>
                </w:tblCellMar>
              </w:tblPrEx>
              <w:trPr>
                <w:trHeight w:val="90" w:hRule="atLeast"/>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李先生</w:t>
                  </w:r>
                </w:p>
              </w:tc>
            </w:tr>
            <w:tr>
              <w:tblPrEx>
                <w:tblCellMar>
                  <w:top w:w="0" w:type="dxa"/>
                  <w:left w:w="108" w:type="dxa"/>
                  <w:bottom w:w="0" w:type="dxa"/>
                  <w:right w:w="108" w:type="dxa"/>
                </w:tblCellMar>
              </w:tblPrEx>
              <w:trPr>
                <w:jc w:val="center"/>
              </w:trPr>
              <w:tc>
                <w:tcPr>
                  <w:tcW w:w="2304" w:type="dxa"/>
                  <w:noWrap w:val="0"/>
                  <w:vAlign w:val="top"/>
                </w:tcPr>
                <w:p>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13029688868</w:t>
                  </w:r>
                </w:p>
              </w:tc>
            </w:tr>
            <w:tr>
              <w:tblPrEx>
                <w:tblCellMar>
                  <w:top w:w="0" w:type="dxa"/>
                  <w:left w:w="108" w:type="dxa"/>
                  <w:bottom w:w="0" w:type="dxa"/>
                  <w:right w:w="108" w:type="dxa"/>
                </w:tblCellMar>
              </w:tblPrEx>
              <w:trPr>
                <w:jc w:val="center"/>
              </w:trPr>
              <w:tc>
                <w:tcPr>
                  <w:tcW w:w="6894" w:type="dxa"/>
                  <w:gridSpan w:val="2"/>
                  <w:noWrap w:val="0"/>
                  <w:vAlign w:val="top"/>
                </w:tcPr>
                <w:p>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月</w:t>
                  </w:r>
                </w:p>
              </w:tc>
            </w:tr>
          </w:tbl>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3"/>
      <w:bookmarkStart w:id="1" w:name="OLE_LINK2"/>
      <w:bookmarkStart w:id="2" w:name="OLE_LINK1"/>
      <w:r>
        <w:rPr>
          <w:rFonts w:hint="eastAsia" w:ascii="宋体" w:hAnsi="宋体" w:eastAsia="宋体" w:cs="宋体"/>
          <w:b/>
          <w:bCs/>
          <w:color w:val="auto"/>
          <w:kern w:val="0"/>
          <w:sz w:val="28"/>
          <w:szCs w:val="28"/>
          <w:highlight w:val="none"/>
          <w:lang w:eastAsia="zh-CN"/>
        </w:rPr>
        <w:br w:type="page"/>
      </w:r>
      <w:r>
        <w:rPr>
          <w:rFonts w:hint="eastAsia" w:ascii="宋体" w:hAnsi="宋体" w:eastAsia="宋体" w:cs="宋体"/>
          <w:b/>
          <w:bCs/>
          <w:color w:val="auto"/>
          <w:kern w:val="0"/>
          <w:sz w:val="28"/>
          <w:szCs w:val="28"/>
          <w:highlight w:val="none"/>
          <w:lang w:eastAsia="zh-CN"/>
        </w:rPr>
        <w:t>新征程（杭州）招标代理有限公司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南雁荡山景区及周边环境生态修复工程初步设计采购</w:t>
      </w:r>
      <w:r>
        <w:rPr>
          <w:rFonts w:hint="eastAsia" w:ascii="宋体" w:hAnsi="宋体" w:eastAsia="宋体" w:cs="宋体"/>
          <w:b/>
          <w:bCs/>
          <w:color w:val="auto"/>
          <w:kern w:val="0"/>
          <w:sz w:val="28"/>
          <w:szCs w:val="28"/>
          <w:highlight w:val="none"/>
        </w:rPr>
        <w:t>的公开招标公告</w:t>
      </w:r>
    </w:p>
    <w:p>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：2024年</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29</w:t>
      </w:r>
      <w:r>
        <w:rPr>
          <w:rFonts w:hint="eastAsia" w:ascii="宋体" w:hAnsi="宋体" w:eastAsia="宋体" w:cs="宋体"/>
          <w:b/>
          <w:color w:val="auto"/>
          <w:sz w:val="24"/>
          <w:highlight w:val="none"/>
        </w:rPr>
        <w:t>日</w:t>
      </w:r>
    </w:p>
    <w:p>
      <w:pPr>
        <w:pStyle w:val="24"/>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南雁荡山景区及周边环境生态修复工程初步设计采购</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日09:30（北京时间）前递交投标文件。</w:t>
      </w:r>
    </w:p>
    <w:p>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PYCG240927077</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南雁荡山景区及周边环境生态修复工程初步设计采购</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5370000</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5370000</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项目</w:t>
      </w:r>
      <w:r>
        <w:rPr>
          <w:rFonts w:hint="eastAsia" w:ascii="宋体" w:hAnsi="宋体" w:eastAsia="宋体" w:cs="宋体"/>
          <w:color w:val="auto"/>
          <w:sz w:val="22"/>
          <w:szCs w:val="22"/>
          <w:highlight w:val="none"/>
          <w:shd w:val="clear" w:color="auto" w:fill="FFFFFF"/>
          <w:lang w:eastAsia="zh-CN"/>
        </w:rPr>
        <w:t>初步设计服务</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pPr>
        <w:pStyle w:val="24"/>
        <w:shd w:val="clear" w:color="auto" w:fill="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pPr>
        <w:shd w:val="clear" w:color="auto" w:fill="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1、投标供应商具备①资质或同时具备②、③资质：①工程设计综合甲级资质；②市政行业（道路工程、桥梁工程、排水工程、给水工程）专业甲级设计资质；③风景园林工程设计专项甲级资质</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b/>
          <w:bCs/>
          <w:color w:val="auto"/>
          <w:sz w:val="22"/>
          <w:szCs w:val="22"/>
          <w:highlight w:val="none"/>
          <w:lang w:eastAsia="zh-Hans"/>
        </w:rPr>
        <w:t>浙江省外企业需具备有效期内的《省外企业进浙承接业务备案证明》</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如有</w:t>
      </w:r>
      <w:r>
        <w:rPr>
          <w:rFonts w:hint="eastAsia" w:ascii="宋体" w:hAnsi="宋体"/>
          <w:b/>
          <w:bCs/>
          <w:color w:val="auto"/>
          <w:sz w:val="22"/>
          <w:szCs w:val="22"/>
          <w:highlight w:val="none"/>
          <w:lang w:eastAsia="zh-CN"/>
        </w:rPr>
        <w:t>）。</w:t>
      </w:r>
    </w:p>
    <w:p>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29</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日，每天上午00:00至12:00，下午12:00至23:59（北京时间，线上获取法定节假日均可，线下获取文件法定节假日除外）</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日09:30（北京时间）</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日09:30（北京时间）</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pPr>
        <w:pStyle w:val="24"/>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pPr>
        <w:pStyle w:val="24"/>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pPr>
        <w:shd w:val="clear" w:color="auto" w:fill="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：平阳县兴阳控股集团有限公司</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：平阳县昆阳镇公园路5号</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黄先生</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0577-63168033</w:t>
      </w:r>
    </w:p>
    <w:p>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：新征程（杭州）招标代理有限公司</w:t>
      </w:r>
    </w:p>
    <w:p>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：浙江省温州市平阳县昆阳镇汉森世家1栋1单元902室</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：李先生</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：13029688868</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：平阳县兴阳控股集团有限公司纪检监察室</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章先生</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0577-63168022</w:t>
      </w:r>
    </w:p>
    <w:p>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平阳县昆阳镇公园路5号</w:t>
      </w:r>
    </w:p>
    <w:p>
      <w:pPr>
        <w:widowControl/>
        <w:shd w:val="clear" w:color="auto" w:fill="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pPr>
        <w:shd w:val="clear" w:color="auto" w:fill="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新征程（杭州）招标代理有限公司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南雁荡山景区及周边环境生态修复工程初步设计采购</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南雁荡山景区及周边环境生态修复工程初步设计采购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PYCG240927077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：平阳县兴阳控股集团有限公司</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平阳县昆阳镇公园路5号</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黄先生</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0577-63168033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w:t>
            </w:r>
            <w:bookmarkStart w:id="122" w:name="_GoBack"/>
            <w:bookmarkEnd w:id="122"/>
            <w:r>
              <w:rPr>
                <w:rFonts w:hint="eastAsia" w:ascii="宋体" w:hAnsi="宋体" w:eastAsia="宋体" w:cs="宋体"/>
                <w:color w:val="auto"/>
                <w:kern w:val="0"/>
                <w:sz w:val="22"/>
                <w:szCs w:val="22"/>
                <w:highlight w:val="none"/>
                <w:lang w:eastAsia="zh-CN"/>
              </w:rPr>
              <w:t>汉森世家1栋1单元902室</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李先生</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浙江省温州市平阳县昆阳镇汉森世家1栋1单元902室 </w:t>
            </w:r>
            <w:r>
              <w:rPr>
                <w:rFonts w:hint="eastAsia" w:ascii="宋体" w:hAnsi="宋体" w:eastAsia="宋体" w:cs="宋体"/>
                <w:color w:val="auto"/>
                <w:sz w:val="22"/>
                <w:szCs w:val="22"/>
                <w:highlight w:val="none"/>
                <w:lang w:eastAsia="zh-CN"/>
              </w:rPr>
              <w:t>李先生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13029688868</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pPr>
              <w:pStyle w:val="20"/>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需要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投标演示递交方式如下（如有，2选1）：</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投标供应商在投标截止时间前</w:t>
            </w:r>
            <w:r>
              <w:rPr>
                <w:rFonts w:hint="eastAsia" w:ascii="宋体" w:hAnsi="宋体" w:eastAsia="宋体" w:cs="宋体"/>
                <w:color w:val="auto"/>
                <w:sz w:val="22"/>
                <w:szCs w:val="22"/>
                <w:highlight w:val="none"/>
                <w:lang w:val="en-US" w:eastAsia="zh-CN"/>
              </w:rPr>
              <w:t>可将投标演示材料密封并加盖公章邮寄至采购代理机构：</w:t>
            </w:r>
            <w:r>
              <w:rPr>
                <w:rFonts w:hint="eastAsia" w:ascii="宋体" w:hAnsi="宋体" w:eastAsia="宋体" w:cs="宋体"/>
                <w:b/>
                <w:bCs/>
                <w:color w:val="auto"/>
                <w:sz w:val="22"/>
                <w:szCs w:val="22"/>
                <w:highlight w:val="none"/>
                <w:lang w:eastAsia="zh-CN"/>
              </w:rPr>
              <w:t>浙江省温州市平阳县昆阳镇汉森世家1栋1单元902室，</w:t>
            </w:r>
            <w:r>
              <w:rPr>
                <w:rFonts w:hint="eastAsia" w:ascii="宋体" w:hAnsi="宋体" w:eastAsia="宋体" w:cs="宋体"/>
                <w:b/>
                <w:bCs/>
                <w:color w:val="auto"/>
                <w:sz w:val="22"/>
                <w:szCs w:val="22"/>
                <w:highlight w:val="none"/>
                <w:lang w:val="en-US" w:eastAsia="zh-CN"/>
              </w:rPr>
              <w:t>李先生收，联系电话：13029688868</w:t>
            </w:r>
            <w:r>
              <w:rPr>
                <w:rFonts w:hint="eastAsia" w:ascii="宋体" w:hAnsi="宋体" w:eastAsia="宋体" w:cs="宋体"/>
                <w:color w:val="auto"/>
                <w:sz w:val="22"/>
                <w:szCs w:val="22"/>
                <w:highlight w:val="none"/>
                <w:lang w:eastAsia="zh-CN"/>
              </w:rPr>
              <w:t>；</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2、投标供应商在</w:t>
            </w:r>
            <w:r>
              <w:rPr>
                <w:rFonts w:hint="eastAsia" w:ascii="宋体" w:hAnsi="宋体" w:eastAsia="宋体" w:cs="宋体"/>
                <w:b/>
                <w:bCs/>
                <w:color w:val="auto"/>
                <w:sz w:val="22"/>
                <w:szCs w:val="22"/>
                <w:highlight w:val="none"/>
                <w:lang w:val="en-US" w:eastAsia="zh-CN"/>
              </w:rPr>
              <w:t>投标截止时间当天早上9时30分之前</w:t>
            </w:r>
            <w:r>
              <w:rPr>
                <w:rFonts w:hint="eastAsia" w:ascii="宋体" w:hAnsi="宋体" w:eastAsia="宋体" w:cs="宋体"/>
                <w:color w:val="auto"/>
                <w:sz w:val="22"/>
                <w:szCs w:val="22"/>
                <w:highlight w:val="none"/>
                <w:lang w:val="en-US" w:eastAsia="zh-CN"/>
              </w:rPr>
              <w:t>送至</w:t>
            </w:r>
            <w:r>
              <w:rPr>
                <w:rFonts w:hint="eastAsia" w:ascii="宋体" w:hAnsi="宋体" w:eastAsia="宋体" w:cs="宋体"/>
                <w:color w:val="auto"/>
                <w:sz w:val="22"/>
                <w:szCs w:val="22"/>
                <w:highlight w:val="none"/>
              </w:rPr>
              <w:t>平阳县公共资源交易中心</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楼</w:t>
            </w:r>
            <w:r>
              <w:rPr>
                <w:rFonts w:hint="eastAsia" w:ascii="宋体" w:hAnsi="宋体" w:eastAsia="宋体" w:cs="宋体"/>
                <w:color w:val="auto"/>
                <w:sz w:val="22"/>
                <w:szCs w:val="22"/>
                <w:highlight w:val="none"/>
                <w:lang w:val="en-US" w:eastAsia="zh-CN"/>
              </w:rPr>
              <w:t>收标区。</w:t>
            </w:r>
          </w:p>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说明：邮寄递交的请供应商自行把握快递在途时间，递交时间以快递签收时间为准，建议采用顺丰速递进行邮寄。投标截止时间当天早上递交的供应商请自行前往采购文件规定的地点，并在规定时间前递交，</w:t>
            </w:r>
            <w:r>
              <w:rPr>
                <w:rFonts w:hint="eastAsia" w:ascii="宋体" w:hAnsi="宋体" w:cs="宋体"/>
                <w:b/>
                <w:bCs/>
                <w:color w:val="auto"/>
                <w:sz w:val="22"/>
                <w:szCs w:val="22"/>
                <w:highlight w:val="none"/>
                <w:lang w:val="en-US" w:eastAsia="zh-CN"/>
              </w:rPr>
              <w:t>否则不予以接收</w:t>
            </w:r>
            <w:r>
              <w:rPr>
                <w:rFonts w:hint="eastAsia" w:ascii="宋体" w:hAnsi="宋体" w:eastAsia="宋体" w:cs="宋体"/>
                <w:b/>
                <w:bCs/>
                <w:color w:val="auto"/>
                <w:sz w:val="22"/>
                <w:szCs w:val="22"/>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pPr>
              <w:pStyle w:val="3"/>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11510"/>
            <w:bookmarkStart w:id="5" w:name="_Toc26701"/>
            <w:bookmarkStart w:id="6" w:name="_Toc25684"/>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：李先生</w:t>
            </w:r>
          </w:p>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：平阳县兴阳控股集团有限公司纪检监察室</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章先生</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0577-63168022</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平阳县昆阳镇公园路5号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日09:30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rPr>
              <w:t>日09:30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pPr>
        <w:pStyle w:val="9"/>
        <w:shd w:val="clear" w:color="auto" w:fill="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pPr>
        <w:shd w:val="clear" w:color="auto" w:fill="auto"/>
        <w:spacing w:line="480" w:lineRule="auto"/>
        <w:jc w:val="center"/>
        <w:rPr>
          <w:rFonts w:hint="eastAsia" w:ascii="宋体" w:hAnsi="宋体" w:eastAsia="宋体" w:cs="宋体"/>
          <w:color w:val="auto"/>
          <w:sz w:val="24"/>
          <w:highlight w:val="none"/>
        </w:rPr>
      </w:pP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pPr>
        <w:pStyle w:val="21"/>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7800"/>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新征程（杭州）招标代理有限公司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平阳县兴阳控股集团有限公司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南雁荡山景区及周边环境生态修复工程初步设计采购</w:t>
      </w:r>
      <w:r>
        <w:rPr>
          <w:rFonts w:hint="eastAsia" w:ascii="宋体" w:hAnsi="宋体" w:eastAsia="宋体" w:cs="宋体"/>
          <w:color w:val="auto"/>
          <w:highlight w:val="none"/>
        </w:rPr>
        <w:t>，本次招标资金已经落实。</w:t>
      </w:r>
    </w:p>
    <w:p>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南雁荡山景区及周边环境生态修复工程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项目位于浙江省温州市平阳县西部南雁荡山景区周边。</w:t>
      </w:r>
    </w:p>
    <w:p>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3、项目概况</w:t>
      </w:r>
      <w:r>
        <w:rPr>
          <w:rFonts w:hint="eastAsia" w:ascii="宋体" w:hAnsi="宋体" w:eastAsia="宋体" w:cs="宋体"/>
          <w:color w:val="auto"/>
          <w:sz w:val="21"/>
          <w:szCs w:val="21"/>
          <w:highlight w:val="none"/>
          <w:lang w:eastAsia="zh-CN"/>
        </w:rPr>
        <w:t>：</w:t>
      </w:r>
    </w:p>
    <w:p>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本项目建设内容为南雁荡山景区道路周边环境生态修复工程及沿线配套交通基础设施生态保护和修复工程，项目总投资</w:t>
      </w:r>
      <w:r>
        <w:rPr>
          <w:rFonts w:hint="eastAsia" w:ascii="宋体" w:hAnsi="宋体" w:eastAsia="宋体" w:cs="宋体"/>
          <w:color w:val="auto"/>
          <w:sz w:val="21"/>
          <w:szCs w:val="21"/>
          <w:highlight w:val="none"/>
          <w:lang w:val="en-US" w:eastAsia="zh-CN"/>
        </w:rPr>
        <w:t>约74425.59万元，其中工程费用约57144.16万元，拟定总工期2年。</w:t>
      </w:r>
      <w:r>
        <w:rPr>
          <w:rFonts w:hint="eastAsia" w:ascii="宋体" w:hAnsi="宋体" w:eastAsia="宋体" w:cs="宋体"/>
          <w:color w:val="auto"/>
          <w:sz w:val="21"/>
          <w:szCs w:val="21"/>
          <w:highlight w:val="none"/>
        </w:rPr>
        <w:t>为了进一步落实政府的总体工作部署,结合总体规划的要求及实际情况，合理确定项目的建设规模。</w:t>
      </w:r>
      <w:r>
        <w:rPr>
          <w:rFonts w:hint="eastAsia" w:ascii="宋体" w:hAnsi="宋体" w:cs="宋体"/>
          <w:color w:val="auto"/>
          <w:sz w:val="21"/>
          <w:szCs w:val="21"/>
          <w:highlight w:val="none"/>
          <w:lang w:val="en-US" w:eastAsia="zh-CN"/>
        </w:rPr>
        <w:t>本次采购</w:t>
      </w:r>
      <w:r>
        <w:rPr>
          <w:rFonts w:hint="eastAsia" w:ascii="宋体" w:hAnsi="宋体" w:eastAsia="宋体" w:cs="宋体"/>
          <w:color w:val="auto"/>
          <w:sz w:val="21"/>
          <w:szCs w:val="21"/>
          <w:highlight w:val="none"/>
        </w:rPr>
        <w:t>共包含</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项工程，具体建设内容及规模如下</w:t>
      </w:r>
      <w:r>
        <w:rPr>
          <w:rFonts w:hint="eastAsia" w:ascii="宋体" w:hAnsi="宋体" w:eastAsia="宋体" w:cs="宋体"/>
          <w:color w:val="auto"/>
          <w:sz w:val="21"/>
          <w:szCs w:val="21"/>
          <w:highlight w:val="none"/>
          <w:lang w:eastAsia="zh-CN"/>
        </w:rPr>
        <w:t>：</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、南雁荡山景区及周边环境生态修复工程-道路周边环境生态修复工程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本工程范围包括S57 水萧线进入南雁起西北至山门镇及大屯村；西至南雁镇，西南至顺溪镇及青街乡长度约45 公里，研究范围面积约为1500公顷，总用地面积约180公顷。建设内容包括沿线河道及公园改造提升面积约1168200㎡；沿线道路周边环境提升面积约235066㎡；沿线田地整治约421134㎡；沿线建筑外立面改造1 项；全线基础照明全提升1 项；指示牌及雕塑小品1 项。</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、南雁荡山景区及周边环境生态修复工程-沿线交通基础设施生态修复工程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起点位于瑞平苍高速至南雁荡山景区北线工程与笠湖大桥及灵溪线交叉口位置，桩号为K0+000，顺接北线工程，路线向南沿拼宽现状湖大桥沿规划游客服务中心与配套停车场之间规划雁湖北路布线,与规划八号路平交后向西沿规划八号路布线，与规划镇中路平交，而后继续向西布线接顺现状道路，与青云禅寺北侧设置大桥跨顺溪后顺接已建兴雁路与水南公路平交，路线总长1.17 公里。设计时速40km/h，路基宽度12m，采用三级公路兼顾城市次干路建设标准。建设内容包括道路工程、桥梁工程、交安工程、管线工程、绿化及亮化工程、改路工程、平面交叉工程。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、南雁荡山景区及周边环境生态修复工程-配套交通基础设施生态修复工程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本工程南起现状灵溪线，途中新建桥梁上跨现状溪道，北至永安村规划地块，道路采用四级公路标准，路线全长约204 米，设计时速20km/h，路基宽度8m，采用四级公路建设标准。建设内容包括道路工程、桥梁工程、交安工程、平面交叉工程。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、南雁荡山景区及周边环境生态修复工程-顺溪镇溪南溪北通村桥工程</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本工程拟建总面积约515.46 平方米，中心线长度85.91 米，主要建设内容为打造连接顺溪镇溪南溪北通村桥，再辅以相关设备设施等，形成与顺溪镇风格相契合的景观桥。极力打造一个尊重当地文化历史又富有标识性且充满生活气息的景观桥。</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二、设计风格要求</w:t>
      </w:r>
      <w:r>
        <w:rPr>
          <w:rFonts w:hint="eastAsia" w:ascii="宋体" w:hAnsi="宋体" w:eastAsia="宋体" w:cs="宋体"/>
          <w:b/>
          <w:bCs/>
          <w:color w:val="auto"/>
          <w:sz w:val="21"/>
          <w:szCs w:val="21"/>
          <w:highlight w:val="none"/>
          <w:lang w:eastAsia="zh-CN"/>
        </w:rPr>
        <w:t>：</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道路周边环境的全面提升，致力于营造更加宜人、和谐的滨水环境充分利用自然地形、地貌等生态资源，融入创新的环境设计元素，同时采取综合性的景观改造与建筑外立面改造等措施，为居民和游客打造一个既美观又实用的休闲空间。追求人与自然的和谐共生，实现水系、景观设计与人文元素的完美融合，共同迈向更加美好的环境未来。</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三、采购范围</w:t>
      </w:r>
      <w:r>
        <w:rPr>
          <w:rFonts w:hint="eastAsia" w:ascii="宋体" w:hAnsi="宋体" w:eastAsia="宋体" w:cs="宋体"/>
          <w:b/>
          <w:bCs/>
          <w:color w:val="auto"/>
          <w:sz w:val="21"/>
          <w:szCs w:val="21"/>
          <w:highlight w:val="none"/>
          <w:lang w:eastAsia="zh-CN"/>
        </w:rPr>
        <w:t>：</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景观园林方案设计、景观园林专业初步设计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市政工程（道路、桥涵、给排水等）专业方案设计、市政工程（道路、桥涵、给排水等）专业初步设计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建筑方案设计、建筑专业初步设计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农田水利方案设计、农田水利专业初步设计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室内设计、室内初步设计</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（具体设计内容和设计深度参照国家相关标准）</w:t>
      </w:r>
    </w:p>
    <w:p>
      <w:pPr>
        <w:spacing w:line="360" w:lineRule="auto"/>
        <w:ind w:firstLine="42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具体设计范围详见项目概况及下表</w:t>
      </w:r>
      <w:r>
        <w:rPr>
          <w:rFonts w:hint="eastAsia" w:ascii="宋体" w:hAnsi="宋体" w:eastAsia="宋体" w:cs="宋体"/>
          <w:b/>
          <w:bCs/>
          <w:color w:val="auto"/>
          <w:sz w:val="21"/>
          <w:szCs w:val="21"/>
          <w:highlight w:val="none"/>
          <w:lang w:eastAsia="zh-CN"/>
        </w:rPr>
        <w:t>：</w:t>
      </w:r>
    </w:p>
    <w:tbl>
      <w:tblPr>
        <w:tblStyle w:val="26"/>
        <w:tblW w:w="9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3600"/>
        <w:gridCol w:w="930"/>
        <w:gridCol w:w="1455"/>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7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道路周边环境生态修复工程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总用地面积</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1824400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河道改造</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719285</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沿线河岸环境改造</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464672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沿线河道清淤</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254613</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沿线公园提升改造</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448915</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水头镇公园</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138103</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吴山村公园</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115646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南雁公园</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64343</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横溪公园</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71463</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沙文化公园</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59360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沿线道路周边绿化提升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235066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沿线田地整治</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421134</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沿线建筑外立面改造</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全线基础照明提升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全线给排水提升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指示牌及雕塑小品</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77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沿线交通基础设施生态修复工程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计算行车速度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km/h</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路线里程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平曲线最小半径</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最大纵坡</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路基挖方</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m³</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路基填方</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m³</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路基防护排水</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m³</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路面工程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桥梁</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m/座</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393/2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涵洞</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平面交叉</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拆迁房屋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m²</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6650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折合一层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征用土地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公顷</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tc>
        <w:tc>
          <w:tcPr>
            <w:tcW w:w="77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配套交通基础设施生态修复工程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道路工程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计算行车速度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km/h</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路线里程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圆曲线设超高最小半径</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平曲线最小长度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路基设计洪水频率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最大纵坡</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5.78</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最小纵坡</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0.37</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最大坡长（20km/h、5%≥坡度≤6%）</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123.84</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最小坡长（20km/h）</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80.59</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p>
        </w:tc>
        <w:tc>
          <w:tcPr>
            <w:tcW w:w="77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顺溪镇溪南溪北通村桥工程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总面积</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m²</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515.46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桥面中心线长度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85.91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市政工程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小品</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171.82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景观工程（含绿化）</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515.46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桥头建筑</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亮化工程</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515.46</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四、设计要求</w:t>
      </w:r>
      <w:r>
        <w:rPr>
          <w:rFonts w:hint="eastAsia" w:ascii="宋体" w:hAnsi="宋体" w:eastAsia="宋体" w:cs="宋体"/>
          <w:b/>
          <w:bCs/>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1、通过政策研究，案例分析，市场研究，策划定位明确设计定位</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2、具体设计要求</w:t>
      </w:r>
      <w:r>
        <w:rPr>
          <w:rFonts w:hint="eastAsia" w:ascii="宋体" w:hAnsi="宋体" w:eastAsia="宋体" w:cs="宋体"/>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从提高南雁人民群众生活水平和生活质量的实际要求出发，依据南雁荡山地区的自然环境和水环境进行，在保持河流自然形态的基础上，做到因地制宜，发展优势，突出质量，效益优先，努力建设人与自然和谐的文化长廊。在南雁生态整治项目中应使场地建设与历史文化相互协调、相互促进、相互补充，打造出蕴含历史文化场地。</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3、成果要求</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（1）完成本项目的实施后，根据采购人的要求，提供书面及电子版本的成果文件。</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（2）在项目实施过程中，要求中标人根据采购人的要求，即时出具成果报告，以便采购人安排其它工作。</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（3）在项目全部实施完成后，出具完整的最终书面资料。</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（4）书面资料数量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不计费用根据采购人需求数量提供。</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五、服务期要求</w:t>
      </w:r>
      <w:r>
        <w:rPr>
          <w:rFonts w:hint="eastAsia" w:ascii="宋体" w:hAnsi="宋体" w:eastAsia="宋体" w:cs="宋体"/>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（1）设计时间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合同签订之日起，30日历天内提交完善的方案设计、提交详细勘察成果报告（若需），完成初步设计成果并提交报批。</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（2）服务时间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合同签订之日起至项目初步设计批复。</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五、人员要求</w:t>
      </w:r>
      <w:r>
        <w:rPr>
          <w:rFonts w:hint="eastAsia" w:ascii="宋体" w:hAnsi="宋体" w:eastAsia="宋体" w:cs="宋体"/>
          <w:b/>
          <w:bCs/>
          <w:color w:val="auto"/>
          <w:highlight w:val="none"/>
          <w:lang w:eastAsia="zh-CN"/>
        </w:rPr>
        <w:t>：</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▲（1）项目负责人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拟派1名项目负责人，具备风景园林或景观或园林或绿化专业高级及以上技术职称，需工作经验丰富，与采购人保持密切联系，协调各岗位成员顺利完成工作，并协助采购人办理相关审批手续。</w:t>
      </w:r>
    </w:p>
    <w:p>
      <w:pPr>
        <w:spacing w:line="360" w:lineRule="auto"/>
        <w:ind w:firstLine="420" w:firstLineChars="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rPr>
        <w:t>▲（2）项目组团队</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除项目负责人外，至少需配备以下专业负责人（同一人只能承担一个专业负责人）</w:t>
      </w:r>
      <w:r>
        <w:rPr>
          <w:rFonts w:hint="eastAsia" w:ascii="宋体" w:hAnsi="宋体" w:eastAsia="宋体" w:cs="宋体"/>
          <w:b/>
          <w:bCs/>
          <w:color w:val="auto"/>
          <w:highlight w:val="none"/>
          <w:u w:val="single"/>
          <w:lang w:eastAsia="zh-CN"/>
        </w:rPr>
        <w:t>：</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①道路专业负责人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1名，要求具备注册土木工程（道路工程）；</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②桥梁专业负责人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1名，要求具备一级注册结构工程师；</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③给排水专业负责人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1名，要求具备注册公用设备工程师（给水排水）；</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④造价专业负责人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1名，要求一级注册造价工程师；</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⑤建筑专业负责人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1名，要求具备一级注册建筑师；</w:t>
      </w:r>
    </w:p>
    <w:p>
      <w:pP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⑥风景园林专业负责人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1名，要求具备风景园林或景观或园林或绿化专业高级工程师及以上职称；</w:t>
      </w:r>
    </w:p>
    <w:p>
      <w:pPr>
        <w:numPr>
          <w:ilvl w:val="0"/>
          <w:numId w:val="4"/>
        </w:numPr>
        <w:spacing w:line="360" w:lineRule="auto"/>
        <w:ind w:firstLine="420" w:firstLineChars="0"/>
        <w:rPr>
          <w:rFonts w:hint="eastAsia" w:ascii="宋体" w:hAnsi="宋体" w:eastAsia="宋体" w:cs="宋体"/>
          <w:b w:val="0"/>
          <w:bCs w:val="0"/>
          <w:color w:val="auto"/>
          <w:highlight w:val="none"/>
          <w:u w:val="none"/>
        </w:rPr>
      </w:pPr>
      <w:r>
        <w:rPr>
          <w:rFonts w:hint="eastAsia" w:ascii="宋体" w:hAnsi="宋体" w:eastAsia="宋体" w:cs="宋体"/>
          <w:b w:val="0"/>
          <w:bCs w:val="0"/>
          <w:color w:val="auto"/>
          <w:highlight w:val="none"/>
          <w:u w:val="none"/>
        </w:rPr>
        <w:t>项目组成员具备较高的专业素质。项目团队需实行专人负责制。</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六、其他要求</w:t>
      </w:r>
      <w:r>
        <w:rPr>
          <w:rFonts w:hint="eastAsia" w:ascii="宋体" w:hAnsi="宋体" w:eastAsia="宋体" w:cs="宋体"/>
          <w:b/>
          <w:bCs/>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（1）如有因成果编制不明，需要中标供应商现场说明或出具资料补充的，中标供应商必须予以配合，否则采购人有权按合同约定对中标供应商进行处罚。</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（2）中标供应商负责必须对项目成果错误进行及时更正，不得以任何形式的原因及理由要求增加费用。</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（3）本次设计所有成果，归采购人所有。未经采购人许可，中标供应商不得向第三方提供或泄露，否则将承担相应的法律责任。</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（4）中标供应商必须对收集的基础资料及所有成果承担安全、保密责任。</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（5）中标供应商应保证提供服务过程中不会侵犯任何第三方的知识产权。</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七、项目服务、设计费</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服务、设计费应为承包完成本项目所规定内容的全部工作所发生的一切费用，包括但不限于以下费用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完成本次设计工作所需的方案、</w:t>
      </w:r>
      <w:r>
        <w:rPr>
          <w:rFonts w:hint="eastAsia" w:ascii="宋体" w:hAnsi="宋体" w:cs="宋体"/>
          <w:color w:val="auto"/>
          <w:highlight w:val="none"/>
          <w:lang w:val="en-US" w:eastAsia="zh-CN"/>
        </w:rPr>
        <w:t>初步设计所需的勘察、</w:t>
      </w:r>
      <w:r>
        <w:rPr>
          <w:rFonts w:hint="eastAsia" w:ascii="宋体" w:hAnsi="宋体" w:eastAsia="宋体" w:cs="宋体"/>
          <w:color w:val="auto"/>
          <w:highlight w:val="none"/>
        </w:rPr>
        <w:t>初步设计、设计的修改和确认、设计交流、</w:t>
      </w:r>
      <w:r>
        <w:rPr>
          <w:rFonts w:hint="eastAsia" w:ascii="宋体" w:hAnsi="宋体" w:cs="宋体"/>
          <w:color w:val="auto"/>
          <w:highlight w:val="none"/>
          <w:lang w:val="en-US" w:eastAsia="zh-CN"/>
        </w:rPr>
        <w:t>所涉及的其他专项设计及审批、</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八、付款方式</w:t>
      </w:r>
    </w:p>
    <w:p>
      <w:pPr>
        <w:spacing w:line="360" w:lineRule="auto"/>
        <w:ind w:firstLine="42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rPr>
        <w:t>1.本工程设计合同签订生效以及具备实施条件后7个工作日内，采购人向成交供应商支付签约合同总价的30%作为预付款；</w:t>
      </w:r>
    </w:p>
    <w:p>
      <w:pPr>
        <w:spacing w:line="360" w:lineRule="auto"/>
        <w:ind w:firstLine="42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rPr>
        <w:t>2.成交供应商向采购人提交</w:t>
      </w:r>
      <w:r>
        <w:rPr>
          <w:rFonts w:hint="eastAsia" w:ascii="宋体" w:hAnsi="宋体" w:eastAsia="宋体" w:cs="宋体"/>
          <w:color w:val="auto"/>
          <w:highlight w:val="none"/>
          <w:u w:val="none"/>
          <w:lang w:val="en-US" w:eastAsia="zh-CN"/>
        </w:rPr>
        <w:t>所有</w:t>
      </w:r>
      <w:r>
        <w:rPr>
          <w:rFonts w:hint="eastAsia" w:ascii="宋体" w:hAnsi="宋体" w:eastAsia="宋体" w:cs="宋体"/>
          <w:color w:val="auto"/>
          <w:highlight w:val="none"/>
          <w:u w:val="none"/>
        </w:rPr>
        <w:t>初步设计文件并取得批复文件后，采购人向成交供应商支付中标设计费的</w:t>
      </w:r>
      <w:r>
        <w:rPr>
          <w:rFonts w:hint="eastAsia" w:ascii="宋体" w:hAnsi="宋体" w:cs="宋体"/>
          <w:color w:val="auto"/>
          <w:highlight w:val="none"/>
          <w:u w:val="none"/>
          <w:lang w:val="en-US" w:eastAsia="zh-CN"/>
        </w:rPr>
        <w:t>8</w:t>
      </w:r>
      <w:r>
        <w:rPr>
          <w:rFonts w:hint="eastAsia" w:ascii="宋体" w:hAnsi="宋体" w:eastAsia="宋体" w:cs="宋体"/>
          <w:color w:val="auto"/>
          <w:highlight w:val="none"/>
          <w:u w:val="none"/>
        </w:rPr>
        <w:t>0%（含已支付的预付款）；</w:t>
      </w:r>
    </w:p>
    <w:p>
      <w:pPr>
        <w:spacing w:line="360" w:lineRule="auto"/>
        <w:ind w:firstLine="420" w:firstLineChars="0"/>
        <w:rPr>
          <w:rFonts w:hint="eastAsia" w:ascii="宋体" w:hAnsi="宋体" w:eastAsia="宋体" w:cs="宋体"/>
          <w:color w:val="auto"/>
          <w:highlight w:val="none"/>
          <w:u w:val="none"/>
        </w:rPr>
      </w:pP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rPr>
        <w:t>.成交供应商协助采购人完成项目后期施工招标工作</w:t>
      </w:r>
      <w:r>
        <w:rPr>
          <w:rFonts w:hint="eastAsia" w:ascii="宋体" w:hAnsi="宋体" w:cs="宋体"/>
          <w:color w:val="auto"/>
          <w:highlight w:val="none"/>
          <w:u w:val="none"/>
          <w:lang w:val="en-US" w:eastAsia="zh-CN"/>
        </w:rPr>
        <w:t>并协助完成施工图审查后</w:t>
      </w:r>
      <w:r>
        <w:rPr>
          <w:rFonts w:hint="eastAsia" w:ascii="宋体" w:hAnsi="宋体" w:eastAsia="宋体" w:cs="宋体"/>
          <w:color w:val="auto"/>
          <w:highlight w:val="none"/>
          <w:u w:val="none"/>
        </w:rPr>
        <w:t>一次性付清尾款</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并无息退还履约保证金</w:t>
      </w:r>
      <w:r>
        <w:rPr>
          <w:rFonts w:hint="eastAsia" w:ascii="宋体" w:hAnsi="宋体" w:eastAsia="宋体" w:cs="宋体"/>
          <w:color w:val="auto"/>
          <w:highlight w:val="none"/>
          <w:u w:val="none"/>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九、</w:t>
      </w:r>
      <w:r>
        <w:rPr>
          <w:rFonts w:hint="eastAsia" w:ascii="宋体" w:hAnsi="宋体" w:eastAsia="宋体" w:cs="宋体"/>
          <w:b/>
          <w:bCs/>
          <w:color w:val="auto"/>
          <w:highlight w:val="none"/>
          <w:lang w:eastAsia="zh-CN"/>
        </w:rPr>
        <w:t>履约保证金：</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，以银行转账、转帐支票、银行汇票或银行、保险公司出具的保函等非现金形式交纳。</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1）若采用保函形式的，应满足以下几个条件</w:t>
      </w:r>
      <w:r>
        <w:rPr>
          <w:rFonts w:hint="eastAsia" w:ascii="宋体" w:hAnsi="宋体" w:eastAsia="宋体" w:cs="宋体"/>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①为见索即付保函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即在成交供应商没有实施合同或者未履行合同义务时，采购人不需要出具任何证明和理由，只要看到成交供应商违约，就可对保函进行收兑。</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②保函期限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保函的期限自合同生效之日起至采购人签收最后一批设计成果之日为止。</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③如果由于设计工期延误或保函出具机构要求分期出具保函的，则在前一份保函有效期满之日20日前必须重新出具相同内容的保函。</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2）以银行转账、转帐支票、银行汇票等形式提交的</w:t>
      </w:r>
      <w:r>
        <w:rPr>
          <w:rFonts w:hint="eastAsia" w:ascii="宋体" w:hAnsi="宋体" w:eastAsia="宋体" w:cs="宋体"/>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①从成交供应商基本账户转出；</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退还时间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待采购人签收最后一批设计成果之日起10日内予以全部退还（无息）。</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十、售后服务</w:t>
      </w:r>
      <w:r>
        <w:rPr>
          <w:rFonts w:hint="eastAsia" w:ascii="宋体" w:hAnsi="宋体" w:eastAsia="宋体" w:cs="宋体"/>
          <w:b/>
          <w:bCs/>
          <w:color w:val="auto"/>
          <w:highlight w:val="none"/>
          <w:lang w:eastAsia="zh-CN"/>
        </w:rPr>
        <w:t>：</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10%的结算价款中扣除；超过5次，发包人可解除合同。</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3.合同签署后，成交供应商无特殊情况未经采购人同意不得变更设计资料及设计文件交付的时间，应按日向发包人支付违约金1000元；超过10日，发包人可解除合同等。</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4.成果在通过最终评审前，须按采购人要求修改（不限次数），确保通过最终评审。本项目所有评审过程涉及的评审费用、专家费由成交供应商负责。</w:t>
      </w:r>
    </w:p>
    <w:p>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pPr>
        <w:pStyle w:val="25"/>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3"/>
    </w:p>
    <w:p>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4" w:name="_Toc19221"/>
      <w:r>
        <w:rPr>
          <w:rFonts w:hint="eastAsia" w:ascii="宋体" w:hAnsi="宋体" w:eastAsia="宋体" w:cs="宋体"/>
          <w:color w:val="auto"/>
          <w:sz w:val="22"/>
          <w:szCs w:val="22"/>
          <w:highlight w:val="none"/>
        </w:rPr>
        <w:t>一、说明</w:t>
      </w:r>
      <w:bookmarkEnd w:id="14"/>
    </w:p>
    <w:p>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pPr>
        <w:pStyle w:val="2"/>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pPr>
        <w:pStyle w:val="2"/>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5370000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pPr>
        <w:pStyle w:val="59"/>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5" w:name="_Toc22107"/>
      <w:r>
        <w:rPr>
          <w:rFonts w:hint="eastAsia" w:ascii="宋体" w:hAnsi="宋体" w:eastAsia="宋体" w:cs="宋体"/>
          <w:color w:val="auto"/>
          <w:sz w:val="22"/>
          <w:szCs w:val="22"/>
          <w:highlight w:val="none"/>
        </w:rPr>
        <w:t>二、供应商资格要求</w:t>
      </w:r>
      <w:bookmarkEnd w:id="15"/>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6" w:name="_Toc10391"/>
      <w:r>
        <w:rPr>
          <w:rFonts w:hint="eastAsia" w:ascii="宋体" w:hAnsi="宋体" w:eastAsia="宋体" w:cs="宋体"/>
          <w:color w:val="auto"/>
          <w:sz w:val="22"/>
          <w:szCs w:val="22"/>
          <w:highlight w:val="none"/>
        </w:rPr>
        <w:t>三、采购文件</w:t>
      </w:r>
      <w:bookmarkEnd w:id="16"/>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7" w:name="_Toc12846"/>
      <w:r>
        <w:rPr>
          <w:rFonts w:hint="eastAsia" w:ascii="宋体" w:hAnsi="宋体" w:eastAsia="宋体" w:cs="宋体"/>
          <w:color w:val="auto"/>
          <w:sz w:val="22"/>
          <w:szCs w:val="22"/>
          <w:highlight w:val="none"/>
        </w:rPr>
        <w:t>四、投标文件</w:t>
      </w:r>
      <w:bookmarkEnd w:id="17"/>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bCs/>
                <w:color w:val="auto"/>
                <w:sz w:val="22"/>
                <w:szCs w:val="22"/>
                <w:highlight w:val="none"/>
                <w:lang w:val="en-US" w:eastAsia="zh-CN"/>
              </w:rPr>
            </w:pPr>
            <w:r>
              <w:rPr>
                <w:rFonts w:hint="eastAsia" w:ascii="宋体" w:hAnsi="宋体"/>
                <w:b/>
                <w:bCs/>
                <w:color w:val="auto"/>
                <w:sz w:val="22"/>
                <w:szCs w:val="22"/>
                <w:highlight w:val="none"/>
                <w:lang w:eastAsia="zh-Hans"/>
              </w:rPr>
              <w:t>浙江省外企业需具备有效期内的《省外企业进浙承接业务备案证明》</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如有</w:t>
            </w:r>
            <w:r>
              <w:rPr>
                <w:rFonts w:hint="eastAsia" w:ascii="宋体" w:hAnsi="宋体"/>
                <w:b/>
                <w:bCs/>
                <w:color w:val="auto"/>
                <w:sz w:val="22"/>
                <w:szCs w:val="22"/>
                <w:highlight w:val="none"/>
                <w:lang w:eastAsia="zh-CN"/>
              </w:rPr>
              <w:t>）</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top"/>
          </w:tcPr>
          <w:p>
            <w:pPr>
              <w:keepNext w:val="0"/>
              <w:keepLines w:val="0"/>
              <w:suppressLineNumbers w:val="0"/>
              <w:shd w:val="clear" w:color="auto" w:fill="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8" w:name="_Toc132122412"/>
      <w:bookmarkStart w:id="19" w:name="_Toc132122115"/>
      <w:r>
        <w:rPr>
          <w:rFonts w:hint="eastAsia" w:ascii="宋体" w:hAnsi="宋体" w:eastAsia="宋体" w:cs="宋体"/>
          <w:color w:val="auto"/>
          <w:sz w:val="22"/>
          <w:szCs w:val="22"/>
          <w:highlight w:val="none"/>
        </w:rPr>
        <w:t>4.投标报价</w:t>
      </w:r>
      <w:bookmarkEnd w:id="18"/>
      <w:bookmarkEnd w:id="19"/>
    </w:p>
    <w:p>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0" w:name="_Toc132122117"/>
      <w:bookmarkStart w:id="21" w:name="_Toc132122414"/>
      <w:bookmarkStart w:id="22" w:name="_Toc132122118"/>
      <w:bookmarkStart w:id="23" w:name="_Toc132122415"/>
      <w:r>
        <w:rPr>
          <w:rFonts w:hint="eastAsia" w:ascii="宋体" w:hAnsi="宋体" w:eastAsia="宋体" w:cs="宋体"/>
          <w:color w:val="auto"/>
          <w:sz w:val="22"/>
          <w:szCs w:val="22"/>
          <w:highlight w:val="none"/>
        </w:rPr>
        <w:t>5、投标文件的有效期</w:t>
      </w:r>
      <w:bookmarkEnd w:id="20"/>
      <w:bookmarkEnd w:id="21"/>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2"/>
    <w:bookmarkEnd w:id="23"/>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pPr>
        <w:shd w:val="clear" w:color="auto" w:fill="auto"/>
        <w:wordWrap w:val="0"/>
        <w:snapToGrid w:val="0"/>
        <w:spacing w:line="360" w:lineRule="auto"/>
        <w:outlineLvl w:val="1"/>
        <w:rPr>
          <w:rFonts w:hint="eastAsia" w:ascii="宋体" w:hAnsi="宋体" w:eastAsia="宋体" w:cs="宋体"/>
          <w:bCs/>
          <w:color w:val="auto"/>
          <w:sz w:val="22"/>
          <w:szCs w:val="22"/>
          <w:highlight w:val="none"/>
        </w:rPr>
      </w:pPr>
      <w:bookmarkStart w:id="24" w:name="_Toc16183"/>
      <w:r>
        <w:rPr>
          <w:rFonts w:hint="eastAsia" w:ascii="宋体" w:hAnsi="宋体" w:eastAsia="宋体" w:cs="宋体"/>
          <w:bCs/>
          <w:color w:val="auto"/>
          <w:sz w:val="22"/>
          <w:szCs w:val="22"/>
          <w:highlight w:val="none"/>
        </w:rPr>
        <w:t>五、投标</w:t>
      </w:r>
      <w:bookmarkEnd w:id="24"/>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pPr>
        <w:pStyle w:val="14"/>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5" w:name="_Toc23198"/>
      <w:r>
        <w:rPr>
          <w:rFonts w:hint="eastAsia" w:ascii="宋体" w:hAnsi="宋体" w:eastAsia="宋体" w:cs="宋体"/>
          <w:color w:val="auto"/>
          <w:sz w:val="22"/>
          <w:szCs w:val="22"/>
          <w:highlight w:val="none"/>
        </w:rPr>
        <w:t>六、开标和评标</w:t>
      </w:r>
      <w:bookmarkEnd w:id="25"/>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6" w:name="_Toc33194393"/>
      <w:bookmarkStart w:id="27" w:name="_Toc24550037"/>
      <w:r>
        <w:rPr>
          <w:rFonts w:hint="eastAsia" w:ascii="宋体" w:hAnsi="宋体" w:eastAsia="宋体" w:cs="宋体"/>
          <w:b/>
          <w:color w:val="auto"/>
          <w:sz w:val="22"/>
          <w:szCs w:val="22"/>
          <w:highlight w:val="none"/>
        </w:rPr>
        <w:t>4、投标供应商资格审查</w:t>
      </w:r>
      <w:bookmarkEnd w:id="26"/>
      <w:bookmarkEnd w:id="27"/>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pPr>
        <w:pStyle w:val="14"/>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pPr>
        <w:shd w:val="clear" w:color="auto" w:fill="auto"/>
        <w:wordWrap w:val="0"/>
        <w:snapToGrid w:val="0"/>
        <w:spacing w:line="360" w:lineRule="auto"/>
        <w:ind w:firstLine="527"/>
        <w:outlineLvl w:val="1"/>
        <w:rPr>
          <w:rFonts w:hint="eastAsia" w:ascii="宋体" w:hAnsi="宋体" w:eastAsia="宋体" w:cs="宋体"/>
          <w:color w:val="auto"/>
          <w:sz w:val="22"/>
          <w:szCs w:val="22"/>
          <w:highlight w:val="none"/>
        </w:rPr>
      </w:pPr>
      <w:bookmarkStart w:id="28" w:name="_Toc16659"/>
      <w:r>
        <w:rPr>
          <w:rFonts w:hint="eastAsia" w:ascii="宋体" w:hAnsi="宋体" w:eastAsia="宋体" w:cs="宋体"/>
          <w:color w:val="auto"/>
          <w:sz w:val="22"/>
          <w:szCs w:val="22"/>
          <w:highlight w:val="none"/>
        </w:rPr>
        <w:t>七、授予合同</w:t>
      </w:r>
      <w:bookmarkEnd w:id="28"/>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支付代理服务费（根据国家计委印发的《招标代理服务收费管理暂行办法》(计价格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1980号文)服务类收费），代理服务费包含在投标总价中，不需在报价中单列。</w:t>
      </w:r>
    </w:p>
    <w:p>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9" w:name="_Toc8999"/>
      <w:r>
        <w:rPr>
          <w:rFonts w:hint="eastAsia" w:ascii="宋体" w:hAnsi="宋体" w:eastAsia="宋体" w:cs="宋体"/>
          <w:b/>
          <w:color w:val="auto"/>
          <w:sz w:val="32"/>
          <w:szCs w:val="32"/>
          <w:highlight w:val="none"/>
        </w:rPr>
        <w:t>第四部分 采购政策功能相关说明</w:t>
      </w:r>
      <w:bookmarkEnd w:id="29"/>
    </w:p>
    <w:p>
      <w:pPr>
        <w:shd w:val="clear" w:color="auto" w:fill="auto"/>
        <w:wordWrap w:val="0"/>
        <w:spacing w:line="360" w:lineRule="auto"/>
        <w:jc w:val="left"/>
        <w:rPr>
          <w:rFonts w:hint="eastAsia" w:ascii="宋体" w:hAnsi="宋体" w:eastAsia="宋体" w:cs="宋体"/>
          <w:color w:val="auto"/>
          <w:sz w:val="22"/>
          <w:szCs w:val="22"/>
          <w:highlight w:val="none"/>
        </w:rPr>
      </w:pPr>
    </w:p>
    <w:p>
      <w:pPr>
        <w:shd w:val="clear" w:color="auto" w:fill="auto"/>
        <w:wordWrap w:val="0"/>
        <w:spacing w:line="360" w:lineRule="auto"/>
        <w:outlineLvl w:val="1"/>
        <w:rPr>
          <w:rFonts w:hint="eastAsia" w:ascii="宋体" w:hAnsi="宋体" w:eastAsia="宋体" w:cs="宋体"/>
          <w:color w:val="auto"/>
          <w:sz w:val="22"/>
          <w:szCs w:val="22"/>
          <w:highlight w:val="none"/>
        </w:rPr>
      </w:pPr>
      <w:bookmarkStart w:id="30" w:name="_Toc15934"/>
      <w:bookmarkStart w:id="31" w:name="_Toc31958"/>
      <w:bookmarkStart w:id="32" w:name="_Toc14337"/>
      <w:r>
        <w:rPr>
          <w:rFonts w:hint="eastAsia" w:ascii="宋体" w:hAnsi="宋体" w:eastAsia="宋体" w:cs="宋体"/>
          <w:color w:val="auto"/>
          <w:sz w:val="22"/>
          <w:szCs w:val="22"/>
          <w:highlight w:val="none"/>
        </w:rPr>
        <w:t>一、小、微企业（含监狱企业、残疾人福利性单位）扶持政策说明</w:t>
      </w:r>
      <w:bookmarkEnd w:id="30"/>
      <w:bookmarkEnd w:id="31"/>
      <w:bookmarkEnd w:id="32"/>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hd w:val="clear" w:color="auto" w:fill="auto"/>
        <w:wordWrap w:val="0"/>
        <w:spacing w:line="360" w:lineRule="auto"/>
        <w:jc w:val="left"/>
        <w:rPr>
          <w:rFonts w:hint="eastAsia" w:ascii="宋体" w:hAnsi="宋体" w:eastAsia="宋体" w:cs="宋体"/>
          <w:color w:val="auto"/>
          <w:sz w:val="22"/>
          <w:szCs w:val="22"/>
          <w:highlight w:val="none"/>
        </w:rPr>
      </w:pPr>
    </w:p>
    <w:p>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3" w:name="OLE_LINK13"/>
      <w:bookmarkStart w:id="34" w:name="OLE_LINK14"/>
      <w:r>
        <w:rPr>
          <w:rFonts w:hint="eastAsia" w:ascii="宋体" w:hAnsi="宋体" w:eastAsia="宋体" w:cs="宋体"/>
          <w:b/>
          <w:bCs/>
          <w:color w:val="auto"/>
          <w:sz w:val="22"/>
          <w:szCs w:val="22"/>
          <w:highlight w:val="none"/>
        </w:rPr>
        <w:t>中小企业声明函（服务、工程）</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pPr>
        <w:pStyle w:val="10"/>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3"/>
    <w:bookmarkEnd w:id="34"/>
    <w:p>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5" w:name="_Toc12703"/>
      <w:bookmarkStart w:id="36" w:name="_Toc25588"/>
      <w:bookmarkStart w:id="37" w:name="_Toc32144"/>
      <w:r>
        <w:rPr>
          <w:rFonts w:hint="eastAsia" w:ascii="宋体" w:hAnsi="宋体" w:eastAsia="宋体" w:cs="宋体"/>
          <w:color w:val="auto"/>
          <w:sz w:val="22"/>
          <w:szCs w:val="22"/>
          <w:highlight w:val="none"/>
        </w:rPr>
        <w:t>二、节能、环保产品优先（强制）采购政策说明</w:t>
      </w:r>
      <w:bookmarkEnd w:id="35"/>
      <w:bookmarkEnd w:id="36"/>
      <w:bookmarkEnd w:id="37"/>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pPr>
        <w:pStyle w:val="46"/>
        <w:shd w:val="clear" w:color="auto" w:fill="auto"/>
        <w:wordWrap w:val="0"/>
        <w:spacing w:line="360" w:lineRule="auto"/>
        <w:rPr>
          <w:rFonts w:hint="eastAsia" w:ascii="宋体" w:hAnsi="宋体" w:eastAsia="宋体" w:cs="宋体"/>
          <w:color w:val="auto"/>
          <w:sz w:val="36"/>
          <w:highlight w:val="none"/>
        </w:rPr>
      </w:pPr>
    </w:p>
    <w:p>
      <w:pPr>
        <w:pStyle w:val="9"/>
        <w:shd w:val="clear" w:color="auto" w:fill="auto"/>
        <w:wordWrap w:val="0"/>
        <w:spacing w:line="360" w:lineRule="auto"/>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pStyle w:val="10"/>
        <w:shd w:val="clear" w:color="auto" w:fill="auto"/>
        <w:wordWrap w:val="0"/>
        <w:spacing w:after="0" w:line="360" w:lineRule="auto"/>
        <w:ind w:firstLine="360"/>
        <w:rPr>
          <w:rFonts w:hint="eastAsia" w:ascii="宋体" w:hAnsi="宋体" w:eastAsia="宋体" w:cs="宋体"/>
          <w:color w:val="auto"/>
          <w:sz w:val="36"/>
          <w:highlight w:val="none"/>
        </w:rPr>
      </w:pPr>
    </w:p>
    <w:p>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8" w:name="_Toc7442"/>
      <w:r>
        <w:rPr>
          <w:rFonts w:hint="eastAsia" w:ascii="宋体" w:hAnsi="宋体" w:eastAsia="宋体" w:cs="宋体"/>
          <w:color w:val="auto"/>
          <w:sz w:val="36"/>
          <w:highlight w:val="none"/>
        </w:rPr>
        <w:t>第五部分 合同格式（仅供参考）</w:t>
      </w:r>
      <w:bookmarkEnd w:id="38"/>
    </w:p>
    <w:p>
      <w:pPr>
        <w:rPr>
          <w:rFonts w:hint="eastAsia"/>
          <w:color w:val="auto"/>
          <w:sz w:val="28"/>
          <w:szCs w:val="28"/>
          <w:highlight w:val="none"/>
        </w:rPr>
      </w:pPr>
      <w:bookmarkStart w:id="39" w:name="_Toc1378"/>
      <w:r>
        <w:rPr>
          <w:rFonts w:hint="eastAsia"/>
          <w:color w:val="auto"/>
          <w:sz w:val="28"/>
          <w:szCs w:val="28"/>
          <w:highlight w:val="none"/>
        </w:rPr>
        <w:t>GF-2000-0209</w:t>
      </w:r>
    </w:p>
    <w:p>
      <w:pPr>
        <w:rPr>
          <w:rFonts w:hint="eastAsia"/>
          <w:color w:val="auto"/>
          <w:sz w:val="28"/>
          <w:szCs w:val="28"/>
          <w:highlight w:val="none"/>
        </w:rPr>
      </w:pPr>
    </w:p>
    <w:p>
      <w:pPr>
        <w:rPr>
          <w:rFonts w:hint="eastAsia"/>
          <w:color w:val="auto"/>
          <w:sz w:val="28"/>
          <w:szCs w:val="28"/>
          <w:highlight w:val="none"/>
        </w:rPr>
      </w:pPr>
    </w:p>
    <w:p>
      <w:pPr>
        <w:jc w:val="center"/>
        <w:rPr>
          <w:rFonts w:hint="eastAsia"/>
          <w:b/>
          <w:color w:val="auto"/>
          <w:sz w:val="52"/>
          <w:szCs w:val="52"/>
          <w:highlight w:val="none"/>
        </w:rPr>
      </w:pPr>
      <w:r>
        <w:rPr>
          <w:rFonts w:hint="eastAsia"/>
          <w:b/>
          <w:color w:val="auto"/>
          <w:sz w:val="52"/>
          <w:szCs w:val="52"/>
          <w:highlight w:val="none"/>
        </w:rPr>
        <w:t>建设工程设计合同（一）</w:t>
      </w:r>
    </w:p>
    <w:p>
      <w:pPr>
        <w:jc w:val="center"/>
        <w:rPr>
          <w:rFonts w:hint="eastAsia"/>
          <w:color w:val="auto"/>
          <w:sz w:val="28"/>
          <w:szCs w:val="28"/>
          <w:highlight w:val="none"/>
        </w:rPr>
      </w:pPr>
      <w:r>
        <w:rPr>
          <w:rFonts w:hint="eastAsia"/>
          <w:color w:val="auto"/>
          <w:sz w:val="28"/>
          <w:szCs w:val="28"/>
          <w:highlight w:val="none"/>
        </w:rPr>
        <w:t>（民用建设工程设计合同）</w:t>
      </w:r>
    </w:p>
    <w:p>
      <w:pPr>
        <w:tabs>
          <w:tab w:val="left" w:pos="4140"/>
        </w:tabs>
        <w:rPr>
          <w:rFonts w:hint="eastAsia"/>
          <w:color w:val="auto"/>
          <w:sz w:val="28"/>
          <w:szCs w:val="28"/>
          <w:highlight w:val="none"/>
        </w:rPr>
      </w:pPr>
    </w:p>
    <w:p>
      <w:pPr>
        <w:tabs>
          <w:tab w:val="left" w:pos="4140"/>
        </w:tabs>
        <w:rPr>
          <w:rFonts w:hint="eastAsia"/>
          <w:color w:val="auto"/>
          <w:sz w:val="28"/>
          <w:szCs w:val="28"/>
          <w:highlight w:val="none"/>
        </w:rPr>
      </w:pPr>
    </w:p>
    <w:p>
      <w:pPr>
        <w:tabs>
          <w:tab w:val="left" w:pos="4140"/>
        </w:tabs>
        <w:rPr>
          <w:rFonts w:hint="eastAsia"/>
          <w:color w:val="auto"/>
          <w:sz w:val="28"/>
          <w:szCs w:val="28"/>
          <w:highlight w:val="none"/>
        </w:rPr>
      </w:pPr>
    </w:p>
    <w:p>
      <w:pPr>
        <w:spacing w:line="360" w:lineRule="auto"/>
        <w:ind w:left="0" w:leftChars="0" w:firstLine="840" w:firstLineChars="0"/>
        <w:rPr>
          <w:rFonts w:hint="default" w:ascii="宋体" w:hAnsi="宋体" w:eastAsia="宋体" w:cs="宋体"/>
          <w:color w:val="auto"/>
          <w:szCs w:val="21"/>
          <w:highlight w:val="none"/>
          <w:u w:val="single"/>
          <w:lang w:val="en-US" w:eastAsia="zh-CN"/>
        </w:rPr>
      </w:pPr>
      <w:r>
        <w:rPr>
          <w:rFonts w:hint="eastAsia"/>
          <w:color w:val="auto"/>
          <w:sz w:val="28"/>
          <w:szCs w:val="28"/>
          <w:highlight w:val="none"/>
        </w:rPr>
        <w:t>工程名程：</w:t>
      </w:r>
      <w:r>
        <w:rPr>
          <w:rFonts w:hint="eastAsia" w:ascii="宋体" w:hAnsi="宋体" w:cs="宋体"/>
          <w:color w:val="auto"/>
          <w:szCs w:val="21"/>
          <w:highlight w:val="none"/>
          <w:u w:val="single"/>
          <w:lang w:val="en-US" w:eastAsia="zh-CN"/>
        </w:rPr>
        <w:t xml:space="preserve">                                         </w:t>
      </w:r>
    </w:p>
    <w:p>
      <w:pPr>
        <w:ind w:left="0" w:leftChars="0" w:firstLine="840" w:firstLineChars="0"/>
        <w:rPr>
          <w:rFonts w:hint="eastAsia"/>
          <w:color w:val="auto"/>
          <w:sz w:val="28"/>
          <w:szCs w:val="28"/>
          <w:highlight w:val="none"/>
        </w:rPr>
      </w:pPr>
    </w:p>
    <w:p>
      <w:pPr>
        <w:ind w:left="0" w:leftChars="0" w:firstLine="840" w:firstLineChars="0"/>
        <w:rPr>
          <w:rFonts w:hint="eastAsia"/>
          <w:color w:val="auto"/>
          <w:sz w:val="28"/>
          <w:szCs w:val="28"/>
          <w:highlight w:val="none"/>
          <w:u w:val="single"/>
        </w:rPr>
      </w:pPr>
      <w:r>
        <w:rPr>
          <w:rFonts w:hint="eastAsia"/>
          <w:color w:val="auto"/>
          <w:sz w:val="28"/>
          <w:szCs w:val="28"/>
          <w:highlight w:val="none"/>
        </w:rPr>
        <w:t>工程地点：</w:t>
      </w:r>
      <w:r>
        <w:rPr>
          <w:rFonts w:hint="eastAsia"/>
          <w:color w:val="auto"/>
          <w:sz w:val="28"/>
          <w:szCs w:val="28"/>
          <w:highlight w:val="none"/>
          <w:u w:val="single"/>
        </w:rPr>
        <w:t xml:space="preserve">                               </w:t>
      </w:r>
    </w:p>
    <w:p>
      <w:pPr>
        <w:ind w:left="0" w:leftChars="0" w:firstLine="840" w:firstLineChars="0"/>
        <w:rPr>
          <w:rFonts w:hint="eastAsia"/>
          <w:color w:val="auto"/>
          <w:sz w:val="28"/>
          <w:szCs w:val="28"/>
          <w:highlight w:val="none"/>
        </w:rPr>
      </w:pPr>
    </w:p>
    <w:p>
      <w:pPr>
        <w:ind w:left="0" w:leftChars="0" w:firstLine="840" w:firstLineChars="0"/>
        <w:rPr>
          <w:rFonts w:hint="eastAsia"/>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pPr>
        <w:ind w:left="0" w:leftChars="0" w:firstLine="840" w:firstLineChars="0"/>
        <w:rPr>
          <w:rFonts w:hint="eastAsia"/>
          <w:color w:val="auto"/>
          <w:sz w:val="28"/>
          <w:szCs w:val="28"/>
          <w:highlight w:val="none"/>
        </w:rPr>
      </w:pPr>
      <w:r>
        <w:rPr>
          <w:rFonts w:hint="eastAsia"/>
          <w:color w:val="auto"/>
          <w:sz w:val="28"/>
          <w:szCs w:val="28"/>
          <w:highlight w:val="none"/>
        </w:rPr>
        <w:t>（由设计人编填）</w:t>
      </w:r>
    </w:p>
    <w:p>
      <w:pPr>
        <w:tabs>
          <w:tab w:val="left" w:pos="3960"/>
          <w:tab w:val="left" w:pos="4140"/>
          <w:tab w:val="left" w:pos="6660"/>
        </w:tabs>
        <w:ind w:left="0" w:leftChars="0" w:firstLine="840" w:firstLineChars="0"/>
        <w:rPr>
          <w:rFonts w:hint="eastAsia"/>
          <w:color w:val="auto"/>
          <w:spacing w:val="22"/>
          <w:sz w:val="28"/>
          <w:szCs w:val="28"/>
          <w:highlight w:val="none"/>
        </w:rPr>
      </w:pPr>
    </w:p>
    <w:p>
      <w:pPr>
        <w:tabs>
          <w:tab w:val="left" w:pos="3960"/>
          <w:tab w:val="left" w:pos="4140"/>
          <w:tab w:val="left" w:pos="6660"/>
        </w:tabs>
        <w:ind w:left="0" w:leftChars="0" w:firstLine="840" w:firstLineChars="0"/>
        <w:rPr>
          <w:color w:val="auto"/>
          <w:spacing w:val="22"/>
          <w:sz w:val="28"/>
          <w:szCs w:val="28"/>
          <w:highlight w:val="none"/>
          <w:u w:val="single"/>
        </w:rPr>
      </w:pPr>
      <w:r>
        <w:rPr>
          <w:rFonts w:hint="eastAsia"/>
          <w:color w:val="auto"/>
          <w:spacing w:val="22"/>
          <w:sz w:val="28"/>
          <w:szCs w:val="28"/>
          <w:highlight w:val="none"/>
        </w:rPr>
        <w:t>设计证书等级：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ind w:left="0" w:leftChars="0" w:firstLine="840" w:firstLineChars="0"/>
        <w:rPr>
          <w:rFonts w:hint="eastAsia"/>
          <w:color w:val="auto"/>
          <w:sz w:val="28"/>
          <w:szCs w:val="28"/>
          <w:highlight w:val="none"/>
        </w:rPr>
      </w:pPr>
    </w:p>
    <w:p>
      <w:pPr>
        <w:ind w:left="0" w:leftChars="0" w:firstLine="840" w:firstLineChars="0"/>
        <w:rPr>
          <w:rFonts w:hint="eastAsia"/>
          <w:color w:val="auto"/>
          <w:sz w:val="24"/>
          <w:highlight w:val="none"/>
          <w:u w:val="single"/>
        </w:rPr>
      </w:pPr>
      <w:r>
        <w:rPr>
          <w:rFonts w:hint="eastAsia"/>
          <w:color w:val="auto"/>
          <w:sz w:val="28"/>
          <w:szCs w:val="28"/>
          <w:highlight w:val="none"/>
        </w:rPr>
        <w:t>发 包 人：</w:t>
      </w:r>
      <w:r>
        <w:rPr>
          <w:rFonts w:hint="eastAsia" w:ascii="宋体" w:hAnsi="宋体" w:cs="宋体"/>
          <w:color w:val="auto"/>
          <w:szCs w:val="21"/>
          <w:highlight w:val="none"/>
          <w:u w:val="single"/>
          <w:lang w:val="en-US" w:eastAsia="zh-CN"/>
        </w:rPr>
        <w:t xml:space="preserve">                    </w:t>
      </w:r>
      <w:r>
        <w:rPr>
          <w:rFonts w:hint="eastAsia"/>
          <w:color w:val="auto"/>
          <w:sz w:val="28"/>
          <w:szCs w:val="28"/>
          <w:highlight w:val="none"/>
          <w:u w:val="single"/>
        </w:rPr>
        <w:t xml:space="preserve">                </w:t>
      </w:r>
    </w:p>
    <w:p>
      <w:pPr>
        <w:ind w:left="0" w:leftChars="0" w:firstLine="840" w:firstLineChars="0"/>
        <w:rPr>
          <w:rFonts w:hint="eastAsia"/>
          <w:color w:val="auto"/>
          <w:sz w:val="28"/>
          <w:szCs w:val="28"/>
          <w:highlight w:val="none"/>
        </w:rPr>
      </w:pPr>
    </w:p>
    <w:p>
      <w:pPr>
        <w:ind w:left="0" w:leftChars="0" w:firstLine="840" w:firstLineChars="0"/>
        <w:rPr>
          <w:color w:val="auto"/>
          <w:sz w:val="28"/>
          <w:szCs w:val="28"/>
          <w:highlight w:val="none"/>
          <w:u w:val="single"/>
        </w:rPr>
      </w:pPr>
      <w:r>
        <w:rPr>
          <w:rFonts w:hint="eastAsia"/>
          <w:color w:val="auto"/>
          <w:sz w:val="28"/>
          <w:szCs w:val="28"/>
          <w:highlight w:val="none"/>
        </w:rPr>
        <w:t>设 计 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pPr>
        <w:ind w:left="0" w:leftChars="0" w:firstLine="840" w:firstLineChars="0"/>
        <w:rPr>
          <w:rFonts w:hint="eastAsia"/>
          <w:color w:val="auto"/>
          <w:sz w:val="28"/>
          <w:szCs w:val="28"/>
          <w:highlight w:val="none"/>
        </w:rPr>
      </w:pPr>
    </w:p>
    <w:p>
      <w:pPr>
        <w:ind w:left="0" w:leftChars="0" w:firstLine="840" w:firstLineChars="0"/>
        <w:rPr>
          <w:color w:val="auto"/>
          <w:sz w:val="28"/>
          <w:szCs w:val="28"/>
          <w:highlight w:val="none"/>
          <w:u w:val="single"/>
        </w:rPr>
      </w:pPr>
      <w:r>
        <w:rPr>
          <w:rFonts w:hint="eastAsia"/>
          <w:color w:val="auto"/>
          <w:sz w:val="28"/>
          <w:szCs w:val="28"/>
          <w:highlight w:val="none"/>
        </w:rPr>
        <w:t>签  订  日  期：</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pPr>
        <w:rPr>
          <w:rFonts w:hint="eastAsia"/>
          <w:color w:val="auto"/>
          <w:sz w:val="28"/>
          <w:szCs w:val="28"/>
          <w:highlight w:val="none"/>
        </w:rPr>
      </w:pPr>
    </w:p>
    <w:p>
      <w:pPr>
        <w:rPr>
          <w:rFonts w:hint="eastAsia"/>
          <w:color w:val="auto"/>
          <w:sz w:val="28"/>
          <w:szCs w:val="28"/>
          <w:highlight w:val="none"/>
        </w:rPr>
      </w:pPr>
    </w:p>
    <w:p>
      <w:pPr>
        <w:jc w:val="center"/>
        <w:rPr>
          <w:rFonts w:hint="eastAsia"/>
          <w:color w:val="auto"/>
          <w:kern w:val="0"/>
          <w:sz w:val="32"/>
          <w:szCs w:val="32"/>
          <w:highlight w:val="none"/>
        </w:rPr>
      </w:pPr>
    </w:p>
    <w:p>
      <w:pPr>
        <w:jc w:val="center"/>
        <w:rPr>
          <w:rFonts w:hint="eastAsia"/>
          <w:color w:val="auto"/>
          <w:kern w:val="0"/>
          <w:sz w:val="32"/>
          <w:szCs w:val="32"/>
          <w:highlight w:val="none"/>
        </w:rPr>
      </w:pPr>
    </w:p>
    <w:p>
      <w:pPr>
        <w:jc w:val="center"/>
        <w:rPr>
          <w:rFonts w:hint="eastAsia"/>
          <w:color w:val="auto"/>
          <w:sz w:val="32"/>
          <w:szCs w:val="32"/>
          <w:highlight w:val="none"/>
        </w:rPr>
      </w:pPr>
      <w:r>
        <w:rPr>
          <w:rFonts w:hint="eastAsia"/>
          <w:color w:val="auto"/>
          <w:spacing w:val="2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91440</wp:posOffset>
                </wp:positionV>
                <wp:extent cx="914400" cy="5448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544830"/>
                        </a:xfrm>
                        <a:prstGeom prst="rect">
                          <a:avLst/>
                        </a:prstGeom>
                        <a:noFill/>
                        <a:ln>
                          <a:noFill/>
                        </a:ln>
                      </wps:spPr>
                      <wps:txbx>
                        <w:txbxContent>
                          <w:p>
                            <w:pPr>
                              <w:rPr>
                                <w:sz w:val="32"/>
                                <w:szCs w:val="32"/>
                              </w:rPr>
                            </w:pPr>
                            <w:r>
                              <w:rPr>
                                <w:rFonts w:hint="eastAsia"/>
                                <w:sz w:val="32"/>
                                <w:szCs w:val="32"/>
                              </w:rPr>
                              <w:t>监制</w:t>
                            </w:r>
                          </w:p>
                        </w:txbxContent>
                      </wps:txbx>
                      <wps:bodyPr upright="1"/>
                    </wps:wsp>
                  </a:graphicData>
                </a:graphic>
              </wp:anchor>
            </w:drawing>
          </mc:Choice>
          <mc:Fallback>
            <w:pict>
              <v:shape id="_x0000_s1026" o:spid="_x0000_s1026" o:spt="202" type="#_x0000_t202" style="position:absolute;left:0pt;margin-left:333pt;margin-top:7.2pt;height:42.9pt;width:72pt;z-index:251659264;mso-width-relative:page;mso-height-relative:page;" filled="f" stroked="f" coordsize="21600,21600" o:gfxdata="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F7j+/VAAAACgEAAA8AAAAAAAAAAQAgAAAAIgAAAGRycy9kb3ducmV2&#10;LnhtbFBLAQIUABQAAAAIAIdO4kC+l55ZjQEAAP8CAAAOAAAAAAAAAAEAIAAAACQBAABkcnMvZTJv&#10;RG9jLnhtbFBLBQYAAAAABgAGAFkBAAAjBQAAAAA=&#10;">
                <v:fill on="f" focussize="0,0"/>
                <v:stroke on="f"/>
                <v:imagedata o:title=""/>
                <o:lock v:ext="edit" aspectratio="f"/>
                <v:textbox>
                  <w:txbxContent>
                    <w:p>
                      <w:pPr>
                        <w:rPr>
                          <w:sz w:val="32"/>
                          <w:szCs w:val="32"/>
                        </w:rPr>
                      </w:pPr>
                      <w:r>
                        <w:rPr>
                          <w:rFonts w:hint="eastAsia"/>
                          <w:sz w:val="32"/>
                          <w:szCs w:val="32"/>
                        </w:rPr>
                        <w:t>监制</w:t>
                      </w:r>
                    </w:p>
                  </w:txbxContent>
                </v:textbox>
              </v:shape>
            </w:pict>
          </mc:Fallback>
        </mc:AlternateContent>
      </w:r>
      <w:r>
        <w:rPr>
          <w:rFonts w:hint="eastAsia"/>
          <w:color w:val="auto"/>
          <w:spacing w:val="0"/>
          <w:kern w:val="0"/>
          <w:sz w:val="32"/>
          <w:szCs w:val="32"/>
          <w:highlight w:val="none"/>
          <w:fitText w:val="3200" w:id="1769766534"/>
        </w:rPr>
        <w:t>中华人民共和国建设部</w:t>
      </w:r>
    </w:p>
    <w:p>
      <w:pPr>
        <w:jc w:val="center"/>
        <w:rPr>
          <w:rFonts w:hint="eastAsia"/>
          <w:color w:val="auto"/>
          <w:kern w:val="0"/>
          <w:sz w:val="32"/>
          <w:szCs w:val="32"/>
          <w:highlight w:val="none"/>
        </w:rPr>
      </w:pPr>
      <w:r>
        <w:rPr>
          <w:rFonts w:hint="eastAsia"/>
          <w:color w:val="auto"/>
          <w:spacing w:val="22"/>
          <w:kern w:val="0"/>
          <w:sz w:val="32"/>
          <w:szCs w:val="32"/>
          <w:highlight w:val="none"/>
          <w:fitText w:val="3232" w:id="321351081"/>
        </w:rPr>
        <w:t>国家工商行政管理</w:t>
      </w:r>
      <w:r>
        <w:rPr>
          <w:rFonts w:hint="eastAsia"/>
          <w:color w:val="auto"/>
          <w:spacing w:val="0"/>
          <w:kern w:val="0"/>
          <w:sz w:val="32"/>
          <w:szCs w:val="32"/>
          <w:highlight w:val="none"/>
          <w:fitText w:val="3232" w:id="321351081"/>
        </w:rPr>
        <w:t>局</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平阳县兴阳控股集团有限公司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发包人委托设计人承担</w:t>
      </w:r>
      <w:r>
        <w:rPr>
          <w:rFonts w:hint="eastAsia" w:ascii="宋体" w:hAnsi="宋体" w:cs="宋体"/>
          <w:color w:val="auto"/>
          <w:sz w:val="21"/>
          <w:szCs w:val="21"/>
          <w:highlight w:val="none"/>
          <w:u w:val="single"/>
          <w:lang w:eastAsia="zh-CN"/>
        </w:rPr>
        <w:t>南雁荡山景区及周边环境生态修复工程初步设计采购</w:t>
      </w:r>
      <w:r>
        <w:rPr>
          <w:rFonts w:hint="eastAsia" w:ascii="宋体" w:hAnsi="宋体" w:cs="宋体"/>
          <w:color w:val="auto"/>
          <w:sz w:val="21"/>
          <w:szCs w:val="21"/>
          <w:highlight w:val="none"/>
        </w:rPr>
        <w:t>，经双方协商一致，签订本合同。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第一条</w:t>
      </w:r>
      <w:r>
        <w:rPr>
          <w:rFonts w:hint="eastAsia" w:ascii="宋体" w:hAnsi="宋体" w:cs="宋体"/>
          <w:color w:val="auto"/>
          <w:sz w:val="21"/>
          <w:szCs w:val="21"/>
          <w:highlight w:val="none"/>
        </w:rPr>
        <w:t>本合同依据下列文件签订：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1.1《中华人民共和国</w:t>
      </w:r>
      <w:r>
        <w:rPr>
          <w:rFonts w:hint="eastAsia" w:ascii="宋体" w:hAnsi="宋体" w:cs="宋体"/>
          <w:color w:val="auto"/>
          <w:sz w:val="21"/>
          <w:szCs w:val="21"/>
          <w:highlight w:val="none"/>
          <w:lang w:val="en-US" w:eastAsia="zh-CN"/>
        </w:rPr>
        <w:t>民法典</w:t>
      </w:r>
      <w:r>
        <w:rPr>
          <w:rFonts w:hint="eastAsia" w:ascii="宋体" w:hAnsi="宋体" w:cs="宋体"/>
          <w:color w:val="auto"/>
          <w:sz w:val="21"/>
          <w:szCs w:val="21"/>
          <w:highlight w:val="none"/>
        </w:rPr>
        <w:t>》、《中华人民共和国建筑法》、《建设工程勘察市场管理规定》。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1.3建设工程批准文件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第二条</w:t>
      </w:r>
      <w:r>
        <w:rPr>
          <w:rFonts w:hint="eastAsia" w:ascii="宋体" w:hAnsi="宋体" w:cs="宋体"/>
          <w:color w:val="auto"/>
          <w:sz w:val="21"/>
          <w:szCs w:val="21"/>
          <w:highlight w:val="none"/>
        </w:rPr>
        <w:t>本合同设计项目的内容：名称、规模、阶段、投资及设计费等见下表。</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2.1设计范围：</w:t>
      </w:r>
      <w:r>
        <w:rPr>
          <w:rFonts w:hint="eastAsia" w:ascii="宋体" w:hAnsi="宋体" w:cs="宋体"/>
          <w:color w:val="auto"/>
          <w:sz w:val="21"/>
          <w:szCs w:val="21"/>
          <w:highlight w:val="none"/>
          <w:u w:val="single"/>
          <w:lang w:eastAsia="zh-CN"/>
        </w:rPr>
        <w:t>南雁荡山景区及周边环境生态修复工程</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2.2设计阶段:设计方案、初步设计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2.3服务内容：</w:t>
      </w:r>
    </w:p>
    <w:tbl>
      <w:tblPr>
        <w:tblStyle w:val="2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79"/>
        <w:gridCol w:w="750"/>
        <w:gridCol w:w="1019"/>
        <w:gridCol w:w="1079"/>
        <w:gridCol w:w="1566"/>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7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分项目名称</w:t>
            </w: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366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设计阶段方案及内容</w:t>
            </w:r>
          </w:p>
        </w:tc>
        <w:tc>
          <w:tcPr>
            <w:tcW w:w="116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收费标准</w:t>
            </w:r>
          </w:p>
        </w:tc>
        <w:tc>
          <w:tcPr>
            <w:tcW w:w="116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w:t>
            </w: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w:t>
            </w:r>
          </w:p>
        </w:tc>
        <w:tc>
          <w:tcPr>
            <w:tcW w:w="15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施工图</w:t>
            </w:r>
          </w:p>
        </w:tc>
        <w:tc>
          <w:tcPr>
            <w:tcW w:w="1169"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发包人应向设计人提交的有关资料及文件：</w:t>
      </w:r>
    </w:p>
    <w:tbl>
      <w:tblPr>
        <w:tblStyle w:val="26"/>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82"/>
        <w:gridCol w:w="960"/>
        <w:gridCol w:w="319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98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6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195"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683"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地形图</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工程立项文件</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9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设计任务书</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第四条</w:t>
      </w:r>
      <w:r>
        <w:rPr>
          <w:rFonts w:hint="eastAsia" w:ascii="宋体" w:hAnsi="宋体" w:cs="宋体"/>
          <w:color w:val="auto"/>
          <w:sz w:val="21"/>
          <w:szCs w:val="21"/>
          <w:highlight w:val="none"/>
        </w:rPr>
        <w:t>设计人应向发包人交付的设计资料及文件：</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015"/>
        <w:gridCol w:w="975"/>
        <w:gridCol w:w="309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015"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75"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097"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87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方案设计文本</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合同签订30日历日</w:t>
            </w:r>
          </w:p>
        </w:tc>
        <w:tc>
          <w:tcPr>
            <w:tcW w:w="187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设计电子光盘</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与设计文本同时提供</w:t>
            </w:r>
          </w:p>
        </w:tc>
        <w:tc>
          <w:tcPr>
            <w:tcW w:w="187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初步设计文本</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设计方案功能通过后30个日历日</w:t>
            </w:r>
          </w:p>
        </w:tc>
        <w:tc>
          <w:tcPr>
            <w:tcW w:w="187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初步设计电子光盘</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概算编制文件</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30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18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第五条</w:t>
      </w:r>
      <w:r>
        <w:rPr>
          <w:rFonts w:hint="eastAsia" w:ascii="宋体" w:hAnsi="宋体" w:cs="宋体"/>
          <w:color w:val="auto"/>
          <w:sz w:val="21"/>
          <w:szCs w:val="21"/>
          <w:highlight w:val="none"/>
        </w:rPr>
        <w:t>本合同设计收费估算为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元人民币，设计费支付进度详见下表。</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990"/>
        <w:gridCol w:w="126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付费次数</w:t>
            </w:r>
          </w:p>
        </w:tc>
        <w:tc>
          <w:tcPr>
            <w:tcW w:w="399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付款内容</w:t>
            </w:r>
          </w:p>
        </w:tc>
        <w:tc>
          <w:tcPr>
            <w:tcW w:w="126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92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（由交付设计文件决定）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第一次付费</w:t>
            </w:r>
          </w:p>
        </w:tc>
        <w:tc>
          <w:tcPr>
            <w:tcW w:w="39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合同预付款</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30%</w:t>
            </w:r>
          </w:p>
        </w:tc>
        <w:tc>
          <w:tcPr>
            <w:tcW w:w="2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次付款</w:t>
            </w:r>
          </w:p>
        </w:tc>
        <w:tc>
          <w:tcPr>
            <w:tcW w:w="39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提交初步设计文件并取得批复文件</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w:t>
            </w:r>
          </w:p>
        </w:tc>
        <w:tc>
          <w:tcPr>
            <w:tcW w:w="2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次付款</w:t>
            </w:r>
          </w:p>
        </w:tc>
        <w:tc>
          <w:tcPr>
            <w:tcW w:w="39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协助</w:t>
            </w:r>
            <w:r>
              <w:rPr>
                <w:rFonts w:hint="eastAsia" w:ascii="宋体" w:hAnsi="宋体" w:cs="宋体"/>
                <w:color w:val="auto"/>
                <w:sz w:val="21"/>
                <w:szCs w:val="21"/>
                <w:highlight w:val="none"/>
                <w:lang w:val="en-US" w:eastAsia="zh-CN"/>
              </w:rPr>
              <w:t>发包人</w:t>
            </w:r>
            <w:r>
              <w:rPr>
                <w:rFonts w:hint="eastAsia" w:ascii="宋体" w:hAnsi="宋体" w:cs="宋体"/>
                <w:color w:val="auto"/>
                <w:sz w:val="21"/>
                <w:szCs w:val="21"/>
                <w:highlight w:val="none"/>
              </w:rPr>
              <w:t>完成项目后期施工招标工作</w:t>
            </w:r>
            <w:r>
              <w:rPr>
                <w:rFonts w:hint="eastAsia" w:ascii="宋体" w:hAnsi="宋体" w:cs="宋体"/>
                <w:color w:val="auto"/>
                <w:sz w:val="21"/>
                <w:szCs w:val="21"/>
                <w:highlight w:val="none"/>
                <w:lang w:val="en-US" w:eastAsia="zh-CN"/>
              </w:rPr>
              <w:t>并协助完成施工图审查</w:t>
            </w:r>
            <w:r>
              <w:rPr>
                <w:rFonts w:hint="eastAsia" w:ascii="宋体" w:hAnsi="宋体" w:cs="宋体"/>
                <w:color w:val="auto"/>
                <w:sz w:val="21"/>
                <w:szCs w:val="21"/>
                <w:highlight w:val="none"/>
              </w:rPr>
              <w:t>。</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100%</w:t>
            </w:r>
          </w:p>
        </w:tc>
        <w:tc>
          <w:tcPr>
            <w:tcW w:w="2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第六条双方责任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6.1发包人责任：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6.1.1发包人按本合同第三条规定的内容，在规定时间内向设计人提交资料及文件，并对其完整性、正确性及时限负责，发包人不得要求设计人违反国家有关标准进行设计。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发包人提交上述资料及文件超过规定期限15天以内，设计人按合同第四条规定交付设计文件时间顺延；超过规定期限15天以上时，设计人员有权重新确定提交设计文件的时间。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变更委托设计项目、规模、条件或因提交的资料错误，或所提交的资料作较大修改，以致造成设计人设计需返工时，双方除需另行协商签订补充协议（或另订合同）、重新明确有关条款外，发包人应按设计人所耗工作量增付设计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在未签合同前发包人已同意，设计人为发包人所作的各项设计工作，应按收费标准，相应支付设计费。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6.1.3发包人要求设计人比合同规定时间提前交付设计资料及文件时，如果设计人能够做到，发包人应根据设计人提前投入的工程量，向设计人支付赶工费。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6.1.4发包人应为派赴现场处理有关涉及问题的工作人员，提供必要的工作生活及交通等方便条件。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发包人应保护设计人的投标书、设计方案、文件、资料图纸、数据、设计软件和专利技术。未经设计人同意，发包人对设计人交付的设计资料及文件不得擅自修改、复制或向第三人转让或用于合同外的项目，如发生以上情况，发包人应负法律责任，设计人有权向发包人提出索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6.2设计人责任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6.2.1设计人应按国家技术规范、标准、规程及发包人提出的设计要求，进行工程设计，按合同规定的进度要求提交质量合格的设计资料，并对其负责。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6.2.2设计合理使用年限为 50 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6.2.3设计人按本合同第二条和第四条规定的内容、进度及份数向发包人交付资料及文件。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设计人交付设计资料及文件后，按规定参加有关的设计审查，并根据审查结论负责对不超过原定范围的内容作必要调整补充。设计人按合同规定时限交付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6.2.5设计人应保护发包人的知识产权，不得向第三人泄露、转让发包人提交的产品图纸等技术经济资料。如发生以上情况并给发包人造成经济损失，发包人有权向设计人索赔。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7.3设计人对设计资料及文件出现的遗漏或错误负责修改或补充。由于设计人员错误造成工程质量事故损失，设计人除负责采取补救措施外，应免收直接损失部分的设计费。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7.4由于设计人自身原因，延误了按合同第四条规定的设计资料及设计文件的交付时间，每延误一天，应减收该项目设计费的千分之二。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7.5合同生效后，设计人要求终止或解除合同，设计人应双倍返还定金。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第八条售后</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负责免费对项目成果错误进行及时更正、并对按规定进行调整或补充。</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能提供快速的售后服务响应，提供7*24小时技术服务，如在使用过程中发生问题，</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在接到采购人通知后在24小时内到达现场。若未按时响应的，应按次向</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支付违约金1000元，违约金从剩余10%的结算价款中扣除；超过5次，</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3.合同签署后，</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无特殊情况未经</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同意不得变更设计资料及设计文件交付的时间，应按日向发包人支付违约金1000元；超过10日，</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4.成果在通过最终评审前，须按</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要求修改（不限次数），确保通过最终评审。本项目所有评审过程涉及的评审费用、专家费由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w:t>
      </w:r>
    </w:p>
    <w:p>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5.本项目所需相关资料均由</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协助供应商获取。</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必须按规定程序和有关要求进行实施，服务过程中的各种设计质量及人身财产安全意外，责任由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承担，</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不承担责任。</w:t>
      </w:r>
    </w:p>
    <w:p>
      <w:pPr>
        <w:pStyle w:val="2"/>
        <w:rPr>
          <w:rFonts w:hint="default"/>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.1发包人要求设计人派专人留驻施工现场进行配合或解决有关问题时，双方应另行签订补充协议或技术咨询服务合同。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.2设计人为本合同所采用的国家或地方标准图，由发包人自费向有关出版部门购买。本合同第四条规定设计人交付的设计资料和文件份数超过《工程设计收费标准》规定的份数，设计人另收工本费。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.3本工程设计资料及文件中，建筑材料、建筑构配件和设备，应当注明其规格、型号、性能等技术指标，设计人不得指定生产厂、供应商。发包人需要设计人的设计人员配合加工定货时，所需费用由发包人承担。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.4发包人委托设计人配合引进项目的设计任务，从询价、对外谈判、国内外技术考察直至建成投产的各个阶段，应吸收承担有关设计任务的设计人参加。长途或出国费用，除制装费外，其他费用由发包人承担。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.5发包人委托设计人承担本合同内容之外的工作任务，另行支付费用。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.6由于不可抗拒力因素导致合同无法履行时，双方应及时协商解决。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.7本合同在履行过程中发生的争议，由双方当事人协商解决，协商不成的按下列第（二）种方式解决。（一）提交仲裁委员会仲裁；（二）依法</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.8本合同一式  6  份，发包人  3  份 ，设计人  3   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.9本合同经双方签章并在发包人向设计人支付定金后生效。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.10本合同生效后，按规定到项目所在省级建设行政主管部门规定的审查部门备案。双方认为必要时，到项目所在地工商行政部门申请鉴证。双方履行完合同规定的义务后，本合同即行终止。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.11本合同未尽事宜，双方可签订补充协议，有关协议及双方认可的来往电报、传真、会议纪要等，均为本合同组成部分，与本合同具有同等法律效力。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.12其他约定事项：                                             </w:t>
      </w:r>
    </w:p>
    <w:p>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发包人名称：（盖  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设计人名称：（盖  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委托代理人：（签字）</w:t>
      </w:r>
    </w:p>
    <w:p>
      <w:pPr>
        <w:keepNext w:val="0"/>
        <w:keepLines w:val="0"/>
        <w:pageBreakBefore w:val="0"/>
        <w:widowControl w:val="0"/>
        <w:tabs>
          <w:tab w:val="left" w:pos="3780"/>
          <w:tab w:val="left" w:pos="420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邮政编码：</w:t>
      </w:r>
    </w:p>
    <w:p>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    话：</w:t>
      </w:r>
    </w:p>
    <w:p>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银行帐号：</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银行帐号：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39"/>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pPr>
        <w:pStyle w:val="4"/>
        <w:shd w:val="clear" w:color="auto" w:fill="auto"/>
        <w:wordWrap w:val="0"/>
        <w:spacing w:before="0" w:after="0" w:line="360" w:lineRule="auto"/>
        <w:rPr>
          <w:rFonts w:hint="eastAsia" w:ascii="宋体" w:hAnsi="宋体" w:eastAsia="宋体" w:cs="宋体"/>
          <w:color w:val="auto"/>
          <w:highlight w:val="none"/>
        </w:rPr>
      </w:pPr>
      <w:bookmarkStart w:id="40" w:name="_Toc30408914"/>
      <w:bookmarkStart w:id="41" w:name="_Toc24550049"/>
    </w:p>
    <w:p>
      <w:pPr>
        <w:pStyle w:val="4"/>
        <w:shd w:val="clear" w:color="auto" w:fill="auto"/>
        <w:wordWrap w:val="0"/>
        <w:spacing w:before="0" w:after="0" w:line="360" w:lineRule="auto"/>
        <w:rPr>
          <w:rFonts w:hint="eastAsia" w:ascii="宋体" w:hAnsi="宋体" w:eastAsia="宋体" w:cs="宋体"/>
          <w:color w:val="auto"/>
          <w:highlight w:val="none"/>
        </w:rPr>
      </w:pPr>
    </w:p>
    <w:p>
      <w:pPr>
        <w:pStyle w:val="4"/>
        <w:shd w:val="clear" w:color="auto" w:fill="auto"/>
        <w:wordWrap w:val="0"/>
        <w:spacing w:before="0" w:after="0" w:line="360" w:lineRule="auto"/>
        <w:rPr>
          <w:rFonts w:hint="eastAsia" w:ascii="宋体" w:hAnsi="宋体" w:eastAsia="宋体" w:cs="宋体"/>
          <w:color w:val="auto"/>
          <w:highlight w:val="none"/>
        </w:rPr>
      </w:pPr>
    </w:p>
    <w:p>
      <w:pPr>
        <w:pStyle w:val="4"/>
        <w:shd w:val="clear" w:color="auto" w:fill="auto"/>
        <w:wordWrap w:val="0"/>
        <w:spacing w:before="0" w:after="0" w:line="360" w:lineRule="auto"/>
        <w:rPr>
          <w:rFonts w:hint="eastAsia" w:ascii="宋体" w:hAnsi="宋体" w:eastAsia="宋体" w:cs="宋体"/>
          <w:color w:val="auto"/>
          <w:highlight w:val="none"/>
        </w:rPr>
      </w:pPr>
    </w:p>
    <w:p>
      <w:pPr>
        <w:pStyle w:val="4"/>
        <w:shd w:val="clear" w:color="auto" w:fill="auto"/>
        <w:wordWrap w:val="0"/>
        <w:spacing w:before="0" w:after="0" w:line="360" w:lineRule="auto"/>
        <w:rPr>
          <w:rFonts w:hint="eastAsia" w:ascii="宋体" w:hAnsi="宋体" w:eastAsia="宋体" w:cs="宋体"/>
          <w:color w:val="auto"/>
          <w:highlight w:val="none"/>
        </w:rPr>
      </w:pPr>
    </w:p>
    <w:p>
      <w:pPr>
        <w:shd w:val="clear" w:color="auto" w:fill="auto"/>
        <w:wordWrap w:val="0"/>
        <w:spacing w:line="360" w:lineRule="auto"/>
        <w:rPr>
          <w:rFonts w:hint="eastAsia" w:ascii="宋体" w:hAnsi="宋体" w:eastAsia="宋体" w:cs="宋体"/>
          <w:color w:val="auto"/>
          <w:highlight w:val="none"/>
        </w:rPr>
      </w:pPr>
    </w:p>
    <w:p>
      <w:pPr>
        <w:pStyle w:val="46"/>
        <w:shd w:val="clear" w:color="auto" w:fill="auto"/>
        <w:wordWrap w:val="0"/>
        <w:spacing w:line="360" w:lineRule="auto"/>
        <w:rPr>
          <w:rFonts w:hint="eastAsia" w:ascii="宋体" w:hAnsi="宋体" w:eastAsia="宋体" w:cs="宋体"/>
          <w:color w:val="auto"/>
          <w:highlight w:val="none"/>
        </w:rPr>
      </w:pPr>
    </w:p>
    <w:p>
      <w:pPr>
        <w:pStyle w:val="9"/>
        <w:shd w:val="clear" w:color="auto" w:fill="auto"/>
        <w:wordWrap w:val="0"/>
        <w:spacing w:line="360" w:lineRule="auto"/>
        <w:rPr>
          <w:rFonts w:hint="eastAsia" w:ascii="宋体" w:hAnsi="宋体" w:eastAsia="宋体" w:cs="宋体"/>
          <w:color w:val="auto"/>
          <w:highlight w:val="none"/>
        </w:rPr>
      </w:pPr>
    </w:p>
    <w:p>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Toc27639"/>
      <w:bookmarkStart w:id="43" w:name="_Toc26323"/>
      <w:bookmarkStart w:id="44" w:name="_Toc6691"/>
      <w:r>
        <w:rPr>
          <w:rFonts w:hint="eastAsia" w:ascii="宋体" w:hAnsi="宋体" w:eastAsia="宋体" w:cs="宋体"/>
          <w:color w:val="auto"/>
          <w:highlight w:val="none"/>
        </w:rPr>
        <w:t>一、“资格文件”格式</w:t>
      </w:r>
      <w:bookmarkEnd w:id="40"/>
      <w:bookmarkEnd w:id="41"/>
      <w:bookmarkEnd w:id="42"/>
      <w:bookmarkEnd w:id="43"/>
      <w:bookmarkEnd w:id="44"/>
    </w:p>
    <w:p>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pPr>
        <w:shd w:val="clear" w:color="auto" w:fill="auto"/>
        <w:wordWrap w:val="0"/>
        <w:spacing w:line="360" w:lineRule="auto"/>
        <w:jc w:val="right"/>
        <w:rPr>
          <w:rFonts w:hint="eastAsia" w:ascii="宋体" w:hAnsi="宋体" w:eastAsia="宋体" w:cs="宋体"/>
          <w:b/>
          <w:color w:val="auto"/>
          <w:sz w:val="32"/>
          <w:szCs w:val="22"/>
          <w:highlight w:val="none"/>
        </w:rPr>
      </w:pPr>
    </w:p>
    <w:p>
      <w:pPr>
        <w:pStyle w:val="46"/>
        <w:shd w:val="clear" w:color="auto" w:fill="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南雁荡山景区及周边环境生态修复工程初步设计采购</w:t>
      </w:r>
    </w:p>
    <w:p>
      <w:pPr>
        <w:shd w:val="clear" w:color="auto" w:fill="auto"/>
        <w:wordWrap w:val="0"/>
        <w:spacing w:line="360" w:lineRule="auto"/>
        <w:jc w:val="center"/>
        <w:rPr>
          <w:rFonts w:hint="eastAsia" w:ascii="宋体" w:hAnsi="宋体" w:eastAsia="宋体" w:cs="宋体"/>
          <w:b/>
          <w:color w:val="auto"/>
          <w:sz w:val="52"/>
          <w:szCs w:val="22"/>
          <w:highlight w:val="none"/>
        </w:rPr>
      </w:pPr>
    </w:p>
    <w:p>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PYCG240927077</w:t>
            </w:r>
            <w:r>
              <w:rPr>
                <w:rFonts w:hint="eastAsia" w:ascii="宋体" w:hAnsi="宋体" w:eastAsia="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pPr>
        <w:shd w:val="clear" w:color="auto" w:fill="auto"/>
        <w:wordWrap w:val="0"/>
        <w:spacing w:line="360" w:lineRule="auto"/>
        <w:jc w:val="center"/>
        <w:rPr>
          <w:rFonts w:hint="eastAsia" w:ascii="宋体" w:hAnsi="宋体" w:eastAsia="宋体" w:cs="宋体"/>
          <w:b/>
          <w:color w:val="auto"/>
          <w:sz w:val="44"/>
          <w:szCs w:val="44"/>
          <w:highlight w:val="none"/>
        </w:rPr>
      </w:pPr>
    </w:p>
    <w:p>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pPr>
        <w:shd w:val="clear" w:color="auto" w:fill="auto"/>
        <w:wordWrap w:val="0"/>
        <w:spacing w:line="360" w:lineRule="auto"/>
        <w:rPr>
          <w:rFonts w:hint="eastAsia" w:ascii="宋体" w:hAnsi="宋体" w:eastAsia="宋体" w:cs="宋体"/>
          <w:color w:val="auto"/>
          <w:highlight w:val="none"/>
        </w:rPr>
      </w:pPr>
    </w:p>
    <w:p>
      <w:pPr>
        <w:shd w:val="clear" w:color="auto" w:fill="auto"/>
        <w:wordWrap w:val="0"/>
        <w:spacing w:line="360" w:lineRule="auto"/>
        <w:rPr>
          <w:rFonts w:hint="eastAsia" w:ascii="宋体" w:hAnsi="宋体" w:eastAsia="宋体" w:cs="宋体"/>
          <w:b/>
          <w:color w:val="auto"/>
          <w:w w:val="90"/>
          <w:sz w:val="22"/>
          <w:szCs w:val="22"/>
          <w:highlight w:val="none"/>
          <w:u w:val="single"/>
        </w:rPr>
      </w:pPr>
    </w:p>
    <w:p>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u w:val="single"/>
          <w:lang w:eastAsia="zh-CN"/>
        </w:rPr>
        <w:t>平阳县兴阳控股集团有限公司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pPr>
        <w:shd w:val="clear" w:color="auto" w:fill="auto"/>
        <w:wordWrap w:val="0"/>
        <w:spacing w:line="360" w:lineRule="auto"/>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南雁荡山景区及周边环境生态修复工程初步设计采购</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PYCG240927077</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pPr>
        <w:shd w:val="clear" w:color="auto" w:fill="auto"/>
        <w:wordWrap w:val="0"/>
        <w:spacing w:line="360" w:lineRule="auto"/>
        <w:rPr>
          <w:rFonts w:hint="eastAsia" w:ascii="宋体" w:hAnsi="宋体" w:eastAsia="宋体" w:cs="宋体"/>
          <w:color w:val="auto"/>
          <w:highlight w:val="none"/>
        </w:rPr>
      </w:pPr>
    </w:p>
    <w:p>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pPr>
              <w:pStyle w:val="11"/>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pPr>
        <w:shd w:val="clear" w:color="auto" w:fill="auto"/>
        <w:wordWrap w:val="0"/>
        <w:spacing w:line="360" w:lineRule="auto"/>
        <w:rPr>
          <w:rFonts w:hint="eastAsia" w:ascii="宋体" w:hAnsi="宋体" w:eastAsia="宋体" w:cs="宋体"/>
          <w:i/>
          <w:color w:val="auto"/>
          <w:sz w:val="22"/>
          <w:szCs w:val="22"/>
          <w:highlight w:val="none"/>
        </w:rPr>
      </w:pPr>
    </w:p>
    <w:p>
      <w:pPr>
        <w:pStyle w:val="5"/>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pPr>
        <w:pStyle w:val="9"/>
        <w:shd w:val="clear" w:color="auto" w:fill="auto"/>
        <w:spacing w:line="360" w:lineRule="auto"/>
        <w:rPr>
          <w:rFonts w:hint="eastAsia" w:ascii="宋体" w:hAnsi="宋体" w:eastAsia="宋体" w:cs="宋体"/>
          <w:color w:val="auto"/>
          <w:sz w:val="22"/>
          <w:szCs w:val="22"/>
          <w:highlight w:val="none"/>
        </w:rPr>
      </w:pP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pPr>
        <w:pStyle w:val="5"/>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pPr>
        <w:widowControl/>
        <w:shd w:val="clear" w:color="auto" w:fill="auto"/>
        <w:snapToGrid w:val="0"/>
        <w:spacing w:line="360" w:lineRule="auto"/>
        <w:jc w:val="left"/>
        <w:rPr>
          <w:rFonts w:hint="eastAsia" w:ascii="宋体" w:hAnsi="宋体" w:eastAsia="宋体" w:cs="宋体"/>
          <w:color w:val="auto"/>
          <w:highlight w:val="none"/>
          <w:u w:val="single"/>
        </w:rPr>
      </w:pPr>
    </w:p>
    <w:p>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平阳县兴阳控股集团有限公司</w:t>
      </w:r>
      <w:r>
        <w:rPr>
          <w:rFonts w:hint="eastAsia" w:ascii="宋体" w:hAnsi="宋体" w:eastAsia="宋体" w:cs="宋体"/>
          <w:color w:val="auto"/>
          <w:sz w:val="22"/>
          <w:szCs w:val="22"/>
          <w:highlight w:val="none"/>
          <w:lang w:eastAsia="zh-CN"/>
        </w:rPr>
        <w:t>：</w:t>
      </w:r>
    </w:p>
    <w:p>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pPr>
        <w:widowControl/>
        <w:shd w:val="clear" w:color="auto" w:fill="auto"/>
        <w:snapToGrid w:val="0"/>
        <w:spacing w:line="360" w:lineRule="auto"/>
        <w:jc w:val="left"/>
        <w:rPr>
          <w:rFonts w:hint="eastAsia" w:ascii="宋体" w:hAnsi="宋体" w:eastAsia="宋体" w:cs="宋体"/>
          <w:color w:val="auto"/>
          <w:sz w:val="22"/>
          <w:szCs w:val="22"/>
          <w:highlight w:val="none"/>
        </w:rPr>
      </w:pPr>
    </w:p>
    <w:p>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pPr>
        <w:widowControl/>
        <w:shd w:val="clear" w:color="auto" w:fill="auto"/>
        <w:snapToGrid w:val="0"/>
        <w:spacing w:line="360" w:lineRule="auto"/>
        <w:jc w:val="left"/>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bookmarkStart w:id="45" w:name="_Toc817"/>
      <w:bookmarkStart w:id="46" w:name="_Toc13445"/>
      <w:bookmarkStart w:id="47" w:name="_Toc28966"/>
      <w:r>
        <w:rPr>
          <w:rFonts w:hint="eastAsia" w:ascii="宋体" w:hAnsi="宋体" w:eastAsia="宋体" w:cs="宋体"/>
          <w:color w:val="auto"/>
          <w:sz w:val="22"/>
          <w:szCs w:val="22"/>
          <w:highlight w:val="none"/>
        </w:rPr>
        <w:br w:type="page"/>
      </w:r>
      <w:bookmarkEnd w:id="45"/>
      <w:bookmarkEnd w:id="46"/>
      <w:bookmarkEnd w:id="47"/>
      <w:bookmarkStart w:id="48" w:name="_Toc6047"/>
      <w:bookmarkStart w:id="49" w:name="_Toc28157"/>
      <w:bookmarkStart w:id="50" w:name="_Toc28635"/>
    </w:p>
    <w:p>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48"/>
      <w:bookmarkEnd w:id="49"/>
      <w:bookmarkEnd w:id="50"/>
    </w:p>
    <w:p>
      <w:pPr>
        <w:pStyle w:val="6"/>
        <w:shd w:val="clear" w:color="auto" w:fill="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pPr>
        <w:shd w:val="clear" w:color="auto" w:fill="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南雁荡山景区及周边环境生态修复工程初步设计采购</w:t>
      </w:r>
    </w:p>
    <w:p>
      <w:pPr>
        <w:pStyle w:val="59"/>
        <w:shd w:val="clear" w:color="auto" w:fill="auto"/>
        <w:wordWrap w:val="0"/>
        <w:spacing w:after="0" w:line="360" w:lineRule="auto"/>
        <w:rPr>
          <w:rFonts w:hint="eastAsia" w:ascii="宋体" w:hAnsi="宋体" w:eastAsia="宋体" w:cs="宋体"/>
          <w:color w:val="auto"/>
          <w:highlight w:val="none"/>
        </w:rPr>
      </w:pPr>
    </w:p>
    <w:p>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PYCG240927077</w:t>
            </w:r>
            <w:r>
              <w:rPr>
                <w:rFonts w:hint="eastAsia" w:ascii="宋体" w:hAnsi="宋体" w:eastAsia="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pPr>
        <w:pStyle w:val="6"/>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pPr>
        <w:pStyle w:val="14"/>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南雁荡山景区及周边环境生态修复工程初步设计采购</w:t>
            </w:r>
          </w:p>
        </w:tc>
        <w:tc>
          <w:tcPr>
            <w:tcW w:w="472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pPr>
        <w:pStyle w:val="14"/>
        <w:numPr>
          <w:ilvl w:val="0"/>
          <w:numId w:val="6"/>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pPr>
        <w:pStyle w:val="14"/>
        <w:numPr>
          <w:ilvl w:val="0"/>
          <w:numId w:val="6"/>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5370000</w:t>
      </w:r>
      <w:r>
        <w:rPr>
          <w:rFonts w:hint="eastAsia" w:ascii="宋体" w:hAnsi="宋体" w:eastAsia="宋体" w:cs="宋体"/>
          <w:b/>
          <w:bCs/>
          <w:color w:val="auto"/>
          <w:sz w:val="22"/>
          <w:szCs w:val="22"/>
          <w:highlight w:val="none"/>
          <w:u w:val="single"/>
        </w:rPr>
        <w:t>元，超过最高限价的投标报价为无效标。</w:t>
      </w:r>
    </w:p>
    <w:p>
      <w:pPr>
        <w:pStyle w:val="22"/>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pPr>
        <w:pStyle w:val="14"/>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2.3中小企业声明函、监狱企业、残疾人福利性单位及其他相关的充分的证明材料</w:t>
      </w:r>
    </w:p>
    <w:p>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rPr>
          <w:rFonts w:hint="eastAsia" w:ascii="宋体" w:hAnsi="宋体" w:eastAsia="宋体" w:cs="宋体"/>
          <w:b/>
          <w:color w:val="auto"/>
          <w:spacing w:val="6"/>
          <w:highlight w:val="none"/>
        </w:rPr>
      </w:pPr>
    </w:p>
    <w:p>
      <w:pPr>
        <w:shd w:val="clear" w:color="auto" w:fill="auto"/>
        <w:wordWrap w:val="0"/>
        <w:snapToGrid w:val="0"/>
        <w:spacing w:line="360" w:lineRule="auto"/>
        <w:rPr>
          <w:rFonts w:hint="eastAsia" w:ascii="宋体" w:hAnsi="宋体" w:eastAsia="宋体" w:cs="宋体"/>
          <w:b/>
          <w:color w:val="auto"/>
          <w:spacing w:val="6"/>
          <w:highlight w:val="none"/>
        </w:rPr>
      </w:pPr>
    </w:p>
    <w:p>
      <w:pPr>
        <w:shd w:val="clear" w:color="auto" w:fill="auto"/>
        <w:wordWrap w:val="0"/>
        <w:snapToGrid w:val="0"/>
        <w:spacing w:line="360" w:lineRule="auto"/>
        <w:jc w:val="center"/>
        <w:rPr>
          <w:rFonts w:hint="eastAsia" w:ascii="宋体" w:hAnsi="宋体" w:eastAsia="宋体" w:cs="宋体"/>
          <w:b/>
          <w:color w:val="auto"/>
          <w:spacing w:val="6"/>
          <w:highlight w:val="none"/>
        </w:rPr>
      </w:pPr>
    </w:p>
    <w:p>
      <w:pPr>
        <w:shd w:val="clear" w:color="auto" w:fill="auto"/>
        <w:wordWrap w:val="0"/>
        <w:snapToGrid w:val="0"/>
        <w:spacing w:line="360" w:lineRule="auto"/>
        <w:jc w:val="center"/>
        <w:rPr>
          <w:rFonts w:hint="eastAsia" w:ascii="宋体" w:hAnsi="宋体" w:eastAsia="宋体" w:cs="宋体"/>
          <w:b/>
          <w:color w:val="auto"/>
          <w:spacing w:val="6"/>
          <w:highlight w:val="none"/>
        </w:rPr>
      </w:pPr>
    </w:p>
    <w:p>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pPr>
        <w:shd w:val="clear" w:color="auto" w:fill="auto"/>
        <w:wordWrap w:val="0"/>
        <w:snapToGrid w:val="0"/>
        <w:spacing w:line="360" w:lineRule="auto"/>
        <w:ind w:firstLine="420" w:firstLineChars="200"/>
        <w:rPr>
          <w:rFonts w:hint="eastAsia" w:ascii="宋体" w:hAnsi="宋体" w:eastAsia="宋体" w:cs="宋体"/>
          <w:color w:val="auto"/>
          <w:highlight w:val="none"/>
        </w:rPr>
      </w:pP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pPr>
        <w:pStyle w:val="61"/>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pPr>
        <w:pStyle w:val="61"/>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pPr>
        <w:pStyle w:val="61"/>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pPr>
        <w:pStyle w:val="61"/>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pPr>
        <w:pStyle w:val="61"/>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pPr>
        <w:pStyle w:val="61"/>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4"/>
        <w:shd w:val="clear" w:color="auto" w:fill="auto"/>
        <w:wordWrap w:val="0"/>
        <w:spacing w:before="0" w:after="0" w:line="360" w:lineRule="auto"/>
        <w:rPr>
          <w:rFonts w:hint="eastAsia" w:ascii="宋体" w:hAnsi="宋体" w:eastAsia="宋体" w:cs="宋体"/>
          <w:color w:val="auto"/>
          <w:highlight w:val="none"/>
        </w:rPr>
      </w:pPr>
      <w:bookmarkStart w:id="51" w:name="_Toc440162800"/>
      <w:bookmarkStart w:id="52" w:name="_Toc7988468"/>
      <w:bookmarkStart w:id="53" w:name="_Toc11423"/>
      <w:bookmarkStart w:id="54" w:name="_Toc13216"/>
      <w:bookmarkStart w:id="55" w:name="_Toc30408915"/>
      <w:bookmarkStart w:id="56" w:name="_Toc7988414"/>
      <w:bookmarkStart w:id="57" w:name="_Toc424164168"/>
      <w:bookmarkStart w:id="58" w:name="_Toc20870"/>
      <w:bookmarkStart w:id="59" w:name="_Toc8008423"/>
      <w:bookmarkStart w:id="60" w:name="_Toc24550050"/>
      <w:r>
        <w:rPr>
          <w:rFonts w:hint="eastAsia" w:ascii="宋体" w:hAnsi="宋体" w:eastAsia="宋体" w:cs="宋体"/>
          <w:color w:val="auto"/>
          <w:highlight w:val="none"/>
        </w:rPr>
        <w:t>三、“商务技术文件”格式</w:t>
      </w:r>
      <w:bookmarkEnd w:id="51"/>
      <w:bookmarkEnd w:id="52"/>
      <w:bookmarkEnd w:id="53"/>
      <w:bookmarkEnd w:id="54"/>
      <w:bookmarkEnd w:id="55"/>
      <w:bookmarkEnd w:id="56"/>
      <w:bookmarkEnd w:id="57"/>
      <w:bookmarkEnd w:id="58"/>
      <w:bookmarkEnd w:id="59"/>
      <w:bookmarkEnd w:id="60"/>
    </w:p>
    <w:p>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pPr>
        <w:shd w:val="clear" w:color="auto" w:fill="auto"/>
        <w:wordWrap w:val="0"/>
        <w:spacing w:line="360" w:lineRule="auto"/>
        <w:jc w:val="right"/>
        <w:rPr>
          <w:rFonts w:hint="eastAsia" w:ascii="宋体" w:hAnsi="宋体" w:eastAsia="宋体" w:cs="宋体"/>
          <w:b/>
          <w:color w:val="auto"/>
          <w:sz w:val="32"/>
          <w:szCs w:val="22"/>
          <w:highlight w:val="none"/>
        </w:rPr>
      </w:pPr>
    </w:p>
    <w:p>
      <w:pPr>
        <w:shd w:val="clear" w:color="auto" w:fill="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南雁荡山景区及周边环境生态修复工程初步设计采购</w:t>
      </w:r>
    </w:p>
    <w:p>
      <w:pPr>
        <w:shd w:val="clear" w:color="auto" w:fill="auto"/>
        <w:wordWrap w:val="0"/>
        <w:spacing w:line="360" w:lineRule="auto"/>
        <w:jc w:val="center"/>
        <w:rPr>
          <w:rFonts w:hint="eastAsia" w:ascii="宋体" w:hAnsi="宋体" w:eastAsia="宋体" w:cs="宋体"/>
          <w:b/>
          <w:color w:val="auto"/>
          <w:sz w:val="52"/>
          <w:szCs w:val="22"/>
          <w:highlight w:val="none"/>
        </w:rPr>
      </w:pPr>
    </w:p>
    <w:p>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PYCG240927077</w:t>
            </w:r>
            <w:r>
              <w:rPr>
                <w:rFonts w:hint="eastAsia" w:ascii="宋体" w:hAnsi="宋体" w:eastAsia="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pPr>
        <w:shd w:val="clear" w:color="auto" w:fill="auto"/>
        <w:wordWrap w:val="0"/>
        <w:spacing w:line="360" w:lineRule="auto"/>
        <w:rPr>
          <w:rFonts w:hint="eastAsia" w:ascii="宋体" w:hAnsi="宋体" w:eastAsia="宋体" w:cs="宋体"/>
          <w:color w:val="auto"/>
          <w:highlight w:val="none"/>
        </w:rPr>
      </w:pPr>
    </w:p>
    <w:p>
      <w:pPr>
        <w:pStyle w:val="5"/>
        <w:shd w:val="clear" w:color="auto" w:fill="auto"/>
        <w:wordWrap w:val="0"/>
        <w:spacing w:before="0" w:after="0" w:line="360" w:lineRule="auto"/>
        <w:rPr>
          <w:rFonts w:hint="eastAsia" w:ascii="宋体" w:hAnsi="宋体" w:eastAsia="宋体" w:cs="宋体"/>
          <w:color w:val="auto"/>
          <w:highlight w:val="none"/>
        </w:rPr>
      </w:pPr>
    </w:p>
    <w:p>
      <w:pPr>
        <w:pStyle w:val="5"/>
        <w:shd w:val="clear" w:color="auto" w:fill="auto"/>
        <w:wordWrap w:val="0"/>
        <w:spacing w:before="0" w:after="0" w:line="360" w:lineRule="auto"/>
        <w:rPr>
          <w:rFonts w:hint="eastAsia" w:ascii="宋体" w:hAnsi="宋体" w:eastAsia="宋体" w:cs="宋体"/>
          <w:color w:val="auto"/>
          <w:highlight w:val="none"/>
        </w:rPr>
      </w:pPr>
    </w:p>
    <w:p>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pPr>
        <w:shd w:val="clear" w:color="auto" w:fill="auto"/>
        <w:wordWrap w:val="0"/>
        <w:spacing w:line="360" w:lineRule="auto"/>
        <w:rPr>
          <w:rFonts w:hint="eastAsia" w:ascii="宋体" w:hAnsi="宋体" w:eastAsia="宋体" w:cs="宋体"/>
          <w:color w:val="auto"/>
          <w:highlight w:val="none"/>
        </w:rPr>
      </w:pPr>
    </w:p>
    <w:p>
      <w:pPr>
        <w:shd w:val="clear" w:color="auto" w:fill="auto"/>
        <w:wordWrap w:val="0"/>
        <w:spacing w:line="360" w:lineRule="auto"/>
        <w:rPr>
          <w:rFonts w:hint="eastAsia" w:ascii="宋体" w:hAnsi="宋体" w:eastAsia="宋体" w:cs="宋体"/>
          <w:color w:val="auto"/>
          <w:sz w:val="32"/>
          <w:highlight w:val="none"/>
        </w:rPr>
      </w:pPr>
    </w:p>
    <w:p>
      <w:pPr>
        <w:shd w:val="clear" w:color="auto" w:fill="auto"/>
        <w:wordWrap w:val="0"/>
        <w:spacing w:line="360" w:lineRule="auto"/>
        <w:rPr>
          <w:rFonts w:hint="eastAsia" w:ascii="宋体" w:hAnsi="宋体" w:eastAsia="宋体" w:cs="宋体"/>
          <w:color w:val="auto"/>
          <w:sz w:val="32"/>
          <w:highlight w:val="none"/>
        </w:rPr>
      </w:pPr>
    </w:p>
    <w:p>
      <w:pPr>
        <w:pStyle w:val="2"/>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pStyle w:val="2"/>
        <w:rPr>
          <w:rFonts w:hint="eastAsia" w:ascii="宋体" w:hAnsi="宋体" w:eastAsia="宋体" w:cs="宋体"/>
          <w:color w:val="auto"/>
          <w:sz w:val="32"/>
          <w:highlight w:val="none"/>
        </w:rPr>
      </w:pPr>
    </w:p>
    <w:p>
      <w:pPr>
        <w:rPr>
          <w:rFonts w:hint="eastAsia"/>
          <w:color w:val="auto"/>
          <w:highlight w:val="none"/>
        </w:rPr>
      </w:pPr>
    </w:p>
    <w:p>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pPr>
        <w:shd w:val="clear" w:color="auto" w:fill="auto"/>
        <w:wordWrap w:val="0"/>
        <w:spacing w:line="360" w:lineRule="auto"/>
        <w:rPr>
          <w:rFonts w:hint="eastAsia" w:ascii="宋体" w:hAnsi="宋体" w:eastAsia="宋体" w:cs="宋体"/>
          <w:color w:val="auto"/>
          <w:sz w:val="36"/>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lang w:eastAsia="zh-CN"/>
        </w:rPr>
        <w:t>平阳县兴阳控股集团有限公司</w:t>
      </w:r>
      <w:r>
        <w:rPr>
          <w:rFonts w:hint="eastAsia" w:hAnsi="宋体" w:eastAsia="宋体" w:cs="宋体"/>
          <w:color w:val="auto"/>
          <w:sz w:val="22"/>
          <w:szCs w:val="22"/>
          <w:highlight w:val="none"/>
          <w:u w:val="single"/>
          <w:lang w:eastAsia="zh-CN"/>
        </w:rPr>
        <w:t>：</w:t>
      </w:r>
    </w:p>
    <w:p>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pPr>
        <w:pStyle w:val="14"/>
        <w:shd w:val="clear" w:color="auto" w:fill="auto"/>
        <w:wordWrap w:val="0"/>
        <w:spacing w:line="360" w:lineRule="auto"/>
        <w:rPr>
          <w:rFonts w:hint="eastAsia" w:ascii="宋体" w:hAnsi="宋体" w:eastAsia="宋体" w:cs="宋体"/>
          <w:b/>
          <w:color w:val="auto"/>
          <w:sz w:val="32"/>
          <w:szCs w:val="32"/>
          <w:highlight w:val="none"/>
        </w:rPr>
      </w:pPr>
    </w:p>
    <w:p>
      <w:pPr>
        <w:pStyle w:val="14"/>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61" w:name="_Toc3313"/>
      <w:bookmarkStart w:id="62" w:name="_Toc16564"/>
      <w:bookmarkStart w:id="63"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61"/>
      <w:bookmarkEnd w:id="62"/>
      <w:bookmarkEnd w:id="63"/>
    </w:p>
    <w:p>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64" w:name="_Toc9797"/>
      <w:bookmarkStart w:id="65" w:name="_Toc28012"/>
      <w:bookmarkStart w:id="66" w:name="_Toc31506"/>
      <w:r>
        <w:rPr>
          <w:rFonts w:hint="eastAsia" w:ascii="宋体" w:hAnsi="宋体" w:eastAsia="宋体" w:cs="宋体"/>
          <w:b/>
          <w:color w:val="auto"/>
          <w:sz w:val="36"/>
          <w:highlight w:val="none"/>
        </w:rPr>
        <w:t>投标供应商情况声明</w:t>
      </w:r>
      <w:bookmarkEnd w:id="64"/>
      <w:bookmarkEnd w:id="65"/>
      <w:bookmarkEnd w:id="66"/>
    </w:p>
    <w:p>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67" w:name="_Toc16036"/>
      <w:bookmarkStart w:id="68" w:name="_Toc10096"/>
      <w:bookmarkStart w:id="69" w:name="_Toc17869"/>
      <w:r>
        <w:rPr>
          <w:rFonts w:hint="eastAsia" w:ascii="宋体" w:hAnsi="宋体" w:eastAsia="宋体" w:cs="宋体"/>
          <w:color w:val="auto"/>
          <w:sz w:val="22"/>
          <w:szCs w:val="22"/>
          <w:highlight w:val="none"/>
        </w:rPr>
        <w:t>1. 名称及概况</w:t>
      </w:r>
      <w:bookmarkEnd w:id="67"/>
      <w:bookmarkEnd w:id="68"/>
      <w:bookmarkEnd w:id="69"/>
      <w:r>
        <w:rPr>
          <w:rFonts w:hint="eastAsia" w:ascii="宋体" w:hAnsi="宋体" w:eastAsia="宋体" w:cs="宋体"/>
          <w:color w:val="auto"/>
          <w:sz w:val="22"/>
          <w:szCs w:val="22"/>
          <w:highlight w:val="none"/>
          <w:lang w:eastAsia="zh-CN"/>
        </w:rPr>
        <w:t>：</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70" w:name="_Toc30295"/>
      <w:bookmarkStart w:id="71" w:name="_Toc3048"/>
      <w:bookmarkStart w:id="72" w:name="_Toc5309"/>
      <w:r>
        <w:rPr>
          <w:rFonts w:hint="eastAsia" w:ascii="宋体" w:hAnsi="宋体" w:eastAsia="宋体" w:cs="宋体"/>
          <w:color w:val="auto"/>
          <w:sz w:val="22"/>
          <w:szCs w:val="22"/>
          <w:highlight w:val="none"/>
        </w:rPr>
        <w:t>3. 企业人员情况</w:t>
      </w:r>
      <w:bookmarkEnd w:id="70"/>
      <w:bookmarkEnd w:id="71"/>
      <w:bookmarkEnd w:id="72"/>
      <w:r>
        <w:rPr>
          <w:rFonts w:hint="eastAsia" w:ascii="宋体" w:hAnsi="宋体" w:eastAsia="宋体" w:cs="宋体"/>
          <w:color w:val="auto"/>
          <w:sz w:val="22"/>
          <w:szCs w:val="22"/>
          <w:highlight w:val="none"/>
          <w:lang w:eastAsia="zh-CN"/>
        </w:rPr>
        <w:t>：</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73" w:name="_Toc1185"/>
      <w:bookmarkStart w:id="74" w:name="_Toc22181"/>
      <w:bookmarkStart w:id="75" w:name="_Toc22922"/>
      <w:r>
        <w:rPr>
          <w:rFonts w:hint="eastAsia" w:ascii="宋体" w:hAnsi="宋体" w:eastAsia="宋体" w:cs="宋体"/>
          <w:color w:val="auto"/>
          <w:sz w:val="22"/>
          <w:szCs w:val="22"/>
          <w:highlight w:val="none"/>
        </w:rPr>
        <w:t>4. 近三年的年营业总额</w:t>
      </w:r>
      <w:bookmarkEnd w:id="73"/>
      <w:bookmarkEnd w:id="74"/>
      <w:bookmarkEnd w:id="75"/>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pPr>
        <w:shd w:val="clear" w:color="auto" w:fill="auto"/>
        <w:wordWrap w:val="0"/>
        <w:spacing w:line="360" w:lineRule="auto"/>
        <w:rPr>
          <w:rFonts w:hint="eastAsia" w:ascii="宋体" w:hAnsi="宋体" w:eastAsia="宋体" w:cs="宋体"/>
          <w:color w:val="auto"/>
          <w:sz w:val="22"/>
          <w:szCs w:val="22"/>
          <w:highlight w:val="none"/>
        </w:rPr>
      </w:pP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pPr>
        <w:pStyle w:val="14"/>
        <w:shd w:val="clear" w:color="auto" w:fill="auto"/>
        <w:wordWrap w:val="0"/>
        <w:spacing w:line="360" w:lineRule="auto"/>
        <w:rPr>
          <w:rFonts w:hint="eastAsia" w:ascii="宋体" w:hAnsi="宋体" w:eastAsia="宋体" w:cs="宋体"/>
          <w:b/>
          <w:color w:val="auto"/>
          <w:sz w:val="22"/>
          <w:szCs w:val="22"/>
          <w:highlight w:val="none"/>
        </w:rPr>
      </w:pPr>
    </w:p>
    <w:p>
      <w:pPr>
        <w:pStyle w:val="14"/>
        <w:shd w:val="clear" w:color="auto" w:fill="auto"/>
        <w:wordWrap w:val="0"/>
        <w:spacing w:line="360" w:lineRule="auto"/>
        <w:rPr>
          <w:rFonts w:hint="eastAsia" w:ascii="宋体" w:hAnsi="宋体" w:eastAsia="宋体" w:cs="宋体"/>
          <w:b/>
          <w:color w:val="auto"/>
          <w:sz w:val="32"/>
          <w:szCs w:val="32"/>
          <w:highlight w:val="none"/>
        </w:rPr>
      </w:pPr>
    </w:p>
    <w:p>
      <w:pPr>
        <w:pStyle w:val="14"/>
        <w:shd w:val="clear" w:color="auto" w:fill="auto"/>
        <w:wordWrap w:val="0"/>
        <w:spacing w:line="360" w:lineRule="auto"/>
        <w:rPr>
          <w:rFonts w:hint="eastAsia" w:ascii="宋体" w:hAnsi="宋体" w:eastAsia="宋体" w:cs="宋体"/>
          <w:b/>
          <w:color w:val="auto"/>
          <w:sz w:val="32"/>
          <w:szCs w:val="32"/>
          <w:highlight w:val="none"/>
        </w:rPr>
      </w:pPr>
    </w:p>
    <w:p>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76" w:name="_Toc7270"/>
      <w:bookmarkStart w:id="77" w:name="_Toc15806"/>
      <w:bookmarkStart w:id="78"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76"/>
      <w:bookmarkEnd w:id="77"/>
      <w:bookmarkEnd w:id="78"/>
    </w:p>
    <w:p>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79" w:name="_Toc14824"/>
      <w:bookmarkStart w:id="80" w:name="_Toc21941"/>
      <w:bookmarkStart w:id="81" w:name="_Toc18670"/>
      <w:r>
        <w:rPr>
          <w:rFonts w:hint="eastAsia" w:ascii="宋体" w:hAnsi="宋体" w:eastAsia="宋体" w:cs="宋体"/>
          <w:b/>
          <w:color w:val="auto"/>
          <w:sz w:val="36"/>
          <w:highlight w:val="none"/>
          <w:lang w:val="zh-CN"/>
        </w:rPr>
        <w:t>商 务 偏 离 表</w:t>
      </w:r>
      <w:bookmarkEnd w:id="79"/>
      <w:bookmarkEnd w:id="80"/>
      <w:bookmarkEnd w:id="81"/>
    </w:p>
    <w:p>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82" w:name="_Toc18312"/>
      <w:bookmarkStart w:id="83" w:name="_Toc31864"/>
      <w:bookmarkStart w:id="84" w:name="_Toc27863"/>
      <w:r>
        <w:rPr>
          <w:rFonts w:hint="eastAsia" w:ascii="宋体" w:hAnsi="宋体" w:eastAsia="宋体" w:cs="宋体"/>
          <w:b/>
          <w:color w:val="auto"/>
          <w:sz w:val="36"/>
          <w:highlight w:val="none"/>
          <w:lang w:val="zh-CN"/>
        </w:rPr>
        <w:t>技术偏离表</w:t>
      </w:r>
      <w:bookmarkEnd w:id="82"/>
      <w:bookmarkEnd w:id="83"/>
      <w:bookmarkEnd w:id="84"/>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pPr>
        <w:shd w:val="clear" w:color="auto" w:fill="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pPr>
        <w:pStyle w:val="25"/>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85" w:name="_Toc18995"/>
      <w:bookmarkStart w:id="86" w:name="_Toc28398"/>
      <w:bookmarkStart w:id="87" w:name="_Toc24758"/>
      <w:r>
        <w:rPr>
          <w:rFonts w:hint="eastAsia" w:ascii="宋体" w:hAnsi="宋体" w:eastAsia="宋体" w:cs="宋体"/>
          <w:b w:val="0"/>
          <w:color w:val="auto"/>
          <w:sz w:val="36"/>
          <w:szCs w:val="36"/>
          <w:highlight w:val="none"/>
        </w:rPr>
        <w:t>针对本项目拟派人员名单</w:t>
      </w:r>
      <w:bookmarkEnd w:id="85"/>
      <w:bookmarkEnd w:id="86"/>
      <w:bookmarkEnd w:id="87"/>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pPr>
              <w:pStyle w:val="15"/>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pPr>
        <w:shd w:val="clear" w:color="auto" w:fill="auto"/>
        <w:wordWrap w:val="0"/>
        <w:spacing w:line="360" w:lineRule="auto"/>
        <w:rPr>
          <w:rFonts w:hint="eastAsia" w:ascii="宋体" w:hAnsi="宋体" w:eastAsia="宋体" w:cs="宋体"/>
          <w:color w:val="auto"/>
          <w:sz w:val="36"/>
          <w:szCs w:val="36"/>
          <w:highlight w:val="none"/>
        </w:rPr>
      </w:pPr>
    </w:p>
    <w:p>
      <w:pPr>
        <w:shd w:val="clear" w:color="auto" w:fill="auto"/>
        <w:wordWrap w:val="0"/>
        <w:spacing w:line="360" w:lineRule="auto"/>
        <w:rPr>
          <w:rFonts w:hint="eastAsia" w:ascii="宋体" w:hAnsi="宋体" w:eastAsia="宋体" w:cs="宋体"/>
          <w:color w:val="auto"/>
          <w:sz w:val="36"/>
          <w:szCs w:val="36"/>
          <w:highlight w:val="none"/>
        </w:rPr>
      </w:pPr>
    </w:p>
    <w:p>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pPr>
        <w:pStyle w:val="6"/>
        <w:shd w:val="clear" w:color="auto" w:fill="auto"/>
        <w:wordWrap w:val="0"/>
        <w:spacing w:before="0" w:after="0" w:line="360" w:lineRule="auto"/>
        <w:rPr>
          <w:rFonts w:hint="eastAsia" w:ascii="宋体" w:hAnsi="宋体" w:eastAsia="宋体" w:cs="宋体"/>
          <w:color w:val="auto"/>
          <w:highlight w:val="none"/>
        </w:rPr>
      </w:pPr>
    </w:p>
    <w:p>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88" w:name="_Toc3954"/>
      <w:bookmarkStart w:id="89" w:name="_Toc15594"/>
      <w:bookmarkStart w:id="90" w:name="_Toc5823"/>
      <w:r>
        <w:rPr>
          <w:rFonts w:hint="eastAsia" w:ascii="宋体" w:hAnsi="宋体" w:eastAsia="宋体" w:cs="宋体"/>
          <w:b/>
          <w:color w:val="auto"/>
          <w:sz w:val="40"/>
          <w:highlight w:val="none"/>
        </w:rPr>
        <w:t>供应商认为有必要提供的其他材料或说明</w:t>
      </w:r>
      <w:bookmarkEnd w:id="88"/>
      <w:bookmarkEnd w:id="89"/>
      <w:bookmarkEnd w:id="90"/>
    </w:p>
    <w:p>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南雁荡山景区及周边环境生态修复工程初步设计采购</w:t>
      </w:r>
    </w:p>
    <w:p>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PYCG240927077</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pPr>
        <w:pStyle w:val="10"/>
        <w:shd w:val="clear" w:color="auto" w:fill="auto"/>
        <w:wordWrap w:val="0"/>
        <w:spacing w:after="0" w:line="360" w:lineRule="auto"/>
        <w:ind w:firstLine="361"/>
        <w:rPr>
          <w:rFonts w:hint="eastAsia" w:ascii="宋体" w:hAnsi="宋体" w:eastAsia="宋体" w:cs="宋体"/>
          <w:b/>
          <w:color w:val="auto"/>
          <w:sz w:val="36"/>
          <w:szCs w:val="36"/>
          <w:highlight w:val="none"/>
        </w:rPr>
      </w:pPr>
    </w:p>
    <w:p>
      <w:pPr>
        <w:pStyle w:val="11"/>
        <w:shd w:val="clear" w:color="auto" w:fill="auto"/>
        <w:wordWrap w:val="0"/>
        <w:spacing w:line="360" w:lineRule="auto"/>
        <w:rPr>
          <w:rFonts w:hint="eastAsia" w:ascii="宋体" w:hAnsi="宋体" w:eastAsia="宋体" w:cs="宋体"/>
          <w:color w:val="auto"/>
          <w:highlight w:val="none"/>
        </w:rPr>
      </w:pPr>
    </w:p>
    <w:p>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pPr>
        <w:shd w:val="clear" w:color="auto" w:fill="auto"/>
        <w:wordWrap w:val="0"/>
        <w:spacing w:line="360" w:lineRule="auto"/>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pPr>
        <w:shd w:val="clear" w:color="auto" w:fill="auto"/>
        <w:wordWrap w:val="0"/>
        <w:spacing w:line="360" w:lineRule="auto"/>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91" w:name="_Toc19137"/>
      <w:r>
        <w:rPr>
          <w:rFonts w:hint="eastAsia" w:ascii="宋体" w:hAnsi="宋体" w:eastAsia="宋体" w:cs="宋体"/>
          <w:b/>
          <w:bCs/>
          <w:color w:val="auto"/>
          <w:sz w:val="36"/>
          <w:highlight w:val="none"/>
        </w:rPr>
        <w:t>第七部分 评标办法</w:t>
      </w:r>
      <w:bookmarkEnd w:id="91"/>
    </w:p>
    <w:p>
      <w:pPr>
        <w:pStyle w:val="16"/>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pPr>
        <w:pStyle w:val="16"/>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2" w:name="_Toc22055"/>
      <w:bookmarkStart w:id="93" w:name="_Toc17848"/>
      <w:bookmarkStart w:id="94" w:name="_Toc3069"/>
      <w:r>
        <w:rPr>
          <w:rFonts w:hint="eastAsia" w:ascii="宋体" w:hAnsi="宋体" w:eastAsia="宋体" w:cs="宋体"/>
          <w:color w:val="auto"/>
          <w:sz w:val="22"/>
          <w:szCs w:val="22"/>
          <w:highlight w:val="none"/>
        </w:rPr>
        <w:t>一、总则</w:t>
      </w:r>
      <w:bookmarkEnd w:id="92"/>
      <w:bookmarkEnd w:id="93"/>
      <w:bookmarkEnd w:id="94"/>
    </w:p>
    <w:p>
      <w:pPr>
        <w:pStyle w:val="16"/>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16"/>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5" w:name="_Toc24880"/>
      <w:bookmarkStart w:id="96" w:name="_Toc29171"/>
      <w:bookmarkStart w:id="97" w:name="_Toc11447"/>
      <w:r>
        <w:rPr>
          <w:rFonts w:hint="eastAsia" w:ascii="宋体" w:hAnsi="宋体" w:eastAsia="宋体" w:cs="宋体"/>
          <w:color w:val="auto"/>
          <w:sz w:val="22"/>
          <w:szCs w:val="22"/>
          <w:highlight w:val="none"/>
        </w:rPr>
        <w:t>二．评标组织</w:t>
      </w:r>
      <w:bookmarkEnd w:id="95"/>
      <w:bookmarkEnd w:id="96"/>
      <w:bookmarkEnd w:id="97"/>
    </w:p>
    <w:p>
      <w:pPr>
        <w:pStyle w:val="16"/>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pPr>
        <w:pStyle w:val="53"/>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98" w:name="_Toc5207"/>
      <w:bookmarkStart w:id="99" w:name="_Toc5227"/>
      <w:bookmarkStart w:id="100" w:name="_Toc16062"/>
      <w:r>
        <w:rPr>
          <w:rFonts w:hint="eastAsia" w:ascii="宋体" w:hAnsi="宋体" w:eastAsia="宋体" w:cs="宋体"/>
          <w:b w:val="0"/>
          <w:color w:val="auto"/>
          <w:kern w:val="2"/>
          <w:sz w:val="22"/>
          <w:szCs w:val="22"/>
          <w:highlight w:val="none"/>
        </w:rPr>
        <w:t>三、评标程序</w:t>
      </w:r>
      <w:bookmarkEnd w:id="98"/>
      <w:bookmarkEnd w:id="99"/>
      <w:bookmarkEnd w:id="100"/>
    </w:p>
    <w:p>
      <w:pPr>
        <w:pStyle w:val="2"/>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pPr>
        <w:pStyle w:val="21"/>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pPr>
        <w:pStyle w:val="21"/>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01" w:name="_Toc23951"/>
      <w:bookmarkStart w:id="102" w:name="_Toc10562"/>
      <w:bookmarkStart w:id="103" w:name="_Toc22630"/>
      <w:r>
        <w:rPr>
          <w:rFonts w:hint="eastAsia" w:ascii="宋体" w:hAnsi="宋体" w:eastAsia="宋体" w:cs="宋体"/>
          <w:b/>
          <w:color w:val="auto"/>
          <w:sz w:val="36"/>
          <w:szCs w:val="36"/>
          <w:highlight w:val="none"/>
        </w:rPr>
        <w:t>评标细则</w:t>
      </w:r>
      <w:bookmarkEnd w:id="101"/>
      <w:bookmarkEnd w:id="102"/>
      <w:bookmarkEnd w:id="103"/>
    </w:p>
    <w:p>
      <w:pPr>
        <w:pStyle w:val="14"/>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04" w:name="_Toc9058"/>
      <w:bookmarkStart w:id="105" w:name="_Toc16331"/>
      <w:bookmarkStart w:id="106"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eastAsia="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04"/>
      <w:bookmarkEnd w:id="105"/>
      <w:bookmarkEnd w:id="106"/>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%×100；</w:t>
      </w:r>
    </w:p>
    <w:p>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pPr>
        <w:pStyle w:val="14"/>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07" w:name="_Toc11731"/>
      <w:bookmarkStart w:id="108" w:name="_Toc23612"/>
      <w:bookmarkStart w:id="109"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eastAsia="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07"/>
      <w:bookmarkEnd w:id="108"/>
      <w:bookmarkEnd w:id="109"/>
    </w:p>
    <w:tbl>
      <w:tblPr>
        <w:tblStyle w:val="2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1"/>
        <w:gridCol w:w="5505"/>
        <w:gridCol w:w="9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1"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5505"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141" w:type="dxa"/>
            <w:tcBorders>
              <w:top w:val="single" w:color="auto" w:sz="4" w:space="0"/>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供应商认证</w:t>
            </w:r>
          </w:p>
        </w:tc>
        <w:tc>
          <w:tcPr>
            <w:tcW w:w="5505" w:type="dxa"/>
            <w:tcBorders>
              <w:top w:val="single" w:color="auto" w:sz="4" w:space="0"/>
              <w:left w:val="single" w:color="auto" w:sz="4" w:space="0"/>
              <w:right w:val="single" w:color="auto" w:sz="4" w:space="0"/>
            </w:tcBorders>
            <w:noWrap w:val="0"/>
            <w:vAlign w:val="center"/>
          </w:tcPr>
          <w:p>
            <w:pPr>
              <w:pStyle w:val="3"/>
              <w:keepLines w:val="0"/>
              <w:suppressLineNumbers w:val="0"/>
              <w:spacing w:before="0" w:beforeAutospacing="0" w:after="0" w:afterAutospacing="0" w:line="240" w:lineRule="auto"/>
              <w:ind w:left="0" w:right="0"/>
              <w:rPr>
                <w:rFonts w:hint="eastAsia" w:ascii="宋体" w:hAnsi="宋体" w:eastAsia="宋体" w:cs="宋体"/>
                <w:b w:val="0"/>
                <w:bCs/>
                <w:color w:val="auto"/>
                <w:sz w:val="21"/>
                <w:szCs w:val="21"/>
                <w:highlight w:val="none"/>
              </w:rPr>
            </w:pPr>
            <w:bookmarkStart w:id="110" w:name="_Toc15433"/>
            <w:bookmarkStart w:id="111" w:name="_Toc8267"/>
            <w:r>
              <w:rPr>
                <w:rFonts w:hint="eastAsia" w:ascii="宋体" w:hAnsi="宋体" w:eastAsia="宋体" w:cs="宋体"/>
                <w:b w:val="0"/>
                <w:bCs/>
                <w:color w:val="auto"/>
                <w:sz w:val="21"/>
                <w:szCs w:val="21"/>
                <w:highlight w:val="none"/>
              </w:rPr>
              <w:t>供应商同时具有ISO环境管理证书、ISO职业健康证书、ISO质量管理证书，本项最高得1分。</w:t>
            </w:r>
            <w:bookmarkEnd w:id="110"/>
            <w:bookmarkEnd w:id="111"/>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注：提供资质或证书复印件加盖投标人单位公章，证书要求均在有效期内，</w:t>
            </w:r>
            <w:r>
              <w:rPr>
                <w:rFonts w:hint="eastAsia" w:ascii="宋体" w:hAnsi="宋体" w:eastAsia="宋体" w:cs="宋体"/>
                <w:b/>
                <w:bCs/>
                <w:color w:val="auto"/>
                <w:sz w:val="21"/>
                <w:szCs w:val="21"/>
                <w:highlight w:val="none"/>
                <w:lang w:val="en-US" w:eastAsia="zh-CN"/>
              </w:rPr>
              <w:t>并提供国家认证认可监督管理委员会</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https://www.cnca.gov.cn查询结果截图，</w:t>
            </w:r>
            <w:r>
              <w:rPr>
                <w:rFonts w:hint="eastAsia" w:ascii="宋体" w:hAnsi="宋体" w:eastAsia="宋体" w:cs="宋体"/>
                <w:b/>
                <w:bCs/>
                <w:color w:val="auto"/>
                <w:sz w:val="21"/>
                <w:szCs w:val="21"/>
                <w:highlight w:val="none"/>
              </w:rPr>
              <w:t>未提供或缺少任意一项证书不得分。</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eastAsia="宋体" w:cs="宋体"/>
                <w:color w:val="auto"/>
                <w:sz w:val="21"/>
                <w:szCs w:val="21"/>
                <w:highlight w:val="none"/>
                <w:lang w:val="en-US" w:eastAsia="zh-CN" w:bidi="ar"/>
              </w:rPr>
              <w:t>2</w:t>
            </w:r>
          </w:p>
        </w:tc>
        <w:tc>
          <w:tcPr>
            <w:tcW w:w="1141" w:type="dxa"/>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服务技术团队</w:t>
            </w:r>
          </w:p>
        </w:tc>
        <w:tc>
          <w:tcPr>
            <w:tcW w:w="5505" w:type="dxa"/>
            <w:tcBorders>
              <w:top w:val="single" w:color="auto" w:sz="4" w:space="0"/>
              <w:left w:val="single" w:color="auto" w:sz="4" w:space="0"/>
              <w:right w:val="single" w:color="auto" w:sz="4" w:space="0"/>
            </w:tcBorders>
            <w:noWrap w:val="0"/>
            <w:vAlign w:val="center"/>
          </w:tcPr>
          <w:p>
            <w:pPr>
              <w:keepNext w:val="0"/>
              <w:keepLines w:val="0"/>
              <w:numPr>
                <w:ilvl w:val="0"/>
                <w:numId w:val="7"/>
              </w:numPr>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eastAsia="zh-CN"/>
              </w:rPr>
              <w:t>）</w:t>
            </w:r>
          </w:p>
          <w:p>
            <w:pPr>
              <w:keepNext w:val="0"/>
              <w:keepLines w:val="0"/>
              <w:numPr>
                <w:ilvl w:val="0"/>
                <w:numId w:val="0"/>
              </w:numPr>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具备风景园林或景观或园林或绿化专业正高级工程师职称的得3分，本项最高得3分。</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2、供应商拟投入本项目的人员（项目负责人除外）：</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①道路专业负责人：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具有高级工程师职称的得1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分，正高级工程师职称的得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②桥梁专业负责人：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具有高级工程师职称的得1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分，正高级工程师职称的得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③给排水专业负责人：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具有高级工程师职称的得1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分，正高级工程师职称的得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④造价专业负责人：</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具有高级工程师职称的得1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分，正高级工程师职称的得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注：拟投入人员应为供应商的正式员工，提供人员近六个月任意一月份社保证明并加盖投标人公章，未提供不得分,并且同一人只能担任一个专业负责人。</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restart"/>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eastAsia="宋体" w:cs="宋体"/>
                <w:color w:val="auto"/>
                <w:sz w:val="21"/>
                <w:szCs w:val="21"/>
                <w:highlight w:val="none"/>
                <w:lang w:val="en-US" w:eastAsia="zh-CN" w:bidi="ar"/>
              </w:rPr>
              <w:t>3</w:t>
            </w:r>
          </w:p>
        </w:tc>
        <w:tc>
          <w:tcPr>
            <w:tcW w:w="1141" w:type="dxa"/>
            <w:vMerge w:val="restart"/>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方案编制</w:t>
            </w: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总体空间布局：</w:t>
            </w:r>
            <w:r>
              <w:rPr>
                <w:rFonts w:hint="eastAsia" w:ascii="宋体" w:hAnsi="宋体" w:eastAsia="宋体" w:cs="宋体"/>
                <w:color w:val="auto"/>
                <w:sz w:val="21"/>
                <w:szCs w:val="21"/>
                <w:highlight w:val="none"/>
              </w:rPr>
              <w:t>提供4分钟以上三维动画演示，展现总体设计效果（包括①范围内沿江</w:t>
            </w:r>
            <w:r>
              <w:rPr>
                <w:rFonts w:hint="eastAsia" w:ascii="宋体" w:hAnsi="宋体" w:cs="宋体"/>
                <w:color w:val="auto"/>
                <w:sz w:val="21"/>
                <w:szCs w:val="21"/>
                <w:highlight w:val="none"/>
                <w:lang w:val="en-US" w:eastAsia="zh-CN"/>
              </w:rPr>
              <w:t>重要公园</w:t>
            </w:r>
            <w:r>
              <w:rPr>
                <w:rFonts w:hint="eastAsia" w:ascii="宋体" w:hAnsi="宋体" w:eastAsia="宋体" w:cs="宋体"/>
                <w:color w:val="auto"/>
                <w:sz w:val="21"/>
                <w:szCs w:val="21"/>
                <w:highlight w:val="none"/>
              </w:rPr>
              <w:t>整体生态环境 ②范围内道路沿线绿化及村落提升，</w:t>
            </w:r>
            <w:r>
              <w:rPr>
                <w:rFonts w:hint="eastAsia" w:ascii="宋体" w:hAnsi="宋体" w:eastAsia="宋体" w:cs="宋体"/>
                <w:color w:val="auto"/>
                <w:sz w:val="21"/>
                <w:szCs w:val="21"/>
                <w:highlight w:val="none"/>
                <w:lang w:val="en-US" w:eastAsia="zh-CN"/>
              </w:rPr>
              <w:t>由专家进行评分。打分范围：</w:t>
            </w:r>
            <w:r>
              <w:rPr>
                <w:rFonts w:hint="eastAsia" w:ascii="宋体" w:hAnsi="宋体" w:cs="宋体"/>
                <w:color w:val="auto"/>
                <w:sz w:val="21"/>
                <w:szCs w:val="21"/>
                <w:highlight w:val="none"/>
                <w:lang w:val="en-US" w:eastAsia="zh-CN"/>
              </w:rPr>
              <w:t>10、7、5、0</w:t>
            </w:r>
          </w:p>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项目主旨等的科学、合理、创意新颖，美观性，是否符合南雁当地的文化特色、以及整体设计布局与项目特点结合程度与现有村庄，公园、江景等资源的协调性，符合生态环境提升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没有提供三维动画方案或提供二维动画的此项不得分。</w:t>
            </w:r>
            <w:r>
              <w:rPr>
                <w:rFonts w:hint="eastAsia" w:ascii="宋体" w:hAnsi="宋体" w:eastAsia="宋体" w:cs="宋体"/>
                <w:b/>
                <w:bCs/>
                <w:color w:val="auto"/>
                <w:sz w:val="21"/>
                <w:szCs w:val="21"/>
                <w:highlight w:val="none"/>
                <w:lang w:val="en-US" w:eastAsia="zh-CN"/>
              </w:rPr>
              <w:t>演示材料递交方式详见投标通知（邀请）书。</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rPr>
              <w:t>现状调查与分析：</w:t>
            </w:r>
            <w:r>
              <w:rPr>
                <w:rFonts w:hint="eastAsia" w:ascii="宋体" w:hAnsi="宋体" w:eastAsia="宋体" w:cs="宋体"/>
                <w:color w:val="auto"/>
                <w:sz w:val="21"/>
                <w:szCs w:val="21"/>
                <w:highlight w:val="none"/>
              </w:rPr>
              <w:t>根据设计前期调查资料收集整理情况，包括对项目现状进行深度调研，结合对项目设计的理解及定位提出具体存在的问题和解决办法。</w:t>
            </w:r>
            <w:r>
              <w:rPr>
                <w:rFonts w:hint="eastAsia" w:ascii="宋体" w:hAnsi="宋体" w:eastAsia="宋体" w:cs="宋体"/>
                <w:color w:val="auto"/>
                <w:sz w:val="21"/>
                <w:szCs w:val="21"/>
                <w:highlight w:val="none"/>
                <w:lang w:val="en-US" w:eastAsia="zh-CN"/>
              </w:rPr>
              <w:t>由专家进行评分。打分范围：</w:t>
            </w:r>
            <w:r>
              <w:rPr>
                <w:rFonts w:hint="eastAsia" w:ascii="宋体" w:hAnsi="宋体" w:cs="宋体"/>
                <w:color w:val="auto"/>
                <w:sz w:val="21"/>
                <w:szCs w:val="21"/>
                <w:highlight w:val="none"/>
                <w:lang w:val="en-US" w:eastAsia="zh-CN"/>
              </w:rPr>
              <w:t>10、7、5、0</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前期调查资料收集详实全面，对项目背景、各基础条件理解透彻、分析到位。对周边环境认识全面、详尽，对现状农田、水利、道路、桥梁、沿线建筑物等分析到位。对当地城镇发展、旅游提升的理解和思路清晰，提出现存问题和切实有效的建议。</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rPr>
              <w:t>景区内沿线河岸环境改造：</w:t>
            </w:r>
            <w:r>
              <w:rPr>
                <w:rFonts w:hint="eastAsia" w:ascii="宋体" w:hAnsi="宋体" w:eastAsia="宋体" w:cs="宋体"/>
                <w:color w:val="auto"/>
                <w:sz w:val="21"/>
                <w:szCs w:val="21"/>
                <w:highlight w:val="none"/>
              </w:rPr>
              <w:t>包含对区域内河道蓝线范围内的水利条件进行综合评估，提出河岸的空间改造策略，并结合南雁景区水上项目需求提出沿线的河道清淤方案。</w:t>
            </w:r>
            <w:r>
              <w:rPr>
                <w:rFonts w:hint="eastAsia" w:ascii="宋体" w:hAnsi="宋体" w:eastAsia="宋体" w:cs="宋体"/>
                <w:color w:val="auto"/>
                <w:sz w:val="21"/>
                <w:szCs w:val="21"/>
                <w:highlight w:val="none"/>
                <w:lang w:val="en-US" w:eastAsia="zh-CN"/>
              </w:rPr>
              <w:t>由专家进行评分。打分范围：8、6、4、0</w:t>
            </w:r>
          </w:p>
          <w:p>
            <w:pPr>
              <w:pStyle w:val="10"/>
              <w:keepNext w:val="0"/>
              <w:keepLines w:val="0"/>
              <w:suppressLineNumbers w:val="0"/>
              <w:spacing w:before="0" w:beforeAutospacing="0" w:afterAutospacing="0"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要求：</w:t>
            </w:r>
            <w:r>
              <w:rPr>
                <w:rFonts w:hint="eastAsia" w:ascii="宋体" w:hAnsi="宋体" w:eastAsia="宋体" w:cs="宋体"/>
                <w:color w:val="auto"/>
                <w:sz w:val="21"/>
                <w:szCs w:val="21"/>
                <w:highlight w:val="none"/>
              </w:rPr>
              <w:t>至少选取3个具代表性的沿线河岸标准段进行设计展示（每个标准段方案要求提供不少于3张的效果图，河道清淤方案需符合现场实际地形条件。</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rPr>
              <w:t>景区内沿线公园环境提升</w:t>
            </w:r>
            <w:r>
              <w:rPr>
                <w:rFonts w:hint="eastAsia" w:ascii="宋体" w:hAnsi="宋体" w:eastAsia="宋体" w:cs="宋体"/>
                <w:color w:val="auto"/>
                <w:sz w:val="21"/>
                <w:szCs w:val="21"/>
                <w:highlight w:val="none"/>
              </w:rPr>
              <w:t>：结合项目场地实际情况，合理安排功能空间，设计方案具有可行性，美观性，能很好恢复景区原有的生态风貌特色，并满足未来大南雁景区的旅游发展的需求。</w:t>
            </w:r>
            <w:r>
              <w:rPr>
                <w:rFonts w:hint="eastAsia" w:ascii="宋体" w:hAnsi="宋体" w:eastAsia="宋体" w:cs="宋体"/>
                <w:color w:val="auto"/>
                <w:sz w:val="21"/>
                <w:szCs w:val="21"/>
                <w:highlight w:val="none"/>
                <w:lang w:val="en-US" w:eastAsia="zh-CN"/>
              </w:rPr>
              <w:t>由专家进行评分。打分范围：</w:t>
            </w:r>
            <w:r>
              <w:rPr>
                <w:rFonts w:hint="eastAsia" w:ascii="宋体" w:hAnsi="宋体" w:cs="宋体"/>
                <w:color w:val="auto"/>
                <w:sz w:val="21"/>
                <w:szCs w:val="21"/>
                <w:highlight w:val="none"/>
                <w:lang w:val="en-US" w:eastAsia="zh-CN"/>
              </w:rPr>
              <w:t>10、7、5、0</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至少选取5个沿线主题公园进行设计展示（每个主题公园设计方案要求至少选取3个重要节点进行展示，每个节点不少于3张的效果图）。选取节点不到10处或效果图数量不足30张</w:t>
            </w:r>
            <w:r>
              <w:rPr>
                <w:rFonts w:hint="eastAsia" w:ascii="宋体" w:hAnsi="宋体" w:eastAsia="宋体" w:cs="宋体"/>
                <w:color w:val="auto"/>
                <w:sz w:val="21"/>
                <w:szCs w:val="21"/>
                <w:highlight w:val="none"/>
                <w:lang w:val="en-US" w:eastAsia="zh-CN"/>
              </w:rPr>
              <w:t>的得0分。</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rPr>
              <w:t>景区沿线道路环境提升：</w:t>
            </w:r>
            <w:r>
              <w:rPr>
                <w:rFonts w:hint="eastAsia" w:ascii="宋体" w:hAnsi="宋体" w:eastAsia="宋体" w:cs="宋体"/>
                <w:color w:val="auto"/>
                <w:sz w:val="21"/>
                <w:szCs w:val="21"/>
                <w:highlight w:val="none"/>
              </w:rPr>
              <w:t>注重景区道路环境提升的整体性，作为大南雁景区主要道路，需满足旅游发展的需求，设计上需要总体考虑道路绿化，照明、排水，小品等配套设施，风格需要与环境相融合。</w:t>
            </w:r>
            <w:r>
              <w:rPr>
                <w:rFonts w:hint="eastAsia" w:ascii="宋体" w:hAnsi="宋体" w:eastAsia="宋体" w:cs="宋体"/>
                <w:color w:val="auto"/>
                <w:sz w:val="21"/>
                <w:szCs w:val="21"/>
                <w:highlight w:val="none"/>
                <w:lang w:val="en-US" w:eastAsia="zh-CN"/>
              </w:rPr>
              <w:t>由专家进行评分。打分范围：8、6、4、0</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至少选取道路绿化节点不少于8个进行设计展示，每个节点不少于2张效果图。提供道路照明及导视小品设计展示，提供不少于5张的效果图。</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rPr>
              <w:t>景区沿线道路村庄立面改造：</w:t>
            </w:r>
            <w:r>
              <w:rPr>
                <w:rFonts w:hint="eastAsia" w:ascii="宋体" w:hAnsi="宋体" w:eastAsia="宋体" w:cs="宋体"/>
                <w:color w:val="auto"/>
                <w:sz w:val="21"/>
                <w:szCs w:val="21"/>
                <w:highlight w:val="none"/>
              </w:rPr>
              <w:t>注重美丽乡村建设整体性，满足乡村旅游发展的需求；提供符合村庄特色建筑立面改造方案，建筑改造立面风格与环境相融合。</w:t>
            </w:r>
            <w:r>
              <w:rPr>
                <w:rFonts w:hint="eastAsia" w:ascii="宋体" w:hAnsi="宋体" w:eastAsia="宋体" w:cs="宋体"/>
                <w:color w:val="auto"/>
                <w:sz w:val="21"/>
                <w:szCs w:val="21"/>
                <w:highlight w:val="none"/>
                <w:lang w:val="en-US" w:eastAsia="zh-CN"/>
              </w:rPr>
              <w:t>由专家进行评分。打分范围：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、3、2、0</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至少选取3处有代表性的村落环境进行立面改造展示（效果图必须有现状照片进行改造前后效果对比）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改造村落不到3处或无现状照片</w:t>
            </w:r>
            <w:r>
              <w:rPr>
                <w:rFonts w:hint="eastAsia" w:ascii="宋体" w:hAnsi="宋体" w:eastAsia="宋体" w:cs="宋体"/>
                <w:color w:val="auto"/>
                <w:sz w:val="21"/>
                <w:szCs w:val="21"/>
                <w:highlight w:val="none"/>
                <w:lang w:val="en-US" w:eastAsia="zh-CN"/>
              </w:rPr>
              <w:t>的不得分。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rPr>
              <w:t>新建配套道路及桥梁工程：</w:t>
            </w:r>
            <w:r>
              <w:rPr>
                <w:rFonts w:hint="eastAsia" w:ascii="宋体" w:hAnsi="宋体" w:eastAsia="宋体" w:cs="宋体"/>
                <w:color w:val="auto"/>
                <w:sz w:val="21"/>
                <w:szCs w:val="21"/>
                <w:highlight w:val="none"/>
              </w:rPr>
              <w:t>设计方案满足沿线乡镇规划和乡村旅游及其他产业发展的需求，设计方案安全可靠、经济合理，道路桥梁景观与环境相融合，打造成尊重当地文化历史又富有标识性且充满生活气息的景观桥。</w:t>
            </w:r>
            <w:r>
              <w:rPr>
                <w:rFonts w:hint="eastAsia" w:ascii="宋体" w:hAnsi="宋体" w:eastAsia="宋体" w:cs="宋体"/>
                <w:color w:val="auto"/>
                <w:sz w:val="21"/>
                <w:szCs w:val="21"/>
                <w:highlight w:val="none"/>
                <w:lang w:val="en-US" w:eastAsia="zh-CN"/>
              </w:rPr>
              <w:t>由专家进行评分。打分范围：8、6、4、0</w:t>
            </w:r>
          </w:p>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对每条道路方案展示不小于2张效果图，对每座桥梁方案展示不少于2张效果图。</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图纸深度：</w:t>
            </w:r>
            <w:r>
              <w:rPr>
                <w:rFonts w:hint="eastAsia" w:ascii="宋体" w:hAnsi="宋体" w:eastAsia="宋体" w:cs="宋体"/>
                <w:b w:val="0"/>
                <w:bCs w:val="0"/>
                <w:color w:val="auto"/>
                <w:sz w:val="21"/>
                <w:szCs w:val="21"/>
                <w:highlight w:val="none"/>
              </w:rPr>
              <w:t>根据</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设计需求的要求，主要建设板块在沿线公园景观提升改造板块和沿线道路改造板块中，景区沿线道路环境提升（至少包含57省道交界点、隧道与灵溪线交界点、蒲尖山隧道入口节点、碧海天城景区入口、顺溪景区入口提升五处）、景区内沿线公园环境提升（至少包含吴山公园、五十丈公园两处）、景区沿线道路村庄立面改造（至少包含五十丈村、雁荡村、蒲潭尾三处）、新建配套道路及桥梁工程达到扩初设计深度提供符合深度的初步设计图纸，评委视设计图纸的完整性、合理性、深化程度，由专家进行评分。打分范围：10、7、4、0</w:t>
            </w:r>
          </w:p>
        </w:tc>
        <w:tc>
          <w:tcPr>
            <w:tcW w:w="975"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bl>
    <w:p>
      <w:pPr>
        <w:pStyle w:val="22"/>
        <w:rPr>
          <w:rFonts w:hint="eastAsia" w:ascii="宋体" w:hAnsi="宋体" w:eastAsia="宋体" w:cs="宋体"/>
          <w:color w:val="auto"/>
          <w:highlight w:val="none"/>
        </w:rPr>
      </w:pPr>
    </w:p>
    <w:p>
      <w:pPr>
        <w:pStyle w:val="14"/>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12" w:name="_Toc22569"/>
      <w:bookmarkStart w:id="113" w:name="_Toc16891"/>
      <w:bookmarkStart w:id="114" w:name="_Toc31681"/>
      <w:r>
        <w:rPr>
          <w:rFonts w:hint="eastAsia" w:ascii="宋体" w:hAnsi="宋体" w:eastAsia="宋体" w:cs="宋体"/>
          <w:color w:val="auto"/>
          <w:sz w:val="22"/>
          <w:szCs w:val="22"/>
          <w:highlight w:val="none"/>
        </w:rPr>
        <w:t>三、说明</w:t>
      </w:r>
      <w:bookmarkEnd w:id="112"/>
      <w:bookmarkEnd w:id="113"/>
      <w:bookmarkEnd w:id="114"/>
    </w:p>
    <w:p>
      <w:pPr>
        <w:pStyle w:val="16"/>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pPr>
        <w:pStyle w:val="16"/>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pPr>
        <w:pStyle w:val="16"/>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pPr>
        <w:pStyle w:val="16"/>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pPr>
        <w:pStyle w:val="55"/>
        <w:widowControl w:val="0"/>
        <w:shd w:val="clear" w:color="auto" w:fill="auto"/>
        <w:wordWrap w:val="0"/>
        <w:snapToGrid w:val="0"/>
        <w:spacing w:line="360" w:lineRule="auto"/>
        <w:ind w:firstLine="2560" w:firstLineChars="800"/>
        <w:rPr>
          <w:rFonts w:hint="eastAsia" w:ascii="宋体" w:hAnsi="宋体" w:eastAsia="宋体" w:cs="宋体"/>
          <w:color w:val="auto"/>
          <w:sz w:val="32"/>
          <w:szCs w:val="32"/>
          <w:highlight w:val="none"/>
        </w:rPr>
      </w:pPr>
    </w:p>
    <w:p>
      <w:pPr>
        <w:pStyle w:val="55"/>
        <w:widowControl w:val="0"/>
        <w:shd w:val="clear" w:color="auto" w:fill="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15"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15"/>
    </w:p>
    <w:p>
      <w:pPr>
        <w:pStyle w:val="55"/>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u w:val="single"/>
          <w:lang w:eastAsia="zh-CN"/>
        </w:rPr>
        <w:t>新征程（杭州）招标代理有限公司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pPr>
        <w:pStyle w:val="55"/>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南雁荡山景区及周边环境生态修复工程初步设计采购</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PYCG240927077</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pPr>
        <w:pStyle w:val="63"/>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pPr>
        <w:pStyle w:val="63"/>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pPr>
        <w:pStyle w:val="63"/>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pPr>
        <w:pStyle w:val="63"/>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pPr>
        <w:pStyle w:val="55"/>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pStyle w:val="55"/>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pStyle w:val="55"/>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pStyle w:val="55"/>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pStyle w:val="55"/>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pStyle w:val="55"/>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pStyle w:val="55"/>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16" w:name="_Toc8771"/>
      <w:bookmarkStart w:id="117" w:name="_Toc8088"/>
      <w:bookmarkStart w:id="118"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16"/>
      <w:bookmarkEnd w:id="117"/>
      <w:bookmarkEnd w:id="118"/>
    </w:p>
    <w:p>
      <w:pPr>
        <w:pStyle w:val="55"/>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pPr>
        <w:pStyle w:val="55"/>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19" w:name="_Toc31554"/>
      <w:bookmarkStart w:id="120" w:name="_Toc6717"/>
      <w:bookmarkStart w:id="121" w:name="_Toc32152"/>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19"/>
      <w:bookmarkEnd w:id="120"/>
      <w:bookmarkEnd w:id="121"/>
    </w:p>
    <w:p>
      <w:pPr>
        <w:pStyle w:val="63"/>
        <w:widowControl/>
        <w:numPr>
          <w:ilvl w:val="0"/>
          <w:numId w:val="9"/>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pPr>
        <w:pStyle w:val="63"/>
        <w:widowControl/>
        <w:numPr>
          <w:ilvl w:val="0"/>
          <w:numId w:val="9"/>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pPr>
        <w:pStyle w:val="55"/>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pPr>
        <w:pStyle w:val="55"/>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：250785507@qq.com</w:t>
      </w:r>
      <w:r>
        <w:rPr>
          <w:rFonts w:hint="eastAsia" w:ascii="宋体" w:hAnsi="宋体" w:eastAsia="宋体" w:cs="宋体"/>
          <w:b/>
          <w:bCs/>
          <w:color w:val="auto"/>
          <w:sz w:val="22"/>
          <w:szCs w:val="22"/>
          <w:highlight w:val="none"/>
        </w:rPr>
        <w:t>。</w:t>
      </w:r>
    </w:p>
    <w:p>
      <w:pPr>
        <w:pStyle w:val="46"/>
        <w:shd w:val="clear" w:color="auto" w:fill="auto"/>
        <w:wordWrap w:val="0"/>
        <w:spacing w:line="360" w:lineRule="auto"/>
        <w:rPr>
          <w:rFonts w:hint="eastAsia" w:ascii="宋体" w:hAnsi="宋体" w:eastAsia="宋体" w:cs="宋体"/>
          <w:color w:val="auto"/>
          <w:sz w:val="22"/>
          <w:szCs w:val="22"/>
          <w:highlight w:val="none"/>
        </w:rPr>
      </w:pPr>
    </w:p>
    <w:p>
      <w:pPr>
        <w:pStyle w:val="13"/>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hd w:val="clear" w:color="auto" w:fill="auto"/>
        <w:wordWrap w:val="0"/>
        <w:adjustRightInd w:val="0"/>
        <w:snapToGrid w:val="0"/>
        <w:spacing w:line="360" w:lineRule="auto"/>
        <w:rPr>
          <w:rFonts w:hint="eastAsia" w:ascii="宋体" w:hAnsi="宋体" w:eastAsia="宋体" w:cs="宋体"/>
          <w:color w:val="auto"/>
          <w:szCs w:val="21"/>
          <w:highlight w:val="none"/>
        </w:rPr>
      </w:pPr>
    </w:p>
    <w:p>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tMpLML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tt7Zs7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uyf44b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wnXOrgEAAEsD&#10;AAAOAAAAAAAAAAEAIAAAAB4BAABkcnMvZTJvRG9jLnhtbFBLBQYAAAAABgAGAFkBAAA+BQAAAAA=&#10;">
              <v:fill on="f" focussize="0,0"/>
              <v:stroke on="f"/>
              <v:imagedata o:title=""/>
              <o:lock v:ext="edit" aspectratio="f"/>
              <v:textbox inset="0mm,0mm,0mm,0mm" style="mso-fit-shape-to-text:t;">
                <w:txbxContent>
                  <w:p>
                    <w:pPr>
                      <w:pStyle w:val="18"/>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OHMfr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DCE5D"/>
    <w:multiLevelType w:val="singleLevel"/>
    <w:tmpl w:val="AD2DCE5D"/>
    <w:lvl w:ilvl="0" w:tentative="0">
      <w:start w:val="1"/>
      <w:numFmt w:val="decimal"/>
      <w:suff w:val="nothing"/>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19DE2C87"/>
    <w:multiLevelType w:val="singleLevel"/>
    <w:tmpl w:val="19DE2C87"/>
    <w:lvl w:ilvl="0" w:tentative="0">
      <w:start w:val="1"/>
      <w:numFmt w:val="decimal"/>
      <w:suff w:val="nothing"/>
      <w:lvlText w:val="（%1）"/>
      <w:lvlJc w:val="left"/>
    </w:lvl>
  </w:abstractNum>
  <w:abstractNum w:abstractNumId="3">
    <w:nsid w:val="24A0B24D"/>
    <w:multiLevelType w:val="singleLevel"/>
    <w:tmpl w:val="24A0B24D"/>
    <w:lvl w:ilvl="0" w:tentative="0">
      <w:start w:val="2"/>
      <w:numFmt w:val="decimal"/>
      <w:suff w:val="nothing"/>
      <w:lvlText w:val="%1、"/>
      <w:lvlJc w:val="left"/>
    </w:lvl>
  </w:abstractNum>
  <w:abstractNum w:abstractNumId="4">
    <w:nsid w:val="3F0F2FA1"/>
    <w:multiLevelType w:val="singleLevel"/>
    <w:tmpl w:val="3F0F2FA1"/>
    <w:lvl w:ilvl="0" w:tentative="0">
      <w:start w:val="2"/>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B624507"/>
    <w:multiLevelType w:val="singleLevel"/>
    <w:tmpl w:val="6B624507"/>
    <w:lvl w:ilvl="0" w:tentative="0">
      <w:start w:val="3"/>
      <w:numFmt w:val="decimal"/>
      <w:suff w:val="nothing"/>
      <w:lvlText w:val="（%1）"/>
      <w:lvlJc w:val="left"/>
    </w:lvl>
  </w:abstractNum>
  <w:abstractNum w:abstractNumId="8">
    <w:nsid w:val="7A06B7A8"/>
    <w:multiLevelType w:val="singleLevel"/>
    <w:tmpl w:val="7A06B7A8"/>
    <w:lvl w:ilvl="0" w:tentative="0">
      <w:start w:val="1"/>
      <w:numFmt w:val="decimal"/>
      <w:suff w:val="nothing"/>
      <w:lvlText w:val="%1、"/>
      <w:lvlJc w:val="left"/>
    </w:lvl>
  </w:abstractNum>
  <w:num w:numId="1">
    <w:abstractNumId w:val="3"/>
  </w:num>
  <w:num w:numId="2">
    <w:abstractNumId w:val="1"/>
  </w:num>
  <w:num w:numId="3">
    <w:abstractNumId w:val="4"/>
  </w:num>
  <w:num w:numId="4">
    <w:abstractNumId w:val="7"/>
  </w:num>
  <w:num w:numId="5">
    <w:abstractNumId w:val="2"/>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B213F"/>
    <w:rsid w:val="001B2F1F"/>
    <w:rsid w:val="001D032E"/>
    <w:rsid w:val="002353B5"/>
    <w:rsid w:val="00290B88"/>
    <w:rsid w:val="002F74EF"/>
    <w:rsid w:val="0031094C"/>
    <w:rsid w:val="00332AAB"/>
    <w:rsid w:val="00344060"/>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E61C8"/>
    <w:rsid w:val="00A01EDA"/>
    <w:rsid w:val="00A605DC"/>
    <w:rsid w:val="00A80681"/>
    <w:rsid w:val="00AA55F0"/>
    <w:rsid w:val="00AC5B18"/>
    <w:rsid w:val="00AD511E"/>
    <w:rsid w:val="00B200B1"/>
    <w:rsid w:val="00B300D7"/>
    <w:rsid w:val="00B45994"/>
    <w:rsid w:val="00B55938"/>
    <w:rsid w:val="00B87B92"/>
    <w:rsid w:val="00BA352C"/>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D2710"/>
    <w:rsid w:val="012A0989"/>
    <w:rsid w:val="01302E15"/>
    <w:rsid w:val="01345E86"/>
    <w:rsid w:val="014F1046"/>
    <w:rsid w:val="0160164B"/>
    <w:rsid w:val="016C2D4F"/>
    <w:rsid w:val="01727438"/>
    <w:rsid w:val="017A36FD"/>
    <w:rsid w:val="018379C9"/>
    <w:rsid w:val="01895C07"/>
    <w:rsid w:val="01A60743"/>
    <w:rsid w:val="01AC264C"/>
    <w:rsid w:val="01AC5842"/>
    <w:rsid w:val="01B57AA4"/>
    <w:rsid w:val="01B81CE2"/>
    <w:rsid w:val="01BD35AB"/>
    <w:rsid w:val="01C225F2"/>
    <w:rsid w:val="01D14E0A"/>
    <w:rsid w:val="01D83224"/>
    <w:rsid w:val="01E22D7D"/>
    <w:rsid w:val="01EA0118"/>
    <w:rsid w:val="01F82AD7"/>
    <w:rsid w:val="01F86CD9"/>
    <w:rsid w:val="02140D77"/>
    <w:rsid w:val="023A7B7C"/>
    <w:rsid w:val="02544B87"/>
    <w:rsid w:val="026362FC"/>
    <w:rsid w:val="02775BE8"/>
    <w:rsid w:val="02836E2C"/>
    <w:rsid w:val="02976F77"/>
    <w:rsid w:val="029C58B6"/>
    <w:rsid w:val="02AF1C72"/>
    <w:rsid w:val="02B01361"/>
    <w:rsid w:val="02C12630"/>
    <w:rsid w:val="02EA62D0"/>
    <w:rsid w:val="031B1345"/>
    <w:rsid w:val="0320479A"/>
    <w:rsid w:val="03214DA3"/>
    <w:rsid w:val="03261EB9"/>
    <w:rsid w:val="03292E3E"/>
    <w:rsid w:val="032F0DAD"/>
    <w:rsid w:val="035C6DF3"/>
    <w:rsid w:val="036120F0"/>
    <w:rsid w:val="036D3220"/>
    <w:rsid w:val="03716D43"/>
    <w:rsid w:val="03730909"/>
    <w:rsid w:val="038C1E2A"/>
    <w:rsid w:val="03936CB9"/>
    <w:rsid w:val="039D4F10"/>
    <w:rsid w:val="03A6563A"/>
    <w:rsid w:val="03AC7394"/>
    <w:rsid w:val="03B01365"/>
    <w:rsid w:val="03C661BF"/>
    <w:rsid w:val="03C837AB"/>
    <w:rsid w:val="03D33F30"/>
    <w:rsid w:val="03D41080"/>
    <w:rsid w:val="03D609D8"/>
    <w:rsid w:val="03FF434E"/>
    <w:rsid w:val="040D4BBB"/>
    <w:rsid w:val="040F5AE1"/>
    <w:rsid w:val="042E69E2"/>
    <w:rsid w:val="043438CC"/>
    <w:rsid w:val="04354274"/>
    <w:rsid w:val="043D4F04"/>
    <w:rsid w:val="04436E0D"/>
    <w:rsid w:val="04480CE1"/>
    <w:rsid w:val="045301F6"/>
    <w:rsid w:val="048358F9"/>
    <w:rsid w:val="04AB5538"/>
    <w:rsid w:val="04BC45FD"/>
    <w:rsid w:val="04CD7F6B"/>
    <w:rsid w:val="04D32E79"/>
    <w:rsid w:val="04DD0B5F"/>
    <w:rsid w:val="04E3143E"/>
    <w:rsid w:val="04F135D7"/>
    <w:rsid w:val="0512295E"/>
    <w:rsid w:val="05191440"/>
    <w:rsid w:val="05382B9E"/>
    <w:rsid w:val="055A65D5"/>
    <w:rsid w:val="056736ED"/>
    <w:rsid w:val="05771392"/>
    <w:rsid w:val="05864354"/>
    <w:rsid w:val="05875678"/>
    <w:rsid w:val="05B01562"/>
    <w:rsid w:val="05B63C67"/>
    <w:rsid w:val="05B821F2"/>
    <w:rsid w:val="05C8248C"/>
    <w:rsid w:val="05FF16A9"/>
    <w:rsid w:val="060317A8"/>
    <w:rsid w:val="06085010"/>
    <w:rsid w:val="060A6FDB"/>
    <w:rsid w:val="06144B58"/>
    <w:rsid w:val="06436049"/>
    <w:rsid w:val="064552D9"/>
    <w:rsid w:val="06544FAB"/>
    <w:rsid w:val="06645CA5"/>
    <w:rsid w:val="066D4490"/>
    <w:rsid w:val="0670611D"/>
    <w:rsid w:val="06962173"/>
    <w:rsid w:val="069A7E12"/>
    <w:rsid w:val="069C40D7"/>
    <w:rsid w:val="06AC1035"/>
    <w:rsid w:val="06C14C23"/>
    <w:rsid w:val="06D80E87"/>
    <w:rsid w:val="06F20789"/>
    <w:rsid w:val="071A324D"/>
    <w:rsid w:val="07455FA1"/>
    <w:rsid w:val="074A1A9F"/>
    <w:rsid w:val="075F2127"/>
    <w:rsid w:val="07713742"/>
    <w:rsid w:val="07716FC5"/>
    <w:rsid w:val="07995B53"/>
    <w:rsid w:val="07A82FEA"/>
    <w:rsid w:val="07B7616C"/>
    <w:rsid w:val="07BB6C8C"/>
    <w:rsid w:val="07EF46DA"/>
    <w:rsid w:val="07F06EA1"/>
    <w:rsid w:val="08014519"/>
    <w:rsid w:val="08030185"/>
    <w:rsid w:val="08167BBE"/>
    <w:rsid w:val="08191757"/>
    <w:rsid w:val="081B727D"/>
    <w:rsid w:val="0825634E"/>
    <w:rsid w:val="08284C82"/>
    <w:rsid w:val="08302794"/>
    <w:rsid w:val="083D5414"/>
    <w:rsid w:val="084B7A66"/>
    <w:rsid w:val="0858227F"/>
    <w:rsid w:val="085C6BC2"/>
    <w:rsid w:val="086168CD"/>
    <w:rsid w:val="08647852"/>
    <w:rsid w:val="08A81C9B"/>
    <w:rsid w:val="08B44F60"/>
    <w:rsid w:val="08B65FD7"/>
    <w:rsid w:val="08BE59DA"/>
    <w:rsid w:val="08E2593F"/>
    <w:rsid w:val="09005B9E"/>
    <w:rsid w:val="090504BF"/>
    <w:rsid w:val="09295FE7"/>
    <w:rsid w:val="092A0515"/>
    <w:rsid w:val="09562DBC"/>
    <w:rsid w:val="095830FB"/>
    <w:rsid w:val="095A48E7"/>
    <w:rsid w:val="09656115"/>
    <w:rsid w:val="0984370C"/>
    <w:rsid w:val="09AC306C"/>
    <w:rsid w:val="09D20B4E"/>
    <w:rsid w:val="09D56068"/>
    <w:rsid w:val="09D9119E"/>
    <w:rsid w:val="09E35B78"/>
    <w:rsid w:val="09FF022D"/>
    <w:rsid w:val="0A0C0525"/>
    <w:rsid w:val="0A271761"/>
    <w:rsid w:val="0A2C21B6"/>
    <w:rsid w:val="0A334D52"/>
    <w:rsid w:val="0A3D57A2"/>
    <w:rsid w:val="0A3D6B27"/>
    <w:rsid w:val="0A3E3CF5"/>
    <w:rsid w:val="0A3E54A5"/>
    <w:rsid w:val="0A4557E9"/>
    <w:rsid w:val="0A542580"/>
    <w:rsid w:val="0A805ABD"/>
    <w:rsid w:val="0A8452CE"/>
    <w:rsid w:val="0A8A2A5A"/>
    <w:rsid w:val="0A8D4C82"/>
    <w:rsid w:val="0A9F522E"/>
    <w:rsid w:val="0AA76940"/>
    <w:rsid w:val="0AAE6112"/>
    <w:rsid w:val="0AB15C77"/>
    <w:rsid w:val="0AB35E1D"/>
    <w:rsid w:val="0AC74ABE"/>
    <w:rsid w:val="0ACF6099"/>
    <w:rsid w:val="0AEC727C"/>
    <w:rsid w:val="0AEE5030"/>
    <w:rsid w:val="0AF83D3C"/>
    <w:rsid w:val="0AFA22DE"/>
    <w:rsid w:val="0B0C7351"/>
    <w:rsid w:val="0B141172"/>
    <w:rsid w:val="0B1E057C"/>
    <w:rsid w:val="0B5115B8"/>
    <w:rsid w:val="0B5B1AAE"/>
    <w:rsid w:val="0B5B3E3A"/>
    <w:rsid w:val="0B6B594F"/>
    <w:rsid w:val="0B7550AF"/>
    <w:rsid w:val="0B7735DC"/>
    <w:rsid w:val="0B7E11CA"/>
    <w:rsid w:val="0B813EEC"/>
    <w:rsid w:val="0B982C8E"/>
    <w:rsid w:val="0BA12222"/>
    <w:rsid w:val="0BA13F3D"/>
    <w:rsid w:val="0BA55558"/>
    <w:rsid w:val="0BAD28E2"/>
    <w:rsid w:val="0BD06D33"/>
    <w:rsid w:val="0BEA7DE9"/>
    <w:rsid w:val="0BEC35D5"/>
    <w:rsid w:val="0C01741F"/>
    <w:rsid w:val="0C08603B"/>
    <w:rsid w:val="0C091155"/>
    <w:rsid w:val="0C0F058D"/>
    <w:rsid w:val="0C211085"/>
    <w:rsid w:val="0C3152C1"/>
    <w:rsid w:val="0C3C06D6"/>
    <w:rsid w:val="0C3E33A6"/>
    <w:rsid w:val="0C3F3894"/>
    <w:rsid w:val="0C5919D1"/>
    <w:rsid w:val="0C670E7C"/>
    <w:rsid w:val="0C6C347A"/>
    <w:rsid w:val="0C747BE1"/>
    <w:rsid w:val="0C7B02EA"/>
    <w:rsid w:val="0CC67C0B"/>
    <w:rsid w:val="0CD72A6E"/>
    <w:rsid w:val="0CDF3D0D"/>
    <w:rsid w:val="0CE05439"/>
    <w:rsid w:val="0CE560AB"/>
    <w:rsid w:val="0CF62B54"/>
    <w:rsid w:val="0CFF2C96"/>
    <w:rsid w:val="0D0226E7"/>
    <w:rsid w:val="0D0227BA"/>
    <w:rsid w:val="0D134683"/>
    <w:rsid w:val="0D15459B"/>
    <w:rsid w:val="0D2F254B"/>
    <w:rsid w:val="0D395DCD"/>
    <w:rsid w:val="0D417786"/>
    <w:rsid w:val="0D4D3563"/>
    <w:rsid w:val="0D5C629C"/>
    <w:rsid w:val="0D6214AA"/>
    <w:rsid w:val="0D743CCE"/>
    <w:rsid w:val="0DBF42FF"/>
    <w:rsid w:val="0DDB664A"/>
    <w:rsid w:val="0DED6FC6"/>
    <w:rsid w:val="0E074511"/>
    <w:rsid w:val="0E095E94"/>
    <w:rsid w:val="0E19600D"/>
    <w:rsid w:val="0E1C1499"/>
    <w:rsid w:val="0E247D43"/>
    <w:rsid w:val="0E2F5830"/>
    <w:rsid w:val="0E356BBF"/>
    <w:rsid w:val="0E3756DF"/>
    <w:rsid w:val="0E63197E"/>
    <w:rsid w:val="0E77096C"/>
    <w:rsid w:val="0E7C03D1"/>
    <w:rsid w:val="0E7D5E53"/>
    <w:rsid w:val="0EA0228A"/>
    <w:rsid w:val="0EB648C8"/>
    <w:rsid w:val="0EBB5AE7"/>
    <w:rsid w:val="0ECC12D1"/>
    <w:rsid w:val="0ED20ACE"/>
    <w:rsid w:val="0EE35DB9"/>
    <w:rsid w:val="0EE77A81"/>
    <w:rsid w:val="0EF8693D"/>
    <w:rsid w:val="0F1473FB"/>
    <w:rsid w:val="0F307AB2"/>
    <w:rsid w:val="0F7726DF"/>
    <w:rsid w:val="0F773AEC"/>
    <w:rsid w:val="0F97226F"/>
    <w:rsid w:val="0F9B6046"/>
    <w:rsid w:val="0FB43F9D"/>
    <w:rsid w:val="0FB75ADD"/>
    <w:rsid w:val="0FBE65E3"/>
    <w:rsid w:val="0FC95E75"/>
    <w:rsid w:val="0FD146C5"/>
    <w:rsid w:val="10082EB6"/>
    <w:rsid w:val="1028629D"/>
    <w:rsid w:val="104E26BF"/>
    <w:rsid w:val="104F3929"/>
    <w:rsid w:val="105D36FE"/>
    <w:rsid w:val="10692AC2"/>
    <w:rsid w:val="107A78DA"/>
    <w:rsid w:val="1084524A"/>
    <w:rsid w:val="10DC3590"/>
    <w:rsid w:val="10E21D49"/>
    <w:rsid w:val="10EA39CE"/>
    <w:rsid w:val="10FB387F"/>
    <w:rsid w:val="10FB74BF"/>
    <w:rsid w:val="111156C1"/>
    <w:rsid w:val="111972EE"/>
    <w:rsid w:val="113849FC"/>
    <w:rsid w:val="113B4A52"/>
    <w:rsid w:val="11470A12"/>
    <w:rsid w:val="11764849"/>
    <w:rsid w:val="11770942"/>
    <w:rsid w:val="117B32BD"/>
    <w:rsid w:val="11845641"/>
    <w:rsid w:val="11B20C52"/>
    <w:rsid w:val="11CA303C"/>
    <w:rsid w:val="11DA10D8"/>
    <w:rsid w:val="11DC0AA5"/>
    <w:rsid w:val="11ED22F7"/>
    <w:rsid w:val="11F32E4C"/>
    <w:rsid w:val="11F56C74"/>
    <w:rsid w:val="12193AFD"/>
    <w:rsid w:val="121C60CC"/>
    <w:rsid w:val="12295E7D"/>
    <w:rsid w:val="123E0DFD"/>
    <w:rsid w:val="1256746E"/>
    <w:rsid w:val="125A03CD"/>
    <w:rsid w:val="12832EBF"/>
    <w:rsid w:val="12841571"/>
    <w:rsid w:val="12A96320"/>
    <w:rsid w:val="12B01397"/>
    <w:rsid w:val="12B33D73"/>
    <w:rsid w:val="12CD4BAE"/>
    <w:rsid w:val="12D40754"/>
    <w:rsid w:val="12D71EE1"/>
    <w:rsid w:val="12E6735C"/>
    <w:rsid w:val="13300A18"/>
    <w:rsid w:val="133441B3"/>
    <w:rsid w:val="1346072F"/>
    <w:rsid w:val="134B6026"/>
    <w:rsid w:val="13510A26"/>
    <w:rsid w:val="135875D7"/>
    <w:rsid w:val="135D699C"/>
    <w:rsid w:val="13650603"/>
    <w:rsid w:val="13684E9C"/>
    <w:rsid w:val="136917E4"/>
    <w:rsid w:val="136B5578"/>
    <w:rsid w:val="136F1779"/>
    <w:rsid w:val="13893636"/>
    <w:rsid w:val="13987DB4"/>
    <w:rsid w:val="13A117B4"/>
    <w:rsid w:val="13B10E5E"/>
    <w:rsid w:val="13B363E0"/>
    <w:rsid w:val="13C44B8A"/>
    <w:rsid w:val="13C540FC"/>
    <w:rsid w:val="13D8547C"/>
    <w:rsid w:val="13DC75A4"/>
    <w:rsid w:val="13E33120"/>
    <w:rsid w:val="13E62E35"/>
    <w:rsid w:val="13EC34E5"/>
    <w:rsid w:val="13FD3CDB"/>
    <w:rsid w:val="14190AC4"/>
    <w:rsid w:val="14245587"/>
    <w:rsid w:val="143D6344"/>
    <w:rsid w:val="143F0636"/>
    <w:rsid w:val="144C0FB4"/>
    <w:rsid w:val="14575AE1"/>
    <w:rsid w:val="146464BB"/>
    <w:rsid w:val="146C3610"/>
    <w:rsid w:val="14706BA3"/>
    <w:rsid w:val="14807650"/>
    <w:rsid w:val="149B08DC"/>
    <w:rsid w:val="149E54BE"/>
    <w:rsid w:val="14CE59EA"/>
    <w:rsid w:val="14E24C7A"/>
    <w:rsid w:val="14E34525"/>
    <w:rsid w:val="15131A84"/>
    <w:rsid w:val="153579F9"/>
    <w:rsid w:val="15491CF9"/>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383B80"/>
    <w:rsid w:val="163D2AB4"/>
    <w:rsid w:val="16450C97"/>
    <w:rsid w:val="16563013"/>
    <w:rsid w:val="16651F56"/>
    <w:rsid w:val="1675224E"/>
    <w:rsid w:val="16822CFB"/>
    <w:rsid w:val="168D108C"/>
    <w:rsid w:val="16A67A37"/>
    <w:rsid w:val="16AA7D9E"/>
    <w:rsid w:val="16C90357"/>
    <w:rsid w:val="16D326D7"/>
    <w:rsid w:val="16DC407B"/>
    <w:rsid w:val="16F26832"/>
    <w:rsid w:val="17144E25"/>
    <w:rsid w:val="17224E02"/>
    <w:rsid w:val="17334DF1"/>
    <w:rsid w:val="174540BD"/>
    <w:rsid w:val="17494CC2"/>
    <w:rsid w:val="174F49CD"/>
    <w:rsid w:val="175B5F64"/>
    <w:rsid w:val="17620A24"/>
    <w:rsid w:val="178751D9"/>
    <w:rsid w:val="17A10651"/>
    <w:rsid w:val="17A66FF5"/>
    <w:rsid w:val="17D06220"/>
    <w:rsid w:val="17E85AC5"/>
    <w:rsid w:val="18027B12"/>
    <w:rsid w:val="18077A2D"/>
    <w:rsid w:val="18324C3F"/>
    <w:rsid w:val="18345F44"/>
    <w:rsid w:val="183D3240"/>
    <w:rsid w:val="18430CCB"/>
    <w:rsid w:val="18522F76"/>
    <w:rsid w:val="185C7A25"/>
    <w:rsid w:val="1862578F"/>
    <w:rsid w:val="188D6746"/>
    <w:rsid w:val="188E5E55"/>
    <w:rsid w:val="18930C11"/>
    <w:rsid w:val="18BB5017"/>
    <w:rsid w:val="18CC5500"/>
    <w:rsid w:val="18DA0A8E"/>
    <w:rsid w:val="18DC3B60"/>
    <w:rsid w:val="18E27836"/>
    <w:rsid w:val="18E637EA"/>
    <w:rsid w:val="18EE1B86"/>
    <w:rsid w:val="18FC27B3"/>
    <w:rsid w:val="18FC310E"/>
    <w:rsid w:val="19285748"/>
    <w:rsid w:val="19566985"/>
    <w:rsid w:val="195F7C30"/>
    <w:rsid w:val="196056B2"/>
    <w:rsid w:val="19680B28"/>
    <w:rsid w:val="196B01BF"/>
    <w:rsid w:val="197A4BF2"/>
    <w:rsid w:val="19BD63E6"/>
    <w:rsid w:val="19FD1DFB"/>
    <w:rsid w:val="1A0738C1"/>
    <w:rsid w:val="1A0A60E9"/>
    <w:rsid w:val="1A0D57CA"/>
    <w:rsid w:val="1A220020"/>
    <w:rsid w:val="1A481FA6"/>
    <w:rsid w:val="1A4E5290"/>
    <w:rsid w:val="1A5823C6"/>
    <w:rsid w:val="1A643C5B"/>
    <w:rsid w:val="1A690C8F"/>
    <w:rsid w:val="1A9C7638"/>
    <w:rsid w:val="1ABA6BE8"/>
    <w:rsid w:val="1AD25EC1"/>
    <w:rsid w:val="1AD80FFE"/>
    <w:rsid w:val="1AD95F08"/>
    <w:rsid w:val="1AE94D58"/>
    <w:rsid w:val="1B187FA0"/>
    <w:rsid w:val="1B363FB3"/>
    <w:rsid w:val="1B575FC4"/>
    <w:rsid w:val="1B59213E"/>
    <w:rsid w:val="1B5A129B"/>
    <w:rsid w:val="1B726396"/>
    <w:rsid w:val="1B826631"/>
    <w:rsid w:val="1B8E2FB5"/>
    <w:rsid w:val="1BA86FE3"/>
    <w:rsid w:val="1BB004AD"/>
    <w:rsid w:val="1BC229A4"/>
    <w:rsid w:val="1BC3238D"/>
    <w:rsid w:val="1BC72FED"/>
    <w:rsid w:val="1BCB46BE"/>
    <w:rsid w:val="1BD73B3C"/>
    <w:rsid w:val="1BF73705"/>
    <w:rsid w:val="1C0025BA"/>
    <w:rsid w:val="1C00530A"/>
    <w:rsid w:val="1C016EFF"/>
    <w:rsid w:val="1C0E2F29"/>
    <w:rsid w:val="1C381D54"/>
    <w:rsid w:val="1C504EAB"/>
    <w:rsid w:val="1C5C1105"/>
    <w:rsid w:val="1C5E064B"/>
    <w:rsid w:val="1C7A236C"/>
    <w:rsid w:val="1CA12143"/>
    <w:rsid w:val="1CBA09BB"/>
    <w:rsid w:val="1CBB2985"/>
    <w:rsid w:val="1CCE4466"/>
    <w:rsid w:val="1CD0325F"/>
    <w:rsid w:val="1CD34CD9"/>
    <w:rsid w:val="1CE27AFE"/>
    <w:rsid w:val="1CF2439F"/>
    <w:rsid w:val="1D0205B4"/>
    <w:rsid w:val="1D053ADB"/>
    <w:rsid w:val="1D085BCA"/>
    <w:rsid w:val="1D0F1968"/>
    <w:rsid w:val="1D122720"/>
    <w:rsid w:val="1D1F4309"/>
    <w:rsid w:val="1D301809"/>
    <w:rsid w:val="1D453D13"/>
    <w:rsid w:val="1D4E0DCB"/>
    <w:rsid w:val="1D6B2D1C"/>
    <w:rsid w:val="1D6D3C7F"/>
    <w:rsid w:val="1D87544D"/>
    <w:rsid w:val="1D9822C6"/>
    <w:rsid w:val="1DA86D22"/>
    <w:rsid w:val="1DAD1AB6"/>
    <w:rsid w:val="1DB84052"/>
    <w:rsid w:val="1DF0665E"/>
    <w:rsid w:val="1DF45021"/>
    <w:rsid w:val="1DF90653"/>
    <w:rsid w:val="1E0F41EC"/>
    <w:rsid w:val="1E205195"/>
    <w:rsid w:val="1E3511F3"/>
    <w:rsid w:val="1E3A48B1"/>
    <w:rsid w:val="1E422931"/>
    <w:rsid w:val="1E451C37"/>
    <w:rsid w:val="1E5310C7"/>
    <w:rsid w:val="1E5B61F8"/>
    <w:rsid w:val="1E5C30C8"/>
    <w:rsid w:val="1E621C8E"/>
    <w:rsid w:val="1E6F3F54"/>
    <w:rsid w:val="1E9D2CA9"/>
    <w:rsid w:val="1EA913DC"/>
    <w:rsid w:val="1EB23191"/>
    <w:rsid w:val="1EBF357F"/>
    <w:rsid w:val="1EDA0C11"/>
    <w:rsid w:val="1EEC6612"/>
    <w:rsid w:val="1EF15053"/>
    <w:rsid w:val="1F0B0800"/>
    <w:rsid w:val="1F3C0119"/>
    <w:rsid w:val="1F4A3163"/>
    <w:rsid w:val="1F4D40E8"/>
    <w:rsid w:val="1F515AC7"/>
    <w:rsid w:val="1F5E41C7"/>
    <w:rsid w:val="1F63408D"/>
    <w:rsid w:val="1F721A21"/>
    <w:rsid w:val="1F90436C"/>
    <w:rsid w:val="1F910080"/>
    <w:rsid w:val="1FA40CD6"/>
    <w:rsid w:val="1FC57184"/>
    <w:rsid w:val="1FDE74F9"/>
    <w:rsid w:val="201F2242"/>
    <w:rsid w:val="20242025"/>
    <w:rsid w:val="202A5E57"/>
    <w:rsid w:val="20407429"/>
    <w:rsid w:val="20510A2A"/>
    <w:rsid w:val="20592BE1"/>
    <w:rsid w:val="206F54C4"/>
    <w:rsid w:val="207143EB"/>
    <w:rsid w:val="207812B9"/>
    <w:rsid w:val="207D47DA"/>
    <w:rsid w:val="20875058"/>
    <w:rsid w:val="20896A66"/>
    <w:rsid w:val="20907F89"/>
    <w:rsid w:val="20A01F11"/>
    <w:rsid w:val="20A5599E"/>
    <w:rsid w:val="20A70EA1"/>
    <w:rsid w:val="20BC55C4"/>
    <w:rsid w:val="20BE2A44"/>
    <w:rsid w:val="20CA501D"/>
    <w:rsid w:val="20CE6D68"/>
    <w:rsid w:val="20E67BE0"/>
    <w:rsid w:val="210C1A01"/>
    <w:rsid w:val="211749D8"/>
    <w:rsid w:val="211A411E"/>
    <w:rsid w:val="211D776A"/>
    <w:rsid w:val="212B3679"/>
    <w:rsid w:val="21384B83"/>
    <w:rsid w:val="213B5E42"/>
    <w:rsid w:val="21572348"/>
    <w:rsid w:val="21771B35"/>
    <w:rsid w:val="217B6E8F"/>
    <w:rsid w:val="218B6F16"/>
    <w:rsid w:val="21A400A0"/>
    <w:rsid w:val="21A97250"/>
    <w:rsid w:val="21B0012A"/>
    <w:rsid w:val="21B14BD7"/>
    <w:rsid w:val="21B77BBF"/>
    <w:rsid w:val="21BE7D8E"/>
    <w:rsid w:val="21BF60EB"/>
    <w:rsid w:val="21C84315"/>
    <w:rsid w:val="21D246A9"/>
    <w:rsid w:val="21E5239A"/>
    <w:rsid w:val="21EA1D42"/>
    <w:rsid w:val="21F66939"/>
    <w:rsid w:val="21FB192E"/>
    <w:rsid w:val="220172ED"/>
    <w:rsid w:val="2217240B"/>
    <w:rsid w:val="222D4521"/>
    <w:rsid w:val="22651ECE"/>
    <w:rsid w:val="22710E72"/>
    <w:rsid w:val="22801147"/>
    <w:rsid w:val="22B569E9"/>
    <w:rsid w:val="22C01AA7"/>
    <w:rsid w:val="22D56430"/>
    <w:rsid w:val="22D8424D"/>
    <w:rsid w:val="22E61751"/>
    <w:rsid w:val="22F242F0"/>
    <w:rsid w:val="22F95B0A"/>
    <w:rsid w:val="2302130E"/>
    <w:rsid w:val="230A068C"/>
    <w:rsid w:val="231F3C6E"/>
    <w:rsid w:val="232242AD"/>
    <w:rsid w:val="23475B35"/>
    <w:rsid w:val="234D0922"/>
    <w:rsid w:val="235C6C70"/>
    <w:rsid w:val="23614286"/>
    <w:rsid w:val="23623360"/>
    <w:rsid w:val="23651C9F"/>
    <w:rsid w:val="2375712B"/>
    <w:rsid w:val="23777AB7"/>
    <w:rsid w:val="2378337E"/>
    <w:rsid w:val="238F60D5"/>
    <w:rsid w:val="239D70CC"/>
    <w:rsid w:val="23BA4FAC"/>
    <w:rsid w:val="23CB16FF"/>
    <w:rsid w:val="23E8649C"/>
    <w:rsid w:val="23F23130"/>
    <w:rsid w:val="23FA5A14"/>
    <w:rsid w:val="241412F8"/>
    <w:rsid w:val="241B61C8"/>
    <w:rsid w:val="244377C9"/>
    <w:rsid w:val="24746E9C"/>
    <w:rsid w:val="2477734D"/>
    <w:rsid w:val="24865DB9"/>
    <w:rsid w:val="24A16B4E"/>
    <w:rsid w:val="24A51F50"/>
    <w:rsid w:val="24EB5AC4"/>
    <w:rsid w:val="24EE6FC3"/>
    <w:rsid w:val="24F43A2F"/>
    <w:rsid w:val="24F55EFC"/>
    <w:rsid w:val="25053949"/>
    <w:rsid w:val="250F2123"/>
    <w:rsid w:val="25145328"/>
    <w:rsid w:val="251903EC"/>
    <w:rsid w:val="253A38C1"/>
    <w:rsid w:val="25490842"/>
    <w:rsid w:val="255167BA"/>
    <w:rsid w:val="255D282B"/>
    <w:rsid w:val="256911D0"/>
    <w:rsid w:val="256A6EF1"/>
    <w:rsid w:val="25787665"/>
    <w:rsid w:val="25812C6B"/>
    <w:rsid w:val="25826536"/>
    <w:rsid w:val="2589043C"/>
    <w:rsid w:val="25A76CA1"/>
    <w:rsid w:val="25B85CA6"/>
    <w:rsid w:val="25B924F3"/>
    <w:rsid w:val="25DB557C"/>
    <w:rsid w:val="260B2287"/>
    <w:rsid w:val="260B672B"/>
    <w:rsid w:val="261750D0"/>
    <w:rsid w:val="26222264"/>
    <w:rsid w:val="262F59B5"/>
    <w:rsid w:val="267E5CB6"/>
    <w:rsid w:val="268D2DA0"/>
    <w:rsid w:val="26977AEE"/>
    <w:rsid w:val="26A24A66"/>
    <w:rsid w:val="26BE2301"/>
    <w:rsid w:val="26CC0ECA"/>
    <w:rsid w:val="26D332DC"/>
    <w:rsid w:val="26D46DA1"/>
    <w:rsid w:val="26D66D39"/>
    <w:rsid w:val="270F5BCF"/>
    <w:rsid w:val="272623F8"/>
    <w:rsid w:val="272E0923"/>
    <w:rsid w:val="276A1EBA"/>
    <w:rsid w:val="276E08C0"/>
    <w:rsid w:val="2779507C"/>
    <w:rsid w:val="277E2C49"/>
    <w:rsid w:val="279010FF"/>
    <w:rsid w:val="27924C4A"/>
    <w:rsid w:val="279C2917"/>
    <w:rsid w:val="279F519A"/>
    <w:rsid w:val="27A45517"/>
    <w:rsid w:val="27AA5AD0"/>
    <w:rsid w:val="27B01338"/>
    <w:rsid w:val="27B97A3A"/>
    <w:rsid w:val="27C22649"/>
    <w:rsid w:val="27C923FA"/>
    <w:rsid w:val="27D50D9F"/>
    <w:rsid w:val="27F42830"/>
    <w:rsid w:val="280129BA"/>
    <w:rsid w:val="280E29C8"/>
    <w:rsid w:val="28154197"/>
    <w:rsid w:val="282370EA"/>
    <w:rsid w:val="282A31F1"/>
    <w:rsid w:val="28331903"/>
    <w:rsid w:val="283420B1"/>
    <w:rsid w:val="28412892"/>
    <w:rsid w:val="28637626"/>
    <w:rsid w:val="287C56BE"/>
    <w:rsid w:val="28B135BA"/>
    <w:rsid w:val="28B81B5C"/>
    <w:rsid w:val="28CD286D"/>
    <w:rsid w:val="28ED0D31"/>
    <w:rsid w:val="28F2772E"/>
    <w:rsid w:val="28F72945"/>
    <w:rsid w:val="28FE60C3"/>
    <w:rsid w:val="29086F52"/>
    <w:rsid w:val="291104DB"/>
    <w:rsid w:val="295108F9"/>
    <w:rsid w:val="295E607F"/>
    <w:rsid w:val="296A19BB"/>
    <w:rsid w:val="298567F4"/>
    <w:rsid w:val="2987256D"/>
    <w:rsid w:val="29894181"/>
    <w:rsid w:val="298F4F7D"/>
    <w:rsid w:val="2996683F"/>
    <w:rsid w:val="29B9024C"/>
    <w:rsid w:val="29C7365C"/>
    <w:rsid w:val="29C966E1"/>
    <w:rsid w:val="29D55086"/>
    <w:rsid w:val="29F70D19"/>
    <w:rsid w:val="2A026DDA"/>
    <w:rsid w:val="2A0C569A"/>
    <w:rsid w:val="2A2403B3"/>
    <w:rsid w:val="2A24682F"/>
    <w:rsid w:val="2A2542B1"/>
    <w:rsid w:val="2A2803A2"/>
    <w:rsid w:val="2A282CB7"/>
    <w:rsid w:val="2A3B1CD8"/>
    <w:rsid w:val="2A505ABB"/>
    <w:rsid w:val="2A5A6D09"/>
    <w:rsid w:val="2A5C7555"/>
    <w:rsid w:val="2A71013E"/>
    <w:rsid w:val="2A7F0300"/>
    <w:rsid w:val="2A7F518B"/>
    <w:rsid w:val="2AA932E7"/>
    <w:rsid w:val="2AAE7F81"/>
    <w:rsid w:val="2ABA24CE"/>
    <w:rsid w:val="2AD92954"/>
    <w:rsid w:val="2ADB2B70"/>
    <w:rsid w:val="2ADC2444"/>
    <w:rsid w:val="2AEF03C9"/>
    <w:rsid w:val="2AF21C68"/>
    <w:rsid w:val="2B0F45B6"/>
    <w:rsid w:val="2B1402D6"/>
    <w:rsid w:val="2B262EC6"/>
    <w:rsid w:val="2B4746D6"/>
    <w:rsid w:val="2B490A56"/>
    <w:rsid w:val="2B4B02A9"/>
    <w:rsid w:val="2B510E7D"/>
    <w:rsid w:val="2B5D7D13"/>
    <w:rsid w:val="2B75075B"/>
    <w:rsid w:val="2B886323"/>
    <w:rsid w:val="2B9151BF"/>
    <w:rsid w:val="2BA54F29"/>
    <w:rsid w:val="2BAC273D"/>
    <w:rsid w:val="2BAC62BA"/>
    <w:rsid w:val="2BBD5E0C"/>
    <w:rsid w:val="2BBF4052"/>
    <w:rsid w:val="2BC8409A"/>
    <w:rsid w:val="2BCE6231"/>
    <w:rsid w:val="2BD83508"/>
    <w:rsid w:val="2BEE0864"/>
    <w:rsid w:val="2BFF463C"/>
    <w:rsid w:val="2C2C2488"/>
    <w:rsid w:val="2C336309"/>
    <w:rsid w:val="2C401DFA"/>
    <w:rsid w:val="2C7063B4"/>
    <w:rsid w:val="2C840854"/>
    <w:rsid w:val="2C8A4A20"/>
    <w:rsid w:val="2C92742C"/>
    <w:rsid w:val="2CA433CB"/>
    <w:rsid w:val="2CA90A4C"/>
    <w:rsid w:val="2CAB0320"/>
    <w:rsid w:val="2CDA39A0"/>
    <w:rsid w:val="2CDD2F33"/>
    <w:rsid w:val="2CFE66A2"/>
    <w:rsid w:val="2D121481"/>
    <w:rsid w:val="2D216218"/>
    <w:rsid w:val="2D261C60"/>
    <w:rsid w:val="2D3F3249"/>
    <w:rsid w:val="2D4228B3"/>
    <w:rsid w:val="2D664D43"/>
    <w:rsid w:val="2D78607F"/>
    <w:rsid w:val="2D7C300A"/>
    <w:rsid w:val="2D8F379E"/>
    <w:rsid w:val="2DAB617C"/>
    <w:rsid w:val="2DBB0A37"/>
    <w:rsid w:val="2DBF0527"/>
    <w:rsid w:val="2DCB62A3"/>
    <w:rsid w:val="2E083F3B"/>
    <w:rsid w:val="2E0F261D"/>
    <w:rsid w:val="2E3B4E0B"/>
    <w:rsid w:val="2E4E527B"/>
    <w:rsid w:val="2E5B4C9B"/>
    <w:rsid w:val="2E623499"/>
    <w:rsid w:val="2E6764C9"/>
    <w:rsid w:val="2E6855F6"/>
    <w:rsid w:val="2E7528AB"/>
    <w:rsid w:val="2E7A2976"/>
    <w:rsid w:val="2E8F6794"/>
    <w:rsid w:val="2E996208"/>
    <w:rsid w:val="2EA7199A"/>
    <w:rsid w:val="2EAF13CF"/>
    <w:rsid w:val="2EB37960"/>
    <w:rsid w:val="2EBD14BC"/>
    <w:rsid w:val="2EC02CA1"/>
    <w:rsid w:val="2EC61441"/>
    <w:rsid w:val="2EE8112F"/>
    <w:rsid w:val="2F025BDF"/>
    <w:rsid w:val="2F06464D"/>
    <w:rsid w:val="2F171749"/>
    <w:rsid w:val="2F2F348A"/>
    <w:rsid w:val="2F5A7DDB"/>
    <w:rsid w:val="2F666935"/>
    <w:rsid w:val="2F752008"/>
    <w:rsid w:val="2F8337D6"/>
    <w:rsid w:val="2F893A0E"/>
    <w:rsid w:val="2F8B2EB9"/>
    <w:rsid w:val="2FAA7CA3"/>
    <w:rsid w:val="2FAA7E40"/>
    <w:rsid w:val="2FB248C3"/>
    <w:rsid w:val="2FB36551"/>
    <w:rsid w:val="2FBC2844"/>
    <w:rsid w:val="2FD84CAE"/>
    <w:rsid w:val="300701D9"/>
    <w:rsid w:val="301104EC"/>
    <w:rsid w:val="30133FEC"/>
    <w:rsid w:val="30153013"/>
    <w:rsid w:val="30153334"/>
    <w:rsid w:val="301949EE"/>
    <w:rsid w:val="301B57BD"/>
    <w:rsid w:val="302C79CA"/>
    <w:rsid w:val="30360848"/>
    <w:rsid w:val="305112C3"/>
    <w:rsid w:val="30527354"/>
    <w:rsid w:val="30601421"/>
    <w:rsid w:val="307003A6"/>
    <w:rsid w:val="30866529"/>
    <w:rsid w:val="308974AE"/>
    <w:rsid w:val="308B29B1"/>
    <w:rsid w:val="309410C2"/>
    <w:rsid w:val="30A25EDE"/>
    <w:rsid w:val="30B20672"/>
    <w:rsid w:val="30B27249"/>
    <w:rsid w:val="30CF42B4"/>
    <w:rsid w:val="30E107B4"/>
    <w:rsid w:val="30E51140"/>
    <w:rsid w:val="30F85C3B"/>
    <w:rsid w:val="30FD0AD3"/>
    <w:rsid w:val="310C0E96"/>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A0EA5"/>
    <w:rsid w:val="31D40319"/>
    <w:rsid w:val="31D64821"/>
    <w:rsid w:val="31D64EC5"/>
    <w:rsid w:val="31FC04FB"/>
    <w:rsid w:val="32075108"/>
    <w:rsid w:val="32317ABF"/>
    <w:rsid w:val="32353291"/>
    <w:rsid w:val="325D18AF"/>
    <w:rsid w:val="32697CF5"/>
    <w:rsid w:val="327D450D"/>
    <w:rsid w:val="32885138"/>
    <w:rsid w:val="329F2634"/>
    <w:rsid w:val="32B85544"/>
    <w:rsid w:val="32C4309F"/>
    <w:rsid w:val="32DB0F7C"/>
    <w:rsid w:val="32DB47FF"/>
    <w:rsid w:val="32E54213"/>
    <w:rsid w:val="32EA3FE2"/>
    <w:rsid w:val="32EF7C1D"/>
    <w:rsid w:val="331658DE"/>
    <w:rsid w:val="331C3A9A"/>
    <w:rsid w:val="33361C3D"/>
    <w:rsid w:val="33384CA1"/>
    <w:rsid w:val="33471930"/>
    <w:rsid w:val="335D1CC5"/>
    <w:rsid w:val="337D5EB4"/>
    <w:rsid w:val="337D6587"/>
    <w:rsid w:val="339139D3"/>
    <w:rsid w:val="339562DA"/>
    <w:rsid w:val="339B5B37"/>
    <w:rsid w:val="33BB606C"/>
    <w:rsid w:val="33C5697B"/>
    <w:rsid w:val="33D56AE0"/>
    <w:rsid w:val="33E800AC"/>
    <w:rsid w:val="33EA422B"/>
    <w:rsid w:val="34121EC5"/>
    <w:rsid w:val="341449FD"/>
    <w:rsid w:val="34153282"/>
    <w:rsid w:val="3416543E"/>
    <w:rsid w:val="341F3B92"/>
    <w:rsid w:val="342F3BA3"/>
    <w:rsid w:val="343D21A6"/>
    <w:rsid w:val="34592D57"/>
    <w:rsid w:val="34651F7F"/>
    <w:rsid w:val="34802290"/>
    <w:rsid w:val="34907B91"/>
    <w:rsid w:val="34A22009"/>
    <w:rsid w:val="34B03955"/>
    <w:rsid w:val="34E5114A"/>
    <w:rsid w:val="34E54854"/>
    <w:rsid w:val="34EB58BD"/>
    <w:rsid w:val="34EC3F9F"/>
    <w:rsid w:val="34FF56AD"/>
    <w:rsid w:val="351A72AD"/>
    <w:rsid w:val="352300E7"/>
    <w:rsid w:val="352E3D4F"/>
    <w:rsid w:val="354444AC"/>
    <w:rsid w:val="355F7EFA"/>
    <w:rsid w:val="357D01F7"/>
    <w:rsid w:val="35824F96"/>
    <w:rsid w:val="35AE3564"/>
    <w:rsid w:val="35BC36A0"/>
    <w:rsid w:val="35C366DA"/>
    <w:rsid w:val="35C651C7"/>
    <w:rsid w:val="35CC5FB4"/>
    <w:rsid w:val="35EF10B3"/>
    <w:rsid w:val="35F9034E"/>
    <w:rsid w:val="361F1786"/>
    <w:rsid w:val="36252EF1"/>
    <w:rsid w:val="363A3E94"/>
    <w:rsid w:val="36541F37"/>
    <w:rsid w:val="366C3230"/>
    <w:rsid w:val="367871E9"/>
    <w:rsid w:val="368A1C5C"/>
    <w:rsid w:val="368E4C10"/>
    <w:rsid w:val="369E4A52"/>
    <w:rsid w:val="36D6705D"/>
    <w:rsid w:val="36D80507"/>
    <w:rsid w:val="36D95F89"/>
    <w:rsid w:val="36EF34FF"/>
    <w:rsid w:val="36F626F5"/>
    <w:rsid w:val="37005384"/>
    <w:rsid w:val="370116CC"/>
    <w:rsid w:val="370451FC"/>
    <w:rsid w:val="3707541C"/>
    <w:rsid w:val="371F40D7"/>
    <w:rsid w:val="373C3BD5"/>
    <w:rsid w:val="37607F59"/>
    <w:rsid w:val="378E0F6A"/>
    <w:rsid w:val="379028BA"/>
    <w:rsid w:val="379A126C"/>
    <w:rsid w:val="379D5206"/>
    <w:rsid w:val="37B620F4"/>
    <w:rsid w:val="37BF4F82"/>
    <w:rsid w:val="37DF3574"/>
    <w:rsid w:val="38066D52"/>
    <w:rsid w:val="380A0E63"/>
    <w:rsid w:val="38163139"/>
    <w:rsid w:val="381A4397"/>
    <w:rsid w:val="38253A2D"/>
    <w:rsid w:val="38332099"/>
    <w:rsid w:val="383B234D"/>
    <w:rsid w:val="38402264"/>
    <w:rsid w:val="384F06F9"/>
    <w:rsid w:val="38527D74"/>
    <w:rsid w:val="385E26EA"/>
    <w:rsid w:val="38697999"/>
    <w:rsid w:val="38730223"/>
    <w:rsid w:val="388572C9"/>
    <w:rsid w:val="38864D4B"/>
    <w:rsid w:val="388F1DD7"/>
    <w:rsid w:val="38912AC0"/>
    <w:rsid w:val="38AE268C"/>
    <w:rsid w:val="38C84008"/>
    <w:rsid w:val="38CF183A"/>
    <w:rsid w:val="38E27663"/>
    <w:rsid w:val="391B05DB"/>
    <w:rsid w:val="394538AA"/>
    <w:rsid w:val="39456083"/>
    <w:rsid w:val="3955411F"/>
    <w:rsid w:val="395B6028"/>
    <w:rsid w:val="39691347"/>
    <w:rsid w:val="396E5985"/>
    <w:rsid w:val="397F500E"/>
    <w:rsid w:val="39806B4E"/>
    <w:rsid w:val="39820A82"/>
    <w:rsid w:val="39934616"/>
    <w:rsid w:val="399E325D"/>
    <w:rsid w:val="399F0A89"/>
    <w:rsid w:val="39AA790D"/>
    <w:rsid w:val="39E9692C"/>
    <w:rsid w:val="3A03088E"/>
    <w:rsid w:val="3A124BCC"/>
    <w:rsid w:val="3A1741DD"/>
    <w:rsid w:val="3A1E4827"/>
    <w:rsid w:val="3A1F40FB"/>
    <w:rsid w:val="3A255BB6"/>
    <w:rsid w:val="3A3F1B1E"/>
    <w:rsid w:val="3A793EC2"/>
    <w:rsid w:val="3A9A1B01"/>
    <w:rsid w:val="3AC059F9"/>
    <w:rsid w:val="3AD76784"/>
    <w:rsid w:val="3AE04600"/>
    <w:rsid w:val="3B003F2D"/>
    <w:rsid w:val="3B0F23C2"/>
    <w:rsid w:val="3B1479D8"/>
    <w:rsid w:val="3B344138"/>
    <w:rsid w:val="3B3B31B7"/>
    <w:rsid w:val="3B3F720A"/>
    <w:rsid w:val="3B5B1163"/>
    <w:rsid w:val="3B9C7DED"/>
    <w:rsid w:val="3BA26D92"/>
    <w:rsid w:val="3BA62150"/>
    <w:rsid w:val="3BAC7AF6"/>
    <w:rsid w:val="3BB05953"/>
    <w:rsid w:val="3BC05FBB"/>
    <w:rsid w:val="3BC44F5A"/>
    <w:rsid w:val="3BCB12A4"/>
    <w:rsid w:val="3BD07F9E"/>
    <w:rsid w:val="3BDE5D47"/>
    <w:rsid w:val="3BE47C50"/>
    <w:rsid w:val="3BEC3774"/>
    <w:rsid w:val="3BF369DE"/>
    <w:rsid w:val="3BF70E6F"/>
    <w:rsid w:val="3BFD5C1E"/>
    <w:rsid w:val="3BFF5BFB"/>
    <w:rsid w:val="3C136F60"/>
    <w:rsid w:val="3C173922"/>
    <w:rsid w:val="3C1C7DAA"/>
    <w:rsid w:val="3C292943"/>
    <w:rsid w:val="3C294B9E"/>
    <w:rsid w:val="3C504D81"/>
    <w:rsid w:val="3C662E76"/>
    <w:rsid w:val="3C6B206F"/>
    <w:rsid w:val="3C6F7834"/>
    <w:rsid w:val="3C751E2D"/>
    <w:rsid w:val="3C774C40"/>
    <w:rsid w:val="3C7D43E9"/>
    <w:rsid w:val="3C810DD3"/>
    <w:rsid w:val="3C8342D6"/>
    <w:rsid w:val="3C9035EC"/>
    <w:rsid w:val="3C9167E0"/>
    <w:rsid w:val="3C926AEF"/>
    <w:rsid w:val="3CA442DF"/>
    <w:rsid w:val="3CB66F99"/>
    <w:rsid w:val="3CBD65EE"/>
    <w:rsid w:val="3CC83746"/>
    <w:rsid w:val="3CDE0EAF"/>
    <w:rsid w:val="3CED5F04"/>
    <w:rsid w:val="3CF05F53"/>
    <w:rsid w:val="3D1D5F62"/>
    <w:rsid w:val="3D233718"/>
    <w:rsid w:val="3D395934"/>
    <w:rsid w:val="3D515BBF"/>
    <w:rsid w:val="3D5278E3"/>
    <w:rsid w:val="3D6C3AFB"/>
    <w:rsid w:val="3D72615D"/>
    <w:rsid w:val="3D8449A1"/>
    <w:rsid w:val="3D87623F"/>
    <w:rsid w:val="3D8B431A"/>
    <w:rsid w:val="3DA037A5"/>
    <w:rsid w:val="3DA46DF1"/>
    <w:rsid w:val="3DD2267A"/>
    <w:rsid w:val="3DD3167A"/>
    <w:rsid w:val="3DD55670"/>
    <w:rsid w:val="3DE7087F"/>
    <w:rsid w:val="3DE970A0"/>
    <w:rsid w:val="3E3F09CE"/>
    <w:rsid w:val="3E4238B7"/>
    <w:rsid w:val="3E4464B5"/>
    <w:rsid w:val="3E4B54BF"/>
    <w:rsid w:val="3E52548F"/>
    <w:rsid w:val="3E75253C"/>
    <w:rsid w:val="3E78548D"/>
    <w:rsid w:val="3E7A2248"/>
    <w:rsid w:val="3EB66257"/>
    <w:rsid w:val="3EB966EC"/>
    <w:rsid w:val="3EBC4E7A"/>
    <w:rsid w:val="3EC11302"/>
    <w:rsid w:val="3ED40DD5"/>
    <w:rsid w:val="3EEA1576"/>
    <w:rsid w:val="3EFA2761"/>
    <w:rsid w:val="3F072E26"/>
    <w:rsid w:val="3F1735F3"/>
    <w:rsid w:val="3F244EC9"/>
    <w:rsid w:val="3F402B4A"/>
    <w:rsid w:val="3F495D63"/>
    <w:rsid w:val="3F7F61DF"/>
    <w:rsid w:val="3F89361E"/>
    <w:rsid w:val="3F8F44CC"/>
    <w:rsid w:val="3F9410E8"/>
    <w:rsid w:val="3FA318F5"/>
    <w:rsid w:val="3FAC6431"/>
    <w:rsid w:val="3FB76397"/>
    <w:rsid w:val="3FBA151A"/>
    <w:rsid w:val="3FBF6165"/>
    <w:rsid w:val="3FCD5281"/>
    <w:rsid w:val="3FD63E0A"/>
    <w:rsid w:val="3FE15E75"/>
    <w:rsid w:val="3FE756BB"/>
    <w:rsid w:val="4007741B"/>
    <w:rsid w:val="401044A7"/>
    <w:rsid w:val="40185875"/>
    <w:rsid w:val="401E017D"/>
    <w:rsid w:val="404B1562"/>
    <w:rsid w:val="405D42B8"/>
    <w:rsid w:val="4065019B"/>
    <w:rsid w:val="406B713F"/>
    <w:rsid w:val="407231D7"/>
    <w:rsid w:val="40AC51FF"/>
    <w:rsid w:val="40B029AF"/>
    <w:rsid w:val="40B75214"/>
    <w:rsid w:val="40B830C1"/>
    <w:rsid w:val="40CC4BF7"/>
    <w:rsid w:val="40D91E85"/>
    <w:rsid w:val="40E1210B"/>
    <w:rsid w:val="40F94425"/>
    <w:rsid w:val="40F97454"/>
    <w:rsid w:val="40FA572A"/>
    <w:rsid w:val="411249BA"/>
    <w:rsid w:val="41140916"/>
    <w:rsid w:val="411E510F"/>
    <w:rsid w:val="411F4664"/>
    <w:rsid w:val="412805BB"/>
    <w:rsid w:val="413F299B"/>
    <w:rsid w:val="41523BBA"/>
    <w:rsid w:val="4182744A"/>
    <w:rsid w:val="41860619"/>
    <w:rsid w:val="41880811"/>
    <w:rsid w:val="419724D4"/>
    <w:rsid w:val="41BE244C"/>
    <w:rsid w:val="41CA7043"/>
    <w:rsid w:val="41D100B9"/>
    <w:rsid w:val="41D42E8E"/>
    <w:rsid w:val="41D8350E"/>
    <w:rsid w:val="41DC1814"/>
    <w:rsid w:val="41F216BC"/>
    <w:rsid w:val="4204365E"/>
    <w:rsid w:val="4214123F"/>
    <w:rsid w:val="42153698"/>
    <w:rsid w:val="421E75F3"/>
    <w:rsid w:val="423050F8"/>
    <w:rsid w:val="423170C2"/>
    <w:rsid w:val="42397034"/>
    <w:rsid w:val="42440BA3"/>
    <w:rsid w:val="424B3DD2"/>
    <w:rsid w:val="425D1AEE"/>
    <w:rsid w:val="42705CC0"/>
    <w:rsid w:val="428B4A24"/>
    <w:rsid w:val="4290203A"/>
    <w:rsid w:val="42910920"/>
    <w:rsid w:val="429D007B"/>
    <w:rsid w:val="42A561D4"/>
    <w:rsid w:val="42BA508F"/>
    <w:rsid w:val="42D33CD5"/>
    <w:rsid w:val="42DA493A"/>
    <w:rsid w:val="42DF4645"/>
    <w:rsid w:val="43036368"/>
    <w:rsid w:val="431C43A5"/>
    <w:rsid w:val="431E31A2"/>
    <w:rsid w:val="431F7F95"/>
    <w:rsid w:val="43254DBA"/>
    <w:rsid w:val="43404555"/>
    <w:rsid w:val="434A3F97"/>
    <w:rsid w:val="434B5F61"/>
    <w:rsid w:val="434D4C79"/>
    <w:rsid w:val="434D7F2B"/>
    <w:rsid w:val="437544CD"/>
    <w:rsid w:val="437955A3"/>
    <w:rsid w:val="438501B2"/>
    <w:rsid w:val="43A13550"/>
    <w:rsid w:val="43B03699"/>
    <w:rsid w:val="43B533A4"/>
    <w:rsid w:val="43BD25E0"/>
    <w:rsid w:val="43CE7E9D"/>
    <w:rsid w:val="43D922DF"/>
    <w:rsid w:val="43DB04EB"/>
    <w:rsid w:val="43DB3FAF"/>
    <w:rsid w:val="43EE0F7F"/>
    <w:rsid w:val="43F6182A"/>
    <w:rsid w:val="4400471D"/>
    <w:rsid w:val="440B425E"/>
    <w:rsid w:val="44256EDB"/>
    <w:rsid w:val="44336526"/>
    <w:rsid w:val="449A491B"/>
    <w:rsid w:val="449C2EB3"/>
    <w:rsid w:val="44A06825"/>
    <w:rsid w:val="44D21876"/>
    <w:rsid w:val="44EA3560"/>
    <w:rsid w:val="450F53C4"/>
    <w:rsid w:val="45153A1F"/>
    <w:rsid w:val="451A208F"/>
    <w:rsid w:val="45203E78"/>
    <w:rsid w:val="4536479A"/>
    <w:rsid w:val="454163AE"/>
    <w:rsid w:val="45467528"/>
    <w:rsid w:val="454864B0"/>
    <w:rsid w:val="454F1D39"/>
    <w:rsid w:val="455B692F"/>
    <w:rsid w:val="4564607F"/>
    <w:rsid w:val="45746617"/>
    <w:rsid w:val="45793729"/>
    <w:rsid w:val="45A81449"/>
    <w:rsid w:val="45AA3B09"/>
    <w:rsid w:val="45BA27F4"/>
    <w:rsid w:val="45BC6CA2"/>
    <w:rsid w:val="45BE1328"/>
    <w:rsid w:val="45CF6F16"/>
    <w:rsid w:val="45E41201"/>
    <w:rsid w:val="45ED672C"/>
    <w:rsid w:val="45FA69EE"/>
    <w:rsid w:val="46054AED"/>
    <w:rsid w:val="46146386"/>
    <w:rsid w:val="461D3BE5"/>
    <w:rsid w:val="462767CE"/>
    <w:rsid w:val="46464590"/>
    <w:rsid w:val="4649335D"/>
    <w:rsid w:val="465F5C69"/>
    <w:rsid w:val="46641988"/>
    <w:rsid w:val="466850F2"/>
    <w:rsid w:val="467E7FB4"/>
    <w:rsid w:val="468406EE"/>
    <w:rsid w:val="46927EFF"/>
    <w:rsid w:val="46A165C4"/>
    <w:rsid w:val="46C027C2"/>
    <w:rsid w:val="46DD1652"/>
    <w:rsid w:val="46DE494D"/>
    <w:rsid w:val="46E46DDB"/>
    <w:rsid w:val="46E95465"/>
    <w:rsid w:val="46F102F3"/>
    <w:rsid w:val="46F81F5C"/>
    <w:rsid w:val="470F78A3"/>
    <w:rsid w:val="472A6618"/>
    <w:rsid w:val="472D0BDD"/>
    <w:rsid w:val="47310001"/>
    <w:rsid w:val="476218AB"/>
    <w:rsid w:val="47691236"/>
    <w:rsid w:val="476D6A52"/>
    <w:rsid w:val="477159E0"/>
    <w:rsid w:val="4776054C"/>
    <w:rsid w:val="477E06B3"/>
    <w:rsid w:val="479972EB"/>
    <w:rsid w:val="47A65F99"/>
    <w:rsid w:val="47B73BC5"/>
    <w:rsid w:val="47BC567F"/>
    <w:rsid w:val="47C94BC8"/>
    <w:rsid w:val="47F93301"/>
    <w:rsid w:val="48040BAD"/>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D81343"/>
    <w:rsid w:val="48F74BC1"/>
    <w:rsid w:val="492846DE"/>
    <w:rsid w:val="49652CD0"/>
    <w:rsid w:val="496C0725"/>
    <w:rsid w:val="49901EC0"/>
    <w:rsid w:val="499C12C5"/>
    <w:rsid w:val="49AA71E7"/>
    <w:rsid w:val="49B06B1E"/>
    <w:rsid w:val="49CD3F23"/>
    <w:rsid w:val="49FB423D"/>
    <w:rsid w:val="4A084BAC"/>
    <w:rsid w:val="4A1B28BA"/>
    <w:rsid w:val="4A36793C"/>
    <w:rsid w:val="4A5B700A"/>
    <w:rsid w:val="4A6D6AAB"/>
    <w:rsid w:val="4A7668AA"/>
    <w:rsid w:val="4A8E3680"/>
    <w:rsid w:val="4AA0365E"/>
    <w:rsid w:val="4AA8258C"/>
    <w:rsid w:val="4ABA06A9"/>
    <w:rsid w:val="4AD0259E"/>
    <w:rsid w:val="4AD66A58"/>
    <w:rsid w:val="4AE1490A"/>
    <w:rsid w:val="4AF45DC4"/>
    <w:rsid w:val="4AFD4615"/>
    <w:rsid w:val="4B1E4B4A"/>
    <w:rsid w:val="4B26353C"/>
    <w:rsid w:val="4B39541F"/>
    <w:rsid w:val="4B5633BD"/>
    <w:rsid w:val="4B7C7600"/>
    <w:rsid w:val="4B973AEA"/>
    <w:rsid w:val="4BC74E87"/>
    <w:rsid w:val="4BD17C96"/>
    <w:rsid w:val="4BE551A5"/>
    <w:rsid w:val="4BE64A79"/>
    <w:rsid w:val="4BE9413D"/>
    <w:rsid w:val="4BF56DAC"/>
    <w:rsid w:val="4C0E2493"/>
    <w:rsid w:val="4C1A156A"/>
    <w:rsid w:val="4C1F06FA"/>
    <w:rsid w:val="4C215AB1"/>
    <w:rsid w:val="4C515F9F"/>
    <w:rsid w:val="4C5A6005"/>
    <w:rsid w:val="4C5B5467"/>
    <w:rsid w:val="4C711F79"/>
    <w:rsid w:val="4C980C50"/>
    <w:rsid w:val="4CBE2078"/>
    <w:rsid w:val="4CCF357B"/>
    <w:rsid w:val="4CDA6125"/>
    <w:rsid w:val="4CE7444F"/>
    <w:rsid w:val="4CEA0599"/>
    <w:rsid w:val="4CF85A25"/>
    <w:rsid w:val="4CFD3EE8"/>
    <w:rsid w:val="4D162733"/>
    <w:rsid w:val="4D1965D0"/>
    <w:rsid w:val="4D2E3F3F"/>
    <w:rsid w:val="4D383F40"/>
    <w:rsid w:val="4D3F6FBF"/>
    <w:rsid w:val="4D706CF0"/>
    <w:rsid w:val="4D83739D"/>
    <w:rsid w:val="4D861A21"/>
    <w:rsid w:val="4D9A1FBF"/>
    <w:rsid w:val="4DA16ADE"/>
    <w:rsid w:val="4DB3336D"/>
    <w:rsid w:val="4DBE6397"/>
    <w:rsid w:val="4DD3727F"/>
    <w:rsid w:val="4DD827C4"/>
    <w:rsid w:val="4DE8619F"/>
    <w:rsid w:val="4DF51062"/>
    <w:rsid w:val="4E015F16"/>
    <w:rsid w:val="4E036E8C"/>
    <w:rsid w:val="4E194024"/>
    <w:rsid w:val="4E362286"/>
    <w:rsid w:val="4E3A32D0"/>
    <w:rsid w:val="4E437F61"/>
    <w:rsid w:val="4E4E3A88"/>
    <w:rsid w:val="4E555CA6"/>
    <w:rsid w:val="4E7F4257"/>
    <w:rsid w:val="4E860383"/>
    <w:rsid w:val="4E880069"/>
    <w:rsid w:val="4E8D5680"/>
    <w:rsid w:val="4EB47AF9"/>
    <w:rsid w:val="4EB600E0"/>
    <w:rsid w:val="4EBA3B62"/>
    <w:rsid w:val="4EBC78D4"/>
    <w:rsid w:val="4ECA68D4"/>
    <w:rsid w:val="4EDB7C89"/>
    <w:rsid w:val="4EDF5575"/>
    <w:rsid w:val="4EE82601"/>
    <w:rsid w:val="4F007BC3"/>
    <w:rsid w:val="4F0A15BF"/>
    <w:rsid w:val="4F135B85"/>
    <w:rsid w:val="4F1638C7"/>
    <w:rsid w:val="4F1B67C9"/>
    <w:rsid w:val="4F4233B7"/>
    <w:rsid w:val="4F457D08"/>
    <w:rsid w:val="4F5C03C2"/>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83D77"/>
    <w:rsid w:val="506B379F"/>
    <w:rsid w:val="506B7C43"/>
    <w:rsid w:val="50704A07"/>
    <w:rsid w:val="50722108"/>
    <w:rsid w:val="50980B6A"/>
    <w:rsid w:val="50A61150"/>
    <w:rsid w:val="50AE0278"/>
    <w:rsid w:val="50B163AF"/>
    <w:rsid w:val="50B85D0D"/>
    <w:rsid w:val="50CE26AB"/>
    <w:rsid w:val="50D2381E"/>
    <w:rsid w:val="51085E7F"/>
    <w:rsid w:val="510A0D9D"/>
    <w:rsid w:val="51254295"/>
    <w:rsid w:val="512914C1"/>
    <w:rsid w:val="51360251"/>
    <w:rsid w:val="513642E7"/>
    <w:rsid w:val="51380BCD"/>
    <w:rsid w:val="514606C6"/>
    <w:rsid w:val="51524190"/>
    <w:rsid w:val="515D463D"/>
    <w:rsid w:val="515D758B"/>
    <w:rsid w:val="516052CE"/>
    <w:rsid w:val="51632D16"/>
    <w:rsid w:val="51724C3F"/>
    <w:rsid w:val="5186674D"/>
    <w:rsid w:val="518B03C1"/>
    <w:rsid w:val="518C7E71"/>
    <w:rsid w:val="51A60C76"/>
    <w:rsid w:val="51AB39CE"/>
    <w:rsid w:val="51C51AB5"/>
    <w:rsid w:val="51F966FC"/>
    <w:rsid w:val="51FA0C8B"/>
    <w:rsid w:val="52134095"/>
    <w:rsid w:val="522608AF"/>
    <w:rsid w:val="522B3570"/>
    <w:rsid w:val="5245701D"/>
    <w:rsid w:val="52466EEA"/>
    <w:rsid w:val="524D6516"/>
    <w:rsid w:val="524E2262"/>
    <w:rsid w:val="52720E14"/>
    <w:rsid w:val="52826DAC"/>
    <w:rsid w:val="529F1E45"/>
    <w:rsid w:val="52AD0E8E"/>
    <w:rsid w:val="52C25403"/>
    <w:rsid w:val="52C45947"/>
    <w:rsid w:val="52C8312A"/>
    <w:rsid w:val="52C9356C"/>
    <w:rsid w:val="52D407EB"/>
    <w:rsid w:val="52D62BF7"/>
    <w:rsid w:val="52E1554F"/>
    <w:rsid w:val="52E511BE"/>
    <w:rsid w:val="52E573E7"/>
    <w:rsid w:val="52EE6FB6"/>
    <w:rsid w:val="52F07DFC"/>
    <w:rsid w:val="531254ED"/>
    <w:rsid w:val="53185E60"/>
    <w:rsid w:val="533407C0"/>
    <w:rsid w:val="533F163E"/>
    <w:rsid w:val="533F6DA3"/>
    <w:rsid w:val="53513120"/>
    <w:rsid w:val="53656BCB"/>
    <w:rsid w:val="53930B93"/>
    <w:rsid w:val="53A0483E"/>
    <w:rsid w:val="53B0035C"/>
    <w:rsid w:val="53B86CFB"/>
    <w:rsid w:val="53C658BC"/>
    <w:rsid w:val="53D004E8"/>
    <w:rsid w:val="53D64112"/>
    <w:rsid w:val="53DC205C"/>
    <w:rsid w:val="53DC329D"/>
    <w:rsid w:val="53DF5E7C"/>
    <w:rsid w:val="53E930F7"/>
    <w:rsid w:val="54065D20"/>
    <w:rsid w:val="5415330F"/>
    <w:rsid w:val="541A6706"/>
    <w:rsid w:val="543C0BE9"/>
    <w:rsid w:val="543F566E"/>
    <w:rsid w:val="545D3CF8"/>
    <w:rsid w:val="5462237E"/>
    <w:rsid w:val="546C6511"/>
    <w:rsid w:val="5477485C"/>
    <w:rsid w:val="547905AA"/>
    <w:rsid w:val="548825BE"/>
    <w:rsid w:val="54931516"/>
    <w:rsid w:val="54CF254E"/>
    <w:rsid w:val="54D44008"/>
    <w:rsid w:val="54E16A77"/>
    <w:rsid w:val="54FB4092"/>
    <w:rsid w:val="55322ADD"/>
    <w:rsid w:val="553304D8"/>
    <w:rsid w:val="553700F3"/>
    <w:rsid w:val="55424374"/>
    <w:rsid w:val="555516BB"/>
    <w:rsid w:val="55571991"/>
    <w:rsid w:val="55616C37"/>
    <w:rsid w:val="55640394"/>
    <w:rsid w:val="55924DCB"/>
    <w:rsid w:val="55956F28"/>
    <w:rsid w:val="559A7000"/>
    <w:rsid w:val="55BB3BD0"/>
    <w:rsid w:val="55C23E61"/>
    <w:rsid w:val="55C94E39"/>
    <w:rsid w:val="55D65AE8"/>
    <w:rsid w:val="56004A8C"/>
    <w:rsid w:val="5604752C"/>
    <w:rsid w:val="560662B2"/>
    <w:rsid w:val="561F7505"/>
    <w:rsid w:val="563A3B68"/>
    <w:rsid w:val="563D7C13"/>
    <w:rsid w:val="563E5F58"/>
    <w:rsid w:val="565C59BC"/>
    <w:rsid w:val="56661B4F"/>
    <w:rsid w:val="56A10441"/>
    <w:rsid w:val="56BB1A3C"/>
    <w:rsid w:val="56E0560F"/>
    <w:rsid w:val="56E10D7D"/>
    <w:rsid w:val="56F711D3"/>
    <w:rsid w:val="570C0F09"/>
    <w:rsid w:val="571760EF"/>
    <w:rsid w:val="57284F8E"/>
    <w:rsid w:val="5729188C"/>
    <w:rsid w:val="573471D2"/>
    <w:rsid w:val="57365C7E"/>
    <w:rsid w:val="574127B6"/>
    <w:rsid w:val="57497BC3"/>
    <w:rsid w:val="5756729A"/>
    <w:rsid w:val="575F6B30"/>
    <w:rsid w:val="576202BF"/>
    <w:rsid w:val="57846852"/>
    <w:rsid w:val="57A85B5A"/>
    <w:rsid w:val="57B141AA"/>
    <w:rsid w:val="57B87882"/>
    <w:rsid w:val="57C049B1"/>
    <w:rsid w:val="57DD33CB"/>
    <w:rsid w:val="57ED4E4E"/>
    <w:rsid w:val="57FB1BE5"/>
    <w:rsid w:val="57FC7666"/>
    <w:rsid w:val="58014E0A"/>
    <w:rsid w:val="580E5A83"/>
    <w:rsid w:val="58121BBD"/>
    <w:rsid w:val="581D28B2"/>
    <w:rsid w:val="582278A6"/>
    <w:rsid w:val="583667C5"/>
    <w:rsid w:val="583A6878"/>
    <w:rsid w:val="585B2F03"/>
    <w:rsid w:val="586B71BC"/>
    <w:rsid w:val="58733B38"/>
    <w:rsid w:val="58794897"/>
    <w:rsid w:val="58841C85"/>
    <w:rsid w:val="588440C7"/>
    <w:rsid w:val="58906498"/>
    <w:rsid w:val="58987048"/>
    <w:rsid w:val="58A6364C"/>
    <w:rsid w:val="58A67A6A"/>
    <w:rsid w:val="58BF734E"/>
    <w:rsid w:val="58CC5BAC"/>
    <w:rsid w:val="58E453E6"/>
    <w:rsid w:val="592106AE"/>
    <w:rsid w:val="592C090B"/>
    <w:rsid w:val="59301A29"/>
    <w:rsid w:val="59401C6C"/>
    <w:rsid w:val="59457F9D"/>
    <w:rsid w:val="594D4C89"/>
    <w:rsid w:val="59527BF2"/>
    <w:rsid w:val="59554FEC"/>
    <w:rsid w:val="59701E26"/>
    <w:rsid w:val="598A738C"/>
    <w:rsid w:val="59A61C20"/>
    <w:rsid w:val="59A85348"/>
    <w:rsid w:val="59B055ED"/>
    <w:rsid w:val="59B3425C"/>
    <w:rsid w:val="59C0604D"/>
    <w:rsid w:val="59C73975"/>
    <w:rsid w:val="59CC1752"/>
    <w:rsid w:val="59CF475B"/>
    <w:rsid w:val="59DA0E48"/>
    <w:rsid w:val="59DC20FA"/>
    <w:rsid w:val="59E54F88"/>
    <w:rsid w:val="59E6628D"/>
    <w:rsid w:val="59F93C29"/>
    <w:rsid w:val="59F969E3"/>
    <w:rsid w:val="5A00764E"/>
    <w:rsid w:val="5A0C4E48"/>
    <w:rsid w:val="5A2F6381"/>
    <w:rsid w:val="5A461C11"/>
    <w:rsid w:val="5A4D705A"/>
    <w:rsid w:val="5A4E4387"/>
    <w:rsid w:val="5A5B5812"/>
    <w:rsid w:val="5A6F4AC9"/>
    <w:rsid w:val="5A7E5C4F"/>
    <w:rsid w:val="5A81078E"/>
    <w:rsid w:val="5A96220A"/>
    <w:rsid w:val="5A964DAC"/>
    <w:rsid w:val="5A995D31"/>
    <w:rsid w:val="5AA02126"/>
    <w:rsid w:val="5AB521E6"/>
    <w:rsid w:val="5ABB5323"/>
    <w:rsid w:val="5AC323F8"/>
    <w:rsid w:val="5B027490"/>
    <w:rsid w:val="5B1A6899"/>
    <w:rsid w:val="5B1E422F"/>
    <w:rsid w:val="5B264E92"/>
    <w:rsid w:val="5B5154DF"/>
    <w:rsid w:val="5B6661A9"/>
    <w:rsid w:val="5B6B0AF7"/>
    <w:rsid w:val="5B75441A"/>
    <w:rsid w:val="5B773066"/>
    <w:rsid w:val="5B7B6323"/>
    <w:rsid w:val="5B833730"/>
    <w:rsid w:val="5B857E0A"/>
    <w:rsid w:val="5B865931"/>
    <w:rsid w:val="5B991157"/>
    <w:rsid w:val="5B9F2D78"/>
    <w:rsid w:val="5BA147B5"/>
    <w:rsid w:val="5BA67282"/>
    <w:rsid w:val="5BAA7871"/>
    <w:rsid w:val="5BDC060C"/>
    <w:rsid w:val="5BFB1E7B"/>
    <w:rsid w:val="5C013FFE"/>
    <w:rsid w:val="5C4D667C"/>
    <w:rsid w:val="5C68052A"/>
    <w:rsid w:val="5C6C36AD"/>
    <w:rsid w:val="5C6D112F"/>
    <w:rsid w:val="5C735EC7"/>
    <w:rsid w:val="5C904575"/>
    <w:rsid w:val="5C91188E"/>
    <w:rsid w:val="5C916A65"/>
    <w:rsid w:val="5CA86694"/>
    <w:rsid w:val="5CAB54B0"/>
    <w:rsid w:val="5CBD2B03"/>
    <w:rsid w:val="5CBE3035"/>
    <w:rsid w:val="5CC40525"/>
    <w:rsid w:val="5CFB721B"/>
    <w:rsid w:val="5D012DAA"/>
    <w:rsid w:val="5D1640AF"/>
    <w:rsid w:val="5D273DE0"/>
    <w:rsid w:val="5D38165A"/>
    <w:rsid w:val="5D3A4BD9"/>
    <w:rsid w:val="5D3D7C30"/>
    <w:rsid w:val="5D7330E8"/>
    <w:rsid w:val="5D926ACE"/>
    <w:rsid w:val="5D9B1B67"/>
    <w:rsid w:val="5DA930B5"/>
    <w:rsid w:val="5DB2695F"/>
    <w:rsid w:val="5DBE13B2"/>
    <w:rsid w:val="5DC0137C"/>
    <w:rsid w:val="5DC310BE"/>
    <w:rsid w:val="5DF748C4"/>
    <w:rsid w:val="5DF76AAF"/>
    <w:rsid w:val="5E007C1C"/>
    <w:rsid w:val="5E0771FD"/>
    <w:rsid w:val="5E090AC7"/>
    <w:rsid w:val="5E220F75"/>
    <w:rsid w:val="5E230800"/>
    <w:rsid w:val="5E2C27BF"/>
    <w:rsid w:val="5E333019"/>
    <w:rsid w:val="5E370EEC"/>
    <w:rsid w:val="5E3866C8"/>
    <w:rsid w:val="5E5644D2"/>
    <w:rsid w:val="5E6B7D23"/>
    <w:rsid w:val="5E6C57A6"/>
    <w:rsid w:val="5E6E102A"/>
    <w:rsid w:val="5E71624F"/>
    <w:rsid w:val="5E717C83"/>
    <w:rsid w:val="5E751504"/>
    <w:rsid w:val="5E7D73A5"/>
    <w:rsid w:val="5EA04BD7"/>
    <w:rsid w:val="5EAE2404"/>
    <w:rsid w:val="5EC32DFB"/>
    <w:rsid w:val="5EC455DD"/>
    <w:rsid w:val="5ED1433D"/>
    <w:rsid w:val="5EED5641"/>
    <w:rsid w:val="5EF16715"/>
    <w:rsid w:val="5F3B384B"/>
    <w:rsid w:val="5F3C12FF"/>
    <w:rsid w:val="5F3F2125"/>
    <w:rsid w:val="5F6B5097"/>
    <w:rsid w:val="5F7C7B38"/>
    <w:rsid w:val="5F7D4D16"/>
    <w:rsid w:val="5FA93E7F"/>
    <w:rsid w:val="5FBE7704"/>
    <w:rsid w:val="5FCA1E36"/>
    <w:rsid w:val="5FD27B73"/>
    <w:rsid w:val="6009519E"/>
    <w:rsid w:val="600A4521"/>
    <w:rsid w:val="603144C3"/>
    <w:rsid w:val="60624BBE"/>
    <w:rsid w:val="606D08D2"/>
    <w:rsid w:val="60705E47"/>
    <w:rsid w:val="60866C2D"/>
    <w:rsid w:val="60DB486A"/>
    <w:rsid w:val="60F33C49"/>
    <w:rsid w:val="60F87FED"/>
    <w:rsid w:val="61044220"/>
    <w:rsid w:val="6105554A"/>
    <w:rsid w:val="610648A2"/>
    <w:rsid w:val="61306EDC"/>
    <w:rsid w:val="61406F72"/>
    <w:rsid w:val="61500F67"/>
    <w:rsid w:val="617B36D1"/>
    <w:rsid w:val="61803A85"/>
    <w:rsid w:val="618F2A1B"/>
    <w:rsid w:val="61931421"/>
    <w:rsid w:val="619A4202"/>
    <w:rsid w:val="619A682E"/>
    <w:rsid w:val="61A77850"/>
    <w:rsid w:val="61AD1F23"/>
    <w:rsid w:val="61B52C5B"/>
    <w:rsid w:val="61BA4A46"/>
    <w:rsid w:val="61BF72C0"/>
    <w:rsid w:val="61C3168D"/>
    <w:rsid w:val="61E6342A"/>
    <w:rsid w:val="620771B2"/>
    <w:rsid w:val="62080A1D"/>
    <w:rsid w:val="622D4D58"/>
    <w:rsid w:val="622E02E3"/>
    <w:rsid w:val="624E643B"/>
    <w:rsid w:val="625B2843"/>
    <w:rsid w:val="62712821"/>
    <w:rsid w:val="62730F7B"/>
    <w:rsid w:val="62953005"/>
    <w:rsid w:val="62A27631"/>
    <w:rsid w:val="62A27C60"/>
    <w:rsid w:val="62AF0FEF"/>
    <w:rsid w:val="62C17A7B"/>
    <w:rsid w:val="62CB49A1"/>
    <w:rsid w:val="62FC3469"/>
    <w:rsid w:val="630C4460"/>
    <w:rsid w:val="63141A74"/>
    <w:rsid w:val="631C34A7"/>
    <w:rsid w:val="632E6C44"/>
    <w:rsid w:val="633059CA"/>
    <w:rsid w:val="6364313A"/>
    <w:rsid w:val="636D1953"/>
    <w:rsid w:val="636F09B8"/>
    <w:rsid w:val="637D3ABD"/>
    <w:rsid w:val="63916CE9"/>
    <w:rsid w:val="63B04B6E"/>
    <w:rsid w:val="63B86E2C"/>
    <w:rsid w:val="63BA5D30"/>
    <w:rsid w:val="63D979B2"/>
    <w:rsid w:val="63DF10FC"/>
    <w:rsid w:val="63F56A0D"/>
    <w:rsid w:val="63F773CC"/>
    <w:rsid w:val="63FD189B"/>
    <w:rsid w:val="6420020E"/>
    <w:rsid w:val="64246DFF"/>
    <w:rsid w:val="642A1AC8"/>
    <w:rsid w:val="642B10E5"/>
    <w:rsid w:val="64316114"/>
    <w:rsid w:val="644267A7"/>
    <w:rsid w:val="64526DA7"/>
    <w:rsid w:val="6454481E"/>
    <w:rsid w:val="645760BC"/>
    <w:rsid w:val="6458033D"/>
    <w:rsid w:val="64592EAE"/>
    <w:rsid w:val="64A81D2B"/>
    <w:rsid w:val="64C228DE"/>
    <w:rsid w:val="64C76D65"/>
    <w:rsid w:val="64D002AE"/>
    <w:rsid w:val="64D70A5F"/>
    <w:rsid w:val="64F00CFA"/>
    <w:rsid w:val="64FD143E"/>
    <w:rsid w:val="65053D6A"/>
    <w:rsid w:val="6513595F"/>
    <w:rsid w:val="65214639"/>
    <w:rsid w:val="65220637"/>
    <w:rsid w:val="65401C24"/>
    <w:rsid w:val="65562818"/>
    <w:rsid w:val="657038D9"/>
    <w:rsid w:val="659B0C70"/>
    <w:rsid w:val="65B91B2F"/>
    <w:rsid w:val="65DA0D53"/>
    <w:rsid w:val="65DB0A87"/>
    <w:rsid w:val="65E46075"/>
    <w:rsid w:val="65E62B17"/>
    <w:rsid w:val="65EA5BC3"/>
    <w:rsid w:val="65F8567D"/>
    <w:rsid w:val="66063C56"/>
    <w:rsid w:val="66140709"/>
    <w:rsid w:val="661D24F4"/>
    <w:rsid w:val="661E7317"/>
    <w:rsid w:val="662B662D"/>
    <w:rsid w:val="666708AB"/>
    <w:rsid w:val="667747F4"/>
    <w:rsid w:val="668C53CC"/>
    <w:rsid w:val="66915D04"/>
    <w:rsid w:val="66A551F1"/>
    <w:rsid w:val="66A95111"/>
    <w:rsid w:val="66B50FD2"/>
    <w:rsid w:val="66B64012"/>
    <w:rsid w:val="66EB147E"/>
    <w:rsid w:val="66ED0F5A"/>
    <w:rsid w:val="67001AC3"/>
    <w:rsid w:val="670A3A9C"/>
    <w:rsid w:val="671B4CC0"/>
    <w:rsid w:val="671F493B"/>
    <w:rsid w:val="67472502"/>
    <w:rsid w:val="67523E04"/>
    <w:rsid w:val="675A6D1E"/>
    <w:rsid w:val="67891DEC"/>
    <w:rsid w:val="67906760"/>
    <w:rsid w:val="679C0437"/>
    <w:rsid w:val="67C23573"/>
    <w:rsid w:val="67C831A4"/>
    <w:rsid w:val="67C8720F"/>
    <w:rsid w:val="67D510FF"/>
    <w:rsid w:val="67E31201"/>
    <w:rsid w:val="67E759A9"/>
    <w:rsid w:val="67F65B74"/>
    <w:rsid w:val="68205AFC"/>
    <w:rsid w:val="68330D7C"/>
    <w:rsid w:val="6835132F"/>
    <w:rsid w:val="68351F05"/>
    <w:rsid w:val="68541712"/>
    <w:rsid w:val="68860A0A"/>
    <w:rsid w:val="68953223"/>
    <w:rsid w:val="68B702B5"/>
    <w:rsid w:val="68F550AB"/>
    <w:rsid w:val="68FD3ECC"/>
    <w:rsid w:val="69064AB6"/>
    <w:rsid w:val="69083E29"/>
    <w:rsid w:val="691602F4"/>
    <w:rsid w:val="69187539"/>
    <w:rsid w:val="69231B8D"/>
    <w:rsid w:val="692A4234"/>
    <w:rsid w:val="69584819"/>
    <w:rsid w:val="69605006"/>
    <w:rsid w:val="69840B6F"/>
    <w:rsid w:val="69852B2B"/>
    <w:rsid w:val="698D100B"/>
    <w:rsid w:val="69974C48"/>
    <w:rsid w:val="69A12B8F"/>
    <w:rsid w:val="69D967D1"/>
    <w:rsid w:val="6A000ADF"/>
    <w:rsid w:val="6A1876FA"/>
    <w:rsid w:val="6A231730"/>
    <w:rsid w:val="6A2B6021"/>
    <w:rsid w:val="6A310775"/>
    <w:rsid w:val="6A3B5729"/>
    <w:rsid w:val="6A440E91"/>
    <w:rsid w:val="6A5527D2"/>
    <w:rsid w:val="6A596387"/>
    <w:rsid w:val="6A5A768C"/>
    <w:rsid w:val="6A6A42B6"/>
    <w:rsid w:val="6A7B241B"/>
    <w:rsid w:val="6A811ACA"/>
    <w:rsid w:val="6A883473"/>
    <w:rsid w:val="6A995680"/>
    <w:rsid w:val="6AAA5681"/>
    <w:rsid w:val="6ACF301A"/>
    <w:rsid w:val="6ADC0A6B"/>
    <w:rsid w:val="6AE1319A"/>
    <w:rsid w:val="6AED32D6"/>
    <w:rsid w:val="6AFA14FA"/>
    <w:rsid w:val="6B0718B5"/>
    <w:rsid w:val="6B212E61"/>
    <w:rsid w:val="6B33736F"/>
    <w:rsid w:val="6B37170B"/>
    <w:rsid w:val="6B3C7DBA"/>
    <w:rsid w:val="6B421B88"/>
    <w:rsid w:val="6B433442"/>
    <w:rsid w:val="6B4B53FD"/>
    <w:rsid w:val="6B767361"/>
    <w:rsid w:val="6B847065"/>
    <w:rsid w:val="6BA06610"/>
    <w:rsid w:val="6BB32772"/>
    <w:rsid w:val="6BB655AF"/>
    <w:rsid w:val="6BB957B0"/>
    <w:rsid w:val="6BBF3FBF"/>
    <w:rsid w:val="6BCD5068"/>
    <w:rsid w:val="6BD97AFD"/>
    <w:rsid w:val="6BEB40A9"/>
    <w:rsid w:val="6C021860"/>
    <w:rsid w:val="6C123FA9"/>
    <w:rsid w:val="6C3867D3"/>
    <w:rsid w:val="6C39327C"/>
    <w:rsid w:val="6C3E2AE1"/>
    <w:rsid w:val="6C435618"/>
    <w:rsid w:val="6C4F3C3C"/>
    <w:rsid w:val="6C597B84"/>
    <w:rsid w:val="6C5D5657"/>
    <w:rsid w:val="6C68265A"/>
    <w:rsid w:val="6C6D0B73"/>
    <w:rsid w:val="6C7222AE"/>
    <w:rsid w:val="6C783074"/>
    <w:rsid w:val="6C832144"/>
    <w:rsid w:val="6C90182A"/>
    <w:rsid w:val="6CA963BE"/>
    <w:rsid w:val="6CC570A5"/>
    <w:rsid w:val="6CC70228"/>
    <w:rsid w:val="6CD935A2"/>
    <w:rsid w:val="6CEE5E4F"/>
    <w:rsid w:val="6CF7148A"/>
    <w:rsid w:val="6D117F87"/>
    <w:rsid w:val="6D1E2ED5"/>
    <w:rsid w:val="6D2F00AE"/>
    <w:rsid w:val="6D4B2536"/>
    <w:rsid w:val="6D4D7584"/>
    <w:rsid w:val="6D627B71"/>
    <w:rsid w:val="6D6537A5"/>
    <w:rsid w:val="6D772E30"/>
    <w:rsid w:val="6D8057A7"/>
    <w:rsid w:val="6D8360D1"/>
    <w:rsid w:val="6D836174"/>
    <w:rsid w:val="6D9F41F8"/>
    <w:rsid w:val="6DA91761"/>
    <w:rsid w:val="6DB17A2E"/>
    <w:rsid w:val="6DB82591"/>
    <w:rsid w:val="6DC1541F"/>
    <w:rsid w:val="6DD32C57"/>
    <w:rsid w:val="6DE5298B"/>
    <w:rsid w:val="6DF026EB"/>
    <w:rsid w:val="6DF27794"/>
    <w:rsid w:val="6DFB42FF"/>
    <w:rsid w:val="6E0F64FE"/>
    <w:rsid w:val="6E196FF3"/>
    <w:rsid w:val="6E21673D"/>
    <w:rsid w:val="6E284011"/>
    <w:rsid w:val="6E315BD0"/>
    <w:rsid w:val="6E51148A"/>
    <w:rsid w:val="6E55366C"/>
    <w:rsid w:val="6E5B561D"/>
    <w:rsid w:val="6E601AA5"/>
    <w:rsid w:val="6E612755"/>
    <w:rsid w:val="6E6D3339"/>
    <w:rsid w:val="6E737441"/>
    <w:rsid w:val="6E82136D"/>
    <w:rsid w:val="6E881964"/>
    <w:rsid w:val="6E90735F"/>
    <w:rsid w:val="6EA44B97"/>
    <w:rsid w:val="6EA6036C"/>
    <w:rsid w:val="6EA765DB"/>
    <w:rsid w:val="6EA91C0A"/>
    <w:rsid w:val="6EB26D11"/>
    <w:rsid w:val="6EB579F9"/>
    <w:rsid w:val="6EB611AF"/>
    <w:rsid w:val="6EC8494C"/>
    <w:rsid w:val="6EC85F8E"/>
    <w:rsid w:val="6ED34FB9"/>
    <w:rsid w:val="6EEC1804"/>
    <w:rsid w:val="6EF508D8"/>
    <w:rsid w:val="6F0230C8"/>
    <w:rsid w:val="6F026911"/>
    <w:rsid w:val="6F087ADA"/>
    <w:rsid w:val="6F116045"/>
    <w:rsid w:val="6F2A6F6F"/>
    <w:rsid w:val="6F386628"/>
    <w:rsid w:val="6F3A279F"/>
    <w:rsid w:val="6F4E5EAA"/>
    <w:rsid w:val="6F6F1FE3"/>
    <w:rsid w:val="6F781FC5"/>
    <w:rsid w:val="6F873A86"/>
    <w:rsid w:val="6F8E6C94"/>
    <w:rsid w:val="6F90518A"/>
    <w:rsid w:val="6F91484E"/>
    <w:rsid w:val="6F9540A0"/>
    <w:rsid w:val="6F973996"/>
    <w:rsid w:val="6FBB0A5D"/>
    <w:rsid w:val="6FC04EE4"/>
    <w:rsid w:val="6FED6CAD"/>
    <w:rsid w:val="6FF1788D"/>
    <w:rsid w:val="6FFE1AE2"/>
    <w:rsid w:val="700532A9"/>
    <w:rsid w:val="70266CAE"/>
    <w:rsid w:val="703674CE"/>
    <w:rsid w:val="703E0D95"/>
    <w:rsid w:val="70454E8C"/>
    <w:rsid w:val="70533B97"/>
    <w:rsid w:val="70576BAA"/>
    <w:rsid w:val="70637F71"/>
    <w:rsid w:val="70743B98"/>
    <w:rsid w:val="70866F8A"/>
    <w:rsid w:val="70D72EA9"/>
    <w:rsid w:val="70DA0EB4"/>
    <w:rsid w:val="70DE78BA"/>
    <w:rsid w:val="70EB6BD0"/>
    <w:rsid w:val="7104744D"/>
    <w:rsid w:val="711D243B"/>
    <w:rsid w:val="71263CB9"/>
    <w:rsid w:val="713B111A"/>
    <w:rsid w:val="714F6400"/>
    <w:rsid w:val="714F65DC"/>
    <w:rsid w:val="714F68F5"/>
    <w:rsid w:val="71511DF8"/>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2181581"/>
    <w:rsid w:val="7220357F"/>
    <w:rsid w:val="722078C9"/>
    <w:rsid w:val="72314556"/>
    <w:rsid w:val="7248490E"/>
    <w:rsid w:val="725B76BF"/>
    <w:rsid w:val="729130E1"/>
    <w:rsid w:val="72A262A2"/>
    <w:rsid w:val="72AA090C"/>
    <w:rsid w:val="72B164B1"/>
    <w:rsid w:val="72B56DCF"/>
    <w:rsid w:val="72BB13CA"/>
    <w:rsid w:val="72D43F44"/>
    <w:rsid w:val="72D75477"/>
    <w:rsid w:val="72DC7380"/>
    <w:rsid w:val="730B69EF"/>
    <w:rsid w:val="73150AD9"/>
    <w:rsid w:val="73163983"/>
    <w:rsid w:val="7325594C"/>
    <w:rsid w:val="732D105C"/>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E2A18"/>
    <w:rsid w:val="73E9403A"/>
    <w:rsid w:val="73F456D6"/>
    <w:rsid w:val="742C2C2D"/>
    <w:rsid w:val="743432D6"/>
    <w:rsid w:val="743E0056"/>
    <w:rsid w:val="744D04DB"/>
    <w:rsid w:val="744D4796"/>
    <w:rsid w:val="74516EE2"/>
    <w:rsid w:val="7457037A"/>
    <w:rsid w:val="7461749A"/>
    <w:rsid w:val="7463285B"/>
    <w:rsid w:val="746C1582"/>
    <w:rsid w:val="748527D2"/>
    <w:rsid w:val="749E626A"/>
    <w:rsid w:val="74B82BA7"/>
    <w:rsid w:val="74C87E25"/>
    <w:rsid w:val="74CC6652"/>
    <w:rsid w:val="74F01713"/>
    <w:rsid w:val="74F76776"/>
    <w:rsid w:val="74FD3B6F"/>
    <w:rsid w:val="750B72C2"/>
    <w:rsid w:val="75185176"/>
    <w:rsid w:val="75263FB5"/>
    <w:rsid w:val="75465AB3"/>
    <w:rsid w:val="754E563E"/>
    <w:rsid w:val="757A34CC"/>
    <w:rsid w:val="758614DD"/>
    <w:rsid w:val="759F3CEA"/>
    <w:rsid w:val="75A367D3"/>
    <w:rsid w:val="75A629FF"/>
    <w:rsid w:val="75BA77D6"/>
    <w:rsid w:val="75BB2F61"/>
    <w:rsid w:val="75E22227"/>
    <w:rsid w:val="75F37912"/>
    <w:rsid w:val="76164725"/>
    <w:rsid w:val="76190ABD"/>
    <w:rsid w:val="76210E5A"/>
    <w:rsid w:val="76280C11"/>
    <w:rsid w:val="763C5A77"/>
    <w:rsid w:val="76450616"/>
    <w:rsid w:val="76587637"/>
    <w:rsid w:val="76637BC6"/>
    <w:rsid w:val="7677439C"/>
    <w:rsid w:val="767825EE"/>
    <w:rsid w:val="767D7C04"/>
    <w:rsid w:val="768F1EE1"/>
    <w:rsid w:val="769164A0"/>
    <w:rsid w:val="76AA3BBE"/>
    <w:rsid w:val="76C30454"/>
    <w:rsid w:val="76CB0718"/>
    <w:rsid w:val="76D13DEC"/>
    <w:rsid w:val="7706409E"/>
    <w:rsid w:val="771334B6"/>
    <w:rsid w:val="772A798F"/>
    <w:rsid w:val="7731279D"/>
    <w:rsid w:val="77492442"/>
    <w:rsid w:val="7751784F"/>
    <w:rsid w:val="77532D52"/>
    <w:rsid w:val="776E0CF0"/>
    <w:rsid w:val="77707769"/>
    <w:rsid w:val="77727D83"/>
    <w:rsid w:val="77792F92"/>
    <w:rsid w:val="777C5FCF"/>
    <w:rsid w:val="778D031B"/>
    <w:rsid w:val="77903967"/>
    <w:rsid w:val="77C33470"/>
    <w:rsid w:val="77D870BC"/>
    <w:rsid w:val="77DA6802"/>
    <w:rsid w:val="77EE09D2"/>
    <w:rsid w:val="77F73860"/>
    <w:rsid w:val="77F86BCB"/>
    <w:rsid w:val="77F959B0"/>
    <w:rsid w:val="7808174F"/>
    <w:rsid w:val="78141A18"/>
    <w:rsid w:val="782C2A35"/>
    <w:rsid w:val="78527978"/>
    <w:rsid w:val="785C1A9B"/>
    <w:rsid w:val="786C5A1D"/>
    <w:rsid w:val="787D3C56"/>
    <w:rsid w:val="7888534D"/>
    <w:rsid w:val="78A3591C"/>
    <w:rsid w:val="78B33C13"/>
    <w:rsid w:val="78B905F3"/>
    <w:rsid w:val="78B93018"/>
    <w:rsid w:val="78BA0DB9"/>
    <w:rsid w:val="78E34762"/>
    <w:rsid w:val="78EA52F9"/>
    <w:rsid w:val="78EF0B61"/>
    <w:rsid w:val="78F148D9"/>
    <w:rsid w:val="78FF0DA4"/>
    <w:rsid w:val="790A49DD"/>
    <w:rsid w:val="790B5EDC"/>
    <w:rsid w:val="793876EF"/>
    <w:rsid w:val="793D18CD"/>
    <w:rsid w:val="79405463"/>
    <w:rsid w:val="7942728A"/>
    <w:rsid w:val="795723C3"/>
    <w:rsid w:val="79642735"/>
    <w:rsid w:val="79AF3739"/>
    <w:rsid w:val="79B370AD"/>
    <w:rsid w:val="79D00993"/>
    <w:rsid w:val="79D54511"/>
    <w:rsid w:val="79E41D86"/>
    <w:rsid w:val="79EF399B"/>
    <w:rsid w:val="79FE105C"/>
    <w:rsid w:val="7A0149B0"/>
    <w:rsid w:val="7A1E34AC"/>
    <w:rsid w:val="7A20416A"/>
    <w:rsid w:val="7A653295"/>
    <w:rsid w:val="7A772BBC"/>
    <w:rsid w:val="7A9D2951"/>
    <w:rsid w:val="7A9E0310"/>
    <w:rsid w:val="7AAE1CA3"/>
    <w:rsid w:val="7AB411C2"/>
    <w:rsid w:val="7AC22512"/>
    <w:rsid w:val="7AC426F9"/>
    <w:rsid w:val="7AC62985"/>
    <w:rsid w:val="7AC758F2"/>
    <w:rsid w:val="7ADC1122"/>
    <w:rsid w:val="7ADF1481"/>
    <w:rsid w:val="7AE244DA"/>
    <w:rsid w:val="7B007056"/>
    <w:rsid w:val="7B0C08EF"/>
    <w:rsid w:val="7B116F75"/>
    <w:rsid w:val="7B1563EB"/>
    <w:rsid w:val="7B1D660B"/>
    <w:rsid w:val="7B2D7082"/>
    <w:rsid w:val="7B5E2627"/>
    <w:rsid w:val="7B6E1C39"/>
    <w:rsid w:val="7B6F4C09"/>
    <w:rsid w:val="7B823FE2"/>
    <w:rsid w:val="7B861193"/>
    <w:rsid w:val="7B9939D6"/>
    <w:rsid w:val="7BA41D67"/>
    <w:rsid w:val="7BAD120F"/>
    <w:rsid w:val="7BB7737D"/>
    <w:rsid w:val="7BB92417"/>
    <w:rsid w:val="7BEE3984"/>
    <w:rsid w:val="7C19668C"/>
    <w:rsid w:val="7C367925"/>
    <w:rsid w:val="7C374CF9"/>
    <w:rsid w:val="7C4902F7"/>
    <w:rsid w:val="7C594C70"/>
    <w:rsid w:val="7C6B3426"/>
    <w:rsid w:val="7C7E6484"/>
    <w:rsid w:val="7C9032AE"/>
    <w:rsid w:val="7C9C3669"/>
    <w:rsid w:val="7CE15122"/>
    <w:rsid w:val="7CE7227B"/>
    <w:rsid w:val="7CF77FE5"/>
    <w:rsid w:val="7CFB6BAC"/>
    <w:rsid w:val="7D132363"/>
    <w:rsid w:val="7D1A12A4"/>
    <w:rsid w:val="7D38050F"/>
    <w:rsid w:val="7D4071CA"/>
    <w:rsid w:val="7D603342"/>
    <w:rsid w:val="7D756F1F"/>
    <w:rsid w:val="7D875780"/>
    <w:rsid w:val="7D8F5794"/>
    <w:rsid w:val="7DA35C21"/>
    <w:rsid w:val="7DF06F0E"/>
    <w:rsid w:val="7E140867"/>
    <w:rsid w:val="7E22407F"/>
    <w:rsid w:val="7E307B8D"/>
    <w:rsid w:val="7E3F1C43"/>
    <w:rsid w:val="7E490D14"/>
    <w:rsid w:val="7E4B7B7D"/>
    <w:rsid w:val="7E544334"/>
    <w:rsid w:val="7E7A4D36"/>
    <w:rsid w:val="7E856124"/>
    <w:rsid w:val="7E9A1DC5"/>
    <w:rsid w:val="7E9B57CD"/>
    <w:rsid w:val="7EA1710A"/>
    <w:rsid w:val="7EA32343"/>
    <w:rsid w:val="7EB81375"/>
    <w:rsid w:val="7EBA6DD6"/>
    <w:rsid w:val="7EE54599"/>
    <w:rsid w:val="7EF173E1"/>
    <w:rsid w:val="7F142ECB"/>
    <w:rsid w:val="7F1A038D"/>
    <w:rsid w:val="7F3E5CFA"/>
    <w:rsid w:val="7F4A6F63"/>
    <w:rsid w:val="7F51026F"/>
    <w:rsid w:val="7F5E5203"/>
    <w:rsid w:val="7F64728F"/>
    <w:rsid w:val="7F713C2F"/>
    <w:rsid w:val="7F741DC0"/>
    <w:rsid w:val="7F743CA6"/>
    <w:rsid w:val="7FAB5EC3"/>
    <w:rsid w:val="7FB23114"/>
    <w:rsid w:val="7FB36445"/>
    <w:rsid w:val="7FC20D7E"/>
    <w:rsid w:val="7FDF6B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left"/>
      <w:outlineLvl w:val="0"/>
    </w:pPr>
    <w:rPr>
      <w:rFonts w:ascii="Calibri" w:hAnsi="Calibri"/>
      <w:b/>
      <w:sz w:val="28"/>
    </w:rPr>
  </w:style>
  <w:style w:type="paragraph" w:styleId="4">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w:hAnsi="Arial"/>
      <w:bCs/>
      <w:sz w:val="24"/>
    </w:rPr>
  </w:style>
  <w:style w:type="paragraph" w:styleId="10">
    <w:name w:val="Body Text First Indent"/>
    <w:basedOn w:val="9"/>
    <w:next w:val="11"/>
    <w:link w:val="44"/>
    <w:unhideWhenUsed/>
    <w:qFormat/>
    <w:uiPriority w:val="0"/>
    <w:pPr>
      <w:spacing w:after="120"/>
      <w:ind w:firstLine="420" w:firstLineChars="100"/>
    </w:pPr>
    <w:rPr>
      <w:rFonts w:ascii="Calibri" w:hAnsi="Calibri"/>
      <w:sz w:val="21"/>
      <w:szCs w:val="22"/>
    </w:rPr>
  </w:style>
  <w:style w:type="paragraph" w:styleId="11">
    <w:name w:val="toc 6"/>
    <w:basedOn w:val="1"/>
    <w:next w:val="1"/>
    <w:qFormat/>
    <w:uiPriority w:val="0"/>
    <w:pPr>
      <w:ind w:left="1400"/>
    </w:pPr>
    <w:rPr>
      <w:rFonts w:ascii="Calibri"/>
      <w:sz w:val="18"/>
      <w:szCs w:val="18"/>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pPr>
      <w:ind w:left="100" w:leftChars="2500"/>
    </w:pPr>
    <w:rPr>
      <w:color w:val="000000"/>
      <w:sz w:val="24"/>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Cs w:val="20"/>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9"/>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2"/>
    <w:qFormat/>
    <w:uiPriority w:val="0"/>
    <w:rPr>
      <w:kern w:val="2"/>
      <w:sz w:val="21"/>
      <w:szCs w:val="24"/>
    </w:rPr>
  </w:style>
  <w:style w:type="character" w:customStyle="1" w:styleId="44">
    <w:name w:val="正文首行缩进 Char"/>
    <w:link w:val="10"/>
    <w:qFormat/>
    <w:uiPriority w:val="0"/>
    <w:rPr>
      <w:rFonts w:ascii="Calibri" w:hAnsi="Calibri"/>
      <w:bCs/>
      <w:kern w:val="2"/>
      <w:sz w:val="21"/>
      <w:szCs w:val="22"/>
    </w:rPr>
  </w:style>
  <w:style w:type="character" w:customStyle="1" w:styleId="45">
    <w:name w:val="批注框文本 Char"/>
    <w:link w:val="17"/>
    <w:qFormat/>
    <w:uiPriority w:val="0"/>
    <w:rPr>
      <w:kern w:val="2"/>
      <w:sz w:val="18"/>
      <w:szCs w:val="18"/>
    </w:rPr>
  </w:style>
  <w:style w:type="paragraph" w:customStyle="1" w:styleId="46">
    <w:name w:val="表格文字"/>
    <w:basedOn w:val="14"/>
    <w:next w:val="9"/>
    <w:qFormat/>
    <w:uiPriority w:val="0"/>
    <w:pPr>
      <w:adjustRightInd w:val="0"/>
      <w:spacing w:line="420" w:lineRule="atLeast"/>
      <w:jc w:val="left"/>
      <w:textAlignment w:val="baseline"/>
    </w:pPr>
    <w:rPr>
      <w:rFonts w:ascii="Times New Roman" w:hAnsi="Times New Roman"/>
      <w:kern w:val="0"/>
      <w:szCs w:val="24"/>
    </w:rPr>
  </w:style>
  <w:style w:type="character" w:customStyle="1" w:styleId="47">
    <w:name w:val="font41"/>
    <w:qFormat/>
    <w:uiPriority w:val="0"/>
    <w:rPr>
      <w:rFonts w:hint="eastAsia" w:ascii="宋体" w:hAnsi="宋体" w:eastAsia="宋体" w:cs="宋体"/>
      <w:color w:val="000000"/>
      <w:sz w:val="22"/>
      <w:szCs w:val="22"/>
      <w:u w:val="none"/>
    </w:rPr>
  </w:style>
  <w:style w:type="character" w:customStyle="1" w:styleId="48">
    <w:name w:val="font11"/>
    <w:qFormat/>
    <w:uiPriority w:val="0"/>
    <w:rPr>
      <w:rFonts w:ascii="Calibri" w:hAnsi="Calibri" w:cs="Calibri"/>
      <w:color w:val="000000"/>
      <w:sz w:val="21"/>
      <w:szCs w:val="21"/>
      <w:u w:val="none"/>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21"/>
    <w:qFormat/>
    <w:uiPriority w:val="0"/>
    <w:rPr>
      <w:rFonts w:ascii="Calibri" w:hAnsi="Calibri" w:cs="Calibri"/>
      <w:color w:val="000000"/>
      <w:sz w:val="22"/>
      <w:szCs w:val="22"/>
      <w:u w:val="none"/>
    </w:rPr>
  </w:style>
  <w:style w:type="paragraph" w:customStyle="1" w:styleId="51">
    <w:name w:val="BodyTextIndent"/>
    <w:basedOn w:val="1"/>
    <w:qFormat/>
    <w:uiPriority w:val="0"/>
    <w:pPr>
      <w:spacing w:after="120"/>
      <w:ind w:left="420" w:leftChars="200"/>
      <w:textAlignment w:val="baseline"/>
    </w:pPr>
    <w:rPr>
      <w:color w:val="000000"/>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
    <w:name w:val="Table Paragraph"/>
    <w:basedOn w:val="1"/>
    <w:qFormat/>
    <w:uiPriority w:val="1"/>
    <w:rPr>
      <w:rFonts w:ascii="宋体" w:hAnsi="宋体" w:cs="宋体"/>
      <w:lang w:val="zh-CN" w:bidi="zh-CN"/>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正文缩进2"/>
    <w:basedOn w:val="1"/>
    <w:next w:val="1"/>
    <w:qFormat/>
    <w:uiPriority w:val="0"/>
    <w:pPr>
      <w:spacing w:line="500" w:lineRule="exact"/>
      <w:ind w:firstLine="567"/>
    </w:pPr>
    <w:rPr>
      <w:sz w:val="24"/>
      <w:szCs w:val="20"/>
    </w:rPr>
  </w:style>
  <w:style w:type="paragraph" w:customStyle="1" w:styleId="59">
    <w:name w:val="BodyText1I2"/>
    <w:basedOn w:val="51"/>
    <w:qFormat/>
    <w:uiPriority w:val="0"/>
    <w:pPr>
      <w:ind w:firstLine="420" w:firstLineChars="200"/>
    </w:pPr>
  </w:style>
  <w:style w:type="paragraph" w:customStyle="1" w:styleId="60">
    <w:name w:val="正文首行缩进 21"/>
    <w:basedOn w:val="1"/>
    <w:qFormat/>
    <w:uiPriority w:val="0"/>
    <w:pPr>
      <w:spacing w:after="120"/>
      <w:ind w:left="420" w:leftChars="200" w:firstLine="420"/>
    </w:pPr>
    <w:rPr>
      <w:rFonts w:cs="宋体"/>
      <w:color w:val="000000"/>
      <w:sz w:val="21"/>
      <w:szCs w:val="21"/>
    </w:rPr>
  </w:style>
  <w:style w:type="paragraph" w:customStyle="1" w:styleId="61">
    <w:name w:val="列出段落1"/>
    <w:basedOn w:val="1"/>
    <w:qFormat/>
    <w:uiPriority w:val="0"/>
    <w:pPr>
      <w:ind w:firstLine="420" w:firstLineChars="200"/>
    </w:pPr>
    <w:rPr>
      <w:rFonts w:cs="Arial"/>
    </w:rPr>
  </w:style>
  <w:style w:type="paragraph" w:customStyle="1" w:styleId="62">
    <w:name w:val="表内文字"/>
    <w:basedOn w:val="1"/>
    <w:qFormat/>
    <w:uiPriority w:val="0"/>
    <w:pPr>
      <w:spacing w:line="500" w:lineRule="atLeast"/>
      <w:jc w:val="center"/>
    </w:pPr>
    <w:rPr>
      <w:rFonts w:ascii="Arial" w:hAnsi="Arial" w:eastAsia="楷体_GB2312" w:cs="Arial"/>
      <w:sz w:val="28"/>
    </w:rPr>
  </w:style>
  <w:style w:type="paragraph" w:customStyle="1" w:styleId="6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5">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6">
    <w:name w:val="1"/>
    <w:basedOn w:val="1"/>
    <w:next w:val="10"/>
    <w:qFormat/>
    <w:uiPriority w:val="0"/>
    <w:rPr>
      <w:szCs w:val="24"/>
    </w:rPr>
  </w:style>
  <w:style w:type="paragraph" w:customStyle="1" w:styleId="67">
    <w:name w:val="BodyText1I"/>
    <w:basedOn w:val="68"/>
    <w:qFormat/>
    <w:uiPriority w:val="0"/>
    <w:pPr>
      <w:ind w:firstLine="420" w:firstLineChars="100"/>
      <w:jc w:val="left"/>
    </w:pPr>
    <w:rPr>
      <w:kern w:val="0"/>
      <w:sz w:val="20"/>
      <w:szCs w:val="20"/>
    </w:rPr>
  </w:style>
  <w:style w:type="paragraph" w:customStyle="1" w:styleId="68">
    <w:name w:val="BodyText"/>
    <w:basedOn w:val="1"/>
    <w:next w:val="67"/>
    <w:qFormat/>
    <w:uiPriority w:val="0"/>
    <w:pPr>
      <w:spacing w:after="120"/>
    </w:pPr>
  </w:style>
  <w:style w:type="character" w:customStyle="1" w:styleId="69">
    <w:name w:val="NormalCharacter"/>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Chars="200"/>
    </w:pPr>
    <w:rPr>
      <w:rFonts w:ascii="Times New Roman" w:hAnsi="Times New Roman" w:eastAsia="宋体" w:cs="Times New Roman"/>
      <w:lang w:val="en-US" w:eastAsia="zh-CN" w:bidi="ar-SA"/>
    </w:rPr>
  </w:style>
  <w:style w:type="character" w:customStyle="1" w:styleId="72">
    <w:name w:val="font31"/>
    <w:basedOn w:val="2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34263</Words>
  <Characters>36515</Characters>
  <Lines>593</Lines>
  <Paragraphs>167</Paragraphs>
  <TotalTime>1</TotalTime>
  <ScaleCrop>false</ScaleCrop>
  <LinksUpToDate>false</LinksUpToDate>
  <CharactersWithSpaces>39571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leech</cp:lastModifiedBy>
  <cp:lastPrinted>2024-09-27T07:23:00Z</cp:lastPrinted>
  <dcterms:modified xsi:type="dcterms:W3CDTF">2024-09-27T07:26:44Z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041B7019BECB4DF0B9CC9E61CAD8234F_13</vt:lpwstr>
  </property>
</Properties>
</file>