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ind w:firstLine="281" w:firstLineChars="100"/>
        <w:rPr>
          <w:rFonts w:hint="eastAsia" w:ascii="微软雅黑" w:hAnsi="微软雅黑" w:eastAsia="宋体" w:cs="微软雅黑"/>
          <w:color w:val="333333"/>
          <w:sz w:val="28"/>
          <w:szCs w:val="28"/>
          <w:lang w:val="en-US" w:eastAsia="zh-CN"/>
        </w:rPr>
      </w:pPr>
      <w:r>
        <w:rPr>
          <w:rFonts w:ascii="宋体" w:hAnsi="宋体" w:eastAsia="宋体" w:cs="宋体"/>
          <w:b/>
          <w:bCs/>
          <w:i w:val="0"/>
          <w:iCs w:val="0"/>
          <w:caps w:val="0"/>
          <w:color w:val="333333"/>
          <w:spacing w:val="0"/>
          <w:sz w:val="28"/>
          <w:szCs w:val="28"/>
          <w:shd w:val="clear" w:fill="FFFFFF"/>
        </w:rPr>
        <w:t>平阳县鳌江镇公望路（经六路）建设工程勘察设计的第1次</w:t>
      </w:r>
      <w:r>
        <w:rPr>
          <w:rFonts w:hint="eastAsia" w:ascii="宋体" w:hAnsi="宋体" w:eastAsia="宋体" w:cs="宋体"/>
          <w:b/>
          <w:bCs/>
          <w:i w:val="0"/>
          <w:iCs w:val="0"/>
          <w:caps w:val="0"/>
          <w:color w:val="333333"/>
          <w:spacing w:val="0"/>
          <w:sz w:val="28"/>
          <w:szCs w:val="28"/>
          <w:shd w:val="clear" w:fill="FFFFFF"/>
          <w:lang w:val="en-US" w:eastAsia="zh-CN"/>
        </w:rPr>
        <w:t>答疑</w:t>
      </w:r>
    </w:p>
    <w:p>
      <w:pPr>
        <w:numPr>
          <w:ilvl w:val="0"/>
          <w:numId w:val="0"/>
        </w:numPr>
        <w:rPr>
          <w:rFonts w:hint="default" w:ascii="微软雅黑" w:hAnsi="微软雅黑" w:eastAsia="微软雅黑" w:cs="微软雅黑"/>
          <w:color w:val="333333"/>
          <w:sz w:val="18"/>
          <w:szCs w:val="18"/>
          <w:lang w:val="en-US" w:eastAsia="zh-CN"/>
        </w:rPr>
      </w:pPr>
      <w:r>
        <w:rPr>
          <w:rFonts w:hint="eastAsia" w:ascii="微软雅黑" w:hAnsi="微软雅黑" w:eastAsia="微软雅黑" w:cs="微软雅黑"/>
          <w:color w:val="333333"/>
          <w:sz w:val="18"/>
          <w:szCs w:val="18"/>
          <w:lang w:val="en-US" w:eastAsia="zh-CN"/>
        </w:rPr>
        <w:t>致各投标单位：</w:t>
      </w:r>
    </w:p>
    <w:p>
      <w:pPr>
        <w:numPr>
          <w:ilvl w:val="0"/>
          <w:numId w:val="1"/>
        </w:numPr>
        <w:rPr>
          <w:rFonts w:ascii="微软雅黑" w:hAnsi="微软雅黑" w:eastAsia="微软雅黑" w:cs="微软雅黑"/>
          <w:color w:val="333333"/>
          <w:sz w:val="18"/>
          <w:szCs w:val="18"/>
        </w:rPr>
      </w:pPr>
      <w:r>
        <w:rPr>
          <w:rFonts w:ascii="微软雅黑" w:hAnsi="微软雅黑" w:eastAsia="微软雅黑" w:cs="微软雅黑"/>
          <w:color w:val="333333"/>
          <w:sz w:val="18"/>
          <w:szCs w:val="18"/>
        </w:rPr>
        <w:t>住房城乡建设部关于印发《建筑业企业资质管理规定和资质标准实施意见》的通知建市〔2015〕20号规定：社会保险证明是指社会统筹保险基金管理部门出具的基本养老保险对账单或加盖社会统筹保险基金管理部门公章的单位缴费明细，以及企业缴费凭证（社会保险缴费发票或银行转账凭证等证明）；社会保险证明应至少体现以下内容：缴纳保险单位名称、人员姓名、社会保障号（或身份证号）、险种、缴费期限等。社会保险证明中缴费单位应与申报单位一致，上级公司、子公司、事业单位、人力资源服务机构等其他单位缴纳或个人缴纳社会保险均不予认定，分公司缴纳的社会保险可以予以认定。问，本项目分公司社保证明能否满足招标文件要求？</w:t>
      </w:r>
      <w:r>
        <w:rPr>
          <w:rFonts w:hint="eastAsia" w:ascii="微软雅黑" w:hAnsi="微软雅黑" w:eastAsia="微软雅黑" w:cs="微软雅黑"/>
          <w:b/>
          <w:bCs/>
          <w:color w:val="333333"/>
          <w:sz w:val="18"/>
          <w:szCs w:val="18"/>
          <w:lang w:val="en-US" w:eastAsia="zh-CN"/>
        </w:rPr>
        <w:t>答：分公司社保证明满足招标文件要求。</w:t>
      </w:r>
    </w:p>
    <w:p>
      <w:pPr>
        <w:numPr>
          <w:ilvl w:val="0"/>
          <w:numId w:val="1"/>
        </w:numPr>
        <w:rPr>
          <w:rFonts w:ascii="微软雅黑" w:hAnsi="微软雅黑" w:eastAsia="微软雅黑" w:cs="微软雅黑"/>
          <w:color w:val="333333"/>
          <w:sz w:val="18"/>
          <w:szCs w:val="18"/>
        </w:rPr>
      </w:pPr>
      <w:r>
        <w:rPr>
          <w:rFonts w:ascii="微软雅黑" w:hAnsi="微软雅黑" w:eastAsia="微软雅黑" w:cs="微软雅黑"/>
          <w:color w:val="333333"/>
          <w:sz w:val="18"/>
          <w:szCs w:val="18"/>
        </w:rPr>
        <w:t>招标文件要求省外投标人必须提供有效期内的《外省勘察设计企业进入浙江省承接业务登记备案证明》，浙江省住建厅规定外省勘察设计企业进入浙江省承接业务登记备案不在发放备案证书，取消延续备案。建议修改为“投标人如为浙江省省外的企业，应提供有效期内的《省外企业进浙承接业务备案证明》或“浙江省勘察设计行业四库-平台信息系统”备案截图（如联合体各方均为浙江省外企业，则均须提供）</w:t>
      </w:r>
      <w:r>
        <w:rPr>
          <w:rFonts w:hint="eastAsia" w:ascii="微软雅黑" w:hAnsi="微软雅黑" w:eastAsia="微软雅黑" w:cs="微软雅黑"/>
          <w:color w:val="333333"/>
          <w:sz w:val="18"/>
          <w:szCs w:val="18"/>
          <w:lang w:eastAsia="zh-CN"/>
        </w:rPr>
        <w:t>。</w:t>
      </w:r>
      <w:r>
        <w:rPr>
          <w:rFonts w:hint="eastAsia" w:ascii="微软雅黑" w:hAnsi="微软雅黑" w:eastAsia="微软雅黑" w:cs="微软雅黑"/>
          <w:b/>
          <w:bCs/>
          <w:color w:val="333333"/>
          <w:sz w:val="18"/>
          <w:szCs w:val="18"/>
          <w:lang w:val="en-US" w:eastAsia="zh-CN"/>
        </w:rPr>
        <w:t>答：投标人提供</w:t>
      </w:r>
      <w:r>
        <w:rPr>
          <w:rFonts w:ascii="微软雅黑" w:hAnsi="微软雅黑" w:eastAsia="微软雅黑" w:cs="微软雅黑"/>
          <w:b/>
          <w:bCs/>
          <w:color w:val="333333"/>
          <w:sz w:val="18"/>
          <w:szCs w:val="18"/>
        </w:rPr>
        <w:t>《外省勘察设计企业进入浙江省承接业务登记备案证明》</w:t>
      </w:r>
      <w:r>
        <w:rPr>
          <w:rFonts w:hint="eastAsia" w:ascii="微软雅黑" w:hAnsi="微软雅黑" w:eastAsia="微软雅黑" w:cs="微软雅黑"/>
          <w:b/>
          <w:bCs/>
          <w:color w:val="333333"/>
          <w:sz w:val="18"/>
          <w:szCs w:val="18"/>
          <w:lang w:val="en-US" w:eastAsia="zh-CN"/>
        </w:rPr>
        <w:t>或</w:t>
      </w:r>
      <w:r>
        <w:rPr>
          <w:rFonts w:ascii="微软雅黑" w:hAnsi="微软雅黑" w:eastAsia="微软雅黑" w:cs="微软雅黑"/>
          <w:b/>
          <w:bCs/>
          <w:color w:val="333333"/>
          <w:sz w:val="18"/>
          <w:szCs w:val="18"/>
        </w:rPr>
        <w:t>“浙江省勘察设计行业四库-平台信息系统”备案截图（如联合体各方均为浙江省外企业，则均须提供）</w:t>
      </w:r>
      <w:r>
        <w:rPr>
          <w:rFonts w:hint="eastAsia" w:ascii="微软雅黑" w:hAnsi="微软雅黑" w:eastAsia="微软雅黑" w:cs="微软雅黑"/>
          <w:b/>
          <w:bCs/>
          <w:color w:val="333333"/>
          <w:sz w:val="18"/>
          <w:szCs w:val="18"/>
          <w:lang w:val="en-US" w:eastAsia="zh-CN"/>
        </w:rPr>
        <w:t>都满足招标文件要求。</w:t>
      </w:r>
    </w:p>
    <w:p>
      <w:pPr>
        <w:numPr>
          <w:ilvl w:val="0"/>
          <w:numId w:val="1"/>
        </w:numPr>
        <w:rPr>
          <w:rFonts w:ascii="微软雅黑" w:hAnsi="微软雅黑" w:eastAsia="微软雅黑" w:cs="微软雅黑"/>
          <w:color w:val="333333"/>
          <w:sz w:val="18"/>
          <w:szCs w:val="18"/>
        </w:rPr>
      </w:pPr>
      <w:r>
        <w:rPr>
          <w:rFonts w:ascii="微软雅黑" w:hAnsi="微软雅黑" w:eastAsia="微软雅黑" w:cs="微软雅黑"/>
          <w:color w:val="333333"/>
          <w:sz w:val="18"/>
          <w:szCs w:val="18"/>
        </w:rPr>
        <w:t>招标文件第6页其他主要人员要求：道路类专业、桥梁类专业、给排水类专业、造价类专业、勘察专业类（岩土工程勘察）等专业负责人各1名；各专业负责人须为中级及以上职称。 问：勘察专业类（岩土工程勘察）专业负责人职称证专业是岩土工程或工程测量或物化探或水文与工程地质的高级工程师能否满足招标文件要求</w:t>
      </w:r>
      <w:r>
        <w:rPr>
          <w:rFonts w:hint="eastAsia" w:ascii="微软雅黑" w:hAnsi="微软雅黑" w:eastAsia="微软雅黑" w:cs="微软雅黑"/>
          <w:color w:val="333333"/>
          <w:sz w:val="18"/>
          <w:szCs w:val="18"/>
          <w:lang w:eastAsia="zh-CN"/>
        </w:rPr>
        <w:t>？</w:t>
      </w:r>
      <w:r>
        <w:rPr>
          <w:rFonts w:hint="eastAsia" w:ascii="微软雅黑" w:hAnsi="微软雅黑" w:eastAsia="微软雅黑" w:cs="微软雅黑"/>
          <w:b/>
          <w:bCs/>
          <w:color w:val="333333"/>
          <w:sz w:val="18"/>
          <w:szCs w:val="18"/>
          <w:lang w:val="en-US" w:eastAsia="zh-CN"/>
        </w:rPr>
        <w:t>答：岩土工程中级或中级</w:t>
      </w:r>
      <w:bookmarkStart w:id="0" w:name="_GoBack"/>
      <w:bookmarkEnd w:id="0"/>
      <w:r>
        <w:rPr>
          <w:rFonts w:hint="eastAsia" w:ascii="微软雅黑" w:hAnsi="微软雅黑" w:eastAsia="微软雅黑" w:cs="微软雅黑"/>
          <w:b/>
          <w:bCs/>
          <w:color w:val="333333"/>
          <w:sz w:val="18"/>
          <w:szCs w:val="18"/>
          <w:lang w:val="en-US" w:eastAsia="zh-CN"/>
        </w:rPr>
        <w:t>以上工程师均</w:t>
      </w:r>
      <w:r>
        <w:rPr>
          <w:rFonts w:ascii="微软雅黑" w:hAnsi="微软雅黑" w:eastAsia="微软雅黑" w:cs="微软雅黑"/>
          <w:b/>
          <w:bCs/>
          <w:color w:val="333333"/>
          <w:sz w:val="18"/>
          <w:szCs w:val="18"/>
        </w:rPr>
        <w:t>满足招标文件要求</w:t>
      </w:r>
      <w:r>
        <w:rPr>
          <w:rFonts w:hint="eastAsia" w:ascii="微软雅黑" w:hAnsi="微软雅黑" w:eastAsia="微软雅黑" w:cs="微软雅黑"/>
          <w:b/>
          <w:bCs/>
          <w:color w:val="333333"/>
          <w:sz w:val="18"/>
          <w:szCs w:val="18"/>
          <w:lang w:eastAsia="zh-CN"/>
        </w:rPr>
        <w:t>，</w:t>
      </w:r>
      <w:r>
        <w:rPr>
          <w:rFonts w:ascii="微软雅黑" w:hAnsi="微软雅黑" w:eastAsia="微软雅黑" w:cs="微软雅黑"/>
          <w:b/>
          <w:bCs/>
          <w:color w:val="333333"/>
          <w:sz w:val="18"/>
          <w:szCs w:val="18"/>
        </w:rPr>
        <w:t>工程测量或物化探或水文与工程地质的高级工程师</w:t>
      </w:r>
      <w:r>
        <w:rPr>
          <w:rFonts w:hint="eastAsia" w:ascii="微软雅黑" w:hAnsi="微软雅黑" w:eastAsia="微软雅黑" w:cs="微软雅黑"/>
          <w:b/>
          <w:bCs/>
          <w:color w:val="333333"/>
          <w:sz w:val="18"/>
          <w:szCs w:val="18"/>
          <w:lang w:val="en-US" w:eastAsia="zh-CN"/>
        </w:rPr>
        <w:t>不满足招标文件要求。</w:t>
      </w:r>
    </w:p>
    <w:p>
      <w:pPr>
        <w:numPr>
          <w:ilvl w:val="0"/>
          <w:numId w:val="0"/>
        </w:numPr>
        <w:rPr>
          <w:rFonts w:hint="eastAsia" w:ascii="微软雅黑" w:hAnsi="微软雅黑" w:eastAsia="微软雅黑" w:cs="微软雅黑"/>
          <w:color w:val="333333"/>
          <w:sz w:val="18"/>
          <w:szCs w:val="18"/>
          <w:lang w:val="en-US" w:eastAsia="zh-CN"/>
        </w:rPr>
      </w:pPr>
      <w:r>
        <w:rPr>
          <w:rFonts w:hint="eastAsia" w:ascii="微软雅黑" w:hAnsi="微软雅黑" w:eastAsia="微软雅黑" w:cs="微软雅黑"/>
          <w:color w:val="333333"/>
          <w:sz w:val="18"/>
          <w:szCs w:val="18"/>
          <w:lang w:val="en-US" w:eastAsia="zh-CN"/>
        </w:rPr>
        <w:t>4、1、3.7.1(3)展示效果图（A1规格）和P9页3.7.3（A）中的彩色总平面图、鸟瞰图、透视效果图是否为同一套，还是纸质设计方案文本需另打印一份装入技术标内？A1规格展示效果图无法与纸质设计方案文本统一封入同一密封箱内，展示效果图是否可单独密封？ P9页3.7.1(3)展示效果图要求为：A1规格，一套。可以水平或垂直展示。内容和数量：彩色总平面图一张；鸟瞰图一张；透视效果图一张。 P9页3.7.3（A）纸质建筑设计方案文本五份，不分正副本；彩色总平面图一张；鸟瞰图一张；透视效果图一张。 2、P9页3.7.3（A）（2）和P20页3.7.3（2）装订要求不一致，以哪个为准？ P9页3.7.3（A）（2）中纸质建筑设计方案文本五份，不分正副本；彩色总平面图一张；鸟瞰图一张；透视效果图一张；技术标电子文档光盘一份；营业执照小密封袋 P20页3.7.3（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pPr>
        <w:numPr>
          <w:ilvl w:val="0"/>
          <w:numId w:val="0"/>
        </w:numPr>
        <w:ind w:firstLine="360" w:firstLineChars="200"/>
        <w:rPr>
          <w:rFonts w:hint="eastAsia" w:ascii="微软雅黑" w:hAnsi="微软雅黑" w:eastAsia="微软雅黑" w:cs="微软雅黑"/>
          <w:color w:val="333333"/>
          <w:sz w:val="18"/>
          <w:szCs w:val="18"/>
          <w:lang w:val="en-US" w:eastAsia="zh-CN"/>
        </w:rPr>
      </w:pPr>
      <w:r>
        <w:rPr>
          <w:rFonts w:hint="eastAsia" w:ascii="微软雅黑" w:hAnsi="微软雅黑" w:eastAsia="微软雅黑" w:cs="微软雅黑"/>
          <w:b/>
          <w:bCs/>
          <w:color w:val="333333"/>
          <w:sz w:val="18"/>
          <w:szCs w:val="18"/>
          <w:lang w:val="en-US" w:eastAsia="zh-CN"/>
        </w:rPr>
        <w:t>答：（1）彩色总平面图、鸟瞰图、透视效果图只需一套，A1规格展示效果图可以单独密封，密封包装上不得标注有关投标人名称或可能泄露投标人名称的文字、标记、符号或信息。（2）以投标人投标人须知前附表为准。</w:t>
      </w:r>
    </w:p>
    <w:p>
      <w:pPr>
        <w:numPr>
          <w:ilvl w:val="0"/>
          <w:numId w:val="0"/>
        </w:numPr>
        <w:ind w:leftChars="0"/>
        <w:rPr>
          <w:rFonts w:hint="eastAsia" w:ascii="微软雅黑" w:hAnsi="微软雅黑" w:eastAsia="微软雅黑" w:cs="微软雅黑"/>
          <w:color w:val="333333"/>
          <w:sz w:val="18"/>
          <w:szCs w:val="18"/>
          <w:lang w:val="en-US" w:eastAsia="zh-CN"/>
        </w:rPr>
      </w:pPr>
      <w:r>
        <w:rPr>
          <w:rFonts w:hint="eastAsia" w:ascii="微软雅黑" w:hAnsi="微软雅黑" w:eastAsia="微软雅黑" w:cs="微软雅黑"/>
          <w:color w:val="333333"/>
          <w:sz w:val="18"/>
          <w:szCs w:val="18"/>
          <w:lang w:val="en-US" w:eastAsia="zh-CN"/>
        </w:rPr>
        <w:t>5、投标文件装订要求中序号与投标文件组成内容不一致，请明确？</w:t>
      </w:r>
    </w:p>
    <w:p>
      <w:pPr>
        <w:numPr>
          <w:ilvl w:val="0"/>
          <w:numId w:val="0"/>
        </w:numPr>
        <w:rPr>
          <w:rFonts w:hint="eastAsia" w:ascii="微软雅黑" w:hAnsi="微软雅黑" w:eastAsia="微软雅黑" w:cs="微软雅黑"/>
          <w:color w:val="333333"/>
          <w:sz w:val="18"/>
          <w:szCs w:val="18"/>
          <w:lang w:val="en-US" w:eastAsia="zh-CN"/>
        </w:rPr>
      </w:pPr>
      <w:r>
        <w:rPr>
          <w:rFonts w:hint="eastAsia" w:ascii="微软雅黑" w:hAnsi="微软雅黑" w:eastAsia="微软雅黑" w:cs="微软雅黑"/>
          <w:color w:val="333333"/>
          <w:sz w:val="18"/>
          <w:szCs w:val="18"/>
          <w:lang w:val="en-US" w:eastAsia="zh-CN"/>
        </w:rPr>
        <w:t>答：1、投标须知3.1.1条款中（1）（4）内容编制成册装订，称为商务标，独立分册装订；</w:t>
      </w:r>
    </w:p>
    <w:p>
      <w:pPr>
        <w:numPr>
          <w:ilvl w:val="0"/>
          <w:numId w:val="0"/>
        </w:numPr>
        <w:rPr>
          <w:rFonts w:hint="eastAsia" w:ascii="微软雅黑" w:hAnsi="微软雅黑" w:eastAsia="微软雅黑" w:cs="微软雅黑"/>
          <w:color w:val="333333"/>
          <w:sz w:val="18"/>
          <w:szCs w:val="18"/>
          <w:lang w:val="en-US" w:eastAsia="zh-CN"/>
        </w:rPr>
      </w:pPr>
      <w:r>
        <w:rPr>
          <w:rFonts w:hint="eastAsia" w:ascii="微软雅黑" w:hAnsi="微软雅黑" w:eastAsia="微软雅黑" w:cs="微软雅黑"/>
          <w:color w:val="333333"/>
          <w:sz w:val="18"/>
          <w:szCs w:val="18"/>
          <w:lang w:val="en-US" w:eastAsia="zh-CN"/>
        </w:rPr>
        <w:t>2、投标须知3.1.1条款中（6）内容独立装订成册，称为设计方案文本，独立分册装订；</w:t>
      </w:r>
    </w:p>
    <w:p>
      <w:pPr>
        <w:numPr>
          <w:ilvl w:val="0"/>
          <w:numId w:val="0"/>
        </w:numPr>
        <w:rPr>
          <w:rFonts w:hint="eastAsia" w:ascii="微软雅黑" w:hAnsi="微软雅黑" w:eastAsia="微软雅黑" w:cs="微软雅黑"/>
          <w:color w:val="333333"/>
          <w:sz w:val="18"/>
          <w:szCs w:val="18"/>
          <w:lang w:val="en-US" w:eastAsia="zh-CN"/>
        </w:rPr>
      </w:pPr>
      <w:r>
        <w:rPr>
          <w:rFonts w:hint="eastAsia" w:ascii="微软雅黑" w:hAnsi="微软雅黑" w:eastAsia="微软雅黑" w:cs="微软雅黑"/>
          <w:color w:val="333333"/>
          <w:sz w:val="18"/>
          <w:szCs w:val="18"/>
          <w:lang w:val="en-US" w:eastAsia="zh-CN"/>
        </w:rPr>
        <w:t>3、投标须知3.1.1条款中（2）（3）（5）（7）内容编制成册装订，称为资格审查资料，独立分册装订。</w:t>
      </w:r>
    </w:p>
    <w:p>
      <w:pPr>
        <w:numPr>
          <w:ilvl w:val="0"/>
          <w:numId w:val="0"/>
        </w:numPr>
        <w:rPr>
          <w:rFonts w:hint="eastAsia" w:ascii="微软雅黑" w:hAnsi="微软雅黑" w:eastAsia="微软雅黑" w:cs="微软雅黑"/>
          <w:color w:val="333333"/>
          <w:sz w:val="18"/>
          <w:szCs w:val="18"/>
          <w:lang w:val="en-US" w:eastAsia="zh-CN"/>
        </w:rPr>
      </w:pPr>
    </w:p>
    <w:p>
      <w:pPr>
        <w:numPr>
          <w:ilvl w:val="0"/>
          <w:numId w:val="0"/>
        </w:numPr>
        <w:spacing w:line="360" w:lineRule="auto"/>
        <w:ind w:firstLine="5400" w:firstLineChars="3000"/>
        <w:rPr>
          <w:rFonts w:hint="eastAsia" w:ascii="微软雅黑" w:hAnsi="微软雅黑" w:eastAsia="微软雅黑" w:cs="微软雅黑"/>
          <w:color w:val="333333"/>
          <w:sz w:val="18"/>
          <w:szCs w:val="18"/>
          <w:lang w:val="en-US" w:eastAsia="zh-CN"/>
        </w:rPr>
      </w:pPr>
      <w:r>
        <w:rPr>
          <w:rFonts w:hint="eastAsia" w:ascii="微软雅黑" w:hAnsi="微软雅黑" w:eastAsia="微软雅黑" w:cs="微软雅黑"/>
          <w:color w:val="333333"/>
          <w:sz w:val="18"/>
          <w:szCs w:val="18"/>
          <w:lang w:val="en-US" w:eastAsia="zh-CN"/>
        </w:rPr>
        <w:t>平阳县新鳌城市建设有限公司</w:t>
      </w:r>
    </w:p>
    <w:p>
      <w:pPr>
        <w:numPr>
          <w:ilvl w:val="0"/>
          <w:numId w:val="0"/>
        </w:numPr>
        <w:spacing w:line="360" w:lineRule="auto"/>
        <w:rPr>
          <w:rFonts w:hint="eastAsia" w:ascii="微软雅黑" w:hAnsi="微软雅黑" w:eastAsia="微软雅黑" w:cs="微软雅黑"/>
          <w:color w:val="333333"/>
          <w:sz w:val="18"/>
          <w:szCs w:val="18"/>
          <w:lang w:val="en-US" w:eastAsia="zh-CN"/>
        </w:rPr>
      </w:pPr>
      <w:r>
        <w:rPr>
          <w:rFonts w:hint="eastAsia" w:ascii="微软雅黑" w:hAnsi="微软雅黑" w:eastAsia="微软雅黑" w:cs="微软雅黑"/>
          <w:color w:val="333333"/>
          <w:sz w:val="18"/>
          <w:szCs w:val="18"/>
          <w:lang w:val="en-US" w:eastAsia="zh-CN"/>
        </w:rPr>
        <w:t xml:space="preserve">                                                            浙江兴厦工程项目管理有限公司</w:t>
      </w:r>
    </w:p>
    <w:p>
      <w:pPr>
        <w:pStyle w:val="2"/>
        <w:spacing w:line="360" w:lineRule="auto"/>
        <w:rPr>
          <w:rFonts w:hint="default"/>
          <w:lang w:val="en-US" w:eastAsia="zh-CN"/>
        </w:rPr>
      </w:pPr>
      <w:r>
        <w:rPr>
          <w:rFonts w:hint="eastAsia" w:ascii="微软雅黑" w:hAnsi="微软雅黑" w:eastAsia="微软雅黑" w:cs="微软雅黑"/>
          <w:color w:val="333333"/>
          <w:sz w:val="18"/>
          <w:szCs w:val="18"/>
          <w:lang w:val="en-US" w:eastAsia="zh-CN"/>
        </w:rPr>
        <w:t xml:space="preserve">                                                       2022年9月8日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416C3E"/>
    <w:multiLevelType w:val="singleLevel"/>
    <w:tmpl w:val="E9416C3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yNjk4ZGQzZTQ3NDFjMjcwMjdmMDJhNjQxMjE3NTYifQ=="/>
  </w:docVars>
  <w:rsids>
    <w:rsidRoot w:val="0E1707F1"/>
    <w:rsid w:val="0E1707F1"/>
    <w:rsid w:val="5BAE69EE"/>
    <w:rsid w:val="6AF361DA"/>
    <w:rsid w:val="734C4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9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w:basedOn w:val="3"/>
    <w:next w:val="4"/>
    <w:qFormat/>
    <w:uiPriority w:val="99"/>
    <w:pPr>
      <w:spacing w:line="312" w:lineRule="auto"/>
      <w:ind w:firstLine="420"/>
    </w:pPr>
    <w:rPr>
      <w:sz w:val="24"/>
      <w:szCs w:val="24"/>
      <w:lang w:val="en-US" w:eastAsia="zh-CN"/>
    </w:rPr>
  </w:style>
  <w:style w:type="paragraph" w:styleId="3">
    <w:name w:val="Body Text"/>
    <w:basedOn w:val="1"/>
    <w:next w:val="2"/>
    <w:qFormat/>
    <w:uiPriority w:val="99"/>
    <w:pPr>
      <w:spacing w:after="120"/>
    </w:pPr>
    <w:rPr>
      <w:rFonts w:ascii="Times New Roman" w:hAnsi="Times New Roman" w:cs="Times New Roman"/>
    </w:rPr>
  </w:style>
  <w:style w:type="paragraph" w:styleId="4">
    <w:name w:val="toc 6"/>
    <w:basedOn w:val="1"/>
    <w:next w:val="1"/>
    <w:uiPriority w:val="99"/>
    <w:pPr>
      <w:ind w:left="1000" w:leftChars="1000"/>
    </w:pPr>
  </w:style>
  <w:style w:type="character" w:styleId="7">
    <w:name w:val="FollowedHyperlink"/>
    <w:basedOn w:val="6"/>
    <w:qFormat/>
    <w:uiPriority w:val="0"/>
    <w:rPr>
      <w:color w:val="333333"/>
      <w:u w:val="none"/>
    </w:rPr>
  </w:style>
  <w:style w:type="character" w:styleId="8">
    <w:name w:val="Hyperlink"/>
    <w:basedOn w:val="6"/>
    <w:qFormat/>
    <w:uiPriority w:val="0"/>
    <w:rPr>
      <w:color w:val="333333"/>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1539</Words>
  <Characters>1609</Characters>
  <Lines>0</Lines>
  <Paragraphs>0</Paragraphs>
  <TotalTime>2</TotalTime>
  <ScaleCrop>false</ScaleCrop>
  <LinksUpToDate>false</LinksUpToDate>
  <CharactersWithSpaces>1730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2022-09-08T02:44:00Z</dcterms:created>
  <dc:creator>admin</dc:creator>
  <cp:lastModifiedBy>admin</cp:lastModifiedBy>
  <cp:lastPrinted>2022-09-08T06:16:00Z</cp:lastPrinted>
  <dcterms:modified xsi:type="dcterms:W3CDTF">2022-09-08T09:39:32Z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5C3D5AA51DBC4D4094B8AEF523A06316</vt:lpwstr>
  </property>
</Properties>
</file>