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9B5F4">
      <w:pPr>
        <w:pStyle w:val="9"/>
        <w:spacing w:line="360" w:lineRule="auto"/>
        <w:ind w:firstLine="0" w:firstLineChars="0"/>
        <w:jc w:val="center"/>
        <w:rPr>
          <w:rFonts w:hint="eastAsia" w:ascii="宋体" w:hAnsi="宋体"/>
          <w:b/>
          <w:sz w:val="36"/>
          <w:szCs w:val="36"/>
          <w:lang w:eastAsia="zh-CN"/>
        </w:rPr>
      </w:pPr>
      <w:r>
        <w:rPr>
          <w:rFonts w:hint="eastAsia" w:ascii="宋体" w:hAnsi="宋体"/>
          <w:b/>
          <w:sz w:val="36"/>
          <w:szCs w:val="36"/>
          <w:lang w:eastAsia="zh-CN"/>
        </w:rPr>
        <w:t>农村综合生活配套提升项目</w:t>
      </w:r>
    </w:p>
    <w:p w14:paraId="40EC05F4">
      <w:pPr>
        <w:pStyle w:val="9"/>
        <w:spacing w:line="360" w:lineRule="auto"/>
        <w:ind w:firstLine="0" w:firstLineChars="0"/>
        <w:jc w:val="center"/>
        <w:rPr>
          <w:rFonts w:ascii="宋体" w:hAnsi="宋体"/>
          <w:b/>
          <w:sz w:val="36"/>
          <w:szCs w:val="36"/>
        </w:rPr>
      </w:pPr>
      <w:r>
        <w:rPr>
          <w:rFonts w:hint="eastAsia" w:ascii="宋体" w:hAnsi="宋体"/>
          <w:b/>
          <w:sz w:val="36"/>
          <w:szCs w:val="36"/>
        </w:rPr>
        <w:t>编制说明</w:t>
      </w:r>
    </w:p>
    <w:p w14:paraId="579A89C9">
      <w:pPr>
        <w:pStyle w:val="9"/>
        <w:spacing w:line="360" w:lineRule="auto"/>
        <w:ind w:firstLine="0" w:firstLineChars="0"/>
        <w:jc w:val="center"/>
        <w:rPr>
          <w:rFonts w:ascii="宋体" w:hAnsi="宋体"/>
          <w:b/>
          <w:sz w:val="10"/>
          <w:szCs w:val="10"/>
        </w:rPr>
      </w:pPr>
    </w:p>
    <w:p w14:paraId="00074888">
      <w:pPr>
        <w:numPr>
          <w:ilvl w:val="0"/>
          <w:numId w:val="1"/>
        </w:numPr>
        <w:spacing w:line="360" w:lineRule="auto"/>
        <w:jc w:val="left"/>
        <w:rPr>
          <w:rFonts w:ascii="宋体" w:hAnsi="宋体"/>
          <w:b/>
          <w:sz w:val="36"/>
          <w:szCs w:val="36"/>
        </w:rPr>
      </w:pPr>
      <w:r>
        <w:rPr>
          <w:rFonts w:hint="eastAsia" w:ascii="宋体" w:hAnsi="宋体"/>
          <w:b/>
          <w:sz w:val="36"/>
          <w:szCs w:val="36"/>
        </w:rPr>
        <w:t>总说明</w:t>
      </w:r>
    </w:p>
    <w:p w14:paraId="6E82B5C5">
      <w:pPr>
        <w:numPr>
          <w:ilvl w:val="1"/>
          <w:numId w:val="1"/>
        </w:numPr>
        <w:spacing w:line="360" w:lineRule="auto"/>
        <w:jc w:val="left"/>
        <w:rPr>
          <w:rFonts w:ascii="宋体" w:hAnsi="宋体"/>
          <w:sz w:val="28"/>
          <w:szCs w:val="28"/>
        </w:rPr>
      </w:pPr>
      <w:r>
        <w:rPr>
          <w:rFonts w:hint="eastAsia" w:ascii="宋体" w:hAnsi="宋体"/>
          <w:sz w:val="28"/>
          <w:szCs w:val="28"/>
        </w:rPr>
        <w:t>工程概况：</w:t>
      </w:r>
      <w:r>
        <w:rPr>
          <w:rFonts w:hint="eastAsia" w:ascii="宋体" w:hAnsi="宋体"/>
          <w:sz w:val="28"/>
          <w:szCs w:val="28"/>
          <w:lang w:eastAsia="zh-CN"/>
        </w:rPr>
        <w:t>项目</w:t>
      </w:r>
      <w:r>
        <w:rPr>
          <w:rFonts w:hint="eastAsia" w:ascii="宋体" w:hAnsi="宋体"/>
          <w:sz w:val="28"/>
          <w:szCs w:val="28"/>
        </w:rPr>
        <w:t>,</w:t>
      </w:r>
      <w:r>
        <w:rPr>
          <w:rFonts w:hint="eastAsia" w:ascii="宋体" w:hAnsi="宋体"/>
          <w:sz w:val="28"/>
          <w:szCs w:val="28"/>
          <w:lang w:val="en-US" w:eastAsia="zh-CN"/>
        </w:rPr>
        <w:t>建筑面积详见图纸，工程内容包含邻里中心、配套休闲空间提升、共富工坊提升等3个部分。</w:t>
      </w:r>
    </w:p>
    <w:p w14:paraId="1E645B45">
      <w:pPr>
        <w:numPr>
          <w:ilvl w:val="1"/>
          <w:numId w:val="1"/>
        </w:numPr>
        <w:spacing w:line="360" w:lineRule="auto"/>
        <w:jc w:val="left"/>
        <w:rPr>
          <w:rFonts w:ascii="宋体" w:hAnsi="宋体"/>
          <w:sz w:val="28"/>
          <w:szCs w:val="28"/>
        </w:rPr>
      </w:pPr>
      <w:r>
        <w:rPr>
          <w:rFonts w:hint="eastAsia" w:ascii="宋体" w:hAnsi="宋体"/>
          <w:sz w:val="28"/>
          <w:szCs w:val="28"/>
        </w:rPr>
        <w:t>工程量编制依据：</w:t>
      </w:r>
    </w:p>
    <w:p w14:paraId="133CA5BF">
      <w:pPr>
        <w:numPr>
          <w:ilvl w:val="0"/>
          <w:numId w:val="2"/>
        </w:numPr>
        <w:spacing w:line="360" w:lineRule="auto"/>
        <w:jc w:val="left"/>
        <w:rPr>
          <w:rFonts w:ascii="宋体" w:hAnsi="宋体"/>
          <w:sz w:val="28"/>
          <w:szCs w:val="28"/>
        </w:rPr>
      </w:pPr>
      <w:r>
        <w:rPr>
          <w:rFonts w:hint="eastAsia" w:ascii="宋体" w:hAnsi="宋体"/>
          <w:sz w:val="28"/>
          <w:szCs w:val="28"/>
        </w:rPr>
        <w:t>施工图纸；</w:t>
      </w:r>
    </w:p>
    <w:p w14:paraId="0EEE6EA7">
      <w:pPr>
        <w:numPr>
          <w:ilvl w:val="0"/>
          <w:numId w:val="2"/>
        </w:numPr>
        <w:spacing w:line="360" w:lineRule="auto"/>
        <w:jc w:val="left"/>
        <w:rPr>
          <w:rFonts w:ascii="宋体" w:hAnsi="宋体"/>
          <w:sz w:val="28"/>
          <w:szCs w:val="28"/>
        </w:rPr>
      </w:pPr>
      <w:r>
        <w:rPr>
          <w:rFonts w:hint="eastAsia" w:ascii="宋体" w:hAnsi="宋体" w:cs="宋体"/>
          <w:sz w:val="28"/>
          <w:szCs w:val="28"/>
        </w:rPr>
        <w:t>《本工程按《浙江省建筑工程预算定额(2018)版》《浙江省</w:t>
      </w:r>
      <w:r>
        <w:rPr>
          <w:rFonts w:hint="eastAsia" w:ascii="宋体" w:hAnsi="宋体" w:cs="宋体"/>
          <w:sz w:val="28"/>
          <w:szCs w:val="28"/>
          <w:lang w:val="en-US" w:eastAsia="zh-CN"/>
        </w:rPr>
        <w:t>安装</w:t>
      </w:r>
      <w:r>
        <w:rPr>
          <w:rFonts w:hint="eastAsia" w:ascii="宋体" w:hAnsi="宋体" w:cs="宋体"/>
          <w:sz w:val="28"/>
          <w:szCs w:val="28"/>
        </w:rPr>
        <w:t>工程预算定额(2018)版》省市有关政策，定额及计价按照</w:t>
      </w:r>
      <w:r>
        <w:rPr>
          <w:rFonts w:ascii="宋体" w:hAnsi="宋体" w:cs="宋体"/>
          <w:sz w:val="28"/>
          <w:szCs w:val="28"/>
        </w:rPr>
        <w:t>201</w:t>
      </w:r>
      <w:r>
        <w:rPr>
          <w:rFonts w:hint="eastAsia" w:ascii="宋体" w:hAnsi="宋体" w:cs="宋体"/>
          <w:sz w:val="28"/>
          <w:szCs w:val="28"/>
        </w:rPr>
        <w:t>8年浙江省定额及浙江省相关配套的工程造价计价文件计算。</w:t>
      </w:r>
    </w:p>
    <w:p w14:paraId="202C7179">
      <w:pPr>
        <w:numPr>
          <w:ilvl w:val="0"/>
          <w:numId w:val="2"/>
        </w:numPr>
        <w:spacing w:line="360" w:lineRule="auto"/>
        <w:jc w:val="left"/>
        <w:rPr>
          <w:rFonts w:ascii="宋体" w:hAnsi="宋体"/>
          <w:sz w:val="28"/>
          <w:szCs w:val="28"/>
        </w:rPr>
      </w:pPr>
      <w:r>
        <w:rPr>
          <w:rFonts w:hint="eastAsia" w:ascii="宋体" w:hAnsi="宋体"/>
          <w:sz w:val="28"/>
          <w:szCs w:val="28"/>
        </w:rPr>
        <w:t>工程施工规范及相关的标准。</w:t>
      </w:r>
    </w:p>
    <w:p w14:paraId="1F3F9518">
      <w:pPr>
        <w:numPr>
          <w:ilvl w:val="0"/>
          <w:numId w:val="2"/>
        </w:numPr>
        <w:spacing w:line="480" w:lineRule="atLeast"/>
        <w:rPr>
          <w:rFonts w:ascii="宋体" w:hAnsi="宋体"/>
          <w:sz w:val="28"/>
          <w:szCs w:val="28"/>
          <w:lang w:val="zh-CN"/>
        </w:rPr>
      </w:pPr>
      <w:r>
        <w:rPr>
          <w:rFonts w:hint="eastAsia" w:ascii="宋体" w:hAnsi="宋体"/>
          <w:color w:val="000000"/>
          <w:sz w:val="28"/>
          <w:szCs w:val="28"/>
          <w:lang w:val="zh-CN"/>
        </w:rPr>
        <w:t>按</w:t>
      </w:r>
      <w:r>
        <w:rPr>
          <w:rFonts w:hint="eastAsia" w:ascii="宋体" w:hAnsi="宋体"/>
          <w:color w:val="000000"/>
          <w:sz w:val="28"/>
          <w:szCs w:val="28"/>
        </w:rPr>
        <w:t>2018版费用定额固定的弹性费率区间的中值计取（并执行基准日期前</w:t>
      </w:r>
      <w:r>
        <w:rPr>
          <w:rFonts w:hint="eastAsia" w:ascii="宋体" w:hAnsi="宋体"/>
          <w:sz w:val="28"/>
          <w:szCs w:val="28"/>
        </w:rPr>
        <w:t>建设主管部门发布的最新施工费用费率调整文件），</w:t>
      </w:r>
      <w:r>
        <w:rPr>
          <w:rFonts w:hint="eastAsia" w:ascii="宋体" w:hAnsi="宋体"/>
          <w:sz w:val="28"/>
          <w:szCs w:val="28"/>
          <w:lang w:val="zh-CN"/>
        </w:rPr>
        <w:t>本工程按增值税一般计税，安全文明施工费按市区一般工程。</w:t>
      </w:r>
    </w:p>
    <w:p w14:paraId="4C1BE072">
      <w:pPr>
        <w:numPr>
          <w:ilvl w:val="1"/>
          <w:numId w:val="1"/>
        </w:numPr>
        <w:spacing w:line="360" w:lineRule="auto"/>
        <w:jc w:val="left"/>
        <w:rPr>
          <w:rFonts w:ascii="宋体" w:hAnsi="宋体"/>
          <w:sz w:val="28"/>
          <w:szCs w:val="28"/>
        </w:rPr>
      </w:pPr>
      <w:r>
        <w:rPr>
          <w:rFonts w:hint="eastAsia" w:ascii="宋体" w:hAnsi="宋体"/>
          <w:sz w:val="28"/>
          <w:szCs w:val="28"/>
        </w:rPr>
        <w:t>工程质量、材料、施工等的特殊要求：按照施工图纸要求。</w:t>
      </w:r>
    </w:p>
    <w:p w14:paraId="365534A3">
      <w:pPr>
        <w:spacing w:line="360" w:lineRule="auto"/>
        <w:jc w:val="left"/>
        <w:rPr>
          <w:rFonts w:ascii="宋体" w:hAnsi="宋体"/>
          <w:shd w:val="pct10" w:color="auto" w:fill="FFFFFF"/>
        </w:rPr>
      </w:pPr>
    </w:p>
    <w:p w14:paraId="6BEEB846">
      <w:pPr>
        <w:pStyle w:val="9"/>
        <w:tabs>
          <w:tab w:val="left" w:pos="360"/>
        </w:tabs>
        <w:spacing w:line="360" w:lineRule="auto"/>
        <w:ind w:firstLine="0" w:firstLineChars="0"/>
        <w:jc w:val="left"/>
        <w:rPr>
          <w:rFonts w:ascii="宋体" w:hAnsi="宋体"/>
          <w:szCs w:val="28"/>
        </w:rPr>
      </w:pPr>
      <w:r>
        <w:rPr>
          <w:rFonts w:hint="eastAsia" w:ascii="宋体" w:hAnsi="宋体"/>
          <w:b/>
          <w:sz w:val="32"/>
          <w:szCs w:val="32"/>
        </w:rPr>
        <w:t>二、土建部分</w:t>
      </w:r>
      <w:r>
        <w:rPr>
          <w:rFonts w:hint="eastAsia" w:ascii="宋体" w:hAnsi="宋体"/>
          <w:szCs w:val="28"/>
        </w:rPr>
        <w:t>：</w:t>
      </w:r>
    </w:p>
    <w:p w14:paraId="3B1FB98B">
      <w:pPr>
        <w:pStyle w:val="9"/>
        <w:numPr>
          <w:ilvl w:val="3"/>
          <w:numId w:val="1"/>
        </w:numPr>
        <w:tabs>
          <w:tab w:val="left" w:pos="900"/>
          <w:tab w:val="clear" w:pos="1680"/>
        </w:tabs>
        <w:spacing w:line="360" w:lineRule="auto"/>
        <w:ind w:left="900" w:hanging="540" w:firstLineChars="0"/>
        <w:jc w:val="left"/>
        <w:rPr>
          <w:rFonts w:ascii="宋体" w:hAnsi="宋体"/>
          <w:sz w:val="28"/>
          <w:szCs w:val="28"/>
        </w:rPr>
      </w:pPr>
      <w:r>
        <w:rPr>
          <w:rFonts w:hint="eastAsia" w:ascii="宋体" w:hAnsi="宋体"/>
          <w:sz w:val="28"/>
          <w:szCs w:val="28"/>
        </w:rPr>
        <w:t>通用部分</w:t>
      </w:r>
    </w:p>
    <w:p w14:paraId="755CF68D">
      <w:pPr>
        <w:pStyle w:val="9"/>
        <w:numPr>
          <w:ilvl w:val="4"/>
          <w:numId w:val="1"/>
        </w:numPr>
        <w:tabs>
          <w:tab w:val="left" w:pos="720"/>
          <w:tab w:val="left" w:pos="1260"/>
          <w:tab w:val="clear" w:pos="704"/>
        </w:tabs>
        <w:spacing w:line="360" w:lineRule="auto"/>
        <w:ind w:left="720" w:hanging="360" w:firstLineChars="0"/>
        <w:jc w:val="left"/>
        <w:rPr>
          <w:rFonts w:ascii="宋体" w:hAnsi="宋体"/>
          <w:sz w:val="28"/>
          <w:szCs w:val="28"/>
        </w:rPr>
      </w:pPr>
      <w:r>
        <w:rPr>
          <w:rFonts w:hint="eastAsia" w:ascii="宋体" w:hAnsi="宋体"/>
          <w:sz w:val="28"/>
          <w:szCs w:val="28"/>
        </w:rPr>
        <w:t>混凝土：</w:t>
      </w:r>
    </w:p>
    <w:p w14:paraId="32E98571">
      <w:pPr>
        <w:pStyle w:val="9"/>
        <w:tabs>
          <w:tab w:val="left" w:pos="1260"/>
        </w:tabs>
        <w:spacing w:line="360" w:lineRule="auto"/>
        <w:ind w:left="919" w:leftChars="171" w:hanging="560" w:hangingChars="200"/>
        <w:jc w:val="left"/>
        <w:rPr>
          <w:rFonts w:ascii="宋体" w:hAnsi="宋体"/>
          <w:sz w:val="28"/>
          <w:szCs w:val="28"/>
        </w:rPr>
      </w:pPr>
      <w:r>
        <w:rPr>
          <w:rFonts w:hint="eastAsia" w:ascii="宋体" w:hAnsi="宋体"/>
          <w:sz w:val="28"/>
          <w:szCs w:val="28"/>
        </w:rPr>
        <w:t xml:space="preserve">  a.泵送商品混凝土：基础、柱、梁、墙、板、及楼梯等主体结构</w:t>
      </w:r>
    </w:p>
    <w:p w14:paraId="52C42868">
      <w:pPr>
        <w:pStyle w:val="9"/>
        <w:tabs>
          <w:tab w:val="left" w:pos="1260"/>
        </w:tabs>
        <w:spacing w:line="360" w:lineRule="auto"/>
        <w:ind w:left="919" w:leftChars="171" w:hanging="560" w:hangingChars="200"/>
        <w:jc w:val="left"/>
        <w:rPr>
          <w:rFonts w:ascii="宋体" w:hAnsi="宋体"/>
          <w:sz w:val="28"/>
          <w:szCs w:val="28"/>
        </w:rPr>
      </w:pPr>
      <w:r>
        <w:rPr>
          <w:rFonts w:hint="eastAsia" w:ascii="宋体" w:hAnsi="宋体"/>
          <w:sz w:val="28"/>
          <w:szCs w:val="28"/>
        </w:rPr>
        <w:t xml:space="preserve">  b.非泵送商品混凝土：构造柱、圈梁、卫生间翻口等二次浇注构件，垫层，屋面及楼面细石砼地面。</w:t>
      </w:r>
    </w:p>
    <w:p w14:paraId="30681227">
      <w:pPr>
        <w:pStyle w:val="9"/>
        <w:tabs>
          <w:tab w:val="left" w:pos="1260"/>
        </w:tabs>
        <w:spacing w:line="360" w:lineRule="auto"/>
        <w:ind w:left="359" w:leftChars="171" w:firstLine="280" w:firstLineChars="100"/>
        <w:jc w:val="left"/>
        <w:rPr>
          <w:rFonts w:ascii="宋体" w:hAnsi="宋体"/>
          <w:sz w:val="28"/>
          <w:szCs w:val="28"/>
        </w:rPr>
      </w:pPr>
      <w:r>
        <w:rPr>
          <w:rFonts w:hint="eastAsia" w:ascii="宋体" w:hAnsi="宋体"/>
          <w:sz w:val="28"/>
          <w:szCs w:val="28"/>
        </w:rPr>
        <w:t>c.楼梯混凝土强度同各楼层梁板。</w:t>
      </w:r>
    </w:p>
    <w:p w14:paraId="45B1B246">
      <w:pPr>
        <w:pStyle w:val="9"/>
        <w:numPr>
          <w:ilvl w:val="4"/>
          <w:numId w:val="1"/>
        </w:numPr>
        <w:tabs>
          <w:tab w:val="left" w:pos="720"/>
          <w:tab w:val="clear" w:pos="704"/>
        </w:tabs>
        <w:spacing w:line="360" w:lineRule="auto"/>
        <w:ind w:left="720" w:hanging="360" w:firstLineChars="0"/>
        <w:jc w:val="left"/>
        <w:rPr>
          <w:rFonts w:asciiTheme="minorEastAsia" w:hAnsiTheme="minorEastAsia"/>
          <w:sz w:val="28"/>
          <w:szCs w:val="28"/>
        </w:rPr>
      </w:pPr>
      <w:r>
        <w:rPr>
          <w:rFonts w:hint="eastAsia" w:asciiTheme="minorEastAsia" w:hAnsiTheme="minorEastAsia"/>
          <w:sz w:val="28"/>
          <w:szCs w:val="28"/>
        </w:rPr>
        <w:t>本工程中门、窗报价均应包括所有的五金配件（含地弹簧）、拉手、锁具、嵌缝、盖缝、油漆等设计要求的所有成品组成要素。</w:t>
      </w:r>
    </w:p>
    <w:p w14:paraId="25AAF1D1">
      <w:pPr>
        <w:pStyle w:val="9"/>
        <w:numPr>
          <w:ilvl w:val="4"/>
          <w:numId w:val="1"/>
        </w:numPr>
        <w:tabs>
          <w:tab w:val="left" w:pos="720"/>
          <w:tab w:val="clear" w:pos="704"/>
        </w:tabs>
        <w:spacing w:line="360" w:lineRule="auto"/>
        <w:ind w:left="720" w:hanging="360" w:firstLineChars="0"/>
        <w:jc w:val="left"/>
        <w:rPr>
          <w:rFonts w:asciiTheme="minorEastAsia" w:hAnsiTheme="minorEastAsia"/>
          <w:sz w:val="28"/>
          <w:szCs w:val="28"/>
        </w:rPr>
      </w:pPr>
      <w:r>
        <w:rPr>
          <w:rFonts w:hint="eastAsia" w:asciiTheme="minorEastAsia" w:hAnsiTheme="minorEastAsia"/>
          <w:sz w:val="28"/>
          <w:szCs w:val="28"/>
        </w:rPr>
        <w:t>清单中涉及到有关标准图集的以标准图集做法为准，综合单价应包含标准图集做法中所有工作内容。</w:t>
      </w:r>
    </w:p>
    <w:p w14:paraId="45D06DA5">
      <w:pPr>
        <w:pStyle w:val="9"/>
        <w:numPr>
          <w:ilvl w:val="4"/>
          <w:numId w:val="1"/>
        </w:numPr>
        <w:tabs>
          <w:tab w:val="left" w:pos="720"/>
          <w:tab w:val="clear" w:pos="704"/>
        </w:tabs>
        <w:spacing w:line="360" w:lineRule="auto"/>
        <w:ind w:left="720" w:hanging="360" w:firstLineChars="0"/>
        <w:jc w:val="left"/>
        <w:rPr>
          <w:rFonts w:asciiTheme="minorEastAsia" w:hAnsiTheme="minorEastAsia"/>
          <w:sz w:val="28"/>
          <w:szCs w:val="28"/>
        </w:rPr>
      </w:pPr>
      <w:r>
        <w:rPr>
          <w:rFonts w:hint="eastAsia" w:asciiTheme="minorEastAsia" w:hAnsiTheme="minorEastAsia"/>
          <w:sz w:val="28"/>
          <w:szCs w:val="28"/>
        </w:rPr>
        <w:t>分部分项工程量清单中的工程量是按实物净量计算的，一切损耗均应在内。</w:t>
      </w:r>
    </w:p>
    <w:p w14:paraId="32CC58A5">
      <w:pPr>
        <w:pStyle w:val="9"/>
        <w:numPr>
          <w:ilvl w:val="4"/>
          <w:numId w:val="1"/>
        </w:numPr>
        <w:tabs>
          <w:tab w:val="left" w:pos="720"/>
          <w:tab w:val="clear" w:pos="704"/>
        </w:tabs>
        <w:spacing w:line="360" w:lineRule="auto"/>
        <w:ind w:left="720" w:hanging="360" w:firstLineChars="0"/>
        <w:jc w:val="left"/>
        <w:rPr>
          <w:rFonts w:asciiTheme="minorEastAsia" w:hAnsiTheme="minorEastAsia"/>
          <w:sz w:val="28"/>
          <w:szCs w:val="28"/>
        </w:rPr>
      </w:pPr>
      <w:r>
        <w:rPr>
          <w:rFonts w:hint="eastAsia" w:asciiTheme="minorEastAsia" w:hAnsiTheme="minorEastAsia"/>
          <w:sz w:val="28"/>
          <w:szCs w:val="28"/>
        </w:rPr>
        <w:t>防水涂膜、防水卷材的附加卷材、卷材等宽度投标单位需根据图纸中相对应节点自行考虑并包含在主要工程量清单内。</w:t>
      </w:r>
    </w:p>
    <w:p w14:paraId="582A4E2D">
      <w:pPr>
        <w:pStyle w:val="9"/>
        <w:numPr>
          <w:ilvl w:val="4"/>
          <w:numId w:val="1"/>
        </w:numPr>
        <w:tabs>
          <w:tab w:val="left" w:pos="720"/>
          <w:tab w:val="clear" w:pos="704"/>
        </w:tabs>
        <w:spacing w:line="360" w:lineRule="auto"/>
        <w:ind w:left="720" w:hanging="360" w:firstLineChars="0"/>
        <w:jc w:val="left"/>
        <w:rPr>
          <w:rFonts w:asciiTheme="minorEastAsia" w:hAnsiTheme="minorEastAsia"/>
          <w:sz w:val="24"/>
        </w:rPr>
      </w:pPr>
      <w:r>
        <w:rPr>
          <w:rFonts w:hint="eastAsia" w:asciiTheme="minorEastAsia" w:hAnsiTheme="minorEastAsia"/>
          <w:sz w:val="28"/>
          <w:szCs w:val="28"/>
        </w:rPr>
        <w:t>本说明未注明单位为“毫米</w:t>
      </w:r>
      <w:r>
        <w:rPr>
          <w:rFonts w:hint="eastAsia" w:asciiTheme="minorEastAsia" w:hAnsiTheme="minorEastAsia"/>
          <w:sz w:val="24"/>
        </w:rPr>
        <w:t>”。</w:t>
      </w:r>
    </w:p>
    <w:p w14:paraId="1DC917BE">
      <w:pPr>
        <w:pStyle w:val="9"/>
        <w:numPr>
          <w:ilvl w:val="4"/>
          <w:numId w:val="1"/>
        </w:numPr>
        <w:tabs>
          <w:tab w:val="left" w:pos="720"/>
          <w:tab w:val="clear" w:pos="704"/>
        </w:tabs>
        <w:spacing w:line="360" w:lineRule="auto"/>
        <w:ind w:left="720" w:hanging="360" w:firstLineChars="0"/>
        <w:jc w:val="left"/>
        <w:rPr>
          <w:rFonts w:asciiTheme="minorEastAsia" w:hAnsiTheme="minorEastAsia"/>
          <w:sz w:val="24"/>
        </w:rPr>
      </w:pPr>
      <w:r>
        <w:rPr>
          <w:rFonts w:hint="eastAsia" w:asciiTheme="minorEastAsia" w:hAnsiTheme="minorEastAsia" w:cstheme="minorEastAsia"/>
          <w:sz w:val="28"/>
          <w:szCs w:val="28"/>
        </w:rPr>
        <w:t>信息价按平阳县202</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月份计入，无信息价的参考同月份温州信息价计入</w:t>
      </w:r>
      <w:r>
        <w:rPr>
          <w:rFonts w:hint="eastAsia" w:asciiTheme="minorEastAsia" w:hAnsiTheme="minorEastAsia" w:cstheme="minorEastAsia"/>
          <w:sz w:val="28"/>
          <w:szCs w:val="28"/>
          <w:lang w:eastAsia="zh-CN"/>
        </w:rPr>
        <w:t>；</w:t>
      </w:r>
    </w:p>
    <w:p w14:paraId="37130C0B">
      <w:pPr>
        <w:pStyle w:val="9"/>
        <w:numPr>
          <w:ilvl w:val="0"/>
          <w:numId w:val="3"/>
        </w:numPr>
        <w:tabs>
          <w:tab w:val="left" w:pos="720"/>
        </w:tabs>
        <w:spacing w:line="360" w:lineRule="auto"/>
        <w:ind w:left="360" w:firstLine="0" w:firstLineChars="0"/>
        <w:jc w:val="left"/>
        <w:rPr>
          <w:b/>
          <w:sz w:val="32"/>
          <w:szCs w:val="32"/>
        </w:rPr>
      </w:pPr>
      <w:r>
        <w:rPr>
          <w:rFonts w:hint="eastAsia"/>
          <w:b/>
          <w:sz w:val="32"/>
          <w:szCs w:val="32"/>
        </w:rPr>
        <w:t>土建部分</w:t>
      </w:r>
    </w:p>
    <w:p w14:paraId="52B59904">
      <w:pPr>
        <w:pStyle w:val="9"/>
        <w:numPr>
          <w:ilvl w:val="0"/>
          <w:numId w:val="0"/>
        </w:numPr>
        <w:tabs>
          <w:tab w:val="left" w:pos="720"/>
        </w:tabs>
        <w:spacing w:line="360" w:lineRule="auto"/>
        <w:ind w:left="360" w:leftChars="0"/>
        <w:jc w:val="left"/>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邻里中心：</w:t>
      </w:r>
    </w:p>
    <w:p w14:paraId="724AD2E6">
      <w:pPr>
        <w:pStyle w:val="9"/>
        <w:numPr>
          <w:ilvl w:val="0"/>
          <w:numId w:val="4"/>
        </w:numPr>
        <w:tabs>
          <w:tab w:val="left" w:pos="720"/>
        </w:tabs>
        <w:spacing w:line="360" w:lineRule="auto"/>
        <w:ind w:left="0" w:leftChars="0"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蒸压加气块按B06  A3.5计入；</w:t>
      </w:r>
    </w:p>
    <w:p w14:paraId="1F38F9B6">
      <w:pPr>
        <w:pStyle w:val="9"/>
        <w:numPr>
          <w:ilvl w:val="0"/>
          <w:numId w:val="4"/>
        </w:numPr>
        <w:tabs>
          <w:tab w:val="left" w:pos="720"/>
        </w:tabs>
        <w:spacing w:line="360" w:lineRule="auto"/>
        <w:ind w:left="0" w:leftChars="0"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装饰措施费已包含在土建里，不单独计算；</w:t>
      </w:r>
    </w:p>
    <w:p w14:paraId="29354E81">
      <w:pPr>
        <w:pStyle w:val="9"/>
        <w:numPr>
          <w:ilvl w:val="0"/>
          <w:numId w:val="4"/>
        </w:numPr>
        <w:tabs>
          <w:tab w:val="left" w:pos="720"/>
        </w:tabs>
        <w:spacing w:line="360" w:lineRule="auto"/>
        <w:ind w:left="0" w:leftChars="0"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石膏板统一按单层计入本次预算；</w:t>
      </w:r>
    </w:p>
    <w:p w14:paraId="7663C72E">
      <w:pPr>
        <w:pStyle w:val="9"/>
        <w:numPr>
          <w:ilvl w:val="0"/>
          <w:numId w:val="4"/>
        </w:numPr>
        <w:tabs>
          <w:tab w:val="left" w:pos="720"/>
        </w:tabs>
        <w:spacing w:line="360" w:lineRule="auto"/>
        <w:ind w:left="0" w:leftChars="0"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屋面保温及岩棉板不计入本次预算；</w:t>
      </w:r>
    </w:p>
    <w:p w14:paraId="6B8C9828">
      <w:pPr>
        <w:pStyle w:val="9"/>
        <w:numPr>
          <w:ilvl w:val="0"/>
          <w:numId w:val="4"/>
        </w:numPr>
        <w:tabs>
          <w:tab w:val="left" w:pos="720"/>
        </w:tabs>
        <w:spacing w:line="360" w:lineRule="auto"/>
        <w:ind w:left="0" w:leftChars="0"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排水沟不计入本次预算；</w:t>
      </w:r>
    </w:p>
    <w:p w14:paraId="30B1561A">
      <w:pPr>
        <w:pStyle w:val="9"/>
        <w:numPr>
          <w:ilvl w:val="0"/>
          <w:numId w:val="4"/>
        </w:numPr>
        <w:tabs>
          <w:tab w:val="left" w:pos="720"/>
        </w:tabs>
        <w:spacing w:line="360" w:lineRule="auto"/>
        <w:ind w:left="0" w:leftChars="0"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外墙保温不计入本次预算；</w:t>
      </w:r>
    </w:p>
    <w:p w14:paraId="5C532A67">
      <w:pPr>
        <w:pStyle w:val="9"/>
        <w:numPr>
          <w:ilvl w:val="0"/>
          <w:numId w:val="4"/>
        </w:numPr>
        <w:tabs>
          <w:tab w:val="left" w:pos="720"/>
        </w:tabs>
        <w:spacing w:line="360" w:lineRule="auto"/>
        <w:ind w:left="0" w:leftChars="0"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石膏板统一按单层计入本次预算；</w:t>
      </w:r>
    </w:p>
    <w:p w14:paraId="492019CD">
      <w:pPr>
        <w:pStyle w:val="9"/>
        <w:numPr>
          <w:ilvl w:val="0"/>
          <w:numId w:val="4"/>
        </w:numPr>
        <w:tabs>
          <w:tab w:val="left" w:pos="720"/>
        </w:tabs>
        <w:spacing w:line="360" w:lineRule="auto"/>
        <w:ind w:left="0" w:leftChars="0"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zh-CN" w:eastAsia="zh-CN"/>
        </w:rPr>
        <w:t>本工程询价部分均以含税价计入；</w:t>
      </w:r>
    </w:p>
    <w:p w14:paraId="3811151B">
      <w:pPr>
        <w:pStyle w:val="9"/>
        <w:numPr>
          <w:ilvl w:val="0"/>
          <w:numId w:val="0"/>
        </w:numPr>
        <w:tabs>
          <w:tab w:val="left" w:pos="720"/>
        </w:tabs>
        <w:spacing w:line="360" w:lineRule="auto"/>
        <w:ind w:left="360" w:leftChars="0"/>
        <w:jc w:val="left"/>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休闲空间中心：</w:t>
      </w:r>
    </w:p>
    <w:p w14:paraId="4CD2AB89">
      <w:pPr>
        <w:pStyle w:val="9"/>
        <w:numPr>
          <w:ilvl w:val="0"/>
          <w:numId w:val="5"/>
        </w:numPr>
        <w:tabs>
          <w:tab w:val="left" w:pos="720"/>
        </w:tabs>
        <w:spacing w:line="360" w:lineRule="auto"/>
        <w:ind w:left="845" w:leftChars="0" w:hanging="425" w:firstLineChars="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卫生间隔断高度按2.4m计入；</w:t>
      </w:r>
    </w:p>
    <w:p w14:paraId="062FAA05">
      <w:pPr>
        <w:pStyle w:val="9"/>
        <w:numPr>
          <w:ilvl w:val="0"/>
          <w:numId w:val="5"/>
        </w:numPr>
        <w:tabs>
          <w:tab w:val="left" w:pos="720"/>
        </w:tabs>
        <w:spacing w:line="360" w:lineRule="auto"/>
        <w:ind w:left="845" w:leftChars="0" w:hanging="425" w:firstLineChars="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蒸压加气块按B06  A3.5计入；</w:t>
      </w:r>
    </w:p>
    <w:p w14:paraId="67600EC9">
      <w:pPr>
        <w:pStyle w:val="9"/>
        <w:numPr>
          <w:ilvl w:val="0"/>
          <w:numId w:val="5"/>
        </w:numPr>
        <w:tabs>
          <w:tab w:val="left" w:pos="720"/>
        </w:tabs>
        <w:spacing w:line="360" w:lineRule="auto"/>
        <w:ind w:left="845" w:leftChars="0" w:hanging="425" w:firstLineChars="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已建部分外立面不考虑抹灰费用；</w:t>
      </w:r>
    </w:p>
    <w:p w14:paraId="45733FBE">
      <w:pPr>
        <w:pStyle w:val="9"/>
        <w:numPr>
          <w:ilvl w:val="0"/>
          <w:numId w:val="5"/>
        </w:numPr>
        <w:tabs>
          <w:tab w:val="left" w:pos="720"/>
        </w:tabs>
        <w:spacing w:line="360" w:lineRule="auto"/>
        <w:ind w:left="845" w:leftChars="0" w:hanging="425" w:firstLineChars="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楼梯大理石按20厚芝麻灰花岗岩计入；</w:t>
      </w:r>
    </w:p>
    <w:p w14:paraId="68995AEA">
      <w:pPr>
        <w:pStyle w:val="9"/>
        <w:numPr>
          <w:ilvl w:val="0"/>
          <w:numId w:val="5"/>
        </w:numPr>
        <w:tabs>
          <w:tab w:val="left" w:pos="720"/>
        </w:tabs>
        <w:spacing w:line="360" w:lineRule="auto"/>
        <w:ind w:left="845" w:leftChars="0" w:hanging="425" w:firstLineChars="0"/>
        <w:jc w:val="left"/>
        <w:rPr>
          <w:rFonts w:hint="default" w:asciiTheme="minorEastAsia" w:hAnsiTheme="minorEastAsia"/>
          <w:sz w:val="28"/>
          <w:szCs w:val="28"/>
          <w:lang w:val="en-US" w:eastAsia="zh-CN"/>
        </w:rPr>
      </w:pPr>
      <w:r>
        <w:rPr>
          <w:rFonts w:hint="eastAsia" w:asciiTheme="minorEastAsia" w:hAnsiTheme="minorEastAsia"/>
          <w:sz w:val="28"/>
          <w:szCs w:val="28"/>
          <w:lang w:val="zh-CN" w:eastAsia="zh-CN"/>
        </w:rPr>
        <w:t>本工程询价部分均以含税价计入；</w:t>
      </w:r>
    </w:p>
    <w:p w14:paraId="62EB0490">
      <w:pPr>
        <w:pStyle w:val="9"/>
        <w:numPr>
          <w:ilvl w:val="0"/>
          <w:numId w:val="0"/>
        </w:numPr>
        <w:tabs>
          <w:tab w:val="left" w:pos="720"/>
        </w:tabs>
        <w:spacing w:line="360" w:lineRule="auto"/>
        <w:ind w:left="360" w:leftChars="0"/>
        <w:jc w:val="left"/>
        <w:rPr>
          <w:rFonts w:hint="default" w:asciiTheme="minorEastAsia" w:hAnsiTheme="minorEastAsia"/>
          <w:b/>
          <w:bCs/>
          <w:sz w:val="28"/>
          <w:szCs w:val="28"/>
          <w:lang w:val="en-US" w:eastAsia="zh-CN"/>
        </w:rPr>
      </w:pPr>
      <w:r>
        <w:rPr>
          <w:rFonts w:hint="eastAsia" w:asciiTheme="minorEastAsia" w:hAnsiTheme="minorEastAsia"/>
          <w:b/>
          <w:bCs/>
          <w:sz w:val="28"/>
          <w:szCs w:val="28"/>
          <w:lang w:val="en-US" w:eastAsia="zh-CN"/>
        </w:rPr>
        <w:t>共富工坊提升：</w:t>
      </w:r>
    </w:p>
    <w:p w14:paraId="614367F2">
      <w:pPr>
        <w:pStyle w:val="9"/>
        <w:numPr>
          <w:ilvl w:val="0"/>
          <w:numId w:val="0"/>
        </w:numPr>
        <w:tabs>
          <w:tab w:val="left" w:pos="720"/>
        </w:tabs>
        <w:spacing w:line="360" w:lineRule="auto"/>
        <w:ind w:left="360" w:leftChars="0"/>
        <w:jc w:val="left"/>
        <w:rPr>
          <w:rFonts w:hint="eastAsia" w:asciiTheme="minorEastAsia" w:hAnsiTheme="minorEastAsia"/>
          <w:sz w:val="28"/>
          <w:szCs w:val="28"/>
          <w:lang w:val="zh-CN"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zh-CN" w:eastAsia="zh-CN"/>
        </w:rPr>
        <w:t>地面防水上翻高度按</w:t>
      </w:r>
      <w:r>
        <w:rPr>
          <w:rFonts w:hint="default" w:asciiTheme="minorEastAsia" w:hAnsiTheme="minorEastAsia"/>
          <w:sz w:val="28"/>
          <w:szCs w:val="28"/>
          <w:lang w:val="en-US" w:eastAsia="zh-CN"/>
        </w:rPr>
        <w:t>400mm</w:t>
      </w:r>
      <w:r>
        <w:rPr>
          <w:rFonts w:hint="eastAsia" w:asciiTheme="minorEastAsia" w:hAnsiTheme="minorEastAsia"/>
          <w:sz w:val="28"/>
          <w:szCs w:val="28"/>
          <w:lang w:val="zh-CN" w:eastAsia="zh-CN"/>
        </w:rPr>
        <w:t>计入；</w:t>
      </w:r>
    </w:p>
    <w:p w14:paraId="02EDDB0D">
      <w:pPr>
        <w:pStyle w:val="9"/>
        <w:numPr>
          <w:ilvl w:val="0"/>
          <w:numId w:val="0"/>
        </w:numPr>
        <w:tabs>
          <w:tab w:val="left" w:pos="720"/>
        </w:tabs>
        <w:spacing w:line="360" w:lineRule="auto"/>
        <w:ind w:left="360" w:leftChars="0"/>
        <w:jc w:val="left"/>
        <w:rPr>
          <w:rFonts w:hint="eastAsia" w:asciiTheme="minorEastAsia" w:hAnsiTheme="minorEastAsia"/>
          <w:sz w:val="28"/>
          <w:szCs w:val="28"/>
          <w:lang w:val="zh-CN"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zh-CN" w:eastAsia="zh-CN"/>
        </w:rPr>
        <w:t>砌筑砂浆按混合砂浆</w:t>
      </w:r>
      <w:r>
        <w:rPr>
          <w:rFonts w:hint="default" w:asciiTheme="minorEastAsia" w:hAnsiTheme="minorEastAsia"/>
          <w:sz w:val="28"/>
          <w:szCs w:val="28"/>
          <w:lang w:val="en-US" w:eastAsia="zh-CN"/>
        </w:rPr>
        <w:t>m7.5</w:t>
      </w:r>
      <w:r>
        <w:rPr>
          <w:rFonts w:hint="eastAsia" w:asciiTheme="minorEastAsia" w:hAnsiTheme="minorEastAsia"/>
          <w:sz w:val="28"/>
          <w:szCs w:val="28"/>
          <w:lang w:val="zh-CN" w:eastAsia="zh-CN"/>
        </w:rPr>
        <w:t>计入；</w:t>
      </w:r>
    </w:p>
    <w:p w14:paraId="598B3C11">
      <w:pPr>
        <w:pStyle w:val="9"/>
        <w:numPr>
          <w:ilvl w:val="0"/>
          <w:numId w:val="0"/>
        </w:numPr>
        <w:tabs>
          <w:tab w:val="left" w:pos="720"/>
        </w:tabs>
        <w:spacing w:line="360" w:lineRule="auto"/>
        <w:ind w:left="360" w:leftChars="0"/>
        <w:jc w:val="left"/>
        <w:rPr>
          <w:rFonts w:hint="eastAsia" w:asciiTheme="minorEastAsia" w:hAnsiTheme="minorEastAsia"/>
          <w:sz w:val="28"/>
          <w:szCs w:val="28"/>
          <w:lang w:val="zh-CN"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zh-CN" w:eastAsia="zh-CN"/>
        </w:rPr>
        <w:t>墙面防水砂浆按聚合物水泥基复合防水涂料</w:t>
      </w:r>
      <w:r>
        <w:rPr>
          <w:rFonts w:hint="default" w:asciiTheme="minorEastAsia" w:hAnsiTheme="minorEastAsia"/>
          <w:sz w:val="28"/>
          <w:szCs w:val="28"/>
          <w:lang w:val="en-US" w:eastAsia="zh-CN"/>
        </w:rPr>
        <w:t>JS I</w:t>
      </w:r>
      <w:r>
        <w:rPr>
          <w:rFonts w:hint="eastAsia" w:asciiTheme="minorEastAsia" w:hAnsiTheme="minorEastAsia"/>
          <w:sz w:val="28"/>
          <w:szCs w:val="28"/>
          <w:lang w:val="zh-CN" w:eastAsia="zh-CN"/>
        </w:rPr>
        <w:t>型计入；</w:t>
      </w:r>
    </w:p>
    <w:p w14:paraId="5182DA14">
      <w:pPr>
        <w:pStyle w:val="9"/>
        <w:numPr>
          <w:ilvl w:val="0"/>
          <w:numId w:val="0"/>
        </w:numPr>
        <w:tabs>
          <w:tab w:val="left" w:pos="720"/>
        </w:tabs>
        <w:spacing w:line="360" w:lineRule="auto"/>
        <w:ind w:left="360" w:leftChars="0"/>
        <w:jc w:val="left"/>
        <w:rPr>
          <w:rFonts w:hint="eastAsia" w:asciiTheme="minorEastAsia" w:hAnsiTheme="minorEastAsia"/>
          <w:sz w:val="28"/>
          <w:szCs w:val="28"/>
          <w:lang w:val="zh-CN"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zh-CN" w:eastAsia="zh-CN"/>
        </w:rPr>
        <w:t>二层地面拆除按拆除木地板带龙骨计入；</w:t>
      </w:r>
    </w:p>
    <w:p w14:paraId="7BE1745C">
      <w:pPr>
        <w:pStyle w:val="9"/>
        <w:numPr>
          <w:ilvl w:val="0"/>
          <w:numId w:val="0"/>
        </w:numPr>
        <w:tabs>
          <w:tab w:val="left" w:pos="720"/>
        </w:tabs>
        <w:spacing w:line="360" w:lineRule="auto"/>
        <w:ind w:left="360" w:leftChars="0"/>
        <w:jc w:val="left"/>
        <w:rPr>
          <w:rFonts w:hint="eastAsia" w:asciiTheme="minorEastAsia" w:hAnsiTheme="minorEastAsia"/>
          <w:sz w:val="28"/>
          <w:szCs w:val="28"/>
          <w:lang w:val="zh-CN"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zh-CN" w:eastAsia="zh-CN"/>
        </w:rPr>
        <w:t>原有梁、柱加固因现场暂未拆除工程量无法计算，暂按</w:t>
      </w:r>
      <w:r>
        <w:rPr>
          <w:rFonts w:hint="default" w:asciiTheme="minorEastAsia" w:hAnsiTheme="minorEastAsia"/>
          <w:sz w:val="28"/>
          <w:szCs w:val="28"/>
          <w:lang w:val="en-US" w:eastAsia="zh-CN"/>
        </w:rPr>
        <w:t>30000</w:t>
      </w:r>
      <w:r>
        <w:rPr>
          <w:rFonts w:hint="eastAsia" w:asciiTheme="minorEastAsia" w:hAnsiTheme="minorEastAsia"/>
          <w:sz w:val="28"/>
          <w:szCs w:val="28"/>
          <w:lang w:val="zh-CN" w:eastAsia="zh-CN"/>
        </w:rPr>
        <w:t>元</w:t>
      </w:r>
      <w:r>
        <w:rPr>
          <w:rFonts w:hint="default" w:asciiTheme="minorEastAsia" w:hAnsiTheme="minorEastAsia"/>
          <w:sz w:val="28"/>
          <w:szCs w:val="28"/>
          <w:lang w:val="en-US" w:eastAsia="zh-CN"/>
        </w:rPr>
        <w:t>/</w:t>
      </w:r>
      <w:r>
        <w:rPr>
          <w:rFonts w:hint="eastAsia" w:asciiTheme="minorEastAsia" w:hAnsiTheme="minorEastAsia"/>
          <w:sz w:val="28"/>
          <w:szCs w:val="28"/>
          <w:lang w:val="zh-CN" w:eastAsia="zh-CN"/>
        </w:rPr>
        <w:t>项计入，具体以实际为准；</w:t>
      </w:r>
    </w:p>
    <w:p w14:paraId="596C1BCE">
      <w:pPr>
        <w:pStyle w:val="9"/>
        <w:numPr>
          <w:ilvl w:val="0"/>
          <w:numId w:val="0"/>
        </w:numPr>
        <w:tabs>
          <w:tab w:val="left" w:pos="720"/>
        </w:tabs>
        <w:spacing w:line="360" w:lineRule="auto"/>
        <w:ind w:left="360" w:leftChars="0"/>
        <w:jc w:val="left"/>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w:t>
      </w:r>
      <w:r>
        <w:rPr>
          <w:rFonts w:hint="eastAsia" w:asciiTheme="minorEastAsia" w:hAnsiTheme="minorEastAsia"/>
          <w:sz w:val="28"/>
          <w:szCs w:val="28"/>
          <w:lang w:val="zh-CN" w:eastAsia="zh-CN"/>
        </w:rPr>
        <w:t>屋面防水砂浆按</w:t>
      </w:r>
      <w:r>
        <w:rPr>
          <w:rFonts w:hint="default" w:asciiTheme="minorEastAsia" w:hAnsiTheme="minorEastAsia"/>
          <w:sz w:val="28"/>
          <w:szCs w:val="28"/>
          <w:lang w:val="en-US" w:eastAsia="zh-CN"/>
        </w:rPr>
        <w:t>1.5mm</w:t>
      </w:r>
      <w:r>
        <w:rPr>
          <w:rFonts w:hint="eastAsia" w:asciiTheme="minorEastAsia" w:hAnsiTheme="minorEastAsia"/>
          <w:sz w:val="28"/>
          <w:szCs w:val="28"/>
          <w:lang w:val="zh-CN" w:eastAsia="zh-CN"/>
        </w:rPr>
        <w:t>厚高分子卷材计入；</w:t>
      </w:r>
    </w:p>
    <w:p w14:paraId="1B974C81">
      <w:pPr>
        <w:pStyle w:val="9"/>
        <w:numPr>
          <w:ilvl w:val="0"/>
          <w:numId w:val="0"/>
        </w:numPr>
        <w:tabs>
          <w:tab w:val="left" w:pos="720"/>
        </w:tabs>
        <w:spacing w:line="360" w:lineRule="auto"/>
        <w:ind w:left="360" w:leftChars="0"/>
        <w:jc w:val="left"/>
        <w:rPr>
          <w:rFonts w:hint="eastAsia" w:asciiTheme="minorEastAsia" w:hAnsiTheme="minorEastAsia"/>
          <w:sz w:val="28"/>
          <w:szCs w:val="28"/>
          <w:lang w:val="zh-CN" w:eastAsia="zh-CN"/>
        </w:rPr>
      </w:pPr>
      <w:r>
        <w:rPr>
          <w:rFonts w:hint="default" w:asciiTheme="minorEastAsia" w:hAnsiTheme="minorEastAsia"/>
          <w:sz w:val="28"/>
          <w:szCs w:val="28"/>
          <w:lang w:val="en-US" w:eastAsia="zh-CN"/>
        </w:rPr>
        <w:t>7.</w:t>
      </w:r>
      <w:r>
        <w:rPr>
          <w:rFonts w:hint="eastAsia" w:asciiTheme="minorEastAsia" w:hAnsiTheme="minorEastAsia"/>
          <w:sz w:val="28"/>
          <w:szCs w:val="28"/>
          <w:lang w:val="zh-CN" w:eastAsia="zh-CN"/>
        </w:rPr>
        <w:t>屋面水泥砂浆保护层按</w:t>
      </w:r>
      <w:r>
        <w:rPr>
          <w:rFonts w:hint="default" w:asciiTheme="minorEastAsia" w:hAnsiTheme="minorEastAsia"/>
          <w:sz w:val="28"/>
          <w:szCs w:val="28"/>
          <w:lang w:val="en-US" w:eastAsia="zh-CN"/>
        </w:rPr>
        <w:t>20mm</w:t>
      </w:r>
      <w:r>
        <w:rPr>
          <w:rFonts w:hint="eastAsia" w:asciiTheme="minorEastAsia" w:hAnsiTheme="minorEastAsia"/>
          <w:sz w:val="28"/>
          <w:szCs w:val="28"/>
          <w:lang w:val="zh-CN" w:eastAsia="zh-CN"/>
        </w:rPr>
        <w:t>厚计入；</w:t>
      </w:r>
    </w:p>
    <w:p w14:paraId="63B312C4">
      <w:pPr>
        <w:pStyle w:val="9"/>
        <w:numPr>
          <w:ilvl w:val="0"/>
          <w:numId w:val="0"/>
        </w:numPr>
        <w:tabs>
          <w:tab w:val="left" w:pos="720"/>
        </w:tabs>
        <w:spacing w:line="360" w:lineRule="auto"/>
        <w:ind w:left="360" w:leftChars="0"/>
        <w:jc w:val="left"/>
        <w:rPr>
          <w:rFonts w:hint="eastAsia" w:asciiTheme="minorEastAsia" w:hAnsiTheme="minorEastAsia"/>
          <w:sz w:val="28"/>
          <w:szCs w:val="28"/>
          <w:lang w:val="zh-CN" w:eastAsia="zh-CN"/>
        </w:rPr>
      </w:pPr>
      <w:r>
        <w:rPr>
          <w:rFonts w:hint="default" w:asciiTheme="minorEastAsia" w:hAnsiTheme="minorEastAsia"/>
          <w:sz w:val="28"/>
          <w:szCs w:val="28"/>
          <w:lang w:val="en-US" w:eastAsia="zh-CN"/>
        </w:rPr>
        <w:t>8.</w:t>
      </w:r>
      <w:r>
        <w:rPr>
          <w:rFonts w:hint="eastAsia" w:asciiTheme="minorEastAsia" w:hAnsiTheme="minorEastAsia"/>
          <w:sz w:val="28"/>
          <w:szCs w:val="28"/>
          <w:lang w:val="zh-CN" w:eastAsia="zh-CN"/>
        </w:rPr>
        <w:t>本工程所有砂浆按现拌砂浆计入；</w:t>
      </w:r>
    </w:p>
    <w:p w14:paraId="2B154C93">
      <w:pPr>
        <w:pStyle w:val="9"/>
        <w:numPr>
          <w:ilvl w:val="0"/>
          <w:numId w:val="0"/>
        </w:numPr>
        <w:tabs>
          <w:tab w:val="left" w:pos="720"/>
        </w:tabs>
        <w:spacing w:line="360" w:lineRule="auto"/>
        <w:ind w:left="360" w:leftChars="0"/>
        <w:jc w:val="left"/>
        <w:rPr>
          <w:rFonts w:hint="default"/>
          <w:lang w:val="en-US" w:eastAsia="zh-CN"/>
        </w:rPr>
      </w:pPr>
      <w:r>
        <w:rPr>
          <w:rFonts w:hint="default" w:asciiTheme="minorEastAsia" w:hAnsiTheme="minorEastAsia"/>
          <w:sz w:val="28"/>
          <w:szCs w:val="28"/>
          <w:lang w:val="en-US" w:eastAsia="zh-CN"/>
        </w:rPr>
        <w:t>9.</w:t>
      </w:r>
      <w:r>
        <w:rPr>
          <w:rFonts w:hint="eastAsia" w:asciiTheme="minorEastAsia" w:hAnsiTheme="minorEastAsia"/>
          <w:sz w:val="28"/>
          <w:szCs w:val="28"/>
          <w:lang w:val="zh-CN" w:eastAsia="zh-CN"/>
        </w:rPr>
        <w:t>本工程询价部分均以含税价计入。</w:t>
      </w:r>
    </w:p>
    <w:p w14:paraId="31077147">
      <w:pPr>
        <w:numPr>
          <w:ilvl w:val="0"/>
          <w:numId w:val="0"/>
        </w:numPr>
        <w:ind w:leftChars="0"/>
        <w:rPr>
          <w:rFonts w:hint="eastAsia"/>
          <w:lang w:val="en-US" w:eastAsia="zh-CN"/>
        </w:rPr>
      </w:pPr>
    </w:p>
    <w:p w14:paraId="0AA024C2">
      <w:pPr>
        <w:pStyle w:val="9"/>
        <w:numPr>
          <w:ilvl w:val="0"/>
          <w:numId w:val="3"/>
        </w:numPr>
        <w:tabs>
          <w:tab w:val="left" w:pos="720"/>
        </w:tabs>
        <w:spacing w:line="360" w:lineRule="auto"/>
        <w:ind w:left="360" w:firstLine="0" w:firstLineChars="0"/>
        <w:jc w:val="left"/>
        <w:rPr>
          <w:rFonts w:hint="eastAsia"/>
          <w:b/>
          <w:sz w:val="32"/>
          <w:szCs w:val="32"/>
        </w:rPr>
      </w:pPr>
      <w:r>
        <w:rPr>
          <w:rFonts w:hint="eastAsia"/>
          <w:b/>
          <w:sz w:val="32"/>
          <w:szCs w:val="32"/>
          <w:lang w:val="en-US" w:eastAsia="zh-CN"/>
        </w:rPr>
        <w:t>安装部分</w:t>
      </w:r>
    </w:p>
    <w:p w14:paraId="11C9416E">
      <w:pPr>
        <w:pStyle w:val="9"/>
        <w:numPr>
          <w:ilvl w:val="0"/>
          <w:numId w:val="0"/>
        </w:numPr>
        <w:tabs>
          <w:tab w:val="left" w:pos="720"/>
        </w:tabs>
        <w:spacing w:line="360" w:lineRule="auto"/>
        <w:ind w:left="360" w:leftChars="0"/>
        <w:jc w:val="left"/>
        <w:rPr>
          <w:rFonts w:hint="default" w:asciiTheme="minorEastAsia" w:hAnsiTheme="minorEastAsia"/>
          <w:b/>
          <w:bCs/>
          <w:sz w:val="28"/>
          <w:szCs w:val="28"/>
          <w:lang w:val="en-US" w:eastAsia="zh-CN"/>
        </w:rPr>
      </w:pPr>
      <w:r>
        <w:rPr>
          <w:rFonts w:hint="eastAsia" w:asciiTheme="minorEastAsia" w:hAnsiTheme="minorEastAsia"/>
          <w:b/>
          <w:bCs/>
          <w:sz w:val="28"/>
          <w:szCs w:val="28"/>
          <w:lang w:val="en-US" w:eastAsia="zh-CN"/>
        </w:rPr>
        <w:t>邻里中心：</w:t>
      </w:r>
    </w:p>
    <w:p w14:paraId="2C908922">
      <w:pPr>
        <w:pStyle w:val="9"/>
        <w:numPr>
          <w:ilvl w:val="0"/>
          <w:numId w:val="6"/>
        </w:numPr>
        <w:tabs>
          <w:tab w:val="left" w:pos="720"/>
        </w:tabs>
        <w:spacing w:line="360" w:lineRule="auto"/>
        <w:ind w:left="0" w:leftChars="0"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配电箱进线电缆预留30m计入；</w:t>
      </w:r>
    </w:p>
    <w:p w14:paraId="7C547F47">
      <w:pPr>
        <w:pStyle w:val="9"/>
        <w:numPr>
          <w:ilvl w:val="0"/>
          <w:numId w:val="6"/>
        </w:numPr>
        <w:tabs>
          <w:tab w:val="left" w:pos="720"/>
        </w:tabs>
        <w:spacing w:line="360" w:lineRule="auto"/>
        <w:ind w:left="0" w:leftChars="0" w:firstLine="560" w:firstLineChars="20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智能化管线按PC20-CAT6计入；</w:t>
      </w:r>
    </w:p>
    <w:p w14:paraId="783808EE">
      <w:pPr>
        <w:pStyle w:val="9"/>
        <w:numPr>
          <w:ilvl w:val="0"/>
          <w:numId w:val="0"/>
        </w:numPr>
        <w:tabs>
          <w:tab w:val="left" w:pos="720"/>
        </w:tabs>
        <w:spacing w:line="360" w:lineRule="auto"/>
        <w:ind w:left="360" w:leftChars="0"/>
        <w:jc w:val="left"/>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休闲空间中心：</w:t>
      </w:r>
    </w:p>
    <w:p w14:paraId="403B55BC">
      <w:pPr>
        <w:pStyle w:val="9"/>
        <w:numPr>
          <w:ilvl w:val="0"/>
          <w:numId w:val="7"/>
        </w:numPr>
        <w:tabs>
          <w:tab w:val="left" w:pos="720"/>
        </w:tabs>
        <w:spacing w:line="360" w:lineRule="auto"/>
        <w:ind w:left="845" w:leftChars="0" w:hanging="425" w:firstLineChars="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配电箱进线电缆预留30m计入；</w:t>
      </w:r>
    </w:p>
    <w:p w14:paraId="12A6F4E8">
      <w:pPr>
        <w:pStyle w:val="9"/>
        <w:numPr>
          <w:ilvl w:val="0"/>
          <w:numId w:val="7"/>
        </w:numPr>
        <w:tabs>
          <w:tab w:val="left" w:pos="720"/>
        </w:tabs>
        <w:spacing w:line="360" w:lineRule="auto"/>
        <w:ind w:left="845" w:leftChars="0" w:hanging="425" w:firstLineChars="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智能化管线按PC20-CAT6计入；</w:t>
      </w:r>
    </w:p>
    <w:p w14:paraId="44C0A68C">
      <w:pPr>
        <w:pStyle w:val="9"/>
        <w:numPr>
          <w:ilvl w:val="0"/>
          <w:numId w:val="0"/>
        </w:numPr>
        <w:tabs>
          <w:tab w:val="left" w:pos="720"/>
        </w:tabs>
        <w:spacing w:line="360" w:lineRule="auto"/>
        <w:ind w:left="360" w:leftChars="0"/>
        <w:jc w:val="left"/>
        <w:rPr>
          <w:rFonts w:hint="default" w:asciiTheme="minorEastAsia" w:hAnsiTheme="minorEastAsia"/>
          <w:b/>
          <w:bCs/>
          <w:sz w:val="28"/>
          <w:szCs w:val="28"/>
          <w:lang w:val="en-US" w:eastAsia="zh-CN"/>
        </w:rPr>
      </w:pPr>
      <w:r>
        <w:rPr>
          <w:rFonts w:hint="eastAsia" w:asciiTheme="minorEastAsia" w:hAnsiTheme="minorEastAsia"/>
          <w:b/>
          <w:bCs/>
          <w:sz w:val="28"/>
          <w:szCs w:val="28"/>
          <w:lang w:val="en-US" w:eastAsia="zh-CN"/>
        </w:rPr>
        <w:t>共富工坊提升：</w:t>
      </w:r>
    </w:p>
    <w:p w14:paraId="3C532D3A">
      <w:pPr>
        <w:pStyle w:val="9"/>
        <w:numPr>
          <w:ilvl w:val="0"/>
          <w:numId w:val="0"/>
        </w:numPr>
        <w:tabs>
          <w:tab w:val="left" w:pos="720"/>
        </w:tabs>
        <w:spacing w:line="360" w:lineRule="auto"/>
        <w:ind w:left="360" w:leftChars="0"/>
        <w:jc w:val="left"/>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室内照明配电箱进线电缆及配管预留20m计入，室外照明配电箱进线电缆及配管预留20m计入；</w:t>
      </w:r>
    </w:p>
    <w:p w14:paraId="6995A57A">
      <w:pPr>
        <w:pStyle w:val="9"/>
        <w:numPr>
          <w:ilvl w:val="0"/>
          <w:numId w:val="0"/>
        </w:numPr>
        <w:tabs>
          <w:tab w:val="left" w:pos="720"/>
        </w:tabs>
        <w:spacing w:line="360" w:lineRule="auto"/>
        <w:ind w:left="360" w:leftChars="0"/>
        <w:jc w:val="left"/>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室内照明配电箱出线（WK1-WK5、WL1）回路管线不计；</w:t>
      </w:r>
    </w:p>
    <w:p w14:paraId="66A1C485">
      <w:pPr>
        <w:pStyle w:val="9"/>
        <w:numPr>
          <w:ilvl w:val="0"/>
          <w:numId w:val="0"/>
        </w:numPr>
        <w:tabs>
          <w:tab w:val="left" w:pos="720"/>
        </w:tabs>
        <w:spacing w:line="360" w:lineRule="auto"/>
        <w:ind w:left="360" w:leftChars="0"/>
        <w:jc w:val="left"/>
        <w:rPr>
          <w:rFonts w:hint="eastAsia" w:asciiTheme="minorEastAsia" w:hAnsiTheme="minorEastAsia"/>
          <w:sz w:val="28"/>
          <w:szCs w:val="28"/>
          <w:lang w:val="zh-CN"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给排水管道预留墙外1.5m计入，有阀门预留至阀门处；</w:t>
      </w:r>
    </w:p>
    <w:p w14:paraId="0BE14EA4">
      <w:pPr>
        <w:pStyle w:val="9"/>
        <w:numPr>
          <w:ilvl w:val="0"/>
          <w:numId w:val="3"/>
        </w:numPr>
        <w:tabs>
          <w:tab w:val="left" w:pos="720"/>
        </w:tabs>
        <w:spacing w:line="360" w:lineRule="auto"/>
        <w:ind w:left="360" w:firstLine="0" w:firstLineChars="0"/>
        <w:jc w:val="left"/>
        <w:rPr>
          <w:rFonts w:hint="eastAsia"/>
          <w:b/>
          <w:sz w:val="32"/>
          <w:szCs w:val="32"/>
        </w:rPr>
      </w:pPr>
      <w:r>
        <w:rPr>
          <w:rFonts w:hint="eastAsia"/>
          <w:b/>
          <w:sz w:val="32"/>
          <w:szCs w:val="32"/>
          <w:lang w:val="en-US" w:eastAsia="zh-CN"/>
        </w:rPr>
        <w:t>景观绿化部分</w:t>
      </w:r>
    </w:p>
    <w:p w14:paraId="6AAC1005">
      <w:pPr>
        <w:pStyle w:val="9"/>
        <w:numPr>
          <w:ilvl w:val="0"/>
          <w:numId w:val="0"/>
        </w:numPr>
        <w:tabs>
          <w:tab w:val="left" w:pos="720"/>
        </w:tabs>
        <w:spacing w:line="360" w:lineRule="auto"/>
        <w:ind w:left="360" w:leftChars="0"/>
        <w:jc w:val="left"/>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共富工坊提升：</w:t>
      </w:r>
    </w:p>
    <w:p w14:paraId="15A28CC8">
      <w:pPr>
        <w:pStyle w:val="9"/>
        <w:numPr>
          <w:ilvl w:val="0"/>
          <w:numId w:val="0"/>
        </w:numPr>
        <w:tabs>
          <w:tab w:val="left" w:pos="720"/>
        </w:tabs>
        <w:spacing w:line="360" w:lineRule="auto"/>
        <w:ind w:left="360" w:leftChars="0"/>
        <w:jc w:val="left"/>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拆除原有混凝土路面按20cm计入，工程量暂定；</w:t>
      </w:r>
    </w:p>
    <w:p w14:paraId="5D1394AA">
      <w:pPr>
        <w:pStyle w:val="9"/>
        <w:numPr>
          <w:ilvl w:val="0"/>
          <w:numId w:val="0"/>
        </w:numPr>
        <w:tabs>
          <w:tab w:val="left" w:pos="720"/>
        </w:tabs>
        <w:spacing w:line="360" w:lineRule="auto"/>
        <w:ind w:left="360" w:leftChars="0"/>
        <w:jc w:val="left"/>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绿化按苗木表计入；</w:t>
      </w:r>
    </w:p>
    <w:p w14:paraId="375BF63B">
      <w:pPr>
        <w:pStyle w:val="9"/>
        <w:numPr>
          <w:ilvl w:val="0"/>
          <w:numId w:val="0"/>
        </w:numPr>
        <w:tabs>
          <w:tab w:val="left" w:pos="720"/>
        </w:tabs>
        <w:spacing w:line="360" w:lineRule="auto"/>
        <w:ind w:left="360" w:leftChars="0"/>
        <w:jc w:val="left"/>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zh-CN" w:eastAsia="zh-CN"/>
        </w:rPr>
        <w:t>绿化养护期</w:t>
      </w:r>
      <w:r>
        <w:rPr>
          <w:rFonts w:hint="eastAsia" w:asciiTheme="minorEastAsia" w:hAnsiTheme="minorEastAsia"/>
          <w:sz w:val="28"/>
          <w:szCs w:val="28"/>
          <w:lang w:val="en-US" w:eastAsia="zh-CN"/>
        </w:rPr>
        <w:t>按一年计入；</w:t>
      </w:r>
    </w:p>
    <w:p w14:paraId="56C57B36">
      <w:pPr>
        <w:pStyle w:val="9"/>
        <w:numPr>
          <w:ilvl w:val="0"/>
          <w:numId w:val="0"/>
        </w:numPr>
        <w:tabs>
          <w:tab w:val="left" w:pos="720"/>
        </w:tabs>
        <w:spacing w:line="360" w:lineRule="auto"/>
        <w:ind w:left="360" w:leftChars="0"/>
        <w:jc w:val="left"/>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休闲空间中心：</w:t>
      </w:r>
    </w:p>
    <w:p w14:paraId="48DACB36">
      <w:pPr>
        <w:pStyle w:val="9"/>
        <w:numPr>
          <w:ilvl w:val="0"/>
          <w:numId w:val="0"/>
        </w:numPr>
        <w:tabs>
          <w:tab w:val="left" w:pos="720"/>
        </w:tabs>
        <w:spacing w:line="360" w:lineRule="auto"/>
        <w:ind w:left="360" w:leftChars="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绿化按苗木表计入；</w:t>
      </w:r>
      <w:bookmarkStart w:id="0" w:name="_GoBack"/>
      <w:bookmarkEnd w:id="0"/>
    </w:p>
    <w:p w14:paraId="080EDB1A">
      <w:pPr>
        <w:pStyle w:val="9"/>
        <w:numPr>
          <w:ilvl w:val="0"/>
          <w:numId w:val="0"/>
        </w:numPr>
        <w:tabs>
          <w:tab w:val="left" w:pos="720"/>
        </w:tabs>
        <w:spacing w:line="360" w:lineRule="auto"/>
        <w:ind w:left="360" w:leftChars="0"/>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w:t>
      </w:r>
      <w:r>
        <w:rPr>
          <w:rFonts w:hint="default" w:asciiTheme="minorEastAsia" w:hAnsiTheme="minorEastAsia"/>
          <w:sz w:val="28"/>
          <w:szCs w:val="28"/>
          <w:lang w:val="en-US" w:eastAsia="zh-CN"/>
        </w:rPr>
        <w:t>.</w:t>
      </w:r>
      <w:r>
        <w:rPr>
          <w:rFonts w:hint="eastAsia" w:asciiTheme="minorEastAsia" w:hAnsiTheme="minorEastAsia"/>
          <w:sz w:val="28"/>
          <w:szCs w:val="28"/>
          <w:lang w:val="zh-CN" w:eastAsia="zh-CN"/>
        </w:rPr>
        <w:t>绿化养护期</w:t>
      </w:r>
      <w:r>
        <w:rPr>
          <w:rFonts w:hint="eastAsia" w:asciiTheme="minorEastAsia" w:hAnsiTheme="minorEastAsia"/>
          <w:sz w:val="28"/>
          <w:szCs w:val="28"/>
          <w:lang w:val="en-US" w:eastAsia="zh-CN"/>
        </w:rPr>
        <w:t>按一年计入；</w:t>
      </w:r>
    </w:p>
    <w:p w14:paraId="7D3A9DE8">
      <w:pPr>
        <w:pStyle w:val="9"/>
        <w:numPr>
          <w:ilvl w:val="0"/>
          <w:numId w:val="3"/>
        </w:numPr>
        <w:tabs>
          <w:tab w:val="left" w:pos="720"/>
        </w:tabs>
        <w:spacing w:line="360" w:lineRule="auto"/>
        <w:ind w:left="360" w:firstLine="0" w:firstLineChars="0"/>
        <w:jc w:val="left"/>
        <w:rPr>
          <w:rFonts w:hint="eastAsia"/>
          <w:b/>
          <w:sz w:val="32"/>
          <w:szCs w:val="32"/>
        </w:rPr>
      </w:pPr>
      <w:r>
        <w:rPr>
          <w:rFonts w:hint="eastAsia"/>
          <w:b/>
          <w:sz w:val="32"/>
          <w:szCs w:val="32"/>
          <w:lang w:val="en-US" w:eastAsia="zh-CN"/>
        </w:rPr>
        <w:t>给排水部分</w:t>
      </w:r>
    </w:p>
    <w:p w14:paraId="75A11A67">
      <w:pPr>
        <w:pStyle w:val="9"/>
        <w:numPr>
          <w:ilvl w:val="0"/>
          <w:numId w:val="0"/>
        </w:numPr>
        <w:tabs>
          <w:tab w:val="left" w:pos="720"/>
        </w:tabs>
        <w:spacing w:line="360" w:lineRule="auto"/>
        <w:ind w:left="360" w:leftChars="0"/>
        <w:jc w:val="left"/>
        <w:rPr>
          <w:rFonts w:hint="default" w:asciiTheme="minorEastAsia" w:hAnsiTheme="minorEastAsia"/>
          <w:b/>
          <w:bCs/>
          <w:sz w:val="28"/>
          <w:szCs w:val="28"/>
          <w:lang w:val="en-US" w:eastAsia="zh-CN"/>
        </w:rPr>
      </w:pPr>
      <w:r>
        <w:rPr>
          <w:rFonts w:hint="eastAsia" w:asciiTheme="minorEastAsia" w:hAnsiTheme="minorEastAsia"/>
          <w:b/>
          <w:bCs/>
          <w:sz w:val="28"/>
          <w:szCs w:val="28"/>
          <w:lang w:val="en-US" w:eastAsia="zh-CN"/>
        </w:rPr>
        <w:t>共富工坊提升：</w:t>
      </w:r>
    </w:p>
    <w:p w14:paraId="420E3063">
      <w:pPr>
        <w:pStyle w:val="9"/>
        <w:numPr>
          <w:ilvl w:val="0"/>
          <w:numId w:val="0"/>
        </w:numPr>
        <w:tabs>
          <w:tab w:val="left" w:pos="720"/>
        </w:tabs>
        <w:spacing w:line="360" w:lineRule="auto"/>
        <w:ind w:left="360" w:leftChars="0"/>
        <w:jc w:val="left"/>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室内照明配电箱进线电缆及配管预留20m计入，室外照明配电；箱进线电缆及配管预留20m计入；</w:t>
      </w:r>
    </w:p>
    <w:p w14:paraId="788B1AA5">
      <w:pPr>
        <w:pStyle w:val="9"/>
        <w:numPr>
          <w:ilvl w:val="0"/>
          <w:numId w:val="0"/>
        </w:numPr>
        <w:tabs>
          <w:tab w:val="left" w:pos="720"/>
        </w:tabs>
        <w:spacing w:line="360" w:lineRule="auto"/>
        <w:ind w:left="360" w:leftChars="0"/>
        <w:jc w:val="left"/>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室内照明配电箱出线（WK1-WK5、WL1）回路管线不计；</w:t>
      </w:r>
    </w:p>
    <w:p w14:paraId="2ED9CD07">
      <w:pPr>
        <w:pStyle w:val="9"/>
        <w:numPr>
          <w:ilvl w:val="0"/>
          <w:numId w:val="0"/>
        </w:numPr>
        <w:tabs>
          <w:tab w:val="left" w:pos="720"/>
        </w:tabs>
        <w:spacing w:line="360" w:lineRule="auto"/>
        <w:ind w:left="360" w:leftChars="0"/>
        <w:jc w:val="left"/>
        <w:rPr>
          <w:rFonts w:asciiTheme="minorEastAsia" w:hAnsiTheme="minorEastAsia" w:cstheme="minorEastAsia"/>
          <w:sz w:val="28"/>
          <w:szCs w:val="28"/>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给排水管道预留墙外1.5m计入，有阀门预留至阀门处；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3081B"/>
    <w:multiLevelType w:val="singleLevel"/>
    <w:tmpl w:val="9923081B"/>
    <w:lvl w:ilvl="0" w:tentative="0">
      <w:start w:val="1"/>
      <w:numFmt w:val="decimal"/>
      <w:lvlText w:val="%1."/>
      <w:lvlJc w:val="left"/>
      <w:pPr>
        <w:ind w:left="845" w:hanging="425"/>
      </w:pPr>
      <w:rPr>
        <w:rFonts w:hint="default"/>
      </w:rPr>
    </w:lvl>
  </w:abstractNum>
  <w:abstractNum w:abstractNumId="1">
    <w:nsid w:val="9DD7B845"/>
    <w:multiLevelType w:val="singleLevel"/>
    <w:tmpl w:val="9DD7B845"/>
    <w:lvl w:ilvl="0" w:tentative="0">
      <w:start w:val="1"/>
      <w:numFmt w:val="decimal"/>
      <w:lvlText w:val="%1."/>
      <w:lvlJc w:val="left"/>
      <w:pPr>
        <w:ind w:left="845" w:hanging="425"/>
      </w:pPr>
      <w:rPr>
        <w:rFonts w:hint="default"/>
      </w:rPr>
    </w:lvl>
  </w:abstractNum>
  <w:abstractNum w:abstractNumId="2">
    <w:nsid w:val="E72FF7D3"/>
    <w:multiLevelType w:val="singleLevel"/>
    <w:tmpl w:val="E72FF7D3"/>
    <w:lvl w:ilvl="0" w:tentative="0">
      <w:start w:val="3"/>
      <w:numFmt w:val="chineseCounting"/>
      <w:suff w:val="nothing"/>
      <w:lvlText w:val="%1、"/>
      <w:lvlJc w:val="left"/>
      <w:rPr>
        <w:rFonts w:hint="eastAsia"/>
      </w:rPr>
    </w:lvl>
  </w:abstractNum>
  <w:abstractNum w:abstractNumId="3">
    <w:nsid w:val="04C001D6"/>
    <w:multiLevelType w:val="singleLevel"/>
    <w:tmpl w:val="04C001D6"/>
    <w:lvl w:ilvl="0" w:tentative="0">
      <w:start w:val="1"/>
      <w:numFmt w:val="decimal"/>
      <w:suff w:val="nothing"/>
      <w:lvlText w:val="%1．"/>
      <w:lvlJc w:val="left"/>
      <w:pPr>
        <w:ind w:left="0" w:firstLine="400"/>
      </w:pPr>
      <w:rPr>
        <w:rFonts w:hint="default"/>
      </w:rPr>
    </w:lvl>
  </w:abstractNum>
  <w:abstractNum w:abstractNumId="4">
    <w:nsid w:val="34D4502C"/>
    <w:multiLevelType w:val="singleLevel"/>
    <w:tmpl w:val="34D4502C"/>
    <w:lvl w:ilvl="0" w:tentative="0">
      <w:start w:val="1"/>
      <w:numFmt w:val="decimal"/>
      <w:suff w:val="nothing"/>
      <w:lvlText w:val="%1．"/>
      <w:lvlJc w:val="left"/>
      <w:pPr>
        <w:ind w:left="0" w:firstLine="400"/>
      </w:pPr>
      <w:rPr>
        <w:rFonts w:hint="default"/>
      </w:rPr>
    </w:lvl>
  </w:abstractNum>
  <w:abstractNum w:abstractNumId="5">
    <w:nsid w:val="552F4535"/>
    <w:multiLevelType w:val="multilevel"/>
    <w:tmpl w:val="552F4535"/>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none"/>
      <w:lvlText w:val="四、"/>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704"/>
        </w:tabs>
        <w:ind w:left="704" w:hanging="420"/>
      </w:pPr>
      <w:rPr>
        <w:rFonts w:hint="eastAsia" w:ascii="宋体" w:hAnsi="宋体" w:eastAsia="宋体"/>
      </w:rPr>
    </w:lvl>
    <w:lvl w:ilvl="5" w:tentative="0">
      <w:start w:val="1"/>
      <w:numFmt w:val="lowerLetter"/>
      <w:lvlText w:val="%6)"/>
      <w:lvlJc w:val="left"/>
      <w:pPr>
        <w:tabs>
          <w:tab w:val="left" w:pos="780"/>
        </w:tabs>
        <w:ind w:left="780" w:hanging="420"/>
      </w:pPr>
      <w:rPr>
        <w:rFonts w:hint="eastAsia"/>
      </w:rPr>
    </w:lvl>
    <w:lvl w:ilvl="6" w:tentative="0">
      <w:start w:val="1"/>
      <w:numFmt w:val="decimal"/>
      <w:lvlText w:val="%7."/>
      <w:lvlJc w:val="left"/>
      <w:pPr>
        <w:tabs>
          <w:tab w:val="left" w:pos="2940"/>
        </w:tabs>
        <w:ind w:left="2940" w:hanging="420"/>
      </w:pPr>
      <w:rPr>
        <w:rFonts w:hint="eastAsia"/>
        <w:b w:val="0"/>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5D4B6236"/>
    <w:multiLevelType w:val="multilevel"/>
    <w:tmpl w:val="5D4B6236"/>
    <w:lvl w:ilvl="0" w:tentative="0">
      <w:start w:val="1"/>
      <w:numFmt w:val="lowerLetter"/>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NTNjNWRlOTEwNDhiNTc1MTUyMjg2N2NmYTBkYTcifQ=="/>
  </w:docVars>
  <w:rsids>
    <w:rsidRoot w:val="00172A27"/>
    <w:rsid w:val="005D03B6"/>
    <w:rsid w:val="007622B1"/>
    <w:rsid w:val="00A34730"/>
    <w:rsid w:val="00AF1BBD"/>
    <w:rsid w:val="00B3452D"/>
    <w:rsid w:val="00E05F74"/>
    <w:rsid w:val="00F70A4F"/>
    <w:rsid w:val="099E24FC"/>
    <w:rsid w:val="09EF3348"/>
    <w:rsid w:val="0B5C2930"/>
    <w:rsid w:val="107866D2"/>
    <w:rsid w:val="137A4774"/>
    <w:rsid w:val="1B5D0349"/>
    <w:rsid w:val="1D8C4106"/>
    <w:rsid w:val="1E2E40B0"/>
    <w:rsid w:val="1EC42DF9"/>
    <w:rsid w:val="203E0C51"/>
    <w:rsid w:val="22266FFF"/>
    <w:rsid w:val="227D4A60"/>
    <w:rsid w:val="278205DE"/>
    <w:rsid w:val="286E2324"/>
    <w:rsid w:val="2A5C0FC6"/>
    <w:rsid w:val="2BC16763"/>
    <w:rsid w:val="2CBF19F8"/>
    <w:rsid w:val="2E095D36"/>
    <w:rsid w:val="2EBE78FC"/>
    <w:rsid w:val="308109DD"/>
    <w:rsid w:val="321B0103"/>
    <w:rsid w:val="32951465"/>
    <w:rsid w:val="32E10EA1"/>
    <w:rsid w:val="33AF4584"/>
    <w:rsid w:val="35CF17E2"/>
    <w:rsid w:val="370529CD"/>
    <w:rsid w:val="37732B8E"/>
    <w:rsid w:val="37A97676"/>
    <w:rsid w:val="3921125F"/>
    <w:rsid w:val="3AE367A2"/>
    <w:rsid w:val="3B894194"/>
    <w:rsid w:val="3D8C7CFA"/>
    <w:rsid w:val="3F6D27C0"/>
    <w:rsid w:val="3F7712ED"/>
    <w:rsid w:val="4177321E"/>
    <w:rsid w:val="46DD4D71"/>
    <w:rsid w:val="474963BA"/>
    <w:rsid w:val="49C76A6C"/>
    <w:rsid w:val="4C0A0BDB"/>
    <w:rsid w:val="4CD14A77"/>
    <w:rsid w:val="4FAA6446"/>
    <w:rsid w:val="542072F4"/>
    <w:rsid w:val="54F10AA9"/>
    <w:rsid w:val="5D4D3C87"/>
    <w:rsid w:val="5D6B73E2"/>
    <w:rsid w:val="5F44029B"/>
    <w:rsid w:val="61E32B59"/>
    <w:rsid w:val="62235BFC"/>
    <w:rsid w:val="64EA1FCA"/>
    <w:rsid w:val="67484F43"/>
    <w:rsid w:val="679D5A61"/>
    <w:rsid w:val="6804243C"/>
    <w:rsid w:val="6B9516FD"/>
    <w:rsid w:val="6C4920F1"/>
    <w:rsid w:val="70F52EE5"/>
    <w:rsid w:val="754D1E34"/>
    <w:rsid w:val="76405258"/>
    <w:rsid w:val="764E05D4"/>
    <w:rsid w:val="79825EB6"/>
    <w:rsid w:val="79E368BC"/>
    <w:rsid w:val="7BC4052B"/>
    <w:rsid w:val="7F1C5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semiHidden/>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rPr>
      <w:rFonts w:ascii="Calibri" w:hAnsi="Calibri"/>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1308</Words>
  <Characters>1434</Characters>
  <Lines>10</Lines>
  <Paragraphs>3</Paragraphs>
  <TotalTime>15</TotalTime>
  <ScaleCrop>false</ScaleCrop>
  <LinksUpToDate>false</LinksUpToDate>
  <CharactersWithSpaces>1443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丁小甲</cp:lastModifiedBy>
  <dcterms:modified xsi:type="dcterms:W3CDTF">2025-06-05T08:02:11Z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0ED711353EB64614A9473C7C49727CC2_13</vt:lpwstr>
  </property>
  <property fmtid="{D5CDD505-2E9C-101B-9397-08002B2CF9AE}" pid="4" name="KSOTemplateDocerSaveRecord">
    <vt:lpwstr>eyJoZGlkIjoiMjgyYTE1NTc0OGYyN2MwZmI5ODJmY2U4ZjFhNjQ5ZDQiLCJ1c2VySWQiOiIyNzEyODY4NzgifQ==</vt:lpwstr>
  </property>
</Properties>
</file>