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关于平阳县鳌江镇鹤翔路一号桥梁工程的</w:t>
      </w:r>
      <w:r>
        <w:rPr>
          <w:rFonts w:hint="eastAsia"/>
          <w:b/>
          <w:bCs/>
          <w:sz w:val="28"/>
          <w:szCs w:val="36"/>
        </w:rPr>
        <w:t>第</w:t>
      </w:r>
      <w:r>
        <w:rPr>
          <w:rFonts w:hint="eastAsia"/>
          <w:b/>
          <w:bCs/>
          <w:sz w:val="28"/>
          <w:szCs w:val="36"/>
          <w:lang w:val="en-US" w:eastAsia="zh-CN"/>
        </w:rPr>
        <w:t>一</w:t>
      </w:r>
      <w:r>
        <w:rPr>
          <w:rFonts w:hint="eastAsia"/>
          <w:b/>
          <w:bCs/>
          <w:sz w:val="28"/>
          <w:szCs w:val="36"/>
        </w:rPr>
        <w:t>次</w:t>
      </w:r>
      <w:r>
        <w:rPr>
          <w:rFonts w:hint="eastAsia"/>
          <w:b/>
          <w:bCs/>
          <w:sz w:val="28"/>
          <w:szCs w:val="36"/>
          <w:lang w:eastAsia="zh-CN"/>
        </w:rPr>
        <w:t>答疑及补充文件</w:t>
      </w:r>
    </w:p>
    <w:p>
      <w:pPr>
        <w:pStyle w:val="2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ascii="宋体" w:hAnsi="宋体" w:eastAsia="宋体" w:cs="宋体"/>
          <w:color w:val="333333"/>
          <w:sz w:val="28"/>
          <w:szCs w:val="28"/>
          <w:bdr w:val="none" w:color="auto" w:sz="0" w:space="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eastAsia"/>
          <w:sz w:val="28"/>
          <w:szCs w:val="28"/>
          <w:lang w:eastAsia="zh-CN"/>
        </w:rPr>
      </w:pPr>
      <w:r>
        <w:rPr>
          <w:rFonts w:ascii="宋体" w:hAnsi="宋体" w:eastAsia="宋体" w:cs="宋体"/>
          <w:color w:val="333333"/>
          <w:sz w:val="28"/>
          <w:szCs w:val="28"/>
          <w:bdr w:val="none" w:color="auto" w:sz="0" w:space="0"/>
        </w:rPr>
        <w:t>致各投标单位，现就本项目答疑</w:t>
      </w:r>
      <w:r>
        <w:rPr>
          <w:rFonts w:hint="eastAsia" w:ascii="宋体" w:hAnsi="宋体" w:cs="宋体"/>
          <w:color w:val="333333"/>
          <w:sz w:val="28"/>
          <w:szCs w:val="28"/>
          <w:bdr w:val="none" w:color="auto" w:sz="0" w:space="0"/>
          <w:lang w:eastAsia="zh-CN"/>
        </w:rPr>
        <w:t>及补充</w:t>
      </w:r>
      <w:r>
        <w:rPr>
          <w:rFonts w:ascii="宋体" w:hAnsi="宋体" w:eastAsia="宋体" w:cs="宋体"/>
          <w:color w:val="333333"/>
          <w:sz w:val="28"/>
          <w:szCs w:val="28"/>
          <w:bdr w:val="none" w:color="auto" w:sz="0" w:space="0"/>
        </w:rPr>
        <w:t>如下：</w:t>
      </w:r>
      <w:r>
        <w:rPr>
          <w:rFonts w:ascii="宋体" w:hAnsi="宋体" w:eastAsia="宋体" w:cs="宋体"/>
          <w:color w:val="333333"/>
          <w:sz w:val="28"/>
          <w:szCs w:val="28"/>
          <w:bdr w:val="none" w:color="auto" w:sz="0" w:space="0"/>
        </w:rPr>
        <w:br w:type="textWrapping"/>
      </w:r>
      <w:r>
        <w:rPr>
          <w:rFonts w:ascii="宋体" w:hAnsi="宋体" w:eastAsia="宋体" w:cs="宋体"/>
          <w:color w:val="333333"/>
          <w:sz w:val="28"/>
          <w:szCs w:val="28"/>
          <w:bdr w:val="none" w:color="auto" w:sz="0" w:space="0"/>
        </w:rPr>
        <w:t>一、答疑部分</w:t>
      </w:r>
      <w:r>
        <w:rPr>
          <w:rFonts w:ascii="宋体" w:hAnsi="宋体" w:eastAsia="宋体" w:cs="宋体"/>
          <w:color w:val="333333"/>
          <w:sz w:val="28"/>
          <w:szCs w:val="28"/>
          <w:bdr w:val="none" w:color="auto" w:sz="0" w:space="0"/>
        </w:rPr>
        <w:br w:type="textWrapping"/>
      </w:r>
      <w:r>
        <w:rPr>
          <w:rFonts w:ascii="宋体" w:hAnsi="宋体" w:eastAsia="宋体" w:cs="宋体"/>
          <w:color w:val="333333"/>
          <w:sz w:val="28"/>
          <w:szCs w:val="28"/>
          <w:bdr w:val="none" w:color="auto" w:sz="0" w:space="0"/>
        </w:rPr>
        <w:t>1、问：</w:t>
      </w:r>
      <w:r>
        <w:rPr>
          <w:rFonts w:hint="eastAsia" w:ascii="宋体" w:hAnsi="宋体" w:eastAsia="宋体" w:cs="宋体"/>
          <w:color w:val="333333"/>
          <w:sz w:val="28"/>
          <w:szCs w:val="28"/>
          <w:bdr w:val="none" w:color="auto" w:sz="0" w:space="0"/>
        </w:rPr>
        <w:t>清单40项：深层搅拌桩：根数:3340根，桩长:10 m，凿桩头232个，工程量2320m，是否有误？请明确</w:t>
      </w:r>
      <w:r>
        <w:rPr>
          <w:rFonts w:ascii="宋体" w:hAnsi="宋体" w:eastAsia="宋体" w:cs="宋体"/>
          <w:color w:val="333333"/>
          <w:sz w:val="28"/>
          <w:szCs w:val="28"/>
          <w:bdr w:val="none" w:color="auto" w:sz="0" w:space="0"/>
        </w:rPr>
        <w:br w:type="textWrapping"/>
      </w:r>
      <w:r>
        <w:rPr>
          <w:rFonts w:ascii="宋体" w:hAnsi="宋体" w:eastAsia="宋体" w:cs="宋体"/>
          <w:color w:val="333333"/>
          <w:sz w:val="28"/>
          <w:szCs w:val="28"/>
          <w:bdr w:val="none" w:color="auto" w:sz="0" w:space="0"/>
        </w:rPr>
        <w:t>答：</w:t>
      </w:r>
      <w:r>
        <w:rPr>
          <w:rFonts w:hint="eastAsia" w:ascii="宋体" w:hAnsi="宋体" w:cs="宋体"/>
          <w:color w:val="333333"/>
          <w:sz w:val="28"/>
          <w:szCs w:val="28"/>
          <w:bdr w:val="none" w:color="auto" w:sz="0" w:space="0"/>
          <w:lang w:eastAsia="zh-CN"/>
        </w:rPr>
        <w:t>清单内容调整如下：“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清单40项：</w:t>
      </w:r>
      <w:r>
        <w:rPr>
          <w:rFonts w:hint="eastAsia" w:ascii="宋体" w:hAnsi="宋体" w:cs="宋体"/>
          <w:color w:val="333333"/>
          <w:sz w:val="28"/>
          <w:szCs w:val="28"/>
          <w:bdr w:val="none" w:color="auto" w:sz="0" w:space="0"/>
          <w:lang w:eastAsia="zh-CN"/>
        </w:rPr>
        <w:t>深层搅拌桩：根数：</w:t>
      </w:r>
      <w:r>
        <w:rPr>
          <w:rFonts w:hint="eastAsia" w:ascii="宋体" w:hAnsi="宋体" w:cs="宋体"/>
          <w:color w:val="333333"/>
          <w:sz w:val="28"/>
          <w:szCs w:val="28"/>
          <w:bdr w:val="none" w:color="auto" w:sz="0" w:space="0"/>
          <w:lang w:val="en-US" w:eastAsia="zh-CN"/>
        </w:rPr>
        <w:t>232根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，桩长:10 m，凿桩头232个，工程量2320m</w:t>
      </w:r>
      <w:r>
        <w:rPr>
          <w:rFonts w:hint="eastAsia" w:ascii="宋体" w:hAnsi="宋体" w:cs="宋体"/>
          <w:color w:val="333333"/>
          <w:sz w:val="28"/>
          <w:szCs w:val="28"/>
          <w:lang w:eastAsia="zh-CN"/>
        </w:rPr>
        <w:t>。”</w:t>
      </w:r>
      <w:bookmarkStart w:id="0" w:name="_GoBack"/>
      <w:bookmarkEnd w:id="0"/>
      <w:r>
        <w:rPr>
          <w:rFonts w:ascii="宋体" w:hAnsi="宋体" w:eastAsia="宋体" w:cs="宋体"/>
          <w:color w:val="333333"/>
          <w:sz w:val="28"/>
          <w:szCs w:val="28"/>
          <w:bdr w:val="none" w:color="auto" w:sz="0" w:space="0"/>
        </w:rPr>
        <w:br w:type="textWrapping"/>
      </w:r>
      <w:r>
        <w:rPr>
          <w:rFonts w:hint="eastAsia" w:ascii="宋体" w:hAnsi="宋体" w:cs="宋体"/>
          <w:color w:val="333333"/>
          <w:sz w:val="28"/>
          <w:szCs w:val="28"/>
          <w:bdr w:val="none" w:color="auto" w:sz="0" w:space="0"/>
          <w:lang w:eastAsia="zh-CN"/>
        </w:rPr>
        <w:t>二、补充部分</w:t>
      </w:r>
      <w:r>
        <w:rPr>
          <w:rFonts w:ascii="宋体" w:hAnsi="宋体" w:eastAsia="宋体" w:cs="宋体"/>
          <w:color w:val="333333"/>
          <w:sz w:val="28"/>
          <w:szCs w:val="28"/>
          <w:bdr w:val="none" w:color="auto" w:sz="0" w:space="0"/>
        </w:rPr>
        <w:br w:type="textWrapping"/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1、原招标文件工程量清单有误，现重新制作招标文件，请各投标单位重新下载。本项目的招标文件及清单以本次补充的为准。原招标文件和清单无效。给各投标单位造成不便，敬请谅解。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</w:p>
    <w:p>
      <w:pPr>
        <w:widowControl/>
        <w:spacing w:line="240" w:lineRule="auto"/>
        <w:ind w:firstLine="560" w:firstLineChars="200"/>
        <w:jc w:val="right"/>
        <w:rPr>
          <w:rFonts w:hint="eastAsia" w:ascii="宋体" w:hAnsi="宋体" w:cs="宋体"/>
          <w:kern w:val="0"/>
          <w:sz w:val="28"/>
          <w:szCs w:val="28"/>
          <w:lang w:val="en-US" w:eastAsia="zh-CN" w:bidi="ar"/>
        </w:rPr>
      </w:pPr>
    </w:p>
    <w:p>
      <w:pPr>
        <w:pStyle w:val="2"/>
        <w:rPr>
          <w:rFonts w:hint="eastAsia"/>
          <w:sz w:val="40"/>
          <w:szCs w:val="28"/>
          <w:lang w:val="en-US" w:eastAsia="zh-CN"/>
        </w:rPr>
      </w:pPr>
    </w:p>
    <w:p>
      <w:pPr>
        <w:widowControl/>
        <w:wordWrap w:val="0"/>
        <w:spacing w:line="240" w:lineRule="auto"/>
        <w:ind w:firstLine="560" w:firstLineChars="200"/>
        <w:jc w:val="right"/>
        <w:rPr>
          <w:rFonts w:hint="eastAsia" w:ascii="宋体" w:hAnsi="宋体" w:cs="宋体"/>
          <w:kern w:val="0"/>
          <w:sz w:val="28"/>
          <w:szCs w:val="28"/>
          <w:lang w:eastAsia="zh-CN" w:bidi="ar"/>
        </w:rPr>
      </w:pPr>
      <w:r>
        <w:rPr>
          <w:rFonts w:hint="eastAsia" w:ascii="宋体" w:hAnsi="宋体" w:cs="宋体"/>
          <w:kern w:val="0"/>
          <w:sz w:val="28"/>
          <w:szCs w:val="28"/>
          <w:lang w:eastAsia="zh-CN" w:bidi="ar"/>
        </w:rPr>
        <w:t>平阳县鳌江镇人民政府</w:t>
      </w:r>
    </w:p>
    <w:p>
      <w:pPr>
        <w:widowControl/>
        <w:wordWrap w:val="0"/>
        <w:spacing w:line="240" w:lineRule="auto"/>
        <w:ind w:firstLine="560" w:firstLineChars="200"/>
        <w:jc w:val="right"/>
        <w:rPr>
          <w:rFonts w:hint="eastAsia" w:ascii="宋体" w:hAnsi="宋体" w:cs="宋体"/>
          <w:kern w:val="0"/>
          <w:sz w:val="28"/>
          <w:szCs w:val="28"/>
          <w:lang w:eastAsia="zh-CN" w:bidi="ar"/>
        </w:rPr>
      </w:pPr>
      <w:r>
        <w:rPr>
          <w:rFonts w:hint="eastAsia" w:ascii="宋体" w:hAnsi="宋体" w:cs="宋体"/>
          <w:kern w:val="0"/>
          <w:sz w:val="28"/>
          <w:szCs w:val="28"/>
          <w:lang w:eastAsia="zh-CN" w:bidi="ar"/>
        </w:rPr>
        <w:t>浙江华耀建设咨询有限公司</w:t>
      </w:r>
    </w:p>
    <w:p>
      <w:pPr>
        <w:widowControl/>
        <w:wordWrap w:val="0"/>
        <w:spacing w:line="240" w:lineRule="auto"/>
        <w:ind w:firstLine="977" w:firstLineChars="349"/>
        <w:jc w:val="right"/>
        <w:rPr>
          <w:rFonts w:hint="eastAsia"/>
          <w:sz w:val="28"/>
          <w:szCs w:val="28"/>
        </w:rPr>
      </w:pPr>
      <w:r>
        <w:rPr>
          <w:rFonts w:hint="eastAsia" w:ascii="宋体" w:hAnsi="宋体" w:cs="宋体"/>
          <w:kern w:val="0"/>
          <w:sz w:val="28"/>
          <w:szCs w:val="28"/>
          <w:lang w:bidi="ar"/>
        </w:rPr>
        <w:t>2021年</w:t>
      </w:r>
      <w:r>
        <w:rPr>
          <w:rFonts w:hint="eastAsia" w:ascii="宋体" w:hAnsi="宋体" w:cs="宋体"/>
          <w:kern w:val="0"/>
          <w:sz w:val="28"/>
          <w:szCs w:val="28"/>
          <w:lang w:val="en-US" w:eastAsia="zh-CN" w:bidi="ar"/>
        </w:rPr>
        <w:t>12</w:t>
      </w:r>
      <w:r>
        <w:rPr>
          <w:rFonts w:hint="eastAsia" w:ascii="宋体" w:hAnsi="宋体" w:cs="宋体"/>
          <w:kern w:val="0"/>
          <w:sz w:val="28"/>
          <w:szCs w:val="28"/>
          <w:lang w:bidi="ar"/>
        </w:rPr>
        <w:t>月</w:t>
      </w:r>
      <w:r>
        <w:rPr>
          <w:rFonts w:hint="eastAsia" w:ascii="宋体" w:hAnsi="宋体" w:cs="宋体"/>
          <w:kern w:val="0"/>
          <w:sz w:val="28"/>
          <w:szCs w:val="28"/>
          <w:lang w:val="en-US" w:eastAsia="zh-CN" w:bidi="ar"/>
        </w:rPr>
        <w:t>30</w:t>
      </w:r>
      <w:r>
        <w:rPr>
          <w:rFonts w:hint="eastAsia" w:ascii="宋体" w:hAnsi="宋体" w:cs="宋体"/>
          <w:kern w:val="0"/>
          <w:sz w:val="28"/>
          <w:szCs w:val="28"/>
          <w:lang w:bidi="ar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383189"/>
    <w:rsid w:val="057320B6"/>
    <w:rsid w:val="07F25CC2"/>
    <w:rsid w:val="08774375"/>
    <w:rsid w:val="0A383189"/>
    <w:rsid w:val="0D4279F7"/>
    <w:rsid w:val="10167141"/>
    <w:rsid w:val="1E391612"/>
    <w:rsid w:val="22CC0DCE"/>
    <w:rsid w:val="28A5390D"/>
    <w:rsid w:val="370E1C01"/>
    <w:rsid w:val="3AF213EC"/>
    <w:rsid w:val="3BC41FB3"/>
    <w:rsid w:val="43345671"/>
    <w:rsid w:val="4A5E7787"/>
    <w:rsid w:val="4CED60C6"/>
    <w:rsid w:val="5F354C7F"/>
    <w:rsid w:val="603B69D1"/>
    <w:rsid w:val="60E45DEF"/>
    <w:rsid w:val="614F373B"/>
    <w:rsid w:val="648A1739"/>
    <w:rsid w:val="6BEB080A"/>
    <w:rsid w:val="718A5DF3"/>
    <w:rsid w:val="78163236"/>
    <w:rsid w:val="7FEF3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tabs>
        <w:tab w:val="left" w:pos="574"/>
        <w:tab w:val="left" w:pos="9360"/>
      </w:tabs>
      <w:spacing w:line="312" w:lineRule="auto"/>
      <w:ind w:firstLine="420"/>
    </w:pPr>
  </w:style>
  <w:style w:type="paragraph" w:styleId="3">
    <w:name w:val="Body Text"/>
    <w:basedOn w:val="1"/>
    <w:next w:val="2"/>
    <w:qFormat/>
    <w:uiPriority w:val="0"/>
    <w:pPr>
      <w:tabs>
        <w:tab w:val="left" w:pos="9360"/>
      </w:tabs>
    </w:pPr>
    <w:rPr>
      <w:sz w:val="24"/>
      <w:szCs w:val="20"/>
    </w:rPr>
  </w:style>
  <w:style w:type="paragraph" w:styleId="4">
    <w:name w:val="toc 6"/>
    <w:basedOn w:val="1"/>
    <w:next w:val="1"/>
    <w:qFormat/>
    <w:uiPriority w:val="0"/>
    <w:pPr>
      <w:ind w:left="2100" w:leftChars="1000"/>
    </w:pPr>
  </w:style>
  <w:style w:type="character" w:styleId="7">
    <w:name w:val="Strong"/>
    <w:basedOn w:val="6"/>
    <w:qFormat/>
    <w:uiPriority w:val="0"/>
  </w:style>
  <w:style w:type="character" w:styleId="8">
    <w:name w:val="FollowedHyperlink"/>
    <w:basedOn w:val="6"/>
    <w:qFormat/>
    <w:uiPriority w:val="0"/>
    <w:rPr>
      <w:color w:val="4A4A4A"/>
      <w:u w:val="none"/>
    </w:rPr>
  </w:style>
  <w:style w:type="character" w:styleId="9">
    <w:name w:val="Emphasis"/>
    <w:basedOn w:val="6"/>
    <w:qFormat/>
    <w:uiPriority w:val="0"/>
  </w:style>
  <w:style w:type="character" w:styleId="10">
    <w:name w:val="HTML Definition"/>
    <w:basedOn w:val="6"/>
    <w:qFormat/>
    <w:uiPriority w:val="0"/>
  </w:style>
  <w:style w:type="character" w:styleId="11">
    <w:name w:val="HTML Typewriter"/>
    <w:basedOn w:val="6"/>
    <w:qFormat/>
    <w:uiPriority w:val="0"/>
    <w:rPr>
      <w:rFonts w:ascii="monospace" w:hAnsi="monospace" w:eastAsia="monospace" w:cs="monospace"/>
      <w:sz w:val="20"/>
    </w:rPr>
  </w:style>
  <w:style w:type="character" w:styleId="12">
    <w:name w:val="HTML Acronym"/>
    <w:basedOn w:val="6"/>
    <w:qFormat/>
    <w:uiPriority w:val="0"/>
    <w:rPr>
      <w:bdr w:val="none" w:color="auto" w:sz="0" w:space="0"/>
    </w:rPr>
  </w:style>
  <w:style w:type="character" w:styleId="13">
    <w:name w:val="HTML Variable"/>
    <w:basedOn w:val="6"/>
    <w:qFormat/>
    <w:uiPriority w:val="0"/>
  </w:style>
  <w:style w:type="character" w:styleId="14">
    <w:name w:val="Hyperlink"/>
    <w:basedOn w:val="6"/>
    <w:qFormat/>
    <w:uiPriority w:val="0"/>
    <w:rPr>
      <w:color w:val="4A4A4A"/>
      <w:u w:val="none"/>
    </w:rPr>
  </w:style>
  <w:style w:type="character" w:styleId="15">
    <w:name w:val="HTML Code"/>
    <w:basedOn w:val="6"/>
    <w:qFormat/>
    <w:uiPriority w:val="0"/>
    <w:rPr>
      <w:rFonts w:hint="default" w:ascii="monospace" w:hAnsi="monospace" w:eastAsia="monospace" w:cs="monospace"/>
      <w:sz w:val="20"/>
    </w:rPr>
  </w:style>
  <w:style w:type="character" w:styleId="16">
    <w:name w:val="HTML Cite"/>
    <w:basedOn w:val="6"/>
    <w:qFormat/>
    <w:uiPriority w:val="0"/>
  </w:style>
  <w:style w:type="character" w:styleId="17">
    <w:name w:val="HTML Keyboard"/>
    <w:basedOn w:val="6"/>
    <w:qFormat/>
    <w:uiPriority w:val="0"/>
    <w:rPr>
      <w:rFonts w:hint="default" w:ascii="monospace" w:hAnsi="monospace" w:eastAsia="monospace" w:cs="monospace"/>
      <w:sz w:val="20"/>
    </w:rPr>
  </w:style>
  <w:style w:type="character" w:styleId="18">
    <w:name w:val="HTML Sample"/>
    <w:basedOn w:val="6"/>
    <w:qFormat/>
    <w:uiPriority w:val="0"/>
    <w:rPr>
      <w:rFonts w:hint="default" w:ascii="monospace" w:hAnsi="monospace" w:eastAsia="monospace" w:cs="monospac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Office_11.1.0.9564_F1E327BC-269C-435d-A152-05C5408002CA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2021-08-18T07:26:00Z</dcterms:created>
  <dc:creator>NTKO</dc:creator>
  <cp:lastModifiedBy>木子李</cp:lastModifiedBy>
  <cp:lastPrinted>2021-10-13T07:20:00Z</cp:lastPrinted>
  <dcterms:modified xsi:type="dcterms:W3CDTF">2021-12-29T11:13:04Z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2052-11.1.0.9564</vt:lpwstr>
  </property>
</Properties>
</file>