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34"/>
        <w:tblW w:w="0" w:type="auto"/>
        <w:tblInd w:w="108" w:type="dxa"/>
        <w:tblLayout w:type="fixed"/>
        <w:tblCellMar>
          <w:top w:w="0" w:type="dxa"/>
          <w:left w:w="0" w:type="dxa"/>
          <w:bottom w:w="0" w:type="dxa"/>
          <w:right w:w="0" w:type="dxa"/>
        </w:tblCellMar>
      </w:tblPr>
      <w:tblGrid>
        <w:gridCol w:w="9827"/>
      </w:tblGrid>
      <w:tr>
        <w:tblPrEx>
          <w:tblCellMar>
            <w:top w:w="0" w:type="dxa"/>
            <w:left w:w="0" w:type="dxa"/>
            <w:bottom w:w="0" w:type="dxa"/>
            <w:right w:w="0" w:type="dxa"/>
          </w:tblCellMar>
        </w:tblPrEx>
        <w:trPr>
          <w:trHeight w:val="13980" w:hRule="atLeast"/>
        </w:trPr>
        <w:tc>
          <w:tcPr>
            <w:tcW w:w="982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pStyle w:val="30"/>
              <w:rPr>
                <w:rStyle w:val="236"/>
                <w:rFonts w:hint="default"/>
                <w:highlight w:val="none"/>
              </w:rPr>
            </w:pPr>
          </w:p>
          <w:p>
            <w:pPr>
              <w:rPr>
                <w:rFonts w:hint="default"/>
                <w:highlight w:val="none"/>
              </w:rPr>
            </w:pPr>
          </w:p>
          <w:p>
            <w:pPr>
              <w:pStyle w:val="2"/>
              <w:rPr>
                <w:rFonts w:hint="default"/>
                <w:highlight w:val="none"/>
              </w:rPr>
            </w:pPr>
          </w:p>
          <w:p>
            <w:pPr>
              <w:pStyle w:val="3"/>
              <w:rPr>
                <w:rFonts w:hint="default"/>
                <w:highlight w:val="none"/>
              </w:rPr>
            </w:pPr>
          </w:p>
          <w:p>
            <w:pPr>
              <w:widowControl/>
              <w:snapToGrid w:val="0"/>
              <w:spacing w:line="460" w:lineRule="atLeast"/>
              <w:jc w:val="center"/>
              <w:rPr>
                <w:b/>
                <w:color w:val="000000"/>
                <w:sz w:val="72"/>
                <w:highlight w:val="none"/>
              </w:rPr>
            </w:pPr>
            <w:r>
              <w:rPr>
                <w:rFonts w:hint="eastAsia"/>
                <w:b/>
                <w:color w:val="000000"/>
                <w:sz w:val="72"/>
                <w:highlight w:val="none"/>
                <w:lang w:val="en-US" w:eastAsia="zh-CN"/>
              </w:rPr>
              <w:t>平阳县国</w:t>
            </w:r>
            <w:r>
              <w:rPr>
                <w:rFonts w:hint="eastAsia"/>
                <w:b/>
                <w:color w:val="000000"/>
                <w:sz w:val="72"/>
                <w:highlight w:val="none"/>
              </w:rPr>
              <w:t>有企业</w:t>
            </w:r>
            <w:r>
              <w:rPr>
                <w:b/>
                <w:color w:val="000000"/>
                <w:sz w:val="72"/>
                <w:highlight w:val="none"/>
              </w:rPr>
              <w:t>采购</w:t>
            </w:r>
          </w:p>
          <w:p>
            <w:pPr>
              <w:widowControl/>
              <w:snapToGrid w:val="0"/>
              <w:spacing w:line="460" w:lineRule="atLeast"/>
              <w:jc w:val="center"/>
              <w:rPr>
                <w:b/>
                <w:color w:val="000000"/>
                <w:sz w:val="28"/>
                <w:highlight w:val="none"/>
              </w:rPr>
            </w:pPr>
            <w:r>
              <w:rPr>
                <w:rFonts w:hint="eastAsia"/>
                <w:b/>
                <w:color w:val="000000"/>
                <w:sz w:val="30"/>
                <w:highlight w:val="none"/>
              </w:rPr>
              <w:t>（线上电子招投标）</w:t>
            </w:r>
          </w:p>
          <w:p>
            <w:pPr>
              <w:widowControl/>
              <w:snapToGrid w:val="0"/>
              <w:ind w:left="3735" w:leftChars="1569" w:hanging="440" w:hangingChars="146"/>
              <w:rPr>
                <w:b/>
                <w:color w:val="000000"/>
                <w:sz w:val="30"/>
                <w:highlight w:val="none"/>
              </w:rPr>
            </w:pPr>
          </w:p>
          <w:p>
            <w:pPr>
              <w:widowControl/>
              <w:snapToGrid w:val="0"/>
              <w:spacing w:line="460" w:lineRule="atLeast"/>
              <w:jc w:val="center"/>
              <w:rPr>
                <w:b/>
                <w:color w:val="000000"/>
                <w:sz w:val="28"/>
                <w:highlight w:val="none"/>
              </w:rPr>
            </w:pPr>
          </w:p>
          <w:p>
            <w:pPr>
              <w:widowControl/>
              <w:snapToGrid w:val="0"/>
              <w:spacing w:line="460" w:lineRule="atLeast"/>
              <w:jc w:val="center"/>
              <w:rPr>
                <w:rFonts w:hint="eastAsia"/>
                <w:b/>
                <w:color w:val="000000"/>
                <w:sz w:val="28"/>
                <w:highlight w:val="none"/>
              </w:rPr>
            </w:pPr>
          </w:p>
          <w:p>
            <w:pPr>
              <w:pStyle w:val="30"/>
              <w:keepNext w:val="0"/>
              <w:keepLines w:val="0"/>
              <w:pageBreakBefore w:val="0"/>
              <w:kinsoku/>
              <w:wordWrap/>
              <w:overflowPunct/>
              <w:topLinePunct w:val="0"/>
              <w:autoSpaceDE/>
              <w:autoSpaceDN/>
              <w:bidi w:val="0"/>
              <w:adjustRightInd/>
              <w:spacing w:before="0" w:after="0" w:line="440" w:lineRule="exact"/>
              <w:ind w:firstLine="2108" w:firstLineChars="700"/>
              <w:jc w:val="both"/>
              <w:textAlignment w:val="auto"/>
              <w:rPr>
                <w:rFonts w:hint="eastAsia" w:ascii="宋体" w:hAnsi="宋体" w:cs="宋体"/>
                <w:b/>
                <w:bCs w:val="0"/>
                <w:color w:val="000000"/>
                <w:kern w:val="0"/>
                <w:sz w:val="30"/>
                <w:szCs w:val="20"/>
                <w:highlight w:val="none"/>
                <w:lang w:val="en-US" w:eastAsia="zh-CN" w:bidi="ar-SA"/>
              </w:rPr>
            </w:pPr>
            <w:bookmarkStart w:id="0" w:name="_Toc5117"/>
            <w:bookmarkStart w:id="1" w:name="_Toc1411"/>
            <w:bookmarkStart w:id="2" w:name="_Toc21149"/>
            <w:r>
              <w:rPr>
                <w:rFonts w:hint="eastAsia" w:ascii="宋体" w:hAnsi="宋体" w:eastAsia="宋体" w:cs="宋体"/>
                <w:b/>
                <w:bCs w:val="0"/>
                <w:color w:val="000000"/>
                <w:kern w:val="0"/>
                <w:sz w:val="30"/>
                <w:szCs w:val="20"/>
                <w:highlight w:val="none"/>
                <w:lang w:val="en-US" w:eastAsia="zh-CN" w:bidi="ar-SA"/>
              </w:rPr>
              <w:t>项目名称：</w:t>
            </w:r>
            <w:bookmarkEnd w:id="0"/>
            <w:bookmarkEnd w:id="1"/>
            <w:r>
              <w:rPr>
                <w:rFonts w:hint="eastAsia" w:ascii="宋体" w:hAnsi="宋体" w:cs="宋体"/>
                <w:b/>
                <w:bCs w:val="0"/>
                <w:color w:val="000000"/>
                <w:kern w:val="0"/>
                <w:sz w:val="30"/>
                <w:szCs w:val="20"/>
                <w:highlight w:val="none"/>
                <w:lang w:val="en-US" w:eastAsia="zh-CN" w:bidi="ar-SA"/>
              </w:rPr>
              <w:t>2023年平阳县生态环境监测设备采</w:t>
            </w:r>
            <w:bookmarkEnd w:id="2"/>
          </w:p>
          <w:p>
            <w:pPr>
              <w:pStyle w:val="30"/>
              <w:keepNext w:val="0"/>
              <w:keepLines w:val="0"/>
              <w:pageBreakBefore w:val="0"/>
              <w:kinsoku/>
              <w:wordWrap/>
              <w:overflowPunct/>
              <w:topLinePunct w:val="0"/>
              <w:autoSpaceDE/>
              <w:autoSpaceDN/>
              <w:bidi w:val="0"/>
              <w:adjustRightInd/>
              <w:spacing w:before="0" w:after="0" w:line="440" w:lineRule="exact"/>
              <w:ind w:firstLine="3614" w:firstLineChars="1200"/>
              <w:jc w:val="both"/>
              <w:textAlignment w:val="auto"/>
              <w:rPr>
                <w:rFonts w:hint="eastAsia" w:ascii="宋体" w:hAnsi="宋体" w:cs="宋体"/>
                <w:b/>
                <w:bCs w:val="0"/>
                <w:color w:val="000000"/>
                <w:kern w:val="0"/>
                <w:sz w:val="30"/>
                <w:szCs w:val="20"/>
                <w:highlight w:val="none"/>
                <w:lang w:val="en-US" w:eastAsia="zh-CN" w:bidi="ar-SA"/>
              </w:rPr>
            </w:pPr>
            <w:bookmarkStart w:id="3" w:name="_Toc24446"/>
            <w:r>
              <w:rPr>
                <w:rFonts w:hint="eastAsia" w:ascii="宋体" w:hAnsi="宋体" w:cs="宋体"/>
                <w:b/>
                <w:bCs w:val="0"/>
                <w:color w:val="000000"/>
                <w:kern w:val="0"/>
                <w:sz w:val="30"/>
                <w:szCs w:val="20"/>
                <w:highlight w:val="none"/>
                <w:lang w:val="en-US" w:eastAsia="zh-CN" w:bidi="ar-SA"/>
              </w:rPr>
              <w:t>购及安装</w:t>
            </w:r>
            <w:bookmarkEnd w:id="3"/>
          </w:p>
          <w:p>
            <w:pPr>
              <w:keepNext w:val="0"/>
              <w:keepLines w:val="0"/>
              <w:pageBreakBefore w:val="0"/>
              <w:widowControl/>
              <w:kinsoku/>
              <w:wordWrap/>
              <w:overflowPunct/>
              <w:topLinePunct w:val="0"/>
              <w:autoSpaceDE/>
              <w:autoSpaceDN/>
              <w:bidi w:val="0"/>
              <w:adjustRightInd/>
              <w:snapToGrid w:val="0"/>
              <w:spacing w:line="440" w:lineRule="exact"/>
              <w:ind w:firstLine="2096"/>
              <w:jc w:val="left"/>
              <w:textAlignment w:val="auto"/>
              <w:rPr>
                <w:rFonts w:hint="eastAsia" w:ascii="宋体" w:hAnsi="宋体" w:eastAsia="宋体" w:cs="宋体"/>
                <w:b/>
                <w:color w:val="000000"/>
                <w:sz w:val="30"/>
                <w:highlight w:val="none"/>
              </w:rPr>
            </w:pPr>
            <w:r>
              <w:rPr>
                <w:rFonts w:hint="eastAsia" w:ascii="宋体" w:hAnsi="宋体" w:eastAsia="宋体" w:cs="宋体"/>
                <w:b/>
                <w:color w:val="000000"/>
                <w:sz w:val="30"/>
                <w:highlight w:val="none"/>
                <w:lang w:eastAsia="zh-CN"/>
              </w:rPr>
              <w:t>项目编号</w:t>
            </w:r>
            <w:r>
              <w:rPr>
                <w:rFonts w:hint="eastAsia" w:ascii="宋体" w:hAnsi="宋体" w:eastAsia="宋体" w:cs="宋体"/>
                <w:b/>
                <w:color w:val="000000"/>
                <w:sz w:val="30"/>
                <w:highlight w:val="none"/>
              </w:rPr>
              <w:t>：</w:t>
            </w:r>
            <w:r>
              <w:rPr>
                <w:rFonts w:hint="eastAsia" w:ascii="宋体" w:hAnsi="宋体" w:cs="宋体"/>
                <w:b/>
                <w:color w:val="000000"/>
                <w:sz w:val="30"/>
                <w:highlight w:val="none"/>
                <w:lang w:eastAsia="zh-CN"/>
              </w:rPr>
              <w:t>PYCG230927094</w:t>
            </w:r>
            <w:r>
              <w:rPr>
                <w:rFonts w:hint="eastAsia" w:ascii="宋体" w:hAnsi="宋体" w:eastAsia="宋体" w:cs="宋体"/>
                <w:b/>
                <w:color w:val="000000"/>
                <w:sz w:val="30"/>
                <w:highlight w:val="none"/>
              </w:rPr>
              <w:t xml:space="preserve"> </w:t>
            </w:r>
          </w:p>
          <w:p>
            <w:pPr>
              <w:widowControl/>
              <w:snapToGrid w:val="0"/>
              <w:spacing w:line="440" w:lineRule="exact"/>
              <w:ind w:left="1260" w:firstLine="904"/>
              <w:jc w:val="left"/>
              <w:rPr>
                <w:rFonts w:hint="eastAsia" w:ascii="宋体" w:hAnsi="宋体" w:eastAsia="宋体" w:cs="宋体"/>
                <w:b/>
                <w:color w:val="000000"/>
                <w:sz w:val="30"/>
                <w:highlight w:val="none"/>
              </w:rPr>
            </w:pPr>
          </w:p>
          <w:p>
            <w:pPr>
              <w:pStyle w:val="30"/>
              <w:rPr>
                <w:rFonts w:hint="eastAsia" w:ascii="宋体" w:hAnsi="宋体" w:eastAsia="宋体" w:cs="宋体"/>
                <w:b/>
                <w:color w:val="000000"/>
                <w:sz w:val="30"/>
                <w:highlight w:val="none"/>
              </w:rPr>
            </w:pPr>
          </w:p>
          <w:p>
            <w:pPr>
              <w:rPr>
                <w:rFonts w:hint="eastAsia" w:ascii="宋体" w:hAnsi="宋体" w:eastAsia="宋体" w:cs="宋体"/>
                <w:highlight w:val="none"/>
              </w:rPr>
            </w:pPr>
          </w:p>
          <w:p>
            <w:pPr>
              <w:widowControl/>
              <w:snapToGrid w:val="0"/>
              <w:spacing w:line="440" w:lineRule="exact"/>
              <w:ind w:left="1260" w:firstLine="904"/>
              <w:jc w:val="left"/>
              <w:rPr>
                <w:rFonts w:hint="eastAsia" w:ascii="宋体" w:hAnsi="宋体" w:eastAsia="宋体" w:cs="宋体"/>
                <w:b/>
                <w:color w:val="000000"/>
                <w:sz w:val="30"/>
                <w:highlight w:val="none"/>
                <w:lang w:eastAsia="zh-CN"/>
              </w:rPr>
            </w:pPr>
            <w:r>
              <w:rPr>
                <w:rFonts w:hint="eastAsia" w:ascii="宋体" w:hAnsi="宋体" w:eastAsia="宋体" w:cs="宋体"/>
                <w:b/>
                <w:color w:val="000000"/>
                <w:sz w:val="30"/>
                <w:highlight w:val="none"/>
              </w:rPr>
              <w:t>采购单位：</w:t>
            </w:r>
            <w:r>
              <w:rPr>
                <w:rFonts w:hint="eastAsia" w:ascii="宋体" w:hAnsi="宋体" w:cs="宋体"/>
                <w:b/>
                <w:color w:val="000000"/>
                <w:sz w:val="30"/>
                <w:highlight w:val="none"/>
                <w:lang w:eastAsia="zh-CN"/>
              </w:rPr>
              <w:t>平阳县盈泽控股有限公司</w:t>
            </w:r>
          </w:p>
          <w:p>
            <w:pPr>
              <w:widowControl/>
              <w:snapToGrid w:val="0"/>
              <w:spacing w:line="440" w:lineRule="exact"/>
              <w:ind w:left="1260" w:firstLine="904"/>
              <w:jc w:val="left"/>
              <w:rPr>
                <w:rFonts w:hint="eastAsia" w:ascii="宋体" w:hAnsi="宋体" w:eastAsia="宋体" w:cs="宋体"/>
                <w:b/>
                <w:color w:val="000000"/>
                <w:sz w:val="30"/>
                <w:highlight w:val="none"/>
                <w:lang w:val="en-US" w:eastAsia="zh-CN"/>
              </w:rPr>
            </w:pPr>
            <w:r>
              <w:rPr>
                <w:rFonts w:hint="eastAsia" w:ascii="宋体" w:hAnsi="宋体" w:eastAsia="宋体" w:cs="宋体"/>
                <w:b/>
                <w:color w:val="000000"/>
                <w:sz w:val="30"/>
                <w:highlight w:val="none"/>
              </w:rPr>
              <w:t>联 系 人</w:t>
            </w:r>
            <w:r>
              <w:rPr>
                <w:rFonts w:hint="eastAsia" w:ascii="宋体" w:hAnsi="宋体" w:eastAsia="宋体" w:cs="宋体"/>
                <w:b/>
                <w:color w:val="000000"/>
                <w:sz w:val="30"/>
                <w:highlight w:val="none"/>
                <w:lang w:eastAsia="zh-CN"/>
              </w:rPr>
              <w:t>：</w:t>
            </w:r>
            <w:r>
              <w:rPr>
                <w:rFonts w:hint="eastAsia" w:ascii="宋体" w:hAnsi="宋体" w:cs="宋体"/>
                <w:b/>
                <w:color w:val="000000"/>
                <w:sz w:val="30"/>
                <w:highlight w:val="none"/>
                <w:lang w:val="en-US" w:eastAsia="zh-CN"/>
              </w:rPr>
              <w:t>温先生</w:t>
            </w:r>
          </w:p>
          <w:p>
            <w:pPr>
              <w:widowControl/>
              <w:snapToGrid w:val="0"/>
              <w:spacing w:line="440" w:lineRule="exact"/>
              <w:ind w:left="1260" w:firstLine="904"/>
              <w:jc w:val="left"/>
              <w:rPr>
                <w:rFonts w:hint="eastAsia" w:ascii="宋体" w:hAnsi="宋体" w:eastAsia="宋体" w:cs="宋体"/>
                <w:b/>
                <w:color w:val="000000"/>
                <w:sz w:val="30"/>
                <w:highlight w:val="none"/>
                <w:lang w:val="en-US" w:eastAsia="zh-CN"/>
              </w:rPr>
            </w:pPr>
            <w:r>
              <w:rPr>
                <w:rFonts w:hint="eastAsia" w:ascii="宋体" w:hAnsi="宋体" w:eastAsia="宋体" w:cs="宋体"/>
                <w:b/>
                <w:color w:val="000000"/>
                <w:sz w:val="30"/>
                <w:highlight w:val="none"/>
              </w:rPr>
              <w:t>联系电话：</w:t>
            </w:r>
            <w:r>
              <w:rPr>
                <w:rFonts w:hint="eastAsia" w:ascii="宋体" w:hAnsi="宋体" w:eastAsia="宋体" w:cs="宋体"/>
                <w:b/>
                <w:color w:val="000000"/>
                <w:sz w:val="30"/>
                <w:highlight w:val="none"/>
                <w:lang w:eastAsia="zh-CN"/>
              </w:rPr>
              <w:t>0577-58100162</w:t>
            </w:r>
          </w:p>
          <w:p>
            <w:pPr>
              <w:widowControl/>
              <w:snapToGrid w:val="0"/>
              <w:spacing w:line="440" w:lineRule="exact"/>
              <w:ind w:left="1260" w:firstLine="904"/>
              <w:jc w:val="left"/>
              <w:rPr>
                <w:b/>
                <w:color w:val="000000"/>
                <w:sz w:val="30"/>
                <w:highlight w:val="none"/>
              </w:rPr>
            </w:pPr>
          </w:p>
          <w:p>
            <w:pPr>
              <w:pStyle w:val="30"/>
              <w:rPr>
                <w:highlight w:val="none"/>
              </w:rPr>
            </w:pPr>
          </w:p>
          <w:p>
            <w:pPr>
              <w:rPr>
                <w:highlight w:val="none"/>
              </w:rPr>
            </w:pPr>
          </w:p>
          <w:p>
            <w:pPr>
              <w:spacing w:line="440" w:lineRule="exact"/>
              <w:ind w:firstLine="2108" w:firstLineChars="700"/>
              <w:rPr>
                <w:rFonts w:hint="eastAsia" w:ascii="宋体" w:hAnsi="宋体"/>
                <w:b/>
                <w:sz w:val="30"/>
                <w:szCs w:val="30"/>
                <w:highlight w:val="none"/>
              </w:rPr>
            </w:pPr>
            <w:r>
              <w:rPr>
                <w:rFonts w:hint="eastAsia" w:ascii="宋体" w:hAnsi="宋体"/>
                <w:b/>
                <w:sz w:val="30"/>
                <w:szCs w:val="30"/>
                <w:highlight w:val="none"/>
              </w:rPr>
              <w:t>代理机构：</w:t>
            </w:r>
            <w:r>
              <w:rPr>
                <w:rFonts w:hint="eastAsia" w:ascii="宋体" w:hAnsi="宋体"/>
                <w:b/>
                <w:sz w:val="30"/>
                <w:szCs w:val="30"/>
                <w:highlight w:val="none"/>
                <w:lang w:eastAsia="zh-CN"/>
              </w:rPr>
              <w:t>温州众晨项目管理有限公司</w:t>
            </w:r>
          </w:p>
          <w:p>
            <w:pPr>
              <w:spacing w:line="440" w:lineRule="exact"/>
              <w:ind w:firstLine="2108" w:firstLineChars="700"/>
              <w:rPr>
                <w:rFonts w:hint="eastAsia" w:ascii="宋体" w:hAnsi="宋体"/>
                <w:b/>
                <w:bCs w:val="0"/>
                <w:sz w:val="30"/>
                <w:szCs w:val="30"/>
                <w:highlight w:val="none"/>
              </w:rPr>
            </w:pPr>
            <w:r>
              <w:rPr>
                <w:rFonts w:hint="eastAsia" w:ascii="宋体" w:hAnsi="宋体"/>
                <w:b/>
                <w:sz w:val="30"/>
                <w:szCs w:val="30"/>
                <w:highlight w:val="none"/>
              </w:rPr>
              <w:t>联 系 人：</w:t>
            </w:r>
            <w:r>
              <w:rPr>
                <w:rFonts w:hint="eastAsia" w:ascii="宋体" w:hAnsi="宋体"/>
                <w:b/>
                <w:sz w:val="30"/>
                <w:szCs w:val="30"/>
                <w:highlight w:val="none"/>
                <w:lang w:val="en-US" w:eastAsia="zh-CN"/>
              </w:rPr>
              <w:t>洪</w:t>
            </w:r>
            <w:r>
              <w:rPr>
                <w:rFonts w:hint="eastAsia" w:ascii="宋体" w:hAnsi="宋体"/>
                <w:b/>
                <w:sz w:val="30"/>
                <w:szCs w:val="30"/>
                <w:highlight w:val="none"/>
              </w:rPr>
              <w:t>先生</w:t>
            </w:r>
          </w:p>
          <w:p>
            <w:pPr>
              <w:spacing w:line="440" w:lineRule="exact"/>
              <w:ind w:firstLine="2108" w:firstLineChars="700"/>
              <w:rPr>
                <w:rFonts w:hint="default" w:ascii="宋体" w:hAnsi="宋体" w:eastAsia="宋体" w:cs="宋体"/>
                <w:b/>
                <w:bCs w:val="0"/>
                <w:kern w:val="1"/>
                <w:sz w:val="30"/>
                <w:szCs w:val="30"/>
                <w:highlight w:val="none"/>
                <w:lang w:val="en-US" w:eastAsia="zh-CN"/>
              </w:rPr>
            </w:pPr>
            <w:r>
              <w:rPr>
                <w:rFonts w:hint="eastAsia" w:ascii="宋体" w:hAnsi="宋体"/>
                <w:b/>
                <w:bCs w:val="0"/>
                <w:sz w:val="30"/>
                <w:szCs w:val="30"/>
                <w:highlight w:val="none"/>
              </w:rPr>
              <w:t>联系电话：</w:t>
            </w:r>
            <w:r>
              <w:rPr>
                <w:rFonts w:hint="eastAsia" w:ascii="宋体" w:hAnsi="宋体"/>
                <w:b/>
                <w:bCs w:val="0"/>
                <w:sz w:val="30"/>
                <w:szCs w:val="30"/>
                <w:highlight w:val="none"/>
                <w:lang w:eastAsia="zh-CN"/>
              </w:rPr>
              <w:t>0577-63709258，13634289168</w:t>
            </w:r>
          </w:p>
          <w:p>
            <w:pPr>
              <w:widowControl/>
              <w:snapToGrid w:val="0"/>
              <w:spacing w:line="440" w:lineRule="exact"/>
              <w:jc w:val="center"/>
              <w:rPr>
                <w:b/>
                <w:color w:val="000000"/>
                <w:sz w:val="30"/>
                <w:highlight w:val="none"/>
              </w:rPr>
            </w:pPr>
          </w:p>
          <w:p>
            <w:pPr>
              <w:widowControl/>
              <w:snapToGrid w:val="0"/>
              <w:spacing w:line="440" w:lineRule="exact"/>
              <w:jc w:val="center"/>
              <w:rPr>
                <w:b/>
                <w:color w:val="000000"/>
                <w:sz w:val="30"/>
                <w:highlight w:val="none"/>
              </w:rPr>
            </w:pPr>
          </w:p>
          <w:p>
            <w:pPr>
              <w:widowControl/>
              <w:snapToGrid w:val="0"/>
              <w:jc w:val="center"/>
              <w:rPr>
                <w:b/>
                <w:color w:val="000000"/>
                <w:sz w:val="30"/>
                <w:highlight w:val="none"/>
              </w:rPr>
            </w:pPr>
          </w:p>
          <w:p>
            <w:pPr>
              <w:widowControl/>
              <w:snapToGrid w:val="0"/>
              <w:jc w:val="left"/>
              <w:rPr>
                <w:color w:val="000000"/>
                <w:highlight w:val="none"/>
              </w:rPr>
            </w:pPr>
          </w:p>
          <w:p>
            <w:pPr>
              <w:widowControl/>
              <w:snapToGrid w:val="0"/>
              <w:jc w:val="left"/>
              <w:rPr>
                <w:color w:val="000000"/>
                <w:highlight w:val="none"/>
              </w:rPr>
            </w:pPr>
          </w:p>
          <w:p>
            <w:pPr>
              <w:widowControl/>
              <w:snapToGrid w:val="0"/>
              <w:spacing w:line="460" w:lineRule="atLeast"/>
              <w:jc w:val="center"/>
              <w:rPr>
                <w:b/>
                <w:color w:val="000000"/>
                <w:sz w:val="84"/>
                <w:highlight w:val="none"/>
              </w:rPr>
            </w:pPr>
            <w:r>
              <w:rPr>
                <w:b/>
                <w:color w:val="000000"/>
                <w:sz w:val="30"/>
                <w:highlight w:val="none"/>
              </w:rPr>
              <w:t>二</w:t>
            </w:r>
            <w:r>
              <w:rPr>
                <w:rFonts w:hint="eastAsia"/>
                <w:b/>
                <w:color w:val="000000"/>
                <w:sz w:val="30"/>
                <w:highlight w:val="none"/>
              </w:rPr>
              <w:t>零二</w:t>
            </w:r>
            <w:r>
              <w:rPr>
                <w:rFonts w:hint="eastAsia"/>
                <w:b/>
                <w:color w:val="000000"/>
                <w:sz w:val="30"/>
                <w:highlight w:val="none"/>
                <w:lang w:val="en-US" w:eastAsia="zh-CN"/>
              </w:rPr>
              <w:t>三</w:t>
            </w:r>
            <w:r>
              <w:rPr>
                <w:b/>
                <w:color w:val="000000"/>
                <w:sz w:val="30"/>
                <w:highlight w:val="none"/>
              </w:rPr>
              <w:t>年</w:t>
            </w:r>
          </w:p>
        </w:tc>
      </w:tr>
    </w:tbl>
    <w:p>
      <w:pPr>
        <w:jc w:val="center"/>
        <w:rPr>
          <w:rFonts w:ascii="宋体" w:hAnsi="宋体"/>
          <w:b/>
          <w:bCs/>
          <w:sz w:val="32"/>
          <w:szCs w:val="32"/>
          <w:highlight w:val="none"/>
        </w:rPr>
      </w:pPr>
      <w:r>
        <w:rPr>
          <w:rFonts w:hint="eastAsia" w:ascii="宋体" w:hAnsi="宋体"/>
          <w:b/>
          <w:bCs/>
          <w:sz w:val="32"/>
          <w:szCs w:val="32"/>
          <w:highlight w:val="none"/>
        </w:rPr>
        <w:t xml:space="preserve"> </w:t>
      </w:r>
    </w:p>
    <w:p>
      <w:pPr>
        <w:jc w:val="center"/>
        <w:rPr>
          <w:rFonts w:ascii="宋体" w:hAnsi="宋体" w:cs="Courier New"/>
          <w:b/>
          <w:bCs/>
          <w:sz w:val="42"/>
          <w:szCs w:val="32"/>
          <w:highlight w:val="none"/>
        </w:rPr>
      </w:pPr>
      <w:r>
        <w:rPr>
          <w:rFonts w:hint="eastAsia" w:ascii="宋体" w:hAnsi="宋体" w:cs="Courier New"/>
          <w:b/>
          <w:bCs/>
          <w:sz w:val="42"/>
          <w:szCs w:val="32"/>
          <w:highlight w:val="none"/>
        </w:rPr>
        <w:t>目    录</w:t>
      </w:r>
    </w:p>
    <w:p>
      <w:pPr>
        <w:pStyle w:val="23"/>
        <w:keepNext w:val="0"/>
        <w:keepLines w:val="0"/>
        <w:pageBreakBefore w:val="0"/>
        <w:widowControl w:val="0"/>
        <w:tabs>
          <w:tab w:val="right" w:leader="dot" w:pos="9638"/>
          <w:tab w:val="clear" w:pos="9660"/>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Style w:val="41"/>
          <w:rFonts w:hint="eastAsia" w:ascii="宋体" w:hAnsi="宋体" w:eastAsia="宋体" w:cs="宋体"/>
          <w:color w:val="auto"/>
          <w:sz w:val="24"/>
          <w:szCs w:val="24"/>
          <w:highlight w:val="none"/>
        </w:rPr>
        <w:instrText xml:space="preserve"> TOC \o "1-3" \h \z \u </w:instrText>
      </w:r>
      <w:r>
        <w:rPr>
          <w:rFonts w:hint="eastAsia" w:ascii="宋体" w:hAnsi="宋体" w:eastAsia="宋体" w:cs="宋体"/>
          <w:sz w:val="24"/>
          <w:szCs w:val="24"/>
          <w:highlight w:val="none"/>
        </w:rPr>
        <w:fldChar w:fldCharType="separate"/>
      </w:r>
    </w:p>
    <w:p>
      <w:pPr>
        <w:pStyle w:val="23"/>
        <w:keepNext w:val="0"/>
        <w:keepLines w:val="0"/>
        <w:pageBreakBefore w:val="0"/>
        <w:widowControl w:val="0"/>
        <w:tabs>
          <w:tab w:val="right" w:leader="dot" w:pos="9638"/>
          <w:tab w:val="clear" w:pos="9660"/>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_Toc8949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val="en-US" w:eastAsia="zh-CN"/>
        </w:rPr>
        <w:t>公开招标公告</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_Toc8949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3</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3"/>
        <w:keepNext w:val="0"/>
        <w:keepLines w:val="0"/>
        <w:pageBreakBefore w:val="0"/>
        <w:widowControl w:val="0"/>
        <w:tabs>
          <w:tab w:val="right" w:leader="dot" w:pos="9638"/>
          <w:tab w:val="clear" w:pos="9660"/>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_Toc25328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第一部分  投标人须知</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_Toc25328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7</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_Toc27085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投标人须知前附表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_Toc27085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7</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_Toc3836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一、 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_Toc3836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10</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_Toc1931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二、 招标文件</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_Toc1931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10</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_Toc25914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三、 投标文件</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_Toc25914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11</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_Toc14090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四、 投标</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_Toc14090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13</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_Toc32305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五、 电子化开标</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_Toc32305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13</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_Toc15206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六、 资格审查及评标</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_Toc15206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14</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_Toc12921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七、 定标及合同授予</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_Toc12921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_Toc19738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八、 询问、质疑、投诉</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_Toc19738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18</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_Toc6618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val="en-US" w:eastAsia="zh-CN"/>
        </w:rPr>
        <w:t>九</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验收</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_Toc6618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18</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_Toc18717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val="en-US" w:eastAsia="zh-CN"/>
        </w:rPr>
        <w:t>九、其他</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_Toc18717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19</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3"/>
        <w:keepNext w:val="0"/>
        <w:keepLines w:val="0"/>
        <w:pageBreakBefore w:val="0"/>
        <w:widowControl w:val="0"/>
        <w:tabs>
          <w:tab w:val="right" w:leader="dot" w:pos="9638"/>
          <w:tab w:val="clear" w:pos="9660"/>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_Toc30842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第二部分   合同条款</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_Toc30842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20</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3"/>
        <w:keepNext w:val="0"/>
        <w:keepLines w:val="0"/>
        <w:pageBreakBefore w:val="0"/>
        <w:widowControl w:val="0"/>
        <w:tabs>
          <w:tab w:val="right" w:leader="dot" w:pos="9638"/>
          <w:tab w:val="clear" w:pos="9660"/>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_Toc31204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第三部分   应提交的有关格式范例</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_Toc31204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27</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1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_Toc12883 </w:instrText>
      </w:r>
      <w:r>
        <w:rPr>
          <w:rFonts w:hint="eastAsia" w:ascii="宋体" w:hAnsi="宋体" w:eastAsia="宋体" w:cs="宋体"/>
          <w:sz w:val="24"/>
          <w:szCs w:val="24"/>
          <w:highlight w:val="none"/>
        </w:rPr>
        <w:fldChar w:fldCharType="separate"/>
      </w:r>
      <w:r>
        <w:rPr>
          <w:rFonts w:hint="eastAsia" w:ascii="宋体" w:hAnsi="宋体" w:eastAsia="宋体" w:cs="宋体"/>
          <w:bCs/>
          <w:sz w:val="24"/>
          <w:szCs w:val="24"/>
          <w:highlight w:val="none"/>
        </w:rPr>
        <w:t>资格文件</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_Toc12883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28</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1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_Toc20849 </w:instrText>
      </w:r>
      <w:r>
        <w:rPr>
          <w:rFonts w:hint="eastAsia" w:ascii="宋体" w:hAnsi="宋体" w:eastAsia="宋体" w:cs="宋体"/>
          <w:sz w:val="24"/>
          <w:szCs w:val="24"/>
          <w:highlight w:val="none"/>
        </w:rPr>
        <w:fldChar w:fldCharType="separate"/>
      </w:r>
      <w:r>
        <w:rPr>
          <w:rFonts w:hint="eastAsia" w:ascii="宋体" w:hAnsi="宋体" w:eastAsia="宋体" w:cs="宋体"/>
          <w:bCs/>
          <w:sz w:val="24"/>
          <w:szCs w:val="24"/>
          <w:highlight w:val="none"/>
        </w:rPr>
        <w:t>报价文件</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_Toc20849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31</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1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_Toc24457 </w:instrText>
      </w:r>
      <w:r>
        <w:rPr>
          <w:rFonts w:hint="eastAsia" w:ascii="宋体" w:hAnsi="宋体" w:eastAsia="宋体" w:cs="宋体"/>
          <w:sz w:val="24"/>
          <w:szCs w:val="24"/>
          <w:highlight w:val="none"/>
        </w:rPr>
        <w:fldChar w:fldCharType="separate"/>
      </w:r>
      <w:r>
        <w:rPr>
          <w:rFonts w:hint="eastAsia" w:ascii="宋体" w:hAnsi="宋体" w:eastAsia="宋体" w:cs="宋体"/>
          <w:bCs/>
          <w:sz w:val="24"/>
          <w:szCs w:val="24"/>
          <w:highlight w:val="none"/>
        </w:rPr>
        <w:t>商务技术文件</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_Toc24457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33</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16"/>
        <w:keepNext w:val="0"/>
        <w:keepLines w:val="0"/>
        <w:pageBreakBefore w:val="0"/>
        <w:widowControl w:val="0"/>
        <w:tabs>
          <w:tab w:val="right" w:leader="dot" w:pos="9638"/>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_Toc25813 </w:instrText>
      </w:r>
      <w:r>
        <w:rPr>
          <w:rFonts w:hint="eastAsia" w:ascii="宋体" w:hAnsi="宋体" w:eastAsia="宋体" w:cs="宋体"/>
          <w:sz w:val="24"/>
          <w:szCs w:val="24"/>
          <w:highlight w:val="none"/>
        </w:rPr>
        <w:fldChar w:fldCharType="separate"/>
      </w:r>
      <w:r>
        <w:rPr>
          <w:rFonts w:hint="eastAsia" w:ascii="宋体" w:hAnsi="宋体" w:eastAsia="宋体" w:cs="宋体"/>
          <w:bCs/>
          <w:sz w:val="24"/>
          <w:szCs w:val="24"/>
          <w:highlight w:val="none"/>
        </w:rPr>
        <w:t>封面</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_Toc25813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42</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3"/>
        <w:keepNext w:val="0"/>
        <w:keepLines w:val="0"/>
        <w:pageBreakBefore w:val="0"/>
        <w:widowControl w:val="0"/>
        <w:tabs>
          <w:tab w:val="right" w:leader="dot" w:pos="9638"/>
          <w:tab w:val="clear" w:pos="9660"/>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_Toc12388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第四部分   采购内容及要求</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_Toc12388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43</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3"/>
        <w:keepNext w:val="0"/>
        <w:keepLines w:val="0"/>
        <w:pageBreakBefore w:val="0"/>
        <w:widowControl w:val="0"/>
        <w:tabs>
          <w:tab w:val="right" w:leader="dot" w:pos="9638"/>
          <w:tab w:val="clear" w:pos="9660"/>
        </w:tabs>
        <w:kinsoku/>
        <w:wordWrap/>
        <w:overflowPunct/>
        <w:topLinePunct w:val="0"/>
        <w:autoSpaceDE/>
        <w:autoSpaceDN/>
        <w:bidi w:val="0"/>
        <w:adjustRightInd/>
        <w:snapToGrid/>
        <w:spacing w:line="440" w:lineRule="exact"/>
        <w:textAlignment w:val="auto"/>
        <w:rPr>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_Toc24831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第五部分   评标原则及办法</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_Toc24831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81</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23"/>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end"/>
      </w:r>
    </w:p>
    <w:p>
      <w:pPr>
        <w:pStyle w:val="2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cs="Courier New"/>
          <w:b/>
          <w:bCs/>
          <w:sz w:val="28"/>
          <w:szCs w:val="30"/>
          <w:highlight w:val="none"/>
        </w:rPr>
      </w:pPr>
      <w:r>
        <w:rPr>
          <w:rFonts w:ascii="宋体" w:hAnsi="宋体" w:cs="Courier New"/>
          <w:b/>
          <w:bCs/>
          <w:sz w:val="28"/>
          <w:szCs w:val="30"/>
          <w:highlight w:val="none"/>
        </w:rPr>
        <w:t>注：</w:t>
      </w:r>
      <w:r>
        <w:rPr>
          <w:rFonts w:hint="eastAsia" w:ascii="宋体" w:hAnsi="宋体" w:cs="Courier New"/>
          <w:b/>
          <w:bCs/>
          <w:sz w:val="28"/>
          <w:szCs w:val="30"/>
          <w:highlight w:val="none"/>
        </w:rPr>
        <w:t>请投标人</w:t>
      </w:r>
      <w:r>
        <w:rPr>
          <w:rFonts w:ascii="宋体" w:hAnsi="宋体" w:cs="Courier New"/>
          <w:b/>
          <w:bCs/>
          <w:sz w:val="28"/>
          <w:szCs w:val="30"/>
          <w:highlight w:val="none"/>
        </w:rPr>
        <w:t>认真查看招标文件中的每一个条款及要求，因误读招标文件而造成的后果，</w:t>
      </w:r>
      <w:r>
        <w:rPr>
          <w:rFonts w:hint="eastAsia" w:ascii="宋体" w:hAnsi="宋体" w:cs="Courier New"/>
          <w:b/>
          <w:bCs/>
          <w:sz w:val="28"/>
          <w:szCs w:val="30"/>
          <w:highlight w:val="none"/>
          <w:lang w:eastAsia="zh-CN"/>
        </w:rPr>
        <w:t>甲方</w:t>
      </w:r>
      <w:r>
        <w:rPr>
          <w:rFonts w:ascii="宋体" w:hAnsi="宋体" w:cs="Courier New"/>
          <w:b/>
          <w:bCs/>
          <w:sz w:val="28"/>
          <w:szCs w:val="30"/>
          <w:highlight w:val="none"/>
        </w:rPr>
        <w:t>概不负责。</w:t>
      </w:r>
      <w:bookmarkStart w:id="4" w:name="_Toc219538611"/>
      <w:bookmarkStart w:id="5" w:name="_Toc227056844"/>
      <w:bookmarkStart w:id="6" w:name="_Toc216667818"/>
      <w:bookmarkStart w:id="7" w:name="_Toc218041724"/>
      <w:bookmarkStart w:id="8" w:name="_Toc223717602"/>
      <w:bookmarkStart w:id="9" w:name="_Toc223933219"/>
      <w:bookmarkStart w:id="10" w:name="_Toc227057031"/>
      <w:bookmarkStart w:id="11" w:name="_Toc227489885"/>
      <w:bookmarkStart w:id="12" w:name="_Toc217460683"/>
      <w:bookmarkStart w:id="13" w:name="_Toc215415528"/>
    </w:p>
    <w:p>
      <w:pPr>
        <w:widowControl/>
        <w:jc w:val="left"/>
        <w:rPr>
          <w:rFonts w:ascii="宋体" w:hAnsi="宋体" w:cs="Courier New"/>
          <w:b/>
          <w:bCs/>
          <w:sz w:val="36"/>
          <w:szCs w:val="36"/>
          <w:highlight w:val="none"/>
          <w:lang w:val="zh-CN"/>
        </w:rPr>
      </w:pPr>
      <w:r>
        <w:rPr>
          <w:rFonts w:ascii="宋体" w:hAnsi="宋体" w:cs="Courier New"/>
          <w:sz w:val="36"/>
          <w:szCs w:val="36"/>
          <w:highlight w:val="none"/>
        </w:rPr>
        <w:br w:type="page"/>
      </w:r>
    </w:p>
    <w:bookmarkEnd w:id="4"/>
    <w:bookmarkEnd w:id="5"/>
    <w:bookmarkEnd w:id="6"/>
    <w:bookmarkEnd w:id="7"/>
    <w:bookmarkEnd w:id="8"/>
    <w:bookmarkEnd w:id="9"/>
    <w:bookmarkEnd w:id="10"/>
    <w:bookmarkEnd w:id="11"/>
    <w:bookmarkEnd w:id="12"/>
    <w:bookmarkEnd w:id="13"/>
    <w:p>
      <w:pPr>
        <w:pStyle w:val="5"/>
        <w:rPr>
          <w:rFonts w:hint="eastAsia" w:ascii="宋体" w:hAnsi="宋体" w:eastAsia="宋体"/>
          <w:b w:val="0"/>
          <w:sz w:val="36"/>
          <w:szCs w:val="36"/>
          <w:highlight w:val="none"/>
          <w:lang w:val="en-US" w:eastAsia="zh-CN"/>
        </w:rPr>
      </w:pPr>
      <w:bookmarkStart w:id="14" w:name="_Toc8949"/>
      <w:bookmarkStart w:id="15" w:name="_Toc10026"/>
      <w:r>
        <w:rPr>
          <w:rFonts w:hint="eastAsia" w:ascii="宋体" w:hAnsi="宋体" w:eastAsia="宋体"/>
          <w:b w:val="0"/>
          <w:sz w:val="36"/>
          <w:szCs w:val="36"/>
          <w:highlight w:val="none"/>
          <w:lang w:val="en-US" w:eastAsia="zh-CN"/>
        </w:rPr>
        <w:t>温州众晨项目管理有限公司关于2023年平阳县生态环境监测设备采购及安装的公开招标公告</w:t>
      </w:r>
      <w:bookmarkEnd w:id="14"/>
      <w:bookmarkEnd w:id="15"/>
    </w:p>
    <w:p>
      <w:pPr>
        <w:jc w:val="center"/>
        <w:rPr>
          <w:rFonts w:hint="eastAsia" w:eastAsia="宋体"/>
          <w:highlight w:val="none"/>
          <w:lang w:eastAsia="zh-CN"/>
        </w:rPr>
      </w:pP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线上电子招投标</w:t>
      </w:r>
      <w:r>
        <w:rPr>
          <w:rFonts w:hint="eastAsia" w:ascii="宋体" w:hAnsi="宋体" w:eastAsia="宋体" w:cs="宋体"/>
          <w:b/>
          <w:bCs/>
          <w:color w:val="auto"/>
          <w:sz w:val="28"/>
          <w:szCs w:val="28"/>
          <w:highlight w:val="none"/>
          <w:lang w:eastAsia="zh-CN"/>
        </w:rPr>
        <w:t>）</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b/>
          <w:color w:val="auto"/>
          <w:sz w:val="22"/>
          <w:szCs w:val="22"/>
          <w:highlight w:val="none"/>
          <w:shd w:val="clear" w:color="auto" w:fill="FFFFFF"/>
        </w:rPr>
      </w:pPr>
      <w:bookmarkStart w:id="16" w:name="_Hlk39133387"/>
      <w:r>
        <w:rPr>
          <w:rFonts w:hint="eastAsia" w:ascii="宋体" w:hAnsi="宋体" w:eastAsia="宋体" w:cs="宋体"/>
          <w:b/>
          <w:color w:val="auto"/>
          <w:sz w:val="22"/>
          <w:szCs w:val="22"/>
          <w:highlight w:val="none"/>
          <w:shd w:val="clear" w:color="auto" w:fill="FFFFFF"/>
        </w:rPr>
        <w:t>公告日期：2023年9月27日</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eastAsia" w:ascii="宋体" w:hAnsi="宋体" w:eastAsia="宋体" w:cs="宋体"/>
          <w:color w:val="auto"/>
          <w:sz w:val="18"/>
          <w:szCs w:val="18"/>
          <w:highlight w:val="none"/>
        </w:rPr>
      </w:pPr>
      <w:r>
        <w:rPr>
          <w:rFonts w:hint="eastAsia" w:ascii="宋体" w:hAnsi="宋体" w:eastAsia="宋体" w:cs="宋体"/>
          <w:b/>
          <w:color w:val="auto"/>
          <w:sz w:val="22"/>
          <w:szCs w:val="22"/>
          <w:highlight w:val="none"/>
          <w:shd w:val="clear" w:color="auto" w:fill="FFFFFF"/>
        </w:rPr>
        <w:t>项目概况</w:t>
      </w:r>
    </w:p>
    <w:p>
      <w:pPr>
        <w:pStyle w:val="29"/>
        <w:keepNext w:val="0"/>
        <w:keepLines w:val="0"/>
        <w:pageBreakBefore w:val="0"/>
        <w:widowControl/>
        <w:suppressLineNumbers w:val="0"/>
        <w:shd w:val="clear" w:color="auto" w:fill="auto"/>
        <w:kinsoku/>
        <w:wordWrap w:val="0"/>
        <w:overflowPunct/>
        <w:topLinePunct/>
        <w:autoSpaceDE/>
        <w:autoSpaceDN/>
        <w:bidi w:val="0"/>
        <w:adjustRightInd/>
        <w:snapToGrid/>
        <w:spacing w:before="0" w:beforeAutospacing="0" w:after="0" w:afterAutospacing="0" w:line="440" w:lineRule="exact"/>
        <w:ind w:left="0" w:right="0" w:firstLine="442"/>
        <w:jc w:val="left"/>
        <w:textAlignment w:val="auto"/>
        <w:rPr>
          <w:rFonts w:hint="eastAsia" w:ascii="宋体" w:hAnsi="宋体" w:eastAsia="宋体" w:cs="宋体"/>
          <w:color w:val="auto"/>
          <w:sz w:val="18"/>
          <w:szCs w:val="18"/>
          <w:highlight w:val="none"/>
        </w:rPr>
      </w:pPr>
      <w:r>
        <w:rPr>
          <w:rFonts w:hint="eastAsia" w:cs="宋体"/>
          <w:color w:val="auto"/>
          <w:sz w:val="22"/>
          <w:szCs w:val="22"/>
          <w:highlight w:val="none"/>
          <w:shd w:val="clear" w:color="auto" w:fill="FFFFFF"/>
          <w:lang w:eastAsia="zh-CN"/>
        </w:rPr>
        <w:t>2023年平阳县生态环境监测设备采购及安装</w:t>
      </w:r>
      <w:r>
        <w:rPr>
          <w:rFonts w:hint="eastAsia" w:ascii="宋体" w:hAnsi="宋体" w:eastAsia="宋体" w:cs="宋体"/>
          <w:color w:val="auto"/>
          <w:sz w:val="22"/>
          <w:szCs w:val="22"/>
          <w:highlight w:val="none"/>
          <w:shd w:val="clear" w:color="auto" w:fill="FFFFFF"/>
        </w:rPr>
        <w:t>项目的潜在投标人应在供应商登录政采云平台https</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//www.zcygov.cn/在线申请获取采购文</w:t>
      </w:r>
      <w:bookmarkStart w:id="343" w:name="_GoBack"/>
      <w:bookmarkEnd w:id="343"/>
      <w:r>
        <w:rPr>
          <w:rFonts w:hint="eastAsia" w:ascii="宋体" w:hAnsi="宋体" w:eastAsia="宋体" w:cs="宋体"/>
          <w:color w:val="auto"/>
          <w:sz w:val="22"/>
          <w:szCs w:val="22"/>
          <w:highlight w:val="none"/>
          <w:shd w:val="clear" w:color="auto" w:fill="FFFFFF"/>
        </w:rPr>
        <w:t>件（进入“项目采购”应用，在获取采购文件菜单中选择项目，申请获取采购文件）获取</w:t>
      </w:r>
      <w:r>
        <w:rPr>
          <w:rFonts w:hint="eastAsia" w:ascii="宋体" w:hAnsi="宋体" w:eastAsia="宋体" w:cs="宋体"/>
          <w:color w:val="auto"/>
          <w:sz w:val="22"/>
          <w:szCs w:val="22"/>
          <w:highlight w:val="none"/>
          <w:shd w:val="clear" w:color="auto" w:fill="FFFFFF"/>
          <w:lang w:eastAsia="zh-CN"/>
        </w:rPr>
        <w:t>采购文件</w:t>
      </w:r>
      <w:r>
        <w:rPr>
          <w:rFonts w:hint="eastAsia" w:ascii="宋体" w:hAnsi="宋体" w:eastAsia="宋体" w:cs="宋体"/>
          <w:color w:val="auto"/>
          <w:sz w:val="22"/>
          <w:szCs w:val="22"/>
          <w:highlight w:val="none"/>
          <w:shd w:val="clear" w:color="auto" w:fill="FFFFFF"/>
        </w:rPr>
        <w:t>，并于</w:t>
      </w:r>
      <w:r>
        <w:rPr>
          <w:rFonts w:hint="eastAsia" w:cs="宋体"/>
          <w:color w:val="auto"/>
          <w:sz w:val="22"/>
          <w:szCs w:val="22"/>
          <w:highlight w:val="none"/>
          <w:shd w:val="clear" w:color="auto" w:fill="FFFFFF"/>
          <w:lang w:eastAsia="zh-CN"/>
        </w:rPr>
        <w:t>2023年10月19日 09：30</w:t>
      </w:r>
      <w:r>
        <w:rPr>
          <w:rFonts w:hint="eastAsia" w:ascii="宋体" w:hAnsi="宋体" w:eastAsia="宋体" w:cs="宋体"/>
          <w:color w:val="auto"/>
          <w:sz w:val="22"/>
          <w:szCs w:val="22"/>
          <w:highlight w:val="none"/>
          <w:shd w:val="clear" w:color="auto" w:fill="FFFFFF"/>
        </w:rPr>
        <w:t>（北京时间）前递交投标文件。</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宋体" w:hAnsi="宋体" w:eastAsia="宋体" w:cs="宋体"/>
          <w:color w:val="auto"/>
          <w:sz w:val="18"/>
          <w:szCs w:val="18"/>
          <w:highlight w:val="none"/>
        </w:rPr>
      </w:pPr>
      <w:r>
        <w:rPr>
          <w:rFonts w:hint="eastAsia" w:ascii="宋体" w:hAnsi="宋体" w:eastAsia="宋体" w:cs="宋体"/>
          <w:b/>
          <w:color w:val="auto"/>
          <w:sz w:val="22"/>
          <w:szCs w:val="22"/>
          <w:highlight w:val="none"/>
          <w:shd w:val="clear" w:color="auto" w:fill="FFFFFF"/>
        </w:rPr>
        <w:t>一、项目基本情况</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22"/>
          <w:szCs w:val="22"/>
          <w:highlight w:val="none"/>
          <w:shd w:val="clear" w:color="auto" w:fill="FFFFFF"/>
        </w:rPr>
        <w:t>项目编号：</w:t>
      </w:r>
      <w:r>
        <w:rPr>
          <w:rFonts w:hint="eastAsia" w:cs="楷体"/>
          <w:kern w:val="0"/>
          <w:sz w:val="22"/>
          <w:szCs w:val="22"/>
          <w:highlight w:val="none"/>
          <w:lang w:eastAsia="zh-CN"/>
        </w:rPr>
        <w:t>PYCG230927094</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18"/>
          <w:szCs w:val="18"/>
          <w:highlight w:val="none"/>
          <w:u w:val="none"/>
          <w:lang w:eastAsia="zh-CN"/>
        </w:rPr>
      </w:pPr>
      <w:r>
        <w:rPr>
          <w:rFonts w:hint="eastAsia" w:ascii="宋体" w:hAnsi="宋体" w:eastAsia="宋体" w:cs="宋体"/>
          <w:color w:val="auto"/>
          <w:sz w:val="22"/>
          <w:szCs w:val="22"/>
          <w:highlight w:val="none"/>
          <w:shd w:val="clear" w:color="auto" w:fill="FFFFFF"/>
        </w:rPr>
        <w:t>项目名称：</w:t>
      </w:r>
      <w:r>
        <w:rPr>
          <w:rFonts w:hint="eastAsia" w:cs="楷体"/>
          <w:kern w:val="0"/>
          <w:sz w:val="22"/>
          <w:szCs w:val="22"/>
          <w:highlight w:val="none"/>
          <w:lang w:eastAsia="zh-CN"/>
        </w:rPr>
        <w:t>2023年平阳县生态环境监测设备采购及安装</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lang w:val="en-US" w:eastAsia="zh-CN"/>
        </w:rPr>
        <w:t>招标</w:t>
      </w:r>
      <w:r>
        <w:rPr>
          <w:rFonts w:hint="eastAsia" w:ascii="宋体" w:hAnsi="宋体" w:eastAsia="宋体" w:cs="宋体"/>
          <w:color w:val="auto"/>
          <w:sz w:val="22"/>
          <w:szCs w:val="22"/>
          <w:highlight w:val="none"/>
          <w:shd w:val="clear" w:color="auto" w:fill="FFFFFF"/>
          <w:lang w:val="en-US" w:eastAsia="zh-CN"/>
        </w:rPr>
        <w:t>方式：</w:t>
      </w:r>
      <w:r>
        <w:rPr>
          <w:rFonts w:hint="eastAsia" w:ascii="宋体" w:hAnsi="宋体" w:cs="宋体"/>
          <w:color w:val="auto"/>
          <w:sz w:val="22"/>
          <w:szCs w:val="22"/>
          <w:highlight w:val="none"/>
          <w:shd w:val="clear" w:color="auto" w:fill="FFFFFF"/>
          <w:lang w:val="en-US" w:eastAsia="zh-CN"/>
        </w:rPr>
        <w:t>公开招标</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22"/>
          <w:szCs w:val="22"/>
          <w:highlight w:val="none"/>
          <w:shd w:val="clear" w:color="auto" w:fill="FFFFFF"/>
        </w:rPr>
        <w:t>预算金额</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元</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t>
      </w:r>
      <w:r>
        <w:rPr>
          <w:rFonts w:hint="eastAsia" w:ascii="宋体" w:hAnsi="宋体" w:cs="宋体"/>
          <w:color w:val="auto"/>
          <w:sz w:val="22"/>
          <w:szCs w:val="22"/>
          <w:highlight w:val="none"/>
          <w:shd w:val="clear" w:color="auto" w:fill="FFFFFF"/>
          <w:lang w:val="en-US" w:eastAsia="zh-CN"/>
        </w:rPr>
        <w:t>10450000</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22"/>
          <w:szCs w:val="22"/>
          <w:highlight w:val="none"/>
          <w:shd w:val="clear" w:color="auto" w:fill="FFFFFF"/>
        </w:rPr>
        <w:t>最高限价</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元</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t>
      </w:r>
      <w:r>
        <w:rPr>
          <w:rFonts w:hint="eastAsia" w:cs="宋体"/>
          <w:color w:val="auto"/>
          <w:sz w:val="22"/>
          <w:szCs w:val="22"/>
          <w:highlight w:val="none"/>
          <w:shd w:val="clear" w:color="auto" w:fill="FFFFFF"/>
          <w:lang w:val="en-US" w:eastAsia="zh-CN"/>
        </w:rPr>
        <w:t>/</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default"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rPr>
        <w:t>采购需求：详见</w:t>
      </w:r>
      <w:r>
        <w:rPr>
          <w:rFonts w:hint="eastAsia" w:ascii="宋体" w:hAnsi="宋体" w:cs="宋体"/>
          <w:color w:val="auto"/>
          <w:sz w:val="22"/>
          <w:szCs w:val="22"/>
          <w:highlight w:val="none"/>
          <w:shd w:val="clear" w:color="auto" w:fill="FFFFFF"/>
          <w:lang w:val="en-US" w:eastAsia="zh-CN"/>
        </w:rPr>
        <w:t>招标</w:t>
      </w:r>
      <w:r>
        <w:rPr>
          <w:rFonts w:hint="eastAsia" w:ascii="宋体" w:hAnsi="宋体" w:eastAsia="宋体" w:cs="宋体"/>
          <w:color w:val="auto"/>
          <w:sz w:val="22"/>
          <w:szCs w:val="22"/>
          <w:highlight w:val="none"/>
          <w:shd w:val="clear" w:color="auto" w:fill="FFFFFF"/>
          <w:lang w:eastAsia="zh-CN"/>
        </w:rPr>
        <w:t>文件</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1541" w:leftChars="210" w:right="0" w:hanging="1100" w:hangingChars="500"/>
        <w:jc w:val="left"/>
        <w:textAlignment w:val="auto"/>
        <w:rPr>
          <w:rFonts w:hint="eastAsia"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lang w:val="en-US" w:eastAsia="zh-CN"/>
        </w:rPr>
        <w:t>标项一</w:t>
      </w:r>
      <w:r>
        <w:rPr>
          <w:rFonts w:hint="eastAsia" w:ascii="宋体" w:hAnsi="宋体" w:cs="宋体"/>
          <w:color w:val="auto"/>
          <w:sz w:val="22"/>
          <w:szCs w:val="22"/>
          <w:highlight w:val="none"/>
          <w:shd w:val="clear" w:color="auto" w:fill="FFFFFF"/>
          <w:lang w:val="en-US" w:eastAsia="zh-CN"/>
        </w:rPr>
        <w:t>：平阳县万全镇、腾蛟镇、南雁镇空气质量自动监测站设备采购及安装</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1541" w:leftChars="210" w:right="0" w:hanging="1100" w:hangingChars="50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lang w:val="en-US" w:eastAsia="zh-CN"/>
        </w:rPr>
        <w:t>数量</w:t>
      </w:r>
      <w:r>
        <w:rPr>
          <w:rFonts w:hint="eastAsia" w:ascii="宋体" w:hAnsi="宋体" w:cs="宋体"/>
          <w:color w:val="auto"/>
          <w:sz w:val="22"/>
          <w:szCs w:val="22"/>
          <w:highlight w:val="none"/>
          <w:shd w:val="clear" w:color="auto" w:fill="FFFFFF"/>
          <w:lang w:val="en-US" w:eastAsia="zh-CN"/>
        </w:rPr>
        <w:t>：不限</w:t>
      </w:r>
      <w:r>
        <w:rPr>
          <w:rFonts w:hint="eastAsia" w:ascii="宋体" w:hAnsi="宋体" w:eastAsia="宋体" w:cs="宋体"/>
          <w:color w:val="auto"/>
          <w:sz w:val="22"/>
          <w:szCs w:val="22"/>
          <w:highlight w:val="none"/>
          <w:shd w:val="clear" w:color="auto" w:fill="FFFFFF"/>
        </w:rPr>
        <w:t xml:space="preserve"> </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default" w:ascii="宋体" w:hAnsi="宋体" w:eastAsia="宋体" w:cs="宋体"/>
          <w:color w:val="auto"/>
          <w:sz w:val="22"/>
          <w:szCs w:val="22"/>
          <w:highlight w:val="none"/>
          <w:shd w:val="clear" w:color="auto" w:fill="FFFFFF"/>
          <w:lang w:val="en-US"/>
        </w:rPr>
      </w:pPr>
      <w:r>
        <w:rPr>
          <w:rFonts w:hint="eastAsia" w:ascii="宋体" w:hAnsi="宋体" w:eastAsia="宋体" w:cs="宋体"/>
          <w:color w:val="auto"/>
          <w:sz w:val="22"/>
          <w:szCs w:val="22"/>
          <w:highlight w:val="none"/>
          <w:shd w:val="clear" w:color="auto" w:fill="FFFFFF"/>
        </w:rPr>
        <w:t>预算金额（元）</w:t>
      </w:r>
      <w:r>
        <w:rPr>
          <w:rFonts w:hint="eastAsia" w:ascii="宋体" w:hAnsi="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val="en-US" w:eastAsia="zh-CN"/>
        </w:rPr>
        <w:t>4800000</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default"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lang w:val="en-US" w:eastAsia="zh-CN"/>
        </w:rPr>
        <w:t>单位：项</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简要规格描述或项目基本概况介绍、用途：详见</w:t>
      </w:r>
      <w:r>
        <w:rPr>
          <w:rFonts w:hint="eastAsia" w:ascii="宋体" w:hAnsi="宋体" w:cs="宋体"/>
          <w:color w:val="auto"/>
          <w:sz w:val="22"/>
          <w:szCs w:val="22"/>
          <w:highlight w:val="none"/>
          <w:shd w:val="clear" w:color="auto" w:fill="FFFFFF"/>
          <w:lang w:val="en-US" w:eastAsia="zh-CN"/>
        </w:rPr>
        <w:t>招标</w:t>
      </w:r>
      <w:r>
        <w:rPr>
          <w:rFonts w:hint="eastAsia" w:ascii="宋体" w:hAnsi="宋体" w:eastAsia="宋体" w:cs="宋体"/>
          <w:color w:val="auto"/>
          <w:sz w:val="22"/>
          <w:szCs w:val="22"/>
          <w:highlight w:val="none"/>
          <w:shd w:val="clear" w:color="auto" w:fill="FFFFFF"/>
          <w:lang w:eastAsia="zh-CN"/>
        </w:rPr>
        <w:t>文件</w:t>
      </w:r>
      <w:r>
        <w:rPr>
          <w:rFonts w:hint="eastAsia" w:ascii="宋体" w:hAnsi="宋体" w:eastAsia="宋体" w:cs="宋体"/>
          <w:color w:val="auto"/>
          <w:sz w:val="22"/>
          <w:szCs w:val="22"/>
          <w:highlight w:val="none"/>
          <w:shd w:val="clear" w:color="auto" w:fill="FFFFFF"/>
        </w:rPr>
        <w:t xml:space="preserve"> </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1541" w:leftChars="210" w:right="0" w:hanging="1100" w:hangingChars="500"/>
        <w:jc w:val="left"/>
        <w:textAlignment w:val="auto"/>
        <w:rPr>
          <w:rFonts w:hint="eastAsia"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rPr>
        <w:t>备注：</w:t>
      </w:r>
      <w:r>
        <w:rPr>
          <w:rFonts w:hint="eastAsia" w:ascii="宋体" w:hAnsi="宋体" w:eastAsia="宋体" w:cs="宋体"/>
          <w:color w:val="auto"/>
          <w:sz w:val="22"/>
          <w:szCs w:val="22"/>
          <w:highlight w:val="none"/>
          <w:shd w:val="clear" w:color="auto" w:fill="FFFFFF"/>
          <w:lang w:val="en-US" w:eastAsia="zh-CN"/>
        </w:rPr>
        <w:t>无</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1541" w:leftChars="210" w:right="0" w:hanging="1100" w:hangingChars="500"/>
        <w:jc w:val="left"/>
        <w:textAlignment w:val="auto"/>
        <w:rPr>
          <w:rFonts w:hint="eastAsia"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lang w:val="en-US" w:eastAsia="zh-CN"/>
        </w:rPr>
        <w:t>标项</w:t>
      </w:r>
      <w:r>
        <w:rPr>
          <w:rFonts w:hint="eastAsia" w:ascii="宋体" w:hAnsi="宋体" w:cs="宋体"/>
          <w:color w:val="auto"/>
          <w:sz w:val="22"/>
          <w:szCs w:val="22"/>
          <w:highlight w:val="none"/>
          <w:shd w:val="clear" w:color="auto" w:fill="FFFFFF"/>
          <w:lang w:val="en-US" w:eastAsia="zh-CN"/>
        </w:rPr>
        <w:t>二：平阳县工业园区VOCs自动站监测设备更新及调整采购</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1541" w:leftChars="210" w:right="0" w:hanging="1100" w:hangingChars="50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lang w:val="en-US" w:eastAsia="zh-CN"/>
        </w:rPr>
        <w:t>数量</w:t>
      </w:r>
      <w:r>
        <w:rPr>
          <w:rFonts w:hint="eastAsia" w:ascii="宋体" w:hAnsi="宋体" w:cs="宋体"/>
          <w:color w:val="auto"/>
          <w:sz w:val="22"/>
          <w:szCs w:val="22"/>
          <w:highlight w:val="none"/>
          <w:shd w:val="clear" w:color="auto" w:fill="FFFFFF"/>
          <w:lang w:val="en-US" w:eastAsia="zh-CN"/>
        </w:rPr>
        <w:t>：不限</w:t>
      </w:r>
      <w:r>
        <w:rPr>
          <w:rFonts w:hint="eastAsia" w:ascii="宋体" w:hAnsi="宋体" w:eastAsia="宋体" w:cs="宋体"/>
          <w:color w:val="auto"/>
          <w:sz w:val="22"/>
          <w:szCs w:val="22"/>
          <w:highlight w:val="none"/>
          <w:shd w:val="clear" w:color="auto" w:fill="FFFFFF"/>
        </w:rPr>
        <w:t xml:space="preserve"> </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default" w:ascii="宋体" w:hAnsi="宋体" w:eastAsia="宋体" w:cs="宋体"/>
          <w:color w:val="auto"/>
          <w:sz w:val="22"/>
          <w:szCs w:val="22"/>
          <w:highlight w:val="none"/>
          <w:shd w:val="clear" w:color="auto" w:fill="FFFFFF"/>
          <w:lang w:val="en-US"/>
        </w:rPr>
      </w:pPr>
      <w:r>
        <w:rPr>
          <w:rFonts w:hint="eastAsia" w:ascii="宋体" w:hAnsi="宋体" w:eastAsia="宋体" w:cs="宋体"/>
          <w:color w:val="auto"/>
          <w:sz w:val="22"/>
          <w:szCs w:val="22"/>
          <w:highlight w:val="none"/>
          <w:shd w:val="clear" w:color="auto" w:fill="FFFFFF"/>
        </w:rPr>
        <w:t>预算金额（元）</w:t>
      </w:r>
      <w:r>
        <w:rPr>
          <w:rFonts w:hint="eastAsia" w:ascii="宋体" w:hAnsi="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val="en-US" w:eastAsia="zh-CN"/>
        </w:rPr>
        <w:t>2400000</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default"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lang w:val="en-US" w:eastAsia="zh-CN"/>
        </w:rPr>
        <w:t>单位：项</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简要规格描述或项目基本概况介绍、用途：详见</w:t>
      </w:r>
      <w:r>
        <w:rPr>
          <w:rFonts w:hint="eastAsia" w:ascii="宋体" w:hAnsi="宋体" w:cs="宋体"/>
          <w:color w:val="auto"/>
          <w:sz w:val="22"/>
          <w:szCs w:val="22"/>
          <w:highlight w:val="none"/>
          <w:shd w:val="clear" w:color="auto" w:fill="FFFFFF"/>
          <w:lang w:val="en-US" w:eastAsia="zh-CN"/>
        </w:rPr>
        <w:t>招标</w:t>
      </w:r>
      <w:r>
        <w:rPr>
          <w:rFonts w:hint="eastAsia" w:ascii="宋体" w:hAnsi="宋体" w:eastAsia="宋体" w:cs="宋体"/>
          <w:color w:val="auto"/>
          <w:sz w:val="22"/>
          <w:szCs w:val="22"/>
          <w:highlight w:val="none"/>
          <w:shd w:val="clear" w:color="auto" w:fill="FFFFFF"/>
          <w:lang w:eastAsia="zh-CN"/>
        </w:rPr>
        <w:t>文件</w:t>
      </w:r>
      <w:r>
        <w:rPr>
          <w:rFonts w:hint="eastAsia" w:ascii="宋体" w:hAnsi="宋体" w:eastAsia="宋体" w:cs="宋体"/>
          <w:color w:val="auto"/>
          <w:sz w:val="22"/>
          <w:szCs w:val="22"/>
          <w:highlight w:val="none"/>
          <w:shd w:val="clear" w:color="auto" w:fill="FFFFFF"/>
        </w:rPr>
        <w:t xml:space="preserve"> </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1541" w:leftChars="210" w:right="0" w:hanging="1100" w:hangingChars="500"/>
        <w:jc w:val="left"/>
        <w:textAlignment w:val="auto"/>
        <w:rPr>
          <w:rFonts w:hint="eastAsia"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rPr>
        <w:t>备注：</w:t>
      </w:r>
      <w:r>
        <w:rPr>
          <w:rFonts w:hint="eastAsia" w:ascii="宋体" w:hAnsi="宋体" w:eastAsia="宋体" w:cs="宋体"/>
          <w:color w:val="auto"/>
          <w:sz w:val="22"/>
          <w:szCs w:val="22"/>
          <w:highlight w:val="none"/>
          <w:shd w:val="clear" w:color="auto" w:fill="FFFFFF"/>
          <w:lang w:val="en-US" w:eastAsia="zh-CN"/>
        </w:rPr>
        <w:t>无</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1541" w:leftChars="210" w:right="0" w:hanging="1100" w:hangingChars="500"/>
        <w:jc w:val="left"/>
        <w:textAlignment w:val="auto"/>
        <w:rPr>
          <w:rFonts w:hint="eastAsia"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lang w:val="en-US" w:eastAsia="zh-CN"/>
        </w:rPr>
        <w:t>标项</w:t>
      </w:r>
      <w:r>
        <w:rPr>
          <w:rFonts w:hint="eastAsia" w:ascii="宋体" w:hAnsi="宋体" w:cs="宋体"/>
          <w:color w:val="auto"/>
          <w:sz w:val="22"/>
          <w:szCs w:val="22"/>
          <w:highlight w:val="none"/>
          <w:shd w:val="clear" w:color="auto" w:fill="FFFFFF"/>
          <w:lang w:val="en-US" w:eastAsia="zh-CN"/>
        </w:rPr>
        <w:t>三：平阳县下厂、东洋断面水质自动监测站设备采购及安装</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1541" w:leftChars="210" w:right="0" w:hanging="1100" w:hangingChars="50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lang w:val="en-US" w:eastAsia="zh-CN"/>
        </w:rPr>
        <w:t>数量</w:t>
      </w:r>
      <w:r>
        <w:rPr>
          <w:rFonts w:hint="eastAsia" w:ascii="宋体" w:hAnsi="宋体" w:cs="宋体"/>
          <w:color w:val="auto"/>
          <w:sz w:val="22"/>
          <w:szCs w:val="22"/>
          <w:highlight w:val="none"/>
          <w:shd w:val="clear" w:color="auto" w:fill="FFFFFF"/>
          <w:lang w:val="en-US" w:eastAsia="zh-CN"/>
        </w:rPr>
        <w:t>：不限</w:t>
      </w:r>
      <w:r>
        <w:rPr>
          <w:rFonts w:hint="eastAsia" w:ascii="宋体" w:hAnsi="宋体" w:eastAsia="宋体" w:cs="宋体"/>
          <w:color w:val="auto"/>
          <w:sz w:val="22"/>
          <w:szCs w:val="22"/>
          <w:highlight w:val="none"/>
          <w:shd w:val="clear" w:color="auto" w:fill="FFFFFF"/>
        </w:rPr>
        <w:t xml:space="preserve"> </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预算金额（元）</w:t>
      </w:r>
      <w:r>
        <w:rPr>
          <w:rFonts w:hint="eastAsia" w:ascii="宋体" w:hAnsi="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val="en-US" w:eastAsia="zh-CN"/>
        </w:rPr>
        <w:t>2</w:t>
      </w:r>
      <w:r>
        <w:rPr>
          <w:rFonts w:hint="eastAsia" w:ascii="宋体" w:hAnsi="宋体" w:cs="宋体"/>
          <w:color w:val="auto"/>
          <w:sz w:val="22"/>
          <w:szCs w:val="22"/>
          <w:highlight w:val="none"/>
          <w:shd w:val="clear" w:color="auto" w:fill="FFFFFF"/>
          <w:lang w:eastAsia="zh-CN"/>
        </w:rPr>
        <w:t>000000</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default"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lang w:val="en-US" w:eastAsia="zh-CN"/>
        </w:rPr>
        <w:t>单位：项</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简要规格描述或项目基本概况介绍、用途：详见</w:t>
      </w:r>
      <w:r>
        <w:rPr>
          <w:rFonts w:hint="eastAsia" w:ascii="宋体" w:hAnsi="宋体" w:cs="宋体"/>
          <w:color w:val="auto"/>
          <w:sz w:val="22"/>
          <w:szCs w:val="22"/>
          <w:highlight w:val="none"/>
          <w:shd w:val="clear" w:color="auto" w:fill="FFFFFF"/>
          <w:lang w:val="en-US" w:eastAsia="zh-CN"/>
        </w:rPr>
        <w:t>招标</w:t>
      </w:r>
      <w:r>
        <w:rPr>
          <w:rFonts w:hint="eastAsia" w:ascii="宋体" w:hAnsi="宋体" w:eastAsia="宋体" w:cs="宋体"/>
          <w:color w:val="auto"/>
          <w:sz w:val="22"/>
          <w:szCs w:val="22"/>
          <w:highlight w:val="none"/>
          <w:shd w:val="clear" w:color="auto" w:fill="FFFFFF"/>
          <w:lang w:eastAsia="zh-CN"/>
        </w:rPr>
        <w:t>文件</w:t>
      </w:r>
      <w:r>
        <w:rPr>
          <w:rFonts w:hint="eastAsia" w:ascii="宋体" w:hAnsi="宋体" w:eastAsia="宋体" w:cs="宋体"/>
          <w:color w:val="auto"/>
          <w:sz w:val="22"/>
          <w:szCs w:val="22"/>
          <w:highlight w:val="none"/>
          <w:shd w:val="clear" w:color="auto" w:fill="FFFFFF"/>
        </w:rPr>
        <w:t xml:space="preserve"> </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1541" w:leftChars="210" w:right="0" w:hanging="1100" w:hangingChars="500"/>
        <w:jc w:val="left"/>
        <w:textAlignment w:val="auto"/>
        <w:rPr>
          <w:rFonts w:hint="eastAsia"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rPr>
        <w:t>备注：</w:t>
      </w:r>
      <w:r>
        <w:rPr>
          <w:rFonts w:hint="eastAsia" w:ascii="宋体" w:hAnsi="宋体" w:eastAsia="宋体" w:cs="宋体"/>
          <w:color w:val="auto"/>
          <w:sz w:val="22"/>
          <w:szCs w:val="22"/>
          <w:highlight w:val="none"/>
          <w:shd w:val="clear" w:color="auto" w:fill="FFFFFF"/>
          <w:lang w:val="en-US" w:eastAsia="zh-CN"/>
        </w:rPr>
        <w:t>无</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1541" w:leftChars="210" w:right="0" w:hanging="1100" w:hangingChars="500"/>
        <w:jc w:val="left"/>
        <w:textAlignment w:val="auto"/>
        <w:rPr>
          <w:rFonts w:hint="eastAsia"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lang w:val="en-US" w:eastAsia="zh-CN"/>
        </w:rPr>
        <w:t>标项</w:t>
      </w:r>
      <w:r>
        <w:rPr>
          <w:rFonts w:hint="eastAsia" w:ascii="宋体" w:hAnsi="宋体" w:cs="宋体"/>
          <w:color w:val="auto"/>
          <w:sz w:val="22"/>
          <w:szCs w:val="22"/>
          <w:highlight w:val="none"/>
          <w:shd w:val="clear" w:color="auto" w:fill="FFFFFF"/>
          <w:lang w:val="en-US" w:eastAsia="zh-CN"/>
        </w:rPr>
        <w:t>四：平阳县埭头、江屿、小姜垟断面水质自动监测站站房及配套设施建设</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1541" w:leftChars="210" w:right="0" w:hanging="1100" w:hangingChars="50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lang w:val="en-US" w:eastAsia="zh-CN"/>
        </w:rPr>
        <w:t>数量</w:t>
      </w:r>
      <w:r>
        <w:rPr>
          <w:rFonts w:hint="eastAsia" w:ascii="宋体" w:hAnsi="宋体" w:cs="宋体"/>
          <w:color w:val="auto"/>
          <w:sz w:val="22"/>
          <w:szCs w:val="22"/>
          <w:highlight w:val="none"/>
          <w:shd w:val="clear" w:color="auto" w:fill="FFFFFF"/>
          <w:lang w:val="en-US" w:eastAsia="zh-CN"/>
        </w:rPr>
        <w:t>：不限</w:t>
      </w:r>
      <w:r>
        <w:rPr>
          <w:rFonts w:hint="eastAsia" w:ascii="宋体" w:hAnsi="宋体" w:eastAsia="宋体" w:cs="宋体"/>
          <w:color w:val="auto"/>
          <w:sz w:val="22"/>
          <w:szCs w:val="22"/>
          <w:highlight w:val="none"/>
          <w:shd w:val="clear" w:color="auto" w:fill="FFFFFF"/>
        </w:rPr>
        <w:t xml:space="preserve"> </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default" w:ascii="宋体" w:hAnsi="宋体" w:eastAsia="宋体" w:cs="宋体"/>
          <w:color w:val="auto"/>
          <w:sz w:val="22"/>
          <w:szCs w:val="22"/>
          <w:highlight w:val="none"/>
          <w:shd w:val="clear" w:color="auto" w:fill="FFFFFF"/>
          <w:lang w:val="en-US"/>
        </w:rPr>
      </w:pPr>
      <w:r>
        <w:rPr>
          <w:rFonts w:hint="eastAsia" w:ascii="宋体" w:hAnsi="宋体" w:eastAsia="宋体" w:cs="宋体"/>
          <w:color w:val="auto"/>
          <w:sz w:val="22"/>
          <w:szCs w:val="22"/>
          <w:highlight w:val="none"/>
          <w:shd w:val="clear" w:color="auto" w:fill="FFFFFF"/>
        </w:rPr>
        <w:t>预算金额（元）</w:t>
      </w:r>
      <w:r>
        <w:rPr>
          <w:rFonts w:hint="eastAsia" w:ascii="宋体" w:hAnsi="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val="en-US" w:eastAsia="zh-CN"/>
        </w:rPr>
        <w:t>1250000</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default"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lang w:val="en-US" w:eastAsia="zh-CN"/>
        </w:rPr>
        <w:t>单位：项</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简要规格描述或项目基本概况介绍、用途：详见</w:t>
      </w:r>
      <w:r>
        <w:rPr>
          <w:rFonts w:hint="eastAsia" w:ascii="宋体" w:hAnsi="宋体" w:cs="宋体"/>
          <w:color w:val="auto"/>
          <w:sz w:val="22"/>
          <w:szCs w:val="22"/>
          <w:highlight w:val="none"/>
          <w:shd w:val="clear" w:color="auto" w:fill="FFFFFF"/>
          <w:lang w:val="en-US" w:eastAsia="zh-CN"/>
        </w:rPr>
        <w:t>招标</w:t>
      </w:r>
      <w:r>
        <w:rPr>
          <w:rFonts w:hint="eastAsia" w:ascii="宋体" w:hAnsi="宋体" w:eastAsia="宋体" w:cs="宋体"/>
          <w:color w:val="auto"/>
          <w:sz w:val="22"/>
          <w:szCs w:val="22"/>
          <w:highlight w:val="none"/>
          <w:shd w:val="clear" w:color="auto" w:fill="FFFFFF"/>
          <w:lang w:eastAsia="zh-CN"/>
        </w:rPr>
        <w:t>文件</w:t>
      </w:r>
      <w:r>
        <w:rPr>
          <w:rFonts w:hint="eastAsia" w:ascii="宋体" w:hAnsi="宋体" w:eastAsia="宋体" w:cs="宋体"/>
          <w:color w:val="auto"/>
          <w:sz w:val="22"/>
          <w:szCs w:val="22"/>
          <w:highlight w:val="none"/>
          <w:shd w:val="clear" w:color="auto" w:fill="FFFFFF"/>
        </w:rPr>
        <w:t xml:space="preserve"> </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备注：</w:t>
      </w:r>
      <w:r>
        <w:rPr>
          <w:rFonts w:hint="eastAsia" w:ascii="宋体" w:hAnsi="宋体" w:eastAsia="宋体" w:cs="宋体"/>
          <w:color w:val="auto"/>
          <w:sz w:val="22"/>
          <w:szCs w:val="22"/>
          <w:highlight w:val="none"/>
          <w:shd w:val="clear" w:color="auto" w:fill="FFFFFF"/>
          <w:lang w:val="en-US" w:eastAsia="zh-CN"/>
        </w:rPr>
        <w:t>无</w:t>
      </w:r>
      <w:r>
        <w:rPr>
          <w:rFonts w:hint="eastAsia" w:ascii="宋体" w:hAnsi="宋体" w:eastAsia="宋体" w:cs="宋体"/>
          <w:color w:val="auto"/>
          <w:sz w:val="22"/>
          <w:szCs w:val="22"/>
          <w:highlight w:val="none"/>
          <w:shd w:val="clear" w:color="auto" w:fill="FFFFFF"/>
        </w:rPr>
        <w:t xml:space="preserve"> </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right="0" w:firstLine="440" w:firstLineChars="200"/>
        <w:jc w:val="left"/>
        <w:textAlignment w:val="auto"/>
        <w:rPr>
          <w:rFonts w:hint="eastAsia" w:ascii="宋体" w:hAnsi="宋体" w:eastAsia="宋体" w:cs="宋体"/>
          <w:color w:val="auto"/>
          <w:sz w:val="22"/>
          <w:szCs w:val="22"/>
          <w:highlight w:val="none"/>
          <w:shd w:val="clear" w:color="auto" w:fill="FFFFFF"/>
          <w:lang w:eastAsia="zh-CN"/>
        </w:rPr>
      </w:pPr>
      <w:r>
        <w:rPr>
          <w:rFonts w:hint="eastAsia" w:ascii="宋体" w:hAnsi="宋体" w:eastAsia="宋体" w:cs="宋体"/>
          <w:color w:val="auto"/>
          <w:sz w:val="22"/>
          <w:szCs w:val="22"/>
          <w:highlight w:val="none"/>
          <w:shd w:val="clear" w:color="auto" w:fill="FFFFFF"/>
        </w:rPr>
        <w:t>合同履约期限：标项 1、2</w:t>
      </w:r>
      <w:r>
        <w:rPr>
          <w:rFonts w:hint="eastAsia" w:ascii="宋体" w:hAnsi="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val="en-US" w:eastAsia="zh-CN"/>
        </w:rPr>
        <w:t>3、4，</w:t>
      </w:r>
      <w:r>
        <w:rPr>
          <w:rFonts w:hint="eastAsia" w:ascii="宋体" w:hAnsi="宋体" w:eastAsia="宋体" w:cs="宋体"/>
          <w:color w:val="auto"/>
          <w:sz w:val="22"/>
          <w:szCs w:val="22"/>
          <w:highlight w:val="none"/>
          <w:shd w:val="clear" w:color="auto" w:fill="FFFFFF"/>
        </w:rPr>
        <w:t>详见</w:t>
      </w:r>
      <w:r>
        <w:rPr>
          <w:rFonts w:hint="eastAsia" w:ascii="宋体" w:hAnsi="宋体" w:cs="宋体"/>
          <w:color w:val="auto"/>
          <w:sz w:val="22"/>
          <w:szCs w:val="22"/>
          <w:highlight w:val="none"/>
          <w:shd w:val="clear" w:color="auto" w:fill="FFFFFF"/>
          <w:lang w:val="en-US" w:eastAsia="zh-CN"/>
        </w:rPr>
        <w:t>招标</w:t>
      </w:r>
      <w:r>
        <w:rPr>
          <w:rFonts w:hint="eastAsia" w:ascii="宋体" w:hAnsi="宋体" w:eastAsia="宋体" w:cs="宋体"/>
          <w:color w:val="auto"/>
          <w:sz w:val="22"/>
          <w:szCs w:val="22"/>
          <w:highlight w:val="none"/>
          <w:shd w:val="clear" w:color="auto" w:fill="FFFFFF"/>
          <w:lang w:eastAsia="zh-CN"/>
        </w:rPr>
        <w:t>文件</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本项目（否）接受联合体投标。</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二、申请人的资格要求</w:t>
      </w:r>
    </w:p>
    <w:p>
      <w:pPr>
        <w:keepNext w:val="0"/>
        <w:keepLines w:val="0"/>
        <w:pageBreakBefore w:val="0"/>
        <w:shd w:val="clear" w:color="auto" w:fill="auto"/>
        <w:kinsoku/>
        <w:wordWrap/>
        <w:overflowPunct/>
        <w:topLinePunct w:val="0"/>
        <w:autoSpaceDE/>
        <w:autoSpaceDN/>
        <w:bidi w:val="0"/>
        <w:adjustRightInd/>
        <w:snapToGrid/>
        <w:spacing w:line="440" w:lineRule="exact"/>
        <w:ind w:firstLine="220" w:firstLineChars="1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1.满足《平阳县县属国有企业采购管理办法（试行）》</w:t>
      </w:r>
      <w:r>
        <w:rPr>
          <w:rFonts w:hint="eastAsia" w:ascii="宋体" w:hAnsi="宋体" w:eastAsia="宋体" w:cs="宋体"/>
          <w:color w:val="auto"/>
          <w:sz w:val="22"/>
          <w:szCs w:val="22"/>
          <w:highlight w:val="none"/>
          <w:lang w:eastAsia="zh-CN"/>
        </w:rPr>
        <w:t>（平国资办〔2021〕81号）</w:t>
      </w:r>
      <w:r>
        <w:rPr>
          <w:rFonts w:hint="eastAsia" w:ascii="宋体" w:hAnsi="宋体" w:eastAsia="宋体" w:cs="宋体"/>
          <w:color w:val="auto"/>
          <w:sz w:val="22"/>
          <w:szCs w:val="22"/>
          <w:highlight w:val="none"/>
        </w:rPr>
        <w:t>第十四条规定；未被“信用中国”（www.creditchina.gov.cn)、中国</w:t>
      </w:r>
      <w:r>
        <w:rPr>
          <w:rFonts w:hint="eastAsia" w:ascii="宋体" w:hAnsi="宋体" w:cs="宋体"/>
          <w:color w:val="auto"/>
          <w:sz w:val="22"/>
          <w:szCs w:val="22"/>
          <w:highlight w:val="none"/>
          <w:lang w:val="en-US" w:eastAsia="zh-CN"/>
        </w:rPr>
        <w:t>政府</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网（www.ccgp.gov.cn）列入失信被执行人、重大税收违法案件当事人名单、</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严重违法失信行为记录名单。</w:t>
      </w:r>
    </w:p>
    <w:p>
      <w:pPr>
        <w:keepNext w:val="0"/>
        <w:keepLines w:val="0"/>
        <w:pageBreakBefore w:val="0"/>
        <w:shd w:val="clear" w:color="auto" w:fill="auto"/>
        <w:kinsoku/>
        <w:wordWrap/>
        <w:overflowPunct/>
        <w:topLinePunct w:val="0"/>
        <w:autoSpaceDE/>
        <w:autoSpaceDN/>
        <w:bidi w:val="0"/>
        <w:adjustRightInd/>
        <w:snapToGrid/>
        <w:spacing w:line="440" w:lineRule="exact"/>
        <w:ind w:firstLine="220" w:firstLineChars="1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2.落实</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政策需满足的资格要求：无</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宋体" w:hAnsi="宋体" w:eastAsia="宋体" w:cs="宋体"/>
          <w:b/>
          <w:color w:val="auto"/>
          <w:sz w:val="22"/>
          <w:szCs w:val="22"/>
          <w:highlight w:val="none"/>
          <w:shd w:val="clear" w:color="auto" w:fill="FFFFFF"/>
          <w:lang w:eastAsia="zh-CN"/>
        </w:rPr>
      </w:pPr>
      <w:r>
        <w:rPr>
          <w:rFonts w:hint="eastAsia" w:ascii="宋体" w:hAnsi="宋体" w:eastAsia="宋体" w:cs="宋体"/>
          <w:b/>
          <w:color w:val="auto"/>
          <w:sz w:val="22"/>
          <w:szCs w:val="22"/>
          <w:highlight w:val="none"/>
          <w:shd w:val="clear" w:color="auto" w:fill="FFFFFF"/>
        </w:rPr>
        <w:t>三、获取</w:t>
      </w:r>
      <w:r>
        <w:rPr>
          <w:rFonts w:hint="eastAsia" w:ascii="宋体" w:hAnsi="宋体" w:cs="宋体"/>
          <w:b/>
          <w:color w:val="auto"/>
          <w:sz w:val="22"/>
          <w:szCs w:val="22"/>
          <w:highlight w:val="none"/>
          <w:shd w:val="clear" w:color="auto" w:fill="FFFFFF"/>
          <w:lang w:val="en-US" w:eastAsia="zh-CN"/>
        </w:rPr>
        <w:t>招标</w:t>
      </w:r>
      <w:r>
        <w:rPr>
          <w:rFonts w:hint="eastAsia" w:ascii="宋体" w:hAnsi="宋体" w:eastAsia="宋体" w:cs="宋体"/>
          <w:b/>
          <w:color w:val="auto"/>
          <w:sz w:val="22"/>
          <w:szCs w:val="22"/>
          <w:highlight w:val="none"/>
          <w:shd w:val="clear" w:color="auto" w:fill="FFFFFF"/>
          <w:lang w:eastAsia="zh-CN"/>
        </w:rPr>
        <w:t>文件</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时间：</w:t>
      </w:r>
      <w:r>
        <w:rPr>
          <w:rFonts w:hint="eastAsia" w:cs="宋体"/>
          <w:color w:val="auto"/>
          <w:sz w:val="22"/>
          <w:szCs w:val="22"/>
          <w:highlight w:val="none"/>
          <w:shd w:val="clear" w:color="auto" w:fill="FFFFFF"/>
          <w:lang w:val="en-US" w:eastAsia="zh-CN"/>
        </w:rPr>
        <w:t>/</w:t>
      </w:r>
      <w:r>
        <w:rPr>
          <w:rFonts w:hint="eastAsia" w:ascii="宋体" w:hAnsi="宋体" w:eastAsia="宋体" w:cs="宋体"/>
          <w:color w:val="auto"/>
          <w:sz w:val="22"/>
          <w:szCs w:val="22"/>
          <w:highlight w:val="none"/>
          <w:shd w:val="clear" w:color="auto" w:fill="FFFFFF"/>
        </w:rPr>
        <w:t>至</w:t>
      </w:r>
      <w:r>
        <w:rPr>
          <w:rFonts w:hint="eastAsia" w:ascii="宋体" w:hAnsi="宋体"/>
          <w:sz w:val="22"/>
          <w:szCs w:val="22"/>
          <w:highlight w:val="none"/>
          <w:lang w:eastAsia="zh-CN"/>
        </w:rPr>
        <w:t>2023年10月19日</w:t>
      </w:r>
      <w:r>
        <w:rPr>
          <w:rFonts w:hint="eastAsia" w:ascii="宋体" w:hAnsi="宋体" w:eastAsia="宋体" w:cs="宋体"/>
          <w:color w:val="auto"/>
          <w:sz w:val="22"/>
          <w:szCs w:val="22"/>
          <w:highlight w:val="none"/>
          <w:shd w:val="clear" w:color="auto" w:fill="FFFFFF"/>
        </w:rPr>
        <w:t>，每天上午00</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00至12</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00，下午12</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00至23</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59（北京时间，线上获取法定节假日均可，线下获取文件法定节假日除外）</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22"/>
          <w:szCs w:val="22"/>
          <w:highlight w:val="none"/>
          <w:shd w:val="clear" w:color="auto" w:fill="FFFFFF"/>
        </w:rPr>
        <w:t>地点（网址）：政采云平台（www.zcygov.cn）；</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方式：</w:t>
      </w:r>
      <w:r>
        <w:rPr>
          <w:rFonts w:hint="eastAsia" w:ascii="宋体" w:hAnsi="宋体" w:eastAsia="宋体" w:cs="宋体"/>
          <w:color w:val="auto"/>
          <w:sz w:val="22"/>
          <w:szCs w:val="22"/>
          <w:highlight w:val="none"/>
          <w:shd w:val="clear" w:color="auto" w:fill="FFFFFF"/>
          <w:lang w:val="en-US" w:eastAsia="zh-CN"/>
        </w:rPr>
        <w:t>登录“政采云平台”在线登记后获取</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22"/>
          <w:szCs w:val="22"/>
          <w:highlight w:val="none"/>
          <w:shd w:val="clear" w:color="auto" w:fill="FFFFFF"/>
        </w:rPr>
        <w:t>售价（元）：</w:t>
      </w:r>
      <w:r>
        <w:rPr>
          <w:rFonts w:hint="eastAsia" w:cs="宋体"/>
          <w:color w:val="auto"/>
          <w:sz w:val="22"/>
          <w:szCs w:val="22"/>
          <w:highlight w:val="none"/>
          <w:shd w:val="clear" w:color="auto" w:fill="FFFFFF"/>
          <w:lang w:val="en-US" w:eastAsia="zh-CN"/>
        </w:rPr>
        <w:t>0</w:t>
      </w:r>
      <w:r>
        <w:rPr>
          <w:rFonts w:hint="eastAsia" w:ascii="宋体" w:hAnsi="宋体" w:eastAsia="宋体" w:cs="宋体"/>
          <w:color w:val="auto"/>
          <w:sz w:val="22"/>
          <w:szCs w:val="22"/>
          <w:highlight w:val="none"/>
          <w:shd w:val="clear" w:color="auto" w:fill="FFFFFF"/>
        </w:rPr>
        <w:t>元</w:t>
      </w:r>
      <w:r>
        <w:rPr>
          <w:rFonts w:hint="eastAsia" w:ascii="宋体" w:hAnsi="宋体"/>
          <w:color w:val="auto"/>
          <w:sz w:val="22"/>
          <w:szCs w:val="22"/>
          <w:highlight w:val="none"/>
          <w:lang w:eastAsia="zh-CN"/>
        </w:rPr>
        <w:t>。</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宋体" w:hAnsi="宋体" w:eastAsia="宋体" w:cs="宋体"/>
          <w:color w:val="auto"/>
          <w:sz w:val="18"/>
          <w:szCs w:val="18"/>
          <w:highlight w:val="none"/>
        </w:rPr>
      </w:pPr>
      <w:r>
        <w:rPr>
          <w:rFonts w:hint="eastAsia" w:ascii="宋体" w:hAnsi="宋体" w:eastAsia="宋体" w:cs="宋体"/>
          <w:b/>
          <w:color w:val="auto"/>
          <w:sz w:val="22"/>
          <w:szCs w:val="22"/>
          <w:highlight w:val="none"/>
          <w:shd w:val="clear" w:color="auto" w:fill="FFFFFF"/>
        </w:rPr>
        <w:t>四、</w:t>
      </w:r>
      <w:r>
        <w:rPr>
          <w:rFonts w:hint="eastAsia" w:ascii="宋体" w:hAnsi="宋体" w:cs="宋体"/>
          <w:b/>
          <w:color w:val="auto"/>
          <w:sz w:val="22"/>
          <w:szCs w:val="22"/>
          <w:highlight w:val="none"/>
          <w:shd w:val="clear" w:color="auto" w:fill="FFFFFF"/>
          <w:lang w:val="en-US" w:eastAsia="zh-CN"/>
        </w:rPr>
        <w:t>投标</w:t>
      </w:r>
      <w:r>
        <w:rPr>
          <w:rFonts w:hint="eastAsia" w:ascii="宋体" w:hAnsi="宋体" w:eastAsia="宋体" w:cs="宋体"/>
          <w:b/>
          <w:color w:val="auto"/>
          <w:sz w:val="22"/>
          <w:szCs w:val="22"/>
          <w:highlight w:val="none"/>
          <w:shd w:val="clear" w:color="auto" w:fill="FFFFFF"/>
          <w:lang w:val="en-US" w:eastAsia="zh-CN"/>
        </w:rPr>
        <w:t>文件提交</w:t>
      </w:r>
      <w:r>
        <w:rPr>
          <w:rFonts w:hint="eastAsia" w:ascii="宋体" w:hAnsi="宋体" w:eastAsia="宋体" w:cs="宋体"/>
          <w:b/>
          <w:color w:val="auto"/>
          <w:sz w:val="22"/>
          <w:szCs w:val="22"/>
          <w:highlight w:val="none"/>
          <w:shd w:val="clear" w:color="auto" w:fill="FFFFFF"/>
        </w:rPr>
        <w:t>截止时间、</w:t>
      </w:r>
      <w:r>
        <w:rPr>
          <w:rFonts w:hint="eastAsia" w:ascii="宋体" w:hAnsi="宋体" w:eastAsia="宋体" w:cs="宋体"/>
          <w:b/>
          <w:color w:val="auto"/>
          <w:sz w:val="22"/>
          <w:szCs w:val="22"/>
          <w:highlight w:val="none"/>
          <w:shd w:val="clear" w:color="auto" w:fill="FFFFFF"/>
          <w:lang w:val="en-US" w:eastAsia="zh-CN"/>
        </w:rPr>
        <w:t>开启</w:t>
      </w:r>
      <w:r>
        <w:rPr>
          <w:rFonts w:hint="eastAsia" w:ascii="宋体" w:hAnsi="宋体" w:eastAsia="宋体" w:cs="宋体"/>
          <w:b/>
          <w:color w:val="auto"/>
          <w:sz w:val="22"/>
          <w:szCs w:val="22"/>
          <w:highlight w:val="none"/>
          <w:shd w:val="clear" w:color="auto" w:fill="FFFFFF"/>
        </w:rPr>
        <w:t>时间和地点</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提交</w:t>
      </w:r>
      <w:r>
        <w:rPr>
          <w:rFonts w:hint="eastAsia" w:ascii="宋体" w:hAnsi="宋体" w:cs="宋体"/>
          <w:color w:val="auto"/>
          <w:sz w:val="22"/>
          <w:szCs w:val="22"/>
          <w:highlight w:val="none"/>
          <w:shd w:val="clear" w:color="auto" w:fill="FFFFFF"/>
          <w:lang w:val="en-US" w:eastAsia="zh-CN"/>
        </w:rPr>
        <w:t>投标</w:t>
      </w:r>
      <w:r>
        <w:rPr>
          <w:rFonts w:hint="eastAsia" w:ascii="宋体" w:hAnsi="宋体" w:eastAsia="宋体" w:cs="宋体"/>
          <w:color w:val="auto"/>
          <w:sz w:val="22"/>
          <w:szCs w:val="22"/>
          <w:highlight w:val="none"/>
          <w:shd w:val="clear" w:color="auto" w:fill="FFFFFF"/>
        </w:rPr>
        <w:t>文件截止时间：</w:t>
      </w:r>
      <w:r>
        <w:rPr>
          <w:rFonts w:hint="eastAsia" w:cs="宋体"/>
          <w:color w:val="auto"/>
          <w:sz w:val="22"/>
          <w:szCs w:val="22"/>
          <w:highlight w:val="none"/>
          <w:shd w:val="clear" w:color="auto" w:fill="FFFFFF"/>
          <w:lang w:eastAsia="zh-CN"/>
        </w:rPr>
        <w:t>2023年10月19日 09：30</w:t>
      </w:r>
      <w:r>
        <w:rPr>
          <w:rFonts w:hint="eastAsia" w:ascii="宋体" w:hAnsi="宋体" w:eastAsia="宋体" w:cs="宋体"/>
          <w:color w:val="auto"/>
          <w:sz w:val="22"/>
          <w:szCs w:val="22"/>
          <w:highlight w:val="none"/>
          <w:shd w:val="clear" w:color="auto" w:fill="FFFFFF"/>
        </w:rPr>
        <w:t>（北京时间）</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地点（网址）：</w:t>
      </w:r>
      <w:r>
        <w:rPr>
          <w:rFonts w:hint="eastAsia" w:ascii="宋体" w:hAnsi="宋体" w:eastAsia="宋体" w:cs="宋体"/>
          <w:color w:val="auto"/>
          <w:sz w:val="22"/>
          <w:szCs w:val="22"/>
          <w:highlight w:val="none"/>
          <w:shd w:val="clear" w:color="auto" w:fill="FFFFFF"/>
          <w:lang w:val="en-US" w:eastAsia="zh-CN"/>
        </w:rPr>
        <w:t>通过“政采云平台（www.zcygov.cn）”在线递交。</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lang w:val="en-US" w:eastAsia="zh-CN"/>
        </w:rPr>
        <w:t>开启</w:t>
      </w:r>
      <w:r>
        <w:rPr>
          <w:rFonts w:hint="eastAsia" w:ascii="宋体" w:hAnsi="宋体" w:eastAsia="宋体" w:cs="宋体"/>
          <w:color w:val="auto"/>
          <w:sz w:val="22"/>
          <w:szCs w:val="22"/>
          <w:highlight w:val="none"/>
          <w:shd w:val="clear" w:color="auto" w:fill="FFFFFF"/>
        </w:rPr>
        <w:t>时间：</w:t>
      </w:r>
      <w:r>
        <w:rPr>
          <w:rFonts w:hint="eastAsia" w:cs="宋体"/>
          <w:color w:val="auto"/>
          <w:sz w:val="22"/>
          <w:szCs w:val="22"/>
          <w:highlight w:val="none"/>
          <w:shd w:val="clear" w:color="auto" w:fill="FFFFFF"/>
          <w:lang w:eastAsia="zh-CN"/>
        </w:rPr>
        <w:t>2023年10月19日 09：30</w:t>
      </w:r>
      <w:r>
        <w:rPr>
          <w:rFonts w:hint="eastAsia" w:ascii="宋体" w:hAnsi="宋体" w:eastAsia="宋体" w:cs="宋体"/>
          <w:color w:val="auto"/>
          <w:sz w:val="22"/>
          <w:szCs w:val="22"/>
          <w:highlight w:val="none"/>
          <w:shd w:val="clear" w:color="auto" w:fill="FFFFFF"/>
        </w:rPr>
        <w:t xml:space="preserve"> （北京时间）</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437" w:leftChars="208" w:right="0" w:firstLine="19" w:firstLineChars="9"/>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地点（网址）：</w:t>
      </w:r>
      <w:r>
        <w:rPr>
          <w:rFonts w:hint="eastAsia" w:ascii="宋体" w:hAnsi="宋体" w:cs="楷体"/>
          <w:kern w:val="0"/>
          <w:sz w:val="22"/>
          <w:szCs w:val="22"/>
          <w:highlight w:val="none"/>
          <w:lang w:eastAsia="zh-CN"/>
        </w:rPr>
        <w:t>通过“政采云平台（www.zcygov.cn）”线上开启</w:t>
      </w:r>
      <w:r>
        <w:rPr>
          <w:rFonts w:hint="eastAsia" w:ascii="宋体" w:hAnsi="宋体" w:eastAsia="宋体" w:cs="宋体"/>
          <w:color w:val="auto"/>
          <w:sz w:val="22"/>
          <w:szCs w:val="22"/>
          <w:highlight w:val="none"/>
          <w:shd w:val="clear" w:color="auto" w:fill="FFFFFF"/>
          <w:lang w:val="en-US" w:eastAsia="zh-CN"/>
        </w:rPr>
        <w:t>。</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五、公告期限</w:t>
      </w:r>
      <w:r>
        <w:rPr>
          <w:rFonts w:hint="eastAsia" w:ascii="宋体" w:hAnsi="宋体" w:cs="宋体"/>
          <w:b/>
          <w:color w:val="auto"/>
          <w:sz w:val="22"/>
          <w:szCs w:val="22"/>
          <w:highlight w:val="none"/>
          <w:shd w:val="clear" w:color="auto" w:fill="FFFFFF"/>
          <w:lang w:eastAsia="zh-CN"/>
        </w:rPr>
        <w:t>：</w:t>
      </w:r>
      <w:r>
        <w:rPr>
          <w:rFonts w:hint="eastAsia" w:ascii="宋体" w:hAnsi="宋体" w:eastAsia="宋体" w:cs="宋体"/>
          <w:b/>
          <w:color w:val="auto"/>
          <w:sz w:val="22"/>
          <w:szCs w:val="22"/>
          <w:highlight w:val="none"/>
          <w:shd w:val="clear" w:color="auto" w:fill="FFFFFF"/>
        </w:rPr>
        <w:t>自本公告发布之日起</w:t>
      </w:r>
      <w:r>
        <w:rPr>
          <w:rFonts w:hint="eastAsia" w:ascii="宋体" w:hAnsi="宋体" w:cs="宋体"/>
          <w:b/>
          <w:color w:val="auto"/>
          <w:sz w:val="22"/>
          <w:szCs w:val="22"/>
          <w:highlight w:val="none"/>
          <w:shd w:val="clear" w:color="auto" w:fill="FFFFFF"/>
          <w:lang w:val="en-US" w:eastAsia="zh-CN"/>
        </w:rPr>
        <w:t>3</w:t>
      </w:r>
      <w:r>
        <w:rPr>
          <w:rFonts w:hint="eastAsia" w:ascii="宋体" w:hAnsi="宋体" w:eastAsia="宋体" w:cs="宋体"/>
          <w:b/>
          <w:color w:val="auto"/>
          <w:sz w:val="22"/>
          <w:szCs w:val="22"/>
          <w:highlight w:val="none"/>
          <w:shd w:val="clear" w:color="auto" w:fill="FFFFFF"/>
        </w:rPr>
        <w:t>个工作日</w:t>
      </w:r>
    </w:p>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宋体" w:hAnsi="宋体" w:eastAsia="宋体" w:cs="宋体"/>
          <w:color w:val="auto"/>
          <w:sz w:val="18"/>
          <w:szCs w:val="18"/>
          <w:highlight w:val="none"/>
        </w:rPr>
      </w:pPr>
      <w:r>
        <w:rPr>
          <w:rFonts w:hint="eastAsia" w:ascii="宋体" w:hAnsi="宋体" w:eastAsia="宋体" w:cs="宋体"/>
          <w:b/>
          <w:color w:val="auto"/>
          <w:sz w:val="22"/>
          <w:szCs w:val="22"/>
          <w:highlight w:val="none"/>
          <w:shd w:val="clear" w:color="auto" w:fill="FFFFFF"/>
          <w:lang w:val="en-US" w:eastAsia="zh-CN"/>
        </w:rPr>
        <w:t>六</w:t>
      </w:r>
      <w:r>
        <w:rPr>
          <w:rFonts w:hint="eastAsia" w:ascii="宋体" w:hAnsi="宋体" w:eastAsia="宋体" w:cs="宋体"/>
          <w:b/>
          <w:color w:val="auto"/>
          <w:sz w:val="22"/>
          <w:szCs w:val="22"/>
          <w:highlight w:val="none"/>
          <w:shd w:val="clear" w:color="auto" w:fill="FFFFFF"/>
        </w:rPr>
        <w:t>、其他补充事宜</w:t>
      </w:r>
    </w:p>
    <w:p>
      <w:pPr>
        <w:keepNext w:val="0"/>
        <w:keepLines w:val="0"/>
        <w:pageBreakBefore w:val="0"/>
        <w:kinsoku/>
        <w:wordWrap/>
        <w:overflowPunct/>
        <w:topLinePunct w:val="0"/>
        <w:autoSpaceDE/>
        <w:autoSpaceDN/>
        <w:bidi w:val="0"/>
        <w:adjustRightInd/>
        <w:snapToGrid/>
        <w:spacing w:line="440" w:lineRule="exact"/>
        <w:ind w:firstLine="495" w:firstLineChars="225"/>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w:t>
      </w:r>
      <w:r>
        <w:rPr>
          <w:rFonts w:hint="eastAsia" w:ascii="宋体" w:hAnsi="宋体" w:cs="宋体"/>
          <w:color w:val="auto"/>
          <w:sz w:val="22"/>
          <w:szCs w:val="22"/>
          <w:highlight w:val="none"/>
          <w:lang w:eastAsia="zh-CN"/>
        </w:rPr>
        <w:t>甲方</w:t>
      </w:r>
      <w:r>
        <w:rPr>
          <w:rFonts w:hint="eastAsia" w:ascii="宋体" w:hAnsi="宋体" w:eastAsia="宋体" w:cs="宋体"/>
          <w:color w:val="auto"/>
          <w:sz w:val="22"/>
          <w:szCs w:val="22"/>
          <w:highlight w:val="none"/>
        </w:rPr>
        <w:t>提出质疑，对其他内容的以书面形式向</w:t>
      </w:r>
      <w:r>
        <w:rPr>
          <w:rFonts w:hint="eastAsia" w:ascii="宋体" w:hAnsi="宋体" w:cs="宋体"/>
          <w:color w:val="auto"/>
          <w:sz w:val="22"/>
          <w:szCs w:val="22"/>
          <w:highlight w:val="none"/>
          <w:lang w:eastAsia="zh-CN"/>
        </w:rPr>
        <w:t>甲方</w:t>
      </w:r>
      <w:r>
        <w:rPr>
          <w:rFonts w:hint="eastAsia" w:ascii="宋体" w:hAnsi="宋体" w:eastAsia="宋体" w:cs="宋体"/>
          <w:color w:val="auto"/>
          <w:sz w:val="22"/>
          <w:szCs w:val="22"/>
          <w:highlight w:val="none"/>
        </w:rPr>
        <w:t>和采购代理机构提出质疑。质疑供应商对</w:t>
      </w:r>
      <w:r>
        <w:rPr>
          <w:rFonts w:hint="eastAsia" w:ascii="宋体" w:hAnsi="宋体" w:cs="宋体"/>
          <w:color w:val="auto"/>
          <w:sz w:val="22"/>
          <w:szCs w:val="22"/>
          <w:highlight w:val="none"/>
          <w:lang w:eastAsia="zh-CN"/>
        </w:rPr>
        <w:t>甲方</w:t>
      </w:r>
      <w:r>
        <w:rPr>
          <w:rFonts w:hint="eastAsia" w:ascii="宋体" w:hAnsi="宋体" w:eastAsia="宋体" w:cs="宋体"/>
          <w:color w:val="auto"/>
          <w:sz w:val="22"/>
          <w:szCs w:val="22"/>
          <w:highlight w:val="none"/>
        </w:rPr>
        <w:t>、采购代理机构的答复不满意或者</w:t>
      </w:r>
      <w:r>
        <w:rPr>
          <w:rFonts w:hint="eastAsia" w:ascii="宋体" w:hAnsi="宋体" w:cs="宋体"/>
          <w:color w:val="auto"/>
          <w:sz w:val="22"/>
          <w:szCs w:val="22"/>
          <w:highlight w:val="none"/>
          <w:lang w:eastAsia="zh-CN"/>
        </w:rPr>
        <w:t>甲方</w:t>
      </w:r>
      <w:r>
        <w:rPr>
          <w:rFonts w:hint="eastAsia" w:ascii="宋体" w:hAnsi="宋体" w:eastAsia="宋体" w:cs="宋体"/>
          <w:color w:val="auto"/>
          <w:sz w:val="22"/>
          <w:szCs w:val="22"/>
          <w:highlight w:val="none"/>
        </w:rPr>
        <w:t>、采购代理机构未在规定的时间内作出答复的，可以</w:t>
      </w:r>
      <w:r>
        <w:rPr>
          <w:rFonts w:hint="eastAsia" w:ascii="宋体" w:hAnsi="宋体" w:cs="宋体"/>
          <w:color w:val="auto"/>
          <w:sz w:val="22"/>
          <w:szCs w:val="22"/>
          <w:highlight w:val="none"/>
          <w:lang w:eastAsia="zh-CN"/>
        </w:rPr>
        <w:t>甲方</w:t>
      </w:r>
      <w:r>
        <w:rPr>
          <w:rFonts w:hint="eastAsia" w:ascii="宋体" w:hAnsi="宋体" w:eastAsia="宋体" w:cs="宋体"/>
          <w:color w:val="auto"/>
          <w:sz w:val="22"/>
          <w:szCs w:val="22"/>
          <w:highlight w:val="none"/>
        </w:rPr>
        <w:t>或代理机构为对象依法向人民法院提起诉讼。</w:t>
      </w:r>
    </w:p>
    <w:p>
      <w:pPr>
        <w:keepNext w:val="0"/>
        <w:keepLines w:val="0"/>
        <w:pageBreakBefore w:val="0"/>
        <w:kinsoku/>
        <w:wordWrap/>
        <w:overflowPunct/>
        <w:topLinePunct w:val="0"/>
        <w:autoSpaceDE/>
        <w:autoSpaceDN/>
        <w:bidi w:val="0"/>
        <w:adjustRightInd/>
        <w:snapToGrid/>
        <w:spacing w:line="440" w:lineRule="exact"/>
        <w:ind w:firstLine="495" w:firstLineChars="225"/>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其他事项：</w:t>
      </w:r>
    </w:p>
    <w:p>
      <w:pPr>
        <w:keepNext w:val="0"/>
        <w:keepLines w:val="0"/>
        <w:pageBreakBefore w:val="0"/>
        <w:kinsoku/>
        <w:wordWrap/>
        <w:overflowPunct/>
        <w:topLinePunct w:val="0"/>
        <w:autoSpaceDE/>
        <w:autoSpaceDN/>
        <w:bidi w:val="0"/>
        <w:adjustRightInd/>
        <w:snapToGrid/>
        <w:spacing w:line="440" w:lineRule="exact"/>
        <w:ind w:firstLine="495" w:firstLineChars="225"/>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1）本项目通过“</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云平台（www.zcygov.cn）”实行在线投标响应（电子投标），供应商应先安装“政采云电子交易客户端”，并按照本</w:t>
      </w:r>
      <w:r>
        <w:rPr>
          <w:rFonts w:hint="eastAsia" w:ascii="宋体" w:hAnsi="宋体" w:eastAsia="宋体" w:cs="宋体"/>
          <w:color w:val="auto"/>
          <w:sz w:val="22"/>
          <w:szCs w:val="22"/>
          <w:highlight w:val="none"/>
          <w:lang w:eastAsia="zh-CN"/>
        </w:rPr>
        <w:t>采购文件</w:t>
      </w:r>
      <w:r>
        <w:rPr>
          <w:rFonts w:hint="eastAsia" w:ascii="宋体" w:hAnsi="宋体" w:eastAsia="宋体" w:cs="宋体"/>
          <w:color w:val="auto"/>
          <w:sz w:val="22"/>
          <w:szCs w:val="22"/>
          <w:highlight w:val="none"/>
        </w:rPr>
        <w:t>和“</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云平台”的要求，通过“政采云电子交易客户端”编制并加密投标文件。供应商未按规定加密的投标文件，“</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云平台”将予以拒收。 “政采云电子交易客户端”请自行前往“浙江</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网-下载专区-电子交易客户端”进行下载；电子投标具体操作流程详见《供应商项目采购-电子招投标操作指南》；通过“</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 xml:space="preserve">云平台”参与在线投标时如遇平台技术问题详询400-881-7190。 </w:t>
      </w:r>
    </w:p>
    <w:p>
      <w:pPr>
        <w:keepNext w:val="0"/>
        <w:keepLines w:val="0"/>
        <w:pageBreakBefore w:val="0"/>
        <w:kinsoku/>
        <w:wordWrap/>
        <w:overflowPunct/>
        <w:topLinePunct w:val="0"/>
        <w:autoSpaceDE/>
        <w:autoSpaceDN/>
        <w:bidi w:val="0"/>
        <w:adjustRightInd/>
        <w:snapToGrid/>
        <w:spacing w:line="440" w:lineRule="exact"/>
        <w:ind w:firstLine="495" w:firstLineChars="225"/>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2）为确保网上操作合法、有效和安全，投标供应商应当在投标截止时间前完成在“</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云平台”的身份认证，确保在电子投标过程中能够对相关数据电文进行加密和使用电子签章。使用“政采云电子交易客户端”需要提前申领CA数字证书，申领流程请自行前往“浙江</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网-下载专区-电子交易客户端-CA驱动和申领流程”进行查阅；供应商应在开标前完成CA数字证书办理。</w:t>
      </w:r>
    </w:p>
    <w:p>
      <w:pPr>
        <w:keepNext w:val="0"/>
        <w:keepLines w:val="0"/>
        <w:pageBreakBefore w:val="0"/>
        <w:kinsoku/>
        <w:wordWrap/>
        <w:overflowPunct/>
        <w:topLinePunct w:val="0"/>
        <w:autoSpaceDE/>
        <w:autoSpaceDN/>
        <w:bidi w:val="0"/>
        <w:adjustRightInd/>
        <w:snapToGrid/>
        <w:spacing w:line="440" w:lineRule="exact"/>
        <w:ind w:firstLine="495" w:firstLineChars="225"/>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3）投标供应商应当在投标截止时间前，将生成的“电子加密投标文件”上传递交至“</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云平台”。投标截止时间以后上传递交的投标文件将被“</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 xml:space="preserve">云平台”拒收。 </w:t>
      </w:r>
    </w:p>
    <w:p>
      <w:pPr>
        <w:keepNext w:val="0"/>
        <w:keepLines w:val="0"/>
        <w:pageBreakBefore w:val="0"/>
        <w:kinsoku/>
        <w:wordWrap/>
        <w:overflowPunct/>
        <w:topLinePunct w:val="0"/>
        <w:autoSpaceDE/>
        <w:autoSpaceDN/>
        <w:bidi w:val="0"/>
        <w:adjustRightInd/>
        <w:snapToGrid/>
        <w:spacing w:line="440" w:lineRule="exact"/>
        <w:ind w:firstLine="495" w:firstLineChars="225"/>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4）投标供应商在“</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 xml:space="preserve">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w:t>
      </w:r>
    </w:p>
    <w:p>
      <w:pPr>
        <w:keepNext w:val="0"/>
        <w:keepLines w:val="0"/>
        <w:pageBreakBefore w:val="0"/>
        <w:kinsoku/>
        <w:wordWrap/>
        <w:overflowPunct/>
        <w:topLinePunct w:val="0"/>
        <w:autoSpaceDE/>
        <w:autoSpaceDN/>
        <w:bidi w:val="0"/>
        <w:adjustRightInd/>
        <w:snapToGrid/>
        <w:spacing w:line="440" w:lineRule="exact"/>
        <w:ind w:firstLine="495" w:firstLineChars="225"/>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5）通过“</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云平台”上传递交的“电子加密投标文件”无法按时解密，投标供应商递交了备份投标文件的，以备份投标文件为依据，否则视为投标文件撤回。通过“</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云平台”上传递交的“电子加密投标文件”已按时解密的，“备份投标文件”自动失效。投标供应商仅递交备份投标文件的，投标无效。</w:t>
      </w:r>
    </w:p>
    <w:p>
      <w:pPr>
        <w:keepNext w:val="0"/>
        <w:keepLines w:val="0"/>
        <w:pageBreakBefore w:val="0"/>
        <w:kinsoku/>
        <w:wordWrap/>
        <w:overflowPunct/>
        <w:topLinePunct w:val="0"/>
        <w:autoSpaceDE/>
        <w:autoSpaceDN/>
        <w:bidi w:val="0"/>
        <w:adjustRightInd/>
        <w:snapToGrid/>
        <w:spacing w:line="440" w:lineRule="exact"/>
        <w:ind w:firstLine="495" w:firstLineChars="225"/>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本项目属国企采购项目，平阳县公共资源交易中心只负责在温州市公共资源交易网平阳县分网上发布公告，提供开标评标场地，不承担采购文件审核和交易过程监管职责。对采购文件或开标评标过程有疑义的，向采购单位或代理机构质疑；对质疑答复、合同履约不满意的，向监管部门投诉。</w:t>
      </w:r>
    </w:p>
    <w:p>
      <w:pPr>
        <w:spacing w:line="460" w:lineRule="exact"/>
        <w:ind w:firstLine="495" w:firstLineChars="225"/>
        <w:rPr>
          <w:rFonts w:ascii="宋体" w:hAnsi="宋体"/>
          <w:sz w:val="22"/>
          <w:szCs w:val="22"/>
          <w:highlight w:val="none"/>
        </w:rPr>
      </w:pP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highlight w:val="none"/>
        </w:rPr>
        <w:t>供应商在法定质疑期内一次性提出针对同一采购程序环节的质疑</w:t>
      </w:r>
      <w:r>
        <w:rPr>
          <w:rFonts w:hint="eastAsia" w:ascii="宋体" w:hAnsi="宋体"/>
          <w:sz w:val="22"/>
          <w:szCs w:val="22"/>
          <w:highlight w:val="none"/>
        </w:rPr>
        <w:t>。</w:t>
      </w:r>
    </w:p>
    <w:bookmarkEnd w:id="16"/>
    <w:p>
      <w:pPr>
        <w:pStyle w:val="29"/>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lang w:val="en-US" w:eastAsia="zh-CN"/>
        </w:rPr>
        <w:t>七、</w:t>
      </w:r>
      <w:r>
        <w:rPr>
          <w:rFonts w:hint="eastAsia" w:ascii="宋体" w:hAnsi="宋体" w:eastAsia="宋体" w:cs="宋体"/>
          <w:b/>
          <w:color w:val="auto"/>
          <w:sz w:val="22"/>
          <w:szCs w:val="22"/>
          <w:highlight w:val="none"/>
          <w:shd w:val="clear" w:color="auto" w:fill="FFFFFF"/>
        </w:rPr>
        <w:t>联系人及联系方式</w:t>
      </w:r>
    </w:p>
    <w:p>
      <w:pPr>
        <w:spacing w:line="460" w:lineRule="exact"/>
        <w:ind w:firstLine="495" w:firstLineChars="225"/>
        <w:rPr>
          <w:rFonts w:hint="eastAsia" w:ascii="宋体" w:hAnsi="宋体" w:eastAsia="宋体"/>
          <w:sz w:val="22"/>
          <w:szCs w:val="22"/>
          <w:highlight w:val="none"/>
          <w:lang w:eastAsia="zh-CN"/>
        </w:rPr>
      </w:pPr>
      <w:r>
        <w:rPr>
          <w:rFonts w:hint="eastAsia" w:ascii="宋体" w:hAnsi="宋体"/>
          <w:sz w:val="22"/>
          <w:szCs w:val="22"/>
          <w:highlight w:val="none"/>
        </w:rPr>
        <w:t>1、</w:t>
      </w:r>
      <w:r>
        <w:rPr>
          <w:rFonts w:hint="eastAsia" w:ascii="宋体" w:hAnsi="宋体"/>
          <w:sz w:val="22"/>
          <w:szCs w:val="22"/>
          <w:highlight w:val="none"/>
          <w:lang w:eastAsia="zh-CN"/>
        </w:rPr>
        <w:t>采购人</w:t>
      </w:r>
      <w:r>
        <w:rPr>
          <w:rFonts w:hint="eastAsia" w:ascii="宋体" w:hAnsi="宋体"/>
          <w:sz w:val="22"/>
          <w:szCs w:val="22"/>
          <w:highlight w:val="none"/>
        </w:rPr>
        <w:t>：</w:t>
      </w:r>
      <w:r>
        <w:rPr>
          <w:rFonts w:hint="eastAsia" w:ascii="宋体" w:hAnsi="宋体"/>
          <w:sz w:val="22"/>
          <w:szCs w:val="22"/>
          <w:highlight w:val="none"/>
          <w:lang w:eastAsia="zh-CN"/>
        </w:rPr>
        <w:t>平阳县盈泽控股有限公司</w:t>
      </w:r>
    </w:p>
    <w:p>
      <w:pPr>
        <w:spacing w:line="460" w:lineRule="exact"/>
        <w:ind w:firstLine="495" w:firstLineChars="225"/>
        <w:rPr>
          <w:rFonts w:hint="eastAsia" w:ascii="宋体" w:hAnsi="宋体" w:eastAsia="宋体"/>
          <w:sz w:val="22"/>
          <w:szCs w:val="22"/>
          <w:highlight w:val="none"/>
          <w:lang w:eastAsia="zh-CN"/>
        </w:rPr>
      </w:pPr>
      <w:r>
        <w:rPr>
          <w:rFonts w:hint="eastAsia" w:ascii="宋体" w:hAnsi="宋体"/>
          <w:sz w:val="22"/>
          <w:szCs w:val="22"/>
          <w:highlight w:val="none"/>
          <w:lang w:eastAsia="zh-CN"/>
        </w:rPr>
        <w:t>地址</w:t>
      </w:r>
      <w:r>
        <w:rPr>
          <w:rFonts w:hint="eastAsia" w:ascii="宋体" w:hAnsi="宋体"/>
          <w:sz w:val="22"/>
          <w:szCs w:val="22"/>
          <w:highlight w:val="none"/>
        </w:rPr>
        <w:t>：</w:t>
      </w:r>
      <w:r>
        <w:rPr>
          <w:rFonts w:hint="eastAsia" w:ascii="宋体" w:hAnsi="宋体"/>
          <w:sz w:val="22"/>
          <w:szCs w:val="22"/>
          <w:highlight w:val="none"/>
          <w:lang w:eastAsia="zh-CN"/>
        </w:rPr>
        <w:t>平阳县昆阳镇兴良路</w:t>
      </w:r>
    </w:p>
    <w:p>
      <w:pPr>
        <w:spacing w:line="460" w:lineRule="exact"/>
        <w:ind w:firstLine="495" w:firstLineChars="225"/>
        <w:rPr>
          <w:rFonts w:hint="eastAsia" w:ascii="宋体" w:hAnsi="宋体" w:eastAsia="宋体"/>
          <w:sz w:val="22"/>
          <w:szCs w:val="22"/>
          <w:highlight w:val="none"/>
          <w:lang w:val="en-US" w:eastAsia="zh-CN"/>
        </w:rPr>
      </w:pPr>
      <w:r>
        <w:rPr>
          <w:rFonts w:hint="eastAsia" w:ascii="宋体" w:hAnsi="宋体" w:eastAsia="宋体"/>
          <w:sz w:val="22"/>
          <w:szCs w:val="22"/>
          <w:highlight w:val="none"/>
          <w:lang w:eastAsia="zh-CN"/>
        </w:rPr>
        <w:t>项目联系人（询问）：</w:t>
      </w:r>
      <w:r>
        <w:rPr>
          <w:rFonts w:hint="eastAsia" w:ascii="宋体" w:hAnsi="宋体" w:eastAsia="宋体"/>
          <w:sz w:val="22"/>
          <w:szCs w:val="22"/>
          <w:highlight w:val="none"/>
          <w:lang w:val="en-US" w:eastAsia="zh-CN"/>
        </w:rPr>
        <w:t>温先生</w:t>
      </w:r>
    </w:p>
    <w:p>
      <w:pPr>
        <w:spacing w:line="460" w:lineRule="exact"/>
        <w:ind w:firstLine="495" w:firstLineChars="225"/>
        <w:rPr>
          <w:rFonts w:hint="eastAsia" w:ascii="宋体" w:hAnsi="宋体" w:eastAsia="宋体"/>
          <w:sz w:val="22"/>
          <w:szCs w:val="22"/>
          <w:highlight w:val="none"/>
          <w:lang w:eastAsia="zh-CN"/>
        </w:rPr>
      </w:pPr>
      <w:r>
        <w:rPr>
          <w:rFonts w:hint="eastAsia" w:ascii="宋体" w:hAnsi="宋体" w:eastAsia="宋体"/>
          <w:sz w:val="22"/>
          <w:szCs w:val="22"/>
          <w:highlight w:val="none"/>
          <w:lang w:eastAsia="zh-CN"/>
        </w:rPr>
        <w:t>项目联系方式（询问）：</w:t>
      </w:r>
      <w:r>
        <w:rPr>
          <w:rFonts w:hint="eastAsia" w:ascii="宋体" w:hAnsi="宋体" w:cs="楷体"/>
          <w:kern w:val="0"/>
          <w:sz w:val="22"/>
          <w:szCs w:val="22"/>
          <w:highlight w:val="none"/>
          <w:lang w:eastAsia="zh-CN"/>
        </w:rPr>
        <w:t>0577-58100162</w:t>
      </w:r>
    </w:p>
    <w:p>
      <w:pPr>
        <w:spacing w:line="460" w:lineRule="exact"/>
        <w:ind w:firstLine="495" w:firstLineChars="225"/>
        <w:rPr>
          <w:rFonts w:hint="default" w:ascii="宋体" w:hAnsi="宋体" w:eastAsia="宋体"/>
          <w:sz w:val="22"/>
          <w:szCs w:val="22"/>
          <w:highlight w:val="none"/>
          <w:lang w:val="en-US" w:eastAsia="zh-CN"/>
        </w:rPr>
      </w:pPr>
      <w:r>
        <w:rPr>
          <w:rFonts w:hint="eastAsia" w:ascii="宋体" w:hAnsi="宋体" w:eastAsia="宋体"/>
          <w:sz w:val="22"/>
          <w:szCs w:val="22"/>
          <w:highlight w:val="none"/>
          <w:lang w:eastAsia="zh-CN"/>
        </w:rPr>
        <w:t>质疑联系人：</w:t>
      </w:r>
      <w:r>
        <w:rPr>
          <w:rFonts w:hint="eastAsia" w:ascii="宋体" w:hAnsi="宋体"/>
          <w:sz w:val="22"/>
          <w:szCs w:val="22"/>
          <w:highlight w:val="none"/>
          <w:lang w:val="en-US" w:eastAsia="zh-CN"/>
        </w:rPr>
        <w:t>包先生</w:t>
      </w:r>
    </w:p>
    <w:p>
      <w:pPr>
        <w:spacing w:line="460" w:lineRule="exact"/>
        <w:ind w:firstLine="495" w:firstLineChars="225"/>
        <w:rPr>
          <w:rFonts w:hint="default" w:ascii="宋体" w:hAnsi="宋体" w:eastAsia="宋体"/>
          <w:sz w:val="22"/>
          <w:szCs w:val="22"/>
          <w:highlight w:val="none"/>
          <w:lang w:val="en-US" w:eastAsia="zh-CN"/>
        </w:rPr>
      </w:pPr>
      <w:r>
        <w:rPr>
          <w:rFonts w:hint="eastAsia" w:ascii="宋体" w:hAnsi="宋体" w:eastAsia="宋体"/>
          <w:sz w:val="22"/>
          <w:szCs w:val="22"/>
          <w:highlight w:val="none"/>
          <w:lang w:eastAsia="zh-CN"/>
        </w:rPr>
        <w:t>质疑联系方式：0577-</w:t>
      </w:r>
      <w:r>
        <w:rPr>
          <w:rFonts w:hint="eastAsia" w:ascii="宋体" w:hAnsi="宋体"/>
          <w:sz w:val="22"/>
          <w:szCs w:val="22"/>
          <w:highlight w:val="none"/>
          <w:lang w:val="en-US" w:eastAsia="zh-CN"/>
        </w:rPr>
        <w:t>59885622</w:t>
      </w:r>
    </w:p>
    <w:p>
      <w:pPr>
        <w:spacing w:line="460" w:lineRule="exact"/>
        <w:ind w:firstLine="495" w:firstLineChars="225"/>
        <w:rPr>
          <w:rFonts w:hint="eastAsia" w:ascii="宋体" w:hAnsi="宋体" w:eastAsia="宋体"/>
          <w:sz w:val="22"/>
          <w:szCs w:val="22"/>
          <w:highlight w:val="none"/>
          <w:lang w:eastAsia="zh-CN"/>
        </w:rPr>
      </w:pPr>
      <w:r>
        <w:rPr>
          <w:rFonts w:hint="eastAsia" w:ascii="宋体" w:hAnsi="宋体"/>
          <w:sz w:val="22"/>
          <w:szCs w:val="22"/>
          <w:highlight w:val="none"/>
        </w:rPr>
        <w:t>2、采购代理机构：</w:t>
      </w:r>
      <w:r>
        <w:rPr>
          <w:rFonts w:hint="eastAsia" w:ascii="宋体" w:hAnsi="宋体"/>
          <w:sz w:val="22"/>
          <w:szCs w:val="22"/>
          <w:highlight w:val="none"/>
          <w:lang w:eastAsia="zh-CN"/>
        </w:rPr>
        <w:t>温州众晨项目管理有限公司</w:t>
      </w:r>
    </w:p>
    <w:p>
      <w:pPr>
        <w:spacing w:line="460" w:lineRule="exact"/>
        <w:ind w:firstLine="495" w:firstLineChars="225"/>
        <w:rPr>
          <w:rFonts w:hint="eastAsia" w:ascii="宋体" w:hAnsi="宋体" w:eastAsia="宋体"/>
          <w:sz w:val="22"/>
          <w:szCs w:val="22"/>
          <w:highlight w:val="none"/>
          <w:lang w:eastAsia="zh-CN"/>
        </w:rPr>
      </w:pPr>
      <w:r>
        <w:rPr>
          <w:rFonts w:hint="eastAsia" w:ascii="宋体" w:hAnsi="宋体"/>
          <w:sz w:val="22"/>
          <w:szCs w:val="22"/>
          <w:highlight w:val="none"/>
        </w:rPr>
        <w:t>采购代理机构地址：</w:t>
      </w:r>
      <w:r>
        <w:rPr>
          <w:rFonts w:hint="eastAsia" w:ascii="宋体" w:hAnsi="宋体"/>
          <w:sz w:val="22"/>
          <w:szCs w:val="22"/>
          <w:highlight w:val="none"/>
          <w:lang w:eastAsia="zh-CN"/>
        </w:rPr>
        <w:t>平阳县昆阳镇数字商务中心C栋203室</w:t>
      </w:r>
    </w:p>
    <w:p>
      <w:pPr>
        <w:spacing w:line="460" w:lineRule="exact"/>
        <w:ind w:firstLine="495" w:firstLineChars="225"/>
        <w:rPr>
          <w:rFonts w:hint="eastAsia" w:ascii="宋体" w:hAnsi="宋体" w:eastAsia="宋体" w:cs="Times New Roman"/>
          <w:sz w:val="22"/>
          <w:szCs w:val="22"/>
          <w:highlight w:val="none"/>
        </w:rPr>
      </w:pPr>
      <w:r>
        <w:rPr>
          <w:rFonts w:hint="eastAsia" w:ascii="宋体" w:hAnsi="宋体" w:eastAsia="宋体" w:cs="Times New Roman"/>
          <w:sz w:val="22"/>
          <w:szCs w:val="22"/>
          <w:highlight w:val="none"/>
        </w:rPr>
        <w:t>项目联系人（询问）：洪先生</w:t>
      </w:r>
    </w:p>
    <w:p>
      <w:pPr>
        <w:spacing w:line="460" w:lineRule="exact"/>
        <w:ind w:firstLine="495" w:firstLineChars="225"/>
        <w:rPr>
          <w:rFonts w:hint="eastAsia" w:ascii="宋体" w:hAnsi="宋体" w:eastAsia="宋体" w:cs="Times New Roman"/>
          <w:sz w:val="22"/>
          <w:szCs w:val="22"/>
          <w:highlight w:val="none"/>
          <w:lang w:eastAsia="zh-CN"/>
        </w:rPr>
      </w:pPr>
      <w:r>
        <w:rPr>
          <w:rFonts w:hint="eastAsia" w:ascii="宋体" w:hAnsi="宋体" w:eastAsia="宋体" w:cs="Times New Roman"/>
          <w:sz w:val="22"/>
          <w:szCs w:val="22"/>
          <w:highlight w:val="none"/>
        </w:rPr>
        <w:t>项目联系方式（询问）：0577-88418036，</w:t>
      </w:r>
      <w:r>
        <w:rPr>
          <w:rFonts w:hint="eastAsia" w:ascii="宋体" w:hAnsi="宋体" w:eastAsia="宋体" w:cs="Times New Roman"/>
          <w:sz w:val="22"/>
          <w:szCs w:val="22"/>
          <w:highlight w:val="none"/>
          <w:lang w:eastAsia="zh-CN"/>
        </w:rPr>
        <w:t>13353307923</w:t>
      </w:r>
    </w:p>
    <w:p>
      <w:pPr>
        <w:spacing w:line="460" w:lineRule="exact"/>
        <w:ind w:firstLine="495" w:firstLineChars="225"/>
        <w:rPr>
          <w:rFonts w:hint="eastAsia" w:ascii="宋体" w:hAnsi="宋体" w:eastAsia="宋体" w:cs="Times New Roman"/>
          <w:sz w:val="22"/>
          <w:szCs w:val="22"/>
          <w:highlight w:val="none"/>
        </w:rPr>
      </w:pPr>
      <w:r>
        <w:rPr>
          <w:rFonts w:hint="eastAsia" w:ascii="宋体" w:hAnsi="宋体" w:eastAsia="宋体" w:cs="Times New Roman"/>
          <w:sz w:val="22"/>
          <w:szCs w:val="22"/>
          <w:highlight w:val="none"/>
        </w:rPr>
        <w:t>质疑联系人：</w:t>
      </w:r>
      <w:r>
        <w:rPr>
          <w:rFonts w:hint="eastAsia" w:ascii="宋体" w:hAnsi="宋体" w:eastAsia="宋体" w:cs="Times New Roman"/>
          <w:sz w:val="22"/>
          <w:szCs w:val="22"/>
          <w:highlight w:val="none"/>
          <w:lang w:val="en-US" w:eastAsia="zh-CN"/>
        </w:rPr>
        <w:t>白</w:t>
      </w:r>
      <w:r>
        <w:rPr>
          <w:rFonts w:hint="eastAsia" w:ascii="宋体" w:hAnsi="宋体" w:eastAsia="宋体" w:cs="Times New Roman"/>
          <w:sz w:val="22"/>
          <w:szCs w:val="22"/>
          <w:highlight w:val="none"/>
        </w:rPr>
        <w:t>先生</w:t>
      </w:r>
    </w:p>
    <w:p>
      <w:pPr>
        <w:spacing w:line="460" w:lineRule="exact"/>
        <w:ind w:firstLine="495" w:firstLineChars="225"/>
        <w:rPr>
          <w:rFonts w:hint="default" w:ascii="宋体" w:hAnsi="宋体" w:eastAsia="宋体" w:cs="Times New Roman"/>
          <w:sz w:val="22"/>
          <w:szCs w:val="22"/>
          <w:highlight w:val="none"/>
          <w:lang w:val="en-US" w:eastAsia="zh-CN"/>
        </w:rPr>
      </w:pPr>
      <w:r>
        <w:rPr>
          <w:rFonts w:hint="eastAsia" w:ascii="宋体" w:hAnsi="宋体" w:eastAsia="宋体" w:cs="Times New Roman"/>
          <w:sz w:val="22"/>
          <w:szCs w:val="22"/>
          <w:highlight w:val="none"/>
        </w:rPr>
        <w:t>质疑联系方式：</w:t>
      </w:r>
      <w:r>
        <w:rPr>
          <w:rFonts w:hint="eastAsia" w:ascii="宋体" w:hAnsi="宋体" w:cs="Times New Roman"/>
          <w:sz w:val="22"/>
          <w:szCs w:val="22"/>
          <w:highlight w:val="none"/>
          <w:lang w:val="en-US" w:eastAsia="zh-CN"/>
        </w:rPr>
        <w:t>13634289168</w:t>
      </w:r>
    </w:p>
    <w:p>
      <w:pPr>
        <w:spacing w:line="460" w:lineRule="exact"/>
        <w:ind w:firstLine="495" w:firstLineChars="225"/>
        <w:rPr>
          <w:rFonts w:hint="eastAsia" w:ascii="宋体" w:hAnsi="宋体" w:eastAsia="宋体" w:cs="Times New Roman"/>
          <w:sz w:val="22"/>
          <w:szCs w:val="22"/>
          <w:highlight w:val="none"/>
          <w:lang w:eastAsia="zh-CN"/>
        </w:rPr>
      </w:pPr>
      <w:r>
        <w:rPr>
          <w:rFonts w:hint="eastAsia" w:ascii="宋体" w:hAnsi="宋体" w:cs="Times New Roman"/>
          <w:sz w:val="22"/>
          <w:szCs w:val="22"/>
          <w:highlight w:val="none"/>
          <w:lang w:val="en-US" w:eastAsia="zh-CN"/>
        </w:rPr>
        <w:t>3、</w:t>
      </w:r>
      <w:r>
        <w:rPr>
          <w:rFonts w:hint="eastAsia" w:ascii="宋体" w:hAnsi="宋体" w:eastAsia="宋体" w:cs="Times New Roman"/>
          <w:sz w:val="22"/>
          <w:szCs w:val="22"/>
          <w:highlight w:val="none"/>
        </w:rPr>
        <w:t>同级采购监督管理部门名称：</w:t>
      </w:r>
      <w:r>
        <w:rPr>
          <w:rFonts w:hint="eastAsia" w:ascii="宋体" w:hAnsi="宋体" w:eastAsia="宋体" w:cs="Times New Roman"/>
          <w:sz w:val="22"/>
          <w:szCs w:val="22"/>
          <w:highlight w:val="none"/>
          <w:lang w:eastAsia="zh-CN"/>
        </w:rPr>
        <w:t>平阳县国资发展有限公司纪检监察室</w:t>
      </w:r>
    </w:p>
    <w:p>
      <w:pPr>
        <w:spacing w:line="460" w:lineRule="exact"/>
        <w:ind w:firstLine="495" w:firstLineChars="225"/>
        <w:rPr>
          <w:rFonts w:hint="eastAsia" w:ascii="宋体" w:hAnsi="宋体" w:eastAsia="宋体" w:cs="Times New Roman"/>
          <w:sz w:val="22"/>
          <w:szCs w:val="22"/>
          <w:highlight w:val="none"/>
        </w:rPr>
      </w:pPr>
      <w:r>
        <w:rPr>
          <w:rFonts w:hint="eastAsia" w:ascii="宋体" w:hAnsi="宋体" w:eastAsia="宋体" w:cs="Times New Roman"/>
          <w:sz w:val="22"/>
          <w:szCs w:val="22"/>
          <w:highlight w:val="none"/>
        </w:rPr>
        <w:t>联 系 人：</w:t>
      </w:r>
      <w:r>
        <w:rPr>
          <w:rFonts w:hint="eastAsia" w:ascii="宋体" w:hAnsi="宋体" w:eastAsia="宋体" w:cs="Times New Roman"/>
          <w:sz w:val="22"/>
          <w:szCs w:val="22"/>
          <w:highlight w:val="none"/>
          <w:lang w:val="en-US" w:eastAsia="zh-CN"/>
        </w:rPr>
        <w:t>吕先生</w:t>
      </w:r>
    </w:p>
    <w:p>
      <w:pPr>
        <w:spacing w:line="460" w:lineRule="exact"/>
        <w:ind w:firstLine="495" w:firstLineChars="225"/>
        <w:rPr>
          <w:rFonts w:hint="eastAsia" w:ascii="宋体" w:hAnsi="宋体" w:eastAsia="宋体" w:cs="Times New Roman"/>
          <w:sz w:val="22"/>
          <w:szCs w:val="22"/>
          <w:highlight w:val="none"/>
          <w:lang w:val="en-US" w:eastAsia="zh-CN"/>
        </w:rPr>
      </w:pPr>
      <w:r>
        <w:rPr>
          <w:rFonts w:hint="eastAsia" w:ascii="宋体" w:hAnsi="宋体" w:eastAsia="宋体" w:cs="Times New Roman"/>
          <w:sz w:val="22"/>
          <w:szCs w:val="22"/>
          <w:highlight w:val="none"/>
        </w:rPr>
        <w:t>监督投诉电话：0577-5810</w:t>
      </w:r>
      <w:r>
        <w:rPr>
          <w:rFonts w:hint="eastAsia" w:ascii="宋体" w:hAnsi="宋体" w:eastAsia="宋体" w:cs="Times New Roman"/>
          <w:sz w:val="22"/>
          <w:szCs w:val="22"/>
          <w:highlight w:val="none"/>
          <w:lang w:val="en-US" w:eastAsia="zh-CN"/>
        </w:rPr>
        <w:t>0165</w:t>
      </w:r>
    </w:p>
    <w:p>
      <w:pPr>
        <w:spacing w:line="460" w:lineRule="exact"/>
        <w:ind w:firstLine="495" w:firstLineChars="225"/>
        <w:rPr>
          <w:rFonts w:hint="default" w:ascii="宋体" w:hAnsi="宋体" w:eastAsia="宋体" w:cs="Times New Roman"/>
          <w:sz w:val="22"/>
          <w:szCs w:val="22"/>
          <w:highlight w:val="none"/>
          <w:lang w:val="en-US" w:eastAsia="zh-CN"/>
        </w:rPr>
      </w:pPr>
      <w:r>
        <w:rPr>
          <w:rFonts w:hint="eastAsia" w:ascii="宋体" w:hAnsi="宋体" w:eastAsia="宋体" w:cs="Times New Roman"/>
          <w:sz w:val="22"/>
          <w:szCs w:val="22"/>
          <w:highlight w:val="none"/>
        </w:rPr>
        <w:t>地    址：平阳县昆阳镇兴良路</w:t>
      </w:r>
    </w:p>
    <w:p>
      <w:pPr>
        <w:spacing w:line="460" w:lineRule="exact"/>
        <w:ind w:firstLine="495" w:firstLineChars="225"/>
        <w:rPr>
          <w:rFonts w:ascii="宋体" w:hAnsi="宋体"/>
          <w:sz w:val="22"/>
          <w:szCs w:val="22"/>
          <w:highlight w:val="none"/>
        </w:rPr>
      </w:pPr>
    </w:p>
    <w:p>
      <w:pPr>
        <w:widowControl/>
        <w:spacing w:line="460" w:lineRule="exact"/>
        <w:jc w:val="right"/>
        <w:rPr>
          <w:rFonts w:hint="eastAsia" w:ascii="宋体" w:hAnsi="宋体" w:eastAsia="宋体" w:cs="宋体"/>
          <w:kern w:val="0"/>
          <w:sz w:val="22"/>
          <w:szCs w:val="22"/>
          <w:highlight w:val="none"/>
          <w:lang w:eastAsia="zh-CN"/>
        </w:rPr>
      </w:pPr>
      <w:r>
        <w:rPr>
          <w:rFonts w:hint="eastAsia" w:ascii="宋体" w:hAnsi="宋体" w:cs="宋体"/>
          <w:kern w:val="0"/>
          <w:sz w:val="22"/>
          <w:szCs w:val="22"/>
          <w:highlight w:val="none"/>
          <w:lang w:eastAsia="zh-CN"/>
        </w:rPr>
        <w:t>平阳县盈泽控股有限公司</w:t>
      </w:r>
    </w:p>
    <w:p>
      <w:pPr>
        <w:widowControl/>
        <w:spacing w:line="460" w:lineRule="exact"/>
        <w:jc w:val="right"/>
        <w:rPr>
          <w:rFonts w:hint="eastAsia" w:ascii="宋体" w:hAnsi="宋体" w:eastAsia="宋体" w:cs="宋体"/>
          <w:kern w:val="0"/>
          <w:sz w:val="22"/>
          <w:szCs w:val="22"/>
          <w:highlight w:val="none"/>
          <w:lang w:eastAsia="zh-CN"/>
        </w:rPr>
      </w:pPr>
      <w:r>
        <w:rPr>
          <w:rFonts w:hint="eastAsia" w:ascii="宋体" w:hAnsi="宋体" w:cs="宋体"/>
          <w:kern w:val="0"/>
          <w:sz w:val="22"/>
          <w:szCs w:val="22"/>
          <w:highlight w:val="none"/>
          <w:lang w:eastAsia="zh-CN"/>
        </w:rPr>
        <w:t>温州众晨项目管理有限公司</w:t>
      </w:r>
    </w:p>
    <w:p>
      <w:pPr>
        <w:widowControl/>
        <w:spacing w:line="360" w:lineRule="auto"/>
        <w:ind w:firstLine="440" w:firstLineChars="200"/>
        <w:jc w:val="right"/>
        <w:rPr>
          <w:rFonts w:ascii="宋体" w:hAnsi="宋体"/>
          <w:kern w:val="0"/>
          <w:sz w:val="22"/>
          <w:szCs w:val="22"/>
          <w:highlight w:val="none"/>
        </w:rPr>
      </w:pPr>
      <w:r>
        <w:rPr>
          <w:rFonts w:hint="eastAsia" w:ascii="宋体" w:hAnsi="宋体"/>
          <w:kern w:val="0"/>
          <w:sz w:val="22"/>
          <w:szCs w:val="22"/>
          <w:highlight w:val="none"/>
          <w:lang w:eastAsia="zh-CN"/>
        </w:rPr>
        <w:t>202</w:t>
      </w:r>
      <w:r>
        <w:rPr>
          <w:rFonts w:hint="eastAsia" w:ascii="宋体" w:hAnsi="宋体"/>
          <w:kern w:val="0"/>
          <w:sz w:val="22"/>
          <w:szCs w:val="22"/>
          <w:highlight w:val="none"/>
          <w:lang w:val="en-US" w:eastAsia="zh-CN"/>
        </w:rPr>
        <w:t>3</w:t>
      </w:r>
      <w:r>
        <w:rPr>
          <w:rFonts w:hint="eastAsia" w:ascii="宋体" w:hAnsi="宋体"/>
          <w:kern w:val="0"/>
          <w:sz w:val="22"/>
          <w:szCs w:val="22"/>
          <w:highlight w:val="none"/>
          <w:lang w:eastAsia="zh-CN"/>
        </w:rPr>
        <w:t>年</w:t>
      </w:r>
      <w:r>
        <w:rPr>
          <w:rFonts w:hint="eastAsia" w:ascii="宋体" w:hAnsi="宋体"/>
          <w:kern w:val="0"/>
          <w:sz w:val="22"/>
          <w:szCs w:val="22"/>
          <w:highlight w:val="none"/>
          <w:lang w:val="en-US" w:eastAsia="zh-CN"/>
        </w:rPr>
        <w:t>09</w:t>
      </w:r>
      <w:r>
        <w:rPr>
          <w:rFonts w:hint="eastAsia" w:ascii="宋体" w:hAnsi="宋体"/>
          <w:kern w:val="0"/>
          <w:sz w:val="22"/>
          <w:szCs w:val="22"/>
          <w:highlight w:val="none"/>
          <w:lang w:eastAsia="zh-CN"/>
        </w:rPr>
        <w:t>月</w:t>
      </w:r>
      <w:r>
        <w:rPr>
          <w:rFonts w:hint="eastAsia" w:ascii="宋体" w:hAnsi="宋体"/>
          <w:kern w:val="0"/>
          <w:sz w:val="22"/>
          <w:szCs w:val="22"/>
          <w:highlight w:val="none"/>
          <w:lang w:val="en-US" w:eastAsia="zh-CN"/>
        </w:rPr>
        <w:t>27</w:t>
      </w:r>
      <w:r>
        <w:rPr>
          <w:rFonts w:hint="eastAsia" w:ascii="宋体" w:hAnsi="宋体"/>
          <w:kern w:val="0"/>
          <w:sz w:val="22"/>
          <w:szCs w:val="22"/>
          <w:highlight w:val="none"/>
          <w:lang w:eastAsia="zh-CN"/>
        </w:rPr>
        <w:t>日</w:t>
      </w:r>
    </w:p>
    <w:p>
      <w:pPr>
        <w:pStyle w:val="5"/>
        <w:spacing w:before="120" w:beforeLines="50"/>
        <w:rPr>
          <w:rFonts w:ascii="宋体" w:hAnsi="宋体" w:eastAsia="宋体" w:cs="Courier New"/>
          <w:sz w:val="36"/>
          <w:szCs w:val="36"/>
          <w:highlight w:val="none"/>
        </w:rPr>
      </w:pPr>
      <w:r>
        <w:rPr>
          <w:rFonts w:hint="eastAsia" w:ascii="宋体" w:hAnsi="宋体" w:eastAsia="宋体"/>
          <w:sz w:val="22"/>
          <w:szCs w:val="22"/>
          <w:highlight w:val="none"/>
        </w:rPr>
        <w:br w:type="page"/>
      </w:r>
      <w:bookmarkStart w:id="17" w:name="_Toc216667819"/>
      <w:bookmarkStart w:id="18" w:name="_Toc227489886"/>
      <w:bookmarkStart w:id="19" w:name="_Toc219538612"/>
      <w:bookmarkStart w:id="20" w:name="_Toc218041725"/>
      <w:bookmarkStart w:id="21" w:name="_Toc25328"/>
      <w:bookmarkStart w:id="22" w:name="_Toc217460684"/>
      <w:bookmarkStart w:id="23" w:name="_Toc227057032"/>
      <w:bookmarkStart w:id="24" w:name="_Toc215415529"/>
      <w:bookmarkStart w:id="25" w:name="_Toc223717603"/>
      <w:bookmarkStart w:id="26" w:name="_Toc223933220"/>
      <w:bookmarkStart w:id="27" w:name="_Toc227056845"/>
      <w:r>
        <w:rPr>
          <w:rFonts w:hint="eastAsia" w:ascii="宋体" w:hAnsi="宋体" w:eastAsia="宋体" w:cs="Courier New"/>
          <w:sz w:val="36"/>
          <w:szCs w:val="36"/>
          <w:highlight w:val="none"/>
        </w:rPr>
        <w:t>第一部分  投标人须知</w:t>
      </w:r>
      <w:bookmarkEnd w:id="17"/>
      <w:bookmarkEnd w:id="18"/>
      <w:bookmarkEnd w:id="19"/>
      <w:bookmarkEnd w:id="20"/>
      <w:bookmarkEnd w:id="21"/>
      <w:bookmarkEnd w:id="22"/>
      <w:bookmarkEnd w:id="23"/>
      <w:bookmarkEnd w:id="24"/>
      <w:bookmarkEnd w:id="25"/>
      <w:bookmarkEnd w:id="26"/>
      <w:bookmarkEnd w:id="27"/>
    </w:p>
    <w:p>
      <w:pPr>
        <w:pStyle w:val="6"/>
        <w:spacing w:line="400" w:lineRule="exact"/>
        <w:jc w:val="center"/>
        <w:rPr>
          <w:rFonts w:ascii="宋体" w:hAnsi="宋体" w:eastAsia="宋体" w:cs="Courier New"/>
          <w:highlight w:val="none"/>
        </w:rPr>
      </w:pPr>
      <w:bookmarkStart w:id="28" w:name="_Toc401243876"/>
      <w:bookmarkStart w:id="29" w:name="_Toc27085"/>
      <w:bookmarkStart w:id="30" w:name="_Toc433729304"/>
      <w:bookmarkStart w:id="31" w:name="_Toc217460685"/>
      <w:bookmarkStart w:id="32" w:name="_Toc227056846"/>
      <w:bookmarkStart w:id="33" w:name="_Toc215415530"/>
      <w:bookmarkStart w:id="34" w:name="_Toc216667820"/>
      <w:bookmarkStart w:id="35" w:name="_Toc223933221"/>
      <w:bookmarkStart w:id="36" w:name="_Toc218041726"/>
      <w:bookmarkStart w:id="37" w:name="_Toc219538613"/>
      <w:bookmarkStart w:id="38" w:name="_Toc227057033"/>
      <w:bookmarkStart w:id="39" w:name="_Toc223717604"/>
      <w:bookmarkStart w:id="40" w:name="_Toc227489887"/>
      <w:r>
        <w:rPr>
          <w:rFonts w:hint="eastAsia" w:ascii="宋体" w:hAnsi="宋体" w:eastAsia="宋体" w:cs="Courier New"/>
          <w:highlight w:val="none"/>
        </w:rPr>
        <w:t>投标人须知前附表</w:t>
      </w:r>
      <w:bookmarkEnd w:id="28"/>
      <w:bookmarkEnd w:id="29"/>
      <w:bookmarkEnd w:id="30"/>
    </w:p>
    <w:tbl>
      <w:tblPr>
        <w:tblStyle w:val="34"/>
        <w:tblW w:w="10201" w:type="dxa"/>
        <w:jc w:val="center"/>
        <w:tblLayout w:type="fixed"/>
        <w:tblCellMar>
          <w:top w:w="0" w:type="dxa"/>
          <w:left w:w="108" w:type="dxa"/>
          <w:bottom w:w="0" w:type="dxa"/>
          <w:right w:w="108" w:type="dxa"/>
        </w:tblCellMar>
      </w:tblPr>
      <w:tblGrid>
        <w:gridCol w:w="562"/>
        <w:gridCol w:w="1843"/>
        <w:gridCol w:w="7796"/>
      </w:tblGrid>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楷体"/>
                <w:kern w:val="0"/>
                <w:sz w:val="22"/>
                <w:szCs w:val="22"/>
                <w:highlight w:val="none"/>
              </w:rPr>
            </w:pPr>
            <w:r>
              <w:rPr>
                <w:rFonts w:hint="eastAsia" w:ascii="宋体" w:hAnsi="宋体" w:cs="楷体"/>
                <w:kern w:val="0"/>
                <w:sz w:val="22"/>
                <w:szCs w:val="22"/>
                <w:highlight w:val="none"/>
              </w:rPr>
              <w:t>序号</w:t>
            </w: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楷体"/>
                <w:kern w:val="0"/>
                <w:sz w:val="22"/>
                <w:szCs w:val="22"/>
                <w:highlight w:val="none"/>
              </w:rPr>
            </w:pPr>
            <w:r>
              <w:rPr>
                <w:rFonts w:hint="eastAsia" w:ascii="宋体" w:hAnsi="宋体" w:cs="楷体"/>
                <w:kern w:val="0"/>
                <w:sz w:val="22"/>
                <w:szCs w:val="22"/>
                <w:highlight w:val="none"/>
              </w:rPr>
              <w:t>条款名称</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楷体"/>
                <w:kern w:val="0"/>
                <w:sz w:val="22"/>
                <w:szCs w:val="22"/>
                <w:highlight w:val="none"/>
              </w:rPr>
            </w:pPr>
            <w:r>
              <w:rPr>
                <w:rFonts w:hint="eastAsia" w:ascii="宋体" w:hAnsi="宋体" w:cs="楷体"/>
                <w:kern w:val="0"/>
                <w:sz w:val="22"/>
                <w:szCs w:val="22"/>
                <w:highlight w:val="none"/>
              </w:rPr>
              <w:t>编列内容</w:t>
            </w:r>
          </w:p>
        </w:tc>
      </w:tr>
      <w:tr>
        <w:tblPrEx>
          <w:tblCellMar>
            <w:top w:w="0" w:type="dxa"/>
            <w:left w:w="108" w:type="dxa"/>
            <w:bottom w:w="0" w:type="dxa"/>
            <w:right w:w="108" w:type="dxa"/>
          </w:tblCellMar>
        </w:tblPrEx>
        <w:trPr>
          <w:trHeight w:val="722"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项目名称</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cs="楷体"/>
                <w:kern w:val="0"/>
                <w:sz w:val="22"/>
                <w:szCs w:val="22"/>
                <w:highlight w:val="none"/>
                <w:lang w:eastAsia="zh-CN"/>
              </w:rPr>
            </w:pPr>
            <w:r>
              <w:rPr>
                <w:rFonts w:hint="eastAsia" w:ascii="宋体" w:hAnsi="宋体" w:cs="楷体"/>
                <w:kern w:val="0"/>
                <w:sz w:val="22"/>
                <w:szCs w:val="22"/>
                <w:highlight w:val="none"/>
                <w:lang w:eastAsia="zh-CN"/>
              </w:rPr>
              <w:t>2023年平阳县生态环境监测设备采购及安装</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项目编号</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楷体"/>
                <w:sz w:val="22"/>
                <w:szCs w:val="22"/>
                <w:highlight w:val="none"/>
                <w:lang w:eastAsia="zh-CN"/>
              </w:rPr>
            </w:pPr>
            <w:r>
              <w:rPr>
                <w:rFonts w:hint="eastAsia" w:ascii="宋体" w:hAnsi="宋体" w:cs="楷体"/>
                <w:sz w:val="22"/>
                <w:szCs w:val="22"/>
                <w:highlight w:val="none"/>
                <w:lang w:eastAsia="zh-CN"/>
              </w:rPr>
              <w:t>PYCG230927094</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项目性质</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楷体"/>
                <w:sz w:val="22"/>
                <w:szCs w:val="22"/>
                <w:highlight w:val="none"/>
                <w:lang w:eastAsia="zh-CN"/>
              </w:rPr>
            </w:pPr>
            <w:r>
              <w:rPr>
                <w:rFonts w:hint="eastAsia" w:ascii="宋体" w:hAnsi="宋体" w:cs="楷体"/>
                <w:sz w:val="22"/>
                <w:szCs w:val="22"/>
                <w:highlight w:val="none"/>
                <w:lang w:eastAsia="zh-CN"/>
              </w:rPr>
              <w:t>国企采购</w:t>
            </w:r>
            <w:r>
              <w:rPr>
                <w:rFonts w:hint="eastAsia" w:ascii="宋体" w:hAnsi="宋体" w:cs="楷体"/>
                <w:sz w:val="22"/>
                <w:szCs w:val="22"/>
                <w:highlight w:val="none"/>
              </w:rPr>
              <w:t>（</w:t>
            </w:r>
            <w:r>
              <w:rPr>
                <w:rFonts w:hint="eastAsia" w:ascii="宋体" w:hAnsi="宋体" w:cs="楷体"/>
                <w:sz w:val="22"/>
                <w:szCs w:val="22"/>
                <w:highlight w:val="none"/>
                <w:lang w:val="en-US" w:eastAsia="zh-CN"/>
              </w:rPr>
              <w:t>货物</w:t>
            </w:r>
            <w:r>
              <w:rPr>
                <w:rFonts w:hint="eastAsia" w:ascii="宋体" w:hAnsi="宋体" w:cs="楷体"/>
                <w:sz w:val="22"/>
                <w:szCs w:val="22"/>
                <w:highlight w:val="none"/>
                <w:lang w:eastAsia="zh-CN"/>
              </w:rPr>
              <w:t>类</w:t>
            </w:r>
            <w:r>
              <w:rPr>
                <w:rFonts w:hint="eastAsia" w:ascii="宋体" w:hAnsi="宋体" w:cs="楷体"/>
                <w:sz w:val="22"/>
                <w:szCs w:val="22"/>
                <w:highlight w:val="none"/>
              </w:rPr>
              <w:t>）</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宋体"/>
                <w:kern w:val="0"/>
                <w:sz w:val="22"/>
                <w:szCs w:val="22"/>
                <w:highlight w:val="none"/>
              </w:rPr>
              <w:t>采购组织类型</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cs="楷体"/>
                <w:sz w:val="22"/>
                <w:szCs w:val="22"/>
                <w:highlight w:val="none"/>
                <w:lang w:val="en-US" w:eastAsia="zh-CN"/>
              </w:rPr>
            </w:pPr>
            <w:r>
              <w:rPr>
                <w:rFonts w:hint="eastAsia" w:ascii="宋体" w:hAnsi="宋体" w:eastAsia="宋体" w:cs="宋体"/>
                <w:kern w:val="0"/>
                <w:sz w:val="22"/>
                <w:szCs w:val="22"/>
                <w:highlight w:val="none"/>
              </w:rPr>
              <w:t>分散采购-委托中介</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lang w:val="en-US" w:eastAsia="zh-CN"/>
              </w:rPr>
              <w:t>招标</w:t>
            </w:r>
            <w:r>
              <w:rPr>
                <w:rFonts w:hint="eastAsia" w:ascii="宋体" w:hAnsi="宋体" w:cs="楷体"/>
                <w:kern w:val="0"/>
                <w:sz w:val="22"/>
                <w:szCs w:val="22"/>
                <w:highlight w:val="none"/>
              </w:rPr>
              <w:t>方式</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sz w:val="22"/>
                <w:szCs w:val="22"/>
                <w:highlight w:val="none"/>
              </w:rPr>
            </w:pPr>
            <w:r>
              <w:rPr>
                <w:rFonts w:hint="eastAsia" w:ascii="宋体" w:hAnsi="宋体" w:cs="楷体"/>
                <w:sz w:val="22"/>
                <w:szCs w:val="22"/>
                <w:highlight w:val="none"/>
              </w:rPr>
              <w:t>公开招标（以招标公告的方式邀请非特定的供应商参加投标的采购方式）</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cs="楷体"/>
                <w:kern w:val="0"/>
                <w:sz w:val="22"/>
                <w:szCs w:val="22"/>
                <w:highlight w:val="none"/>
                <w:lang w:eastAsia="zh-CN"/>
              </w:rPr>
            </w:pPr>
            <w:r>
              <w:rPr>
                <w:rFonts w:hint="eastAsia" w:ascii="宋体" w:hAnsi="宋体" w:cs="楷体"/>
                <w:kern w:val="0"/>
                <w:sz w:val="22"/>
                <w:szCs w:val="22"/>
                <w:highlight w:val="none"/>
                <w:lang w:val="en-US" w:eastAsia="zh-CN"/>
              </w:rPr>
              <w:t>采购人</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cs="楷体"/>
                <w:kern w:val="0"/>
                <w:sz w:val="22"/>
                <w:szCs w:val="22"/>
                <w:highlight w:val="none"/>
                <w:lang w:eastAsia="zh-CN"/>
              </w:rPr>
            </w:pPr>
            <w:r>
              <w:rPr>
                <w:rFonts w:hint="eastAsia" w:ascii="宋体" w:hAnsi="宋体" w:cs="楷体"/>
                <w:kern w:val="0"/>
                <w:sz w:val="22"/>
                <w:szCs w:val="22"/>
                <w:highlight w:val="none"/>
                <w:lang w:eastAsia="zh-CN"/>
              </w:rPr>
              <w:t>采购人名称</w:t>
            </w:r>
            <w:r>
              <w:rPr>
                <w:rFonts w:hint="eastAsia" w:ascii="宋体" w:hAnsi="宋体" w:cs="楷体"/>
                <w:kern w:val="0"/>
                <w:sz w:val="22"/>
                <w:szCs w:val="22"/>
                <w:highlight w:val="none"/>
              </w:rPr>
              <w:t>：</w:t>
            </w:r>
            <w:r>
              <w:rPr>
                <w:rFonts w:hint="eastAsia" w:ascii="宋体" w:hAnsi="宋体" w:cs="楷体"/>
                <w:kern w:val="0"/>
                <w:sz w:val="22"/>
                <w:szCs w:val="22"/>
                <w:highlight w:val="none"/>
                <w:lang w:eastAsia="zh-CN"/>
              </w:rPr>
              <w:t>平阳县盈泽控股有限公司</w:t>
            </w:r>
          </w:p>
          <w:p>
            <w:pPr>
              <w:spacing w:line="360" w:lineRule="exact"/>
              <w:rPr>
                <w:rFonts w:hint="eastAsia" w:ascii="宋体" w:hAnsi="宋体" w:eastAsia="宋体" w:cs="楷体"/>
                <w:kern w:val="0"/>
                <w:sz w:val="22"/>
                <w:szCs w:val="22"/>
                <w:highlight w:val="none"/>
                <w:lang w:eastAsia="zh-CN"/>
              </w:rPr>
            </w:pPr>
            <w:r>
              <w:rPr>
                <w:rFonts w:hint="eastAsia" w:ascii="宋体" w:hAnsi="宋体" w:cs="楷体"/>
                <w:kern w:val="0"/>
                <w:sz w:val="22"/>
                <w:szCs w:val="22"/>
                <w:highlight w:val="none"/>
                <w:lang w:eastAsia="zh-CN"/>
              </w:rPr>
              <w:t>地址</w:t>
            </w:r>
            <w:r>
              <w:rPr>
                <w:rFonts w:hint="eastAsia" w:ascii="宋体" w:hAnsi="宋体" w:cs="楷体"/>
                <w:kern w:val="0"/>
                <w:sz w:val="22"/>
                <w:szCs w:val="22"/>
                <w:highlight w:val="none"/>
              </w:rPr>
              <w:t>：</w:t>
            </w:r>
            <w:r>
              <w:rPr>
                <w:rFonts w:hint="eastAsia" w:ascii="宋体" w:hAnsi="宋体" w:cs="楷体"/>
                <w:kern w:val="0"/>
                <w:sz w:val="22"/>
                <w:szCs w:val="22"/>
                <w:highlight w:val="none"/>
                <w:lang w:eastAsia="zh-CN"/>
              </w:rPr>
              <w:t>平阳县昆阳镇兴良路</w:t>
            </w:r>
          </w:p>
          <w:p>
            <w:pPr>
              <w:spacing w:line="360" w:lineRule="exact"/>
              <w:rPr>
                <w:rFonts w:hint="default" w:ascii="宋体" w:hAnsi="宋体" w:eastAsia="宋体" w:cs="楷体"/>
                <w:kern w:val="0"/>
                <w:sz w:val="22"/>
                <w:szCs w:val="22"/>
                <w:highlight w:val="none"/>
                <w:lang w:val="en-US" w:eastAsia="zh-CN"/>
              </w:rPr>
            </w:pPr>
            <w:r>
              <w:rPr>
                <w:rFonts w:hint="eastAsia" w:ascii="宋体" w:hAnsi="宋体" w:cs="楷体"/>
                <w:kern w:val="0"/>
                <w:sz w:val="22"/>
                <w:szCs w:val="22"/>
                <w:highlight w:val="none"/>
              </w:rPr>
              <w:t>项目联系人（询问）：</w:t>
            </w:r>
            <w:r>
              <w:rPr>
                <w:rFonts w:hint="eastAsia" w:ascii="宋体" w:hAnsi="宋体" w:cs="楷体"/>
                <w:kern w:val="0"/>
                <w:sz w:val="22"/>
                <w:szCs w:val="22"/>
                <w:highlight w:val="none"/>
                <w:lang w:val="en-US" w:eastAsia="zh-CN"/>
              </w:rPr>
              <w:t>温先生</w:t>
            </w:r>
          </w:p>
          <w:p>
            <w:pPr>
              <w:spacing w:line="360" w:lineRule="exact"/>
              <w:rPr>
                <w:rFonts w:hint="eastAsia" w:ascii="宋体" w:hAnsi="宋体" w:eastAsia="宋体" w:cs="楷体"/>
                <w:kern w:val="0"/>
                <w:sz w:val="22"/>
                <w:szCs w:val="22"/>
                <w:highlight w:val="none"/>
                <w:lang w:eastAsia="zh-CN"/>
              </w:rPr>
            </w:pPr>
            <w:r>
              <w:rPr>
                <w:rFonts w:hint="eastAsia" w:ascii="宋体" w:hAnsi="宋体" w:cs="楷体"/>
                <w:kern w:val="0"/>
                <w:sz w:val="22"/>
                <w:szCs w:val="22"/>
                <w:highlight w:val="none"/>
              </w:rPr>
              <w:t>项目联系方式（询问）：</w:t>
            </w:r>
            <w:r>
              <w:rPr>
                <w:rFonts w:hint="eastAsia" w:ascii="宋体" w:hAnsi="宋体" w:cs="楷体"/>
                <w:kern w:val="0"/>
                <w:sz w:val="22"/>
                <w:szCs w:val="22"/>
                <w:highlight w:val="none"/>
                <w:lang w:eastAsia="zh-CN"/>
              </w:rPr>
              <w:t>0577-58100162</w:t>
            </w:r>
          </w:p>
          <w:p>
            <w:pPr>
              <w:spacing w:line="360" w:lineRule="exact"/>
              <w:rPr>
                <w:rFonts w:hint="default" w:ascii="宋体" w:hAnsi="宋体" w:cs="楷体"/>
                <w:kern w:val="0"/>
                <w:sz w:val="22"/>
                <w:szCs w:val="22"/>
                <w:highlight w:val="none"/>
                <w:lang w:val="en-US" w:eastAsia="zh-CN"/>
              </w:rPr>
            </w:pPr>
            <w:r>
              <w:rPr>
                <w:rFonts w:hint="eastAsia" w:ascii="宋体" w:hAnsi="宋体" w:cs="楷体"/>
                <w:kern w:val="0"/>
                <w:sz w:val="22"/>
                <w:szCs w:val="22"/>
                <w:highlight w:val="none"/>
                <w:lang w:eastAsia="zh-CN"/>
              </w:rPr>
              <w:t>质疑联系人：</w:t>
            </w:r>
            <w:r>
              <w:rPr>
                <w:rFonts w:hint="eastAsia" w:ascii="宋体" w:hAnsi="宋体" w:cs="楷体"/>
                <w:kern w:val="0"/>
                <w:sz w:val="22"/>
                <w:szCs w:val="22"/>
                <w:highlight w:val="none"/>
                <w:lang w:val="en-US" w:eastAsia="zh-CN"/>
              </w:rPr>
              <w:t>包先生</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lang w:eastAsia="zh-CN"/>
              </w:rPr>
              <w:t>质疑联系方式：0577-</w:t>
            </w:r>
            <w:r>
              <w:rPr>
                <w:rFonts w:hint="eastAsia" w:ascii="宋体" w:hAnsi="宋体" w:cs="楷体"/>
                <w:kern w:val="0"/>
                <w:sz w:val="22"/>
                <w:szCs w:val="22"/>
                <w:highlight w:val="none"/>
                <w:lang w:val="en-US" w:eastAsia="zh-CN"/>
              </w:rPr>
              <w:t>59885622</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采购代理机构</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cs="楷体"/>
                <w:kern w:val="0"/>
                <w:sz w:val="22"/>
                <w:szCs w:val="22"/>
                <w:highlight w:val="none"/>
                <w:lang w:eastAsia="zh-CN"/>
              </w:rPr>
            </w:pPr>
            <w:r>
              <w:rPr>
                <w:rFonts w:hint="eastAsia" w:ascii="宋体" w:hAnsi="宋体" w:cs="楷体"/>
                <w:kern w:val="0"/>
                <w:sz w:val="22"/>
                <w:szCs w:val="22"/>
                <w:highlight w:val="none"/>
              </w:rPr>
              <w:t>代理机构名称：</w:t>
            </w:r>
            <w:r>
              <w:rPr>
                <w:rFonts w:hint="eastAsia" w:ascii="宋体" w:hAnsi="宋体" w:cs="楷体"/>
                <w:kern w:val="0"/>
                <w:sz w:val="22"/>
                <w:szCs w:val="22"/>
                <w:highlight w:val="none"/>
                <w:lang w:eastAsia="zh-CN"/>
              </w:rPr>
              <w:t>温州众晨项目管理有限公司</w:t>
            </w:r>
          </w:p>
          <w:p>
            <w:pPr>
              <w:spacing w:line="360" w:lineRule="exact"/>
              <w:rPr>
                <w:rFonts w:hint="eastAsia" w:ascii="宋体" w:hAnsi="宋体" w:eastAsia="宋体" w:cs="楷体"/>
                <w:kern w:val="0"/>
                <w:sz w:val="22"/>
                <w:szCs w:val="22"/>
                <w:highlight w:val="none"/>
                <w:lang w:eastAsia="zh-CN"/>
              </w:rPr>
            </w:pPr>
            <w:r>
              <w:rPr>
                <w:rFonts w:hint="eastAsia" w:ascii="宋体" w:hAnsi="宋体" w:cs="楷体"/>
                <w:kern w:val="0"/>
                <w:sz w:val="22"/>
                <w:szCs w:val="22"/>
                <w:highlight w:val="none"/>
              </w:rPr>
              <w:t>代理机构地址：</w:t>
            </w:r>
            <w:r>
              <w:rPr>
                <w:rFonts w:hint="eastAsia" w:ascii="宋体" w:hAnsi="宋体" w:cs="楷体"/>
                <w:kern w:val="0"/>
                <w:sz w:val="22"/>
                <w:szCs w:val="22"/>
                <w:highlight w:val="none"/>
                <w:lang w:eastAsia="zh-CN"/>
              </w:rPr>
              <w:t>平阳县昆阳镇数字商务中心C栋203室</w:t>
            </w:r>
          </w:p>
          <w:p>
            <w:pPr>
              <w:spacing w:line="360" w:lineRule="exact"/>
              <w:rPr>
                <w:rFonts w:hint="eastAsia" w:ascii="宋体" w:hAnsi="宋体" w:cs="楷体"/>
                <w:kern w:val="0"/>
                <w:sz w:val="22"/>
                <w:szCs w:val="22"/>
                <w:highlight w:val="none"/>
              </w:rPr>
            </w:pPr>
            <w:r>
              <w:rPr>
                <w:rFonts w:hint="eastAsia" w:ascii="宋体" w:hAnsi="宋体" w:cs="楷体"/>
                <w:kern w:val="0"/>
                <w:sz w:val="22"/>
                <w:szCs w:val="22"/>
                <w:highlight w:val="none"/>
              </w:rPr>
              <w:t>项目联系人（询问）：洪先生</w:t>
            </w:r>
          </w:p>
          <w:p>
            <w:pPr>
              <w:spacing w:line="360" w:lineRule="exact"/>
              <w:rPr>
                <w:rFonts w:hint="eastAsia" w:ascii="宋体" w:hAnsi="宋体" w:eastAsia="宋体" w:cs="楷体"/>
                <w:kern w:val="0"/>
                <w:sz w:val="22"/>
                <w:szCs w:val="22"/>
                <w:highlight w:val="none"/>
                <w:lang w:eastAsia="zh-CN"/>
              </w:rPr>
            </w:pPr>
            <w:r>
              <w:rPr>
                <w:rFonts w:hint="eastAsia" w:ascii="宋体" w:hAnsi="宋体" w:cs="楷体"/>
                <w:kern w:val="0"/>
                <w:sz w:val="22"/>
                <w:szCs w:val="22"/>
                <w:highlight w:val="none"/>
              </w:rPr>
              <w:t>项目联系方式（询问）：0577-88418036，</w:t>
            </w:r>
            <w:r>
              <w:rPr>
                <w:rFonts w:hint="eastAsia" w:ascii="宋体" w:hAnsi="宋体" w:cs="楷体"/>
                <w:kern w:val="0"/>
                <w:sz w:val="22"/>
                <w:szCs w:val="22"/>
                <w:highlight w:val="none"/>
                <w:lang w:eastAsia="zh-CN"/>
              </w:rPr>
              <w:t>13353307923</w:t>
            </w:r>
          </w:p>
          <w:p>
            <w:pPr>
              <w:spacing w:line="360" w:lineRule="exact"/>
              <w:rPr>
                <w:rFonts w:hint="default" w:ascii="宋体" w:hAnsi="宋体" w:eastAsia="宋体" w:cs="楷体"/>
                <w:kern w:val="0"/>
                <w:sz w:val="22"/>
                <w:szCs w:val="22"/>
                <w:highlight w:val="none"/>
                <w:lang w:val="en-US" w:eastAsia="zh-CN"/>
              </w:rPr>
            </w:pPr>
            <w:r>
              <w:rPr>
                <w:rFonts w:hint="eastAsia" w:ascii="宋体" w:hAnsi="宋体" w:cs="楷体"/>
                <w:kern w:val="0"/>
                <w:sz w:val="22"/>
                <w:szCs w:val="22"/>
                <w:highlight w:val="none"/>
              </w:rPr>
              <w:t>质疑联系人：</w:t>
            </w:r>
            <w:r>
              <w:rPr>
                <w:rFonts w:hint="eastAsia" w:ascii="宋体" w:hAnsi="宋体" w:cs="楷体"/>
                <w:kern w:val="0"/>
                <w:sz w:val="22"/>
                <w:szCs w:val="22"/>
                <w:highlight w:val="none"/>
                <w:lang w:val="en-US" w:eastAsia="zh-CN"/>
              </w:rPr>
              <w:t>白</w:t>
            </w:r>
            <w:r>
              <w:rPr>
                <w:rFonts w:hint="eastAsia" w:ascii="宋体" w:hAnsi="宋体" w:cs="楷体"/>
                <w:kern w:val="0"/>
                <w:sz w:val="22"/>
                <w:szCs w:val="22"/>
                <w:highlight w:val="none"/>
              </w:rPr>
              <w:t>先生</w:t>
            </w:r>
          </w:p>
          <w:p>
            <w:pPr>
              <w:spacing w:line="360" w:lineRule="exact"/>
              <w:rPr>
                <w:rFonts w:hint="default" w:ascii="宋体" w:hAnsi="宋体" w:eastAsia="宋体"/>
                <w:highlight w:val="none"/>
                <w:lang w:val="en-US" w:eastAsia="zh-CN"/>
              </w:rPr>
            </w:pPr>
            <w:r>
              <w:rPr>
                <w:rFonts w:hint="eastAsia" w:ascii="宋体" w:hAnsi="宋体" w:cs="楷体"/>
                <w:kern w:val="0"/>
                <w:sz w:val="22"/>
                <w:szCs w:val="22"/>
                <w:highlight w:val="none"/>
              </w:rPr>
              <w:t>质疑联系方式：</w:t>
            </w:r>
            <w:r>
              <w:rPr>
                <w:rFonts w:hint="eastAsia" w:ascii="宋体" w:hAnsi="宋体" w:cs="Times New Roman"/>
                <w:sz w:val="22"/>
                <w:szCs w:val="22"/>
                <w:highlight w:val="none"/>
                <w:lang w:val="en-US" w:eastAsia="zh-CN"/>
              </w:rPr>
              <w:t>13634289168</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投标人资格要求</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eastAsia="zh-CN"/>
              </w:rPr>
              <w:t>满足《平阳县县属国有企业采购管理办法（试行）》（平国资办〔2021〕81号）第十四条规定</w:t>
            </w:r>
            <w:r>
              <w:rPr>
                <w:rFonts w:hint="eastAsia" w:ascii="宋体" w:hAnsi="宋体" w:cs="宋体"/>
                <w:kern w:val="0"/>
                <w:sz w:val="22"/>
                <w:szCs w:val="22"/>
                <w:highlight w:val="none"/>
              </w:rPr>
              <w:t>；未被“信用中国”（www.creditchina.gov.cn)、中国政府采购网（www.ccgp.gov.cn）列入失信被执行人、重大税收违法案件当事人名单、政府采购严重违法失信行为记录名单。</w:t>
            </w:r>
          </w:p>
          <w:p>
            <w:pPr>
              <w:spacing w:line="360" w:lineRule="exact"/>
              <w:rPr>
                <w:rFonts w:ascii="宋体" w:hAnsi="宋体" w:cs="宋体"/>
                <w:kern w:val="0"/>
                <w:sz w:val="22"/>
                <w:szCs w:val="22"/>
                <w:highlight w:val="none"/>
              </w:rPr>
            </w:pPr>
            <w:r>
              <w:rPr>
                <w:rFonts w:hint="eastAsia" w:ascii="宋体" w:hAnsi="宋体" w:cs="宋体"/>
                <w:kern w:val="0"/>
                <w:sz w:val="22"/>
                <w:szCs w:val="22"/>
                <w:highlight w:val="none"/>
              </w:rPr>
              <w:t>2、落实政府采购政策需满足的资格要求：无。</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是否接受联合体投标</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b/>
                <w:kern w:val="0"/>
                <w:sz w:val="22"/>
                <w:szCs w:val="22"/>
                <w:highlight w:val="none"/>
              </w:rPr>
              <w:sym w:font="Wingdings" w:char="F0FE"/>
            </w:r>
            <w:r>
              <w:rPr>
                <w:rFonts w:hint="eastAsia" w:ascii="宋体" w:hAnsi="宋体" w:cs="楷体"/>
                <w:kern w:val="0"/>
                <w:sz w:val="22"/>
                <w:szCs w:val="22"/>
                <w:highlight w:val="none"/>
              </w:rPr>
              <w:t>不接受</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360" w:lineRule="exact"/>
              <w:jc w:val="center"/>
              <w:rPr>
                <w:rFonts w:ascii="宋体" w:hAnsi="宋体" w:cs="楷体"/>
                <w:kern w:val="0"/>
                <w:sz w:val="22"/>
                <w:szCs w:val="22"/>
                <w:highlight w:val="none"/>
              </w:rPr>
            </w:pPr>
            <w:r>
              <w:rPr>
                <w:rFonts w:hint="eastAsia" w:ascii="宋体" w:hAnsi="宋体"/>
                <w:sz w:val="22"/>
                <w:szCs w:val="22"/>
                <w:highlight w:val="none"/>
                <w:lang w:val="zh-CN"/>
              </w:rPr>
              <w:t>限制参加说明</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ascii="宋体" w:hAnsi="宋体" w:cs="楷体"/>
                <w:kern w:val="0"/>
                <w:sz w:val="22"/>
                <w:szCs w:val="22"/>
                <w:highlight w:val="none"/>
              </w:rPr>
              <w:t>1</w:t>
            </w:r>
            <w:r>
              <w:rPr>
                <w:rFonts w:hint="eastAsia" w:ascii="宋体" w:hAnsi="宋体" w:cs="楷体"/>
                <w:kern w:val="0"/>
                <w:sz w:val="22"/>
                <w:szCs w:val="22"/>
                <w:highlight w:val="none"/>
              </w:rPr>
              <w:t>、为采购项目提供整体设计、规范编制或者项目管理、监理、检测等服务的供应商，不得再参加该采购项目的其他采购活动。</w:t>
            </w:r>
          </w:p>
          <w:p>
            <w:pPr>
              <w:spacing w:line="360" w:lineRule="exact"/>
              <w:rPr>
                <w:rFonts w:ascii="宋体" w:hAnsi="宋体" w:cs="楷体"/>
                <w:kern w:val="0"/>
                <w:sz w:val="22"/>
                <w:szCs w:val="22"/>
                <w:highlight w:val="none"/>
              </w:rPr>
            </w:pPr>
            <w:r>
              <w:rPr>
                <w:rFonts w:ascii="宋体" w:hAnsi="宋体" w:cs="楷体"/>
                <w:kern w:val="0"/>
                <w:sz w:val="22"/>
                <w:szCs w:val="22"/>
                <w:highlight w:val="none"/>
              </w:rPr>
              <w:t>2</w:t>
            </w:r>
            <w:r>
              <w:rPr>
                <w:rFonts w:hint="eastAsia" w:ascii="宋体" w:hAnsi="宋体" w:cs="楷体"/>
                <w:kern w:val="0"/>
                <w:sz w:val="22"/>
                <w:szCs w:val="22"/>
                <w:highlight w:val="none"/>
              </w:rPr>
              <w:t>、单位负责人为同一人或者存在直接控股、管理关系的不同供应商，不得参加同一合同项下的政府采购活动。</w:t>
            </w:r>
          </w:p>
          <w:p>
            <w:pPr>
              <w:spacing w:line="360" w:lineRule="exact"/>
              <w:rPr>
                <w:highlight w:val="none"/>
              </w:rPr>
            </w:pPr>
            <w:r>
              <w:rPr>
                <w:rFonts w:hint="eastAsia" w:ascii="宋体" w:hAnsi="宋体" w:cs="楷体"/>
                <w:kern w:val="0"/>
                <w:sz w:val="22"/>
                <w:szCs w:val="22"/>
                <w:highlight w:val="none"/>
              </w:rPr>
              <w:t>3、</w:t>
            </w:r>
            <w:r>
              <w:rPr>
                <w:rFonts w:ascii="宋体" w:hAnsi="宋体" w:cs="楷体"/>
                <w:kern w:val="0"/>
                <w:sz w:val="22"/>
                <w:szCs w:val="22"/>
                <w:highlight w:val="none"/>
              </w:rPr>
              <w:t>公益一类事业单位、使用事业编制且由财政拨款保障的群团组织，不作为政府购买服务的购买主体和承接主体（仅适用于政府购买服务项目）</w:t>
            </w:r>
            <w:r>
              <w:rPr>
                <w:rFonts w:hint="eastAsia" w:ascii="宋体" w:hAnsi="宋体" w:cs="楷体"/>
                <w:kern w:val="0"/>
                <w:sz w:val="22"/>
                <w:szCs w:val="22"/>
                <w:highlight w:val="none"/>
              </w:rPr>
              <w:t>。</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现场考察</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b/>
                <w:bCs/>
                <w:kern w:val="0"/>
                <w:sz w:val="22"/>
                <w:szCs w:val="22"/>
                <w:highlight w:val="none"/>
              </w:rPr>
              <w:sym w:font="Wingdings" w:char="F0FE"/>
            </w:r>
            <w:r>
              <w:rPr>
                <w:rFonts w:hint="eastAsia" w:ascii="宋体" w:hAnsi="宋体" w:cs="楷体"/>
                <w:kern w:val="0"/>
                <w:sz w:val="22"/>
                <w:szCs w:val="22"/>
                <w:highlight w:val="none"/>
              </w:rPr>
              <w:t>不组织，投标人如需进行现场考察，可自行前往。</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楷体"/>
                <w:kern w:val="0"/>
                <w:sz w:val="22"/>
                <w:szCs w:val="22"/>
                <w:highlight w:val="none"/>
              </w:rPr>
            </w:pPr>
            <w:r>
              <w:rPr>
                <w:rFonts w:hint="eastAsia" w:ascii="宋体" w:hAnsi="宋体" w:cs="楷体"/>
                <w:kern w:val="0"/>
                <w:sz w:val="22"/>
                <w:szCs w:val="22"/>
                <w:highlight w:val="none"/>
              </w:rPr>
              <w:t>开标前答疑会</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b/>
                <w:snapToGrid w:val="0"/>
                <w:sz w:val="22"/>
                <w:szCs w:val="22"/>
                <w:highlight w:val="none"/>
              </w:rPr>
              <w:sym w:font="Wingdings" w:char="F0FE"/>
            </w:r>
            <w:r>
              <w:rPr>
                <w:rFonts w:hint="eastAsia" w:ascii="宋体" w:hAnsi="宋体" w:cs="楷体"/>
                <w:kern w:val="0"/>
                <w:sz w:val="22"/>
                <w:szCs w:val="22"/>
                <w:highlight w:val="none"/>
              </w:rPr>
              <w:t>不召开</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楷体"/>
                <w:kern w:val="0"/>
                <w:sz w:val="22"/>
                <w:szCs w:val="22"/>
                <w:highlight w:val="none"/>
              </w:rPr>
            </w:pPr>
            <w:r>
              <w:rPr>
                <w:rFonts w:hint="eastAsia" w:ascii="宋体" w:hAnsi="宋体" w:cs="楷体"/>
                <w:kern w:val="0"/>
                <w:sz w:val="22"/>
                <w:szCs w:val="22"/>
                <w:highlight w:val="none"/>
              </w:rPr>
              <w:t>投标保证金</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kern w:val="0"/>
                <w:sz w:val="22"/>
                <w:szCs w:val="22"/>
                <w:highlight w:val="none"/>
              </w:rPr>
            </w:pPr>
            <w:r>
              <w:rPr>
                <w:rFonts w:hint="eastAsia" w:ascii="宋体" w:hAnsi="宋体" w:cs="楷体"/>
                <w:b/>
                <w:bCs/>
                <w:kern w:val="0"/>
                <w:sz w:val="22"/>
                <w:szCs w:val="22"/>
                <w:highlight w:val="none"/>
              </w:rPr>
              <w:sym w:font="Wingdings" w:char="F0FE"/>
            </w:r>
            <w:r>
              <w:rPr>
                <w:rFonts w:hint="eastAsia" w:ascii="宋体" w:hAnsi="宋体" w:cs="楷体"/>
                <w:kern w:val="0"/>
                <w:sz w:val="22"/>
                <w:szCs w:val="22"/>
                <w:highlight w:val="none"/>
              </w:rPr>
              <w:t>不</w:t>
            </w:r>
            <w:r>
              <w:rPr>
                <w:rFonts w:hint="eastAsia" w:ascii="宋体" w:hAnsi="宋体" w:cs="楷体"/>
                <w:kern w:val="0"/>
                <w:sz w:val="22"/>
                <w:szCs w:val="22"/>
                <w:highlight w:val="none"/>
                <w:lang w:val="en-US" w:eastAsia="zh-CN"/>
              </w:rPr>
              <w:t>收取</w:t>
            </w:r>
          </w:p>
        </w:tc>
      </w:tr>
      <w:tr>
        <w:tblPrEx>
          <w:tblCellMar>
            <w:top w:w="0" w:type="dxa"/>
            <w:left w:w="108" w:type="dxa"/>
            <w:bottom w:w="0" w:type="dxa"/>
            <w:right w:w="108" w:type="dxa"/>
          </w:tblCellMar>
        </w:tblPrEx>
        <w:trPr>
          <w:trHeight w:val="416"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ascii="宋体" w:hAnsi="宋体" w:cs="楷体"/>
                <w:kern w:val="0"/>
                <w:sz w:val="22"/>
                <w:szCs w:val="22"/>
                <w:highlight w:val="none"/>
              </w:rPr>
              <w:t>是否退还投标文件</w:t>
            </w:r>
          </w:p>
        </w:tc>
        <w:tc>
          <w:tcPr>
            <w:tcW w:w="7796" w:type="dxa"/>
            <w:tcBorders>
              <w:top w:val="single" w:color="auto" w:sz="4" w:space="0"/>
              <w:left w:val="single" w:color="auto" w:sz="4" w:space="0"/>
              <w:bottom w:val="single" w:color="auto" w:sz="4" w:space="0"/>
              <w:right w:val="single" w:color="auto" w:sz="4" w:space="0"/>
            </w:tcBorders>
            <w:vAlign w:val="center"/>
          </w:tcPr>
          <w:p>
            <w:pPr>
              <w:widowControl/>
              <w:adjustRightInd w:val="0"/>
              <w:spacing w:line="360" w:lineRule="exact"/>
              <w:jc w:val="left"/>
              <w:textAlignment w:val="baseline"/>
              <w:rPr>
                <w:rFonts w:ascii="宋体" w:hAnsi="宋体"/>
                <w:kern w:val="0"/>
                <w:szCs w:val="21"/>
                <w:highlight w:val="none"/>
              </w:rPr>
            </w:pPr>
            <w:r>
              <w:rPr>
                <w:rFonts w:hint="eastAsia" w:ascii="宋体" w:hAnsi="宋体" w:cs="楷体"/>
                <w:b/>
                <w:snapToGrid w:val="0"/>
                <w:sz w:val="22"/>
                <w:szCs w:val="22"/>
                <w:highlight w:val="none"/>
              </w:rPr>
              <w:sym w:font="Wingdings" w:char="F0FE"/>
            </w:r>
            <w:r>
              <w:rPr>
                <w:rFonts w:hint="eastAsia" w:ascii="宋体" w:hAnsi="宋体" w:cs="楷体"/>
                <w:kern w:val="0"/>
                <w:sz w:val="22"/>
                <w:szCs w:val="22"/>
                <w:highlight w:val="none"/>
              </w:rPr>
              <w:t>否，证书原件除外</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投标有效期</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投标文件自</w:t>
            </w:r>
            <w:r>
              <w:rPr>
                <w:rFonts w:ascii="宋体" w:hAnsi="宋体" w:cs="楷体"/>
                <w:kern w:val="0"/>
                <w:sz w:val="22"/>
                <w:szCs w:val="22"/>
                <w:highlight w:val="none"/>
              </w:rPr>
              <w:t>投标截止时间</w:t>
            </w:r>
            <w:r>
              <w:rPr>
                <w:rFonts w:hint="eastAsia" w:ascii="宋体" w:hAnsi="宋体" w:cs="楷体"/>
                <w:kern w:val="0"/>
                <w:sz w:val="22"/>
                <w:szCs w:val="22"/>
                <w:highlight w:val="none"/>
              </w:rPr>
              <w:t>起生效，有效期90天。</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投标文件签章</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b/>
                <w:snapToGrid w:val="0"/>
                <w:sz w:val="22"/>
                <w:szCs w:val="22"/>
                <w:highlight w:val="none"/>
              </w:rPr>
              <w:sym w:font="Wingdings" w:char="F0FE"/>
            </w:r>
            <w:r>
              <w:rPr>
                <w:rFonts w:hint="eastAsia" w:ascii="宋体" w:hAnsi="宋体" w:cs="楷体"/>
                <w:kern w:val="0"/>
                <w:sz w:val="22"/>
                <w:szCs w:val="22"/>
                <w:highlight w:val="none"/>
              </w:rPr>
              <w:t>以下方式均可，下同。</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（1）电子签章</w:t>
            </w:r>
          </w:p>
          <w:p>
            <w:pPr>
              <w:spacing w:line="360" w:lineRule="exact"/>
              <w:rPr>
                <w:rFonts w:ascii="宋体" w:hAnsi="宋体" w:cs="楷体"/>
                <w:b/>
                <w:kern w:val="0"/>
                <w:sz w:val="22"/>
                <w:szCs w:val="22"/>
                <w:highlight w:val="none"/>
              </w:rPr>
            </w:pPr>
            <w:r>
              <w:rPr>
                <w:rFonts w:hint="eastAsia" w:ascii="宋体" w:hAnsi="宋体" w:cs="楷体"/>
                <w:kern w:val="0"/>
                <w:sz w:val="22"/>
                <w:szCs w:val="22"/>
                <w:highlight w:val="none"/>
              </w:rPr>
              <w:t>（2）实体签章，书面签署/盖章后扫描至电子投标文件中上传。</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投标文件的形式</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b/>
                <w:snapToGrid w:val="0"/>
                <w:sz w:val="22"/>
                <w:szCs w:val="22"/>
                <w:highlight w:val="none"/>
              </w:rPr>
              <w:sym w:font="Wingdings" w:char="F0FE"/>
            </w:r>
            <w:r>
              <w:rPr>
                <w:rFonts w:hint="eastAsia" w:ascii="宋体" w:hAnsi="宋体" w:cs="楷体"/>
                <w:kern w:val="0"/>
                <w:sz w:val="22"/>
                <w:szCs w:val="22"/>
                <w:highlight w:val="none"/>
              </w:rPr>
              <w:t>电子响应文件（包括“电子加密响应文件”和“备份响应文件”，在响应文件编制完成后同时生成）；</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（1）“电子加密响应文件”是指通过“政采云电子交易客户端”完成响应文件编制后生成并加密的数据电文形式的响应文件。</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（2）“备份响应文件”是指与“电子加密响应文件”同时生成的数据电文形式的电子文件（备份标书），其他方式编制的备份响应文件视为无效备份响应文件。</w:t>
            </w:r>
          </w:p>
        </w:tc>
      </w:tr>
      <w:tr>
        <w:tblPrEx>
          <w:tblCellMar>
            <w:top w:w="0" w:type="dxa"/>
            <w:left w:w="108" w:type="dxa"/>
            <w:bottom w:w="0" w:type="dxa"/>
            <w:right w:w="108" w:type="dxa"/>
          </w:tblCellMar>
        </w:tblPrEx>
        <w:trPr>
          <w:trHeight w:val="1537"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ascii="宋体" w:hAnsi="宋体" w:cs="楷体"/>
                <w:kern w:val="0"/>
                <w:sz w:val="22"/>
                <w:szCs w:val="22"/>
                <w:highlight w:val="none"/>
              </w:rPr>
              <w:t>投标文件的份数</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（1）“电子加密响应文件”：在线上传递交、一份。</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（2）“备份响应文件”：自愿提交、一份。</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（3）</w:t>
            </w:r>
            <w:r>
              <w:rPr>
                <w:rFonts w:hint="eastAsia" w:ascii="宋体" w:hAnsi="宋体" w:cs="楷体"/>
                <w:b/>
                <w:kern w:val="0"/>
                <w:sz w:val="22"/>
                <w:szCs w:val="22"/>
                <w:highlight w:val="none"/>
                <w:u w:val="single"/>
              </w:rPr>
              <w:t>供应商中标后提供以下资料给采购代理机构留底以作项目存档使用：①三套完整的纸质响应文件；②电子响应文件与纸质响应文件内容一致的承诺书</w:t>
            </w:r>
            <w:r>
              <w:rPr>
                <w:rFonts w:hint="eastAsia" w:ascii="宋体" w:hAnsi="宋体" w:cs="楷体"/>
                <w:b/>
                <w:kern w:val="0"/>
                <w:sz w:val="22"/>
                <w:szCs w:val="22"/>
                <w:highlight w:val="none"/>
                <w:u w:val="single"/>
                <w:lang w:eastAsia="zh-CN"/>
              </w:rPr>
              <w:t>（</w:t>
            </w:r>
            <w:r>
              <w:rPr>
                <w:rFonts w:hint="eastAsia" w:ascii="宋体" w:hAnsi="宋体"/>
                <w:sz w:val="22"/>
                <w:szCs w:val="22"/>
                <w:highlight w:val="none"/>
                <w:u w:val="single"/>
              </w:rPr>
              <w:t>邮寄地址：</w:t>
            </w:r>
            <w:r>
              <w:rPr>
                <w:rFonts w:hint="eastAsia" w:ascii="宋体" w:hAnsi="宋体"/>
                <w:b/>
                <w:bCs/>
                <w:sz w:val="22"/>
                <w:szCs w:val="22"/>
                <w:highlight w:val="none"/>
                <w:u w:val="single"/>
                <w:lang w:eastAsia="zh-CN"/>
              </w:rPr>
              <w:t>平阳县昆阳镇数字商务中心C栋203室，</w:t>
            </w:r>
            <w:r>
              <w:rPr>
                <w:rFonts w:hint="eastAsia" w:ascii="宋体" w:hAnsi="宋体"/>
                <w:b/>
                <w:bCs/>
                <w:sz w:val="22"/>
                <w:szCs w:val="22"/>
                <w:highlight w:val="none"/>
                <w:u w:val="single"/>
                <w:lang w:val="en-US" w:eastAsia="zh-CN"/>
              </w:rPr>
              <w:t>洪</w:t>
            </w:r>
            <w:r>
              <w:rPr>
                <w:rFonts w:hint="eastAsia" w:ascii="宋体" w:hAnsi="宋体"/>
                <w:b/>
                <w:bCs/>
                <w:sz w:val="22"/>
                <w:szCs w:val="22"/>
                <w:highlight w:val="none"/>
                <w:u w:val="single"/>
                <w:lang w:eastAsia="zh-CN"/>
              </w:rPr>
              <w:t>先生（</w:t>
            </w:r>
            <w:r>
              <w:rPr>
                <w:rFonts w:hint="eastAsia" w:ascii="宋体" w:hAnsi="宋体"/>
                <w:b/>
                <w:bCs/>
                <w:sz w:val="22"/>
                <w:szCs w:val="22"/>
                <w:highlight w:val="none"/>
                <w:u w:val="single"/>
                <w:lang w:val="en-US" w:eastAsia="zh-CN"/>
              </w:rPr>
              <w:t>收</w:t>
            </w:r>
            <w:r>
              <w:rPr>
                <w:rFonts w:hint="eastAsia" w:ascii="宋体" w:hAnsi="宋体"/>
                <w:b/>
                <w:bCs/>
                <w:sz w:val="22"/>
                <w:szCs w:val="22"/>
                <w:highlight w:val="none"/>
                <w:u w:val="single"/>
                <w:lang w:eastAsia="zh-CN"/>
              </w:rPr>
              <w:t>）</w:t>
            </w:r>
            <w:r>
              <w:rPr>
                <w:rFonts w:hint="eastAsia" w:ascii="宋体" w:hAnsi="宋体"/>
                <w:b/>
                <w:bCs/>
                <w:sz w:val="22"/>
                <w:szCs w:val="22"/>
                <w:highlight w:val="none"/>
                <w:u w:val="single"/>
                <w:lang w:val="en-US" w:eastAsia="zh-CN"/>
              </w:rPr>
              <w:t>，</w:t>
            </w:r>
            <w:r>
              <w:rPr>
                <w:rFonts w:hint="eastAsia" w:ascii="宋体" w:hAnsi="宋体"/>
                <w:b/>
                <w:bCs/>
                <w:sz w:val="22"/>
                <w:szCs w:val="22"/>
                <w:highlight w:val="none"/>
                <w:u w:val="single"/>
                <w:lang w:eastAsia="zh-CN"/>
              </w:rPr>
              <w:t>0577-88418036，</w:t>
            </w:r>
            <w:r>
              <w:rPr>
                <w:rFonts w:hint="eastAsia" w:ascii="宋体" w:hAnsi="宋体"/>
                <w:b/>
                <w:bCs/>
                <w:sz w:val="22"/>
                <w:szCs w:val="22"/>
                <w:highlight w:val="none"/>
                <w:u w:val="single"/>
                <w:lang w:val="en-US" w:eastAsia="zh-CN"/>
              </w:rPr>
              <w:t>18757065899</w:t>
            </w:r>
            <w:r>
              <w:rPr>
                <w:rFonts w:hint="eastAsia" w:ascii="宋体" w:hAnsi="宋体" w:cs="楷体"/>
                <w:b/>
                <w:kern w:val="0"/>
                <w:sz w:val="22"/>
                <w:szCs w:val="22"/>
                <w:highlight w:val="none"/>
                <w:u w:val="single"/>
                <w:lang w:eastAsia="zh-CN"/>
              </w:rPr>
              <w:t>）</w:t>
            </w:r>
            <w:r>
              <w:rPr>
                <w:rFonts w:hint="eastAsia" w:ascii="宋体" w:hAnsi="宋体" w:cs="楷体"/>
                <w:b/>
                <w:kern w:val="0"/>
                <w:sz w:val="22"/>
                <w:szCs w:val="22"/>
                <w:highlight w:val="none"/>
                <w:u w:val="single"/>
              </w:rPr>
              <w:t>。</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投标文件的上传、递交</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（1）“电子加密投标文件”的上传、递交：</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a.供应商应在响应文件递交截止时间前将“电子加密响应文件”成功上传递交至“</w:t>
            </w:r>
            <w:r>
              <w:rPr>
                <w:rFonts w:hint="eastAsia" w:ascii="宋体" w:hAnsi="宋体" w:cs="楷体"/>
                <w:kern w:val="0"/>
                <w:sz w:val="22"/>
                <w:szCs w:val="22"/>
                <w:highlight w:val="none"/>
                <w:lang w:eastAsia="zh-CN"/>
              </w:rPr>
              <w:t>政采云平台</w:t>
            </w:r>
            <w:r>
              <w:rPr>
                <w:rFonts w:hint="eastAsia" w:ascii="宋体" w:hAnsi="宋体" w:cs="楷体"/>
                <w:kern w:val="0"/>
                <w:sz w:val="22"/>
                <w:szCs w:val="22"/>
                <w:highlight w:val="none"/>
              </w:rPr>
              <w:t>”，否则</w:t>
            </w:r>
            <w:r>
              <w:rPr>
                <w:rFonts w:hint="eastAsia" w:ascii="宋体" w:hAnsi="宋体" w:cs="楷体"/>
                <w:b/>
                <w:bCs/>
                <w:kern w:val="0"/>
                <w:sz w:val="22"/>
                <w:szCs w:val="22"/>
                <w:highlight w:val="none"/>
              </w:rPr>
              <w:t>视为撤回响应文件。</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b.“电子加密响应文件”成功上传递交后，供应商可自行打印响应文件接收回执。</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（2）“备份投标文件”的密封包装、递交：</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a.投标人在“</w:t>
            </w:r>
            <w:r>
              <w:rPr>
                <w:rFonts w:hint="eastAsia" w:ascii="宋体" w:hAnsi="宋体" w:cs="楷体"/>
                <w:kern w:val="0"/>
                <w:sz w:val="22"/>
                <w:szCs w:val="22"/>
                <w:highlight w:val="none"/>
                <w:lang w:eastAsia="zh-CN"/>
              </w:rPr>
              <w:t>政采云平台</w:t>
            </w:r>
            <w:r>
              <w:rPr>
                <w:rFonts w:hint="eastAsia" w:ascii="宋体" w:hAnsi="宋体" w:cs="楷体"/>
                <w:kern w:val="0"/>
                <w:sz w:val="22"/>
                <w:szCs w:val="22"/>
                <w:highlight w:val="none"/>
              </w:rPr>
              <w:t>”完成“电子加密投标文件”的上传递交后，还可以（建议EMS或顺丰邮寄形式）在投标截止时间前递交以介质（U盘）存储的 “备份投标文件”（一份），递交至采购代理机构地址（地址详见招标文件，防疫期间不建议投标人现场递交）；</w:t>
            </w:r>
            <w:r>
              <w:rPr>
                <w:rFonts w:hint="eastAsia" w:ascii="宋体" w:hAnsi="宋体" w:cs="楷体"/>
                <w:b/>
                <w:bCs/>
                <w:kern w:val="0"/>
                <w:sz w:val="22"/>
                <w:szCs w:val="22"/>
                <w:highlight w:val="none"/>
              </w:rPr>
              <w:t>“备份投标文件”由投标人自愿提交，招标文件不作强制性要求，但投标人仅递交了“备份投标文件”的，投标无效。</w:t>
            </w:r>
          </w:p>
          <w:p>
            <w:pPr>
              <w:spacing w:line="360" w:lineRule="exact"/>
              <w:rPr>
                <w:rFonts w:ascii="宋体" w:hAnsi="宋体" w:cs="楷体"/>
                <w:b/>
                <w:bCs/>
                <w:kern w:val="0"/>
                <w:sz w:val="22"/>
                <w:szCs w:val="22"/>
                <w:highlight w:val="none"/>
              </w:rPr>
            </w:pPr>
            <w:r>
              <w:rPr>
                <w:rFonts w:hint="eastAsia" w:ascii="宋体" w:hAnsi="宋体" w:cs="楷体"/>
                <w:kern w:val="0"/>
                <w:sz w:val="22"/>
                <w:szCs w:val="22"/>
                <w:highlight w:val="none"/>
              </w:rPr>
              <w:t>b.“备份投标文件”应当密封包装，并在包装上标注投标项目名称、投标单位名称并加盖公章。</w:t>
            </w:r>
            <w:r>
              <w:rPr>
                <w:rFonts w:hint="eastAsia" w:ascii="宋体" w:hAnsi="宋体" w:cs="楷体"/>
                <w:b/>
                <w:bCs/>
                <w:kern w:val="0"/>
                <w:sz w:val="22"/>
                <w:szCs w:val="22"/>
                <w:highlight w:val="none"/>
              </w:rPr>
              <w:t>没有密封包装或者逾期递交的“备份投标文件”将不予接收，邮寄的以收到时间为准；</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c.通过“</w:t>
            </w:r>
            <w:r>
              <w:rPr>
                <w:rFonts w:hint="eastAsia" w:ascii="宋体" w:hAnsi="宋体" w:cs="楷体"/>
                <w:kern w:val="0"/>
                <w:sz w:val="22"/>
                <w:szCs w:val="22"/>
                <w:highlight w:val="none"/>
                <w:lang w:eastAsia="zh-CN"/>
              </w:rPr>
              <w:t>政采云平台</w:t>
            </w:r>
            <w:r>
              <w:rPr>
                <w:rFonts w:hint="eastAsia" w:ascii="宋体" w:hAnsi="宋体" w:cs="楷体"/>
                <w:kern w:val="0"/>
                <w:sz w:val="22"/>
                <w:szCs w:val="22"/>
                <w:highlight w:val="none"/>
              </w:rPr>
              <w:t>”成功上传递交的“电子加密投标文件”已按时解密的，“备份投标文件”自动失效。</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电子加密投标文件的解密和异常情况处理</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b/>
                <w:kern w:val="0"/>
                <w:sz w:val="22"/>
                <w:szCs w:val="22"/>
                <w:highlight w:val="none"/>
              </w:rPr>
            </w:pPr>
            <w:r>
              <w:rPr>
                <w:rFonts w:hint="eastAsia" w:ascii="宋体" w:hAnsi="宋体" w:cs="楷体"/>
                <w:kern w:val="0"/>
                <w:sz w:val="22"/>
                <w:szCs w:val="22"/>
                <w:highlight w:val="none"/>
              </w:rPr>
              <w:t>（1）投标截止时间后，采购代理机构将向各投标人发出“电子加密投标文件”的解密通知，</w:t>
            </w:r>
            <w:r>
              <w:rPr>
                <w:rFonts w:hint="eastAsia" w:ascii="宋体" w:hAnsi="宋体" w:cs="楷体"/>
                <w:b/>
                <w:kern w:val="0"/>
                <w:sz w:val="22"/>
                <w:szCs w:val="22"/>
                <w:highlight w:val="none"/>
              </w:rPr>
              <w:t>各投标人代表应当在接到解密通知后30分钟内自行完成“电子加密投标文件”的在线解密（解密电子投标文件必须插入CA，</w:t>
            </w:r>
            <w:r>
              <w:rPr>
                <w:rFonts w:hint="eastAsia" w:ascii="宋体" w:hAnsi="宋体" w:cs="楷体"/>
                <w:b/>
                <w:bCs/>
                <w:kern w:val="0"/>
                <w:sz w:val="22"/>
                <w:szCs w:val="22"/>
                <w:highlight w:val="none"/>
              </w:rPr>
              <w:t>解密CA必须是上传并制作电子投标文件CA锁</w:t>
            </w:r>
            <w:r>
              <w:rPr>
                <w:rFonts w:hint="eastAsia" w:ascii="宋体" w:hAnsi="宋体" w:cs="楷体"/>
                <w:b/>
                <w:kern w:val="0"/>
                <w:sz w:val="22"/>
                <w:szCs w:val="22"/>
                <w:highlight w:val="none"/>
              </w:rPr>
              <w:t>），如“</w:t>
            </w:r>
            <w:r>
              <w:rPr>
                <w:rFonts w:hint="eastAsia" w:ascii="宋体" w:hAnsi="宋体" w:cs="楷体"/>
                <w:b/>
                <w:kern w:val="0"/>
                <w:sz w:val="22"/>
                <w:szCs w:val="22"/>
                <w:highlight w:val="none"/>
                <w:lang w:eastAsia="zh-CN"/>
              </w:rPr>
              <w:t>政采云平台</w:t>
            </w:r>
            <w:r>
              <w:rPr>
                <w:rFonts w:hint="eastAsia" w:ascii="宋体" w:hAnsi="宋体" w:cs="楷体"/>
                <w:b/>
                <w:kern w:val="0"/>
                <w:sz w:val="22"/>
                <w:szCs w:val="22"/>
                <w:highlight w:val="none"/>
              </w:rPr>
              <w:t>”中调整解密时间，按调整后的解密时间。</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（2）通过“</w:t>
            </w:r>
            <w:r>
              <w:rPr>
                <w:rFonts w:hint="eastAsia" w:ascii="宋体" w:hAnsi="宋体" w:cs="楷体"/>
                <w:kern w:val="0"/>
                <w:sz w:val="22"/>
                <w:szCs w:val="22"/>
                <w:highlight w:val="none"/>
                <w:lang w:eastAsia="zh-CN"/>
              </w:rPr>
              <w:t>政采云平台</w:t>
            </w:r>
            <w:r>
              <w:rPr>
                <w:rFonts w:hint="eastAsia" w:ascii="宋体" w:hAnsi="宋体" w:cs="楷体"/>
                <w:kern w:val="0"/>
                <w:sz w:val="22"/>
                <w:szCs w:val="22"/>
                <w:highlight w:val="none"/>
              </w:rPr>
              <w:t>”成功上传递交的“电子加密投标文件”无法按时解密，投标人如按规定递交了“备份投标文件”的，以“备份投标文件”为依据（由采购代理机构按“</w:t>
            </w:r>
            <w:r>
              <w:rPr>
                <w:rFonts w:hint="eastAsia" w:ascii="宋体" w:hAnsi="宋体" w:cs="楷体"/>
                <w:kern w:val="0"/>
                <w:sz w:val="22"/>
                <w:szCs w:val="22"/>
                <w:highlight w:val="none"/>
                <w:lang w:eastAsia="zh-CN"/>
              </w:rPr>
              <w:t>政采云平台</w:t>
            </w:r>
            <w:r>
              <w:rPr>
                <w:rFonts w:hint="eastAsia" w:ascii="宋体" w:hAnsi="宋体" w:cs="楷体"/>
                <w:kern w:val="0"/>
                <w:sz w:val="22"/>
                <w:szCs w:val="22"/>
                <w:highlight w:val="none"/>
              </w:rPr>
              <w:t>”操作规范将“备份投标文件”上传至“</w:t>
            </w:r>
            <w:r>
              <w:rPr>
                <w:rFonts w:hint="eastAsia" w:ascii="宋体" w:hAnsi="宋体" w:cs="楷体"/>
                <w:kern w:val="0"/>
                <w:sz w:val="22"/>
                <w:szCs w:val="22"/>
                <w:highlight w:val="none"/>
                <w:lang w:eastAsia="zh-CN"/>
              </w:rPr>
              <w:t>政采云平台</w:t>
            </w:r>
            <w:r>
              <w:rPr>
                <w:rFonts w:hint="eastAsia" w:ascii="宋体" w:hAnsi="宋体" w:cs="楷体"/>
                <w:kern w:val="0"/>
                <w:sz w:val="22"/>
                <w:szCs w:val="22"/>
                <w:highlight w:val="none"/>
              </w:rPr>
              <w:t>”，上传成功后，“电子加密投标文件”自动失效），否则视为投标文件撤回。</w:t>
            </w:r>
          </w:p>
          <w:p>
            <w:pPr>
              <w:spacing w:line="360" w:lineRule="exact"/>
              <w:rPr>
                <w:rFonts w:ascii="宋体" w:hAnsi="宋体" w:cs="楷体"/>
                <w:b/>
                <w:kern w:val="0"/>
                <w:sz w:val="22"/>
                <w:szCs w:val="22"/>
                <w:highlight w:val="none"/>
              </w:rPr>
            </w:pPr>
            <w:r>
              <w:rPr>
                <w:rFonts w:hint="eastAsia" w:ascii="宋体" w:hAnsi="宋体" w:cs="楷体"/>
                <w:b/>
                <w:kern w:val="0"/>
                <w:sz w:val="22"/>
                <w:szCs w:val="22"/>
                <w:highlight w:val="none"/>
              </w:rPr>
              <w:t>（3）未按规定递交合格“备份投标文件”的或递交的“备份投标文件”无法成功上传的，视为投标文件撤回。</w:t>
            </w:r>
          </w:p>
          <w:p>
            <w:pPr>
              <w:spacing w:line="360" w:lineRule="exact"/>
              <w:rPr>
                <w:rFonts w:ascii="宋体" w:hAnsi="宋体" w:cs="楷体"/>
                <w:kern w:val="0"/>
                <w:sz w:val="22"/>
                <w:szCs w:val="22"/>
                <w:highlight w:val="none"/>
              </w:rPr>
            </w:pPr>
            <w:r>
              <w:rPr>
                <w:rFonts w:hint="eastAsia" w:ascii="宋体" w:hAnsi="宋体" w:cs="楷体"/>
                <w:b/>
                <w:kern w:val="0"/>
                <w:sz w:val="22"/>
                <w:szCs w:val="22"/>
                <w:highlight w:val="none"/>
              </w:rPr>
              <w:t>（4）在解密期限内投标人电子投标文件解密失败，且经异常处理后政采云电子交易系统仍未能解决的，政采云系统会默认投标人自动放弃，视为撤回投标文件。</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ascii="宋体" w:hAnsi="宋体" w:cs="楷体"/>
                <w:kern w:val="0"/>
                <w:sz w:val="22"/>
                <w:szCs w:val="22"/>
                <w:highlight w:val="none"/>
              </w:rPr>
              <w:t>投标截止时间及地点</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cs="楷体"/>
                <w:kern w:val="0"/>
                <w:sz w:val="22"/>
                <w:szCs w:val="22"/>
                <w:highlight w:val="none"/>
                <w:lang w:eastAsia="zh-CN"/>
              </w:rPr>
            </w:pPr>
            <w:r>
              <w:rPr>
                <w:rFonts w:hint="eastAsia" w:ascii="宋体" w:hAnsi="宋体" w:cs="楷体"/>
                <w:kern w:val="0"/>
                <w:sz w:val="22"/>
                <w:szCs w:val="22"/>
                <w:highlight w:val="none"/>
              </w:rPr>
              <w:t>投标截止时间</w:t>
            </w:r>
            <w:r>
              <w:rPr>
                <w:rFonts w:ascii="宋体" w:hAnsi="宋体" w:cs="楷体"/>
                <w:kern w:val="0"/>
                <w:sz w:val="22"/>
                <w:szCs w:val="22"/>
                <w:highlight w:val="none"/>
              </w:rPr>
              <w:t>：</w:t>
            </w:r>
            <w:r>
              <w:rPr>
                <w:rFonts w:hint="eastAsia" w:ascii="宋体" w:hAnsi="宋体"/>
                <w:sz w:val="22"/>
                <w:szCs w:val="22"/>
                <w:highlight w:val="none"/>
                <w:lang w:eastAsia="zh-CN"/>
              </w:rPr>
              <w:t>2023年10月19日 09：30</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递交地点：</w:t>
            </w:r>
            <w:bookmarkStart w:id="41" w:name="_Hlk35002636"/>
            <w:r>
              <w:rPr>
                <w:rFonts w:hint="eastAsia" w:ascii="宋体" w:hAnsi="宋体"/>
                <w:sz w:val="22"/>
                <w:szCs w:val="22"/>
                <w:highlight w:val="none"/>
              </w:rPr>
              <w:t>通过“</w:t>
            </w:r>
            <w:r>
              <w:rPr>
                <w:rFonts w:hint="eastAsia" w:ascii="宋体" w:hAnsi="宋体"/>
                <w:sz w:val="22"/>
                <w:szCs w:val="22"/>
                <w:highlight w:val="none"/>
                <w:lang w:eastAsia="zh-CN"/>
              </w:rPr>
              <w:t>政采云平台</w:t>
            </w:r>
            <w:r>
              <w:rPr>
                <w:rFonts w:hint="eastAsia" w:ascii="宋体" w:hAnsi="宋体"/>
                <w:sz w:val="22"/>
                <w:szCs w:val="22"/>
                <w:highlight w:val="none"/>
              </w:rPr>
              <w:t>（www.zcygov.cn）”在线递交。</w:t>
            </w:r>
            <w:bookmarkEnd w:id="41"/>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开标时间和地点</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开标时间：同投标截止时间</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开标地点：</w:t>
            </w:r>
            <w:r>
              <w:rPr>
                <w:rFonts w:hint="eastAsia" w:ascii="宋体" w:hAnsi="宋体" w:cs="楷体"/>
                <w:kern w:val="0"/>
                <w:sz w:val="22"/>
                <w:szCs w:val="22"/>
                <w:highlight w:val="none"/>
                <w:lang w:eastAsia="zh-CN"/>
              </w:rPr>
              <w:t>通过“政采云平台（www.zcygov.cn）”线上开启。</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评标委员会</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的组建</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ascii="宋体" w:hAnsi="宋体" w:cs="楷体"/>
                <w:kern w:val="0"/>
                <w:sz w:val="22"/>
                <w:szCs w:val="22"/>
                <w:highlight w:val="none"/>
              </w:rPr>
              <w:t>评标委员会</w:t>
            </w:r>
            <w:r>
              <w:rPr>
                <w:rFonts w:hint="eastAsia" w:ascii="宋体" w:hAnsi="宋体" w:cs="楷体"/>
                <w:kern w:val="0"/>
                <w:sz w:val="22"/>
                <w:szCs w:val="22"/>
                <w:highlight w:val="none"/>
              </w:rPr>
              <w:t>构成：</w:t>
            </w:r>
            <w:r>
              <w:rPr>
                <w:rFonts w:hint="eastAsia" w:ascii="宋体" w:hAnsi="宋体" w:cs="楷体"/>
                <w:kern w:val="0"/>
                <w:sz w:val="22"/>
                <w:szCs w:val="22"/>
                <w:highlight w:val="none"/>
                <w:lang w:val="en-US" w:eastAsia="zh-CN"/>
              </w:rPr>
              <w:t>7</w:t>
            </w:r>
            <w:r>
              <w:rPr>
                <w:rFonts w:hint="eastAsia" w:ascii="宋体" w:hAnsi="宋体" w:cs="楷体"/>
                <w:kern w:val="0"/>
                <w:sz w:val="22"/>
                <w:szCs w:val="22"/>
                <w:highlight w:val="none"/>
              </w:rPr>
              <w:t>人及</w:t>
            </w:r>
            <w:r>
              <w:rPr>
                <w:rFonts w:hint="eastAsia" w:ascii="宋体" w:hAnsi="宋体" w:cs="楷体"/>
                <w:kern w:val="0"/>
                <w:sz w:val="22"/>
                <w:szCs w:val="22"/>
                <w:highlight w:val="none"/>
                <w:lang w:val="en-US" w:eastAsia="zh-CN"/>
              </w:rPr>
              <w:t>7</w:t>
            </w:r>
            <w:r>
              <w:rPr>
                <w:rFonts w:hint="eastAsia" w:ascii="宋体" w:hAnsi="宋体" w:cs="楷体"/>
                <w:kern w:val="0"/>
                <w:sz w:val="22"/>
                <w:szCs w:val="22"/>
                <w:highlight w:val="none"/>
              </w:rPr>
              <w:t>人以上单数。</w:t>
            </w:r>
          </w:p>
          <w:p>
            <w:pPr>
              <w:spacing w:line="360" w:lineRule="exact"/>
              <w:rPr>
                <w:rFonts w:ascii="宋体" w:hAnsi="宋体" w:cs="楷体"/>
                <w:kern w:val="0"/>
                <w:sz w:val="22"/>
                <w:szCs w:val="22"/>
                <w:highlight w:val="none"/>
              </w:rPr>
            </w:pPr>
            <w:r>
              <w:rPr>
                <w:rFonts w:ascii="宋体" w:hAnsi="宋体" w:cs="楷体"/>
                <w:kern w:val="0"/>
                <w:sz w:val="22"/>
                <w:szCs w:val="22"/>
                <w:highlight w:val="none"/>
              </w:rPr>
              <w:t>评标专家确定方式</w:t>
            </w:r>
            <w:r>
              <w:rPr>
                <w:rFonts w:hint="eastAsia" w:ascii="宋体" w:hAnsi="宋体" w:cs="楷体"/>
                <w:kern w:val="0"/>
                <w:sz w:val="22"/>
                <w:szCs w:val="22"/>
                <w:highlight w:val="none"/>
              </w:rPr>
              <w:t>：按规定组建。</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采购信息发布媒体（以下简称为：“指定媒体”）</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ascii="宋体" w:hAnsi="宋体" w:cs="楷体"/>
                <w:kern w:val="0"/>
                <w:sz w:val="22"/>
                <w:szCs w:val="22"/>
                <w:highlight w:val="none"/>
              </w:rPr>
              <w:t>1</w:t>
            </w:r>
            <w:r>
              <w:rPr>
                <w:rFonts w:hint="eastAsia" w:ascii="宋体" w:hAnsi="宋体" w:cs="楷体"/>
                <w:kern w:val="0"/>
                <w:sz w:val="22"/>
                <w:szCs w:val="22"/>
                <w:highlight w:val="none"/>
              </w:rPr>
              <w:t>、本项目的有关信息，包括但不限于：招标公告、澄清（更正）公告（若有）、招标文件、招标文件的澄清（修改）（若有）、中标公告、终止公告（若有）、废标公告（若有）等都将在招标文件载明的指定媒体发布。</w:t>
            </w:r>
          </w:p>
          <w:p>
            <w:pPr>
              <w:spacing w:line="360" w:lineRule="exact"/>
              <w:rPr>
                <w:rFonts w:ascii="宋体" w:hAnsi="宋体" w:cs="楷体"/>
                <w:kern w:val="0"/>
                <w:sz w:val="22"/>
                <w:szCs w:val="22"/>
                <w:highlight w:val="none"/>
              </w:rPr>
            </w:pPr>
            <w:r>
              <w:rPr>
                <w:rFonts w:ascii="宋体" w:hAnsi="宋体" w:cs="楷体"/>
                <w:kern w:val="0"/>
                <w:sz w:val="22"/>
                <w:szCs w:val="22"/>
                <w:highlight w:val="none"/>
              </w:rPr>
              <w:t>2</w:t>
            </w:r>
            <w:r>
              <w:rPr>
                <w:rFonts w:hint="eastAsia" w:ascii="宋体" w:hAnsi="宋体" w:cs="楷体"/>
                <w:kern w:val="0"/>
                <w:sz w:val="22"/>
                <w:szCs w:val="22"/>
                <w:highlight w:val="none"/>
              </w:rPr>
              <w:t>、指定媒体：浙江政府采购网，网址</w:t>
            </w:r>
            <w:r>
              <w:rPr>
                <w:rFonts w:ascii="宋体" w:hAnsi="宋体" w:cs="楷体"/>
                <w:kern w:val="0"/>
                <w:sz w:val="22"/>
                <w:szCs w:val="22"/>
                <w:highlight w:val="none"/>
              </w:rPr>
              <w:t>zfcg.czt.zj.gov.cn</w:t>
            </w:r>
            <w:r>
              <w:rPr>
                <w:rFonts w:hint="eastAsia" w:ascii="宋体" w:hAnsi="宋体" w:cs="楷体"/>
                <w:kern w:val="0"/>
                <w:sz w:val="22"/>
                <w:szCs w:val="22"/>
                <w:highlight w:val="none"/>
              </w:rPr>
              <w:t>。</w:t>
            </w:r>
          </w:p>
        </w:tc>
      </w:tr>
      <w:tr>
        <w:tblPrEx>
          <w:tblCellMar>
            <w:top w:w="0" w:type="dxa"/>
            <w:left w:w="108" w:type="dxa"/>
            <w:bottom w:w="0" w:type="dxa"/>
            <w:right w:w="108" w:type="dxa"/>
          </w:tblCellMar>
        </w:tblPrEx>
        <w:trPr>
          <w:trHeight w:val="54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exact"/>
              <w:jc w:val="center"/>
              <w:rPr>
                <w:rFonts w:ascii="宋体" w:hAnsi="宋体" w:cs="楷体"/>
                <w:kern w:val="0"/>
                <w:sz w:val="22"/>
                <w:szCs w:val="22"/>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其他说明</w:t>
            </w:r>
          </w:p>
        </w:tc>
        <w:tc>
          <w:tcPr>
            <w:tcW w:w="7796"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1、招标文件、招标公告中如有前后不一致的，一律以本“投标人须知前附表”为准。</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2、本招标文件涉及的时间为“北京时间”。</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3、本招标文件涉及的货币为“人民币”。</w:t>
            </w:r>
          </w:p>
          <w:p>
            <w:pPr>
              <w:spacing w:line="360" w:lineRule="exact"/>
              <w:rPr>
                <w:rFonts w:ascii="宋体" w:hAnsi="宋体" w:cs="楷体"/>
                <w:kern w:val="0"/>
                <w:sz w:val="22"/>
                <w:szCs w:val="22"/>
                <w:highlight w:val="none"/>
              </w:rPr>
            </w:pPr>
            <w:r>
              <w:rPr>
                <w:rFonts w:hint="eastAsia" w:ascii="宋体" w:hAnsi="宋体" w:cs="楷体"/>
                <w:kern w:val="0"/>
                <w:sz w:val="22"/>
                <w:szCs w:val="22"/>
                <w:highlight w:val="none"/>
              </w:rPr>
              <w:t>4、本招标文件的解释权属于</w:t>
            </w:r>
            <w:r>
              <w:rPr>
                <w:rFonts w:hint="eastAsia" w:ascii="宋体" w:hAnsi="宋体" w:cs="楷体"/>
                <w:kern w:val="0"/>
                <w:sz w:val="22"/>
                <w:szCs w:val="22"/>
                <w:highlight w:val="none"/>
                <w:lang w:eastAsia="zh-CN"/>
              </w:rPr>
              <w:t>甲方</w:t>
            </w:r>
            <w:r>
              <w:rPr>
                <w:rFonts w:hint="eastAsia" w:ascii="宋体" w:hAnsi="宋体" w:cs="楷体"/>
                <w:kern w:val="0"/>
                <w:sz w:val="22"/>
                <w:szCs w:val="22"/>
                <w:highlight w:val="none"/>
              </w:rPr>
              <w:t>及采购代理机构。</w:t>
            </w:r>
          </w:p>
          <w:p>
            <w:pPr>
              <w:adjustRightInd w:val="0"/>
              <w:snapToGrid w:val="0"/>
              <w:spacing w:line="360" w:lineRule="exact"/>
              <w:rPr>
                <w:rFonts w:ascii="宋体" w:hAnsi="宋体"/>
                <w:b/>
                <w:sz w:val="22"/>
                <w:szCs w:val="22"/>
                <w:highlight w:val="none"/>
              </w:rPr>
            </w:pPr>
            <w:r>
              <w:rPr>
                <w:rFonts w:hint="eastAsia" w:ascii="宋体" w:hAnsi="宋体" w:cs="楷体"/>
                <w:kern w:val="0"/>
                <w:sz w:val="22"/>
                <w:szCs w:val="22"/>
                <w:highlight w:val="none"/>
              </w:rPr>
              <w:t>5、</w:t>
            </w:r>
            <w:r>
              <w:rPr>
                <w:rFonts w:ascii="宋体" w:hAnsi="宋体"/>
                <w:b/>
                <w:sz w:val="22"/>
                <w:szCs w:val="22"/>
                <w:highlight w:val="none"/>
              </w:rPr>
              <w:t>中标</w:t>
            </w:r>
            <w:r>
              <w:rPr>
                <w:rFonts w:hint="eastAsia" w:ascii="宋体" w:hAnsi="宋体"/>
                <w:b/>
                <w:sz w:val="22"/>
                <w:szCs w:val="22"/>
                <w:highlight w:val="none"/>
              </w:rPr>
              <w:t>（</w:t>
            </w:r>
            <w:r>
              <w:rPr>
                <w:rFonts w:ascii="宋体" w:hAnsi="宋体"/>
                <w:b/>
                <w:sz w:val="22"/>
                <w:szCs w:val="22"/>
                <w:highlight w:val="none"/>
              </w:rPr>
              <w:t>成交</w:t>
            </w:r>
            <w:r>
              <w:rPr>
                <w:rFonts w:hint="eastAsia" w:ascii="宋体" w:hAnsi="宋体"/>
                <w:b/>
                <w:sz w:val="22"/>
                <w:szCs w:val="22"/>
                <w:highlight w:val="none"/>
              </w:rPr>
              <w:t>）</w:t>
            </w:r>
            <w:r>
              <w:rPr>
                <w:rFonts w:ascii="宋体" w:hAnsi="宋体"/>
                <w:b/>
                <w:sz w:val="22"/>
                <w:szCs w:val="22"/>
                <w:highlight w:val="none"/>
              </w:rPr>
              <w:t>供应商</w:t>
            </w:r>
            <w:r>
              <w:rPr>
                <w:rFonts w:hint="eastAsia" w:ascii="宋体" w:hAnsi="宋体"/>
                <w:b/>
                <w:sz w:val="22"/>
                <w:szCs w:val="22"/>
                <w:highlight w:val="none"/>
              </w:rPr>
              <w:t>须在合同签订后两个工作日内将合同扫描件电子版发给采购代理机构备案（邮箱：</w:t>
            </w:r>
            <w:r>
              <w:rPr>
                <w:rFonts w:hint="eastAsia" w:ascii="宋体" w:hAnsi="宋体"/>
                <w:b/>
                <w:sz w:val="22"/>
                <w:szCs w:val="22"/>
                <w:highlight w:val="none"/>
                <w:lang w:val="en-US" w:eastAsia="zh-CN"/>
              </w:rPr>
              <w:t>244353463</w:t>
            </w:r>
            <w:r>
              <w:rPr>
                <w:rFonts w:hint="eastAsia" w:ascii="宋体" w:hAnsi="宋体"/>
                <w:b/>
                <w:sz w:val="22"/>
                <w:szCs w:val="22"/>
                <w:highlight w:val="none"/>
              </w:rPr>
              <w:t>@qq.com），否则会影响合同款的支付。</w:t>
            </w:r>
          </w:p>
          <w:p>
            <w:pPr>
              <w:wordWrap w:val="0"/>
              <w:adjustRightInd w:val="0"/>
              <w:snapToGrid w:val="0"/>
              <w:spacing w:line="360" w:lineRule="exact"/>
              <w:rPr>
                <w:rFonts w:ascii="宋体" w:hAnsi="宋体"/>
                <w:b/>
                <w:sz w:val="22"/>
                <w:szCs w:val="22"/>
                <w:highlight w:val="none"/>
              </w:rPr>
            </w:pPr>
            <w:r>
              <w:rPr>
                <w:rFonts w:hint="eastAsia" w:ascii="宋体" w:hAnsi="宋体"/>
                <w:sz w:val="22"/>
                <w:szCs w:val="22"/>
                <w:highlight w:val="none"/>
              </w:rPr>
              <w:t>6、</w:t>
            </w:r>
            <w:r>
              <w:rPr>
                <w:rFonts w:hint="eastAsia" w:ascii="宋体" w:hAnsi="宋体"/>
                <w:b/>
                <w:sz w:val="22"/>
                <w:szCs w:val="22"/>
                <w:highlight w:val="none"/>
              </w:rPr>
              <w:t>政采云公司如对“采购项目电子交易管理操作”有调整的，按调整后的说明操作。</w:t>
            </w:r>
          </w:p>
          <w:p>
            <w:pPr>
              <w:wordWrap w:val="0"/>
              <w:adjustRightInd w:val="0"/>
              <w:snapToGrid w:val="0"/>
              <w:spacing w:line="360" w:lineRule="exact"/>
              <w:rPr>
                <w:rFonts w:ascii="宋体" w:hAnsi="宋体"/>
                <w:b/>
                <w:sz w:val="22"/>
                <w:szCs w:val="22"/>
                <w:highlight w:val="none"/>
              </w:rPr>
            </w:pPr>
            <w:r>
              <w:rPr>
                <w:rFonts w:hint="eastAsia" w:ascii="宋体" w:hAnsi="宋体"/>
                <w:b/>
                <w:sz w:val="22"/>
                <w:szCs w:val="22"/>
                <w:highlight w:val="none"/>
              </w:rPr>
              <w:t>7、本项目仅提供电子版招标文件，电子版招标</w:t>
            </w:r>
            <w:r>
              <w:rPr>
                <w:rFonts w:ascii="宋体" w:hAnsi="宋体"/>
                <w:b/>
                <w:sz w:val="22"/>
                <w:szCs w:val="22"/>
                <w:highlight w:val="none"/>
              </w:rPr>
              <w:t>文件与纸质版</w:t>
            </w:r>
            <w:r>
              <w:rPr>
                <w:rFonts w:hint="eastAsia" w:ascii="宋体" w:hAnsi="宋体"/>
                <w:b/>
                <w:sz w:val="22"/>
                <w:szCs w:val="22"/>
                <w:highlight w:val="none"/>
              </w:rPr>
              <w:t>招标文件</w:t>
            </w:r>
            <w:r>
              <w:rPr>
                <w:rFonts w:ascii="宋体" w:hAnsi="宋体"/>
                <w:b/>
                <w:sz w:val="22"/>
                <w:szCs w:val="22"/>
                <w:highlight w:val="none"/>
              </w:rPr>
              <w:t>具有同等效力</w:t>
            </w:r>
            <w:r>
              <w:rPr>
                <w:rFonts w:hint="eastAsia" w:ascii="宋体" w:hAnsi="宋体"/>
                <w:b/>
                <w:sz w:val="22"/>
                <w:szCs w:val="22"/>
                <w:highlight w:val="none"/>
              </w:rPr>
              <w:t>。</w:t>
            </w:r>
          </w:p>
          <w:p>
            <w:pPr>
              <w:wordWrap w:val="0"/>
              <w:adjustRightInd w:val="0"/>
              <w:snapToGrid w:val="0"/>
              <w:spacing w:line="360" w:lineRule="exact"/>
              <w:rPr>
                <w:rFonts w:ascii="宋体" w:hAnsi="宋体"/>
                <w:sz w:val="22"/>
                <w:szCs w:val="22"/>
                <w:highlight w:val="none"/>
              </w:rPr>
            </w:pPr>
          </w:p>
        </w:tc>
      </w:tr>
    </w:tbl>
    <w:p>
      <w:pPr>
        <w:pStyle w:val="6"/>
        <w:spacing w:line="400" w:lineRule="exact"/>
        <w:jc w:val="center"/>
        <w:rPr>
          <w:rFonts w:ascii="宋体" w:hAnsi="宋体" w:eastAsia="宋体" w:cs="Courier New"/>
          <w:highlight w:val="none"/>
        </w:rPr>
      </w:pPr>
      <w:r>
        <w:rPr>
          <w:rFonts w:ascii="宋体" w:hAnsi="宋体" w:eastAsia="宋体" w:cs="Courier New"/>
          <w:highlight w:val="none"/>
          <w:lang w:val="en-US"/>
        </w:rPr>
        <w:br w:type="page"/>
      </w:r>
      <w:bookmarkStart w:id="42" w:name="_Toc3836"/>
      <w:r>
        <w:rPr>
          <w:rFonts w:hint="eastAsia" w:ascii="宋体" w:hAnsi="宋体" w:eastAsia="宋体" w:cs="Courier New"/>
          <w:highlight w:val="none"/>
        </w:rPr>
        <w:t>一、 说明</w:t>
      </w:r>
      <w:bookmarkEnd w:id="31"/>
      <w:bookmarkEnd w:id="32"/>
      <w:bookmarkEnd w:id="33"/>
      <w:bookmarkEnd w:id="34"/>
      <w:bookmarkEnd w:id="35"/>
      <w:bookmarkEnd w:id="36"/>
      <w:bookmarkEnd w:id="37"/>
      <w:bookmarkEnd w:id="38"/>
      <w:bookmarkEnd w:id="39"/>
      <w:bookmarkEnd w:id="40"/>
      <w:bookmarkEnd w:id="42"/>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sz w:val="22"/>
          <w:szCs w:val="22"/>
          <w:highlight w:val="none"/>
        </w:rPr>
        <w:t>适用范围：适用于招标文件载明项目的采购活动（以下简称：“本次采购活动”）。</w:t>
      </w:r>
    </w:p>
    <w:p>
      <w:pPr>
        <w:numPr>
          <w:ilvl w:val="0"/>
          <w:numId w:val="2"/>
        </w:numPr>
        <w:tabs>
          <w:tab w:val="left" w:pos="540"/>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lang w:eastAsia="zh-CN"/>
        </w:rPr>
        <w:t>甲方</w:t>
      </w:r>
      <w:r>
        <w:rPr>
          <w:rFonts w:hint="eastAsia" w:ascii="宋体" w:hAnsi="宋体" w:cs="Courier New"/>
          <w:sz w:val="22"/>
          <w:szCs w:val="22"/>
          <w:highlight w:val="none"/>
        </w:rPr>
        <w:t>、采购代理机构：见投标人须知前附表。</w:t>
      </w:r>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投标人：</w:t>
      </w:r>
      <w:r>
        <w:rPr>
          <w:rFonts w:ascii="宋体" w:hAnsi="宋体" w:cs="Courier New"/>
          <w:sz w:val="22"/>
          <w:szCs w:val="22"/>
          <w:highlight w:val="none"/>
        </w:rPr>
        <w:t>是响应招标、参加投标竞争的</w:t>
      </w:r>
      <w:r>
        <w:rPr>
          <w:rFonts w:hint="eastAsia" w:ascii="宋体" w:hAnsi="宋体" w:cs="Courier New"/>
          <w:sz w:val="22"/>
          <w:szCs w:val="22"/>
          <w:highlight w:val="none"/>
        </w:rPr>
        <w:t>供应商。</w:t>
      </w:r>
    </w:p>
    <w:p>
      <w:pPr>
        <w:numPr>
          <w:ilvl w:val="0"/>
          <w:numId w:val="2"/>
        </w:numPr>
        <w:tabs>
          <w:tab w:val="left" w:pos="525"/>
        </w:tabs>
        <w:spacing w:line="360" w:lineRule="auto"/>
        <w:rPr>
          <w:rFonts w:ascii="宋体" w:hAnsi="宋体" w:cs="Courier New"/>
          <w:sz w:val="22"/>
          <w:szCs w:val="22"/>
          <w:highlight w:val="none"/>
        </w:rPr>
      </w:pPr>
      <w:r>
        <w:rPr>
          <w:rFonts w:hint="eastAsia" w:ascii="宋体" w:hAnsi="宋体" w:cs="Courier New"/>
          <w:sz w:val="22"/>
          <w:szCs w:val="22"/>
          <w:highlight w:val="none"/>
        </w:rPr>
        <w:t>潜在供应商：有意向参加本项目投标的供应商。</w:t>
      </w:r>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投标人代表</w:t>
      </w:r>
    </w:p>
    <w:p>
      <w:pPr>
        <w:numPr>
          <w:ilvl w:val="1"/>
          <w:numId w:val="2"/>
        </w:numPr>
        <w:spacing w:line="360" w:lineRule="auto"/>
        <w:rPr>
          <w:rFonts w:ascii="宋体" w:hAnsi="宋体"/>
          <w:sz w:val="22"/>
          <w:szCs w:val="22"/>
          <w:highlight w:val="none"/>
        </w:rPr>
      </w:pPr>
      <w:r>
        <w:rPr>
          <w:rFonts w:hint="eastAsia" w:ascii="宋体" w:hAnsi="宋体"/>
          <w:sz w:val="22"/>
          <w:szCs w:val="22"/>
          <w:highlight w:val="none"/>
        </w:rPr>
        <w:t>指全权代表投标人参加投标活动并签署投标文件的人。如果投标人代表不是单位负责人，须持有《单位负责人授权书》。</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ascii="宋体" w:hAnsi="宋体" w:cs="Courier New"/>
          <w:sz w:val="22"/>
          <w:szCs w:val="22"/>
          <w:highlight w:val="none"/>
        </w:rPr>
        <w:t>“单位负责人”指单位</w:t>
      </w:r>
      <w:r>
        <w:rPr>
          <w:rFonts w:hint="eastAsia" w:ascii="宋体" w:hAnsi="宋体"/>
          <w:sz w:val="22"/>
          <w:szCs w:val="22"/>
          <w:highlight w:val="none"/>
        </w:rPr>
        <w:t>法定代表人</w:t>
      </w:r>
      <w:r>
        <w:rPr>
          <w:rFonts w:ascii="宋体" w:hAnsi="宋体" w:cs="Courier New"/>
          <w:sz w:val="22"/>
          <w:szCs w:val="22"/>
          <w:highlight w:val="none"/>
        </w:rPr>
        <w:t>或法律、法规规定代表单位行使职权的主要负责人。</w:t>
      </w:r>
    </w:p>
    <w:p>
      <w:pPr>
        <w:pStyle w:val="222"/>
        <w:spacing w:line="360" w:lineRule="auto"/>
        <w:ind w:left="567" w:firstLine="0" w:firstLineChars="0"/>
        <w:rPr>
          <w:rFonts w:ascii="宋体" w:hAnsi="宋体"/>
          <w:sz w:val="22"/>
          <w:szCs w:val="22"/>
          <w:highlight w:val="none"/>
        </w:rPr>
      </w:pPr>
      <w:r>
        <w:rPr>
          <w:rFonts w:hint="eastAsia" w:ascii="宋体" w:hAnsi="宋体"/>
          <w:sz w:val="22"/>
          <w:szCs w:val="22"/>
          <w:highlight w:val="none"/>
        </w:rPr>
        <w:t>①</w:t>
      </w:r>
      <w:r>
        <w:rPr>
          <w:rFonts w:ascii="宋体" w:hAnsi="宋体"/>
          <w:sz w:val="22"/>
          <w:szCs w:val="22"/>
          <w:highlight w:val="none"/>
          <w:u w:val="single"/>
        </w:rPr>
        <w:t>企业（银行、保险、石油石化、电力、电信等行业除外）、事业单位和社会团体法人的“单位负责人”指法定代表人</w:t>
      </w:r>
      <w:r>
        <w:rPr>
          <w:rFonts w:ascii="宋体" w:hAnsi="宋体"/>
          <w:sz w:val="22"/>
          <w:szCs w:val="22"/>
          <w:highlight w:val="none"/>
        </w:rPr>
        <w:t xml:space="preserve">，即与实际提交的“营业执照等证明文件”载明的一致。 </w:t>
      </w:r>
    </w:p>
    <w:p>
      <w:pPr>
        <w:pStyle w:val="222"/>
        <w:spacing w:line="360" w:lineRule="auto"/>
        <w:ind w:left="567" w:firstLine="0" w:firstLineChars="0"/>
        <w:rPr>
          <w:rFonts w:ascii="宋体" w:hAnsi="宋体"/>
          <w:sz w:val="22"/>
          <w:szCs w:val="22"/>
          <w:highlight w:val="none"/>
        </w:rPr>
      </w:pPr>
      <w:r>
        <w:rPr>
          <w:rFonts w:hint="eastAsia" w:ascii="宋体" w:hAnsi="宋体"/>
          <w:sz w:val="22"/>
          <w:szCs w:val="22"/>
          <w:highlight w:val="none"/>
        </w:rPr>
        <w:t>②</w:t>
      </w:r>
      <w:r>
        <w:rPr>
          <w:rFonts w:ascii="宋体" w:hAnsi="宋体"/>
          <w:sz w:val="22"/>
          <w:szCs w:val="22"/>
          <w:highlight w:val="none"/>
        </w:rPr>
        <w:t>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投标费用</w:t>
      </w:r>
    </w:p>
    <w:p>
      <w:pPr>
        <w:numPr>
          <w:ilvl w:val="1"/>
          <w:numId w:val="2"/>
        </w:numPr>
        <w:spacing w:line="360" w:lineRule="auto"/>
        <w:rPr>
          <w:rFonts w:ascii="宋体" w:hAnsi="宋体"/>
          <w:sz w:val="22"/>
          <w:szCs w:val="22"/>
          <w:highlight w:val="none"/>
        </w:rPr>
      </w:pPr>
      <w:bookmarkStart w:id="43" w:name="_Hlk100432752"/>
      <w:r>
        <w:rPr>
          <w:rFonts w:hint="eastAsia" w:ascii="宋体" w:hAnsi="宋体"/>
          <w:sz w:val="22"/>
          <w:szCs w:val="22"/>
          <w:highlight w:val="none"/>
        </w:rPr>
        <w:t>投标人应自行承担所有与准备和参加本次采购活动有关费用</w:t>
      </w:r>
      <w:bookmarkEnd w:id="43"/>
      <w:r>
        <w:rPr>
          <w:rFonts w:hint="eastAsia" w:ascii="宋体" w:hAnsi="宋体"/>
          <w:sz w:val="22"/>
          <w:szCs w:val="22"/>
          <w:highlight w:val="none"/>
        </w:rPr>
        <w:t>，不论投标的结果如何，</w:t>
      </w:r>
      <w:r>
        <w:rPr>
          <w:rFonts w:hint="eastAsia" w:ascii="宋体" w:hAnsi="宋体"/>
          <w:sz w:val="22"/>
          <w:szCs w:val="22"/>
          <w:highlight w:val="none"/>
          <w:lang w:eastAsia="zh-CN"/>
        </w:rPr>
        <w:t>甲方</w:t>
      </w:r>
      <w:r>
        <w:rPr>
          <w:rFonts w:hint="eastAsia" w:ascii="宋体" w:hAnsi="宋体"/>
          <w:sz w:val="22"/>
          <w:szCs w:val="22"/>
          <w:highlight w:val="none"/>
        </w:rPr>
        <w:t>和采购代理机构（以下统称“招标采购单位”）均无义务和责任承担这些费用。</w:t>
      </w:r>
    </w:p>
    <w:p>
      <w:pPr>
        <w:numPr>
          <w:ilvl w:val="0"/>
          <w:numId w:val="2"/>
        </w:numPr>
        <w:tabs>
          <w:tab w:val="left" w:pos="525"/>
          <w:tab w:val="left" w:pos="900"/>
        </w:tabs>
        <w:spacing w:line="360" w:lineRule="auto"/>
        <w:rPr>
          <w:rFonts w:ascii="宋体" w:hAnsi="宋体" w:cs="楷体"/>
          <w:kern w:val="0"/>
          <w:sz w:val="22"/>
          <w:szCs w:val="22"/>
          <w:highlight w:val="none"/>
        </w:rPr>
      </w:pPr>
      <w:r>
        <w:rPr>
          <w:rFonts w:hint="eastAsia" w:ascii="宋体" w:hAnsi="宋体" w:cs="Courier New"/>
          <w:sz w:val="22"/>
          <w:szCs w:val="22"/>
          <w:highlight w:val="none"/>
        </w:rPr>
        <w:t>现场考察</w:t>
      </w:r>
      <w:r>
        <w:rPr>
          <w:rFonts w:hint="eastAsia" w:ascii="宋体" w:hAnsi="宋体" w:cs="楷体"/>
          <w:kern w:val="0"/>
          <w:sz w:val="22"/>
          <w:szCs w:val="22"/>
          <w:highlight w:val="none"/>
        </w:rPr>
        <w:t>或开标前答疑会</w:t>
      </w:r>
    </w:p>
    <w:p>
      <w:pPr>
        <w:numPr>
          <w:ilvl w:val="1"/>
          <w:numId w:val="2"/>
        </w:numPr>
        <w:tabs>
          <w:tab w:val="left" w:pos="525"/>
          <w:tab w:val="left" w:pos="635"/>
          <w:tab w:val="left" w:pos="900"/>
        </w:tabs>
        <w:spacing w:line="360" w:lineRule="auto"/>
        <w:rPr>
          <w:rFonts w:ascii="宋体" w:hAnsi="宋体" w:cs="楷体"/>
          <w:kern w:val="0"/>
          <w:sz w:val="22"/>
          <w:szCs w:val="22"/>
          <w:highlight w:val="none"/>
        </w:rPr>
      </w:pPr>
      <w:r>
        <w:rPr>
          <w:rFonts w:ascii="宋体" w:hAnsi="宋体" w:cs="楷体"/>
          <w:kern w:val="0"/>
          <w:sz w:val="22"/>
          <w:szCs w:val="22"/>
          <w:highlight w:val="none"/>
        </w:rPr>
        <w:t>是否组织</w:t>
      </w:r>
      <w:r>
        <w:rPr>
          <w:rFonts w:hint="eastAsia" w:ascii="宋体" w:hAnsi="宋体" w:cs="Courier New"/>
          <w:sz w:val="22"/>
          <w:szCs w:val="22"/>
          <w:highlight w:val="none"/>
        </w:rPr>
        <w:t>现场考察</w:t>
      </w:r>
      <w:r>
        <w:rPr>
          <w:rFonts w:hint="eastAsia" w:ascii="宋体" w:hAnsi="宋体" w:cs="楷体"/>
          <w:kern w:val="0"/>
          <w:sz w:val="22"/>
          <w:szCs w:val="22"/>
          <w:highlight w:val="none"/>
        </w:rPr>
        <w:t>或召开开标前答疑会：</w:t>
      </w:r>
      <w:r>
        <w:rPr>
          <w:rFonts w:hint="eastAsia" w:ascii="宋体" w:hAnsi="宋体" w:cs="Courier New"/>
          <w:sz w:val="22"/>
          <w:szCs w:val="22"/>
          <w:highlight w:val="none"/>
        </w:rPr>
        <w:t>见投标人须知前附表。</w:t>
      </w:r>
    </w:p>
    <w:p>
      <w:pPr>
        <w:pStyle w:val="6"/>
        <w:spacing w:line="400" w:lineRule="exact"/>
        <w:jc w:val="center"/>
        <w:rPr>
          <w:rFonts w:ascii="宋体" w:hAnsi="宋体" w:eastAsia="宋体" w:cs="Courier New"/>
          <w:highlight w:val="none"/>
        </w:rPr>
      </w:pPr>
      <w:bookmarkStart w:id="44" w:name="_Toc205005287"/>
      <w:bookmarkStart w:id="45" w:name="_Toc205703103"/>
      <w:bookmarkStart w:id="46" w:name="_Toc219538614"/>
      <w:bookmarkStart w:id="47" w:name="_Toc205877453"/>
      <w:bookmarkStart w:id="48" w:name="_Toc209250720"/>
      <w:bookmarkStart w:id="49" w:name="_Toc209261433"/>
      <w:bookmarkStart w:id="50" w:name="_Toc214365791"/>
      <w:bookmarkStart w:id="51" w:name="_Toc217460686"/>
      <w:bookmarkStart w:id="52" w:name="_Toc210879709"/>
      <w:bookmarkStart w:id="53" w:name="_Toc204578576"/>
      <w:bookmarkStart w:id="54" w:name="_Toc209261366"/>
      <w:bookmarkStart w:id="55" w:name="_Toc227056847"/>
      <w:bookmarkStart w:id="56" w:name="_Toc205877558"/>
      <w:bookmarkStart w:id="57" w:name="_Toc216667821"/>
      <w:bookmarkStart w:id="58" w:name="_Toc209332634"/>
      <w:bookmarkStart w:id="59" w:name="_Toc227489888"/>
      <w:bookmarkStart w:id="60" w:name="_Toc204491318"/>
      <w:bookmarkStart w:id="61" w:name="_Toc223933222"/>
      <w:bookmarkStart w:id="62" w:name="_Toc215415531"/>
      <w:bookmarkStart w:id="63" w:name="_Toc205004969"/>
      <w:bookmarkStart w:id="64" w:name="_Toc218041727"/>
      <w:bookmarkStart w:id="65" w:name="_Toc223717605"/>
      <w:bookmarkStart w:id="66" w:name="_Toc209251128"/>
      <w:bookmarkStart w:id="67" w:name="_Toc207609182"/>
      <w:bookmarkStart w:id="68" w:name="_Toc227057034"/>
      <w:bookmarkStart w:id="69" w:name="_Toc1931"/>
      <w:r>
        <w:rPr>
          <w:rFonts w:hint="eastAsia" w:ascii="宋体" w:hAnsi="宋体" w:eastAsia="宋体" w:cs="Courier New"/>
          <w:highlight w:val="none"/>
        </w:rPr>
        <w:t>二、 招标</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Fonts w:hint="eastAsia" w:ascii="宋体" w:hAnsi="宋体" w:eastAsia="宋体" w:cs="Courier New"/>
          <w:highlight w:val="none"/>
        </w:rPr>
        <w:t>文件</w:t>
      </w:r>
      <w:bookmarkEnd w:id="69"/>
    </w:p>
    <w:p>
      <w:pPr>
        <w:numPr>
          <w:ilvl w:val="0"/>
          <w:numId w:val="2"/>
        </w:numPr>
        <w:tabs>
          <w:tab w:val="left" w:pos="525"/>
          <w:tab w:val="left" w:pos="900"/>
        </w:tabs>
        <w:spacing w:line="360" w:lineRule="auto"/>
        <w:rPr>
          <w:rFonts w:ascii="宋体" w:hAnsi="宋体" w:cs="楷体"/>
          <w:kern w:val="0"/>
          <w:sz w:val="22"/>
          <w:szCs w:val="22"/>
          <w:highlight w:val="none"/>
        </w:rPr>
      </w:pPr>
      <w:r>
        <w:rPr>
          <w:rFonts w:hint="eastAsia" w:ascii="宋体" w:hAnsi="宋体" w:cs="楷体"/>
          <w:kern w:val="0"/>
          <w:sz w:val="22"/>
          <w:szCs w:val="22"/>
          <w:highlight w:val="none"/>
        </w:rPr>
        <w:t>招标文件由招标文件目录所列内容及相关资料组成。</w:t>
      </w:r>
    </w:p>
    <w:p>
      <w:pPr>
        <w:numPr>
          <w:ilvl w:val="0"/>
          <w:numId w:val="2"/>
        </w:numPr>
        <w:tabs>
          <w:tab w:val="left" w:pos="525"/>
          <w:tab w:val="left" w:pos="900"/>
        </w:tabs>
        <w:spacing w:line="360" w:lineRule="auto"/>
        <w:rPr>
          <w:rFonts w:ascii="宋体" w:hAnsi="宋体" w:cs="楷体"/>
          <w:kern w:val="0"/>
          <w:sz w:val="22"/>
          <w:szCs w:val="22"/>
          <w:highlight w:val="none"/>
        </w:rPr>
      </w:pPr>
      <w:r>
        <w:rPr>
          <w:rFonts w:hint="eastAsia" w:ascii="宋体" w:hAnsi="宋体" w:cs="楷体"/>
          <w:kern w:val="0"/>
          <w:sz w:val="22"/>
          <w:szCs w:val="22"/>
          <w:highlight w:val="none"/>
        </w:rPr>
        <w:t>招标文件的澄清或修改</w:t>
      </w:r>
    </w:p>
    <w:p>
      <w:pPr>
        <w:numPr>
          <w:ilvl w:val="1"/>
          <w:numId w:val="2"/>
        </w:numPr>
        <w:tabs>
          <w:tab w:val="left" w:pos="525"/>
          <w:tab w:val="left" w:pos="635"/>
          <w:tab w:val="left" w:pos="900"/>
        </w:tabs>
        <w:spacing w:line="360" w:lineRule="auto"/>
        <w:rPr>
          <w:rFonts w:ascii="宋体" w:hAnsi="宋体"/>
          <w:sz w:val="22"/>
          <w:szCs w:val="22"/>
          <w:highlight w:val="none"/>
        </w:rPr>
      </w:pPr>
      <w:r>
        <w:rPr>
          <w:rFonts w:hint="eastAsia" w:ascii="宋体" w:hAnsi="宋体"/>
          <w:sz w:val="22"/>
          <w:szCs w:val="22"/>
          <w:highlight w:val="none"/>
        </w:rPr>
        <w:t>在投标截止前的任何时候，招标采购单位需要对招标文件进行澄清或修改的，将会</w:t>
      </w:r>
      <w:r>
        <w:rPr>
          <w:rFonts w:ascii="宋体" w:hAnsi="宋体"/>
          <w:sz w:val="22"/>
          <w:szCs w:val="22"/>
          <w:highlight w:val="none"/>
        </w:rPr>
        <w:t>在招标文件载明的指定媒体</w:t>
      </w:r>
      <w:r>
        <w:rPr>
          <w:rFonts w:hint="eastAsia" w:ascii="宋体" w:hAnsi="宋体"/>
          <w:sz w:val="22"/>
          <w:szCs w:val="22"/>
          <w:highlight w:val="none"/>
        </w:rPr>
        <w:t>上发布澄清（更正）公告。如果澄清或修改的内容可能影响投标文件编制的，且澄清或更正公告发布时间距投标截止时间不足15天的，则相应延长投标截止时间。延长后的具体投标截止时间以最后发布的澄清或更正公告中的规定为准。</w:t>
      </w:r>
    </w:p>
    <w:p>
      <w:pPr>
        <w:numPr>
          <w:ilvl w:val="1"/>
          <w:numId w:val="2"/>
        </w:numPr>
        <w:tabs>
          <w:tab w:val="left" w:pos="525"/>
          <w:tab w:val="left" w:pos="635"/>
          <w:tab w:val="left" w:pos="900"/>
        </w:tabs>
        <w:spacing w:line="360" w:lineRule="auto"/>
        <w:rPr>
          <w:rFonts w:ascii="宋体" w:hAnsi="宋体"/>
          <w:sz w:val="22"/>
          <w:szCs w:val="22"/>
          <w:highlight w:val="none"/>
        </w:rPr>
      </w:pPr>
      <w:r>
        <w:rPr>
          <w:rFonts w:hint="eastAsia" w:ascii="宋体" w:hAnsi="宋体"/>
          <w:sz w:val="22"/>
          <w:szCs w:val="22"/>
          <w:highlight w:val="none"/>
        </w:rPr>
        <w:t>澄清或修改的内容作为招标文件的组成部分。当招标文件与澄清或更正公告就同一内容的表述不一致时，以最后发出的文件内容为准。任何口头答复均不属于招标文件的组成部分。</w:t>
      </w:r>
    </w:p>
    <w:p>
      <w:pPr>
        <w:numPr>
          <w:ilvl w:val="1"/>
          <w:numId w:val="2"/>
        </w:numPr>
        <w:tabs>
          <w:tab w:val="left" w:pos="525"/>
          <w:tab w:val="left" w:pos="635"/>
          <w:tab w:val="left" w:pos="900"/>
        </w:tabs>
        <w:spacing w:line="360" w:lineRule="auto"/>
        <w:rPr>
          <w:rFonts w:ascii="宋体" w:hAnsi="宋体"/>
          <w:sz w:val="22"/>
          <w:szCs w:val="22"/>
          <w:highlight w:val="none"/>
        </w:rPr>
      </w:pPr>
      <w:r>
        <w:rPr>
          <w:rFonts w:hint="eastAsia" w:ascii="宋体" w:hAnsi="宋体"/>
          <w:sz w:val="22"/>
          <w:szCs w:val="22"/>
          <w:highlight w:val="none"/>
        </w:rPr>
        <w:t>澄清（更正）公告作为招标采购单位通知所有潜在供应商的书面形式。潜在供应商或投标人在参与本项目</w:t>
      </w:r>
      <w:r>
        <w:rPr>
          <w:rFonts w:hint="eastAsia" w:ascii="宋体" w:hAnsi="宋体" w:cs="Courier New"/>
          <w:sz w:val="22"/>
          <w:szCs w:val="22"/>
          <w:highlight w:val="none"/>
        </w:rPr>
        <w:t>招标采购活动过程中</w:t>
      </w:r>
      <w:r>
        <w:rPr>
          <w:rFonts w:hint="eastAsia" w:ascii="宋体" w:hAnsi="宋体"/>
          <w:sz w:val="22"/>
          <w:szCs w:val="22"/>
          <w:highlight w:val="none"/>
        </w:rPr>
        <w:t>，应及时关注招标文件载明的指定媒体上的相关信息，否则产生不利由其自行承担。</w:t>
      </w:r>
    </w:p>
    <w:p>
      <w:pPr>
        <w:pStyle w:val="6"/>
        <w:spacing w:line="400" w:lineRule="exact"/>
        <w:jc w:val="center"/>
        <w:rPr>
          <w:rFonts w:ascii="宋体" w:hAnsi="宋体" w:eastAsia="宋体" w:cs="Courier New"/>
          <w:highlight w:val="none"/>
        </w:rPr>
      </w:pPr>
      <w:bookmarkStart w:id="70" w:name="_Toc223717606"/>
      <w:bookmarkStart w:id="71" w:name="_Toc218041728"/>
      <w:bookmarkStart w:id="72" w:name="_Toc223933223"/>
      <w:bookmarkStart w:id="73" w:name="_Toc210879710"/>
      <w:bookmarkStart w:id="74" w:name="_Toc209261367"/>
      <w:bookmarkStart w:id="75" w:name="_Toc209332635"/>
      <w:bookmarkStart w:id="76" w:name="_Toc227489889"/>
      <w:bookmarkStart w:id="77" w:name="_Toc227056848"/>
      <w:bookmarkStart w:id="78" w:name="_Toc25914"/>
      <w:bookmarkStart w:id="79" w:name="_Toc209261434"/>
      <w:bookmarkStart w:id="80" w:name="_Toc204491319"/>
      <w:bookmarkStart w:id="81" w:name="_Toc205004970"/>
      <w:bookmarkStart w:id="82" w:name="_Toc219538615"/>
      <w:bookmarkStart w:id="83" w:name="_Toc227057035"/>
      <w:bookmarkStart w:id="84" w:name="_Toc216667822"/>
      <w:bookmarkStart w:id="85" w:name="_Toc215415532"/>
      <w:bookmarkStart w:id="86" w:name="_Toc209251129"/>
      <w:bookmarkStart w:id="87" w:name="_Toc204578577"/>
      <w:bookmarkStart w:id="88" w:name="_Toc205877454"/>
      <w:bookmarkStart w:id="89" w:name="_Toc217460687"/>
      <w:bookmarkStart w:id="90" w:name="_Toc207609183"/>
      <w:bookmarkStart w:id="91" w:name="_Toc205703104"/>
      <w:bookmarkStart w:id="92" w:name="_Toc205877559"/>
      <w:bookmarkStart w:id="93" w:name="_Toc205005288"/>
      <w:bookmarkStart w:id="94" w:name="_Toc209250721"/>
      <w:bookmarkStart w:id="95" w:name="_Toc214365792"/>
      <w:r>
        <w:rPr>
          <w:rFonts w:hint="eastAsia" w:ascii="宋体" w:hAnsi="宋体" w:eastAsia="宋体" w:cs="Courier New"/>
          <w:highlight w:val="none"/>
        </w:rPr>
        <w:t>三、 投标文件</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numPr>
          <w:ilvl w:val="0"/>
          <w:numId w:val="2"/>
        </w:numPr>
        <w:tabs>
          <w:tab w:val="left" w:pos="525"/>
          <w:tab w:val="left" w:pos="900"/>
        </w:tabs>
        <w:spacing w:line="360" w:lineRule="auto"/>
        <w:rPr>
          <w:rFonts w:ascii="宋体" w:hAnsi="宋体" w:cs="楷体"/>
          <w:kern w:val="0"/>
          <w:sz w:val="22"/>
          <w:szCs w:val="22"/>
          <w:highlight w:val="none"/>
        </w:rPr>
      </w:pPr>
      <w:r>
        <w:rPr>
          <w:rFonts w:hint="eastAsia" w:ascii="宋体" w:hAnsi="宋体" w:cs="楷体"/>
          <w:kern w:val="0"/>
          <w:sz w:val="22"/>
          <w:szCs w:val="22"/>
          <w:highlight w:val="none"/>
        </w:rPr>
        <w:t>投标人应认真阅读招标文件的全部内容。投标人应按照招标文件要求提交投标文件并保证所提供的全部资料的真实性，并对招标文件做出实质性响应，否则投标无效。</w:t>
      </w:r>
    </w:p>
    <w:p>
      <w:pPr>
        <w:numPr>
          <w:ilvl w:val="0"/>
          <w:numId w:val="2"/>
        </w:numPr>
        <w:tabs>
          <w:tab w:val="left" w:pos="525"/>
          <w:tab w:val="left" w:pos="900"/>
        </w:tabs>
        <w:spacing w:line="360" w:lineRule="auto"/>
        <w:rPr>
          <w:rFonts w:ascii="宋体" w:hAnsi="宋体" w:cs="楷体"/>
          <w:kern w:val="0"/>
          <w:sz w:val="22"/>
          <w:szCs w:val="22"/>
          <w:highlight w:val="none"/>
        </w:rPr>
      </w:pPr>
      <w:r>
        <w:rPr>
          <w:rFonts w:hint="eastAsia" w:ascii="宋体" w:hAnsi="宋体" w:cs="楷体"/>
          <w:kern w:val="0"/>
          <w:sz w:val="22"/>
          <w:szCs w:val="22"/>
          <w:highlight w:val="none"/>
        </w:rPr>
        <w:t>投标文件</w:t>
      </w:r>
      <w:bookmarkStart w:id="96" w:name="_Hlk38295237"/>
      <w:r>
        <w:rPr>
          <w:rFonts w:hint="eastAsia" w:ascii="宋体" w:hAnsi="宋体" w:cs="楷体"/>
          <w:kern w:val="0"/>
          <w:sz w:val="22"/>
          <w:szCs w:val="22"/>
          <w:highlight w:val="none"/>
        </w:rPr>
        <w:t>的组成</w:t>
      </w:r>
      <w:bookmarkEnd w:id="96"/>
      <w:r>
        <w:rPr>
          <w:rFonts w:hint="eastAsia" w:ascii="宋体" w:hAnsi="宋体" w:cs="楷体"/>
          <w:kern w:val="0"/>
          <w:sz w:val="22"/>
          <w:szCs w:val="22"/>
          <w:highlight w:val="none"/>
        </w:rPr>
        <w:t>：</w:t>
      </w:r>
    </w:p>
    <w:p>
      <w:pPr>
        <w:numPr>
          <w:ilvl w:val="1"/>
          <w:numId w:val="2"/>
        </w:numPr>
        <w:tabs>
          <w:tab w:val="left" w:pos="525"/>
        </w:tabs>
        <w:spacing w:line="360" w:lineRule="auto"/>
        <w:rPr>
          <w:rFonts w:ascii="宋体" w:hAnsi="宋体" w:cs="Courier New"/>
          <w:sz w:val="22"/>
          <w:szCs w:val="22"/>
          <w:highlight w:val="none"/>
        </w:rPr>
      </w:pPr>
      <w:r>
        <w:rPr>
          <w:rFonts w:hint="eastAsia" w:ascii="宋体" w:hAnsi="宋体" w:cs="Courier New"/>
          <w:sz w:val="22"/>
          <w:szCs w:val="22"/>
          <w:highlight w:val="none"/>
        </w:rPr>
        <w:t>上传的</w:t>
      </w:r>
      <w:r>
        <w:rPr>
          <w:rFonts w:hint="eastAsia" w:ascii="宋体" w:hAnsi="宋体"/>
          <w:sz w:val="22"/>
          <w:highlight w:val="none"/>
        </w:rPr>
        <w:t>投标</w:t>
      </w:r>
      <w:r>
        <w:rPr>
          <w:rFonts w:hint="eastAsia" w:ascii="宋体" w:hAnsi="宋体" w:cs="Courier New"/>
          <w:sz w:val="22"/>
          <w:szCs w:val="22"/>
          <w:highlight w:val="none"/>
        </w:rPr>
        <w:t>文件</w:t>
      </w:r>
      <w:r>
        <w:rPr>
          <w:rFonts w:hint="eastAsia" w:ascii="宋体" w:hAnsi="宋体"/>
          <w:sz w:val="22"/>
          <w:highlight w:val="none"/>
        </w:rPr>
        <w:t>应当</w:t>
      </w:r>
      <w:r>
        <w:rPr>
          <w:rFonts w:hint="eastAsia" w:ascii="宋体" w:hAnsi="宋体" w:cs="Courier New"/>
          <w:sz w:val="22"/>
          <w:szCs w:val="22"/>
          <w:highlight w:val="none"/>
        </w:rPr>
        <w:t>包括以下主要内容：资格文件、报价文件、商务技术文件。部分格式详见“第三部分 应提交的有关格式范例”。</w:t>
      </w:r>
    </w:p>
    <w:p>
      <w:pPr>
        <w:spacing w:line="360" w:lineRule="auto"/>
        <w:ind w:left="187" w:leftChars="85" w:hanging="9" w:hangingChars="4"/>
        <w:jc w:val="left"/>
        <w:rPr>
          <w:rFonts w:ascii="宋体" w:hAnsi="宋体"/>
          <w:b/>
          <w:sz w:val="22"/>
          <w:szCs w:val="22"/>
          <w:highlight w:val="none"/>
        </w:rPr>
      </w:pPr>
      <w:r>
        <w:rPr>
          <w:rFonts w:hint="eastAsia" w:ascii="宋体" w:hAnsi="宋体"/>
          <w:b/>
          <w:sz w:val="22"/>
          <w:szCs w:val="22"/>
          <w:highlight w:val="none"/>
        </w:rPr>
        <w:t xml:space="preserve">（1）投标人的资格文件包括以下内容： </w:t>
      </w:r>
    </w:p>
    <w:tbl>
      <w:tblPr>
        <w:tblStyle w:val="34"/>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796"/>
        <w:gridCol w:w="1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ascii="宋体" w:hAnsi="宋体"/>
                <w:sz w:val="22"/>
                <w:szCs w:val="22"/>
                <w:highlight w:val="none"/>
              </w:rPr>
            </w:pPr>
            <w:bookmarkStart w:id="97" w:name="_Toc500208478"/>
            <w:r>
              <w:rPr>
                <w:rFonts w:hint="eastAsia" w:ascii="宋体" w:hAnsi="宋体"/>
                <w:sz w:val="22"/>
                <w:szCs w:val="22"/>
                <w:highlight w:val="none"/>
              </w:rPr>
              <w:t>序号</w:t>
            </w:r>
          </w:p>
        </w:tc>
        <w:tc>
          <w:tcPr>
            <w:tcW w:w="7796" w:type="dxa"/>
            <w:vAlign w:val="center"/>
          </w:tcPr>
          <w:p>
            <w:pPr>
              <w:jc w:val="center"/>
              <w:rPr>
                <w:rFonts w:ascii="宋体" w:hAnsi="宋体"/>
                <w:sz w:val="22"/>
                <w:szCs w:val="22"/>
                <w:highlight w:val="none"/>
              </w:rPr>
            </w:pPr>
            <w:r>
              <w:rPr>
                <w:rFonts w:hint="eastAsia" w:ascii="宋体" w:hAnsi="宋体"/>
                <w:sz w:val="22"/>
                <w:szCs w:val="22"/>
                <w:highlight w:val="none"/>
              </w:rPr>
              <w:t>内容</w:t>
            </w:r>
          </w:p>
        </w:tc>
        <w:tc>
          <w:tcPr>
            <w:tcW w:w="1354" w:type="dxa"/>
            <w:vAlign w:val="center"/>
          </w:tcPr>
          <w:p>
            <w:pPr>
              <w:spacing w:line="430" w:lineRule="exact"/>
              <w:jc w:val="center"/>
              <w:rPr>
                <w:rFonts w:ascii="宋体" w:hAnsi="宋体"/>
                <w:sz w:val="22"/>
                <w:szCs w:val="22"/>
                <w:highlight w:val="none"/>
              </w:rPr>
            </w:pPr>
            <w:r>
              <w:rPr>
                <w:rFonts w:hint="eastAsia" w:ascii="宋体" w:hAnsi="宋体"/>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ascii="宋体" w:hAnsi="宋体"/>
                <w:sz w:val="22"/>
                <w:szCs w:val="22"/>
                <w:highlight w:val="none"/>
              </w:rPr>
            </w:pPr>
            <w:r>
              <w:rPr>
                <w:rFonts w:ascii="宋体" w:hAnsi="宋体"/>
                <w:sz w:val="22"/>
                <w:szCs w:val="22"/>
                <w:highlight w:val="none"/>
              </w:rPr>
              <w:t>1</w:t>
            </w:r>
          </w:p>
        </w:tc>
        <w:tc>
          <w:tcPr>
            <w:tcW w:w="7796" w:type="dxa"/>
            <w:vAlign w:val="center"/>
          </w:tcPr>
          <w:p>
            <w:pPr>
              <w:rPr>
                <w:rFonts w:ascii="宋体" w:hAnsi="宋体" w:cs="楷体"/>
                <w:kern w:val="0"/>
                <w:sz w:val="22"/>
                <w:szCs w:val="22"/>
                <w:highlight w:val="none"/>
              </w:rPr>
            </w:pPr>
            <w:r>
              <w:rPr>
                <w:rFonts w:hint="eastAsia" w:ascii="宋体" w:hAnsi="宋体" w:cs="楷体"/>
                <w:kern w:val="0"/>
                <w:sz w:val="22"/>
                <w:szCs w:val="22"/>
                <w:highlight w:val="none"/>
              </w:rPr>
              <w:t>资格声明书</w:t>
            </w:r>
          </w:p>
        </w:tc>
        <w:tc>
          <w:tcPr>
            <w:tcW w:w="1354" w:type="dxa"/>
            <w:vAlign w:val="center"/>
          </w:tcPr>
          <w:p>
            <w:pPr>
              <w:spacing w:line="276" w:lineRule="auto"/>
              <w:jc w:val="center"/>
              <w:rPr>
                <w:rFonts w:ascii="宋体" w:hAnsi="宋体"/>
                <w:b/>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ascii="宋体" w:hAnsi="宋体"/>
                <w:sz w:val="22"/>
                <w:szCs w:val="22"/>
                <w:highlight w:val="none"/>
              </w:rPr>
            </w:pPr>
            <w:r>
              <w:rPr>
                <w:rFonts w:ascii="宋体" w:hAnsi="宋体"/>
                <w:sz w:val="22"/>
                <w:szCs w:val="22"/>
                <w:highlight w:val="none"/>
              </w:rPr>
              <w:t>2</w:t>
            </w:r>
          </w:p>
        </w:tc>
        <w:tc>
          <w:tcPr>
            <w:tcW w:w="7796" w:type="dxa"/>
            <w:vAlign w:val="center"/>
          </w:tcPr>
          <w:p>
            <w:pPr>
              <w:rPr>
                <w:rFonts w:ascii="宋体" w:hAnsi="宋体" w:cs="楷体"/>
                <w:kern w:val="0"/>
                <w:sz w:val="22"/>
                <w:szCs w:val="22"/>
                <w:highlight w:val="none"/>
              </w:rPr>
            </w:pPr>
            <w:r>
              <w:rPr>
                <w:rFonts w:hint="eastAsia" w:ascii="宋体" w:hAnsi="宋体" w:cs="楷体"/>
                <w:kern w:val="0"/>
                <w:sz w:val="22"/>
                <w:szCs w:val="22"/>
                <w:highlight w:val="none"/>
              </w:rPr>
              <w:t>投标人有效的</w:t>
            </w:r>
            <w:r>
              <w:rPr>
                <w:rFonts w:ascii="宋体" w:hAnsi="宋体" w:cs="楷体"/>
                <w:kern w:val="0"/>
                <w:sz w:val="22"/>
                <w:szCs w:val="22"/>
                <w:highlight w:val="none"/>
              </w:rPr>
              <w:t>营业执照等证明文件</w:t>
            </w:r>
          </w:p>
        </w:tc>
        <w:tc>
          <w:tcPr>
            <w:tcW w:w="1354" w:type="dxa"/>
            <w:vAlign w:val="center"/>
          </w:tcPr>
          <w:p>
            <w:pPr>
              <w:spacing w:line="276" w:lineRule="auto"/>
              <w:jc w:val="center"/>
              <w:rPr>
                <w:rFonts w:ascii="宋体" w:hAnsi="宋体"/>
                <w:b/>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ascii="宋体" w:hAnsi="宋体"/>
                <w:sz w:val="22"/>
                <w:szCs w:val="22"/>
                <w:highlight w:val="none"/>
              </w:rPr>
            </w:pPr>
            <w:r>
              <w:rPr>
                <w:rFonts w:ascii="宋体" w:hAnsi="宋体"/>
                <w:sz w:val="22"/>
                <w:szCs w:val="22"/>
                <w:highlight w:val="none"/>
              </w:rPr>
              <w:t>3</w:t>
            </w:r>
          </w:p>
        </w:tc>
        <w:tc>
          <w:tcPr>
            <w:tcW w:w="7796" w:type="dxa"/>
            <w:vAlign w:val="center"/>
          </w:tcPr>
          <w:p>
            <w:pPr>
              <w:rPr>
                <w:rFonts w:ascii="宋体" w:hAnsi="宋体" w:cs="楷体"/>
                <w:kern w:val="0"/>
                <w:sz w:val="22"/>
                <w:szCs w:val="22"/>
                <w:highlight w:val="none"/>
              </w:rPr>
            </w:pPr>
            <w:r>
              <w:rPr>
                <w:rFonts w:hint="eastAsia" w:ascii="宋体" w:hAnsi="宋体" w:cs="楷体"/>
                <w:kern w:val="0"/>
                <w:sz w:val="22"/>
                <w:szCs w:val="22"/>
                <w:highlight w:val="none"/>
              </w:rPr>
              <w:t>落实政府采购政策需满足的资格要求</w:t>
            </w:r>
          </w:p>
        </w:tc>
        <w:tc>
          <w:tcPr>
            <w:tcW w:w="1354" w:type="dxa"/>
            <w:vAlign w:val="center"/>
          </w:tcPr>
          <w:p>
            <w:pPr>
              <w:jc w:val="center"/>
              <w:rPr>
                <w:rFonts w:ascii="宋体" w:hAnsi="宋体"/>
                <w:sz w:val="22"/>
                <w:szCs w:val="22"/>
                <w:highlight w:val="none"/>
              </w:rPr>
            </w:pPr>
            <w:r>
              <w:rPr>
                <w:rFonts w:hint="eastAsia" w:ascii="宋体" w:hAnsi="宋体" w:cs="楷体"/>
                <w:b/>
                <w:kern w:val="0"/>
                <w:sz w:val="22"/>
                <w:szCs w:val="22"/>
                <w:highlight w:val="none"/>
              </w:rPr>
              <w:sym w:font="Wingdings" w:char="F0FE"/>
            </w:r>
            <w:r>
              <w:rPr>
                <w:rFonts w:hint="eastAsia" w:ascii="宋体" w:hAnsi="宋体" w:cs="楷体"/>
                <w:b/>
                <w:bCs/>
                <w:kern w:val="0"/>
                <w:sz w:val="22"/>
                <w:szCs w:val="22"/>
                <w:highlight w:val="none"/>
              </w:rPr>
              <w:t>未要求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ascii="宋体" w:hAnsi="宋体"/>
                <w:sz w:val="22"/>
                <w:szCs w:val="22"/>
                <w:highlight w:val="none"/>
              </w:rPr>
            </w:pPr>
            <w:r>
              <w:rPr>
                <w:rFonts w:ascii="宋体" w:hAnsi="宋体"/>
                <w:sz w:val="22"/>
                <w:szCs w:val="22"/>
                <w:highlight w:val="none"/>
              </w:rPr>
              <w:t>4</w:t>
            </w:r>
          </w:p>
        </w:tc>
        <w:tc>
          <w:tcPr>
            <w:tcW w:w="7796" w:type="dxa"/>
            <w:vAlign w:val="center"/>
          </w:tcPr>
          <w:p>
            <w:pPr>
              <w:rPr>
                <w:rFonts w:ascii="宋体" w:hAnsi="宋体" w:cs="楷体"/>
                <w:kern w:val="0"/>
                <w:sz w:val="22"/>
                <w:szCs w:val="22"/>
                <w:highlight w:val="none"/>
              </w:rPr>
            </w:pPr>
            <w:r>
              <w:rPr>
                <w:rFonts w:hint="eastAsia" w:ascii="宋体" w:hAnsi="宋体" w:cs="楷体"/>
                <w:kern w:val="0"/>
                <w:sz w:val="22"/>
                <w:szCs w:val="22"/>
                <w:highlight w:val="none"/>
              </w:rPr>
              <w:t>本项目的特定资格要求</w:t>
            </w:r>
          </w:p>
        </w:tc>
        <w:tc>
          <w:tcPr>
            <w:tcW w:w="1354" w:type="dxa"/>
            <w:vAlign w:val="center"/>
          </w:tcPr>
          <w:p>
            <w:pPr>
              <w:jc w:val="center"/>
              <w:rPr>
                <w:rFonts w:ascii="宋体" w:hAnsi="宋体"/>
                <w:sz w:val="22"/>
                <w:szCs w:val="22"/>
                <w:highlight w:val="none"/>
              </w:rPr>
            </w:pPr>
            <w:r>
              <w:rPr>
                <w:rFonts w:hint="eastAsia" w:ascii="宋体" w:hAnsi="宋体" w:cs="楷体"/>
                <w:b/>
                <w:kern w:val="0"/>
                <w:sz w:val="22"/>
                <w:szCs w:val="22"/>
                <w:highlight w:val="none"/>
              </w:rPr>
              <w:sym w:font="Wingdings" w:char="F0FE"/>
            </w:r>
            <w:r>
              <w:rPr>
                <w:rFonts w:hint="eastAsia" w:ascii="宋体" w:hAnsi="宋体" w:cs="楷体"/>
                <w:b/>
                <w:bCs/>
                <w:kern w:val="0"/>
                <w:sz w:val="22"/>
                <w:szCs w:val="22"/>
                <w:highlight w:val="none"/>
              </w:rPr>
              <w:t>未要求</w:t>
            </w:r>
          </w:p>
        </w:tc>
      </w:tr>
    </w:tbl>
    <w:p>
      <w:pPr>
        <w:spacing w:line="360" w:lineRule="auto"/>
        <w:ind w:left="187" w:leftChars="85" w:hanging="9" w:hangingChars="4"/>
        <w:jc w:val="left"/>
        <w:rPr>
          <w:rFonts w:ascii="宋体" w:hAnsi="宋体"/>
          <w:b/>
          <w:sz w:val="22"/>
          <w:szCs w:val="22"/>
          <w:highlight w:val="none"/>
        </w:rPr>
      </w:pPr>
      <w:r>
        <w:rPr>
          <w:rFonts w:hint="eastAsia" w:ascii="宋体" w:hAnsi="宋体"/>
          <w:b/>
          <w:sz w:val="22"/>
          <w:szCs w:val="22"/>
          <w:highlight w:val="none"/>
        </w:rPr>
        <w:t>（</w:t>
      </w:r>
      <w:r>
        <w:rPr>
          <w:rFonts w:ascii="宋体" w:hAnsi="宋体"/>
          <w:b/>
          <w:sz w:val="22"/>
          <w:szCs w:val="22"/>
          <w:highlight w:val="none"/>
        </w:rPr>
        <w:t>2</w:t>
      </w:r>
      <w:r>
        <w:rPr>
          <w:rFonts w:hint="eastAsia" w:ascii="宋体" w:hAnsi="宋体"/>
          <w:b/>
          <w:sz w:val="22"/>
          <w:szCs w:val="22"/>
          <w:highlight w:val="none"/>
        </w:rPr>
        <w:t xml:space="preserve">）投标人的报价文件包括以下内容： </w:t>
      </w:r>
    </w:p>
    <w:tbl>
      <w:tblPr>
        <w:tblStyle w:val="34"/>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796"/>
        <w:gridCol w:w="1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04" w:type="dxa"/>
            <w:vAlign w:val="center"/>
          </w:tcPr>
          <w:p>
            <w:pPr>
              <w:spacing w:line="430" w:lineRule="exact"/>
              <w:jc w:val="center"/>
              <w:rPr>
                <w:rFonts w:ascii="宋体" w:hAnsi="宋体"/>
                <w:sz w:val="22"/>
                <w:szCs w:val="22"/>
                <w:highlight w:val="none"/>
              </w:rPr>
            </w:pPr>
            <w:r>
              <w:rPr>
                <w:rFonts w:hint="eastAsia" w:ascii="宋体" w:hAnsi="宋体"/>
                <w:sz w:val="22"/>
                <w:szCs w:val="22"/>
                <w:highlight w:val="none"/>
              </w:rPr>
              <w:t>序号</w:t>
            </w:r>
          </w:p>
        </w:tc>
        <w:tc>
          <w:tcPr>
            <w:tcW w:w="7796" w:type="dxa"/>
            <w:vAlign w:val="center"/>
          </w:tcPr>
          <w:p>
            <w:pPr>
              <w:spacing w:line="430" w:lineRule="exact"/>
              <w:jc w:val="center"/>
              <w:rPr>
                <w:rFonts w:ascii="宋体" w:hAnsi="宋体"/>
                <w:sz w:val="22"/>
                <w:szCs w:val="22"/>
                <w:highlight w:val="none"/>
              </w:rPr>
            </w:pPr>
            <w:r>
              <w:rPr>
                <w:rFonts w:hint="eastAsia" w:ascii="宋体" w:hAnsi="宋体"/>
                <w:sz w:val="22"/>
                <w:szCs w:val="22"/>
                <w:highlight w:val="none"/>
              </w:rPr>
              <w:t>内容</w:t>
            </w:r>
          </w:p>
        </w:tc>
        <w:tc>
          <w:tcPr>
            <w:tcW w:w="1354" w:type="dxa"/>
            <w:vAlign w:val="center"/>
          </w:tcPr>
          <w:p>
            <w:pPr>
              <w:spacing w:line="430" w:lineRule="exact"/>
              <w:jc w:val="center"/>
              <w:rPr>
                <w:rFonts w:ascii="宋体" w:hAnsi="宋体"/>
                <w:sz w:val="22"/>
                <w:szCs w:val="22"/>
                <w:highlight w:val="none"/>
              </w:rPr>
            </w:pPr>
            <w:r>
              <w:rPr>
                <w:rFonts w:hint="eastAsia" w:ascii="宋体" w:hAnsi="宋体"/>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spacing w:line="430" w:lineRule="exact"/>
              <w:jc w:val="center"/>
              <w:rPr>
                <w:rFonts w:ascii="宋体" w:hAnsi="宋体"/>
                <w:sz w:val="22"/>
                <w:szCs w:val="22"/>
                <w:highlight w:val="none"/>
              </w:rPr>
            </w:pPr>
            <w:r>
              <w:rPr>
                <w:rFonts w:hint="eastAsia" w:ascii="宋体" w:hAnsi="宋体"/>
                <w:sz w:val="22"/>
                <w:szCs w:val="22"/>
                <w:highlight w:val="none"/>
              </w:rPr>
              <w:t>1</w:t>
            </w:r>
          </w:p>
        </w:tc>
        <w:tc>
          <w:tcPr>
            <w:tcW w:w="7796" w:type="dxa"/>
            <w:vAlign w:val="center"/>
          </w:tcPr>
          <w:p>
            <w:pPr>
              <w:rPr>
                <w:rFonts w:ascii="宋体" w:hAnsi="宋体" w:cs="楷体"/>
                <w:b/>
                <w:bCs/>
                <w:kern w:val="0"/>
                <w:sz w:val="22"/>
                <w:szCs w:val="22"/>
                <w:highlight w:val="none"/>
              </w:rPr>
            </w:pPr>
            <w:r>
              <w:rPr>
                <w:rFonts w:hint="eastAsia" w:ascii="宋体" w:hAnsi="宋体" w:cs="楷体"/>
                <w:kern w:val="0"/>
                <w:sz w:val="22"/>
                <w:szCs w:val="22"/>
                <w:highlight w:val="none"/>
              </w:rPr>
              <w:t>开标一览表</w:t>
            </w:r>
          </w:p>
        </w:tc>
        <w:tc>
          <w:tcPr>
            <w:tcW w:w="1354" w:type="dxa"/>
            <w:vAlign w:val="center"/>
          </w:tcPr>
          <w:p>
            <w:pPr>
              <w:spacing w:line="430" w:lineRule="exact"/>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hint="eastAsia" w:ascii="宋体" w:hAnsi="宋体" w:eastAsia="宋体" w:cs="楷体"/>
                <w:kern w:val="0"/>
                <w:sz w:val="22"/>
                <w:szCs w:val="22"/>
                <w:highlight w:val="none"/>
              </w:rPr>
            </w:pPr>
            <w:r>
              <w:rPr>
                <w:rFonts w:hint="eastAsia" w:ascii="宋体" w:hAnsi="宋体" w:eastAsia="宋体" w:cs="楷体"/>
                <w:kern w:val="0"/>
                <w:sz w:val="22"/>
                <w:szCs w:val="22"/>
                <w:highlight w:val="none"/>
              </w:rPr>
              <w:t>2</w:t>
            </w:r>
          </w:p>
        </w:tc>
        <w:tc>
          <w:tcPr>
            <w:tcW w:w="7796" w:type="dxa"/>
            <w:vAlign w:val="center"/>
          </w:tcPr>
          <w:p>
            <w:pPr>
              <w:rPr>
                <w:rFonts w:hint="eastAsia" w:ascii="宋体" w:hAnsi="宋体" w:eastAsia="宋体" w:cs="楷体"/>
                <w:kern w:val="0"/>
                <w:sz w:val="22"/>
                <w:szCs w:val="22"/>
                <w:highlight w:val="none"/>
              </w:rPr>
            </w:pPr>
            <w:r>
              <w:rPr>
                <w:rFonts w:hint="eastAsia" w:ascii="宋体" w:hAnsi="宋体" w:eastAsia="宋体" w:cs="楷体"/>
                <w:kern w:val="0"/>
                <w:sz w:val="22"/>
                <w:szCs w:val="22"/>
                <w:highlight w:val="none"/>
              </w:rPr>
              <w:t>投标分项报价表</w:t>
            </w:r>
          </w:p>
        </w:tc>
        <w:tc>
          <w:tcPr>
            <w:tcW w:w="1354" w:type="dxa"/>
            <w:vAlign w:val="center"/>
          </w:tcPr>
          <w:p>
            <w:pPr>
              <w:spacing w:line="430" w:lineRule="exact"/>
              <w:jc w:val="center"/>
              <w:rPr>
                <w:rFonts w:ascii="宋体" w:hAnsi="宋体"/>
                <w:sz w:val="22"/>
                <w:szCs w:val="22"/>
                <w:highlight w:val="none"/>
              </w:rPr>
            </w:pPr>
          </w:p>
        </w:tc>
      </w:tr>
    </w:tbl>
    <w:p>
      <w:pPr>
        <w:spacing w:line="360" w:lineRule="auto"/>
        <w:ind w:left="187" w:leftChars="85" w:hanging="9" w:hangingChars="4"/>
        <w:jc w:val="left"/>
        <w:rPr>
          <w:rFonts w:ascii="宋体" w:hAnsi="宋体"/>
          <w:b/>
          <w:sz w:val="22"/>
          <w:szCs w:val="22"/>
          <w:highlight w:val="none"/>
        </w:rPr>
      </w:pPr>
      <w:r>
        <w:rPr>
          <w:rFonts w:hint="eastAsia" w:ascii="宋体" w:hAnsi="宋体"/>
          <w:b/>
          <w:sz w:val="22"/>
          <w:szCs w:val="22"/>
          <w:highlight w:val="none"/>
        </w:rPr>
        <w:t>（</w:t>
      </w:r>
      <w:r>
        <w:rPr>
          <w:rFonts w:ascii="宋体" w:hAnsi="宋体"/>
          <w:b/>
          <w:sz w:val="22"/>
          <w:szCs w:val="22"/>
          <w:highlight w:val="none"/>
        </w:rPr>
        <w:t>3</w:t>
      </w:r>
      <w:r>
        <w:rPr>
          <w:rFonts w:hint="eastAsia" w:ascii="宋体" w:hAnsi="宋体"/>
          <w:b/>
          <w:sz w:val="22"/>
          <w:szCs w:val="22"/>
          <w:highlight w:val="none"/>
        </w:rPr>
        <w:t xml:space="preserve">）投标人的商务技术文件包括以下内容： </w:t>
      </w:r>
    </w:p>
    <w:bookmarkEnd w:id="97"/>
    <w:tbl>
      <w:tblPr>
        <w:tblStyle w:val="34"/>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796"/>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ascii="宋体" w:hAnsi="宋体"/>
                <w:b/>
                <w:sz w:val="22"/>
                <w:szCs w:val="22"/>
                <w:highlight w:val="none"/>
              </w:rPr>
            </w:pPr>
            <w:r>
              <w:rPr>
                <w:rFonts w:hint="eastAsia" w:ascii="宋体" w:hAnsi="宋体"/>
                <w:b/>
                <w:sz w:val="22"/>
                <w:szCs w:val="22"/>
                <w:highlight w:val="none"/>
              </w:rPr>
              <w:t>序号</w:t>
            </w:r>
          </w:p>
        </w:tc>
        <w:tc>
          <w:tcPr>
            <w:tcW w:w="7796" w:type="dxa"/>
            <w:vAlign w:val="center"/>
          </w:tcPr>
          <w:p>
            <w:pPr>
              <w:jc w:val="center"/>
              <w:rPr>
                <w:rFonts w:ascii="宋体" w:hAnsi="宋体"/>
                <w:b/>
                <w:sz w:val="22"/>
                <w:szCs w:val="22"/>
                <w:highlight w:val="none"/>
              </w:rPr>
            </w:pPr>
            <w:r>
              <w:rPr>
                <w:rFonts w:hint="eastAsia" w:ascii="宋体" w:hAnsi="宋体"/>
                <w:b/>
                <w:sz w:val="22"/>
                <w:szCs w:val="22"/>
                <w:highlight w:val="none"/>
              </w:rPr>
              <w:t>内容</w:t>
            </w:r>
          </w:p>
        </w:tc>
        <w:tc>
          <w:tcPr>
            <w:tcW w:w="1418" w:type="dxa"/>
            <w:vAlign w:val="center"/>
          </w:tcPr>
          <w:p>
            <w:pPr>
              <w:jc w:val="center"/>
              <w:rPr>
                <w:rFonts w:ascii="宋体" w:hAnsi="宋体"/>
                <w:sz w:val="22"/>
                <w:szCs w:val="22"/>
                <w:highlight w:val="none"/>
              </w:rPr>
            </w:pPr>
            <w:r>
              <w:rPr>
                <w:rFonts w:hint="eastAsia" w:ascii="宋体" w:hAnsi="宋体"/>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04" w:type="dxa"/>
            <w:vAlign w:val="center"/>
          </w:tcPr>
          <w:p>
            <w:pPr>
              <w:jc w:val="center"/>
              <w:rPr>
                <w:rFonts w:ascii="宋体" w:hAnsi="宋体"/>
                <w:sz w:val="22"/>
                <w:szCs w:val="22"/>
                <w:highlight w:val="none"/>
              </w:rPr>
            </w:pPr>
            <w:r>
              <w:rPr>
                <w:rFonts w:hint="eastAsia" w:ascii="宋体" w:hAnsi="宋体"/>
                <w:sz w:val="22"/>
                <w:szCs w:val="22"/>
                <w:highlight w:val="none"/>
              </w:rPr>
              <w:t>1</w:t>
            </w:r>
          </w:p>
        </w:tc>
        <w:tc>
          <w:tcPr>
            <w:tcW w:w="7796" w:type="dxa"/>
            <w:vAlign w:val="center"/>
          </w:tcPr>
          <w:p>
            <w:pPr>
              <w:rPr>
                <w:rFonts w:ascii="宋体" w:hAnsi="宋体" w:cs="楷体"/>
                <w:kern w:val="0"/>
                <w:sz w:val="22"/>
                <w:szCs w:val="22"/>
                <w:highlight w:val="none"/>
              </w:rPr>
            </w:pPr>
            <w:r>
              <w:rPr>
                <w:rFonts w:hint="eastAsia" w:ascii="宋体" w:hAnsi="宋体" w:cs="楷体"/>
                <w:kern w:val="0"/>
                <w:sz w:val="22"/>
                <w:szCs w:val="22"/>
                <w:highlight w:val="none"/>
              </w:rPr>
              <w:t>投标函</w:t>
            </w:r>
          </w:p>
        </w:tc>
        <w:tc>
          <w:tcPr>
            <w:tcW w:w="1418" w:type="dxa"/>
            <w:vAlign w:val="center"/>
          </w:tcPr>
          <w:p>
            <w:pPr>
              <w:spacing w:line="430" w:lineRule="exact"/>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ascii="宋体" w:hAnsi="宋体"/>
                <w:sz w:val="22"/>
                <w:szCs w:val="22"/>
                <w:highlight w:val="none"/>
              </w:rPr>
            </w:pPr>
            <w:r>
              <w:rPr>
                <w:rFonts w:ascii="宋体" w:hAnsi="宋体"/>
                <w:sz w:val="22"/>
                <w:szCs w:val="22"/>
                <w:highlight w:val="none"/>
              </w:rPr>
              <w:t>2</w:t>
            </w:r>
          </w:p>
        </w:tc>
        <w:tc>
          <w:tcPr>
            <w:tcW w:w="7796" w:type="dxa"/>
            <w:vAlign w:val="center"/>
          </w:tcPr>
          <w:p>
            <w:pPr>
              <w:rPr>
                <w:rFonts w:ascii="宋体" w:hAnsi="宋体" w:cs="楷体"/>
                <w:kern w:val="0"/>
                <w:sz w:val="22"/>
                <w:szCs w:val="22"/>
                <w:highlight w:val="none"/>
              </w:rPr>
            </w:pPr>
            <w:r>
              <w:rPr>
                <w:rFonts w:hint="eastAsia" w:ascii="宋体" w:hAnsi="宋体" w:cs="楷体"/>
                <w:kern w:val="0"/>
                <w:sz w:val="22"/>
                <w:szCs w:val="22"/>
                <w:highlight w:val="none"/>
              </w:rPr>
              <w:t>单位负责人授权书</w:t>
            </w:r>
          </w:p>
        </w:tc>
        <w:tc>
          <w:tcPr>
            <w:tcW w:w="1418" w:type="dxa"/>
            <w:vAlign w:val="center"/>
          </w:tcPr>
          <w:p>
            <w:pPr>
              <w:pStyle w:val="12"/>
              <w:keepNext/>
              <w:jc w:val="center"/>
              <w:rPr>
                <w:rFonts w:ascii="宋体" w:hAnsi="宋体" w:eastAsia="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ascii="宋体" w:hAnsi="宋体"/>
                <w:sz w:val="22"/>
                <w:szCs w:val="22"/>
                <w:highlight w:val="none"/>
              </w:rPr>
            </w:pPr>
            <w:r>
              <w:rPr>
                <w:rFonts w:hint="eastAsia" w:ascii="宋体" w:hAnsi="宋体"/>
                <w:sz w:val="22"/>
                <w:szCs w:val="22"/>
                <w:highlight w:val="none"/>
              </w:rPr>
              <w:t>3</w:t>
            </w:r>
          </w:p>
        </w:tc>
        <w:tc>
          <w:tcPr>
            <w:tcW w:w="7796" w:type="dxa"/>
            <w:vAlign w:val="center"/>
          </w:tcPr>
          <w:p>
            <w:pPr>
              <w:rPr>
                <w:rFonts w:ascii="宋体" w:hAnsi="宋体" w:cs="楷体"/>
                <w:kern w:val="0"/>
                <w:sz w:val="22"/>
                <w:szCs w:val="22"/>
                <w:highlight w:val="none"/>
              </w:rPr>
            </w:pPr>
            <w:r>
              <w:rPr>
                <w:rFonts w:hint="eastAsia" w:ascii="宋体" w:hAnsi="宋体" w:cs="楷体"/>
                <w:kern w:val="0"/>
                <w:sz w:val="22"/>
                <w:szCs w:val="22"/>
                <w:highlight w:val="none"/>
              </w:rPr>
              <w:t>投标人联系表</w:t>
            </w:r>
          </w:p>
        </w:tc>
        <w:tc>
          <w:tcPr>
            <w:tcW w:w="1418" w:type="dxa"/>
            <w:vAlign w:val="center"/>
          </w:tcPr>
          <w:p>
            <w:pPr>
              <w:pStyle w:val="12"/>
              <w:keepNext/>
              <w:jc w:val="center"/>
              <w:rPr>
                <w:rFonts w:ascii="宋体" w:hAnsi="宋体" w:eastAsia="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ascii="宋体" w:hAnsi="宋体"/>
                <w:sz w:val="22"/>
                <w:szCs w:val="22"/>
                <w:highlight w:val="none"/>
              </w:rPr>
            </w:pPr>
            <w:r>
              <w:rPr>
                <w:rFonts w:ascii="宋体" w:hAnsi="宋体"/>
                <w:sz w:val="22"/>
                <w:szCs w:val="22"/>
                <w:highlight w:val="none"/>
              </w:rPr>
              <w:t>4</w:t>
            </w:r>
          </w:p>
        </w:tc>
        <w:tc>
          <w:tcPr>
            <w:tcW w:w="7796" w:type="dxa"/>
            <w:vAlign w:val="center"/>
          </w:tcPr>
          <w:p>
            <w:pPr>
              <w:rPr>
                <w:rFonts w:ascii="宋体" w:hAnsi="宋体" w:cs="楷体"/>
                <w:kern w:val="0"/>
                <w:sz w:val="22"/>
                <w:szCs w:val="22"/>
                <w:highlight w:val="none"/>
              </w:rPr>
            </w:pPr>
            <w:r>
              <w:rPr>
                <w:rFonts w:hint="eastAsia" w:ascii="宋体" w:hAnsi="宋体" w:cs="楷体"/>
                <w:kern w:val="0"/>
                <w:sz w:val="22"/>
                <w:szCs w:val="22"/>
                <w:highlight w:val="none"/>
              </w:rPr>
              <w:t>采购需求偏离表</w:t>
            </w:r>
          </w:p>
        </w:tc>
        <w:tc>
          <w:tcPr>
            <w:tcW w:w="1418" w:type="dxa"/>
            <w:vAlign w:val="center"/>
          </w:tcPr>
          <w:p>
            <w:pPr>
              <w:spacing w:line="430" w:lineRule="exact"/>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ascii="宋体" w:hAnsi="宋体"/>
                <w:sz w:val="22"/>
                <w:szCs w:val="22"/>
                <w:highlight w:val="none"/>
              </w:rPr>
            </w:pPr>
            <w:r>
              <w:rPr>
                <w:rFonts w:hint="eastAsia" w:ascii="宋体" w:hAnsi="宋体"/>
                <w:sz w:val="22"/>
                <w:szCs w:val="22"/>
                <w:highlight w:val="none"/>
                <w:lang w:val="en-US" w:eastAsia="zh-CN"/>
              </w:rPr>
              <w:t>5</w:t>
            </w:r>
          </w:p>
        </w:tc>
        <w:tc>
          <w:tcPr>
            <w:tcW w:w="7796" w:type="dxa"/>
            <w:vAlign w:val="center"/>
          </w:tcPr>
          <w:p>
            <w:pPr>
              <w:rPr>
                <w:rFonts w:hint="eastAsia" w:ascii="宋体" w:hAnsi="宋体" w:cs="楷体"/>
                <w:kern w:val="0"/>
                <w:sz w:val="22"/>
                <w:szCs w:val="22"/>
                <w:highlight w:val="none"/>
              </w:rPr>
            </w:pPr>
            <w:r>
              <w:rPr>
                <w:rFonts w:hint="eastAsia" w:ascii="宋体" w:hAnsi="宋体" w:cs="楷体"/>
                <w:kern w:val="0"/>
                <w:sz w:val="22"/>
                <w:szCs w:val="22"/>
                <w:highlight w:val="none"/>
              </w:rPr>
              <w:t xml:space="preserve">供货范围详细清单（不含价格） </w:t>
            </w:r>
          </w:p>
        </w:tc>
        <w:tc>
          <w:tcPr>
            <w:tcW w:w="1418" w:type="dxa"/>
            <w:vAlign w:val="center"/>
          </w:tcPr>
          <w:p>
            <w:pPr>
              <w:spacing w:line="430" w:lineRule="exact"/>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hint="eastAsia" w:ascii="宋体" w:hAnsi="宋体" w:eastAsia="宋体"/>
                <w:sz w:val="22"/>
                <w:szCs w:val="22"/>
                <w:highlight w:val="none"/>
                <w:lang w:val="en-US" w:eastAsia="zh-CN"/>
              </w:rPr>
            </w:pPr>
            <w:r>
              <w:rPr>
                <w:rFonts w:hint="eastAsia" w:ascii="宋体" w:hAnsi="宋体"/>
                <w:sz w:val="22"/>
                <w:szCs w:val="22"/>
                <w:highlight w:val="none"/>
                <w:lang w:val="en-US" w:eastAsia="zh-CN"/>
              </w:rPr>
              <w:t>6</w:t>
            </w:r>
          </w:p>
        </w:tc>
        <w:tc>
          <w:tcPr>
            <w:tcW w:w="7796" w:type="dxa"/>
            <w:vAlign w:val="center"/>
          </w:tcPr>
          <w:p>
            <w:pPr>
              <w:rPr>
                <w:rFonts w:hint="eastAsia" w:ascii="宋体" w:hAnsi="宋体" w:eastAsia="宋体" w:cs="楷体"/>
                <w:kern w:val="0"/>
                <w:sz w:val="22"/>
                <w:szCs w:val="22"/>
                <w:highlight w:val="none"/>
                <w:lang w:eastAsia="zh-CN"/>
              </w:rPr>
            </w:pPr>
            <w:r>
              <w:rPr>
                <w:rFonts w:hint="eastAsia" w:ascii="宋体" w:hAnsi="宋体" w:cs="楷体"/>
                <w:kern w:val="0"/>
                <w:sz w:val="22"/>
                <w:szCs w:val="22"/>
                <w:highlight w:val="none"/>
                <w:lang w:eastAsia="zh-CN"/>
              </w:rPr>
              <w:t>拟派项目人员</w:t>
            </w:r>
          </w:p>
        </w:tc>
        <w:tc>
          <w:tcPr>
            <w:tcW w:w="1418" w:type="dxa"/>
            <w:vAlign w:val="center"/>
          </w:tcPr>
          <w:p>
            <w:pPr>
              <w:spacing w:line="430" w:lineRule="exact"/>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hint="eastAsia" w:ascii="宋体" w:hAnsi="宋体" w:eastAsia="宋体"/>
                <w:sz w:val="22"/>
                <w:szCs w:val="22"/>
                <w:highlight w:val="none"/>
                <w:lang w:val="en-US" w:eastAsia="zh-CN"/>
              </w:rPr>
            </w:pPr>
            <w:r>
              <w:rPr>
                <w:rFonts w:hint="eastAsia" w:ascii="宋体" w:hAnsi="宋体"/>
                <w:sz w:val="22"/>
                <w:szCs w:val="22"/>
                <w:highlight w:val="none"/>
                <w:lang w:val="en-US" w:eastAsia="zh-CN"/>
              </w:rPr>
              <w:t>7</w:t>
            </w:r>
          </w:p>
        </w:tc>
        <w:tc>
          <w:tcPr>
            <w:tcW w:w="7796" w:type="dxa"/>
            <w:vAlign w:val="center"/>
          </w:tcPr>
          <w:p>
            <w:pPr>
              <w:rPr>
                <w:rFonts w:ascii="宋体" w:hAnsi="宋体" w:cs="楷体"/>
                <w:kern w:val="0"/>
                <w:sz w:val="22"/>
                <w:szCs w:val="22"/>
                <w:highlight w:val="none"/>
              </w:rPr>
            </w:pPr>
            <w:r>
              <w:rPr>
                <w:rFonts w:hint="eastAsia" w:ascii="宋体" w:hAnsi="宋体" w:cs="楷体"/>
                <w:kern w:val="0"/>
                <w:sz w:val="22"/>
                <w:szCs w:val="22"/>
                <w:highlight w:val="none"/>
              </w:rPr>
              <w:t>根据本项目采购内容及要求以及商务技术评分项目，需要提供的文件和资料</w:t>
            </w:r>
          </w:p>
        </w:tc>
        <w:tc>
          <w:tcPr>
            <w:tcW w:w="1418" w:type="dxa"/>
            <w:vAlign w:val="center"/>
          </w:tcPr>
          <w:p>
            <w:pPr>
              <w:spacing w:line="430" w:lineRule="exact"/>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pPr>
              <w:jc w:val="center"/>
              <w:rPr>
                <w:rFonts w:hint="default" w:ascii="宋体" w:hAnsi="宋体" w:eastAsia="宋体"/>
                <w:sz w:val="22"/>
                <w:szCs w:val="22"/>
                <w:highlight w:val="none"/>
                <w:lang w:val="en-US" w:eastAsia="zh-CN"/>
              </w:rPr>
            </w:pPr>
            <w:r>
              <w:rPr>
                <w:rFonts w:hint="eastAsia" w:ascii="宋体" w:hAnsi="宋体"/>
                <w:sz w:val="22"/>
                <w:szCs w:val="22"/>
                <w:highlight w:val="none"/>
                <w:lang w:val="en-US" w:eastAsia="zh-CN"/>
              </w:rPr>
              <w:t>8</w:t>
            </w:r>
          </w:p>
        </w:tc>
        <w:tc>
          <w:tcPr>
            <w:tcW w:w="7796" w:type="dxa"/>
            <w:vAlign w:val="center"/>
          </w:tcPr>
          <w:p>
            <w:pPr>
              <w:rPr>
                <w:rFonts w:ascii="宋体" w:hAnsi="宋体" w:cs="楷体"/>
                <w:kern w:val="0"/>
                <w:sz w:val="22"/>
                <w:szCs w:val="22"/>
                <w:highlight w:val="none"/>
              </w:rPr>
            </w:pPr>
            <w:r>
              <w:rPr>
                <w:rFonts w:hint="eastAsia" w:ascii="宋体" w:hAnsi="宋体" w:cs="楷体"/>
                <w:kern w:val="0"/>
                <w:sz w:val="22"/>
                <w:szCs w:val="22"/>
                <w:highlight w:val="none"/>
              </w:rPr>
              <w:t>投标人需要说明的其他文件和说明</w:t>
            </w:r>
          </w:p>
        </w:tc>
        <w:tc>
          <w:tcPr>
            <w:tcW w:w="1418" w:type="dxa"/>
            <w:vAlign w:val="center"/>
          </w:tcPr>
          <w:p>
            <w:pPr>
              <w:spacing w:line="430" w:lineRule="exact"/>
              <w:jc w:val="center"/>
              <w:rPr>
                <w:rFonts w:ascii="宋体" w:hAnsi="宋体"/>
                <w:sz w:val="22"/>
                <w:szCs w:val="22"/>
                <w:highlight w:val="none"/>
              </w:rPr>
            </w:pPr>
          </w:p>
        </w:tc>
      </w:tr>
    </w:tbl>
    <w:p>
      <w:pPr>
        <w:numPr>
          <w:ilvl w:val="0"/>
          <w:numId w:val="2"/>
        </w:numPr>
        <w:tabs>
          <w:tab w:val="left" w:pos="525"/>
          <w:tab w:val="left" w:pos="900"/>
        </w:tabs>
        <w:spacing w:line="360" w:lineRule="auto"/>
        <w:rPr>
          <w:rFonts w:ascii="宋体" w:hAnsi="宋体" w:cs="楷体"/>
          <w:kern w:val="0"/>
          <w:sz w:val="22"/>
          <w:szCs w:val="22"/>
          <w:highlight w:val="none"/>
        </w:rPr>
      </w:pPr>
      <w:r>
        <w:rPr>
          <w:rFonts w:hint="eastAsia" w:ascii="宋体" w:hAnsi="宋体" w:cs="楷体"/>
          <w:kern w:val="0"/>
          <w:sz w:val="22"/>
          <w:szCs w:val="22"/>
          <w:highlight w:val="none"/>
        </w:rPr>
        <w:t>投标文件的语言及度量衡单位</w:t>
      </w:r>
    </w:p>
    <w:p>
      <w:pPr>
        <w:numPr>
          <w:ilvl w:val="0"/>
          <w:numId w:val="3"/>
        </w:numPr>
        <w:tabs>
          <w:tab w:val="left" w:pos="530"/>
        </w:tabs>
        <w:autoSpaceDE w:val="0"/>
        <w:autoSpaceDN w:val="0"/>
        <w:spacing w:line="360" w:lineRule="auto"/>
        <w:textAlignment w:val="bottom"/>
        <w:rPr>
          <w:rFonts w:ascii="宋体" w:hAnsi="宋体" w:cs="Courier New"/>
          <w:sz w:val="22"/>
          <w:szCs w:val="22"/>
          <w:highlight w:val="none"/>
        </w:rPr>
      </w:pPr>
      <w:r>
        <w:rPr>
          <w:rFonts w:ascii="宋体" w:hAnsi="宋体" w:cs="Courier New"/>
          <w:sz w:val="22"/>
          <w:szCs w:val="22"/>
          <w:highlight w:val="none"/>
        </w:rPr>
        <w:t>除招标文件另有规定外，投标文件应使用中文文本，若有不同文本，以中文文本为准。</w:t>
      </w:r>
    </w:p>
    <w:p>
      <w:pPr>
        <w:numPr>
          <w:ilvl w:val="0"/>
          <w:numId w:val="3"/>
        </w:numPr>
        <w:tabs>
          <w:tab w:val="left" w:pos="530"/>
        </w:tabs>
        <w:autoSpaceDE w:val="0"/>
        <w:autoSpaceDN w:val="0"/>
        <w:spacing w:line="360" w:lineRule="auto"/>
        <w:textAlignment w:val="bottom"/>
        <w:rPr>
          <w:rFonts w:ascii="宋体" w:hAnsi="宋体" w:cs="Courier New"/>
          <w:sz w:val="22"/>
          <w:szCs w:val="22"/>
          <w:highlight w:val="none"/>
        </w:rPr>
      </w:pPr>
      <w:r>
        <w:rPr>
          <w:rFonts w:ascii="宋体" w:hAnsi="宋体" w:cs="Courier New"/>
          <w:sz w:val="22"/>
          <w:szCs w:val="22"/>
          <w:highlight w:val="none"/>
        </w:rPr>
        <w:t>除招标文件另有规定外，投标文件</w:t>
      </w:r>
      <w:r>
        <w:rPr>
          <w:rFonts w:hint="eastAsia" w:ascii="宋体" w:hAnsi="宋体" w:cs="Courier New"/>
          <w:sz w:val="22"/>
          <w:szCs w:val="22"/>
          <w:highlight w:val="none"/>
        </w:rPr>
        <w:t>使用的度量衡单位，均采用中华人民共和国法定计量单位。</w:t>
      </w:r>
    </w:p>
    <w:p>
      <w:pPr>
        <w:numPr>
          <w:ilvl w:val="0"/>
          <w:numId w:val="2"/>
        </w:numPr>
        <w:tabs>
          <w:tab w:val="left" w:pos="525"/>
          <w:tab w:val="left" w:pos="900"/>
        </w:tabs>
        <w:spacing w:line="360" w:lineRule="auto"/>
        <w:rPr>
          <w:rFonts w:ascii="宋体" w:hAnsi="宋体" w:cs="楷体"/>
          <w:kern w:val="0"/>
          <w:sz w:val="22"/>
          <w:szCs w:val="22"/>
          <w:highlight w:val="none"/>
        </w:rPr>
      </w:pPr>
      <w:r>
        <w:rPr>
          <w:rFonts w:hint="eastAsia" w:ascii="宋体" w:hAnsi="宋体" w:cs="楷体"/>
          <w:kern w:val="0"/>
          <w:sz w:val="22"/>
          <w:szCs w:val="22"/>
          <w:highlight w:val="none"/>
        </w:rPr>
        <w:t>投标报价</w:t>
      </w:r>
    </w:p>
    <w:p>
      <w:pPr>
        <w:numPr>
          <w:ilvl w:val="1"/>
          <w:numId w:val="2"/>
        </w:numPr>
        <w:tabs>
          <w:tab w:val="left" w:pos="540"/>
        </w:tabs>
        <w:spacing w:line="360" w:lineRule="auto"/>
        <w:rPr>
          <w:rFonts w:ascii="宋体" w:hAnsi="宋体"/>
          <w:sz w:val="22"/>
          <w:highlight w:val="none"/>
        </w:rPr>
      </w:pPr>
      <w:bookmarkStart w:id="98" w:name="_Hlk58529002"/>
      <w:r>
        <w:rPr>
          <w:rFonts w:hint="eastAsia" w:ascii="宋体" w:hAnsi="宋体"/>
          <w:sz w:val="22"/>
          <w:highlight w:val="none"/>
        </w:rPr>
        <w:t>投标人的报价为含税报价</w:t>
      </w:r>
      <w:r>
        <w:rPr>
          <w:rFonts w:hint="eastAsia" w:ascii="宋体" w:hAnsi="宋体" w:eastAsia="宋体"/>
          <w:sz w:val="22"/>
          <w:highlight w:val="none"/>
        </w:rPr>
        <w:t>，</w:t>
      </w:r>
      <w:r>
        <w:rPr>
          <w:rFonts w:hint="eastAsia" w:ascii="宋体" w:hAnsi="宋体"/>
          <w:sz w:val="22"/>
          <w:highlight w:val="none"/>
          <w:lang w:eastAsia="zh-CN"/>
        </w:rPr>
        <w:t>包含但不仅限于所需系统软硬件的供货、安装(含配套施工、辅材辅料）、综合布线、系统的分析、系统集成、系统整合（含接口对接）、调试、验收配合（含第三方验收）、第三方检测（如需）、技术培训、场地租赁、售后服务及伴随的其他服务等全部内容所需的一切费用，以及税金、人工（包括工资、福利、交通、食宿、通讯等费用）、管理、合理利润等一切成本及费用（以上费用未单列的视为包含在报价中）</w:t>
      </w:r>
      <w:r>
        <w:rPr>
          <w:rFonts w:hint="eastAsia" w:ascii="宋体" w:hAnsi="宋体"/>
          <w:sz w:val="22"/>
          <w:highlight w:val="none"/>
        </w:rPr>
        <w:t>。</w:t>
      </w:r>
    </w:p>
    <w:bookmarkEnd w:id="98"/>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所有报价均以人民币报价。</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lang w:eastAsia="zh-CN"/>
        </w:rPr>
        <w:t>甲方</w:t>
      </w:r>
      <w:r>
        <w:rPr>
          <w:rFonts w:hint="eastAsia" w:ascii="宋体" w:hAnsi="宋体" w:cs="Courier New"/>
          <w:sz w:val="22"/>
          <w:szCs w:val="22"/>
          <w:highlight w:val="none"/>
        </w:rPr>
        <w:t>要求分类报价是为了方便评审，但在任何情况下不限制</w:t>
      </w:r>
      <w:r>
        <w:rPr>
          <w:rFonts w:hint="eastAsia" w:ascii="宋体" w:hAnsi="宋体" w:cs="Courier New"/>
          <w:sz w:val="22"/>
          <w:szCs w:val="22"/>
          <w:highlight w:val="none"/>
          <w:lang w:eastAsia="zh-CN"/>
        </w:rPr>
        <w:t>甲方</w:t>
      </w:r>
      <w:r>
        <w:rPr>
          <w:rFonts w:hint="eastAsia" w:ascii="宋体" w:hAnsi="宋体" w:cs="Courier New"/>
          <w:sz w:val="22"/>
          <w:szCs w:val="22"/>
          <w:highlight w:val="none"/>
        </w:rPr>
        <w:t>以其认为最合适的条款、条件签订合同的权利。</w:t>
      </w:r>
    </w:p>
    <w:p>
      <w:pPr>
        <w:numPr>
          <w:ilvl w:val="1"/>
          <w:numId w:val="2"/>
        </w:numPr>
        <w:tabs>
          <w:tab w:val="left" w:pos="525"/>
          <w:tab w:val="left" w:pos="635"/>
          <w:tab w:val="left" w:pos="900"/>
        </w:tabs>
        <w:spacing w:line="360" w:lineRule="auto"/>
        <w:rPr>
          <w:rFonts w:ascii="宋体" w:hAnsi="宋体" w:cs="Courier New"/>
          <w:b/>
          <w:sz w:val="22"/>
          <w:szCs w:val="22"/>
          <w:highlight w:val="none"/>
        </w:rPr>
      </w:pPr>
      <w:r>
        <w:rPr>
          <w:rFonts w:hint="eastAsia" w:ascii="宋体" w:hAnsi="宋体" w:cs="Courier New"/>
          <w:sz w:val="22"/>
          <w:szCs w:val="22"/>
          <w:highlight w:val="none"/>
        </w:rPr>
        <w:t>除招标文件另有规定外，投标文件不能出现任何选择性的投标报价，即每一个合同包和品目号的采购标的都只能有一个投标报价，否则</w:t>
      </w:r>
      <w:r>
        <w:rPr>
          <w:rFonts w:hint="eastAsia" w:ascii="宋体" w:hAnsi="宋体" w:cs="Courier New"/>
          <w:b/>
          <w:bCs/>
          <w:sz w:val="22"/>
          <w:szCs w:val="22"/>
          <w:highlight w:val="none"/>
        </w:rPr>
        <w:t>投标无效</w:t>
      </w:r>
      <w:r>
        <w:rPr>
          <w:rFonts w:hint="eastAsia" w:ascii="宋体" w:hAnsi="宋体" w:cs="Courier New"/>
          <w:bCs/>
          <w:sz w:val="22"/>
          <w:szCs w:val="22"/>
          <w:highlight w:val="none"/>
        </w:rPr>
        <w:t>。</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投标人对在合同执行中，除上述费用及招标文件规定的由中标人负责的工作范围以外需要</w:t>
      </w:r>
      <w:r>
        <w:rPr>
          <w:rFonts w:hint="eastAsia" w:ascii="宋体" w:hAnsi="宋体" w:cs="Courier New"/>
          <w:sz w:val="22"/>
          <w:szCs w:val="22"/>
          <w:highlight w:val="none"/>
          <w:lang w:eastAsia="zh-CN"/>
        </w:rPr>
        <w:t>甲方</w:t>
      </w:r>
      <w:r>
        <w:rPr>
          <w:rFonts w:hint="eastAsia" w:ascii="宋体" w:hAnsi="宋体" w:cs="Courier New"/>
          <w:sz w:val="22"/>
          <w:szCs w:val="22"/>
          <w:highlight w:val="none"/>
        </w:rPr>
        <w:t>协调或提供便利的工作应当在投标文件中说明。</w:t>
      </w:r>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cs="楷体"/>
          <w:kern w:val="0"/>
          <w:sz w:val="22"/>
          <w:szCs w:val="22"/>
          <w:highlight w:val="none"/>
        </w:rPr>
        <w:t>投标保证金</w:t>
      </w:r>
      <w:r>
        <w:rPr>
          <w:rFonts w:hint="eastAsia" w:ascii="宋体" w:hAnsi="宋体" w:cs="Courier New"/>
          <w:sz w:val="22"/>
          <w:szCs w:val="22"/>
          <w:highlight w:val="none"/>
        </w:rPr>
        <w:t>及赔偿损失金</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楷体"/>
          <w:kern w:val="0"/>
          <w:sz w:val="22"/>
          <w:szCs w:val="22"/>
          <w:highlight w:val="none"/>
        </w:rPr>
        <w:t>本项目不收取</w:t>
      </w:r>
      <w:r>
        <w:rPr>
          <w:rFonts w:hint="eastAsia" w:ascii="宋体" w:hAnsi="宋体" w:cs="楷体"/>
          <w:kern w:val="0"/>
          <w:sz w:val="22"/>
          <w:szCs w:val="22"/>
          <w:highlight w:val="none"/>
          <w:lang w:val="en-US" w:eastAsia="zh-CN"/>
        </w:rPr>
        <w:t>投标</w:t>
      </w:r>
      <w:r>
        <w:rPr>
          <w:rFonts w:hint="eastAsia" w:ascii="宋体" w:hAnsi="宋体" w:cs="楷体"/>
          <w:kern w:val="0"/>
          <w:sz w:val="22"/>
          <w:szCs w:val="22"/>
          <w:highlight w:val="none"/>
        </w:rPr>
        <w:t>保证金，但不免除</w:t>
      </w:r>
      <w:r>
        <w:rPr>
          <w:rFonts w:hint="eastAsia" w:ascii="宋体" w:hAnsi="宋体" w:cs="楷体"/>
          <w:kern w:val="0"/>
          <w:sz w:val="22"/>
          <w:szCs w:val="22"/>
          <w:highlight w:val="none"/>
          <w:lang w:val="en-US" w:eastAsia="zh-CN"/>
        </w:rPr>
        <w:t>投标人</w:t>
      </w:r>
      <w:r>
        <w:rPr>
          <w:rFonts w:hint="eastAsia" w:ascii="宋体" w:hAnsi="宋体" w:cs="楷体"/>
          <w:kern w:val="0"/>
          <w:sz w:val="22"/>
          <w:szCs w:val="22"/>
          <w:highlight w:val="none"/>
        </w:rPr>
        <w:t>相应的赔偿责任</w:t>
      </w:r>
      <w:r>
        <w:rPr>
          <w:rFonts w:hint="eastAsia" w:ascii="宋体" w:hAnsi="宋体" w:cs="楷体"/>
          <w:kern w:val="0"/>
          <w:sz w:val="22"/>
          <w:szCs w:val="22"/>
          <w:highlight w:val="none"/>
          <w:lang w:eastAsia="zh-CN"/>
        </w:rPr>
        <w:t>。</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楷体"/>
          <w:kern w:val="0"/>
          <w:sz w:val="22"/>
          <w:szCs w:val="22"/>
          <w:highlight w:val="none"/>
        </w:rPr>
        <w:t>赔偿损失金为人民币贰万元整</w:t>
      </w:r>
      <w:r>
        <w:rPr>
          <w:rFonts w:hint="eastAsia" w:ascii="宋体" w:hAnsi="宋体" w:cs="楷体"/>
          <w:kern w:val="0"/>
          <w:sz w:val="22"/>
          <w:szCs w:val="22"/>
          <w:highlight w:val="none"/>
          <w:lang w:eastAsia="zh-CN"/>
        </w:rPr>
        <w:t>。</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如发生下列情况之一，将有权向其收取赔偿损失金</w:t>
      </w:r>
      <w:r>
        <w:rPr>
          <w:rFonts w:hint="eastAsia" w:ascii="宋体" w:hAnsi="宋体"/>
          <w:sz w:val="22"/>
          <w:szCs w:val="22"/>
          <w:highlight w:val="none"/>
        </w:rPr>
        <w:t>。</w:t>
      </w:r>
    </w:p>
    <w:p>
      <w:pPr>
        <w:numPr>
          <w:ilvl w:val="0"/>
          <w:numId w:val="4"/>
        </w:numPr>
        <w:tabs>
          <w:tab w:val="left" w:pos="525"/>
          <w:tab w:val="clear" w:pos="780"/>
        </w:tabs>
        <w:spacing w:line="360" w:lineRule="auto"/>
        <w:ind w:left="525" w:firstLine="0"/>
        <w:rPr>
          <w:rFonts w:ascii="宋体" w:hAnsi="宋体" w:cs="Courier New"/>
          <w:sz w:val="22"/>
          <w:szCs w:val="22"/>
          <w:highlight w:val="none"/>
        </w:rPr>
      </w:pPr>
      <w:r>
        <w:rPr>
          <w:rFonts w:hint="eastAsia" w:ascii="宋体" w:hAnsi="宋体" w:cs="Courier New"/>
          <w:sz w:val="22"/>
          <w:szCs w:val="22"/>
          <w:highlight w:val="none"/>
        </w:rPr>
        <w:t>投标人在招标文件规定的投标有效期内撤回投标；</w:t>
      </w:r>
    </w:p>
    <w:p>
      <w:pPr>
        <w:numPr>
          <w:ilvl w:val="0"/>
          <w:numId w:val="4"/>
        </w:numPr>
        <w:tabs>
          <w:tab w:val="left" w:pos="525"/>
          <w:tab w:val="clear" w:pos="780"/>
        </w:tabs>
        <w:spacing w:line="360" w:lineRule="auto"/>
        <w:ind w:left="525" w:firstLine="0"/>
        <w:rPr>
          <w:rFonts w:ascii="宋体" w:hAnsi="宋体" w:cs="Courier New"/>
          <w:sz w:val="22"/>
          <w:szCs w:val="22"/>
          <w:highlight w:val="none"/>
        </w:rPr>
      </w:pPr>
      <w:r>
        <w:rPr>
          <w:rFonts w:hint="eastAsia" w:ascii="宋体" w:hAnsi="宋体" w:cs="Courier New"/>
          <w:sz w:val="22"/>
          <w:szCs w:val="22"/>
          <w:highlight w:val="none"/>
        </w:rPr>
        <w:t>中标人未按中标（成交）通知书中规定的时间与</w:t>
      </w:r>
      <w:r>
        <w:rPr>
          <w:rFonts w:hint="eastAsia" w:ascii="宋体" w:hAnsi="宋体" w:cs="Courier New"/>
          <w:sz w:val="22"/>
          <w:szCs w:val="22"/>
          <w:highlight w:val="none"/>
          <w:lang w:eastAsia="zh-CN"/>
        </w:rPr>
        <w:t>甲方</w:t>
      </w:r>
      <w:r>
        <w:rPr>
          <w:rFonts w:hint="eastAsia" w:ascii="宋体" w:hAnsi="宋体" w:cs="Courier New"/>
          <w:sz w:val="22"/>
          <w:szCs w:val="22"/>
          <w:highlight w:val="none"/>
        </w:rPr>
        <w:t>签订合同；</w:t>
      </w:r>
    </w:p>
    <w:p>
      <w:pPr>
        <w:numPr>
          <w:ilvl w:val="0"/>
          <w:numId w:val="4"/>
        </w:numPr>
        <w:tabs>
          <w:tab w:val="left" w:pos="525"/>
          <w:tab w:val="clear" w:pos="780"/>
        </w:tabs>
        <w:spacing w:line="360" w:lineRule="auto"/>
        <w:ind w:left="525" w:firstLine="0"/>
        <w:rPr>
          <w:rFonts w:ascii="宋体" w:hAnsi="宋体" w:cs="Courier New"/>
          <w:sz w:val="22"/>
          <w:szCs w:val="22"/>
          <w:highlight w:val="none"/>
        </w:rPr>
      </w:pPr>
      <w:r>
        <w:rPr>
          <w:rFonts w:hint="eastAsia" w:ascii="宋体" w:hAnsi="宋体" w:cs="Courier New"/>
          <w:sz w:val="22"/>
          <w:szCs w:val="22"/>
          <w:highlight w:val="none"/>
        </w:rPr>
        <w:t>中标人在规定期限内未能根据招标文件要求提供履约保证金；</w:t>
      </w:r>
    </w:p>
    <w:p>
      <w:pPr>
        <w:numPr>
          <w:ilvl w:val="0"/>
          <w:numId w:val="4"/>
        </w:numPr>
        <w:tabs>
          <w:tab w:val="left" w:pos="525"/>
          <w:tab w:val="clear" w:pos="780"/>
        </w:tabs>
        <w:spacing w:line="360" w:lineRule="auto"/>
        <w:ind w:left="525" w:firstLine="0"/>
        <w:rPr>
          <w:rFonts w:ascii="宋体" w:hAnsi="宋体" w:cs="Courier New"/>
          <w:sz w:val="22"/>
          <w:szCs w:val="22"/>
          <w:highlight w:val="none"/>
        </w:rPr>
      </w:pPr>
      <w:bookmarkStart w:id="99" w:name="_Hlk97734131"/>
      <w:r>
        <w:rPr>
          <w:rFonts w:hint="eastAsia" w:ascii="宋体" w:hAnsi="宋体" w:cs="Courier New"/>
          <w:sz w:val="22"/>
          <w:szCs w:val="22"/>
          <w:highlight w:val="none"/>
        </w:rPr>
        <w:t>投标人提供虚假材料</w:t>
      </w:r>
      <w:r>
        <w:rPr>
          <w:rFonts w:ascii="宋体" w:hAnsi="宋体" w:cs="Courier New"/>
          <w:sz w:val="22"/>
          <w:szCs w:val="22"/>
          <w:highlight w:val="none"/>
        </w:rPr>
        <w:t>或通过虚假响应、虚假陈述、虚假承诺谋取中标（成交）资格</w:t>
      </w:r>
      <w:r>
        <w:rPr>
          <w:rFonts w:hint="eastAsia" w:ascii="宋体" w:hAnsi="宋体" w:cs="Courier New"/>
          <w:sz w:val="22"/>
          <w:szCs w:val="22"/>
          <w:highlight w:val="none"/>
        </w:rPr>
        <w:t>的</w:t>
      </w:r>
      <w:bookmarkEnd w:id="99"/>
      <w:r>
        <w:rPr>
          <w:rFonts w:hint="eastAsia" w:ascii="宋体" w:hAnsi="宋体" w:cs="Courier New"/>
          <w:sz w:val="22"/>
          <w:szCs w:val="22"/>
          <w:highlight w:val="none"/>
        </w:rPr>
        <w:t>；</w:t>
      </w:r>
    </w:p>
    <w:p>
      <w:pPr>
        <w:tabs>
          <w:tab w:val="left" w:pos="525"/>
        </w:tabs>
        <w:spacing w:line="360" w:lineRule="auto"/>
        <w:ind w:firstLine="221" w:firstLineChars="100"/>
        <w:rPr>
          <w:rFonts w:ascii="宋体" w:hAnsi="宋体"/>
          <w:b/>
          <w:sz w:val="22"/>
          <w:szCs w:val="22"/>
          <w:highlight w:val="none"/>
        </w:rPr>
      </w:pPr>
      <w:r>
        <w:rPr>
          <w:rFonts w:hint="eastAsia" w:ascii="宋体" w:hAnsi="宋体"/>
          <w:b/>
          <w:sz w:val="22"/>
          <w:szCs w:val="22"/>
          <w:highlight w:val="none"/>
          <w:lang w:eastAsia="zh-CN"/>
        </w:rPr>
        <w:t>▲</w:t>
      </w:r>
      <w:r>
        <w:rPr>
          <w:rFonts w:ascii="宋体" w:hAnsi="宋体"/>
          <w:b/>
          <w:sz w:val="22"/>
          <w:szCs w:val="22"/>
          <w:highlight w:val="none"/>
        </w:rPr>
        <w:t>上述</w:t>
      </w:r>
      <w:r>
        <w:rPr>
          <w:rFonts w:hint="eastAsia" w:ascii="宋体" w:hAnsi="宋体"/>
          <w:b/>
          <w:sz w:val="22"/>
          <w:szCs w:val="22"/>
          <w:highlight w:val="none"/>
        </w:rPr>
        <w:t>赔偿损失金</w:t>
      </w:r>
      <w:r>
        <w:rPr>
          <w:rFonts w:ascii="宋体" w:hAnsi="宋体"/>
          <w:b/>
          <w:sz w:val="22"/>
          <w:szCs w:val="22"/>
          <w:highlight w:val="none"/>
        </w:rPr>
        <w:t>不能抵偿给</w:t>
      </w:r>
      <w:r>
        <w:rPr>
          <w:rFonts w:hint="eastAsia" w:ascii="宋体" w:hAnsi="宋体"/>
          <w:b/>
          <w:sz w:val="22"/>
          <w:szCs w:val="22"/>
          <w:highlight w:val="none"/>
          <w:lang w:eastAsia="zh-CN"/>
        </w:rPr>
        <w:t>甲方</w:t>
      </w:r>
      <w:r>
        <w:rPr>
          <w:rFonts w:ascii="宋体" w:hAnsi="宋体"/>
          <w:b/>
          <w:sz w:val="22"/>
          <w:szCs w:val="22"/>
          <w:highlight w:val="none"/>
        </w:rPr>
        <w:t>或采购代理机构造成损失的，</w:t>
      </w:r>
      <w:r>
        <w:rPr>
          <w:rFonts w:hint="eastAsia" w:ascii="宋体" w:hAnsi="宋体"/>
          <w:b/>
          <w:sz w:val="22"/>
          <w:szCs w:val="22"/>
          <w:highlight w:val="none"/>
          <w:lang w:val="en-US" w:eastAsia="zh-CN"/>
        </w:rPr>
        <w:t>投标人</w:t>
      </w:r>
      <w:r>
        <w:rPr>
          <w:rFonts w:ascii="宋体" w:hAnsi="宋体"/>
          <w:b/>
          <w:sz w:val="22"/>
          <w:szCs w:val="22"/>
          <w:highlight w:val="none"/>
        </w:rPr>
        <w:t>还要承担赔偿责任。</w:t>
      </w:r>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w:t>
      </w:r>
      <w:r>
        <w:rPr>
          <w:rFonts w:hint="eastAsia" w:ascii="宋体" w:hAnsi="宋体" w:cs="楷体"/>
          <w:kern w:val="0"/>
          <w:sz w:val="22"/>
          <w:szCs w:val="22"/>
          <w:highlight w:val="none"/>
        </w:rPr>
        <w:t>有效期</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投标有效期见投标人</w:t>
      </w:r>
      <w:r>
        <w:rPr>
          <w:rFonts w:ascii="宋体" w:hAnsi="宋体" w:cs="Courier New"/>
          <w:sz w:val="22"/>
          <w:szCs w:val="22"/>
          <w:highlight w:val="none"/>
        </w:rPr>
        <w:t>须知前附表</w:t>
      </w:r>
      <w:r>
        <w:rPr>
          <w:rFonts w:hint="eastAsia" w:ascii="宋体" w:hAnsi="宋体" w:cs="Courier New"/>
          <w:sz w:val="22"/>
          <w:szCs w:val="22"/>
          <w:highlight w:val="none"/>
        </w:rPr>
        <w:t>，投标文件有效期短于这个规定期限的将被拒绝，其</w:t>
      </w:r>
      <w:r>
        <w:rPr>
          <w:rFonts w:hint="eastAsia" w:ascii="宋体" w:hAnsi="宋体" w:cs="Courier New"/>
          <w:b/>
          <w:bCs/>
          <w:sz w:val="22"/>
          <w:szCs w:val="22"/>
          <w:highlight w:val="none"/>
        </w:rPr>
        <w:t>投标无效</w:t>
      </w:r>
      <w:r>
        <w:rPr>
          <w:rFonts w:hint="eastAsia" w:ascii="宋体" w:hAnsi="宋体" w:cs="Courier New"/>
          <w:sz w:val="22"/>
          <w:szCs w:val="22"/>
          <w:highlight w:val="none"/>
        </w:rPr>
        <w:t>。</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在投标人须知前附表规定的投标有效期内，投标人不得要求撤销或修改其投标文件。</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特殊情况下，在原投标有效期截止前，</w:t>
      </w:r>
      <w:r>
        <w:rPr>
          <w:rFonts w:hint="eastAsia" w:ascii="宋体" w:hAnsi="宋体" w:cs="Courier New"/>
          <w:sz w:val="22"/>
          <w:szCs w:val="22"/>
          <w:highlight w:val="none"/>
          <w:lang w:eastAsia="zh-CN"/>
        </w:rPr>
        <w:t>甲方</w:t>
      </w:r>
      <w:r>
        <w:rPr>
          <w:rFonts w:hint="eastAsia" w:ascii="宋体" w:hAnsi="宋体" w:cs="Courier New"/>
          <w:sz w:val="22"/>
          <w:szCs w:val="22"/>
          <w:highlight w:val="none"/>
        </w:rPr>
        <w:t>可与投标人协商延长投标有效期，这种要求和答复均以书面形式进行。同意延长投标有效期的投标人不得修改投标文件。</w:t>
      </w:r>
    </w:p>
    <w:p>
      <w:pPr>
        <w:numPr>
          <w:ilvl w:val="0"/>
          <w:numId w:val="2"/>
        </w:numPr>
        <w:tabs>
          <w:tab w:val="left" w:pos="525"/>
          <w:tab w:val="left" w:pos="900"/>
        </w:tabs>
        <w:spacing w:line="360" w:lineRule="auto"/>
        <w:rPr>
          <w:rFonts w:ascii="宋体" w:hAnsi="宋体" w:cs="楷体"/>
          <w:kern w:val="0"/>
          <w:sz w:val="22"/>
          <w:szCs w:val="22"/>
          <w:highlight w:val="none"/>
        </w:rPr>
      </w:pPr>
      <w:r>
        <w:rPr>
          <w:rFonts w:hint="eastAsia" w:ascii="宋体" w:hAnsi="宋体" w:cs="楷体"/>
          <w:kern w:val="0"/>
          <w:sz w:val="22"/>
          <w:szCs w:val="22"/>
          <w:highlight w:val="none"/>
        </w:rPr>
        <w:t>投标文件的编制</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本项目通过“</w:t>
      </w:r>
      <w:r>
        <w:rPr>
          <w:rFonts w:hint="eastAsia" w:ascii="宋体" w:hAnsi="宋体" w:cs="Courier New"/>
          <w:sz w:val="22"/>
          <w:szCs w:val="22"/>
          <w:highlight w:val="none"/>
          <w:lang w:eastAsia="zh-CN"/>
        </w:rPr>
        <w:t>政采云平台</w:t>
      </w:r>
      <w:r>
        <w:rPr>
          <w:rFonts w:hint="eastAsia" w:ascii="宋体" w:hAnsi="宋体" w:cs="Courier New"/>
          <w:sz w:val="22"/>
          <w:szCs w:val="22"/>
          <w:highlight w:val="none"/>
        </w:rPr>
        <w:t>（www.zcygov.cn）”实行在线投标响应（电子投标）。</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投标人应先安装“政采云电子交易客户端”，并按照本招标文件和“</w:t>
      </w:r>
      <w:r>
        <w:rPr>
          <w:rFonts w:hint="eastAsia" w:ascii="宋体" w:hAnsi="宋体" w:cs="Courier New"/>
          <w:sz w:val="22"/>
          <w:szCs w:val="22"/>
          <w:highlight w:val="none"/>
          <w:lang w:eastAsia="zh-CN"/>
        </w:rPr>
        <w:t>政采云平台</w:t>
      </w:r>
      <w:r>
        <w:rPr>
          <w:rFonts w:hint="eastAsia" w:ascii="宋体" w:hAnsi="宋体" w:cs="Courier New"/>
          <w:sz w:val="22"/>
          <w:szCs w:val="22"/>
          <w:highlight w:val="none"/>
        </w:rPr>
        <w:t>”的要求，通过“政采云电子交易客户端”编制并加密投标文件。</w:t>
      </w:r>
      <w:r>
        <w:rPr>
          <w:rFonts w:hint="eastAsia" w:ascii="宋体" w:hAnsi="宋体" w:cs="Courier New"/>
          <w:b/>
          <w:bCs/>
          <w:sz w:val="22"/>
          <w:szCs w:val="22"/>
          <w:highlight w:val="none"/>
        </w:rPr>
        <w:t>投标人未按规定加密的投标文件，“</w:t>
      </w:r>
      <w:r>
        <w:rPr>
          <w:rFonts w:hint="eastAsia" w:ascii="宋体" w:hAnsi="宋体" w:cs="Courier New"/>
          <w:b/>
          <w:bCs/>
          <w:sz w:val="22"/>
          <w:szCs w:val="22"/>
          <w:highlight w:val="none"/>
          <w:lang w:eastAsia="zh-CN"/>
        </w:rPr>
        <w:t>政采云平台</w:t>
      </w:r>
      <w:r>
        <w:rPr>
          <w:rFonts w:hint="eastAsia" w:ascii="宋体" w:hAnsi="宋体" w:cs="Courier New"/>
          <w:b/>
          <w:bCs/>
          <w:sz w:val="22"/>
          <w:szCs w:val="22"/>
          <w:highlight w:val="none"/>
        </w:rPr>
        <w:t>”将予以拒收。</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本文件《第三部分 应提交的有关格式范例》中有提供格式的，投标人须参照格式进行编制（格式中要求提供相关证明材料的还需后附相关证明材料），</w:t>
      </w:r>
      <w:r>
        <w:rPr>
          <w:rFonts w:hint="eastAsia" w:ascii="宋体" w:hAnsi="宋体" w:cs="Courier New"/>
          <w:b/>
          <w:sz w:val="22"/>
          <w:szCs w:val="22"/>
          <w:highlight w:val="none"/>
        </w:rPr>
        <w:t>并按格式要求在指定位置根据要求进行签署、盖章，否则视为未提供；</w:t>
      </w:r>
      <w:r>
        <w:rPr>
          <w:rFonts w:hint="eastAsia" w:ascii="宋体" w:hAnsi="宋体" w:cs="Courier New"/>
          <w:sz w:val="22"/>
          <w:szCs w:val="22"/>
          <w:highlight w:val="none"/>
        </w:rPr>
        <w:t>招标文件未提供格式的，请各投标人自行编写。</w:t>
      </w:r>
    </w:p>
    <w:p>
      <w:pPr>
        <w:numPr>
          <w:ilvl w:val="0"/>
          <w:numId w:val="2"/>
        </w:numPr>
        <w:tabs>
          <w:tab w:val="left" w:pos="525"/>
          <w:tab w:val="left" w:pos="900"/>
        </w:tabs>
        <w:spacing w:line="360" w:lineRule="auto"/>
        <w:rPr>
          <w:rFonts w:ascii="宋体" w:hAnsi="宋体" w:cs="楷体"/>
          <w:kern w:val="0"/>
          <w:sz w:val="22"/>
          <w:szCs w:val="22"/>
          <w:highlight w:val="none"/>
        </w:rPr>
      </w:pPr>
      <w:r>
        <w:rPr>
          <w:rFonts w:hint="eastAsia" w:ascii="宋体" w:hAnsi="宋体" w:cs="楷体"/>
          <w:kern w:val="0"/>
          <w:sz w:val="22"/>
          <w:szCs w:val="22"/>
          <w:highlight w:val="none"/>
        </w:rPr>
        <w:t>投标文件的签章</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投标文件签章：见投标人须知前附表。</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电子签章操作指南详见</w:t>
      </w:r>
      <w:r>
        <w:rPr>
          <w:rFonts w:hint="eastAsia" w:ascii="宋体" w:hAnsi="宋体"/>
          <w:sz w:val="22"/>
          <w:szCs w:val="22"/>
          <w:highlight w:val="none"/>
        </w:rPr>
        <w:t>“</w:t>
      </w:r>
      <w:r>
        <w:rPr>
          <w:rFonts w:hint="eastAsia" w:ascii="宋体" w:hAnsi="宋体"/>
          <w:sz w:val="22"/>
          <w:szCs w:val="22"/>
          <w:highlight w:val="none"/>
          <w:lang w:eastAsia="zh-CN"/>
        </w:rPr>
        <w:t>政采云平台</w:t>
      </w:r>
      <w:r>
        <w:rPr>
          <w:rFonts w:hint="eastAsia" w:ascii="宋体" w:hAnsi="宋体"/>
          <w:sz w:val="22"/>
          <w:szCs w:val="22"/>
          <w:highlight w:val="none"/>
        </w:rPr>
        <w:t>（www.zcygov.cn）”中供应商项目采购-电子招投标操作指南。</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投标文件如有修改和增删必须由投标人代表在修改和增删处旁签署或加盖投标人的单位公章，方才有效。</w:t>
      </w:r>
    </w:p>
    <w:p>
      <w:pPr>
        <w:numPr>
          <w:ilvl w:val="0"/>
          <w:numId w:val="2"/>
        </w:numPr>
        <w:tabs>
          <w:tab w:val="left" w:pos="525"/>
          <w:tab w:val="left" w:pos="900"/>
        </w:tabs>
        <w:spacing w:line="360" w:lineRule="auto"/>
        <w:rPr>
          <w:rFonts w:ascii="宋体" w:hAnsi="宋体" w:cs="楷体"/>
          <w:kern w:val="0"/>
          <w:sz w:val="22"/>
          <w:szCs w:val="22"/>
          <w:highlight w:val="none"/>
        </w:rPr>
      </w:pPr>
      <w:r>
        <w:rPr>
          <w:rFonts w:hint="eastAsia" w:ascii="宋体" w:hAnsi="宋体" w:cs="楷体"/>
          <w:kern w:val="0"/>
          <w:sz w:val="22"/>
          <w:szCs w:val="22"/>
          <w:highlight w:val="none"/>
        </w:rPr>
        <w:t>投标文件的形式</w:t>
      </w:r>
      <w:r>
        <w:rPr>
          <w:rFonts w:hint="eastAsia" w:ascii="宋体" w:hAnsi="宋体" w:cs="Courier New"/>
          <w:sz w:val="22"/>
          <w:szCs w:val="22"/>
          <w:highlight w:val="none"/>
        </w:rPr>
        <w:t>：见投标人须知前附表。</w:t>
      </w:r>
    </w:p>
    <w:p>
      <w:pPr>
        <w:numPr>
          <w:ilvl w:val="0"/>
          <w:numId w:val="2"/>
        </w:numPr>
        <w:tabs>
          <w:tab w:val="left" w:pos="525"/>
          <w:tab w:val="left" w:pos="900"/>
        </w:tabs>
        <w:spacing w:line="360" w:lineRule="auto"/>
        <w:rPr>
          <w:rFonts w:ascii="宋体" w:hAnsi="宋体" w:cs="楷体"/>
          <w:kern w:val="0"/>
          <w:sz w:val="22"/>
          <w:szCs w:val="22"/>
          <w:highlight w:val="none"/>
        </w:rPr>
      </w:pPr>
      <w:r>
        <w:rPr>
          <w:rFonts w:hint="eastAsia" w:ascii="宋体" w:hAnsi="宋体" w:cs="楷体"/>
          <w:kern w:val="0"/>
          <w:sz w:val="22"/>
          <w:szCs w:val="22"/>
          <w:highlight w:val="none"/>
        </w:rPr>
        <w:t>投标文件的份数</w:t>
      </w:r>
      <w:r>
        <w:rPr>
          <w:rFonts w:hint="eastAsia" w:ascii="宋体" w:hAnsi="宋体" w:cs="Courier New"/>
          <w:sz w:val="22"/>
          <w:szCs w:val="22"/>
          <w:highlight w:val="none"/>
        </w:rPr>
        <w:t>：见投标人须知前附表。</w:t>
      </w:r>
    </w:p>
    <w:p>
      <w:pPr>
        <w:pStyle w:val="6"/>
        <w:spacing w:line="400" w:lineRule="exact"/>
        <w:jc w:val="center"/>
        <w:rPr>
          <w:rFonts w:ascii="宋体" w:hAnsi="宋体" w:eastAsia="宋体" w:cs="Courier New"/>
          <w:highlight w:val="none"/>
        </w:rPr>
      </w:pPr>
      <w:bookmarkStart w:id="100" w:name="_Toc205877560"/>
      <w:bookmarkStart w:id="101" w:name="_Toc219538616"/>
      <w:bookmarkStart w:id="102" w:name="_Toc216667823"/>
      <w:bookmarkStart w:id="103" w:name="_Toc209332636"/>
      <w:bookmarkStart w:id="104" w:name="_Toc14090"/>
      <w:bookmarkStart w:id="105" w:name="_Toc223717607"/>
      <w:bookmarkStart w:id="106" w:name="_Toc218041729"/>
      <w:bookmarkStart w:id="107" w:name="_Toc227057036"/>
      <w:bookmarkStart w:id="108" w:name="_Toc227489890"/>
      <w:bookmarkStart w:id="109" w:name="_Toc217460688"/>
      <w:bookmarkStart w:id="110" w:name="_Toc204578578"/>
      <w:bookmarkStart w:id="111" w:name="_Toc204491320"/>
      <w:bookmarkStart w:id="112" w:name="_Toc207609184"/>
      <w:bookmarkStart w:id="113" w:name="_Toc205005289"/>
      <w:bookmarkStart w:id="114" w:name="_Toc205004971"/>
      <w:bookmarkStart w:id="115" w:name="_Toc214365793"/>
      <w:bookmarkStart w:id="116" w:name="_Toc209261435"/>
      <w:bookmarkStart w:id="117" w:name="_Toc209261368"/>
      <w:bookmarkStart w:id="118" w:name="_Toc210879711"/>
      <w:bookmarkStart w:id="119" w:name="_Toc223933224"/>
      <w:bookmarkStart w:id="120" w:name="_Toc215415533"/>
      <w:bookmarkStart w:id="121" w:name="_Toc205703105"/>
      <w:bookmarkStart w:id="122" w:name="_Toc209250722"/>
      <w:bookmarkStart w:id="123" w:name="_Toc227056849"/>
      <w:bookmarkStart w:id="124" w:name="_Toc205877455"/>
      <w:bookmarkStart w:id="125" w:name="_Toc209251130"/>
      <w:r>
        <w:rPr>
          <w:rFonts w:hint="eastAsia" w:ascii="宋体" w:hAnsi="宋体" w:eastAsia="宋体" w:cs="Courier New"/>
          <w:highlight w:val="none"/>
        </w:rPr>
        <w:t>四、 投标</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投标文件的上传、递交：见投标人须知前附表。</w:t>
      </w:r>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电子加密投标文件解密</w:t>
      </w:r>
      <w:bookmarkStart w:id="126" w:name="_Hlk100433652"/>
      <w:r>
        <w:rPr>
          <w:rFonts w:hint="eastAsia" w:ascii="宋体" w:hAnsi="宋体" w:cs="Courier New"/>
          <w:sz w:val="22"/>
          <w:szCs w:val="22"/>
          <w:highlight w:val="none"/>
        </w:rPr>
        <w:t>和异常情况处理</w:t>
      </w:r>
      <w:bookmarkEnd w:id="126"/>
      <w:r>
        <w:rPr>
          <w:rFonts w:hint="eastAsia" w:ascii="宋体" w:hAnsi="宋体" w:cs="Courier New"/>
          <w:sz w:val="22"/>
          <w:szCs w:val="22"/>
          <w:highlight w:val="none"/>
        </w:rPr>
        <w:t>：见投标人须知前附表。</w:t>
      </w:r>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投标文件的补充、修改或撤回</w:t>
      </w:r>
    </w:p>
    <w:p>
      <w:pPr>
        <w:numPr>
          <w:ilvl w:val="1"/>
          <w:numId w:val="2"/>
        </w:numPr>
        <w:tabs>
          <w:tab w:val="left" w:pos="525"/>
          <w:tab w:val="left" w:pos="635"/>
          <w:tab w:val="left" w:pos="900"/>
        </w:tabs>
        <w:spacing w:line="360" w:lineRule="auto"/>
        <w:rPr>
          <w:rFonts w:ascii="宋体" w:hAnsi="宋体" w:cs="Courier New"/>
          <w:b/>
          <w:bCs/>
          <w:sz w:val="22"/>
          <w:szCs w:val="22"/>
          <w:highlight w:val="none"/>
        </w:rPr>
      </w:pPr>
      <w:r>
        <w:rPr>
          <w:rFonts w:hint="eastAsia" w:ascii="宋体" w:hAnsi="宋体" w:cs="Courier New"/>
          <w:sz w:val="22"/>
          <w:szCs w:val="22"/>
          <w:highlight w:val="none"/>
        </w:rPr>
        <w:t>供应商应当在投标截止时间前完成投标文件的上传、递交，并可以补充、修改或者撤回投标文件。补充或者修改投标文件的，应当先行撤回原文件，补充、修改后重新上传、递交。投标截止时间前未完成上传、递交的，视为撤回投标文件。</w:t>
      </w:r>
    </w:p>
    <w:p>
      <w:pPr>
        <w:numPr>
          <w:ilvl w:val="1"/>
          <w:numId w:val="2"/>
        </w:numPr>
        <w:tabs>
          <w:tab w:val="left" w:pos="525"/>
          <w:tab w:val="left" w:pos="635"/>
          <w:tab w:val="left" w:pos="900"/>
        </w:tabs>
        <w:spacing w:line="360" w:lineRule="auto"/>
        <w:rPr>
          <w:rFonts w:ascii="宋体" w:hAnsi="宋体" w:cs="Courier New"/>
          <w:b/>
          <w:bCs/>
          <w:sz w:val="22"/>
          <w:szCs w:val="22"/>
          <w:highlight w:val="none"/>
        </w:rPr>
      </w:pPr>
      <w:r>
        <w:rPr>
          <w:rFonts w:hint="eastAsia" w:ascii="宋体" w:hAnsi="宋体" w:cs="Courier New"/>
          <w:b/>
          <w:bCs/>
          <w:sz w:val="22"/>
          <w:szCs w:val="22"/>
          <w:highlight w:val="none"/>
        </w:rPr>
        <w:t>投标截止时间后递交的投标文件，“</w:t>
      </w:r>
      <w:r>
        <w:rPr>
          <w:rFonts w:hint="eastAsia" w:ascii="宋体" w:hAnsi="宋体" w:cs="Courier New"/>
          <w:b/>
          <w:bCs/>
          <w:sz w:val="22"/>
          <w:szCs w:val="22"/>
          <w:highlight w:val="none"/>
          <w:lang w:eastAsia="zh-CN"/>
        </w:rPr>
        <w:t>政采云平台</w:t>
      </w:r>
      <w:r>
        <w:rPr>
          <w:rFonts w:hint="eastAsia" w:ascii="宋体" w:hAnsi="宋体" w:cs="Courier New"/>
          <w:b/>
          <w:bCs/>
          <w:sz w:val="22"/>
          <w:szCs w:val="22"/>
          <w:highlight w:val="none"/>
        </w:rPr>
        <w:t>”将予以拒收。</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投标截止时间后，投标人不得撤回、修改投标文件。</w:t>
      </w:r>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投标文件的备选方案</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投标人不得递交任何的投标备选（替代）方案，否则其投标文件将作无效标处理。与“电子加密投标文件”同时生成的“备份投标文件”不是投标备选（替代）方案。</w:t>
      </w:r>
    </w:p>
    <w:p>
      <w:pPr>
        <w:pStyle w:val="6"/>
        <w:spacing w:line="400" w:lineRule="exact"/>
        <w:jc w:val="center"/>
        <w:rPr>
          <w:rFonts w:ascii="宋体" w:hAnsi="宋体" w:eastAsia="宋体" w:cs="Courier New"/>
          <w:highlight w:val="none"/>
        </w:rPr>
      </w:pPr>
      <w:bookmarkStart w:id="127" w:name="_Toc227056850"/>
      <w:bookmarkStart w:id="128" w:name="_Toc209332637"/>
      <w:bookmarkStart w:id="129" w:name="_Toc210879712"/>
      <w:bookmarkStart w:id="130" w:name="_Toc204491321"/>
      <w:bookmarkStart w:id="131" w:name="_Toc209251131"/>
      <w:bookmarkStart w:id="132" w:name="_Toc227057037"/>
      <w:bookmarkStart w:id="133" w:name="_Toc205703106"/>
      <w:bookmarkStart w:id="134" w:name="_Toc209250723"/>
      <w:bookmarkStart w:id="135" w:name="_Toc205004972"/>
      <w:bookmarkStart w:id="136" w:name="_Toc204578579"/>
      <w:bookmarkStart w:id="137" w:name="_Toc215415534"/>
      <w:bookmarkStart w:id="138" w:name="_Toc205877456"/>
      <w:bookmarkStart w:id="139" w:name="_Toc223717608"/>
      <w:bookmarkStart w:id="140" w:name="_Toc214365794"/>
      <w:bookmarkStart w:id="141" w:name="_Toc218041730"/>
      <w:bookmarkStart w:id="142" w:name="_Toc223933225"/>
      <w:bookmarkStart w:id="143" w:name="_Toc217460689"/>
      <w:bookmarkStart w:id="144" w:name="_Toc219538617"/>
      <w:bookmarkStart w:id="145" w:name="_Toc205877561"/>
      <w:bookmarkStart w:id="146" w:name="_Toc209261369"/>
      <w:bookmarkStart w:id="147" w:name="_Toc207609185"/>
      <w:bookmarkStart w:id="148" w:name="_Toc216667824"/>
      <w:bookmarkStart w:id="149" w:name="_Toc209261436"/>
      <w:bookmarkStart w:id="150" w:name="_Toc227489891"/>
      <w:bookmarkStart w:id="151" w:name="_Toc205005290"/>
      <w:bookmarkStart w:id="152" w:name="_Toc32305"/>
      <w:r>
        <w:rPr>
          <w:rFonts w:hint="eastAsia" w:ascii="宋体" w:hAnsi="宋体" w:eastAsia="宋体" w:cs="Courier New"/>
          <w:highlight w:val="none"/>
        </w:rPr>
        <w:t xml:space="preserve">五、 </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Fonts w:hint="eastAsia" w:ascii="宋体" w:hAnsi="宋体" w:eastAsia="宋体" w:cs="Courier New"/>
          <w:highlight w:val="none"/>
        </w:rPr>
        <w:t>电子化开标</w:t>
      </w:r>
      <w:bookmarkEnd w:id="152"/>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开标</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ascii="宋体" w:hAnsi="宋体" w:cs="Courier New"/>
          <w:sz w:val="22"/>
          <w:szCs w:val="22"/>
          <w:highlight w:val="none"/>
        </w:rPr>
        <w:t>投标人不足3家的，不</w:t>
      </w:r>
      <w:r>
        <w:rPr>
          <w:rFonts w:hint="eastAsia" w:ascii="宋体" w:hAnsi="宋体" w:cs="Courier New"/>
          <w:sz w:val="22"/>
          <w:szCs w:val="22"/>
          <w:highlight w:val="none"/>
        </w:rPr>
        <w:t>进行</w:t>
      </w:r>
      <w:r>
        <w:rPr>
          <w:rFonts w:ascii="宋体" w:hAnsi="宋体" w:cs="Courier New"/>
          <w:sz w:val="22"/>
          <w:szCs w:val="22"/>
          <w:highlight w:val="none"/>
        </w:rPr>
        <w:t>开标。</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电子招投标开标及评审程序</w:t>
      </w:r>
    </w:p>
    <w:p>
      <w:pPr>
        <w:numPr>
          <w:ilvl w:val="0"/>
          <w:numId w:val="5"/>
        </w:numPr>
        <w:tabs>
          <w:tab w:val="left" w:pos="735"/>
          <w:tab w:val="clear" w:pos="420"/>
        </w:tabs>
        <w:spacing w:line="360" w:lineRule="auto"/>
        <w:ind w:left="734" w:leftChars="200" w:hanging="314" w:hangingChars="143"/>
        <w:rPr>
          <w:rFonts w:ascii="宋体" w:hAnsi="宋体"/>
          <w:sz w:val="22"/>
          <w:szCs w:val="22"/>
          <w:highlight w:val="none"/>
        </w:rPr>
      </w:pPr>
      <w:r>
        <w:rPr>
          <w:rFonts w:hint="eastAsia" w:ascii="宋体" w:hAnsi="宋体"/>
          <w:sz w:val="22"/>
          <w:szCs w:val="22"/>
          <w:highlight w:val="none"/>
        </w:rPr>
        <w:t>招标采购单位将按照招标文件规定的时间通过“</w:t>
      </w:r>
      <w:r>
        <w:rPr>
          <w:rFonts w:hint="eastAsia" w:ascii="宋体" w:hAnsi="宋体"/>
          <w:sz w:val="22"/>
          <w:szCs w:val="22"/>
          <w:highlight w:val="none"/>
          <w:lang w:eastAsia="zh-CN"/>
        </w:rPr>
        <w:t>政采云平台</w:t>
      </w:r>
      <w:r>
        <w:rPr>
          <w:rFonts w:hint="eastAsia" w:ascii="宋体" w:hAnsi="宋体"/>
          <w:sz w:val="22"/>
          <w:szCs w:val="22"/>
          <w:highlight w:val="none"/>
        </w:rPr>
        <w:t>”组织开标、开启投标文件，投标人应准时在线参加。投标人如不参加开标的，视同认可开标结果，事后不得对采购相关人员、开标过程和开标结果提出异议，同时投标人因未在线参加开标而导致投标文件无法按时解密等一切后果由投标人自己承担。</w:t>
      </w:r>
    </w:p>
    <w:p>
      <w:pPr>
        <w:numPr>
          <w:ilvl w:val="0"/>
          <w:numId w:val="5"/>
        </w:numPr>
        <w:tabs>
          <w:tab w:val="left" w:pos="735"/>
          <w:tab w:val="clear" w:pos="420"/>
        </w:tabs>
        <w:spacing w:line="360" w:lineRule="auto"/>
        <w:ind w:left="734" w:leftChars="200" w:hanging="314" w:hangingChars="143"/>
        <w:rPr>
          <w:rFonts w:ascii="宋体" w:hAnsi="宋体"/>
          <w:sz w:val="22"/>
          <w:szCs w:val="22"/>
          <w:highlight w:val="none"/>
        </w:rPr>
      </w:pPr>
      <w:r>
        <w:rPr>
          <w:rFonts w:hint="eastAsia" w:ascii="宋体" w:hAnsi="宋体"/>
          <w:sz w:val="22"/>
          <w:szCs w:val="22"/>
          <w:highlight w:val="none"/>
        </w:rPr>
        <w:t>投标截止时间后，向各投标人发出电子加密投标文件【开始解密】通知，由投标人按招标文件规定的时间内自行进行投标文件解密。投标人在规定的时间内无法完成已递交的“电子加密投标文件”解密的，如已按规定递交了备份投标文件的，将由采购代理机构按“</w:t>
      </w:r>
      <w:r>
        <w:rPr>
          <w:rFonts w:hint="eastAsia" w:ascii="宋体" w:hAnsi="宋体"/>
          <w:sz w:val="22"/>
          <w:szCs w:val="22"/>
          <w:highlight w:val="none"/>
          <w:lang w:eastAsia="zh-CN"/>
        </w:rPr>
        <w:t>政采云平台</w:t>
      </w:r>
      <w:r>
        <w:rPr>
          <w:rFonts w:hint="eastAsia" w:ascii="宋体" w:hAnsi="宋体"/>
          <w:sz w:val="22"/>
          <w:szCs w:val="22"/>
          <w:highlight w:val="none"/>
        </w:rPr>
        <w:t>”操作规范将备份投标文件上传至“</w:t>
      </w:r>
      <w:r>
        <w:rPr>
          <w:rFonts w:hint="eastAsia" w:ascii="宋体" w:hAnsi="宋体"/>
          <w:sz w:val="22"/>
          <w:szCs w:val="22"/>
          <w:highlight w:val="none"/>
          <w:lang w:eastAsia="zh-CN"/>
        </w:rPr>
        <w:t>政采云平台</w:t>
      </w:r>
      <w:r>
        <w:rPr>
          <w:rFonts w:hint="eastAsia" w:ascii="宋体" w:hAnsi="宋体"/>
          <w:sz w:val="22"/>
          <w:szCs w:val="22"/>
          <w:highlight w:val="none"/>
        </w:rPr>
        <w:t>”，上传成功后，“电子加密投标文件”自动失效。</w:t>
      </w:r>
      <w:r>
        <w:rPr>
          <w:rFonts w:ascii="宋体" w:hAnsi="宋体"/>
          <w:sz w:val="22"/>
          <w:szCs w:val="22"/>
          <w:highlight w:val="none"/>
        </w:rPr>
        <w:t xml:space="preserve"> </w:t>
      </w:r>
    </w:p>
    <w:p>
      <w:pPr>
        <w:numPr>
          <w:ilvl w:val="0"/>
          <w:numId w:val="5"/>
        </w:numPr>
        <w:tabs>
          <w:tab w:val="left" w:pos="735"/>
          <w:tab w:val="clear" w:pos="420"/>
        </w:tabs>
        <w:spacing w:line="360" w:lineRule="auto"/>
        <w:ind w:left="734" w:leftChars="200" w:hanging="314" w:hangingChars="143"/>
        <w:rPr>
          <w:rFonts w:ascii="宋体" w:hAnsi="宋体"/>
          <w:sz w:val="22"/>
          <w:szCs w:val="22"/>
          <w:highlight w:val="none"/>
        </w:rPr>
      </w:pPr>
      <w:r>
        <w:rPr>
          <w:rFonts w:hint="eastAsia" w:ascii="宋体" w:hAnsi="宋体" w:cs="Courier New"/>
          <w:sz w:val="22"/>
          <w:szCs w:val="22"/>
          <w:highlight w:val="none"/>
        </w:rPr>
        <w:t>对投标人的资格进行审查</w:t>
      </w:r>
      <w:r>
        <w:rPr>
          <w:rFonts w:hint="eastAsia" w:ascii="宋体" w:hAnsi="宋体"/>
          <w:sz w:val="22"/>
          <w:szCs w:val="22"/>
          <w:highlight w:val="none"/>
        </w:rPr>
        <w:t>。</w:t>
      </w:r>
    </w:p>
    <w:p>
      <w:pPr>
        <w:numPr>
          <w:ilvl w:val="0"/>
          <w:numId w:val="5"/>
        </w:numPr>
        <w:tabs>
          <w:tab w:val="left" w:pos="735"/>
          <w:tab w:val="clear" w:pos="420"/>
        </w:tabs>
        <w:spacing w:line="360" w:lineRule="auto"/>
        <w:ind w:left="734" w:leftChars="200" w:hanging="314" w:hangingChars="143"/>
        <w:rPr>
          <w:rFonts w:ascii="宋体" w:hAnsi="宋体"/>
          <w:sz w:val="22"/>
          <w:szCs w:val="22"/>
          <w:highlight w:val="none"/>
        </w:rPr>
      </w:pPr>
      <w:r>
        <w:rPr>
          <w:rFonts w:hint="eastAsia" w:ascii="宋体" w:hAnsi="宋体"/>
          <w:sz w:val="22"/>
          <w:szCs w:val="22"/>
          <w:highlight w:val="none"/>
        </w:rPr>
        <w:t>评标委员会对商务技术文件进行评审。</w:t>
      </w:r>
    </w:p>
    <w:p>
      <w:pPr>
        <w:numPr>
          <w:ilvl w:val="0"/>
          <w:numId w:val="5"/>
        </w:numPr>
        <w:tabs>
          <w:tab w:val="left" w:pos="735"/>
          <w:tab w:val="clear" w:pos="420"/>
        </w:tabs>
        <w:spacing w:line="360" w:lineRule="auto"/>
        <w:ind w:left="734" w:leftChars="200" w:hanging="314" w:hangingChars="143"/>
        <w:rPr>
          <w:rFonts w:ascii="宋体" w:hAnsi="宋体"/>
          <w:sz w:val="22"/>
          <w:szCs w:val="22"/>
          <w:highlight w:val="none"/>
        </w:rPr>
      </w:pPr>
      <w:r>
        <w:rPr>
          <w:rFonts w:hint="eastAsia" w:ascii="宋体" w:hAnsi="宋体"/>
          <w:sz w:val="22"/>
          <w:szCs w:val="22"/>
          <w:highlight w:val="none"/>
        </w:rPr>
        <w:t>评标委员会对报价情况进行评审。</w:t>
      </w:r>
    </w:p>
    <w:p>
      <w:pPr>
        <w:numPr>
          <w:ilvl w:val="0"/>
          <w:numId w:val="5"/>
        </w:numPr>
        <w:tabs>
          <w:tab w:val="left" w:pos="735"/>
          <w:tab w:val="clear" w:pos="420"/>
        </w:tabs>
        <w:spacing w:line="360" w:lineRule="auto"/>
        <w:ind w:left="734" w:leftChars="200" w:hanging="314" w:hangingChars="143"/>
        <w:rPr>
          <w:rFonts w:ascii="宋体" w:hAnsi="宋体"/>
          <w:sz w:val="22"/>
          <w:szCs w:val="22"/>
          <w:highlight w:val="none"/>
        </w:rPr>
      </w:pPr>
      <w:r>
        <w:rPr>
          <w:rFonts w:hint="eastAsia" w:ascii="宋体" w:hAnsi="宋体"/>
          <w:sz w:val="22"/>
          <w:szCs w:val="22"/>
          <w:highlight w:val="none"/>
        </w:rPr>
        <w:t>在系统上公布评标结果。</w:t>
      </w:r>
    </w:p>
    <w:p>
      <w:pPr>
        <w:tabs>
          <w:tab w:val="left" w:pos="525"/>
        </w:tabs>
        <w:spacing w:line="360" w:lineRule="auto"/>
        <w:rPr>
          <w:rFonts w:ascii="宋体" w:hAnsi="宋体"/>
          <w:b/>
          <w:sz w:val="22"/>
          <w:szCs w:val="22"/>
          <w:highlight w:val="none"/>
        </w:rPr>
      </w:pPr>
      <w:r>
        <w:rPr>
          <w:rFonts w:hint="eastAsia" w:ascii="宋体" w:hAnsi="宋体"/>
          <w:b/>
          <w:sz w:val="22"/>
          <w:szCs w:val="22"/>
          <w:highlight w:val="none"/>
          <w:lang w:eastAsia="zh-CN"/>
        </w:rPr>
        <w:t>▲</w:t>
      </w:r>
      <w:r>
        <w:rPr>
          <w:rFonts w:hint="eastAsia" w:ascii="宋体" w:hAnsi="宋体"/>
          <w:b/>
          <w:sz w:val="22"/>
          <w:szCs w:val="22"/>
          <w:highlight w:val="none"/>
        </w:rPr>
        <w:t>政采云公司如对电子化开标或评审程序有调整的，按调整后的程序操作。</w:t>
      </w:r>
    </w:p>
    <w:p>
      <w:pPr>
        <w:pStyle w:val="6"/>
        <w:spacing w:line="400" w:lineRule="exact"/>
        <w:jc w:val="center"/>
        <w:rPr>
          <w:rFonts w:ascii="宋体" w:hAnsi="宋体" w:eastAsia="宋体"/>
          <w:highlight w:val="none"/>
        </w:rPr>
      </w:pPr>
      <w:bookmarkStart w:id="153" w:name="_Toc15206"/>
      <w:r>
        <w:rPr>
          <w:rFonts w:ascii="宋体" w:hAnsi="宋体" w:eastAsia="宋体"/>
          <w:highlight w:val="none"/>
        </w:rPr>
        <w:t>六</w:t>
      </w:r>
      <w:r>
        <w:rPr>
          <w:rFonts w:hint="eastAsia" w:ascii="宋体" w:hAnsi="宋体" w:eastAsia="宋体"/>
          <w:highlight w:val="none"/>
        </w:rPr>
        <w:t>、 资格审查及评标</w:t>
      </w:r>
      <w:bookmarkEnd w:id="153"/>
    </w:p>
    <w:p>
      <w:pPr>
        <w:numPr>
          <w:ilvl w:val="0"/>
          <w:numId w:val="2"/>
        </w:numPr>
        <w:tabs>
          <w:tab w:val="left" w:pos="525"/>
          <w:tab w:val="left" w:pos="900"/>
        </w:tabs>
        <w:spacing w:line="360" w:lineRule="auto"/>
        <w:rPr>
          <w:rFonts w:ascii="宋体" w:hAnsi="宋体"/>
          <w:highlight w:val="none"/>
          <w:lang w:val="zh-CN"/>
        </w:rPr>
      </w:pPr>
      <w:r>
        <w:rPr>
          <w:rFonts w:ascii="宋体" w:hAnsi="宋体" w:cs="Courier New"/>
          <w:sz w:val="22"/>
          <w:szCs w:val="22"/>
          <w:highlight w:val="none"/>
        </w:rPr>
        <w:t>资格审查</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lang w:eastAsia="zh-CN"/>
        </w:rPr>
        <w:t>甲方</w:t>
      </w:r>
      <w:r>
        <w:rPr>
          <w:rFonts w:hint="eastAsia" w:ascii="宋体" w:hAnsi="宋体" w:cs="Courier New"/>
          <w:sz w:val="22"/>
          <w:szCs w:val="22"/>
          <w:highlight w:val="none"/>
        </w:rPr>
        <w:t>或者采购代理机构依法对投标人的资格进行审查。</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资格审查的依据是招标文件和投标文件。</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资格审查内容：</w:t>
      </w:r>
    </w:p>
    <w:tbl>
      <w:tblPr>
        <w:tblStyle w:val="34"/>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3638"/>
        <w:gridCol w:w="5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 w:type="dxa"/>
            <w:shd w:val="clear" w:color="auto" w:fill="auto"/>
            <w:vAlign w:val="center"/>
          </w:tcPr>
          <w:p>
            <w:pPr>
              <w:jc w:val="center"/>
              <w:rPr>
                <w:rFonts w:ascii="宋体" w:hAnsi="宋体"/>
                <w:sz w:val="22"/>
                <w:szCs w:val="22"/>
                <w:highlight w:val="none"/>
              </w:rPr>
            </w:pPr>
            <w:r>
              <w:rPr>
                <w:rFonts w:ascii="宋体" w:hAnsi="宋体"/>
                <w:sz w:val="22"/>
                <w:szCs w:val="22"/>
                <w:highlight w:val="none"/>
              </w:rPr>
              <w:t>序号</w:t>
            </w:r>
          </w:p>
        </w:tc>
        <w:tc>
          <w:tcPr>
            <w:tcW w:w="3638" w:type="dxa"/>
            <w:shd w:val="clear" w:color="auto" w:fill="auto"/>
            <w:vAlign w:val="center"/>
          </w:tcPr>
          <w:p>
            <w:pPr>
              <w:jc w:val="center"/>
              <w:rPr>
                <w:rFonts w:ascii="宋体" w:hAnsi="宋体"/>
                <w:sz w:val="22"/>
                <w:szCs w:val="22"/>
                <w:highlight w:val="none"/>
              </w:rPr>
            </w:pPr>
            <w:r>
              <w:rPr>
                <w:rFonts w:hint="eastAsia" w:ascii="宋体" w:hAnsi="宋体"/>
                <w:sz w:val="22"/>
                <w:szCs w:val="22"/>
                <w:highlight w:val="none"/>
              </w:rPr>
              <w:t>明细</w:t>
            </w:r>
          </w:p>
        </w:tc>
        <w:tc>
          <w:tcPr>
            <w:tcW w:w="5670" w:type="dxa"/>
            <w:shd w:val="clear" w:color="auto" w:fill="auto"/>
            <w:vAlign w:val="center"/>
          </w:tcPr>
          <w:p>
            <w:pPr>
              <w:jc w:val="center"/>
              <w:rPr>
                <w:rFonts w:ascii="宋体" w:hAnsi="宋体"/>
                <w:sz w:val="22"/>
                <w:szCs w:val="22"/>
                <w:highlight w:val="none"/>
              </w:rPr>
            </w:pPr>
            <w:r>
              <w:rPr>
                <w:rFonts w:hint="eastAsia" w:ascii="宋体" w:hAnsi="宋体"/>
                <w:sz w:val="22"/>
                <w:szCs w:val="22"/>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 w:type="dxa"/>
            <w:shd w:val="clear" w:color="auto" w:fill="auto"/>
            <w:vAlign w:val="center"/>
          </w:tcPr>
          <w:p>
            <w:pPr>
              <w:numPr>
                <w:ilvl w:val="0"/>
                <w:numId w:val="6"/>
              </w:numPr>
              <w:rPr>
                <w:rFonts w:ascii="宋体" w:hAnsi="宋体"/>
                <w:sz w:val="22"/>
                <w:szCs w:val="22"/>
                <w:highlight w:val="none"/>
              </w:rPr>
            </w:pPr>
          </w:p>
        </w:tc>
        <w:tc>
          <w:tcPr>
            <w:tcW w:w="3638" w:type="dxa"/>
            <w:shd w:val="clear" w:color="auto" w:fill="auto"/>
            <w:vAlign w:val="center"/>
          </w:tcPr>
          <w:p>
            <w:pPr>
              <w:rPr>
                <w:rFonts w:ascii="宋体" w:hAnsi="宋体"/>
                <w:sz w:val="22"/>
                <w:szCs w:val="22"/>
                <w:highlight w:val="none"/>
              </w:rPr>
            </w:pPr>
            <w:r>
              <w:rPr>
                <w:rFonts w:hint="eastAsia" w:ascii="宋体" w:hAnsi="宋体" w:cs="楷体"/>
                <w:kern w:val="0"/>
                <w:sz w:val="22"/>
                <w:szCs w:val="22"/>
                <w:highlight w:val="none"/>
              </w:rPr>
              <w:t>资格声明书</w:t>
            </w:r>
          </w:p>
        </w:tc>
        <w:tc>
          <w:tcPr>
            <w:tcW w:w="5670" w:type="dxa"/>
            <w:shd w:val="clear" w:color="auto" w:fill="auto"/>
            <w:vAlign w:val="center"/>
          </w:tcPr>
          <w:p>
            <w:pPr>
              <w:rPr>
                <w:rFonts w:ascii="宋体" w:hAnsi="宋体"/>
                <w:highlight w:val="none"/>
              </w:rPr>
            </w:pPr>
            <w:r>
              <w:rPr>
                <w:rFonts w:ascii="宋体" w:hAnsi="宋体"/>
                <w:sz w:val="22"/>
                <w:szCs w:val="22"/>
                <w:highlight w:val="none"/>
              </w:rPr>
              <w:t>投标人应按照招标文件规定格式及内容提供。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 w:type="dxa"/>
            <w:shd w:val="clear" w:color="auto" w:fill="auto"/>
            <w:vAlign w:val="center"/>
          </w:tcPr>
          <w:p>
            <w:pPr>
              <w:numPr>
                <w:ilvl w:val="0"/>
                <w:numId w:val="6"/>
              </w:numPr>
              <w:rPr>
                <w:rFonts w:ascii="宋体" w:hAnsi="宋体"/>
                <w:sz w:val="22"/>
                <w:szCs w:val="22"/>
                <w:highlight w:val="none"/>
              </w:rPr>
            </w:pPr>
          </w:p>
        </w:tc>
        <w:tc>
          <w:tcPr>
            <w:tcW w:w="3638" w:type="dxa"/>
            <w:shd w:val="clear" w:color="auto" w:fill="auto"/>
            <w:vAlign w:val="center"/>
          </w:tcPr>
          <w:p>
            <w:pPr>
              <w:rPr>
                <w:rFonts w:ascii="宋体" w:hAnsi="宋体" w:cs="楷体"/>
                <w:kern w:val="0"/>
                <w:sz w:val="22"/>
                <w:szCs w:val="22"/>
                <w:highlight w:val="none"/>
              </w:rPr>
            </w:pPr>
            <w:r>
              <w:rPr>
                <w:rFonts w:hint="eastAsia" w:ascii="宋体" w:hAnsi="宋体" w:cs="楷体"/>
                <w:kern w:val="0"/>
                <w:sz w:val="22"/>
                <w:szCs w:val="22"/>
                <w:highlight w:val="none"/>
              </w:rPr>
              <w:t>投标人有效的</w:t>
            </w:r>
            <w:r>
              <w:rPr>
                <w:rFonts w:ascii="宋体" w:hAnsi="宋体" w:cs="楷体"/>
                <w:kern w:val="0"/>
                <w:sz w:val="22"/>
                <w:szCs w:val="22"/>
                <w:highlight w:val="none"/>
              </w:rPr>
              <w:t>营业执照等证明文件</w:t>
            </w:r>
          </w:p>
        </w:tc>
        <w:tc>
          <w:tcPr>
            <w:tcW w:w="5670" w:type="dxa"/>
            <w:shd w:val="clear" w:color="auto" w:fill="auto"/>
            <w:vAlign w:val="center"/>
          </w:tcPr>
          <w:p>
            <w:pPr>
              <w:rPr>
                <w:rFonts w:ascii="宋体" w:hAnsi="宋体"/>
                <w:sz w:val="22"/>
                <w:szCs w:val="22"/>
                <w:highlight w:val="none"/>
              </w:rPr>
            </w:pPr>
            <w:r>
              <w:rPr>
                <w:rFonts w:ascii="宋体" w:hAnsi="宋体"/>
                <w:sz w:val="22"/>
                <w:szCs w:val="22"/>
                <w:highlight w:val="none"/>
              </w:rPr>
              <w:t>投标人应按照招标文件规定及</w:t>
            </w:r>
            <w:r>
              <w:rPr>
                <w:rFonts w:hint="eastAsia" w:ascii="宋体" w:hAnsi="宋体"/>
                <w:sz w:val="22"/>
                <w:szCs w:val="22"/>
                <w:highlight w:val="none"/>
              </w:rPr>
              <w:t>要求</w:t>
            </w:r>
            <w:r>
              <w:rPr>
                <w:rFonts w:ascii="宋体" w:hAnsi="宋体"/>
                <w:sz w:val="22"/>
                <w:szCs w:val="22"/>
                <w:highlight w:val="none"/>
              </w:rPr>
              <w:t>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 w:type="dxa"/>
            <w:shd w:val="clear" w:color="auto" w:fill="auto"/>
            <w:vAlign w:val="center"/>
          </w:tcPr>
          <w:p>
            <w:pPr>
              <w:numPr>
                <w:ilvl w:val="0"/>
                <w:numId w:val="6"/>
              </w:numPr>
              <w:rPr>
                <w:rFonts w:ascii="宋体" w:hAnsi="宋体"/>
                <w:sz w:val="22"/>
                <w:szCs w:val="22"/>
                <w:highlight w:val="none"/>
              </w:rPr>
            </w:pPr>
          </w:p>
        </w:tc>
        <w:tc>
          <w:tcPr>
            <w:tcW w:w="3638" w:type="dxa"/>
            <w:shd w:val="clear" w:color="auto" w:fill="auto"/>
            <w:vAlign w:val="center"/>
          </w:tcPr>
          <w:p>
            <w:pPr>
              <w:rPr>
                <w:rFonts w:ascii="宋体" w:hAnsi="宋体" w:cs="楷体"/>
                <w:kern w:val="0"/>
                <w:sz w:val="22"/>
                <w:szCs w:val="22"/>
                <w:highlight w:val="none"/>
              </w:rPr>
            </w:pPr>
            <w:r>
              <w:rPr>
                <w:rFonts w:hint="eastAsia" w:ascii="宋体" w:hAnsi="宋体" w:cs="楷体"/>
                <w:kern w:val="0"/>
                <w:sz w:val="22"/>
                <w:szCs w:val="22"/>
                <w:highlight w:val="none"/>
              </w:rPr>
              <w:t>落实政府采购政策需满足的资格要求</w:t>
            </w:r>
          </w:p>
        </w:tc>
        <w:tc>
          <w:tcPr>
            <w:tcW w:w="5670" w:type="dxa"/>
            <w:shd w:val="clear" w:color="auto" w:fill="auto"/>
            <w:vAlign w:val="center"/>
          </w:tcPr>
          <w:p>
            <w:pPr>
              <w:widowControl/>
              <w:wordWrap w:val="0"/>
              <w:rPr>
                <w:rFonts w:hint="default" w:ascii="宋体" w:hAnsi="宋体" w:eastAsia="宋体" w:cs="宋体"/>
                <w:spacing w:val="6"/>
                <w:sz w:val="22"/>
                <w:szCs w:val="22"/>
                <w:highlight w:val="none"/>
                <w:lang w:val="en-US" w:eastAsia="zh-CN"/>
              </w:rPr>
            </w:pPr>
            <w:r>
              <w:rPr>
                <w:rFonts w:hint="eastAsia" w:ascii="宋体" w:hAnsi="宋体" w:cs="宋体"/>
                <w:spacing w:val="6"/>
                <w:sz w:val="22"/>
                <w:szCs w:val="22"/>
                <w:highlight w:val="none"/>
                <w:lang w:val="en-US" w:eastAsia="zh-CN"/>
              </w:rPr>
              <w:t>未要求。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 w:type="dxa"/>
            <w:shd w:val="clear" w:color="auto" w:fill="auto"/>
            <w:vAlign w:val="center"/>
          </w:tcPr>
          <w:p>
            <w:pPr>
              <w:numPr>
                <w:ilvl w:val="0"/>
                <w:numId w:val="6"/>
              </w:numPr>
              <w:rPr>
                <w:rFonts w:ascii="宋体" w:hAnsi="宋体"/>
                <w:sz w:val="22"/>
                <w:szCs w:val="22"/>
                <w:highlight w:val="none"/>
              </w:rPr>
            </w:pPr>
          </w:p>
        </w:tc>
        <w:tc>
          <w:tcPr>
            <w:tcW w:w="3638" w:type="dxa"/>
            <w:shd w:val="clear" w:color="auto" w:fill="auto"/>
            <w:vAlign w:val="center"/>
          </w:tcPr>
          <w:p>
            <w:pPr>
              <w:rPr>
                <w:rFonts w:ascii="宋体" w:hAnsi="宋体" w:cs="楷体"/>
                <w:kern w:val="0"/>
                <w:sz w:val="22"/>
                <w:szCs w:val="22"/>
                <w:highlight w:val="none"/>
              </w:rPr>
            </w:pPr>
            <w:r>
              <w:rPr>
                <w:rFonts w:hint="eastAsia" w:ascii="宋体" w:hAnsi="宋体" w:cs="楷体"/>
                <w:kern w:val="0"/>
                <w:sz w:val="22"/>
                <w:szCs w:val="22"/>
                <w:highlight w:val="none"/>
              </w:rPr>
              <w:t>本项目的特定资格要求</w:t>
            </w:r>
          </w:p>
        </w:tc>
        <w:tc>
          <w:tcPr>
            <w:tcW w:w="5670" w:type="dxa"/>
            <w:shd w:val="clear" w:color="auto" w:fill="auto"/>
            <w:vAlign w:val="center"/>
          </w:tcPr>
          <w:p>
            <w:pPr>
              <w:widowControl/>
              <w:wordWrap w:val="0"/>
              <w:rPr>
                <w:rFonts w:ascii="宋体" w:hAnsi="宋体" w:cs="宋体"/>
                <w:spacing w:val="6"/>
                <w:sz w:val="22"/>
                <w:szCs w:val="22"/>
                <w:highlight w:val="none"/>
              </w:rPr>
            </w:pPr>
            <w:r>
              <w:rPr>
                <w:rFonts w:hint="eastAsia" w:ascii="宋体" w:hAnsi="宋体" w:cs="宋体"/>
                <w:spacing w:val="6"/>
                <w:sz w:val="22"/>
                <w:szCs w:val="22"/>
                <w:highlight w:val="none"/>
                <w:lang w:val="en-US" w:eastAsia="zh-CN"/>
              </w:rPr>
              <w:t>未要求。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 w:type="dxa"/>
            <w:shd w:val="clear" w:color="auto" w:fill="auto"/>
            <w:vAlign w:val="center"/>
          </w:tcPr>
          <w:p>
            <w:pPr>
              <w:numPr>
                <w:ilvl w:val="0"/>
                <w:numId w:val="6"/>
              </w:numPr>
              <w:rPr>
                <w:rFonts w:ascii="宋体" w:hAnsi="宋体"/>
                <w:sz w:val="22"/>
                <w:szCs w:val="22"/>
                <w:highlight w:val="none"/>
              </w:rPr>
            </w:pPr>
          </w:p>
        </w:tc>
        <w:tc>
          <w:tcPr>
            <w:tcW w:w="3638" w:type="dxa"/>
            <w:shd w:val="clear" w:color="auto" w:fill="auto"/>
            <w:vAlign w:val="center"/>
          </w:tcPr>
          <w:p>
            <w:pPr>
              <w:rPr>
                <w:rFonts w:ascii="宋体" w:hAnsi="宋体" w:cs="楷体"/>
                <w:kern w:val="0"/>
                <w:sz w:val="22"/>
                <w:szCs w:val="22"/>
                <w:highlight w:val="none"/>
              </w:rPr>
            </w:pPr>
            <w:r>
              <w:rPr>
                <w:rFonts w:hint="eastAsia" w:ascii="宋体" w:hAnsi="宋体" w:cs="楷体"/>
                <w:kern w:val="0"/>
                <w:sz w:val="22"/>
                <w:szCs w:val="22"/>
                <w:highlight w:val="none"/>
              </w:rPr>
              <w:t>投标人信用记录</w:t>
            </w:r>
          </w:p>
        </w:tc>
        <w:tc>
          <w:tcPr>
            <w:tcW w:w="5670" w:type="dxa"/>
            <w:shd w:val="clear" w:color="auto" w:fill="auto"/>
            <w:vAlign w:val="center"/>
          </w:tcPr>
          <w:p>
            <w:pPr>
              <w:widowControl/>
              <w:wordWrap w:val="0"/>
              <w:rPr>
                <w:rFonts w:ascii="宋体" w:hAnsi="宋体"/>
                <w:sz w:val="22"/>
                <w:szCs w:val="22"/>
                <w:highlight w:val="none"/>
              </w:rPr>
            </w:pPr>
            <w:r>
              <w:rPr>
                <w:rFonts w:hint="eastAsia" w:ascii="宋体" w:hAnsi="宋体"/>
                <w:sz w:val="22"/>
                <w:szCs w:val="22"/>
                <w:highlight w:val="none"/>
              </w:rPr>
              <w:t>1、投标人信用信息查询的查询渠道：“信用中国”(www.creditchina.gov.cn)；“中国政府采购网”（www.ccgp.gov.cn）。</w:t>
            </w:r>
          </w:p>
          <w:p>
            <w:pPr>
              <w:widowControl/>
              <w:wordWrap w:val="0"/>
              <w:rPr>
                <w:rFonts w:ascii="宋体" w:hAnsi="宋体" w:cs="宋体"/>
                <w:kern w:val="0"/>
                <w:sz w:val="22"/>
                <w:szCs w:val="22"/>
                <w:highlight w:val="none"/>
              </w:rPr>
            </w:pPr>
            <w:r>
              <w:rPr>
                <w:rFonts w:hint="eastAsia" w:ascii="宋体" w:hAnsi="宋体"/>
                <w:sz w:val="22"/>
                <w:szCs w:val="22"/>
                <w:highlight w:val="none"/>
              </w:rPr>
              <w:t>2、投标人信用信息查询</w:t>
            </w:r>
            <w:r>
              <w:rPr>
                <w:rFonts w:ascii="宋体" w:hAnsi="宋体"/>
                <w:sz w:val="22"/>
                <w:szCs w:val="22"/>
                <w:highlight w:val="none"/>
              </w:rPr>
              <w:t>截止时点</w:t>
            </w:r>
            <w:r>
              <w:rPr>
                <w:rFonts w:hint="eastAsia" w:ascii="宋体" w:hAnsi="宋体"/>
                <w:sz w:val="22"/>
                <w:szCs w:val="22"/>
                <w:highlight w:val="none"/>
              </w:rPr>
              <w:t>：投标截止时间。</w:t>
            </w:r>
          </w:p>
          <w:p>
            <w:pPr>
              <w:widowControl/>
              <w:wordWrap w:val="0"/>
              <w:rPr>
                <w:rFonts w:ascii="宋体" w:hAnsi="宋体"/>
                <w:sz w:val="22"/>
                <w:szCs w:val="22"/>
                <w:highlight w:val="none"/>
              </w:rPr>
            </w:pPr>
            <w:r>
              <w:rPr>
                <w:rFonts w:hint="eastAsia" w:ascii="宋体" w:hAnsi="宋体"/>
                <w:sz w:val="22"/>
                <w:szCs w:val="22"/>
                <w:highlight w:val="none"/>
              </w:rPr>
              <w:t>3、投标人信用信息查询记录和证据留存的具体方式：</w:t>
            </w:r>
            <w:r>
              <w:rPr>
                <w:rFonts w:hint="eastAsia" w:ascii="宋体" w:hAnsi="宋体"/>
                <w:b/>
                <w:sz w:val="22"/>
                <w:szCs w:val="22"/>
                <w:highlight w:val="none"/>
              </w:rPr>
              <w:t>网页截图打印</w:t>
            </w:r>
            <w:r>
              <w:rPr>
                <w:rFonts w:hint="eastAsia" w:ascii="宋体" w:hAnsi="宋体"/>
                <w:sz w:val="22"/>
                <w:szCs w:val="22"/>
                <w:highlight w:val="none"/>
              </w:rPr>
              <w:t>；</w:t>
            </w:r>
          </w:p>
          <w:p>
            <w:pPr>
              <w:widowControl/>
              <w:wordWrap w:val="0"/>
              <w:rPr>
                <w:rFonts w:ascii="宋体" w:hAnsi="宋体" w:cs="楷体"/>
                <w:b/>
                <w:kern w:val="0"/>
                <w:sz w:val="22"/>
                <w:szCs w:val="22"/>
                <w:highlight w:val="none"/>
              </w:rPr>
            </w:pPr>
            <w:r>
              <w:rPr>
                <w:rFonts w:hint="eastAsia" w:ascii="宋体" w:hAnsi="宋体"/>
                <w:sz w:val="22"/>
                <w:szCs w:val="22"/>
                <w:highlight w:val="none"/>
              </w:rPr>
              <w:t>4、信用信息的使用规则：</w:t>
            </w:r>
            <w:r>
              <w:rPr>
                <w:rFonts w:hint="eastAsia" w:ascii="宋体" w:hAnsi="宋体" w:cs="Courier New"/>
                <w:sz w:val="22"/>
                <w:szCs w:val="22"/>
                <w:highlight w:val="none"/>
              </w:rPr>
              <w:t>被“信用中国”网站列入失信被执行人、重大税收违法案件当事人名单，或被“中国政府采购网”列入采购严重违法失信行为记录名单中</w:t>
            </w:r>
            <w:r>
              <w:rPr>
                <w:rFonts w:hint="eastAsia" w:ascii="宋体" w:hAnsi="宋体" w:cs="宋体"/>
                <w:kern w:val="0"/>
                <w:sz w:val="22"/>
                <w:szCs w:val="22"/>
                <w:highlight w:val="none"/>
              </w:rPr>
              <w:t>禁止参加采购活动期间的</w:t>
            </w:r>
            <w:r>
              <w:rPr>
                <w:rFonts w:hint="eastAsia" w:ascii="宋体" w:hAnsi="宋体" w:cs="Courier New"/>
                <w:sz w:val="22"/>
                <w:szCs w:val="22"/>
                <w:highlight w:val="none"/>
              </w:rPr>
              <w:t>，</w:t>
            </w:r>
            <w:r>
              <w:rPr>
                <w:rFonts w:hint="eastAsia" w:ascii="宋体" w:hAnsi="宋体" w:cs="Courier New"/>
                <w:b/>
                <w:sz w:val="22"/>
                <w:szCs w:val="22"/>
                <w:highlight w:val="none"/>
              </w:rPr>
              <w:t>其资格审查不合格。</w:t>
            </w:r>
            <w:r>
              <w:rPr>
                <w:rFonts w:hint="eastAsia" w:ascii="宋体" w:hAnsi="宋体" w:cs="楷体"/>
                <w:b/>
                <w:kern w:val="0"/>
                <w:sz w:val="22"/>
                <w:szCs w:val="22"/>
                <w:highlight w:val="none"/>
              </w:rPr>
              <w:t>如相关失信记录已失效，投标人须提供相关证明资料。</w:t>
            </w:r>
          </w:p>
        </w:tc>
      </w:tr>
    </w:tbl>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ascii="宋体" w:hAnsi="宋体" w:cs="Courier New"/>
          <w:sz w:val="22"/>
          <w:szCs w:val="22"/>
          <w:highlight w:val="none"/>
        </w:rPr>
        <w:t>有下列情形之一的，资格审查不合格</w:t>
      </w:r>
      <w:r>
        <w:rPr>
          <w:rFonts w:hint="eastAsia" w:ascii="宋体" w:hAnsi="宋体" w:cs="Courier New"/>
          <w:sz w:val="22"/>
          <w:szCs w:val="22"/>
          <w:highlight w:val="none"/>
        </w:rPr>
        <w:t>，其</w:t>
      </w:r>
      <w:r>
        <w:rPr>
          <w:rFonts w:hint="eastAsia" w:ascii="宋体" w:hAnsi="宋体" w:cs="Courier New"/>
          <w:b/>
          <w:bCs/>
          <w:sz w:val="22"/>
          <w:szCs w:val="22"/>
          <w:highlight w:val="none"/>
        </w:rPr>
        <w:t>投标无效</w:t>
      </w:r>
      <w:r>
        <w:rPr>
          <w:rFonts w:hint="eastAsia" w:ascii="宋体" w:hAnsi="宋体" w:cs="Courier New"/>
          <w:sz w:val="22"/>
          <w:szCs w:val="22"/>
          <w:highlight w:val="none"/>
        </w:rPr>
        <w:t>不再进入评审</w:t>
      </w:r>
      <w:r>
        <w:rPr>
          <w:rFonts w:ascii="宋体" w:hAnsi="宋体" w:cs="Courier New"/>
          <w:sz w:val="22"/>
          <w:szCs w:val="22"/>
          <w:highlight w:val="none"/>
        </w:rPr>
        <w:t>：</w:t>
      </w:r>
    </w:p>
    <w:p>
      <w:pPr>
        <w:numPr>
          <w:ilvl w:val="0"/>
          <w:numId w:val="7"/>
        </w:numPr>
        <w:tabs>
          <w:tab w:val="left" w:pos="735"/>
          <w:tab w:val="clear" w:pos="420"/>
        </w:tabs>
        <w:spacing w:line="360" w:lineRule="auto"/>
        <w:ind w:left="734" w:leftChars="200" w:hanging="314" w:hangingChars="143"/>
        <w:rPr>
          <w:rFonts w:ascii="宋体" w:hAnsi="宋体"/>
          <w:sz w:val="22"/>
          <w:szCs w:val="22"/>
          <w:highlight w:val="none"/>
        </w:rPr>
      </w:pPr>
      <w:r>
        <w:rPr>
          <w:rFonts w:ascii="宋体" w:hAnsi="宋体"/>
          <w:sz w:val="22"/>
          <w:szCs w:val="22"/>
          <w:highlight w:val="none"/>
        </w:rPr>
        <w:t>不具备招标文件中规定的资格要求；</w:t>
      </w:r>
    </w:p>
    <w:p>
      <w:pPr>
        <w:numPr>
          <w:ilvl w:val="0"/>
          <w:numId w:val="7"/>
        </w:numPr>
        <w:tabs>
          <w:tab w:val="left" w:pos="735"/>
          <w:tab w:val="clear" w:pos="420"/>
        </w:tabs>
        <w:spacing w:line="360" w:lineRule="auto"/>
        <w:ind w:left="734" w:leftChars="200" w:hanging="314" w:hangingChars="143"/>
        <w:rPr>
          <w:rFonts w:ascii="宋体" w:hAnsi="宋体"/>
          <w:sz w:val="22"/>
          <w:szCs w:val="22"/>
          <w:highlight w:val="none"/>
        </w:rPr>
      </w:pPr>
      <w:bookmarkStart w:id="154" w:name="_Hlk533611759"/>
      <w:r>
        <w:rPr>
          <w:rFonts w:hint="eastAsia" w:ascii="宋体" w:hAnsi="宋体"/>
          <w:sz w:val="22"/>
          <w:szCs w:val="22"/>
          <w:highlight w:val="none"/>
        </w:rPr>
        <w:t>未按照招标文件规定提交投标人的资格文件或提供的资格文件不全的</w:t>
      </w:r>
      <w:bookmarkEnd w:id="154"/>
      <w:r>
        <w:rPr>
          <w:rFonts w:hint="eastAsia" w:ascii="宋体" w:hAnsi="宋体"/>
          <w:sz w:val="22"/>
          <w:szCs w:val="22"/>
          <w:highlight w:val="none"/>
        </w:rPr>
        <w:t>。</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ascii="宋体" w:hAnsi="宋体" w:cs="Courier New"/>
          <w:sz w:val="22"/>
          <w:szCs w:val="22"/>
          <w:highlight w:val="none"/>
        </w:rPr>
        <w:t>资格审查合格的投标人不足三家的，不进行评标。</w:t>
      </w:r>
    </w:p>
    <w:p>
      <w:pPr>
        <w:numPr>
          <w:ilvl w:val="0"/>
          <w:numId w:val="2"/>
        </w:numPr>
        <w:tabs>
          <w:tab w:val="left" w:pos="525"/>
          <w:tab w:val="left" w:pos="900"/>
        </w:tabs>
        <w:spacing w:line="360" w:lineRule="auto"/>
        <w:rPr>
          <w:rFonts w:ascii="宋体" w:hAnsi="宋体" w:cs="Courier New"/>
          <w:sz w:val="22"/>
          <w:szCs w:val="22"/>
          <w:highlight w:val="none"/>
        </w:rPr>
      </w:pPr>
      <w:bookmarkStart w:id="155" w:name="_Toc205005291"/>
      <w:bookmarkStart w:id="156" w:name="_Toc219538618"/>
      <w:bookmarkStart w:id="157" w:name="_Toc216667825"/>
      <w:bookmarkStart w:id="158" w:name="_Toc223933226"/>
      <w:bookmarkStart w:id="159" w:name="_Toc209332638"/>
      <w:bookmarkStart w:id="160" w:name="_Toc205877562"/>
      <w:bookmarkStart w:id="161" w:name="_Toc210879713"/>
      <w:bookmarkStart w:id="162" w:name="_Toc205877457"/>
      <w:bookmarkStart w:id="163" w:name="_Toc223717609"/>
      <w:bookmarkStart w:id="164" w:name="_Toc218041731"/>
      <w:bookmarkStart w:id="165" w:name="_Toc227489892"/>
      <w:bookmarkStart w:id="166" w:name="_Toc209251132"/>
      <w:bookmarkStart w:id="167" w:name="_Toc227057038"/>
      <w:bookmarkStart w:id="168" w:name="_Toc209261370"/>
      <w:bookmarkStart w:id="169" w:name="_Toc207609186"/>
      <w:bookmarkStart w:id="170" w:name="_Toc205703107"/>
      <w:bookmarkStart w:id="171" w:name="_Toc204491322"/>
      <w:bookmarkStart w:id="172" w:name="_Toc209250724"/>
      <w:bookmarkStart w:id="173" w:name="_Toc209261437"/>
      <w:bookmarkStart w:id="174" w:name="_Toc205004973"/>
      <w:bookmarkStart w:id="175" w:name="_Toc217460690"/>
      <w:bookmarkStart w:id="176" w:name="_Toc214365795"/>
      <w:bookmarkStart w:id="177" w:name="_Toc204578580"/>
      <w:bookmarkStart w:id="178" w:name="_Toc227056851"/>
      <w:bookmarkStart w:id="179" w:name="_Toc215415535"/>
      <w:r>
        <w:rPr>
          <w:rFonts w:ascii="宋体" w:hAnsi="宋体" w:cs="Courier New"/>
          <w:sz w:val="22"/>
          <w:szCs w:val="22"/>
          <w:highlight w:val="none"/>
        </w:rPr>
        <w:t>评标</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评标委员会</w:t>
      </w:r>
    </w:p>
    <w:p>
      <w:pPr>
        <w:pStyle w:val="222"/>
        <w:numPr>
          <w:ilvl w:val="0"/>
          <w:numId w:val="8"/>
        </w:numPr>
        <w:tabs>
          <w:tab w:val="left" w:pos="525"/>
        </w:tabs>
        <w:spacing w:line="360" w:lineRule="auto"/>
        <w:ind w:firstLineChars="0"/>
        <w:rPr>
          <w:rFonts w:ascii="宋体" w:hAnsi="宋体"/>
          <w:bCs/>
          <w:sz w:val="22"/>
          <w:szCs w:val="22"/>
          <w:highlight w:val="none"/>
        </w:rPr>
      </w:pPr>
      <w:r>
        <w:rPr>
          <w:rFonts w:hint="eastAsia" w:ascii="宋体" w:hAnsi="宋体"/>
          <w:bCs/>
          <w:sz w:val="22"/>
          <w:szCs w:val="22"/>
          <w:highlight w:val="none"/>
          <w:lang w:eastAsia="zh-CN"/>
        </w:rPr>
        <w:t>甲方</w:t>
      </w:r>
      <w:r>
        <w:rPr>
          <w:rFonts w:hint="eastAsia" w:ascii="宋体" w:hAnsi="宋体"/>
          <w:bCs/>
          <w:sz w:val="22"/>
          <w:szCs w:val="22"/>
          <w:highlight w:val="none"/>
        </w:rPr>
        <w:t>依法组建评标委员会，评标委员会的成员在评标过程中必须严格遵守</w:t>
      </w:r>
      <w:r>
        <w:rPr>
          <w:rFonts w:hint="eastAsia" w:ascii="宋体" w:hAnsi="宋体" w:cs="宋体"/>
          <w:sz w:val="22"/>
          <w:highlight w:val="none"/>
          <w:lang w:eastAsia="zh-CN"/>
        </w:rPr>
        <w:t>《平阳县县属国有企业采购管理办法（试行）》</w:t>
      </w:r>
      <w:r>
        <w:rPr>
          <w:rFonts w:hint="eastAsia" w:ascii="宋体" w:hAnsi="宋体"/>
          <w:bCs/>
          <w:sz w:val="22"/>
          <w:szCs w:val="22"/>
          <w:highlight w:val="none"/>
        </w:rPr>
        <w:t>等有关法律、法规的规定。</w:t>
      </w:r>
    </w:p>
    <w:p>
      <w:pPr>
        <w:pStyle w:val="222"/>
        <w:numPr>
          <w:ilvl w:val="0"/>
          <w:numId w:val="8"/>
        </w:numPr>
        <w:tabs>
          <w:tab w:val="left" w:pos="525"/>
        </w:tabs>
        <w:spacing w:line="360" w:lineRule="auto"/>
        <w:ind w:firstLineChars="0"/>
        <w:rPr>
          <w:rFonts w:ascii="宋体" w:hAnsi="宋体" w:cs="Courier New"/>
          <w:bCs/>
          <w:sz w:val="22"/>
          <w:szCs w:val="22"/>
          <w:highlight w:val="none"/>
        </w:rPr>
      </w:pPr>
      <w:r>
        <w:rPr>
          <w:rFonts w:hint="eastAsia" w:ascii="宋体" w:hAnsi="宋体" w:cs="Courier New"/>
          <w:bCs/>
          <w:sz w:val="22"/>
          <w:szCs w:val="22"/>
          <w:highlight w:val="none"/>
        </w:rPr>
        <w:t>评标委员会负责具体评标事务，评标应遵守下列评标纪律：</w:t>
      </w:r>
    </w:p>
    <w:p>
      <w:pPr>
        <w:tabs>
          <w:tab w:val="left" w:pos="525"/>
        </w:tabs>
        <w:spacing w:line="360" w:lineRule="auto"/>
        <w:ind w:left="527"/>
        <w:rPr>
          <w:rFonts w:ascii="宋体" w:hAnsi="宋体" w:cs="Courier New"/>
          <w:bCs/>
          <w:sz w:val="22"/>
          <w:szCs w:val="22"/>
          <w:highlight w:val="none"/>
        </w:rPr>
      </w:pPr>
      <w:r>
        <w:rPr>
          <w:rFonts w:hint="eastAsia" w:ascii="宋体" w:hAnsi="宋体" w:cs="Courier New"/>
          <w:bCs/>
          <w:sz w:val="22"/>
          <w:szCs w:val="22"/>
          <w:highlight w:val="none"/>
        </w:rPr>
        <w:t>①评标情况不得私自外泄，有关信息由招标采购单位统一对外发布。</w:t>
      </w:r>
    </w:p>
    <w:p>
      <w:pPr>
        <w:tabs>
          <w:tab w:val="left" w:pos="525"/>
        </w:tabs>
        <w:spacing w:line="360" w:lineRule="auto"/>
        <w:ind w:left="527"/>
        <w:rPr>
          <w:rFonts w:ascii="宋体" w:hAnsi="宋体" w:cs="Courier New"/>
          <w:bCs/>
          <w:sz w:val="22"/>
          <w:szCs w:val="22"/>
          <w:highlight w:val="none"/>
        </w:rPr>
      </w:pPr>
      <w:r>
        <w:rPr>
          <w:rFonts w:hint="eastAsia" w:ascii="宋体" w:hAnsi="宋体" w:cs="Courier New"/>
          <w:bCs/>
          <w:sz w:val="22"/>
          <w:szCs w:val="22"/>
          <w:highlight w:val="none"/>
        </w:rPr>
        <w:t>②对招标采购单位或投标人提供的要求保密的资料，不得摘记翻印和外传。</w:t>
      </w:r>
    </w:p>
    <w:p>
      <w:pPr>
        <w:tabs>
          <w:tab w:val="left" w:pos="525"/>
        </w:tabs>
        <w:spacing w:line="360" w:lineRule="auto"/>
        <w:ind w:left="527"/>
        <w:rPr>
          <w:rFonts w:ascii="宋体" w:hAnsi="宋体" w:cs="Courier New"/>
          <w:bCs/>
          <w:sz w:val="22"/>
          <w:szCs w:val="22"/>
          <w:highlight w:val="none"/>
        </w:rPr>
      </w:pPr>
      <w:r>
        <w:rPr>
          <w:rFonts w:hint="eastAsia" w:ascii="宋体" w:hAnsi="宋体" w:cs="Courier New"/>
          <w:bCs/>
          <w:sz w:val="22"/>
          <w:szCs w:val="22"/>
          <w:highlight w:val="none"/>
        </w:rPr>
        <w:t>③不得收受投标人或有关人员的任何礼物，不得串联鼓动其他人袒护某投标人。若与投标人存在利害关系，则应主动声明并回避。</w:t>
      </w:r>
    </w:p>
    <w:p>
      <w:pPr>
        <w:tabs>
          <w:tab w:val="left" w:pos="525"/>
        </w:tabs>
        <w:spacing w:line="360" w:lineRule="auto"/>
        <w:ind w:left="527"/>
        <w:rPr>
          <w:rFonts w:ascii="宋体" w:hAnsi="宋体" w:cs="Courier New"/>
          <w:bCs/>
          <w:sz w:val="22"/>
          <w:szCs w:val="22"/>
          <w:highlight w:val="none"/>
        </w:rPr>
      </w:pPr>
      <w:r>
        <w:rPr>
          <w:rFonts w:hint="eastAsia" w:ascii="宋体" w:hAnsi="宋体" w:cs="Courier New"/>
          <w:bCs/>
          <w:sz w:val="22"/>
          <w:szCs w:val="22"/>
          <w:highlight w:val="none"/>
        </w:rPr>
        <w:t>④全体评委应按照招标文件规定进行评标，一切认定事项应查有实据且不得弄虚作假。</w:t>
      </w:r>
    </w:p>
    <w:p>
      <w:pPr>
        <w:tabs>
          <w:tab w:val="left" w:pos="525"/>
        </w:tabs>
        <w:spacing w:line="360" w:lineRule="auto"/>
        <w:ind w:left="527"/>
        <w:rPr>
          <w:rFonts w:ascii="宋体" w:hAnsi="宋体" w:cs="Courier New"/>
          <w:bCs/>
          <w:sz w:val="22"/>
          <w:szCs w:val="22"/>
          <w:highlight w:val="none"/>
        </w:rPr>
      </w:pPr>
      <w:r>
        <w:rPr>
          <w:rFonts w:hint="eastAsia" w:ascii="宋体" w:hAnsi="宋体" w:cs="Courier New"/>
          <w:bCs/>
          <w:sz w:val="22"/>
          <w:szCs w:val="22"/>
          <w:highlight w:val="none"/>
        </w:rPr>
        <w:t>⑤评标中应充分发扬民主，推荐中标候选人或确定中标人后要服从评标报告。</w:t>
      </w:r>
    </w:p>
    <w:p>
      <w:pPr>
        <w:tabs>
          <w:tab w:val="left" w:pos="525"/>
        </w:tabs>
        <w:spacing w:line="360" w:lineRule="auto"/>
        <w:ind w:firstLine="221" w:firstLineChars="100"/>
        <w:rPr>
          <w:rFonts w:ascii="宋体" w:hAnsi="宋体"/>
          <w:b/>
          <w:sz w:val="22"/>
          <w:szCs w:val="22"/>
          <w:highlight w:val="none"/>
        </w:rPr>
      </w:pPr>
      <w:r>
        <w:rPr>
          <w:rFonts w:hint="eastAsia" w:ascii="宋体" w:hAnsi="宋体"/>
          <w:b/>
          <w:sz w:val="22"/>
          <w:szCs w:val="22"/>
          <w:highlight w:val="none"/>
          <w:lang w:eastAsia="zh-CN"/>
        </w:rPr>
        <w:t>▲</w:t>
      </w:r>
      <w:r>
        <w:rPr>
          <w:rFonts w:hint="eastAsia" w:ascii="宋体" w:hAnsi="宋体"/>
          <w:b/>
          <w:sz w:val="22"/>
          <w:szCs w:val="22"/>
          <w:highlight w:val="none"/>
        </w:rPr>
        <w:t>对违反评标纪律的评委，将上报监督部门，情节严重的将取消其评委资格，对评标工作造成严重损失者将予以通报批评乃至追究法律责任。</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评标过程的保密性</w:t>
      </w:r>
    </w:p>
    <w:p>
      <w:pPr>
        <w:tabs>
          <w:tab w:val="left" w:pos="525"/>
        </w:tabs>
        <w:spacing w:line="360" w:lineRule="auto"/>
        <w:ind w:left="527"/>
        <w:rPr>
          <w:rFonts w:ascii="宋体" w:hAnsi="宋体" w:cs="Courier New"/>
          <w:bCs/>
          <w:sz w:val="22"/>
          <w:szCs w:val="22"/>
          <w:highlight w:val="none"/>
        </w:rPr>
      </w:pPr>
      <w:r>
        <w:rPr>
          <w:rFonts w:hint="eastAsia" w:ascii="宋体" w:hAnsi="宋体"/>
          <w:bCs/>
          <w:sz w:val="22"/>
          <w:szCs w:val="22"/>
          <w:highlight w:val="none"/>
        </w:rPr>
        <w:t>开标后直至向中标人授予合同时止，凡与评审有关的资料均不得向投标人及与评标无关人员透露。如果投标人在评标过程中试图向</w:t>
      </w:r>
      <w:bookmarkStart w:id="180" w:name="_Hlk36488786"/>
      <w:r>
        <w:rPr>
          <w:rFonts w:hint="eastAsia" w:ascii="宋体" w:hAnsi="宋体"/>
          <w:bCs/>
          <w:sz w:val="22"/>
          <w:szCs w:val="22"/>
          <w:highlight w:val="none"/>
          <w:lang w:eastAsia="zh-CN"/>
        </w:rPr>
        <w:t>甲方</w:t>
      </w:r>
      <w:r>
        <w:rPr>
          <w:rFonts w:hint="eastAsia" w:ascii="宋体" w:hAnsi="宋体"/>
          <w:bCs/>
          <w:sz w:val="22"/>
          <w:szCs w:val="22"/>
          <w:highlight w:val="none"/>
        </w:rPr>
        <w:t>、采购代理机构或</w:t>
      </w:r>
      <w:bookmarkEnd w:id="180"/>
      <w:bookmarkStart w:id="181" w:name="_Hlk36488792"/>
      <w:r>
        <w:rPr>
          <w:rFonts w:hint="eastAsia" w:ascii="宋体" w:hAnsi="宋体"/>
          <w:sz w:val="22"/>
          <w:szCs w:val="22"/>
          <w:highlight w:val="none"/>
        </w:rPr>
        <w:t>评标委员会</w:t>
      </w:r>
      <w:bookmarkEnd w:id="181"/>
      <w:r>
        <w:rPr>
          <w:rFonts w:hint="eastAsia" w:ascii="宋体" w:hAnsi="宋体"/>
          <w:bCs/>
          <w:sz w:val="22"/>
          <w:szCs w:val="22"/>
          <w:highlight w:val="none"/>
        </w:rPr>
        <w:t>施加影响，其投标将被拒绝。</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符合性审查</w:t>
      </w:r>
    </w:p>
    <w:p>
      <w:pPr>
        <w:numPr>
          <w:ilvl w:val="0"/>
          <w:numId w:val="9"/>
        </w:numPr>
        <w:spacing w:line="360" w:lineRule="auto"/>
        <w:ind w:firstLine="0"/>
        <w:rPr>
          <w:rFonts w:ascii="宋体" w:hAnsi="宋体"/>
          <w:sz w:val="22"/>
          <w:szCs w:val="22"/>
          <w:highlight w:val="none"/>
        </w:rPr>
      </w:pPr>
      <w:r>
        <w:rPr>
          <w:rFonts w:hint="eastAsia" w:ascii="宋体" w:hAnsi="宋体"/>
          <w:sz w:val="22"/>
          <w:szCs w:val="22"/>
          <w:highlight w:val="none"/>
        </w:rPr>
        <w:t>评标委员会依据招标文件的实质性要求，对通过资格审查的投标文件进行符合性审查，以确定其是否满足招标文件的实质性要求。</w:t>
      </w:r>
    </w:p>
    <w:p>
      <w:pPr>
        <w:numPr>
          <w:ilvl w:val="0"/>
          <w:numId w:val="9"/>
        </w:numPr>
        <w:spacing w:line="360" w:lineRule="auto"/>
        <w:ind w:firstLine="0"/>
        <w:rPr>
          <w:rFonts w:ascii="宋体" w:hAnsi="宋体"/>
          <w:sz w:val="22"/>
          <w:szCs w:val="22"/>
          <w:highlight w:val="none"/>
        </w:rPr>
      </w:pPr>
      <w:r>
        <w:rPr>
          <w:rFonts w:hint="eastAsia" w:ascii="宋体" w:hAnsi="宋体"/>
          <w:sz w:val="22"/>
          <w:szCs w:val="22"/>
          <w:highlight w:val="none"/>
        </w:rPr>
        <w:t>满足招标文件的实质性要求指投标文件对招标文件实质性要求的响应不存在重大偏差或保留。</w:t>
      </w:r>
      <w:r>
        <w:rPr>
          <w:rFonts w:ascii="宋体" w:hAnsi="宋体"/>
          <w:sz w:val="22"/>
          <w:szCs w:val="22"/>
          <w:highlight w:val="none"/>
        </w:rPr>
        <w:t>重大偏差或保留指影响到招标文件规定的合同范围、合同履行及影响关键质量和性能，或限制了</w:t>
      </w:r>
      <w:r>
        <w:rPr>
          <w:rFonts w:hint="eastAsia" w:ascii="宋体" w:hAnsi="宋体"/>
          <w:sz w:val="22"/>
          <w:szCs w:val="22"/>
          <w:highlight w:val="none"/>
          <w:lang w:eastAsia="zh-CN"/>
        </w:rPr>
        <w:t>甲方</w:t>
      </w:r>
      <w:r>
        <w:rPr>
          <w:rFonts w:ascii="宋体" w:hAnsi="宋体"/>
          <w:sz w:val="22"/>
          <w:szCs w:val="22"/>
          <w:highlight w:val="none"/>
        </w:rPr>
        <w:t>的权利，或反对、减少投标人的义务，而纠正这些重大偏差或保留将影响到其他提交实质性响应投标的投标人的公平竞争地位。</w:t>
      </w:r>
    </w:p>
    <w:p>
      <w:pPr>
        <w:numPr>
          <w:ilvl w:val="0"/>
          <w:numId w:val="9"/>
        </w:numPr>
        <w:spacing w:line="360" w:lineRule="auto"/>
        <w:ind w:firstLine="0"/>
        <w:rPr>
          <w:rFonts w:ascii="宋体" w:hAnsi="宋体"/>
          <w:sz w:val="22"/>
          <w:szCs w:val="22"/>
          <w:highlight w:val="none"/>
        </w:rPr>
      </w:pPr>
      <w:r>
        <w:rPr>
          <w:rFonts w:hint="eastAsia" w:ascii="宋体" w:hAnsi="宋体"/>
          <w:b/>
          <w:sz w:val="22"/>
          <w:szCs w:val="22"/>
          <w:highlight w:val="none"/>
        </w:rPr>
        <w:t>评标委员会审查判断投标文件是否满足招标文件的实质性要求仅基于投标文件本身（通过“</w:t>
      </w:r>
      <w:r>
        <w:rPr>
          <w:rFonts w:hint="eastAsia" w:ascii="宋体" w:hAnsi="宋体"/>
          <w:b/>
          <w:sz w:val="22"/>
          <w:szCs w:val="22"/>
          <w:highlight w:val="none"/>
          <w:lang w:eastAsia="zh-CN"/>
        </w:rPr>
        <w:t>政采云平台</w:t>
      </w:r>
      <w:r>
        <w:rPr>
          <w:rFonts w:hint="eastAsia" w:ascii="宋体" w:hAnsi="宋体"/>
          <w:b/>
          <w:sz w:val="22"/>
          <w:szCs w:val="22"/>
          <w:highlight w:val="none"/>
        </w:rPr>
        <w:t>”下载的投标文件）而不寻求其他的外部证据。</w:t>
      </w:r>
      <w:r>
        <w:rPr>
          <w:rFonts w:hint="eastAsia" w:ascii="宋体" w:hAnsi="宋体"/>
          <w:sz w:val="22"/>
          <w:szCs w:val="22"/>
          <w:highlight w:val="none"/>
        </w:rPr>
        <w:t>未满足招标文件实质性要求的投标文件将被评标委员会否决（即符合性审查不合格），被否决的投标文件不能通过补充、修改（澄清、说明或补正）等方式重新成为满足招标文件实质性要求的投标文件。</w:t>
      </w:r>
    </w:p>
    <w:p>
      <w:pPr>
        <w:numPr>
          <w:ilvl w:val="0"/>
          <w:numId w:val="9"/>
        </w:numPr>
        <w:spacing w:line="360" w:lineRule="auto"/>
        <w:ind w:firstLine="0"/>
        <w:rPr>
          <w:rFonts w:ascii="宋体" w:hAnsi="宋体"/>
          <w:sz w:val="22"/>
          <w:szCs w:val="22"/>
          <w:highlight w:val="none"/>
        </w:rPr>
      </w:pPr>
      <w:r>
        <w:rPr>
          <w:rFonts w:hint="eastAsia" w:ascii="宋体" w:hAnsi="宋体"/>
          <w:sz w:val="22"/>
          <w:szCs w:val="22"/>
          <w:highlight w:val="none"/>
        </w:rPr>
        <w:t>评标委员会对所有投标人都执行相同的程序和标准。</w:t>
      </w:r>
    </w:p>
    <w:p>
      <w:pPr>
        <w:numPr>
          <w:ilvl w:val="0"/>
          <w:numId w:val="9"/>
        </w:numPr>
        <w:spacing w:line="360" w:lineRule="auto"/>
        <w:ind w:firstLine="0"/>
        <w:rPr>
          <w:rFonts w:ascii="宋体" w:hAnsi="宋体"/>
          <w:b/>
          <w:sz w:val="22"/>
          <w:szCs w:val="22"/>
          <w:highlight w:val="none"/>
        </w:rPr>
      </w:pPr>
      <w:r>
        <w:rPr>
          <w:rFonts w:hint="eastAsia" w:ascii="宋体" w:hAnsi="宋体"/>
          <w:b/>
          <w:sz w:val="22"/>
          <w:szCs w:val="22"/>
          <w:highlight w:val="none"/>
        </w:rPr>
        <w:t>有下列情形之一的，符合性审查不合格，对其作无效标处理：</w:t>
      </w:r>
      <w:r>
        <w:rPr>
          <w:rFonts w:ascii="宋体" w:hAnsi="宋体"/>
          <w:b/>
          <w:sz w:val="22"/>
          <w:szCs w:val="22"/>
          <w:highlight w:val="none"/>
        </w:rPr>
        <w:t xml:space="preserve"> </w:t>
      </w:r>
    </w:p>
    <w:p>
      <w:pPr>
        <w:numPr>
          <w:ilvl w:val="0"/>
          <w:numId w:val="10"/>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违反招标文件中载明“</w:t>
      </w:r>
      <w:r>
        <w:rPr>
          <w:rFonts w:hint="eastAsia" w:ascii="宋体" w:hAnsi="宋体"/>
          <w:b/>
          <w:bCs/>
          <w:sz w:val="22"/>
          <w:szCs w:val="22"/>
          <w:highlight w:val="none"/>
        </w:rPr>
        <w:t>投标无效</w:t>
      </w:r>
      <w:r>
        <w:rPr>
          <w:rFonts w:hint="eastAsia" w:ascii="宋体" w:hAnsi="宋体"/>
          <w:bCs/>
          <w:sz w:val="22"/>
          <w:szCs w:val="22"/>
          <w:highlight w:val="none"/>
        </w:rPr>
        <w:t>”条款的规定；</w:t>
      </w:r>
    </w:p>
    <w:p>
      <w:pPr>
        <w:numPr>
          <w:ilvl w:val="0"/>
          <w:numId w:val="10"/>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投标文件</w:t>
      </w:r>
      <w:r>
        <w:rPr>
          <w:rFonts w:ascii="宋体" w:hAnsi="宋体"/>
          <w:sz w:val="22"/>
          <w:szCs w:val="22"/>
          <w:highlight w:val="none"/>
        </w:rPr>
        <w:t>未按招标文件要求签署、盖章的</w:t>
      </w:r>
      <w:r>
        <w:rPr>
          <w:rFonts w:hint="eastAsia" w:ascii="宋体" w:hAnsi="宋体"/>
          <w:sz w:val="22"/>
          <w:szCs w:val="22"/>
          <w:highlight w:val="none"/>
        </w:rPr>
        <w:t>；</w:t>
      </w:r>
    </w:p>
    <w:p>
      <w:pPr>
        <w:numPr>
          <w:ilvl w:val="0"/>
          <w:numId w:val="10"/>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明显不符合招标文件中主要采购内容、采购标准、采购要求的；</w:t>
      </w:r>
    </w:p>
    <w:p>
      <w:pPr>
        <w:numPr>
          <w:ilvl w:val="0"/>
          <w:numId w:val="10"/>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投标文件内容不全或关键字迹模糊无法辨认的；</w:t>
      </w:r>
    </w:p>
    <w:p>
      <w:pPr>
        <w:numPr>
          <w:ilvl w:val="0"/>
          <w:numId w:val="10"/>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在资格文件或商务技术文件中出现投标报价的；</w:t>
      </w:r>
    </w:p>
    <w:p>
      <w:pPr>
        <w:numPr>
          <w:ilvl w:val="0"/>
          <w:numId w:val="10"/>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投标报价超过采购预算或最高限价的；</w:t>
      </w:r>
    </w:p>
    <w:p>
      <w:pPr>
        <w:numPr>
          <w:ilvl w:val="0"/>
          <w:numId w:val="10"/>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投标文件附有</w:t>
      </w:r>
      <w:r>
        <w:rPr>
          <w:rFonts w:hint="eastAsia" w:ascii="宋体" w:hAnsi="宋体"/>
          <w:bCs/>
          <w:sz w:val="22"/>
          <w:szCs w:val="22"/>
          <w:highlight w:val="none"/>
          <w:lang w:eastAsia="zh-CN"/>
        </w:rPr>
        <w:t>甲方</w:t>
      </w:r>
      <w:r>
        <w:rPr>
          <w:rFonts w:hint="eastAsia" w:ascii="宋体" w:hAnsi="宋体"/>
          <w:bCs/>
          <w:sz w:val="22"/>
          <w:szCs w:val="22"/>
          <w:highlight w:val="none"/>
        </w:rPr>
        <w:t>不能接受的条件；</w:t>
      </w:r>
    </w:p>
    <w:p>
      <w:pPr>
        <w:numPr>
          <w:ilvl w:val="0"/>
          <w:numId w:val="10"/>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授权代表没有单位负责人合法、有效委托的；</w:t>
      </w:r>
    </w:p>
    <w:p>
      <w:pPr>
        <w:numPr>
          <w:ilvl w:val="0"/>
          <w:numId w:val="10"/>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电子投标文件解密失败或未按时解密的，且未在规定时间内提交备份投标文件的；</w:t>
      </w:r>
    </w:p>
    <w:p>
      <w:pPr>
        <w:numPr>
          <w:ilvl w:val="0"/>
          <w:numId w:val="10"/>
        </w:numPr>
        <w:tabs>
          <w:tab w:val="left" w:pos="525"/>
        </w:tabs>
        <w:spacing w:line="360" w:lineRule="auto"/>
        <w:rPr>
          <w:rFonts w:ascii="宋体" w:hAnsi="宋体"/>
          <w:bCs/>
          <w:sz w:val="22"/>
          <w:szCs w:val="22"/>
          <w:highlight w:val="none"/>
        </w:rPr>
      </w:pPr>
      <w:bookmarkStart w:id="182" w:name="_Hlk100427349"/>
      <w:r>
        <w:rPr>
          <w:rFonts w:hint="eastAsia" w:ascii="宋体" w:hAnsi="宋体"/>
          <w:bCs/>
          <w:sz w:val="22"/>
          <w:szCs w:val="22"/>
          <w:highlight w:val="none"/>
        </w:rPr>
        <w:t>投标人提供虚假材料投标的；</w:t>
      </w:r>
    </w:p>
    <w:p>
      <w:pPr>
        <w:numPr>
          <w:ilvl w:val="0"/>
          <w:numId w:val="10"/>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投标人有恶意串通、妨碍其他投标人的竞争行为、损害</w:t>
      </w:r>
      <w:r>
        <w:rPr>
          <w:rFonts w:hint="eastAsia" w:ascii="宋体" w:hAnsi="宋体"/>
          <w:bCs/>
          <w:sz w:val="22"/>
          <w:szCs w:val="22"/>
          <w:highlight w:val="none"/>
          <w:lang w:eastAsia="zh-CN"/>
        </w:rPr>
        <w:t>甲方</w:t>
      </w:r>
      <w:r>
        <w:rPr>
          <w:rFonts w:hint="eastAsia" w:ascii="宋体" w:hAnsi="宋体"/>
          <w:bCs/>
          <w:sz w:val="22"/>
          <w:szCs w:val="22"/>
          <w:highlight w:val="none"/>
        </w:rPr>
        <w:t>或者其他投标人的合法权益情形的；</w:t>
      </w:r>
    </w:p>
    <w:bookmarkEnd w:id="182"/>
    <w:p>
      <w:pPr>
        <w:numPr>
          <w:ilvl w:val="0"/>
          <w:numId w:val="10"/>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评标委员会认定不符合法律、法规和招标文件中规定的其他实质性要求的。</w:t>
      </w:r>
    </w:p>
    <w:p>
      <w:pPr>
        <w:numPr>
          <w:ilvl w:val="1"/>
          <w:numId w:val="2"/>
        </w:numPr>
        <w:tabs>
          <w:tab w:val="left" w:pos="525"/>
          <w:tab w:val="left" w:pos="635"/>
          <w:tab w:val="left" w:pos="900"/>
        </w:tabs>
        <w:spacing w:line="360" w:lineRule="auto"/>
        <w:rPr>
          <w:rFonts w:ascii="宋体" w:hAnsi="宋体" w:cs="Courier New"/>
          <w:b/>
          <w:sz w:val="22"/>
          <w:szCs w:val="22"/>
          <w:highlight w:val="none"/>
        </w:rPr>
      </w:pPr>
      <w:r>
        <w:rPr>
          <w:rFonts w:hint="eastAsia" w:ascii="宋体" w:hAnsi="宋体" w:cs="Courier New"/>
          <w:b/>
          <w:sz w:val="22"/>
          <w:szCs w:val="22"/>
          <w:highlight w:val="none"/>
        </w:rPr>
        <w:t>有下列情形之一的，视为投标人串通投标，其</w:t>
      </w:r>
      <w:r>
        <w:rPr>
          <w:rFonts w:hint="eastAsia" w:ascii="宋体" w:hAnsi="宋体" w:cs="Courier New"/>
          <w:b/>
          <w:bCs/>
          <w:sz w:val="22"/>
          <w:szCs w:val="22"/>
          <w:highlight w:val="none"/>
        </w:rPr>
        <w:t>投标无效</w:t>
      </w:r>
      <w:r>
        <w:rPr>
          <w:rFonts w:hint="eastAsia" w:ascii="宋体" w:hAnsi="宋体" w:cs="Courier New"/>
          <w:b/>
          <w:sz w:val="22"/>
          <w:szCs w:val="22"/>
          <w:highlight w:val="none"/>
        </w:rPr>
        <w:t>：</w:t>
      </w:r>
    </w:p>
    <w:p>
      <w:pPr>
        <w:numPr>
          <w:ilvl w:val="0"/>
          <w:numId w:val="11"/>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不同投标人的投标文件由同一单位或个人编制；</w:t>
      </w:r>
    </w:p>
    <w:p>
      <w:pPr>
        <w:numPr>
          <w:ilvl w:val="0"/>
          <w:numId w:val="11"/>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不同投标人委托同一单位或个人办理投标事宜；</w:t>
      </w:r>
    </w:p>
    <w:p>
      <w:pPr>
        <w:numPr>
          <w:ilvl w:val="0"/>
          <w:numId w:val="11"/>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不同投标人的投标文件载明的项目管理成员或联系人员为同一人；</w:t>
      </w:r>
    </w:p>
    <w:p>
      <w:pPr>
        <w:numPr>
          <w:ilvl w:val="0"/>
          <w:numId w:val="11"/>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不同投标人的投标文件异常一致或投标报价呈规律性差异；</w:t>
      </w:r>
    </w:p>
    <w:p>
      <w:pPr>
        <w:numPr>
          <w:ilvl w:val="0"/>
          <w:numId w:val="11"/>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不同投标人的投标文件相互混装；</w:t>
      </w:r>
    </w:p>
    <w:p>
      <w:pPr>
        <w:numPr>
          <w:ilvl w:val="0"/>
          <w:numId w:val="11"/>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有关法律、法规和规章及招标文件规定的其他串通投标情形。</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澄清有关问题</w:t>
      </w:r>
    </w:p>
    <w:p>
      <w:pPr>
        <w:numPr>
          <w:ilvl w:val="0"/>
          <w:numId w:val="12"/>
        </w:numPr>
        <w:spacing w:line="360" w:lineRule="auto"/>
        <w:ind w:firstLine="0"/>
        <w:rPr>
          <w:rFonts w:ascii="宋体" w:hAnsi="宋体"/>
          <w:sz w:val="22"/>
          <w:szCs w:val="22"/>
          <w:highlight w:val="none"/>
        </w:rPr>
      </w:pPr>
      <w:r>
        <w:rPr>
          <w:rFonts w:hint="eastAsia" w:ascii="宋体" w:hAnsi="宋体"/>
          <w:sz w:val="22"/>
          <w:szCs w:val="22"/>
          <w:highlight w:val="none"/>
        </w:rPr>
        <w:t>投标文件中有含义不明确、同类问题表述不一致或有明显文字和计算错误的内容，评标委员会将以书面形式（或通过“</w:t>
      </w:r>
      <w:r>
        <w:rPr>
          <w:rFonts w:hint="eastAsia" w:ascii="宋体" w:hAnsi="宋体"/>
          <w:sz w:val="22"/>
          <w:szCs w:val="22"/>
          <w:highlight w:val="none"/>
          <w:lang w:eastAsia="zh-CN"/>
        </w:rPr>
        <w:t>政采云平台</w:t>
      </w:r>
      <w:r>
        <w:rPr>
          <w:rFonts w:hint="eastAsia" w:ascii="宋体" w:hAnsi="宋体"/>
          <w:sz w:val="22"/>
          <w:szCs w:val="22"/>
          <w:highlight w:val="none"/>
        </w:rPr>
        <w:t>”在线询标）要求投标人作出必要的澄清、说明或补正。</w:t>
      </w:r>
    </w:p>
    <w:p>
      <w:pPr>
        <w:numPr>
          <w:ilvl w:val="0"/>
          <w:numId w:val="12"/>
        </w:numPr>
        <w:spacing w:line="360" w:lineRule="auto"/>
        <w:ind w:firstLine="0"/>
        <w:rPr>
          <w:rFonts w:ascii="宋体" w:hAnsi="宋体"/>
          <w:sz w:val="22"/>
          <w:szCs w:val="22"/>
          <w:highlight w:val="none"/>
        </w:rPr>
      </w:pPr>
      <w:r>
        <w:rPr>
          <w:rFonts w:hint="eastAsia" w:ascii="宋体" w:hAnsi="宋体"/>
          <w:sz w:val="22"/>
          <w:szCs w:val="22"/>
          <w:highlight w:val="none"/>
        </w:rPr>
        <w:t>投标人的澄清、说明或补正应由投标人代表在评标委员会规定的时间内（一般在半个小时左右，具体要求将根据实际情况约定）以书面形式（或通过“</w:t>
      </w:r>
      <w:r>
        <w:rPr>
          <w:rFonts w:hint="eastAsia" w:ascii="宋体" w:hAnsi="宋体"/>
          <w:sz w:val="22"/>
          <w:szCs w:val="22"/>
          <w:highlight w:val="none"/>
          <w:lang w:eastAsia="zh-CN"/>
        </w:rPr>
        <w:t>政采云平台</w:t>
      </w:r>
      <w:r>
        <w:rPr>
          <w:rFonts w:hint="eastAsia" w:ascii="宋体" w:hAnsi="宋体"/>
          <w:sz w:val="22"/>
          <w:szCs w:val="22"/>
          <w:highlight w:val="none"/>
        </w:rPr>
        <w:t>”在线答复）向评标委员会提交，前述澄清、说明或补正不得超出投标文件的范围或改变投标文件的实质性内容。若投标人未按照前述规定向评标委员会提交书面澄清、说明或补正，则评标委员会将按照不利于投标人的内容进行认定。</w:t>
      </w:r>
    </w:p>
    <w:p>
      <w:pPr>
        <w:numPr>
          <w:ilvl w:val="0"/>
          <w:numId w:val="12"/>
        </w:numPr>
        <w:spacing w:line="360" w:lineRule="auto"/>
        <w:ind w:firstLine="0"/>
        <w:rPr>
          <w:rFonts w:ascii="宋体" w:hAnsi="宋体"/>
          <w:sz w:val="22"/>
          <w:szCs w:val="22"/>
          <w:highlight w:val="none"/>
        </w:rPr>
      </w:pPr>
      <w:r>
        <w:rPr>
          <w:rFonts w:hint="eastAsia" w:ascii="宋体" w:hAnsi="宋体"/>
          <w:sz w:val="22"/>
          <w:szCs w:val="22"/>
          <w:highlight w:val="none"/>
        </w:rPr>
        <w:t>投标文件报价出现前后不一致的，按照下列规定修正：</w:t>
      </w:r>
    </w:p>
    <w:p>
      <w:pPr>
        <w:numPr>
          <w:ilvl w:val="0"/>
          <w:numId w:val="13"/>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开标一览表内容与投标文件中相应内容不一致的，以开标一览表为准；</w:t>
      </w:r>
    </w:p>
    <w:p>
      <w:pPr>
        <w:numPr>
          <w:ilvl w:val="0"/>
          <w:numId w:val="13"/>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大写金额和小写金额不一致的，以大写金额为准；</w:t>
      </w:r>
    </w:p>
    <w:p>
      <w:pPr>
        <w:numPr>
          <w:ilvl w:val="0"/>
          <w:numId w:val="13"/>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单价金额小数点或百分比有明显错位的，以开标一览表的总价为准，并修改单价；</w:t>
      </w:r>
    </w:p>
    <w:p>
      <w:pPr>
        <w:numPr>
          <w:ilvl w:val="0"/>
          <w:numId w:val="13"/>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总价金额与按照单价汇总金额不一致的，以单价金额计算结果为准。</w:t>
      </w:r>
    </w:p>
    <w:p>
      <w:pPr>
        <w:tabs>
          <w:tab w:val="left" w:pos="525"/>
        </w:tabs>
        <w:spacing w:line="360" w:lineRule="auto"/>
        <w:ind w:firstLine="442" w:firstLineChars="200"/>
        <w:rPr>
          <w:rFonts w:ascii="宋体" w:hAnsi="宋体"/>
          <w:b/>
          <w:bCs/>
          <w:sz w:val="22"/>
          <w:szCs w:val="22"/>
          <w:highlight w:val="none"/>
        </w:rPr>
      </w:pPr>
      <w:r>
        <w:rPr>
          <w:rFonts w:hint="eastAsia" w:ascii="宋体" w:hAnsi="宋体"/>
          <w:b/>
          <w:bCs/>
          <w:sz w:val="22"/>
          <w:szCs w:val="22"/>
          <w:highlight w:val="none"/>
          <w:lang w:eastAsia="zh-CN"/>
        </w:rPr>
        <w:t>▲</w:t>
      </w:r>
      <w:r>
        <w:rPr>
          <w:rFonts w:hint="eastAsia" w:ascii="宋体" w:hAnsi="宋体"/>
          <w:b/>
          <w:bCs/>
          <w:sz w:val="22"/>
          <w:szCs w:val="22"/>
          <w:highlight w:val="none"/>
        </w:rPr>
        <w:t>同时出现两种以上不一致的，按照本款规定的顺序修正。修正后的报价应按照本条中第1）、2）款规定经投标人确认后产生约束力，投标人不确认的，其投标无效。</w:t>
      </w:r>
    </w:p>
    <w:p>
      <w:pPr>
        <w:numPr>
          <w:ilvl w:val="0"/>
          <w:numId w:val="12"/>
        </w:numPr>
        <w:spacing w:line="360" w:lineRule="auto"/>
        <w:ind w:firstLine="0"/>
        <w:rPr>
          <w:rFonts w:ascii="宋体" w:hAnsi="宋体"/>
          <w:b/>
          <w:bCs/>
          <w:sz w:val="22"/>
          <w:szCs w:val="22"/>
          <w:highlight w:val="none"/>
        </w:rPr>
      </w:pPr>
      <w:r>
        <w:rPr>
          <w:rFonts w:hint="eastAsia" w:ascii="宋体" w:hAnsi="宋体"/>
          <w:b/>
          <w:bCs/>
          <w:sz w:val="22"/>
          <w:szCs w:val="22"/>
          <w:highlight w:val="none"/>
        </w:rPr>
        <w:t>投标人在“</w:t>
      </w:r>
      <w:r>
        <w:rPr>
          <w:rFonts w:hint="eastAsia" w:ascii="宋体" w:hAnsi="宋体"/>
          <w:b/>
          <w:bCs/>
          <w:sz w:val="22"/>
          <w:szCs w:val="22"/>
          <w:highlight w:val="none"/>
          <w:lang w:eastAsia="zh-CN"/>
        </w:rPr>
        <w:t>政采云平台</w:t>
      </w:r>
      <w:r>
        <w:rPr>
          <w:rFonts w:hint="eastAsia" w:ascii="宋体" w:hAnsi="宋体"/>
          <w:b/>
          <w:bCs/>
          <w:sz w:val="22"/>
          <w:szCs w:val="22"/>
          <w:highlight w:val="none"/>
        </w:rPr>
        <w:t>”进行标书关联时单独填报的投标报价与加密的报价文件中所列的投标报价不一致时以加密的报价文件中的金额为准进行修正。</w:t>
      </w:r>
    </w:p>
    <w:p>
      <w:pPr>
        <w:numPr>
          <w:ilvl w:val="0"/>
          <w:numId w:val="12"/>
        </w:numPr>
        <w:spacing w:line="360" w:lineRule="auto"/>
        <w:ind w:firstLine="0"/>
        <w:rPr>
          <w:rFonts w:ascii="宋体" w:hAnsi="宋体"/>
          <w:bCs/>
          <w:sz w:val="22"/>
          <w:szCs w:val="22"/>
          <w:highlight w:val="none"/>
        </w:rPr>
      </w:pPr>
      <w:r>
        <w:rPr>
          <w:rFonts w:ascii="宋体" w:hAnsi="宋体"/>
          <w:bCs/>
          <w:sz w:val="22"/>
          <w:szCs w:val="22"/>
          <w:highlight w:val="none"/>
        </w:rPr>
        <w:t>若中标人的投标描述</w:t>
      </w:r>
      <w:r>
        <w:rPr>
          <w:rFonts w:ascii="宋体" w:hAnsi="宋体"/>
          <w:sz w:val="22"/>
          <w:szCs w:val="22"/>
          <w:highlight w:val="none"/>
        </w:rPr>
        <w:t>（即投标文件中描述的内容）</w:t>
      </w:r>
      <w:r>
        <w:rPr>
          <w:rFonts w:ascii="宋体" w:hAnsi="宋体"/>
          <w:bCs/>
          <w:sz w:val="22"/>
          <w:szCs w:val="22"/>
          <w:highlight w:val="none"/>
        </w:rPr>
        <w:t>存在前后不一致、与证明材料不一致或多份证明材料之间不一致情形之一</w:t>
      </w:r>
      <w:r>
        <w:rPr>
          <w:rFonts w:hint="eastAsia" w:ascii="宋体" w:hAnsi="宋体"/>
          <w:bCs/>
          <w:sz w:val="22"/>
          <w:szCs w:val="22"/>
          <w:highlight w:val="none"/>
        </w:rPr>
        <w:t>，</w:t>
      </w:r>
      <w:r>
        <w:rPr>
          <w:rFonts w:ascii="宋体" w:hAnsi="宋体"/>
          <w:bCs/>
          <w:sz w:val="22"/>
          <w:szCs w:val="22"/>
          <w:highlight w:val="none"/>
        </w:rPr>
        <w:t>但在评标中未能发现，则</w:t>
      </w:r>
      <w:r>
        <w:rPr>
          <w:rFonts w:hint="eastAsia" w:ascii="宋体" w:hAnsi="宋体"/>
          <w:bCs/>
          <w:sz w:val="22"/>
          <w:szCs w:val="22"/>
          <w:highlight w:val="none"/>
          <w:lang w:eastAsia="zh-CN"/>
        </w:rPr>
        <w:t>甲方</w:t>
      </w:r>
      <w:r>
        <w:rPr>
          <w:rFonts w:ascii="宋体" w:hAnsi="宋体"/>
          <w:bCs/>
          <w:sz w:val="22"/>
          <w:szCs w:val="22"/>
          <w:highlight w:val="none"/>
        </w:rPr>
        <w:t>将以投标描述或证明材料中有利于</w:t>
      </w:r>
      <w:r>
        <w:rPr>
          <w:rFonts w:hint="eastAsia" w:ascii="宋体" w:hAnsi="宋体"/>
          <w:bCs/>
          <w:sz w:val="22"/>
          <w:szCs w:val="22"/>
          <w:highlight w:val="none"/>
          <w:lang w:eastAsia="zh-CN"/>
        </w:rPr>
        <w:t>甲方</w:t>
      </w:r>
      <w:r>
        <w:rPr>
          <w:rFonts w:ascii="宋体" w:hAnsi="宋体"/>
          <w:bCs/>
          <w:sz w:val="22"/>
          <w:szCs w:val="22"/>
          <w:highlight w:val="none"/>
        </w:rPr>
        <w:t>的内容进行验收，中标人应自行承担由此产生的风险及费用。</w:t>
      </w:r>
    </w:p>
    <w:p>
      <w:pPr>
        <w:numPr>
          <w:ilvl w:val="1"/>
          <w:numId w:val="2"/>
        </w:numPr>
        <w:tabs>
          <w:tab w:val="left" w:pos="525"/>
          <w:tab w:val="left" w:pos="63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比较与评价</w:t>
      </w:r>
    </w:p>
    <w:p>
      <w:pPr>
        <w:numPr>
          <w:ilvl w:val="0"/>
          <w:numId w:val="14"/>
        </w:numPr>
        <w:spacing w:line="360" w:lineRule="auto"/>
        <w:ind w:firstLine="0"/>
        <w:rPr>
          <w:rFonts w:ascii="宋体" w:hAnsi="宋体"/>
          <w:bCs/>
          <w:sz w:val="22"/>
          <w:szCs w:val="22"/>
          <w:highlight w:val="none"/>
        </w:rPr>
      </w:pPr>
      <w:r>
        <w:rPr>
          <w:rFonts w:hint="eastAsia" w:ascii="宋体" w:hAnsi="宋体"/>
          <w:bCs/>
          <w:sz w:val="22"/>
          <w:szCs w:val="22"/>
          <w:highlight w:val="none"/>
        </w:rPr>
        <w:t>评标委员会按照招标文件中规定的</w:t>
      </w:r>
      <w:r>
        <w:rPr>
          <w:rFonts w:hint="eastAsia" w:ascii="宋体" w:hAnsi="宋体"/>
          <w:sz w:val="22"/>
          <w:szCs w:val="22"/>
          <w:highlight w:val="none"/>
        </w:rPr>
        <w:t>评标原则及办法</w:t>
      </w:r>
      <w:r>
        <w:rPr>
          <w:rFonts w:hint="eastAsia" w:ascii="宋体" w:hAnsi="宋体"/>
          <w:bCs/>
          <w:sz w:val="22"/>
          <w:szCs w:val="22"/>
          <w:highlight w:val="none"/>
        </w:rPr>
        <w:t>进行综合评定打分。</w:t>
      </w:r>
    </w:p>
    <w:p>
      <w:pPr>
        <w:numPr>
          <w:ilvl w:val="0"/>
          <w:numId w:val="14"/>
        </w:numPr>
        <w:spacing w:line="360" w:lineRule="auto"/>
        <w:ind w:firstLine="0"/>
        <w:rPr>
          <w:rFonts w:ascii="宋体" w:hAnsi="宋体"/>
          <w:bCs/>
          <w:sz w:val="22"/>
          <w:szCs w:val="22"/>
          <w:highlight w:val="none"/>
        </w:rPr>
      </w:pPr>
      <w:r>
        <w:rPr>
          <w:rFonts w:hint="eastAsia" w:ascii="宋体" w:hAnsi="宋体"/>
          <w:bCs/>
          <w:sz w:val="22"/>
          <w:szCs w:val="22"/>
          <w:highlight w:val="none"/>
        </w:rPr>
        <w:t>漏（缺）项</w:t>
      </w:r>
    </w:p>
    <w:p>
      <w:pPr>
        <w:numPr>
          <w:ilvl w:val="0"/>
          <w:numId w:val="15"/>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招标文件中要求列入报价的费用（含配置、功能），漏（缺）项的报价视为已经包括在投标报价中。</w:t>
      </w:r>
    </w:p>
    <w:p>
      <w:pPr>
        <w:numPr>
          <w:ilvl w:val="0"/>
          <w:numId w:val="15"/>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对多报项及赠送项的价格评标时不予核减，全部进入投标报价评议。</w:t>
      </w:r>
    </w:p>
    <w:p>
      <w:pPr>
        <w:numPr>
          <w:ilvl w:val="1"/>
          <w:numId w:val="2"/>
        </w:numPr>
        <w:tabs>
          <w:tab w:val="left" w:pos="525"/>
          <w:tab w:val="left" w:pos="635"/>
          <w:tab w:val="left" w:pos="900"/>
        </w:tabs>
        <w:spacing w:line="360" w:lineRule="auto"/>
        <w:rPr>
          <w:rFonts w:ascii="宋体" w:hAnsi="宋体"/>
          <w:bCs/>
          <w:sz w:val="22"/>
          <w:szCs w:val="22"/>
          <w:highlight w:val="none"/>
        </w:rPr>
      </w:pPr>
      <w:bookmarkStart w:id="183" w:name="_Hlk36726155"/>
      <w:r>
        <w:rPr>
          <w:rFonts w:hint="eastAsia" w:ascii="宋体" w:hAnsi="宋体" w:cs="Courier New"/>
          <w:sz w:val="22"/>
          <w:szCs w:val="22"/>
          <w:highlight w:val="none"/>
        </w:rPr>
        <w:t>评标</w:t>
      </w:r>
      <w:r>
        <w:rPr>
          <w:rFonts w:hint="eastAsia" w:ascii="宋体" w:hAnsi="宋体"/>
          <w:bCs/>
          <w:sz w:val="22"/>
          <w:szCs w:val="22"/>
          <w:highlight w:val="none"/>
        </w:rPr>
        <w:t>委员会认为投标人的报价明显低于其他有效投标人的报价，有可能影响产品质量或不能诚信履约的，应要求其在评标现场合理的时间内提供书面说明</w:t>
      </w:r>
      <w:r>
        <w:rPr>
          <w:rFonts w:hint="eastAsia" w:ascii="宋体" w:hAnsi="宋体"/>
          <w:sz w:val="22"/>
          <w:szCs w:val="22"/>
          <w:highlight w:val="none"/>
        </w:rPr>
        <w:t>（或通过“</w:t>
      </w:r>
      <w:r>
        <w:rPr>
          <w:rFonts w:hint="eastAsia" w:ascii="宋体" w:hAnsi="宋体"/>
          <w:sz w:val="22"/>
          <w:szCs w:val="22"/>
          <w:highlight w:val="none"/>
          <w:lang w:eastAsia="zh-CN"/>
        </w:rPr>
        <w:t>政采云平台</w:t>
      </w:r>
      <w:r>
        <w:rPr>
          <w:rFonts w:hint="eastAsia" w:ascii="宋体" w:hAnsi="宋体"/>
          <w:sz w:val="22"/>
          <w:szCs w:val="22"/>
          <w:highlight w:val="none"/>
        </w:rPr>
        <w:t>”提供线上说明）</w:t>
      </w:r>
      <w:r>
        <w:rPr>
          <w:rFonts w:hint="eastAsia" w:ascii="宋体" w:hAnsi="宋体"/>
          <w:bCs/>
          <w:sz w:val="22"/>
          <w:szCs w:val="22"/>
          <w:highlight w:val="none"/>
        </w:rPr>
        <w:t>，必要时还应要求其一并提交有关证明材料；投标人代表不能在规定的合理时间内证明其报价合理性的，评标委员会将其作为</w:t>
      </w:r>
      <w:r>
        <w:rPr>
          <w:rFonts w:hint="eastAsia" w:ascii="宋体" w:hAnsi="宋体"/>
          <w:b/>
          <w:bCs/>
          <w:sz w:val="22"/>
          <w:szCs w:val="22"/>
          <w:highlight w:val="none"/>
        </w:rPr>
        <w:t>投标无效</w:t>
      </w:r>
      <w:r>
        <w:rPr>
          <w:rFonts w:hint="eastAsia" w:ascii="宋体" w:hAnsi="宋体"/>
          <w:bCs/>
          <w:sz w:val="22"/>
          <w:szCs w:val="22"/>
          <w:highlight w:val="none"/>
        </w:rPr>
        <w:t>处理。</w:t>
      </w:r>
    </w:p>
    <w:bookmarkEnd w:id="183"/>
    <w:p>
      <w:pPr>
        <w:numPr>
          <w:ilvl w:val="1"/>
          <w:numId w:val="2"/>
        </w:numPr>
        <w:tabs>
          <w:tab w:val="left" w:pos="525"/>
          <w:tab w:val="left" w:pos="635"/>
          <w:tab w:val="left" w:pos="900"/>
        </w:tabs>
        <w:spacing w:line="360" w:lineRule="auto"/>
        <w:rPr>
          <w:rFonts w:ascii="宋体" w:hAnsi="宋体"/>
          <w:bCs/>
          <w:sz w:val="22"/>
          <w:szCs w:val="22"/>
          <w:highlight w:val="none"/>
        </w:rPr>
      </w:pPr>
      <w:r>
        <w:rPr>
          <w:rFonts w:hint="eastAsia" w:ascii="宋体" w:hAnsi="宋体"/>
          <w:bCs/>
          <w:sz w:val="22"/>
          <w:szCs w:val="22"/>
          <w:highlight w:val="none"/>
        </w:rPr>
        <w:t>评委对需要共同认定的事项存在争议的，应按照少数服从多数的原则进行认定。持不同意见的评委应在评标报告上签署不同意见及理由，否则视为同意评标报告。</w:t>
      </w:r>
    </w:p>
    <w:p>
      <w:pPr>
        <w:numPr>
          <w:ilvl w:val="1"/>
          <w:numId w:val="2"/>
        </w:numPr>
        <w:tabs>
          <w:tab w:val="left" w:pos="525"/>
          <w:tab w:val="left" w:pos="635"/>
          <w:tab w:val="left" w:pos="900"/>
        </w:tabs>
        <w:spacing w:line="360" w:lineRule="auto"/>
        <w:rPr>
          <w:rFonts w:ascii="宋体" w:hAnsi="宋体"/>
          <w:bCs/>
          <w:sz w:val="22"/>
          <w:szCs w:val="22"/>
          <w:highlight w:val="none"/>
        </w:rPr>
      </w:pPr>
      <w:r>
        <w:rPr>
          <w:rFonts w:hint="eastAsia" w:ascii="宋体" w:hAnsi="宋体"/>
          <w:bCs/>
          <w:sz w:val="22"/>
          <w:szCs w:val="22"/>
          <w:highlight w:val="none"/>
        </w:rPr>
        <w:t>评标原则和评标办法详见本招标文件《评标原则及办法》。</w:t>
      </w:r>
    </w:p>
    <w:p>
      <w:pPr>
        <w:numPr>
          <w:ilvl w:val="1"/>
          <w:numId w:val="2"/>
        </w:numPr>
        <w:tabs>
          <w:tab w:val="left" w:pos="525"/>
          <w:tab w:val="left" w:pos="635"/>
          <w:tab w:val="left" w:pos="900"/>
        </w:tabs>
        <w:spacing w:line="360" w:lineRule="auto"/>
        <w:rPr>
          <w:rFonts w:ascii="宋体" w:hAnsi="宋体"/>
          <w:bCs/>
          <w:sz w:val="22"/>
          <w:szCs w:val="22"/>
          <w:highlight w:val="none"/>
        </w:rPr>
      </w:pPr>
      <w:r>
        <w:rPr>
          <w:rFonts w:ascii="宋体" w:hAnsi="宋体"/>
          <w:bCs/>
          <w:sz w:val="22"/>
          <w:szCs w:val="22"/>
          <w:highlight w:val="none"/>
        </w:rPr>
        <w:t>评标</w:t>
      </w:r>
      <w:r>
        <w:rPr>
          <w:rFonts w:ascii="宋体" w:hAnsi="宋体" w:cs="Courier New"/>
          <w:sz w:val="22"/>
          <w:szCs w:val="22"/>
          <w:highlight w:val="none"/>
        </w:rPr>
        <w:t>过程</w:t>
      </w:r>
      <w:r>
        <w:rPr>
          <w:rFonts w:ascii="宋体" w:hAnsi="宋体"/>
          <w:bCs/>
          <w:sz w:val="22"/>
          <w:szCs w:val="22"/>
          <w:highlight w:val="none"/>
        </w:rPr>
        <w:t>中，有下列情形之一的，应予废标：</w:t>
      </w:r>
    </w:p>
    <w:p>
      <w:pPr>
        <w:numPr>
          <w:ilvl w:val="0"/>
          <w:numId w:val="16"/>
        </w:numPr>
        <w:tabs>
          <w:tab w:val="left" w:pos="525"/>
        </w:tabs>
        <w:spacing w:line="360" w:lineRule="auto"/>
        <w:rPr>
          <w:rFonts w:ascii="宋体" w:hAnsi="宋体"/>
          <w:bCs/>
          <w:sz w:val="22"/>
          <w:szCs w:val="22"/>
          <w:highlight w:val="none"/>
        </w:rPr>
      </w:pPr>
      <w:r>
        <w:rPr>
          <w:rFonts w:ascii="宋体" w:hAnsi="宋体"/>
          <w:bCs/>
          <w:sz w:val="22"/>
          <w:szCs w:val="22"/>
          <w:highlight w:val="none"/>
        </w:rPr>
        <w:t>符合性审查合格的投标人不足三家的；</w:t>
      </w:r>
    </w:p>
    <w:p>
      <w:pPr>
        <w:numPr>
          <w:ilvl w:val="0"/>
          <w:numId w:val="16"/>
        </w:numPr>
        <w:tabs>
          <w:tab w:val="left" w:pos="525"/>
        </w:tabs>
        <w:spacing w:line="360" w:lineRule="auto"/>
        <w:rPr>
          <w:rFonts w:ascii="宋体" w:hAnsi="宋体"/>
          <w:bCs/>
          <w:sz w:val="22"/>
          <w:szCs w:val="22"/>
          <w:highlight w:val="none"/>
        </w:rPr>
      </w:pPr>
      <w:r>
        <w:rPr>
          <w:rFonts w:ascii="宋体" w:hAnsi="宋体"/>
          <w:bCs/>
          <w:sz w:val="22"/>
          <w:szCs w:val="22"/>
          <w:highlight w:val="none"/>
        </w:rPr>
        <w:t>对招标文件作实质响应的</w:t>
      </w:r>
      <w:r>
        <w:rPr>
          <w:rFonts w:hint="eastAsia" w:ascii="宋体" w:hAnsi="宋体"/>
          <w:bCs/>
          <w:sz w:val="22"/>
          <w:szCs w:val="22"/>
          <w:highlight w:val="none"/>
        </w:rPr>
        <w:t>投标人</w:t>
      </w:r>
      <w:r>
        <w:rPr>
          <w:rFonts w:ascii="宋体" w:hAnsi="宋体"/>
          <w:bCs/>
          <w:sz w:val="22"/>
          <w:szCs w:val="22"/>
          <w:highlight w:val="none"/>
        </w:rPr>
        <w:t>不足三家的；</w:t>
      </w:r>
    </w:p>
    <w:p>
      <w:pPr>
        <w:numPr>
          <w:ilvl w:val="0"/>
          <w:numId w:val="16"/>
        </w:numPr>
        <w:tabs>
          <w:tab w:val="left" w:pos="525"/>
        </w:tabs>
        <w:spacing w:line="360" w:lineRule="auto"/>
        <w:rPr>
          <w:rFonts w:ascii="宋体" w:hAnsi="宋体"/>
          <w:bCs/>
          <w:sz w:val="22"/>
          <w:szCs w:val="22"/>
          <w:highlight w:val="none"/>
        </w:rPr>
      </w:pPr>
      <w:r>
        <w:rPr>
          <w:rFonts w:ascii="宋体" w:hAnsi="宋体"/>
          <w:bCs/>
          <w:sz w:val="22"/>
          <w:szCs w:val="22"/>
          <w:highlight w:val="none"/>
        </w:rPr>
        <w:t>有关法律、法规和规章规定废标的情形。</w:t>
      </w:r>
    </w:p>
    <w:p>
      <w:pPr>
        <w:numPr>
          <w:ilvl w:val="1"/>
          <w:numId w:val="2"/>
        </w:numPr>
        <w:tabs>
          <w:tab w:val="left" w:pos="525"/>
          <w:tab w:val="left" w:pos="635"/>
          <w:tab w:val="left" w:pos="900"/>
        </w:tabs>
        <w:spacing w:line="360" w:lineRule="auto"/>
        <w:rPr>
          <w:rFonts w:ascii="宋体" w:hAnsi="宋体"/>
          <w:bCs/>
          <w:sz w:val="22"/>
          <w:szCs w:val="22"/>
          <w:highlight w:val="none"/>
        </w:rPr>
      </w:pPr>
      <w:r>
        <w:rPr>
          <w:rFonts w:hint="eastAsia" w:ascii="宋体" w:hAnsi="宋体"/>
          <w:bCs/>
          <w:sz w:val="22"/>
          <w:szCs w:val="22"/>
          <w:highlight w:val="none"/>
        </w:rPr>
        <w:t>采购过程中出现以下情形，导致电子交易平台无法正常运行，或者无法保证电子交易的公平、公正和安全时，招标采购单位可中止电子交易活动：</w:t>
      </w:r>
    </w:p>
    <w:p>
      <w:pPr>
        <w:numPr>
          <w:ilvl w:val="0"/>
          <w:numId w:val="17"/>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电子交易平台发生故障而无法登录访问的；</w:t>
      </w:r>
    </w:p>
    <w:p>
      <w:pPr>
        <w:numPr>
          <w:ilvl w:val="0"/>
          <w:numId w:val="17"/>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电子交易平台应用或数据库出现错误，不能进行正常操作的；</w:t>
      </w:r>
    </w:p>
    <w:p>
      <w:pPr>
        <w:numPr>
          <w:ilvl w:val="0"/>
          <w:numId w:val="17"/>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电子交易平台发现严重安全漏洞，有潜在泄密危险的；</w:t>
      </w:r>
    </w:p>
    <w:p>
      <w:pPr>
        <w:numPr>
          <w:ilvl w:val="0"/>
          <w:numId w:val="17"/>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病毒发作导致不能进行正常操作的；</w:t>
      </w:r>
    </w:p>
    <w:p>
      <w:pPr>
        <w:numPr>
          <w:ilvl w:val="0"/>
          <w:numId w:val="17"/>
        </w:numPr>
        <w:tabs>
          <w:tab w:val="left" w:pos="525"/>
        </w:tabs>
        <w:spacing w:line="360" w:lineRule="auto"/>
        <w:rPr>
          <w:rFonts w:ascii="宋体" w:hAnsi="宋体"/>
          <w:bCs/>
          <w:sz w:val="22"/>
          <w:szCs w:val="22"/>
          <w:highlight w:val="none"/>
        </w:rPr>
      </w:pPr>
      <w:r>
        <w:rPr>
          <w:rFonts w:hint="eastAsia" w:ascii="宋体" w:hAnsi="宋体"/>
          <w:bCs/>
          <w:sz w:val="22"/>
          <w:szCs w:val="22"/>
          <w:highlight w:val="none"/>
        </w:rPr>
        <w:t>其他无法保证电子交易的公平、公正和安全的情况。</w:t>
      </w:r>
    </w:p>
    <w:p>
      <w:pPr>
        <w:tabs>
          <w:tab w:val="left" w:pos="525"/>
        </w:tabs>
        <w:spacing w:line="360" w:lineRule="auto"/>
        <w:ind w:firstLine="442" w:firstLineChars="200"/>
        <w:rPr>
          <w:rFonts w:ascii="宋体" w:hAnsi="宋体"/>
          <w:b/>
          <w:bCs/>
          <w:sz w:val="22"/>
          <w:szCs w:val="22"/>
          <w:highlight w:val="none"/>
        </w:rPr>
      </w:pPr>
      <w:r>
        <w:rPr>
          <w:rFonts w:hint="eastAsia" w:ascii="宋体" w:hAnsi="宋体"/>
          <w:b/>
          <w:bCs/>
          <w:sz w:val="22"/>
          <w:szCs w:val="22"/>
          <w:highlight w:val="none"/>
          <w:lang w:eastAsia="zh-CN"/>
        </w:rPr>
        <w:t>▲</w:t>
      </w:r>
      <w:r>
        <w:rPr>
          <w:rFonts w:hint="eastAsia" w:ascii="宋体" w:hAnsi="宋体"/>
          <w:b/>
          <w:bCs/>
          <w:sz w:val="22"/>
          <w:szCs w:val="22"/>
          <w:highlight w:val="none"/>
        </w:rPr>
        <w:t>出现前款规定情形，不影响采购公平、公正性的，招标采购单位可以待上述情形消除后继续组织电子交易活动；影响或可能影响采购公平、公正性的，应当重新采购。</w:t>
      </w:r>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确定中标</w:t>
      </w:r>
      <w:r>
        <w:rPr>
          <w:rFonts w:hint="eastAsia" w:ascii="宋体" w:hAnsi="宋体"/>
          <w:sz w:val="22"/>
          <w:szCs w:val="22"/>
          <w:highlight w:val="none"/>
        </w:rPr>
        <w:t>候选</w:t>
      </w:r>
      <w:r>
        <w:rPr>
          <w:rFonts w:hint="eastAsia" w:ascii="宋体" w:hAnsi="宋体" w:cs="Courier New"/>
          <w:sz w:val="22"/>
          <w:szCs w:val="22"/>
          <w:highlight w:val="none"/>
        </w:rPr>
        <w:t>人</w:t>
      </w:r>
    </w:p>
    <w:p>
      <w:pPr>
        <w:numPr>
          <w:ilvl w:val="1"/>
          <w:numId w:val="2"/>
        </w:numPr>
        <w:tabs>
          <w:tab w:val="left" w:pos="540"/>
          <w:tab w:val="left" w:pos="635"/>
          <w:tab w:val="left" w:pos="900"/>
        </w:tabs>
        <w:spacing w:line="360" w:lineRule="auto"/>
        <w:rPr>
          <w:rFonts w:ascii="宋体" w:hAnsi="宋体"/>
          <w:sz w:val="22"/>
          <w:szCs w:val="22"/>
          <w:highlight w:val="none"/>
        </w:rPr>
      </w:pPr>
      <w:r>
        <w:rPr>
          <w:rFonts w:hint="eastAsia" w:ascii="宋体" w:hAnsi="宋体"/>
          <w:sz w:val="22"/>
          <w:szCs w:val="22"/>
          <w:highlight w:val="none"/>
        </w:rPr>
        <w:t>本次采购由评标委员会推荐中标候选人，</w:t>
      </w:r>
      <w:r>
        <w:rPr>
          <w:rFonts w:hint="eastAsia" w:ascii="宋体" w:hAnsi="宋体"/>
          <w:sz w:val="22"/>
          <w:szCs w:val="22"/>
          <w:highlight w:val="none"/>
          <w:lang w:eastAsia="zh-CN"/>
        </w:rPr>
        <w:t>甲方</w:t>
      </w:r>
      <w:r>
        <w:rPr>
          <w:rFonts w:hint="eastAsia" w:ascii="宋体" w:hAnsi="宋体"/>
          <w:sz w:val="22"/>
          <w:szCs w:val="22"/>
          <w:highlight w:val="none"/>
        </w:rPr>
        <w:t>根据评标委员会的推荐结果进行最终确认。</w:t>
      </w:r>
    </w:p>
    <w:p>
      <w:pPr>
        <w:numPr>
          <w:ilvl w:val="1"/>
          <w:numId w:val="2"/>
        </w:numPr>
        <w:tabs>
          <w:tab w:val="left" w:pos="540"/>
          <w:tab w:val="left" w:pos="635"/>
          <w:tab w:val="left" w:pos="900"/>
        </w:tabs>
        <w:spacing w:line="360" w:lineRule="auto"/>
        <w:rPr>
          <w:rFonts w:ascii="宋体" w:hAnsi="宋体"/>
          <w:sz w:val="22"/>
          <w:szCs w:val="22"/>
          <w:highlight w:val="none"/>
        </w:rPr>
      </w:pPr>
      <w:r>
        <w:rPr>
          <w:rFonts w:ascii="宋体" w:hAnsi="宋体"/>
          <w:bCs/>
          <w:sz w:val="22"/>
          <w:szCs w:val="22"/>
          <w:highlight w:val="none"/>
        </w:rPr>
        <w:t>中标公告同时作为</w:t>
      </w:r>
      <w:r>
        <w:rPr>
          <w:rFonts w:hint="eastAsia" w:ascii="宋体" w:hAnsi="宋体"/>
          <w:bCs/>
          <w:sz w:val="22"/>
          <w:szCs w:val="22"/>
          <w:highlight w:val="none"/>
        </w:rPr>
        <w:t>招标采购单位</w:t>
      </w:r>
      <w:r>
        <w:rPr>
          <w:rFonts w:ascii="宋体" w:hAnsi="宋体"/>
          <w:bCs/>
          <w:sz w:val="22"/>
          <w:szCs w:val="22"/>
          <w:highlight w:val="none"/>
        </w:rPr>
        <w:t>通知除中标人外的其他投标人没有中标的书面形式。</w:t>
      </w:r>
    </w:p>
    <w:p>
      <w:pPr>
        <w:numPr>
          <w:ilvl w:val="0"/>
          <w:numId w:val="2"/>
        </w:numPr>
        <w:tabs>
          <w:tab w:val="left" w:pos="540"/>
          <w:tab w:val="left" w:pos="900"/>
        </w:tabs>
        <w:spacing w:line="360" w:lineRule="auto"/>
        <w:rPr>
          <w:rFonts w:ascii="宋体" w:hAnsi="宋体"/>
          <w:sz w:val="22"/>
          <w:szCs w:val="22"/>
          <w:highlight w:val="none"/>
        </w:rPr>
      </w:pPr>
      <w:r>
        <w:rPr>
          <w:rFonts w:hint="eastAsia" w:ascii="宋体" w:hAnsi="宋体"/>
          <w:sz w:val="22"/>
          <w:szCs w:val="22"/>
          <w:highlight w:val="none"/>
          <w:lang w:eastAsia="zh-CN"/>
        </w:rPr>
        <w:t>甲方</w:t>
      </w:r>
      <w:r>
        <w:rPr>
          <w:rFonts w:hint="eastAsia" w:ascii="宋体" w:hAnsi="宋体"/>
          <w:sz w:val="22"/>
          <w:szCs w:val="22"/>
          <w:highlight w:val="none"/>
        </w:rPr>
        <w:t>或采购代理机构对决标结果不做任何解释。</w:t>
      </w:r>
    </w:p>
    <w:p>
      <w:pPr>
        <w:numPr>
          <w:ilvl w:val="0"/>
          <w:numId w:val="2"/>
        </w:numPr>
        <w:tabs>
          <w:tab w:val="left" w:pos="525"/>
          <w:tab w:val="left" w:pos="900"/>
        </w:tabs>
        <w:spacing w:line="360" w:lineRule="auto"/>
        <w:rPr>
          <w:rFonts w:ascii="宋体" w:hAnsi="宋体"/>
          <w:sz w:val="22"/>
          <w:szCs w:val="22"/>
          <w:highlight w:val="none"/>
        </w:rPr>
      </w:pPr>
      <w:r>
        <w:rPr>
          <w:rFonts w:hint="eastAsia" w:ascii="宋体" w:hAnsi="宋体"/>
          <w:sz w:val="22"/>
          <w:szCs w:val="22"/>
          <w:highlight w:val="none"/>
        </w:rPr>
        <w:t>未尽事宜遵循相关法律法规及规范性文件执行。</w:t>
      </w:r>
    </w:p>
    <w:p>
      <w:pPr>
        <w:pStyle w:val="6"/>
        <w:spacing w:line="400" w:lineRule="exact"/>
        <w:jc w:val="center"/>
        <w:rPr>
          <w:rFonts w:ascii="宋体" w:hAnsi="宋体" w:eastAsia="宋体" w:cs="Courier New"/>
          <w:highlight w:val="none"/>
        </w:rPr>
      </w:pPr>
      <w:bookmarkStart w:id="184" w:name="_Toc12921"/>
      <w:r>
        <w:rPr>
          <w:rFonts w:hint="eastAsia" w:ascii="宋体" w:hAnsi="宋体" w:eastAsia="宋体" w:cs="Courier New"/>
          <w:highlight w:val="none"/>
        </w:rPr>
        <w:t xml:space="preserve">七、 </w:t>
      </w:r>
      <w:r>
        <w:rPr>
          <w:rFonts w:ascii="宋体" w:hAnsi="宋体" w:eastAsia="宋体" w:cs="Courier New"/>
          <w:highlight w:val="none"/>
        </w:rPr>
        <w:t>定标及</w:t>
      </w:r>
      <w:r>
        <w:rPr>
          <w:rFonts w:hint="eastAsia" w:ascii="宋体" w:hAnsi="宋体" w:eastAsia="宋体" w:cs="Courier New"/>
          <w:highlight w:val="none"/>
        </w:rPr>
        <w:t>合同</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Fonts w:hint="eastAsia" w:ascii="宋体" w:hAnsi="宋体" w:eastAsia="宋体" w:cs="Courier New"/>
          <w:highlight w:val="none"/>
        </w:rPr>
        <w:t>授予</w:t>
      </w:r>
      <w:bookmarkEnd w:id="184"/>
    </w:p>
    <w:p>
      <w:pPr>
        <w:numPr>
          <w:ilvl w:val="0"/>
          <w:numId w:val="2"/>
        </w:numPr>
        <w:tabs>
          <w:tab w:val="left" w:pos="540"/>
          <w:tab w:val="left" w:pos="900"/>
        </w:tabs>
        <w:spacing w:line="360" w:lineRule="auto"/>
        <w:rPr>
          <w:rFonts w:ascii="宋体" w:hAnsi="宋体"/>
          <w:bCs/>
          <w:sz w:val="22"/>
          <w:szCs w:val="22"/>
          <w:highlight w:val="none"/>
        </w:rPr>
      </w:pPr>
      <w:r>
        <w:rPr>
          <w:rFonts w:hint="eastAsia" w:ascii="宋体" w:hAnsi="宋体"/>
          <w:bCs/>
          <w:sz w:val="22"/>
          <w:szCs w:val="22"/>
          <w:highlight w:val="none"/>
        </w:rPr>
        <w:t>确认中标人</w:t>
      </w:r>
    </w:p>
    <w:p>
      <w:pPr>
        <w:numPr>
          <w:ilvl w:val="1"/>
          <w:numId w:val="2"/>
        </w:numPr>
        <w:tabs>
          <w:tab w:val="left" w:pos="540"/>
          <w:tab w:val="left" w:pos="635"/>
          <w:tab w:val="left" w:pos="900"/>
        </w:tabs>
        <w:spacing w:line="360" w:lineRule="auto"/>
        <w:rPr>
          <w:rFonts w:ascii="宋体" w:hAnsi="宋体"/>
          <w:sz w:val="22"/>
          <w:szCs w:val="22"/>
          <w:highlight w:val="none"/>
        </w:rPr>
      </w:pPr>
      <w:r>
        <w:rPr>
          <w:rFonts w:hint="eastAsia" w:ascii="宋体" w:hAnsi="宋体"/>
          <w:sz w:val="22"/>
          <w:szCs w:val="22"/>
          <w:highlight w:val="none"/>
          <w:lang w:eastAsia="zh-CN"/>
        </w:rPr>
        <w:t>甲方</w:t>
      </w:r>
      <w:r>
        <w:rPr>
          <w:rFonts w:hint="eastAsia" w:ascii="宋体" w:hAnsi="宋体"/>
          <w:sz w:val="22"/>
          <w:szCs w:val="22"/>
          <w:highlight w:val="none"/>
        </w:rPr>
        <w:t>自收到评标报告之日起5个工作日内</w:t>
      </w:r>
      <w:bookmarkStart w:id="185" w:name="_Hlk97734346"/>
      <w:r>
        <w:rPr>
          <w:rFonts w:hint="eastAsia" w:ascii="宋体" w:hAnsi="宋体"/>
          <w:sz w:val="22"/>
          <w:szCs w:val="22"/>
          <w:highlight w:val="none"/>
        </w:rPr>
        <w:t>，从评标报告提出的中标候选人名单中，按照排序由高到低的原则确定中标人</w:t>
      </w:r>
      <w:bookmarkStart w:id="186" w:name="_Hlk97734332"/>
      <w:r>
        <w:rPr>
          <w:rFonts w:hint="eastAsia" w:ascii="宋体" w:hAnsi="宋体"/>
          <w:sz w:val="22"/>
          <w:szCs w:val="22"/>
          <w:highlight w:val="none"/>
        </w:rPr>
        <w:t>。</w:t>
      </w:r>
      <w:bookmarkEnd w:id="185"/>
      <w:bookmarkEnd w:id="186"/>
    </w:p>
    <w:p>
      <w:pPr>
        <w:numPr>
          <w:ilvl w:val="1"/>
          <w:numId w:val="2"/>
        </w:numPr>
        <w:tabs>
          <w:tab w:val="left" w:pos="540"/>
          <w:tab w:val="left" w:pos="635"/>
          <w:tab w:val="left" w:pos="900"/>
        </w:tabs>
        <w:spacing w:line="360" w:lineRule="auto"/>
        <w:rPr>
          <w:rFonts w:ascii="宋体" w:hAnsi="宋体"/>
          <w:sz w:val="22"/>
          <w:szCs w:val="22"/>
          <w:highlight w:val="none"/>
        </w:rPr>
      </w:pPr>
      <w:r>
        <w:rPr>
          <w:rFonts w:hint="eastAsia" w:ascii="宋体" w:hAnsi="宋体"/>
          <w:sz w:val="22"/>
          <w:szCs w:val="22"/>
          <w:highlight w:val="none"/>
        </w:rPr>
        <w:t>中标人确定之日起2个工作日内，在招标文件载明的指定媒体上公示中标结果，中标公告期限为1个工作日。</w:t>
      </w:r>
    </w:p>
    <w:p>
      <w:pPr>
        <w:numPr>
          <w:ilvl w:val="0"/>
          <w:numId w:val="2"/>
        </w:numPr>
        <w:tabs>
          <w:tab w:val="left" w:pos="525"/>
          <w:tab w:val="left" w:pos="900"/>
        </w:tabs>
        <w:spacing w:line="360" w:lineRule="auto"/>
        <w:rPr>
          <w:rFonts w:ascii="宋体" w:hAnsi="宋体"/>
          <w:sz w:val="22"/>
          <w:szCs w:val="22"/>
          <w:highlight w:val="none"/>
        </w:rPr>
      </w:pPr>
      <w:r>
        <w:rPr>
          <w:rFonts w:hint="eastAsia" w:ascii="宋体" w:hAnsi="宋体" w:cs="Courier New"/>
          <w:sz w:val="22"/>
          <w:szCs w:val="22"/>
          <w:highlight w:val="none"/>
        </w:rPr>
        <w:t xml:space="preserve"> </w:t>
      </w:r>
      <w:r>
        <w:rPr>
          <w:rFonts w:hint="eastAsia" w:ascii="宋体" w:hAnsi="宋体"/>
          <w:sz w:val="22"/>
          <w:szCs w:val="22"/>
          <w:highlight w:val="none"/>
        </w:rPr>
        <w:t>中标（成交）通知书</w:t>
      </w:r>
      <w:bookmarkStart w:id="187" w:name="_Hlk100427390"/>
      <w:r>
        <w:rPr>
          <w:rFonts w:hint="eastAsia" w:ascii="宋体" w:hAnsi="宋体"/>
          <w:sz w:val="22"/>
          <w:szCs w:val="22"/>
          <w:highlight w:val="none"/>
        </w:rPr>
        <w:t>（以纸质形式进行）</w:t>
      </w:r>
      <w:bookmarkEnd w:id="187"/>
    </w:p>
    <w:p>
      <w:pPr>
        <w:numPr>
          <w:ilvl w:val="1"/>
          <w:numId w:val="2"/>
        </w:numPr>
        <w:tabs>
          <w:tab w:val="left" w:pos="540"/>
          <w:tab w:val="left" w:pos="635"/>
          <w:tab w:val="left" w:pos="900"/>
        </w:tabs>
        <w:spacing w:line="360" w:lineRule="auto"/>
        <w:rPr>
          <w:rFonts w:ascii="宋体" w:hAnsi="宋体"/>
          <w:sz w:val="22"/>
          <w:szCs w:val="22"/>
          <w:highlight w:val="none"/>
        </w:rPr>
      </w:pPr>
      <w:r>
        <w:rPr>
          <w:rFonts w:hint="eastAsia" w:ascii="宋体" w:hAnsi="宋体"/>
          <w:sz w:val="22"/>
          <w:szCs w:val="22"/>
          <w:highlight w:val="none"/>
        </w:rPr>
        <w:t>中标人确定后，</w:t>
      </w:r>
      <w:r>
        <w:rPr>
          <w:rFonts w:hint="eastAsia" w:ascii="宋体" w:hAnsi="宋体"/>
          <w:sz w:val="22"/>
          <w:szCs w:val="22"/>
          <w:highlight w:val="none"/>
          <w:lang w:eastAsia="zh-CN"/>
        </w:rPr>
        <w:t>甲方</w:t>
      </w:r>
      <w:r>
        <w:rPr>
          <w:rFonts w:hint="eastAsia" w:ascii="宋体" w:hAnsi="宋体"/>
          <w:sz w:val="22"/>
          <w:szCs w:val="22"/>
          <w:highlight w:val="none"/>
        </w:rPr>
        <w:t xml:space="preserve">将向中标人发出中标（成交）通知书。 </w:t>
      </w:r>
    </w:p>
    <w:p>
      <w:pPr>
        <w:numPr>
          <w:ilvl w:val="1"/>
          <w:numId w:val="2"/>
        </w:numPr>
        <w:tabs>
          <w:tab w:val="left" w:pos="540"/>
          <w:tab w:val="left" w:pos="635"/>
          <w:tab w:val="left" w:pos="900"/>
        </w:tabs>
        <w:spacing w:line="360" w:lineRule="auto"/>
        <w:rPr>
          <w:rFonts w:ascii="宋体" w:hAnsi="宋体"/>
          <w:sz w:val="22"/>
          <w:szCs w:val="22"/>
          <w:highlight w:val="none"/>
        </w:rPr>
      </w:pPr>
      <w:r>
        <w:rPr>
          <w:rFonts w:hint="eastAsia" w:ascii="宋体" w:hAnsi="宋体"/>
          <w:sz w:val="22"/>
          <w:szCs w:val="22"/>
          <w:highlight w:val="none"/>
        </w:rPr>
        <w:t>中标（成交）通知书是合同的一个组成部分,对</w:t>
      </w:r>
      <w:r>
        <w:rPr>
          <w:rFonts w:hint="eastAsia" w:ascii="宋体" w:hAnsi="宋体"/>
          <w:sz w:val="22"/>
          <w:szCs w:val="22"/>
          <w:highlight w:val="none"/>
          <w:lang w:eastAsia="zh-CN"/>
        </w:rPr>
        <w:t>甲方</w:t>
      </w:r>
      <w:r>
        <w:rPr>
          <w:rFonts w:hint="eastAsia" w:ascii="宋体" w:hAnsi="宋体"/>
          <w:sz w:val="22"/>
          <w:szCs w:val="22"/>
          <w:highlight w:val="none"/>
        </w:rPr>
        <w:t>和中标人均具有同等法律效力。</w:t>
      </w:r>
    </w:p>
    <w:p>
      <w:pPr>
        <w:numPr>
          <w:ilvl w:val="0"/>
          <w:numId w:val="2"/>
        </w:numPr>
        <w:tabs>
          <w:tab w:val="left" w:pos="525"/>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 xml:space="preserve"> 签订</w:t>
      </w:r>
      <w:r>
        <w:rPr>
          <w:rFonts w:hint="eastAsia" w:ascii="宋体" w:hAnsi="宋体"/>
          <w:sz w:val="22"/>
          <w:szCs w:val="22"/>
          <w:highlight w:val="none"/>
        </w:rPr>
        <w:t>合同（以纸质形式进行）</w:t>
      </w:r>
    </w:p>
    <w:p>
      <w:pPr>
        <w:numPr>
          <w:ilvl w:val="1"/>
          <w:numId w:val="2"/>
        </w:numPr>
        <w:tabs>
          <w:tab w:val="left" w:pos="540"/>
          <w:tab w:val="left" w:pos="635"/>
          <w:tab w:val="left" w:pos="900"/>
        </w:tabs>
        <w:spacing w:line="360" w:lineRule="auto"/>
        <w:rPr>
          <w:rFonts w:ascii="宋体" w:hAnsi="宋体"/>
          <w:sz w:val="22"/>
          <w:szCs w:val="22"/>
          <w:highlight w:val="none"/>
        </w:rPr>
      </w:pPr>
      <w:bookmarkStart w:id="188" w:name="_Hlk6999962"/>
      <w:r>
        <w:rPr>
          <w:rFonts w:ascii="宋体" w:hAnsi="宋体"/>
          <w:sz w:val="22"/>
          <w:szCs w:val="22"/>
          <w:highlight w:val="none"/>
        </w:rPr>
        <w:t>签订采购合同应遵守</w:t>
      </w:r>
      <w:r>
        <w:rPr>
          <w:rFonts w:hint="eastAsia" w:ascii="宋体" w:hAnsi="宋体"/>
          <w:sz w:val="22"/>
          <w:szCs w:val="22"/>
          <w:highlight w:val="none"/>
        </w:rPr>
        <w:t>《中华人民共和国民法典》</w:t>
      </w:r>
      <w:r>
        <w:rPr>
          <w:rFonts w:ascii="宋体" w:hAnsi="宋体"/>
          <w:sz w:val="22"/>
          <w:szCs w:val="22"/>
          <w:highlight w:val="none"/>
        </w:rPr>
        <w:t>的规定，不得对招标文件确定的事项和中标人的投标文件作实质性修改。</w:t>
      </w:r>
    </w:p>
    <w:p>
      <w:pPr>
        <w:numPr>
          <w:ilvl w:val="1"/>
          <w:numId w:val="2"/>
        </w:numPr>
        <w:tabs>
          <w:tab w:val="left" w:pos="540"/>
          <w:tab w:val="left" w:pos="635"/>
          <w:tab w:val="left" w:pos="900"/>
        </w:tabs>
        <w:spacing w:line="360" w:lineRule="auto"/>
        <w:rPr>
          <w:rFonts w:ascii="宋体" w:hAnsi="宋体"/>
          <w:sz w:val="22"/>
          <w:szCs w:val="22"/>
          <w:highlight w:val="none"/>
        </w:rPr>
      </w:pPr>
      <w:r>
        <w:rPr>
          <w:rFonts w:hint="eastAsia" w:ascii="宋体" w:hAnsi="宋体"/>
          <w:sz w:val="22"/>
          <w:szCs w:val="22"/>
          <w:highlight w:val="none"/>
        </w:rPr>
        <w:t>签订时限：自中标（成交）通知书发出之日起30个日历天内。</w:t>
      </w:r>
    </w:p>
    <w:bookmarkEnd w:id="188"/>
    <w:p>
      <w:pPr>
        <w:numPr>
          <w:ilvl w:val="1"/>
          <w:numId w:val="2"/>
        </w:numPr>
        <w:tabs>
          <w:tab w:val="left" w:pos="540"/>
          <w:tab w:val="left" w:pos="635"/>
          <w:tab w:val="left" w:pos="900"/>
        </w:tabs>
        <w:spacing w:line="360" w:lineRule="auto"/>
        <w:rPr>
          <w:rFonts w:ascii="宋体" w:hAnsi="宋体"/>
          <w:sz w:val="22"/>
          <w:szCs w:val="22"/>
          <w:highlight w:val="none"/>
        </w:rPr>
      </w:pPr>
      <w:bookmarkStart w:id="189" w:name="_Hlk100427442"/>
      <w:r>
        <w:rPr>
          <w:rFonts w:hint="eastAsia" w:ascii="宋体" w:hAnsi="宋体"/>
          <w:spacing w:val="6"/>
          <w:sz w:val="22"/>
          <w:szCs w:val="22"/>
          <w:highlight w:val="none"/>
        </w:rPr>
        <w:t>中标人拒绝与</w:t>
      </w:r>
      <w:r>
        <w:rPr>
          <w:rFonts w:hint="eastAsia" w:ascii="宋体" w:hAnsi="宋体"/>
          <w:spacing w:val="6"/>
          <w:sz w:val="22"/>
          <w:szCs w:val="22"/>
          <w:highlight w:val="none"/>
          <w:lang w:eastAsia="zh-CN"/>
        </w:rPr>
        <w:t>甲方</w:t>
      </w:r>
      <w:r>
        <w:rPr>
          <w:rFonts w:hint="eastAsia" w:ascii="宋体" w:hAnsi="宋体"/>
          <w:spacing w:val="6"/>
          <w:sz w:val="22"/>
          <w:szCs w:val="22"/>
          <w:highlight w:val="none"/>
        </w:rPr>
        <w:t>签订合同的，</w:t>
      </w:r>
      <w:bookmarkStart w:id="190" w:name="_Hlk100427425"/>
      <w:r>
        <w:rPr>
          <w:rFonts w:hint="eastAsia" w:ascii="宋体" w:hAnsi="宋体"/>
          <w:spacing w:val="6"/>
          <w:sz w:val="22"/>
          <w:szCs w:val="22"/>
          <w:highlight w:val="none"/>
          <w:lang w:eastAsia="zh-CN"/>
        </w:rPr>
        <w:t>甲方</w:t>
      </w:r>
      <w:r>
        <w:rPr>
          <w:rFonts w:hint="eastAsia" w:ascii="宋体" w:hAnsi="宋体"/>
          <w:spacing w:val="6"/>
          <w:sz w:val="22"/>
          <w:szCs w:val="22"/>
          <w:highlight w:val="none"/>
        </w:rPr>
        <w:t>可以按照评标报告推荐的中标候选人名单排序，确定下一候选人为中标人，也可以重新开展采购活动。</w:t>
      </w:r>
      <w:bookmarkEnd w:id="190"/>
    </w:p>
    <w:bookmarkEnd w:id="189"/>
    <w:p>
      <w:pPr>
        <w:numPr>
          <w:ilvl w:val="1"/>
          <w:numId w:val="2"/>
        </w:numPr>
        <w:tabs>
          <w:tab w:val="left" w:pos="540"/>
          <w:tab w:val="left" w:pos="635"/>
          <w:tab w:val="left" w:pos="900"/>
        </w:tabs>
        <w:spacing w:line="360" w:lineRule="auto"/>
        <w:rPr>
          <w:rFonts w:ascii="宋体" w:hAnsi="宋体"/>
          <w:sz w:val="22"/>
          <w:szCs w:val="22"/>
          <w:highlight w:val="none"/>
        </w:rPr>
      </w:pPr>
      <w:r>
        <w:rPr>
          <w:rFonts w:hint="eastAsia" w:ascii="宋体" w:hAnsi="宋体"/>
          <w:sz w:val="22"/>
          <w:szCs w:val="22"/>
          <w:highlight w:val="none"/>
        </w:rPr>
        <w:t>招标文件、中标人的投标文件、修改文件、评标过程中有关澄清文件及经投标人和评委双方签字的询标纪要和中标（成交）通知书均作为合同附件。</w:t>
      </w:r>
    </w:p>
    <w:p>
      <w:pPr>
        <w:numPr>
          <w:ilvl w:val="0"/>
          <w:numId w:val="2"/>
        </w:numPr>
        <w:tabs>
          <w:tab w:val="left" w:pos="540"/>
          <w:tab w:val="left" w:pos="900"/>
        </w:tabs>
        <w:spacing w:line="360" w:lineRule="auto"/>
        <w:rPr>
          <w:rFonts w:ascii="宋体" w:hAnsi="宋体" w:cs="Courier New"/>
          <w:sz w:val="22"/>
          <w:szCs w:val="22"/>
          <w:highlight w:val="none"/>
        </w:rPr>
      </w:pPr>
      <w:r>
        <w:rPr>
          <w:rFonts w:ascii="宋体" w:hAnsi="宋体" w:cs="Courier New"/>
          <w:sz w:val="22"/>
          <w:szCs w:val="22"/>
          <w:highlight w:val="none"/>
        </w:rPr>
        <w:t>履约保证金</w:t>
      </w:r>
    </w:p>
    <w:p>
      <w:pPr>
        <w:numPr>
          <w:ilvl w:val="1"/>
          <w:numId w:val="2"/>
        </w:numPr>
        <w:tabs>
          <w:tab w:val="left" w:pos="540"/>
          <w:tab w:val="left" w:pos="635"/>
          <w:tab w:val="left" w:pos="900"/>
        </w:tabs>
        <w:spacing w:line="360" w:lineRule="auto"/>
        <w:rPr>
          <w:rFonts w:hint="eastAsia" w:ascii="宋体" w:hAnsi="宋体" w:eastAsia="宋体" w:cs="Courier New"/>
          <w:highlight w:val="none"/>
          <w:lang w:val="en-US" w:eastAsia="zh-CN"/>
        </w:rPr>
      </w:pPr>
      <w:r>
        <w:rPr>
          <w:rFonts w:hint="eastAsia" w:ascii="宋体" w:hAnsi="宋体"/>
          <w:sz w:val="22"/>
          <w:szCs w:val="22"/>
          <w:highlight w:val="none"/>
        </w:rPr>
        <w:t>履约保证金用于补偿</w:t>
      </w:r>
      <w:r>
        <w:rPr>
          <w:rFonts w:hint="eastAsia" w:ascii="宋体" w:hAnsi="宋体"/>
          <w:sz w:val="22"/>
          <w:szCs w:val="22"/>
          <w:highlight w:val="none"/>
          <w:lang w:eastAsia="zh-CN"/>
        </w:rPr>
        <w:t>甲方</w:t>
      </w:r>
      <w:r>
        <w:rPr>
          <w:rFonts w:hint="eastAsia" w:ascii="宋体" w:hAnsi="宋体"/>
          <w:sz w:val="22"/>
          <w:szCs w:val="22"/>
          <w:highlight w:val="none"/>
        </w:rPr>
        <w:t>因中标人不能完成其合同义务而蒙受的损失。</w:t>
      </w:r>
    </w:p>
    <w:p>
      <w:pPr>
        <w:pStyle w:val="6"/>
        <w:spacing w:line="400" w:lineRule="exact"/>
        <w:jc w:val="center"/>
        <w:rPr>
          <w:rFonts w:ascii="宋体" w:hAnsi="宋体" w:eastAsia="宋体" w:cs="Courier New"/>
          <w:highlight w:val="none"/>
        </w:rPr>
      </w:pPr>
      <w:bookmarkStart w:id="191" w:name="_Toc19738"/>
      <w:r>
        <w:rPr>
          <w:rFonts w:hint="eastAsia" w:ascii="宋体" w:hAnsi="宋体" w:eastAsia="宋体" w:cs="Courier New"/>
          <w:highlight w:val="none"/>
        </w:rPr>
        <w:t xml:space="preserve">八、 </w:t>
      </w:r>
      <w:bookmarkStart w:id="192" w:name="_Hlk100427598"/>
      <w:r>
        <w:rPr>
          <w:rFonts w:hint="eastAsia" w:ascii="宋体" w:hAnsi="宋体" w:eastAsia="宋体" w:cs="Courier New"/>
          <w:highlight w:val="none"/>
        </w:rPr>
        <w:t>询问、质疑、投诉</w:t>
      </w:r>
      <w:bookmarkEnd w:id="191"/>
      <w:bookmarkEnd w:id="192"/>
      <w:r>
        <w:rPr>
          <w:rFonts w:hint="eastAsia" w:ascii="宋体" w:hAnsi="宋体" w:eastAsia="宋体" w:cs="Courier New"/>
          <w:highlight w:val="none"/>
        </w:rPr>
        <w:t xml:space="preserve"> </w:t>
      </w:r>
    </w:p>
    <w:p>
      <w:pPr>
        <w:numPr>
          <w:ilvl w:val="0"/>
          <w:numId w:val="2"/>
        </w:numPr>
        <w:tabs>
          <w:tab w:val="left" w:pos="525"/>
          <w:tab w:val="left" w:pos="900"/>
        </w:tabs>
        <w:spacing w:line="360" w:lineRule="auto"/>
        <w:rPr>
          <w:rFonts w:ascii="宋体" w:hAnsi="宋体" w:cs="楷体"/>
          <w:kern w:val="0"/>
          <w:sz w:val="22"/>
          <w:szCs w:val="22"/>
          <w:highlight w:val="none"/>
        </w:rPr>
      </w:pPr>
      <w:r>
        <w:rPr>
          <w:rFonts w:ascii="宋体" w:hAnsi="宋体" w:cs="楷体"/>
          <w:kern w:val="0"/>
          <w:sz w:val="22"/>
          <w:szCs w:val="22"/>
          <w:highlight w:val="none"/>
        </w:rPr>
        <w:t>询问</w:t>
      </w:r>
    </w:p>
    <w:p>
      <w:pPr>
        <w:numPr>
          <w:ilvl w:val="1"/>
          <w:numId w:val="2"/>
        </w:numPr>
        <w:tabs>
          <w:tab w:val="left" w:pos="525"/>
          <w:tab w:val="left" w:pos="635"/>
          <w:tab w:val="left" w:pos="900"/>
        </w:tabs>
        <w:spacing w:line="360" w:lineRule="auto"/>
        <w:rPr>
          <w:rFonts w:ascii="宋体" w:hAnsi="宋体" w:cs="楷体"/>
          <w:kern w:val="0"/>
          <w:sz w:val="22"/>
          <w:szCs w:val="22"/>
          <w:highlight w:val="none"/>
        </w:rPr>
      </w:pPr>
      <w:r>
        <w:rPr>
          <w:rFonts w:hint="eastAsia" w:ascii="宋体" w:hAnsi="宋体" w:cs="楷体"/>
          <w:kern w:val="0"/>
          <w:sz w:val="22"/>
          <w:szCs w:val="22"/>
          <w:highlight w:val="none"/>
        </w:rPr>
        <w:t>潜在供应商或投标人对本次采购活动的有关事项若有疑问，可以书面方式向采购代理机构提出询问，采购代理机构将按照采购法及实施条例的有关规定进行答复。</w:t>
      </w:r>
    </w:p>
    <w:p>
      <w:pPr>
        <w:numPr>
          <w:ilvl w:val="1"/>
          <w:numId w:val="2"/>
        </w:numPr>
        <w:tabs>
          <w:tab w:val="left" w:pos="540"/>
          <w:tab w:val="left" w:pos="635"/>
          <w:tab w:val="left" w:pos="900"/>
        </w:tabs>
        <w:spacing w:line="360" w:lineRule="auto"/>
        <w:rPr>
          <w:rFonts w:ascii="宋体" w:hAnsi="宋体" w:cs="楷体"/>
          <w:kern w:val="0"/>
          <w:sz w:val="22"/>
          <w:szCs w:val="22"/>
          <w:highlight w:val="none"/>
        </w:rPr>
      </w:pPr>
      <w:r>
        <w:rPr>
          <w:rFonts w:hint="eastAsia" w:ascii="宋体" w:hAnsi="宋体" w:cs="楷体"/>
          <w:kern w:val="0"/>
          <w:sz w:val="22"/>
          <w:szCs w:val="22"/>
          <w:highlight w:val="none"/>
        </w:rPr>
        <w:t>供应商一旦参与本次采购活动，即被视为接受了本招标文件的所有内容，如有任何异议，均已在</w:t>
      </w:r>
      <w:r>
        <w:rPr>
          <w:rFonts w:hint="eastAsia" w:ascii="宋体" w:hAnsi="宋体"/>
          <w:sz w:val="22"/>
          <w:szCs w:val="22"/>
          <w:highlight w:val="none"/>
        </w:rPr>
        <w:t>投标截止时间</w:t>
      </w:r>
      <w:r>
        <w:rPr>
          <w:rFonts w:hint="eastAsia" w:ascii="宋体" w:hAnsi="宋体" w:cs="楷体"/>
          <w:kern w:val="0"/>
          <w:sz w:val="22"/>
          <w:szCs w:val="22"/>
          <w:highlight w:val="none"/>
        </w:rPr>
        <w:t>前提出。</w:t>
      </w:r>
    </w:p>
    <w:p>
      <w:pPr>
        <w:numPr>
          <w:ilvl w:val="0"/>
          <w:numId w:val="2"/>
        </w:numPr>
        <w:tabs>
          <w:tab w:val="left" w:pos="540"/>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质疑与投诉</w:t>
      </w:r>
    </w:p>
    <w:p>
      <w:pPr>
        <w:numPr>
          <w:ilvl w:val="1"/>
          <w:numId w:val="2"/>
        </w:numPr>
        <w:tabs>
          <w:tab w:val="left" w:pos="540"/>
          <w:tab w:val="left" w:pos="635"/>
          <w:tab w:val="left" w:pos="900"/>
        </w:tabs>
        <w:spacing w:line="360" w:lineRule="auto"/>
        <w:rPr>
          <w:rFonts w:ascii="宋体" w:hAnsi="宋体"/>
          <w:sz w:val="22"/>
          <w:szCs w:val="22"/>
          <w:highlight w:val="none"/>
        </w:rPr>
      </w:pPr>
      <w:r>
        <w:rPr>
          <w:rFonts w:hint="eastAsia" w:ascii="宋体" w:hAnsi="宋体"/>
          <w:sz w:val="22"/>
          <w:szCs w:val="22"/>
          <w:highlight w:val="none"/>
        </w:rPr>
        <w:t>投标人认为招标文件、采购过程、中标（成交）结果使自己的合法权益受到损害的，可以在知道或应知道其权益受到损害之日起七个工作日内以书面形式向</w:t>
      </w:r>
      <w:r>
        <w:rPr>
          <w:rFonts w:hint="eastAsia" w:ascii="宋体" w:hAnsi="宋体"/>
          <w:sz w:val="22"/>
          <w:szCs w:val="22"/>
          <w:highlight w:val="none"/>
          <w:lang w:eastAsia="zh-CN"/>
        </w:rPr>
        <w:t>甲方</w:t>
      </w:r>
      <w:r>
        <w:rPr>
          <w:rFonts w:hint="eastAsia" w:ascii="宋体" w:hAnsi="宋体"/>
          <w:sz w:val="22"/>
          <w:szCs w:val="22"/>
          <w:highlight w:val="none"/>
        </w:rPr>
        <w:t>或采购代理机构提出质疑。</w:t>
      </w:r>
    </w:p>
    <w:p>
      <w:pPr>
        <w:tabs>
          <w:tab w:val="left" w:pos="540"/>
        </w:tabs>
        <w:spacing w:line="360" w:lineRule="auto"/>
        <w:ind w:firstLine="442" w:firstLineChars="200"/>
        <w:rPr>
          <w:rFonts w:ascii="宋体" w:hAnsi="宋体"/>
          <w:b/>
          <w:bCs/>
          <w:sz w:val="22"/>
          <w:szCs w:val="22"/>
          <w:highlight w:val="none"/>
        </w:rPr>
      </w:pPr>
      <w:r>
        <w:rPr>
          <w:rFonts w:hint="eastAsia" w:ascii="宋体" w:hAnsi="宋体"/>
          <w:b/>
          <w:bCs/>
          <w:sz w:val="22"/>
          <w:szCs w:val="22"/>
          <w:highlight w:val="none"/>
          <w:lang w:eastAsia="zh-CN"/>
        </w:rPr>
        <w:t>▲</w:t>
      </w:r>
      <w:r>
        <w:rPr>
          <w:rFonts w:hint="eastAsia" w:ascii="宋体" w:hAnsi="宋体"/>
          <w:b/>
          <w:bCs/>
          <w:sz w:val="22"/>
          <w:szCs w:val="22"/>
          <w:highlight w:val="none"/>
        </w:rPr>
        <w:t>质疑供应商必须在法定质疑期内一次性提出针对同一采购程序环节的质疑。</w:t>
      </w:r>
      <w:bookmarkStart w:id="193" w:name="_Hlk100427619"/>
      <w:r>
        <w:rPr>
          <w:rFonts w:hint="eastAsia" w:ascii="宋体" w:hAnsi="宋体"/>
          <w:b/>
          <w:bCs/>
          <w:sz w:val="22"/>
          <w:szCs w:val="22"/>
          <w:highlight w:val="none"/>
        </w:rPr>
        <w:t>法定质疑期内针对同一采购程序环节再次提出的质疑，</w:t>
      </w:r>
      <w:r>
        <w:rPr>
          <w:rFonts w:hint="eastAsia" w:ascii="宋体" w:hAnsi="宋体"/>
          <w:b/>
          <w:bCs/>
          <w:sz w:val="22"/>
          <w:szCs w:val="22"/>
          <w:highlight w:val="none"/>
          <w:lang w:eastAsia="zh-CN"/>
        </w:rPr>
        <w:t>甲方</w:t>
      </w:r>
      <w:r>
        <w:rPr>
          <w:rFonts w:hint="eastAsia" w:ascii="宋体" w:hAnsi="宋体"/>
          <w:b/>
          <w:bCs/>
          <w:sz w:val="22"/>
          <w:szCs w:val="22"/>
          <w:highlight w:val="none"/>
        </w:rPr>
        <w:t>、采购代理机构有权不予答复。</w:t>
      </w:r>
    </w:p>
    <w:bookmarkEnd w:id="193"/>
    <w:p>
      <w:pPr>
        <w:numPr>
          <w:ilvl w:val="1"/>
          <w:numId w:val="2"/>
        </w:numPr>
        <w:tabs>
          <w:tab w:val="left" w:pos="540"/>
          <w:tab w:val="left" w:pos="635"/>
          <w:tab w:val="left" w:pos="900"/>
        </w:tabs>
        <w:spacing w:line="360" w:lineRule="auto"/>
        <w:rPr>
          <w:rFonts w:ascii="宋体" w:hAnsi="宋体"/>
          <w:sz w:val="22"/>
          <w:szCs w:val="22"/>
          <w:highlight w:val="none"/>
        </w:rPr>
      </w:pPr>
      <w:r>
        <w:rPr>
          <w:rFonts w:hint="eastAsia" w:ascii="宋体" w:hAnsi="宋体"/>
          <w:sz w:val="22"/>
          <w:szCs w:val="22"/>
          <w:highlight w:val="none"/>
          <w:lang w:eastAsia="zh-CN"/>
        </w:rPr>
        <w:t>甲方</w:t>
      </w:r>
      <w:r>
        <w:rPr>
          <w:rFonts w:hint="eastAsia" w:ascii="宋体" w:hAnsi="宋体"/>
          <w:sz w:val="22"/>
          <w:szCs w:val="22"/>
          <w:highlight w:val="none"/>
        </w:rPr>
        <w:t>或采购代理机构在收到投标人的书面质疑后七个工作日内作出答复，但答复的内容不得涉及商业秘密。质疑供应商对</w:t>
      </w:r>
      <w:r>
        <w:rPr>
          <w:rFonts w:hint="eastAsia" w:ascii="宋体" w:hAnsi="宋体"/>
          <w:sz w:val="22"/>
          <w:szCs w:val="22"/>
          <w:highlight w:val="none"/>
          <w:lang w:eastAsia="zh-CN"/>
        </w:rPr>
        <w:t>甲方</w:t>
      </w:r>
      <w:r>
        <w:rPr>
          <w:rFonts w:hint="eastAsia" w:ascii="宋体" w:hAnsi="宋体"/>
          <w:sz w:val="22"/>
          <w:szCs w:val="22"/>
          <w:highlight w:val="none"/>
        </w:rPr>
        <w:t>或采购代理机构的答复不满意，可以在答复期满后十五个工作日内向同级采购监督管理部门投诉。</w:t>
      </w:r>
    </w:p>
    <w:p>
      <w:pPr>
        <w:numPr>
          <w:ilvl w:val="1"/>
          <w:numId w:val="2"/>
        </w:numPr>
        <w:tabs>
          <w:tab w:val="left" w:pos="540"/>
          <w:tab w:val="left" w:pos="635"/>
          <w:tab w:val="left" w:pos="900"/>
        </w:tabs>
        <w:spacing w:line="360" w:lineRule="auto"/>
        <w:rPr>
          <w:rFonts w:ascii="宋体" w:hAnsi="宋体"/>
          <w:b/>
          <w:bCs/>
          <w:spacing w:val="6"/>
          <w:sz w:val="22"/>
          <w:szCs w:val="22"/>
          <w:highlight w:val="none"/>
        </w:rPr>
      </w:pPr>
      <w:r>
        <w:rPr>
          <w:rFonts w:hint="eastAsia" w:ascii="宋体" w:hAnsi="宋体"/>
          <w:b/>
          <w:bCs/>
          <w:spacing w:val="6"/>
          <w:sz w:val="22"/>
          <w:szCs w:val="22"/>
          <w:highlight w:val="none"/>
        </w:rPr>
        <w:t>质疑函</w:t>
      </w:r>
      <w:r>
        <w:rPr>
          <w:rFonts w:hint="eastAsia" w:ascii="宋体" w:hAnsi="宋体"/>
          <w:b/>
          <w:bCs/>
          <w:sz w:val="22"/>
          <w:szCs w:val="22"/>
          <w:highlight w:val="none"/>
        </w:rPr>
        <w:t>范本</w:t>
      </w:r>
      <w:r>
        <w:rPr>
          <w:rFonts w:hint="eastAsia" w:ascii="宋体" w:hAnsi="宋体"/>
          <w:b/>
          <w:bCs/>
          <w:spacing w:val="6"/>
          <w:sz w:val="22"/>
          <w:szCs w:val="22"/>
          <w:highlight w:val="none"/>
        </w:rPr>
        <w:t>、投诉书范本请到浙江政府采购网下载专区下载。</w:t>
      </w:r>
    </w:p>
    <w:p>
      <w:pPr>
        <w:pStyle w:val="6"/>
        <w:spacing w:line="400" w:lineRule="exact"/>
        <w:jc w:val="center"/>
        <w:rPr>
          <w:rFonts w:hint="eastAsia" w:ascii="宋体" w:hAnsi="宋体" w:eastAsia="宋体" w:cs="Courier New"/>
          <w:highlight w:val="none"/>
          <w:lang w:val="en-US" w:eastAsia="zh-CN"/>
        </w:rPr>
      </w:pPr>
      <w:bookmarkStart w:id="194" w:name="_Toc6618"/>
      <w:r>
        <w:rPr>
          <w:rFonts w:hint="eastAsia" w:ascii="宋体" w:hAnsi="宋体" w:eastAsia="宋体" w:cs="Courier New"/>
          <w:highlight w:val="none"/>
          <w:lang w:val="en-US" w:eastAsia="zh-CN"/>
        </w:rPr>
        <w:t>九</w:t>
      </w:r>
      <w:r>
        <w:rPr>
          <w:rFonts w:hint="eastAsia" w:ascii="宋体" w:hAnsi="宋体" w:eastAsia="宋体" w:cs="Courier New"/>
          <w:highlight w:val="none"/>
        </w:rPr>
        <w:t>、</w:t>
      </w:r>
      <w:r>
        <w:rPr>
          <w:rFonts w:hint="eastAsia" w:ascii="宋体" w:hAnsi="宋体" w:eastAsia="宋体" w:cs="Courier New"/>
          <w:highlight w:val="none"/>
          <w:lang w:val="en-US" w:eastAsia="zh-CN"/>
        </w:rPr>
        <w:t>验收</w:t>
      </w:r>
      <w:bookmarkEnd w:id="194"/>
    </w:p>
    <w:p>
      <w:pPr>
        <w:numPr>
          <w:ilvl w:val="0"/>
          <w:numId w:val="2"/>
        </w:numPr>
        <w:tabs>
          <w:tab w:val="left" w:pos="525"/>
          <w:tab w:val="left" w:pos="900"/>
        </w:tabs>
        <w:spacing w:line="360" w:lineRule="auto"/>
        <w:rPr>
          <w:rFonts w:ascii="宋体" w:hAnsi="宋体"/>
          <w:sz w:val="22"/>
          <w:szCs w:val="22"/>
          <w:highlight w:val="none"/>
        </w:rPr>
      </w:pPr>
      <w:r>
        <w:rPr>
          <w:rFonts w:hint="eastAsia" w:ascii="宋体" w:hAnsi="宋体"/>
          <w:sz w:val="22"/>
          <w:szCs w:val="22"/>
          <w:highlight w:val="none"/>
        </w:rPr>
        <w:t>验收</w:t>
      </w:r>
    </w:p>
    <w:p>
      <w:pPr>
        <w:numPr>
          <w:ilvl w:val="1"/>
          <w:numId w:val="2"/>
        </w:numPr>
        <w:tabs>
          <w:tab w:val="left" w:pos="540"/>
          <w:tab w:val="left" w:pos="635"/>
          <w:tab w:val="left" w:pos="900"/>
        </w:tabs>
        <w:wordWrap w:val="0"/>
        <w:spacing w:line="360" w:lineRule="auto"/>
        <w:rPr>
          <w:rFonts w:hint="eastAsia" w:ascii="宋体" w:hAnsi="宋体"/>
          <w:bCs/>
          <w:sz w:val="22"/>
          <w:szCs w:val="22"/>
          <w:highlight w:val="none"/>
        </w:rPr>
      </w:pPr>
      <w:r>
        <w:rPr>
          <w:rFonts w:hint="eastAsia" w:ascii="宋体" w:hAnsi="宋体"/>
          <w:bCs/>
          <w:sz w:val="22"/>
          <w:szCs w:val="22"/>
          <w:highlight w:val="none"/>
        </w:rPr>
        <w:t>采购人组织对中标人履约的验收。如果发现与合同中要求不符，中标人须承担由此发生的一切损失和费用，并接受相应的处理</w:t>
      </w:r>
      <w:r>
        <w:rPr>
          <w:rFonts w:hint="eastAsia" w:ascii="宋体" w:hAnsi="宋体"/>
          <w:bCs/>
          <w:sz w:val="22"/>
          <w:szCs w:val="22"/>
          <w:highlight w:val="none"/>
          <w:lang w:eastAsia="zh-CN"/>
        </w:rPr>
        <w:t>。</w:t>
      </w:r>
    </w:p>
    <w:p>
      <w:pPr>
        <w:numPr>
          <w:ilvl w:val="1"/>
          <w:numId w:val="2"/>
        </w:numPr>
        <w:tabs>
          <w:tab w:val="left" w:pos="540"/>
          <w:tab w:val="left" w:pos="635"/>
          <w:tab w:val="left" w:pos="900"/>
        </w:tabs>
        <w:wordWrap w:val="0"/>
        <w:spacing w:line="360" w:lineRule="auto"/>
        <w:rPr>
          <w:rFonts w:ascii="宋体" w:hAnsi="宋体"/>
          <w:sz w:val="22"/>
          <w:szCs w:val="22"/>
          <w:highlight w:val="none"/>
        </w:rPr>
      </w:pPr>
      <w:r>
        <w:rPr>
          <w:rFonts w:hint="eastAsia" w:ascii="宋体" w:hAnsi="宋体"/>
          <w:bCs/>
          <w:sz w:val="22"/>
          <w:szCs w:val="22"/>
          <w:highlight w:val="none"/>
        </w:rPr>
        <w:t>采购人可以邀请参加本项目的其他投标人或者第三方机构参与验收。参与验收的投标人或者第三方机构的意见作为</w:t>
      </w:r>
      <w:r>
        <w:rPr>
          <w:rFonts w:hint="eastAsia" w:ascii="宋体" w:hAnsi="宋体"/>
          <w:sz w:val="22"/>
          <w:szCs w:val="22"/>
          <w:highlight w:val="none"/>
        </w:rPr>
        <w:t>验收依据</w:t>
      </w:r>
      <w:r>
        <w:rPr>
          <w:rFonts w:hint="eastAsia" w:ascii="宋体" w:hAnsi="宋体"/>
          <w:bCs/>
          <w:sz w:val="22"/>
          <w:szCs w:val="22"/>
          <w:highlight w:val="none"/>
        </w:rPr>
        <w:t>。</w:t>
      </w:r>
    </w:p>
    <w:p>
      <w:pPr>
        <w:numPr>
          <w:ilvl w:val="1"/>
          <w:numId w:val="2"/>
        </w:numPr>
        <w:tabs>
          <w:tab w:val="left" w:pos="540"/>
          <w:tab w:val="left" w:pos="635"/>
          <w:tab w:val="left" w:pos="900"/>
        </w:tabs>
        <w:wordWrap w:val="0"/>
        <w:spacing w:line="360" w:lineRule="auto"/>
        <w:rPr>
          <w:rFonts w:hint="eastAsia" w:ascii="宋体" w:hAnsi="宋体"/>
          <w:bCs/>
          <w:sz w:val="22"/>
          <w:szCs w:val="22"/>
          <w:highlight w:val="none"/>
        </w:rPr>
      </w:pPr>
      <w:r>
        <w:rPr>
          <w:rFonts w:hint="eastAsia" w:ascii="宋体" w:hAnsi="宋体"/>
          <w:bCs/>
          <w:sz w:val="22"/>
          <w:szCs w:val="22"/>
          <w:highlight w:val="none"/>
        </w:rPr>
        <w:t>采购合同的履行、违约责任和解决争议的方式等适用《中华人民共和国民法典》。中标人在履约过程中有政府采购法律法规规定的违法违规情形的，采购人应当及时报告本级财政部门。</w:t>
      </w:r>
    </w:p>
    <w:p>
      <w:pPr>
        <w:numPr>
          <w:ilvl w:val="1"/>
          <w:numId w:val="2"/>
        </w:numPr>
        <w:tabs>
          <w:tab w:val="left" w:pos="540"/>
          <w:tab w:val="left" w:pos="635"/>
          <w:tab w:val="left" w:pos="900"/>
        </w:tabs>
        <w:wordWrap w:val="0"/>
        <w:spacing w:line="360" w:lineRule="auto"/>
        <w:rPr>
          <w:rFonts w:hint="eastAsia" w:ascii="宋体" w:hAnsi="宋体" w:eastAsia="宋体"/>
          <w:bCs/>
          <w:sz w:val="22"/>
          <w:szCs w:val="22"/>
          <w:highlight w:val="none"/>
        </w:rPr>
      </w:pPr>
      <w:r>
        <w:rPr>
          <w:rFonts w:hint="eastAsia" w:ascii="宋体" w:hAnsi="宋体"/>
          <w:bCs/>
          <w:sz w:val="22"/>
          <w:szCs w:val="22"/>
          <w:highlight w:val="none"/>
        </w:rPr>
        <w:t>履约验收费用由中标人承担，因中标人原因造成验收不通过的，再次验收的费用仍由中标人承担。书的参考资料一并存档。</w:t>
      </w:r>
    </w:p>
    <w:p>
      <w:pPr>
        <w:pStyle w:val="6"/>
        <w:spacing w:line="400" w:lineRule="exact"/>
        <w:jc w:val="center"/>
        <w:rPr>
          <w:rFonts w:hint="eastAsia" w:ascii="宋体" w:hAnsi="宋体" w:eastAsia="宋体" w:cs="Courier New"/>
          <w:highlight w:val="none"/>
          <w:lang w:val="en-US" w:eastAsia="zh-CN"/>
        </w:rPr>
      </w:pPr>
      <w:bookmarkStart w:id="195" w:name="_Hlt68072990"/>
      <w:bookmarkEnd w:id="195"/>
      <w:bookmarkStart w:id="196" w:name="_Hlt74707468"/>
      <w:bookmarkEnd w:id="196"/>
      <w:bookmarkStart w:id="197" w:name="_Hlt75236290"/>
      <w:bookmarkEnd w:id="197"/>
      <w:bookmarkStart w:id="198" w:name="_Hlt68403820"/>
      <w:bookmarkEnd w:id="198"/>
      <w:bookmarkStart w:id="199" w:name="_Hlt74729768"/>
      <w:bookmarkEnd w:id="199"/>
      <w:bookmarkStart w:id="200" w:name="_Hlt68073093"/>
      <w:bookmarkEnd w:id="200"/>
      <w:bookmarkStart w:id="201" w:name="_Hlt75236011"/>
      <w:bookmarkEnd w:id="201"/>
      <w:bookmarkStart w:id="202" w:name="_Hlt74714665"/>
      <w:bookmarkEnd w:id="202"/>
      <w:bookmarkStart w:id="203" w:name="_Hlt68057669"/>
      <w:bookmarkEnd w:id="203"/>
      <w:bookmarkStart w:id="204" w:name="_Hlt68072998"/>
      <w:bookmarkEnd w:id="204"/>
      <w:bookmarkStart w:id="205" w:name="_Hlt74730295"/>
      <w:bookmarkEnd w:id="205"/>
      <w:bookmarkStart w:id="206" w:name="_Hlt75236101"/>
      <w:bookmarkEnd w:id="206"/>
      <w:bookmarkStart w:id="207" w:name="_Toc18717"/>
      <w:r>
        <w:rPr>
          <w:rFonts w:hint="eastAsia" w:ascii="宋体" w:hAnsi="宋体" w:eastAsia="宋体" w:cs="Courier New"/>
          <w:highlight w:val="none"/>
          <w:lang w:val="en-US" w:eastAsia="zh-CN"/>
        </w:rPr>
        <w:t>九、其他</w:t>
      </w:r>
      <w:bookmarkEnd w:id="207"/>
    </w:p>
    <w:p>
      <w:pPr>
        <w:numPr>
          <w:ilvl w:val="0"/>
          <w:numId w:val="2"/>
        </w:numPr>
        <w:tabs>
          <w:tab w:val="left" w:pos="540"/>
          <w:tab w:val="left" w:pos="900"/>
        </w:tabs>
        <w:spacing w:line="360" w:lineRule="auto"/>
        <w:rPr>
          <w:rFonts w:ascii="宋体" w:hAnsi="宋体" w:cs="Courier New"/>
          <w:sz w:val="22"/>
          <w:szCs w:val="22"/>
          <w:highlight w:val="none"/>
        </w:rPr>
      </w:pPr>
      <w:r>
        <w:rPr>
          <w:rFonts w:hint="eastAsia" w:ascii="宋体" w:hAnsi="宋体" w:cs="Courier New"/>
          <w:sz w:val="22"/>
          <w:szCs w:val="22"/>
          <w:highlight w:val="none"/>
        </w:rPr>
        <w:t>采购代理服务费</w:t>
      </w:r>
    </w:p>
    <w:p>
      <w:pPr>
        <w:numPr>
          <w:ilvl w:val="1"/>
          <w:numId w:val="2"/>
        </w:numPr>
        <w:tabs>
          <w:tab w:val="left" w:pos="540"/>
          <w:tab w:val="left" w:pos="635"/>
          <w:tab w:val="left" w:pos="900"/>
        </w:tabs>
        <w:spacing w:line="360" w:lineRule="auto"/>
        <w:rPr>
          <w:rFonts w:ascii="宋体" w:hAnsi="宋体"/>
          <w:sz w:val="22"/>
          <w:szCs w:val="22"/>
          <w:highlight w:val="none"/>
        </w:rPr>
      </w:pPr>
      <w:bookmarkStart w:id="208" w:name="_Hlk36489029"/>
      <w:bookmarkStart w:id="209" w:name="_Toc218041732"/>
      <w:bookmarkStart w:id="210" w:name="_Toc219538619"/>
      <w:bookmarkStart w:id="211" w:name="_Toc227056852"/>
      <w:bookmarkStart w:id="212" w:name="_Toc223717610"/>
      <w:bookmarkStart w:id="213" w:name="_Toc217460691"/>
      <w:bookmarkStart w:id="214" w:name="_Toc216667826"/>
      <w:bookmarkStart w:id="215" w:name="_Toc227057039"/>
      <w:bookmarkStart w:id="216" w:name="_Toc215415536"/>
      <w:bookmarkStart w:id="217" w:name="_Toc227489893"/>
      <w:bookmarkStart w:id="218" w:name="_Toc223933227"/>
      <w:r>
        <w:rPr>
          <w:rFonts w:hint="eastAsia" w:ascii="宋体" w:hAnsi="宋体" w:cs="Arial"/>
          <w:bCs/>
          <w:sz w:val="22"/>
          <w:szCs w:val="22"/>
          <w:highlight w:val="none"/>
          <w:lang w:val="en-US" w:eastAsia="zh-CN"/>
        </w:rPr>
        <w:t>本次采购代理服务费根据采购预算按照国家计委计价格[2002]1980号规定的货物类标准收取，</w:t>
      </w:r>
      <w:r>
        <w:rPr>
          <w:rFonts w:hint="eastAsia" w:ascii="宋体" w:hAnsi="宋体"/>
          <w:sz w:val="22"/>
          <w:szCs w:val="22"/>
          <w:highlight w:val="none"/>
        </w:rPr>
        <w:t>由</w:t>
      </w:r>
      <w:r>
        <w:rPr>
          <w:rFonts w:hint="eastAsia" w:ascii="宋体" w:hAnsi="宋体"/>
          <w:sz w:val="22"/>
          <w:szCs w:val="22"/>
          <w:highlight w:val="none"/>
          <w:lang w:val="en-US" w:eastAsia="zh-CN"/>
        </w:rPr>
        <w:t>各标段</w:t>
      </w:r>
      <w:r>
        <w:rPr>
          <w:rFonts w:hint="eastAsia" w:ascii="宋体" w:hAnsi="宋体"/>
          <w:sz w:val="22"/>
          <w:szCs w:val="22"/>
          <w:highlight w:val="none"/>
        </w:rPr>
        <w:t>中标人在领取中标（成交）通知书之前将该代理服务费用支付给</w:t>
      </w:r>
      <w:r>
        <w:rPr>
          <w:rFonts w:hint="eastAsia" w:ascii="宋体" w:hAnsi="宋体" w:cs="Arial"/>
          <w:sz w:val="22"/>
          <w:szCs w:val="22"/>
          <w:highlight w:val="none"/>
          <w:lang w:eastAsia="zh-CN"/>
        </w:rPr>
        <w:t>温州众晨项目管理有限公司</w:t>
      </w:r>
      <w:r>
        <w:rPr>
          <w:rFonts w:hint="eastAsia" w:ascii="宋体" w:hAnsi="宋体"/>
          <w:sz w:val="22"/>
          <w:szCs w:val="22"/>
          <w:highlight w:val="none"/>
        </w:rPr>
        <w:t>。</w:t>
      </w:r>
      <w:r>
        <w:rPr>
          <w:rFonts w:hint="eastAsia" w:ascii="宋体" w:hAnsi="宋体" w:cs="Arial"/>
          <w:sz w:val="22"/>
          <w:szCs w:val="22"/>
          <w:highlight w:val="none"/>
          <w:lang w:val="en-US" w:eastAsia="zh-CN"/>
        </w:rPr>
        <w:t>投标人</w:t>
      </w:r>
      <w:r>
        <w:rPr>
          <w:rFonts w:hint="eastAsia" w:ascii="宋体" w:hAnsi="宋体" w:cs="Arial"/>
          <w:sz w:val="22"/>
          <w:szCs w:val="22"/>
          <w:highlight w:val="none"/>
        </w:rPr>
        <w:t>在报价中综合考虑，今后采购人不再另行支付</w:t>
      </w:r>
      <w:r>
        <w:rPr>
          <w:rFonts w:hint="eastAsia" w:ascii="宋体" w:hAnsi="宋体" w:cs="Arial"/>
          <w:sz w:val="22"/>
          <w:szCs w:val="22"/>
          <w:highlight w:val="none"/>
          <w:lang w:eastAsia="zh-CN"/>
        </w:rPr>
        <w:t>。</w:t>
      </w:r>
    </w:p>
    <w:p>
      <w:pPr>
        <w:numPr>
          <w:ilvl w:val="1"/>
          <w:numId w:val="2"/>
        </w:numPr>
        <w:tabs>
          <w:tab w:val="left" w:pos="540"/>
          <w:tab w:val="left" w:pos="635"/>
          <w:tab w:val="left" w:pos="900"/>
        </w:tabs>
        <w:spacing w:line="360" w:lineRule="auto"/>
        <w:rPr>
          <w:rFonts w:ascii="宋体" w:hAnsi="宋体"/>
          <w:sz w:val="22"/>
          <w:szCs w:val="22"/>
          <w:highlight w:val="none"/>
        </w:rPr>
      </w:pPr>
      <w:r>
        <w:rPr>
          <w:rFonts w:hint="eastAsia" w:ascii="宋体" w:hAnsi="宋体"/>
          <w:sz w:val="22"/>
          <w:szCs w:val="22"/>
          <w:highlight w:val="none"/>
        </w:rPr>
        <w:t>采购代理服务费可以是现金、转账</w:t>
      </w:r>
      <w:r>
        <w:rPr>
          <w:rFonts w:hint="eastAsia" w:ascii="宋体" w:hAnsi="宋体"/>
          <w:sz w:val="22"/>
          <w:szCs w:val="22"/>
          <w:highlight w:val="none"/>
          <w:lang w:eastAsia="zh-CN"/>
        </w:rPr>
        <w:t>。</w:t>
      </w:r>
    </w:p>
    <w:p>
      <w:pPr>
        <w:numPr>
          <w:ilvl w:val="1"/>
          <w:numId w:val="2"/>
        </w:numPr>
        <w:tabs>
          <w:tab w:val="left" w:pos="540"/>
          <w:tab w:val="left" w:pos="635"/>
          <w:tab w:val="left" w:pos="900"/>
        </w:tabs>
        <w:spacing w:line="360" w:lineRule="auto"/>
        <w:rPr>
          <w:rFonts w:ascii="宋体" w:hAnsi="宋体"/>
          <w:sz w:val="22"/>
          <w:szCs w:val="22"/>
          <w:highlight w:val="none"/>
        </w:rPr>
      </w:pPr>
      <w:r>
        <w:rPr>
          <w:rFonts w:hint="eastAsia" w:ascii="宋体" w:hAnsi="宋体"/>
          <w:sz w:val="22"/>
          <w:szCs w:val="22"/>
          <w:highlight w:val="none"/>
        </w:rPr>
        <w:t>账号信息</w:t>
      </w:r>
    </w:p>
    <w:bookmarkEnd w:id="208"/>
    <w:p>
      <w:pPr>
        <w:tabs>
          <w:tab w:val="left" w:pos="540"/>
        </w:tabs>
        <w:spacing w:line="440" w:lineRule="exact"/>
        <w:ind w:left="540"/>
        <w:rPr>
          <w:rFonts w:ascii="宋体" w:hAnsi="宋体" w:cs="Arial"/>
          <w:sz w:val="22"/>
          <w:szCs w:val="22"/>
          <w:highlight w:val="none"/>
        </w:rPr>
      </w:pPr>
      <w:r>
        <w:rPr>
          <w:rFonts w:hint="eastAsia" w:ascii="宋体" w:hAnsi="宋体" w:cs="Arial"/>
          <w:sz w:val="22"/>
          <w:szCs w:val="22"/>
          <w:highlight w:val="none"/>
        </w:rPr>
        <w:t>户名</w:t>
      </w:r>
      <w:r>
        <w:rPr>
          <w:rFonts w:hint="eastAsia" w:ascii="宋体" w:hAnsi="宋体" w:cs="Arial"/>
          <w:sz w:val="22"/>
          <w:szCs w:val="22"/>
          <w:highlight w:val="none"/>
          <w:lang w:eastAsia="zh-CN"/>
        </w:rPr>
        <w:t>：温州众晨项目管理有限公司</w:t>
      </w:r>
    </w:p>
    <w:p>
      <w:pPr>
        <w:tabs>
          <w:tab w:val="left" w:pos="540"/>
        </w:tabs>
        <w:spacing w:line="440" w:lineRule="exact"/>
        <w:ind w:left="540"/>
        <w:rPr>
          <w:rFonts w:hint="default" w:ascii="宋体" w:hAnsi="宋体" w:cs="Arial"/>
          <w:sz w:val="22"/>
          <w:szCs w:val="22"/>
          <w:highlight w:val="none"/>
          <w:lang w:val="en-US" w:eastAsia="zh-CN"/>
        </w:rPr>
      </w:pPr>
      <w:r>
        <w:rPr>
          <w:rFonts w:hint="eastAsia" w:ascii="宋体" w:hAnsi="宋体" w:cs="Arial"/>
          <w:sz w:val="22"/>
          <w:szCs w:val="22"/>
          <w:highlight w:val="none"/>
        </w:rPr>
        <w:t>帐号</w:t>
      </w:r>
      <w:r>
        <w:rPr>
          <w:rFonts w:hint="eastAsia" w:ascii="宋体" w:hAnsi="宋体" w:cs="Arial"/>
          <w:sz w:val="22"/>
          <w:szCs w:val="22"/>
          <w:highlight w:val="none"/>
          <w:lang w:eastAsia="zh-CN"/>
        </w:rPr>
        <w:t>：</w:t>
      </w:r>
      <w:r>
        <w:rPr>
          <w:rFonts w:hint="eastAsia" w:ascii="宋体" w:hAnsi="宋体" w:cs="Arial"/>
          <w:sz w:val="22"/>
          <w:szCs w:val="22"/>
          <w:highlight w:val="none"/>
          <w:lang w:val="en-US" w:eastAsia="zh-CN"/>
        </w:rPr>
        <w:t>201000319217179</w:t>
      </w:r>
    </w:p>
    <w:p>
      <w:pPr>
        <w:tabs>
          <w:tab w:val="left" w:pos="540"/>
        </w:tabs>
        <w:spacing w:line="440" w:lineRule="exact"/>
        <w:ind w:left="540"/>
        <w:rPr>
          <w:rFonts w:ascii="宋体" w:hAnsi="宋体" w:cs="Arial"/>
          <w:sz w:val="22"/>
          <w:szCs w:val="22"/>
          <w:highlight w:val="none"/>
        </w:rPr>
      </w:pPr>
      <w:r>
        <w:rPr>
          <w:rFonts w:hint="eastAsia" w:ascii="宋体" w:hAnsi="宋体" w:cs="Arial"/>
          <w:sz w:val="22"/>
          <w:szCs w:val="22"/>
          <w:highlight w:val="none"/>
          <w:lang w:val="en-US" w:eastAsia="zh-CN"/>
        </w:rPr>
        <w:t>开户银行：浙江平阳农村商业银行股份有限公司腾蛟支行</w:t>
      </w:r>
    </w:p>
    <w:p>
      <w:pPr>
        <w:pStyle w:val="5"/>
        <w:spacing w:before="240" w:beforeLines="100"/>
        <w:rPr>
          <w:rFonts w:ascii="宋体" w:hAnsi="宋体" w:eastAsia="宋体" w:cs="Courier New"/>
          <w:sz w:val="36"/>
          <w:szCs w:val="36"/>
          <w:highlight w:val="none"/>
        </w:rPr>
      </w:pPr>
      <w:r>
        <w:rPr>
          <w:rFonts w:ascii="宋体" w:hAnsi="宋体" w:eastAsia="宋体" w:cs="Courier New"/>
          <w:sz w:val="36"/>
          <w:szCs w:val="36"/>
          <w:highlight w:val="none"/>
        </w:rPr>
        <w:br w:type="page"/>
      </w:r>
      <w:bookmarkStart w:id="219" w:name="_Toc30842"/>
      <w:r>
        <w:rPr>
          <w:rFonts w:hint="eastAsia" w:ascii="宋体" w:hAnsi="宋体" w:eastAsia="宋体" w:cs="Courier New"/>
          <w:sz w:val="36"/>
          <w:szCs w:val="36"/>
          <w:highlight w:val="none"/>
        </w:rPr>
        <w:t>第二部分   合同条款</w:t>
      </w:r>
      <w:bookmarkEnd w:id="209"/>
      <w:bookmarkEnd w:id="210"/>
      <w:bookmarkEnd w:id="211"/>
      <w:bookmarkEnd w:id="212"/>
      <w:bookmarkEnd w:id="213"/>
      <w:bookmarkEnd w:id="214"/>
      <w:bookmarkEnd w:id="215"/>
      <w:bookmarkEnd w:id="216"/>
      <w:bookmarkEnd w:id="217"/>
      <w:bookmarkEnd w:id="218"/>
      <w:bookmarkEnd w:id="219"/>
    </w:p>
    <w:p>
      <w:pPr>
        <w:spacing w:line="420" w:lineRule="exact"/>
        <w:rPr>
          <w:rFonts w:ascii="宋体" w:hAnsi="宋体"/>
          <w:b/>
          <w:sz w:val="22"/>
          <w:szCs w:val="22"/>
          <w:highlight w:val="none"/>
        </w:rPr>
      </w:pPr>
      <w:bookmarkStart w:id="220" w:name="_Hlk8672155"/>
      <w:bookmarkStart w:id="221" w:name="_Toc227489895"/>
      <w:bookmarkStart w:id="222" w:name="_Toc218041734"/>
      <w:bookmarkStart w:id="223" w:name="_Toc219538621"/>
      <w:bookmarkStart w:id="224" w:name="_Toc227056854"/>
      <w:bookmarkStart w:id="225" w:name="_Toc227057041"/>
      <w:bookmarkStart w:id="226" w:name="_Toc215415538"/>
      <w:bookmarkStart w:id="227" w:name="_Toc223933229"/>
      <w:bookmarkStart w:id="228" w:name="_Toc216667828"/>
      <w:bookmarkStart w:id="229" w:name="_Toc223717612"/>
      <w:bookmarkStart w:id="230" w:name="_Toc217460693"/>
      <w:r>
        <w:rPr>
          <w:rFonts w:hint="eastAsia" w:ascii="宋体" w:hAnsi="宋体"/>
          <w:b/>
          <w:sz w:val="22"/>
          <w:szCs w:val="22"/>
          <w:highlight w:val="none"/>
        </w:rPr>
        <w:t>注：</w:t>
      </w:r>
      <w:r>
        <w:rPr>
          <w:rFonts w:ascii="宋体" w:hAnsi="宋体"/>
          <w:b/>
          <w:sz w:val="22"/>
          <w:szCs w:val="22"/>
          <w:highlight w:val="none"/>
        </w:rPr>
        <w:fldChar w:fldCharType="begin"/>
      </w:r>
      <w:r>
        <w:rPr>
          <w:rFonts w:ascii="宋体" w:hAnsi="宋体"/>
          <w:b/>
          <w:sz w:val="22"/>
          <w:szCs w:val="22"/>
          <w:highlight w:val="none"/>
        </w:rPr>
        <w:instrText xml:space="preserve"> </w:instrText>
      </w:r>
      <w:r>
        <w:rPr>
          <w:rFonts w:hint="eastAsia" w:ascii="宋体" w:hAnsi="宋体"/>
          <w:b/>
          <w:sz w:val="22"/>
          <w:szCs w:val="22"/>
          <w:highlight w:val="none"/>
        </w:rPr>
        <w:instrText xml:space="preserve">= 1 \* GB3</w:instrText>
      </w:r>
      <w:r>
        <w:rPr>
          <w:rFonts w:ascii="宋体" w:hAnsi="宋体"/>
          <w:b/>
          <w:sz w:val="22"/>
          <w:szCs w:val="22"/>
          <w:highlight w:val="none"/>
        </w:rPr>
        <w:instrText xml:space="preserve"> </w:instrText>
      </w:r>
      <w:r>
        <w:rPr>
          <w:rFonts w:ascii="宋体" w:hAnsi="宋体"/>
          <w:b/>
          <w:sz w:val="22"/>
          <w:szCs w:val="22"/>
          <w:highlight w:val="none"/>
        </w:rPr>
        <w:fldChar w:fldCharType="separate"/>
      </w:r>
      <w:r>
        <w:rPr>
          <w:rFonts w:hint="eastAsia" w:ascii="宋体" w:hAnsi="宋体"/>
          <w:b/>
          <w:sz w:val="22"/>
          <w:szCs w:val="22"/>
          <w:highlight w:val="none"/>
        </w:rPr>
        <w:t>①</w:t>
      </w:r>
      <w:r>
        <w:rPr>
          <w:rFonts w:ascii="宋体" w:hAnsi="宋体"/>
          <w:b/>
          <w:sz w:val="22"/>
          <w:szCs w:val="22"/>
          <w:highlight w:val="none"/>
        </w:rPr>
        <w:fldChar w:fldCharType="end"/>
      </w:r>
      <w:r>
        <w:rPr>
          <w:rFonts w:hint="eastAsia" w:ascii="宋体" w:hAnsi="宋体"/>
          <w:b/>
          <w:sz w:val="22"/>
          <w:szCs w:val="22"/>
          <w:highlight w:val="none"/>
        </w:rPr>
        <w:t>签订合同应遵守民法典。</w:t>
      </w:r>
      <w:r>
        <w:rPr>
          <w:rFonts w:ascii="宋体" w:hAnsi="宋体"/>
          <w:b/>
          <w:sz w:val="22"/>
          <w:szCs w:val="22"/>
          <w:highlight w:val="none"/>
        </w:rPr>
        <w:fldChar w:fldCharType="begin"/>
      </w:r>
      <w:r>
        <w:rPr>
          <w:rFonts w:ascii="宋体" w:hAnsi="宋体"/>
          <w:b/>
          <w:sz w:val="22"/>
          <w:szCs w:val="22"/>
          <w:highlight w:val="none"/>
        </w:rPr>
        <w:instrText xml:space="preserve"> </w:instrText>
      </w:r>
      <w:r>
        <w:rPr>
          <w:rFonts w:hint="eastAsia" w:ascii="宋体" w:hAnsi="宋体"/>
          <w:b/>
          <w:sz w:val="22"/>
          <w:szCs w:val="22"/>
          <w:highlight w:val="none"/>
        </w:rPr>
        <w:instrText xml:space="preserve">= 2 \* GB3</w:instrText>
      </w:r>
      <w:r>
        <w:rPr>
          <w:rFonts w:ascii="宋体" w:hAnsi="宋体"/>
          <w:b/>
          <w:sz w:val="22"/>
          <w:szCs w:val="22"/>
          <w:highlight w:val="none"/>
        </w:rPr>
        <w:instrText xml:space="preserve"> </w:instrText>
      </w:r>
      <w:r>
        <w:rPr>
          <w:rFonts w:ascii="宋体" w:hAnsi="宋体"/>
          <w:b/>
          <w:sz w:val="22"/>
          <w:szCs w:val="22"/>
          <w:highlight w:val="none"/>
        </w:rPr>
        <w:fldChar w:fldCharType="separate"/>
      </w:r>
      <w:r>
        <w:rPr>
          <w:rFonts w:hint="eastAsia" w:ascii="宋体" w:hAnsi="宋体"/>
          <w:b/>
          <w:sz w:val="22"/>
          <w:szCs w:val="22"/>
          <w:highlight w:val="none"/>
        </w:rPr>
        <w:t>②</w:t>
      </w:r>
      <w:r>
        <w:rPr>
          <w:rFonts w:ascii="宋体" w:hAnsi="宋体"/>
          <w:b/>
          <w:sz w:val="22"/>
          <w:szCs w:val="22"/>
          <w:highlight w:val="none"/>
        </w:rPr>
        <w:fldChar w:fldCharType="end"/>
      </w:r>
      <w:r>
        <w:rPr>
          <w:rFonts w:hint="eastAsia" w:ascii="宋体" w:hAnsi="宋体"/>
          <w:b/>
          <w:sz w:val="22"/>
          <w:szCs w:val="22"/>
          <w:highlight w:val="none"/>
        </w:rPr>
        <w:t>本合同作为示范文本，具体以中标人与买方所签定正式合同为准。</w:t>
      </w:r>
    </w:p>
    <w:bookmarkEnd w:id="220"/>
    <w:p>
      <w:pPr>
        <w:spacing w:line="440" w:lineRule="atLeast"/>
        <w:rPr>
          <w:rFonts w:ascii="宋体" w:hAnsi="宋体" w:cs="宋体"/>
          <w:kern w:val="0"/>
          <w:sz w:val="22"/>
          <w:szCs w:val="22"/>
          <w:highlight w:val="none"/>
          <w:u w:val="single"/>
        </w:rPr>
      </w:pPr>
      <w:r>
        <w:rPr>
          <w:rFonts w:hint="eastAsia" w:ascii="宋体" w:hAnsi="宋体" w:cs="宋体"/>
          <w:kern w:val="0"/>
          <w:sz w:val="22"/>
          <w:szCs w:val="22"/>
          <w:highlight w:val="none"/>
        </w:rPr>
        <w:t>甲方：</w:t>
      </w:r>
      <w:r>
        <w:rPr>
          <w:rFonts w:hint="eastAsia" w:ascii="宋体" w:hAnsi="宋体" w:cs="宋体"/>
          <w:kern w:val="0"/>
          <w:sz w:val="22"/>
          <w:szCs w:val="22"/>
          <w:highlight w:val="none"/>
          <w:u w:val="single"/>
        </w:rPr>
        <w:t xml:space="preserve"> （采购人）</w:t>
      </w:r>
      <w:r>
        <w:rPr>
          <w:rFonts w:ascii="宋体" w:hAnsi="宋体" w:cs="宋体"/>
          <w:kern w:val="0"/>
          <w:sz w:val="22"/>
          <w:szCs w:val="22"/>
          <w:highlight w:val="none"/>
          <w:u w:val="single"/>
        </w:rPr>
        <w:t xml:space="preserve">      </w:t>
      </w:r>
    </w:p>
    <w:p>
      <w:pPr>
        <w:spacing w:line="440" w:lineRule="atLeast"/>
        <w:rPr>
          <w:rFonts w:ascii="宋体" w:hAnsi="宋体" w:cs="宋体"/>
          <w:kern w:val="0"/>
          <w:sz w:val="22"/>
          <w:szCs w:val="22"/>
          <w:highlight w:val="none"/>
          <w:u w:val="single"/>
        </w:rPr>
      </w:pPr>
      <w:r>
        <w:rPr>
          <w:rFonts w:hint="eastAsia" w:ascii="宋体" w:hAnsi="宋体" w:cs="宋体"/>
          <w:kern w:val="0"/>
          <w:sz w:val="22"/>
          <w:szCs w:val="22"/>
          <w:highlight w:val="none"/>
        </w:rPr>
        <w:t>乙方：</w:t>
      </w:r>
      <w:r>
        <w:rPr>
          <w:rFonts w:hint="eastAsia" w:ascii="宋体" w:hAnsi="宋体" w:cs="宋体"/>
          <w:kern w:val="0"/>
          <w:sz w:val="22"/>
          <w:szCs w:val="22"/>
          <w:highlight w:val="none"/>
          <w:u w:val="single"/>
        </w:rPr>
        <w:t xml:space="preserve"> （中标人） </w:t>
      </w:r>
      <w:r>
        <w:rPr>
          <w:rFonts w:ascii="宋体" w:hAnsi="宋体" w:cs="宋体"/>
          <w:kern w:val="0"/>
          <w:sz w:val="22"/>
          <w:szCs w:val="22"/>
          <w:highlight w:val="none"/>
          <w:u w:val="single"/>
        </w:rPr>
        <w:t xml:space="preserve">    </w:t>
      </w:r>
    </w:p>
    <w:p>
      <w:pPr>
        <w:spacing w:line="440" w:lineRule="exact"/>
        <w:ind w:firstLine="440" w:firstLineChars="200"/>
        <w:rPr>
          <w:rFonts w:ascii="宋体" w:hAnsi="宋体"/>
          <w:bCs/>
          <w:sz w:val="22"/>
          <w:szCs w:val="22"/>
          <w:highlight w:val="none"/>
        </w:rPr>
      </w:pPr>
      <w:r>
        <w:rPr>
          <w:rFonts w:hint="eastAsia" w:ascii="宋体" w:hAnsi="宋体"/>
          <w:bCs/>
          <w:sz w:val="22"/>
          <w:szCs w:val="22"/>
          <w:highlight w:val="none"/>
          <w:u w:val="single"/>
          <w:lang w:val="en-US" w:eastAsia="zh-CN"/>
        </w:rPr>
        <w:t>(</w:t>
      </w:r>
      <w:r>
        <w:rPr>
          <w:rFonts w:hint="eastAsia" w:ascii="宋体" w:hAnsi="宋体"/>
          <w:bCs/>
          <w:sz w:val="22"/>
          <w:szCs w:val="22"/>
          <w:highlight w:val="none"/>
          <w:u w:val="single"/>
        </w:rPr>
        <w:t>乙方）</w:t>
      </w:r>
      <w:r>
        <w:rPr>
          <w:rFonts w:hint="eastAsia" w:ascii="宋体" w:hAnsi="宋体"/>
          <w:bCs/>
          <w:sz w:val="22"/>
          <w:szCs w:val="22"/>
          <w:highlight w:val="none"/>
          <w:u w:val="single"/>
          <w:lang w:val="en-US" w:eastAsia="zh-CN"/>
        </w:rPr>
        <w:t xml:space="preserve">    </w:t>
      </w:r>
      <w:r>
        <w:rPr>
          <w:rFonts w:hint="eastAsia" w:ascii="宋体" w:hAnsi="宋体"/>
          <w:bCs/>
          <w:sz w:val="22"/>
          <w:szCs w:val="22"/>
          <w:highlight w:val="none"/>
          <w:u w:val="single"/>
        </w:rPr>
        <w:t xml:space="preserve"> </w:t>
      </w:r>
      <w:r>
        <w:rPr>
          <w:rFonts w:hint="eastAsia" w:ascii="宋体" w:hAnsi="宋体"/>
          <w:bCs/>
          <w:sz w:val="22"/>
          <w:szCs w:val="22"/>
          <w:highlight w:val="none"/>
        </w:rPr>
        <w:t>于20</w:t>
      </w:r>
      <w:r>
        <w:rPr>
          <w:rFonts w:ascii="宋体" w:hAnsi="宋体"/>
          <w:bCs/>
          <w:sz w:val="22"/>
          <w:szCs w:val="22"/>
          <w:highlight w:val="none"/>
        </w:rPr>
        <w:t>2</w:t>
      </w:r>
      <w:r>
        <w:rPr>
          <w:rFonts w:hint="eastAsia" w:ascii="宋体" w:hAnsi="宋体"/>
          <w:bCs/>
          <w:sz w:val="22"/>
          <w:szCs w:val="22"/>
          <w:highlight w:val="none"/>
          <w:lang w:val="en-US" w:eastAsia="zh-CN"/>
        </w:rPr>
        <w:t>3</w:t>
      </w:r>
      <w:r>
        <w:rPr>
          <w:rFonts w:hint="eastAsia" w:ascii="宋体" w:hAnsi="宋体"/>
          <w:bCs/>
          <w:sz w:val="22"/>
          <w:szCs w:val="22"/>
          <w:highlight w:val="none"/>
        </w:rPr>
        <w:t>年</w:t>
      </w:r>
      <w:r>
        <w:rPr>
          <w:rFonts w:hint="eastAsia" w:ascii="宋体" w:hAnsi="宋体"/>
          <w:bCs/>
          <w:sz w:val="22"/>
          <w:szCs w:val="22"/>
          <w:highlight w:val="none"/>
          <w:u w:val="single"/>
        </w:rPr>
        <w:t xml:space="preserve"> </w:t>
      </w:r>
      <w:r>
        <w:rPr>
          <w:rFonts w:hint="eastAsia" w:ascii="宋体" w:hAnsi="宋体"/>
          <w:bCs/>
          <w:sz w:val="22"/>
          <w:szCs w:val="22"/>
          <w:highlight w:val="none"/>
          <w:u w:val="single"/>
          <w:lang w:val="en-US" w:eastAsia="zh-CN"/>
        </w:rPr>
        <w:t xml:space="preserve"> </w:t>
      </w:r>
      <w:r>
        <w:rPr>
          <w:rFonts w:hint="eastAsia" w:ascii="宋体" w:hAnsi="宋体"/>
          <w:bCs/>
          <w:sz w:val="22"/>
          <w:szCs w:val="22"/>
          <w:highlight w:val="none"/>
          <w:u w:val="single"/>
        </w:rPr>
        <w:t xml:space="preserve"> </w:t>
      </w:r>
      <w:r>
        <w:rPr>
          <w:rFonts w:hint="eastAsia" w:ascii="宋体" w:hAnsi="宋体"/>
          <w:bCs/>
          <w:sz w:val="22"/>
          <w:szCs w:val="22"/>
          <w:highlight w:val="none"/>
        </w:rPr>
        <w:t>月</w:t>
      </w:r>
      <w:r>
        <w:rPr>
          <w:rFonts w:hint="eastAsia" w:ascii="宋体" w:hAnsi="宋体"/>
          <w:bCs/>
          <w:sz w:val="22"/>
          <w:szCs w:val="22"/>
          <w:highlight w:val="none"/>
          <w:u w:val="single"/>
        </w:rPr>
        <w:t xml:space="preserve"> </w:t>
      </w:r>
      <w:r>
        <w:rPr>
          <w:rFonts w:hint="eastAsia" w:ascii="宋体" w:hAnsi="宋体"/>
          <w:bCs/>
          <w:sz w:val="22"/>
          <w:szCs w:val="22"/>
          <w:highlight w:val="none"/>
          <w:u w:val="single"/>
          <w:lang w:val="en-US" w:eastAsia="zh-CN"/>
        </w:rPr>
        <w:t xml:space="preserve"> </w:t>
      </w:r>
      <w:r>
        <w:rPr>
          <w:rFonts w:hint="eastAsia" w:ascii="宋体" w:hAnsi="宋体"/>
          <w:bCs/>
          <w:sz w:val="22"/>
          <w:szCs w:val="22"/>
          <w:highlight w:val="none"/>
          <w:u w:val="single"/>
        </w:rPr>
        <w:t xml:space="preserve"> </w:t>
      </w:r>
      <w:r>
        <w:rPr>
          <w:rFonts w:hint="eastAsia" w:ascii="宋体" w:hAnsi="宋体"/>
          <w:bCs/>
          <w:sz w:val="22"/>
          <w:szCs w:val="22"/>
          <w:highlight w:val="none"/>
        </w:rPr>
        <w:t>日参加“</w:t>
      </w:r>
      <w:r>
        <w:rPr>
          <w:rFonts w:ascii="宋体" w:hAnsi="宋体"/>
          <w:bCs/>
          <w:sz w:val="22"/>
          <w:szCs w:val="22"/>
          <w:highlight w:val="none"/>
          <w:u w:val="single"/>
        </w:rPr>
        <w:t xml:space="preserve">   </w:t>
      </w:r>
      <w:r>
        <w:rPr>
          <w:rFonts w:hint="eastAsia" w:ascii="宋体" w:hAnsi="宋体"/>
          <w:bCs/>
          <w:sz w:val="22"/>
          <w:szCs w:val="22"/>
          <w:highlight w:val="none"/>
          <w:u w:val="single"/>
          <w:lang w:val="en-US" w:eastAsia="zh-CN"/>
        </w:rPr>
        <w:t xml:space="preserve">                      </w:t>
      </w:r>
      <w:r>
        <w:rPr>
          <w:rFonts w:ascii="宋体" w:hAnsi="宋体"/>
          <w:bCs/>
          <w:sz w:val="22"/>
          <w:szCs w:val="22"/>
          <w:highlight w:val="none"/>
          <w:u w:val="single"/>
        </w:rPr>
        <w:t xml:space="preserve">   </w:t>
      </w:r>
      <w:r>
        <w:rPr>
          <w:rFonts w:hint="eastAsia" w:ascii="宋体" w:hAnsi="宋体"/>
          <w:bCs/>
          <w:sz w:val="22"/>
          <w:szCs w:val="22"/>
          <w:highlight w:val="none"/>
        </w:rPr>
        <w:t>”项目投标，根据采购结果，</w:t>
      </w:r>
      <w:r>
        <w:rPr>
          <w:rFonts w:hint="eastAsia" w:ascii="宋体" w:hAnsi="宋体"/>
          <w:bCs/>
          <w:sz w:val="22"/>
          <w:szCs w:val="22"/>
          <w:highlight w:val="none"/>
          <w:u w:val="single"/>
        </w:rPr>
        <w:t>（乙方）</w:t>
      </w:r>
      <w:r>
        <w:rPr>
          <w:rFonts w:hint="eastAsia" w:ascii="宋体" w:hAnsi="宋体"/>
          <w:bCs/>
          <w:sz w:val="22"/>
          <w:szCs w:val="22"/>
          <w:highlight w:val="none"/>
          <w:u w:val="single"/>
          <w:lang w:val="en-US" w:eastAsia="zh-CN"/>
        </w:rPr>
        <w:t xml:space="preserve">    </w:t>
      </w:r>
      <w:r>
        <w:rPr>
          <w:rFonts w:hint="eastAsia" w:ascii="宋体" w:hAnsi="宋体"/>
          <w:bCs/>
          <w:sz w:val="22"/>
          <w:szCs w:val="22"/>
          <w:highlight w:val="none"/>
        </w:rPr>
        <w:t>成为第</w:t>
      </w:r>
      <w:r>
        <w:rPr>
          <w:rFonts w:hint="eastAsia" w:ascii="宋体" w:hAnsi="宋体"/>
          <w:bCs/>
          <w:sz w:val="22"/>
          <w:szCs w:val="22"/>
          <w:highlight w:val="none"/>
          <w:u w:val="single"/>
        </w:rPr>
        <w:t xml:space="preserve">  </w:t>
      </w:r>
      <w:r>
        <w:rPr>
          <w:rFonts w:hint="eastAsia" w:ascii="宋体" w:hAnsi="宋体"/>
          <w:bCs/>
          <w:sz w:val="22"/>
          <w:szCs w:val="22"/>
          <w:highlight w:val="none"/>
          <w:u w:val="single"/>
          <w:lang w:val="en-US" w:eastAsia="zh-CN"/>
        </w:rPr>
        <w:t xml:space="preserve"> </w:t>
      </w:r>
      <w:r>
        <w:rPr>
          <w:rFonts w:hint="eastAsia" w:ascii="宋体" w:hAnsi="宋体"/>
          <w:bCs/>
          <w:sz w:val="22"/>
          <w:szCs w:val="22"/>
          <w:highlight w:val="none"/>
          <w:u w:val="single"/>
        </w:rPr>
        <w:t xml:space="preserve">  </w:t>
      </w:r>
      <w:r>
        <w:rPr>
          <w:rFonts w:hint="eastAsia" w:ascii="宋体" w:hAnsi="宋体"/>
          <w:bCs/>
          <w:sz w:val="22"/>
          <w:szCs w:val="22"/>
          <w:highlight w:val="none"/>
        </w:rPr>
        <w:t>标段的中标人</w:t>
      </w:r>
      <w:r>
        <w:rPr>
          <w:rFonts w:hint="eastAsia" w:ascii="宋体" w:hAnsi="宋体"/>
          <w:bCs/>
          <w:sz w:val="22"/>
          <w:szCs w:val="22"/>
          <w:highlight w:val="none"/>
          <w:lang w:eastAsia="zh-CN"/>
        </w:rPr>
        <w:t>。</w:t>
      </w:r>
      <w:r>
        <w:rPr>
          <w:rFonts w:ascii="宋体" w:hAnsi="宋体"/>
          <w:bCs/>
          <w:sz w:val="22"/>
          <w:szCs w:val="22"/>
          <w:highlight w:val="none"/>
        </w:rPr>
        <w:t>双方根据《中华人民共和国</w:t>
      </w:r>
      <w:r>
        <w:rPr>
          <w:rFonts w:hint="eastAsia" w:ascii="宋体" w:hAnsi="宋体"/>
          <w:bCs/>
          <w:sz w:val="22"/>
          <w:szCs w:val="22"/>
          <w:highlight w:val="none"/>
        </w:rPr>
        <w:t>民法典</w:t>
      </w:r>
      <w:r>
        <w:rPr>
          <w:rFonts w:ascii="宋体" w:hAnsi="宋体"/>
          <w:bCs/>
          <w:sz w:val="22"/>
          <w:szCs w:val="22"/>
          <w:highlight w:val="none"/>
        </w:rPr>
        <w:t>》和本项目的招标文件、</w:t>
      </w:r>
      <w:r>
        <w:rPr>
          <w:rFonts w:hint="eastAsia" w:ascii="宋体" w:hAnsi="宋体"/>
          <w:bCs/>
          <w:sz w:val="22"/>
          <w:szCs w:val="22"/>
          <w:highlight w:val="none"/>
        </w:rPr>
        <w:t>投标文件</w:t>
      </w:r>
      <w:r>
        <w:rPr>
          <w:rFonts w:ascii="宋体" w:hAnsi="宋体"/>
          <w:bCs/>
          <w:sz w:val="22"/>
          <w:szCs w:val="22"/>
          <w:highlight w:val="none"/>
        </w:rPr>
        <w:t>及其</w:t>
      </w:r>
      <w:r>
        <w:rPr>
          <w:rFonts w:hint="eastAsia" w:ascii="宋体" w:hAnsi="宋体"/>
          <w:bCs/>
          <w:sz w:val="22"/>
          <w:szCs w:val="22"/>
          <w:highlight w:val="none"/>
        </w:rPr>
        <w:t>投标</w:t>
      </w:r>
      <w:r>
        <w:rPr>
          <w:rFonts w:ascii="宋体" w:hAnsi="宋体"/>
          <w:bCs/>
          <w:sz w:val="22"/>
          <w:szCs w:val="22"/>
          <w:highlight w:val="none"/>
        </w:rPr>
        <w:t>中的承诺，</w:t>
      </w:r>
      <w:r>
        <w:rPr>
          <w:rFonts w:hint="eastAsia" w:ascii="宋体" w:hAnsi="宋体"/>
          <w:bCs/>
          <w:sz w:val="22"/>
          <w:szCs w:val="22"/>
          <w:highlight w:val="none"/>
        </w:rPr>
        <w:t>根据采购结果，双方订立合同，</w:t>
      </w:r>
      <w:r>
        <w:rPr>
          <w:rFonts w:ascii="宋体" w:hAnsi="宋体"/>
          <w:bCs/>
          <w:sz w:val="22"/>
          <w:szCs w:val="22"/>
          <w:highlight w:val="none"/>
        </w:rPr>
        <w:t>共同遵守：</w:t>
      </w:r>
    </w:p>
    <w:p>
      <w:pPr>
        <w:spacing w:line="440" w:lineRule="exact"/>
        <w:rPr>
          <w:rFonts w:ascii="宋体" w:hAnsi="宋体"/>
          <w:sz w:val="22"/>
          <w:szCs w:val="22"/>
          <w:highlight w:val="none"/>
        </w:rPr>
      </w:pPr>
      <w:r>
        <w:rPr>
          <w:rFonts w:hint="eastAsia" w:ascii="宋体" w:hAnsi="宋体"/>
          <w:sz w:val="22"/>
          <w:szCs w:val="22"/>
          <w:highlight w:val="none"/>
        </w:rPr>
        <w:t>1、定义</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本合同中的下列术语应解释为：</w:t>
      </w:r>
    </w:p>
    <w:p>
      <w:pPr>
        <w:tabs>
          <w:tab w:val="left" w:pos="0"/>
        </w:tabs>
        <w:spacing w:line="440" w:lineRule="exact"/>
        <w:ind w:firstLine="385" w:firstLineChars="175"/>
        <w:rPr>
          <w:rFonts w:ascii="宋体" w:hAnsi="宋体"/>
          <w:sz w:val="22"/>
          <w:szCs w:val="22"/>
          <w:highlight w:val="none"/>
        </w:rPr>
      </w:pPr>
      <w:r>
        <w:rPr>
          <w:rFonts w:hint="eastAsia" w:ascii="宋体" w:hAnsi="宋体"/>
          <w:sz w:val="22"/>
          <w:szCs w:val="22"/>
          <w:highlight w:val="none"/>
        </w:rPr>
        <w:t>1.1“合同”系指甲、乙双方签署的、合同格式中载明的双方所达成的协议，包括所有的附件、附录和构成合同的其它文件。</w:t>
      </w:r>
    </w:p>
    <w:p>
      <w:pPr>
        <w:tabs>
          <w:tab w:val="left" w:pos="0"/>
        </w:tabs>
        <w:spacing w:line="440" w:lineRule="exact"/>
        <w:ind w:firstLine="385" w:firstLineChars="175"/>
        <w:rPr>
          <w:rFonts w:ascii="宋体" w:hAnsi="宋体"/>
          <w:sz w:val="22"/>
          <w:szCs w:val="22"/>
          <w:highlight w:val="none"/>
        </w:rPr>
      </w:pPr>
      <w:r>
        <w:rPr>
          <w:rFonts w:hint="eastAsia" w:ascii="宋体" w:hAnsi="宋体"/>
          <w:sz w:val="22"/>
          <w:szCs w:val="22"/>
          <w:highlight w:val="none"/>
        </w:rPr>
        <w:t>1.2“合同价”系指根据合同规定，在乙方完全履行合同义务后，甲方应支付给乙方的款项。</w:t>
      </w:r>
    </w:p>
    <w:p>
      <w:pPr>
        <w:tabs>
          <w:tab w:val="left" w:pos="0"/>
        </w:tabs>
        <w:spacing w:line="440" w:lineRule="exact"/>
        <w:ind w:firstLine="385" w:firstLineChars="175"/>
        <w:rPr>
          <w:rFonts w:ascii="宋体" w:hAnsi="宋体"/>
          <w:sz w:val="22"/>
          <w:szCs w:val="22"/>
          <w:highlight w:val="none"/>
        </w:rPr>
      </w:pPr>
      <w:r>
        <w:rPr>
          <w:rFonts w:hint="eastAsia" w:ascii="宋体" w:hAnsi="宋体"/>
          <w:sz w:val="22"/>
          <w:szCs w:val="22"/>
          <w:highlight w:val="none"/>
        </w:rPr>
        <w:t>1.3“货物”系指乙方根据合同规定须向甲方提供的一切设备、机械、仪表、备件、工具、手册和技术资料及其它有关材料。</w:t>
      </w:r>
    </w:p>
    <w:p>
      <w:pPr>
        <w:tabs>
          <w:tab w:val="left" w:pos="0"/>
        </w:tabs>
        <w:spacing w:line="440" w:lineRule="exact"/>
        <w:ind w:firstLine="385" w:firstLineChars="175"/>
        <w:rPr>
          <w:rFonts w:ascii="宋体" w:hAnsi="宋体"/>
          <w:sz w:val="22"/>
          <w:szCs w:val="22"/>
          <w:highlight w:val="none"/>
        </w:rPr>
      </w:pPr>
      <w:r>
        <w:rPr>
          <w:rFonts w:hint="eastAsia" w:ascii="宋体" w:hAnsi="宋体"/>
          <w:sz w:val="22"/>
          <w:szCs w:val="22"/>
          <w:highlight w:val="none"/>
        </w:rPr>
        <w:t>1.4“服务”系指根据合同规定乙方承担与供货有关的服务，如指导安装、调试、系统整合、提供技术协助、培训和其他类似的义务，或如运输、保险以及其它的服务。</w:t>
      </w:r>
    </w:p>
    <w:p>
      <w:pPr>
        <w:tabs>
          <w:tab w:val="left" w:pos="0"/>
        </w:tabs>
        <w:spacing w:line="440" w:lineRule="exact"/>
        <w:ind w:firstLine="385" w:firstLineChars="175"/>
        <w:rPr>
          <w:rFonts w:ascii="宋体" w:hAnsi="宋体"/>
          <w:sz w:val="22"/>
          <w:szCs w:val="22"/>
          <w:highlight w:val="none"/>
        </w:rPr>
      </w:pPr>
      <w:r>
        <w:rPr>
          <w:rFonts w:hint="eastAsia" w:ascii="宋体" w:hAnsi="宋体"/>
          <w:sz w:val="22"/>
          <w:szCs w:val="22"/>
          <w:highlight w:val="none"/>
        </w:rPr>
        <w:t>1.5“甲方”（或称采购单位）系指</w:t>
      </w:r>
      <w:r>
        <w:rPr>
          <w:rFonts w:hint="eastAsia" w:ascii="宋体" w:hAnsi="宋体"/>
          <w:sz w:val="22"/>
          <w:szCs w:val="22"/>
          <w:highlight w:val="none"/>
          <w:u w:val="single"/>
        </w:rPr>
        <w:t xml:space="preserve">                              </w:t>
      </w:r>
      <w:r>
        <w:rPr>
          <w:rFonts w:hint="eastAsia" w:ascii="宋体" w:hAnsi="宋体"/>
          <w:sz w:val="22"/>
          <w:szCs w:val="22"/>
          <w:highlight w:val="none"/>
        </w:rPr>
        <w:t>。</w:t>
      </w:r>
    </w:p>
    <w:p>
      <w:pPr>
        <w:tabs>
          <w:tab w:val="left" w:pos="0"/>
        </w:tabs>
        <w:spacing w:line="440" w:lineRule="exact"/>
        <w:ind w:firstLine="385" w:firstLineChars="175"/>
        <w:rPr>
          <w:rFonts w:ascii="宋体" w:hAnsi="宋体"/>
          <w:spacing w:val="4"/>
          <w:sz w:val="22"/>
          <w:szCs w:val="22"/>
          <w:highlight w:val="none"/>
        </w:rPr>
      </w:pPr>
      <w:r>
        <w:rPr>
          <w:rFonts w:hint="eastAsia" w:ascii="宋体" w:hAnsi="宋体"/>
          <w:sz w:val="22"/>
          <w:szCs w:val="22"/>
          <w:highlight w:val="none"/>
        </w:rPr>
        <w:t>1.6</w:t>
      </w:r>
      <w:r>
        <w:rPr>
          <w:rFonts w:hint="eastAsia" w:ascii="宋体" w:hAnsi="宋体"/>
          <w:spacing w:val="4"/>
          <w:sz w:val="22"/>
          <w:szCs w:val="22"/>
          <w:highlight w:val="none"/>
        </w:rPr>
        <w:t>“乙方”（或称中标人）</w:t>
      </w:r>
      <w:r>
        <w:rPr>
          <w:rFonts w:hint="eastAsia" w:ascii="宋体" w:hAnsi="宋体"/>
          <w:sz w:val="22"/>
          <w:szCs w:val="22"/>
          <w:highlight w:val="none"/>
        </w:rPr>
        <w:t>系指</w:t>
      </w:r>
      <w:r>
        <w:rPr>
          <w:rFonts w:hint="eastAsia" w:ascii="宋体" w:hAnsi="宋体"/>
          <w:sz w:val="22"/>
          <w:szCs w:val="22"/>
          <w:highlight w:val="none"/>
          <w:u w:val="single"/>
        </w:rPr>
        <w:t xml:space="preserve">                           </w:t>
      </w:r>
      <w:r>
        <w:rPr>
          <w:rFonts w:hint="eastAsia" w:ascii="宋体" w:hAnsi="宋体"/>
          <w:spacing w:val="4"/>
          <w:sz w:val="22"/>
          <w:szCs w:val="22"/>
          <w:highlight w:val="none"/>
        </w:rPr>
        <w:t>。</w:t>
      </w:r>
    </w:p>
    <w:p>
      <w:pPr>
        <w:tabs>
          <w:tab w:val="left" w:pos="0"/>
        </w:tabs>
        <w:spacing w:line="440" w:lineRule="exact"/>
        <w:ind w:firstLine="385" w:firstLineChars="175"/>
        <w:rPr>
          <w:rFonts w:ascii="宋体" w:hAnsi="宋体"/>
          <w:sz w:val="22"/>
          <w:szCs w:val="22"/>
          <w:highlight w:val="none"/>
        </w:rPr>
      </w:pPr>
      <w:r>
        <w:rPr>
          <w:rFonts w:hint="eastAsia" w:ascii="宋体" w:hAnsi="宋体"/>
          <w:sz w:val="22"/>
          <w:szCs w:val="22"/>
          <w:highlight w:val="none"/>
        </w:rPr>
        <w:t>1.7“现场”系指合同项下货物安装和使用的地点。</w:t>
      </w:r>
    </w:p>
    <w:p>
      <w:pPr>
        <w:tabs>
          <w:tab w:val="left" w:pos="0"/>
        </w:tabs>
        <w:spacing w:line="440" w:lineRule="exact"/>
        <w:ind w:firstLine="385" w:firstLineChars="175"/>
        <w:rPr>
          <w:rFonts w:ascii="宋体" w:hAnsi="宋体"/>
          <w:sz w:val="22"/>
          <w:szCs w:val="22"/>
          <w:highlight w:val="none"/>
        </w:rPr>
      </w:pPr>
      <w:r>
        <w:rPr>
          <w:rFonts w:hint="eastAsia" w:ascii="宋体" w:hAnsi="宋体"/>
          <w:sz w:val="22"/>
          <w:szCs w:val="22"/>
          <w:highlight w:val="none"/>
        </w:rPr>
        <w:t>1.8“验收”系指合同双方依据规定的程序和条件确认合同项下的货物符合技术规范的要求，达到验收条件的过程。</w:t>
      </w:r>
    </w:p>
    <w:p>
      <w:pPr>
        <w:tabs>
          <w:tab w:val="left" w:pos="0"/>
        </w:tabs>
        <w:spacing w:line="440" w:lineRule="exact"/>
        <w:ind w:firstLine="385" w:firstLineChars="175"/>
        <w:rPr>
          <w:rFonts w:ascii="宋体" w:hAnsi="宋体"/>
          <w:spacing w:val="4"/>
          <w:sz w:val="22"/>
          <w:szCs w:val="22"/>
          <w:highlight w:val="none"/>
        </w:rPr>
      </w:pPr>
      <w:r>
        <w:rPr>
          <w:rFonts w:hint="eastAsia" w:ascii="宋体" w:hAnsi="宋体"/>
          <w:sz w:val="22"/>
          <w:szCs w:val="22"/>
          <w:highlight w:val="none"/>
        </w:rPr>
        <w:t>1.9“质保期”</w:t>
      </w:r>
      <w:r>
        <w:rPr>
          <w:rFonts w:hint="eastAsia" w:ascii="宋体" w:hAnsi="宋体"/>
          <w:spacing w:val="-6"/>
          <w:sz w:val="22"/>
          <w:szCs w:val="22"/>
          <w:highlight w:val="none"/>
        </w:rPr>
        <w:t>系指乙方所供设备的质量保证期限。</w:t>
      </w:r>
    </w:p>
    <w:p>
      <w:pPr>
        <w:spacing w:line="440" w:lineRule="exact"/>
        <w:rPr>
          <w:rFonts w:ascii="宋体" w:hAnsi="宋体"/>
          <w:sz w:val="22"/>
          <w:szCs w:val="22"/>
          <w:highlight w:val="none"/>
        </w:rPr>
      </w:pPr>
      <w:r>
        <w:rPr>
          <w:rFonts w:hint="eastAsia" w:ascii="宋体" w:hAnsi="宋体"/>
          <w:sz w:val="22"/>
          <w:szCs w:val="22"/>
          <w:highlight w:val="none"/>
        </w:rPr>
        <w:t>2、质量要求</w:t>
      </w:r>
    </w:p>
    <w:p>
      <w:pPr>
        <w:snapToGrid w:val="0"/>
        <w:spacing w:line="440" w:lineRule="exact"/>
        <w:ind w:firstLine="440" w:firstLineChars="200"/>
        <w:rPr>
          <w:rFonts w:ascii="宋体" w:hAnsi="宋体"/>
          <w:spacing w:val="4"/>
          <w:sz w:val="22"/>
          <w:szCs w:val="22"/>
          <w:highlight w:val="none"/>
        </w:rPr>
      </w:pPr>
      <w:r>
        <w:rPr>
          <w:rFonts w:hint="eastAsia" w:ascii="宋体" w:hAnsi="宋体"/>
          <w:sz w:val="22"/>
          <w:szCs w:val="22"/>
          <w:highlight w:val="none"/>
        </w:rPr>
        <w:t>2.1产品的制造质量应符合有关国际制造规范</w:t>
      </w:r>
      <w:r>
        <w:rPr>
          <w:rFonts w:hint="eastAsia" w:ascii="宋体" w:hAnsi="宋体"/>
          <w:spacing w:val="4"/>
          <w:sz w:val="22"/>
          <w:szCs w:val="22"/>
          <w:highlight w:val="none"/>
        </w:rPr>
        <w:t>。</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2.2产品</w:t>
      </w:r>
      <w:r>
        <w:rPr>
          <w:rFonts w:hint="eastAsia" w:ascii="宋体" w:hAnsi="宋体"/>
          <w:spacing w:val="4"/>
          <w:sz w:val="22"/>
          <w:szCs w:val="22"/>
          <w:highlight w:val="none"/>
        </w:rPr>
        <w:t>的技术应与合同规定的技术规范相一致，并能实现</w:t>
      </w:r>
      <w:r>
        <w:rPr>
          <w:rFonts w:hint="eastAsia" w:ascii="宋体" w:hAnsi="宋体"/>
          <w:sz w:val="22"/>
          <w:szCs w:val="22"/>
          <w:highlight w:val="none"/>
        </w:rPr>
        <w:t>。</w:t>
      </w:r>
    </w:p>
    <w:p>
      <w:pPr>
        <w:spacing w:line="440" w:lineRule="exact"/>
        <w:rPr>
          <w:rFonts w:ascii="宋体" w:hAnsi="宋体"/>
          <w:sz w:val="22"/>
          <w:szCs w:val="22"/>
          <w:highlight w:val="none"/>
        </w:rPr>
      </w:pPr>
      <w:r>
        <w:rPr>
          <w:rFonts w:hint="eastAsia" w:ascii="宋体" w:hAnsi="宋体"/>
          <w:sz w:val="22"/>
          <w:szCs w:val="22"/>
          <w:highlight w:val="none"/>
        </w:rPr>
        <w:t>3、</w:t>
      </w:r>
      <w:r>
        <w:rPr>
          <w:rFonts w:ascii="宋体" w:hAnsi="宋体"/>
          <w:sz w:val="22"/>
          <w:szCs w:val="22"/>
          <w:highlight w:val="none"/>
        </w:rPr>
        <w:t>产品的名称、技术规范和数量</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125"/>
        <w:gridCol w:w="900"/>
        <w:gridCol w:w="900"/>
        <w:gridCol w:w="1440"/>
        <w:gridCol w:w="1365"/>
        <w:gridCol w:w="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Pr>
          <w:p>
            <w:pPr>
              <w:pStyle w:val="10"/>
              <w:spacing w:line="440" w:lineRule="exact"/>
              <w:ind w:firstLine="0"/>
              <w:rPr>
                <w:rFonts w:ascii="宋体" w:hAnsi="宋体"/>
                <w:kern w:val="2"/>
                <w:sz w:val="22"/>
                <w:szCs w:val="22"/>
                <w:highlight w:val="none"/>
              </w:rPr>
            </w:pPr>
            <w:r>
              <w:rPr>
                <w:rFonts w:ascii="宋体" w:hAnsi="宋体"/>
                <w:kern w:val="2"/>
                <w:sz w:val="22"/>
                <w:szCs w:val="22"/>
                <w:highlight w:val="none"/>
              </w:rPr>
              <w:t>序号</w:t>
            </w:r>
          </w:p>
        </w:tc>
        <w:tc>
          <w:tcPr>
            <w:tcW w:w="3125" w:type="dxa"/>
          </w:tcPr>
          <w:p>
            <w:pPr>
              <w:pStyle w:val="10"/>
              <w:spacing w:line="440" w:lineRule="exact"/>
              <w:ind w:firstLine="0"/>
              <w:rPr>
                <w:rFonts w:ascii="宋体" w:hAnsi="宋体"/>
                <w:kern w:val="2"/>
                <w:sz w:val="22"/>
                <w:szCs w:val="22"/>
                <w:highlight w:val="none"/>
              </w:rPr>
            </w:pPr>
            <w:r>
              <w:rPr>
                <w:rFonts w:ascii="宋体" w:hAnsi="宋体"/>
                <w:kern w:val="2"/>
                <w:sz w:val="22"/>
                <w:szCs w:val="22"/>
                <w:highlight w:val="none"/>
              </w:rPr>
              <w:t>产品名称及规格型号</w:t>
            </w:r>
          </w:p>
        </w:tc>
        <w:tc>
          <w:tcPr>
            <w:tcW w:w="900" w:type="dxa"/>
          </w:tcPr>
          <w:p>
            <w:pPr>
              <w:pStyle w:val="10"/>
              <w:spacing w:line="440" w:lineRule="exact"/>
              <w:ind w:firstLine="0"/>
              <w:rPr>
                <w:rFonts w:ascii="宋体" w:hAnsi="宋体"/>
                <w:kern w:val="2"/>
                <w:sz w:val="22"/>
                <w:szCs w:val="22"/>
                <w:highlight w:val="none"/>
              </w:rPr>
            </w:pPr>
            <w:r>
              <w:rPr>
                <w:rFonts w:ascii="宋体" w:hAnsi="宋体"/>
                <w:kern w:val="2"/>
                <w:sz w:val="22"/>
                <w:szCs w:val="22"/>
                <w:highlight w:val="none"/>
              </w:rPr>
              <w:t>单位</w:t>
            </w:r>
          </w:p>
        </w:tc>
        <w:tc>
          <w:tcPr>
            <w:tcW w:w="900" w:type="dxa"/>
          </w:tcPr>
          <w:p>
            <w:pPr>
              <w:pStyle w:val="10"/>
              <w:spacing w:line="440" w:lineRule="exact"/>
              <w:ind w:firstLine="0"/>
              <w:rPr>
                <w:rFonts w:ascii="宋体" w:hAnsi="宋体"/>
                <w:kern w:val="2"/>
                <w:sz w:val="22"/>
                <w:szCs w:val="22"/>
                <w:highlight w:val="none"/>
              </w:rPr>
            </w:pPr>
            <w:r>
              <w:rPr>
                <w:rFonts w:ascii="宋体" w:hAnsi="宋体"/>
                <w:kern w:val="2"/>
                <w:sz w:val="22"/>
                <w:szCs w:val="22"/>
                <w:highlight w:val="none"/>
              </w:rPr>
              <w:t>数量</w:t>
            </w:r>
          </w:p>
        </w:tc>
        <w:tc>
          <w:tcPr>
            <w:tcW w:w="1440" w:type="dxa"/>
          </w:tcPr>
          <w:p>
            <w:pPr>
              <w:pStyle w:val="10"/>
              <w:spacing w:line="440" w:lineRule="exact"/>
              <w:ind w:firstLine="0"/>
              <w:rPr>
                <w:rFonts w:ascii="宋体" w:hAnsi="宋体"/>
                <w:kern w:val="2"/>
                <w:sz w:val="22"/>
                <w:szCs w:val="22"/>
                <w:highlight w:val="none"/>
              </w:rPr>
            </w:pPr>
            <w:r>
              <w:rPr>
                <w:rFonts w:ascii="宋体" w:hAnsi="宋体"/>
                <w:kern w:val="2"/>
                <w:sz w:val="22"/>
                <w:szCs w:val="22"/>
                <w:highlight w:val="none"/>
              </w:rPr>
              <w:t>单价（元）</w:t>
            </w:r>
          </w:p>
        </w:tc>
        <w:tc>
          <w:tcPr>
            <w:tcW w:w="1365" w:type="dxa"/>
          </w:tcPr>
          <w:p>
            <w:pPr>
              <w:pStyle w:val="10"/>
              <w:spacing w:line="440" w:lineRule="exact"/>
              <w:ind w:firstLine="0"/>
              <w:rPr>
                <w:rFonts w:ascii="宋体" w:hAnsi="宋体"/>
                <w:kern w:val="2"/>
                <w:sz w:val="22"/>
                <w:szCs w:val="22"/>
                <w:highlight w:val="none"/>
              </w:rPr>
            </w:pPr>
            <w:r>
              <w:rPr>
                <w:rFonts w:ascii="宋体" w:hAnsi="宋体"/>
                <w:kern w:val="2"/>
                <w:sz w:val="22"/>
                <w:szCs w:val="22"/>
                <w:highlight w:val="none"/>
              </w:rPr>
              <w:t>总金额(元)</w:t>
            </w:r>
          </w:p>
        </w:tc>
        <w:tc>
          <w:tcPr>
            <w:tcW w:w="725" w:type="dxa"/>
          </w:tcPr>
          <w:p>
            <w:pPr>
              <w:pStyle w:val="10"/>
              <w:spacing w:line="440" w:lineRule="exact"/>
              <w:ind w:firstLine="0"/>
              <w:rPr>
                <w:rFonts w:ascii="宋体" w:hAnsi="宋体"/>
                <w:kern w:val="2"/>
                <w:sz w:val="22"/>
                <w:szCs w:val="22"/>
                <w:highlight w:val="none"/>
              </w:rPr>
            </w:pPr>
            <w:r>
              <w:rPr>
                <w:rFonts w:ascii="宋体" w:hAnsi="宋体"/>
                <w:kern w:val="2"/>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Pr>
          <w:p>
            <w:pPr>
              <w:pStyle w:val="10"/>
              <w:spacing w:line="440" w:lineRule="exact"/>
              <w:ind w:firstLine="0"/>
              <w:jc w:val="center"/>
              <w:rPr>
                <w:rFonts w:ascii="宋体" w:hAnsi="宋体"/>
                <w:kern w:val="2"/>
                <w:sz w:val="22"/>
                <w:szCs w:val="22"/>
                <w:highlight w:val="none"/>
              </w:rPr>
            </w:pPr>
            <w:r>
              <w:rPr>
                <w:rFonts w:ascii="宋体" w:hAnsi="宋体"/>
                <w:kern w:val="2"/>
                <w:sz w:val="22"/>
                <w:szCs w:val="22"/>
                <w:highlight w:val="none"/>
              </w:rPr>
              <w:t>1</w:t>
            </w:r>
          </w:p>
        </w:tc>
        <w:tc>
          <w:tcPr>
            <w:tcW w:w="3125" w:type="dxa"/>
          </w:tcPr>
          <w:p>
            <w:pPr>
              <w:pStyle w:val="10"/>
              <w:spacing w:line="440" w:lineRule="exact"/>
              <w:ind w:firstLine="0"/>
              <w:jc w:val="center"/>
              <w:rPr>
                <w:rFonts w:ascii="宋体" w:hAnsi="宋体"/>
                <w:kern w:val="2"/>
                <w:sz w:val="22"/>
                <w:szCs w:val="22"/>
                <w:highlight w:val="none"/>
              </w:rPr>
            </w:pPr>
          </w:p>
        </w:tc>
        <w:tc>
          <w:tcPr>
            <w:tcW w:w="900" w:type="dxa"/>
          </w:tcPr>
          <w:p>
            <w:pPr>
              <w:pStyle w:val="10"/>
              <w:spacing w:line="440" w:lineRule="exact"/>
              <w:ind w:firstLine="0"/>
              <w:jc w:val="center"/>
              <w:rPr>
                <w:rFonts w:ascii="宋体" w:hAnsi="宋体"/>
                <w:kern w:val="2"/>
                <w:sz w:val="22"/>
                <w:szCs w:val="22"/>
                <w:highlight w:val="none"/>
              </w:rPr>
            </w:pPr>
          </w:p>
        </w:tc>
        <w:tc>
          <w:tcPr>
            <w:tcW w:w="900" w:type="dxa"/>
          </w:tcPr>
          <w:p>
            <w:pPr>
              <w:pStyle w:val="10"/>
              <w:spacing w:line="440" w:lineRule="exact"/>
              <w:ind w:firstLine="0"/>
              <w:jc w:val="center"/>
              <w:rPr>
                <w:rFonts w:ascii="宋体" w:hAnsi="宋体"/>
                <w:kern w:val="2"/>
                <w:sz w:val="22"/>
                <w:szCs w:val="22"/>
                <w:highlight w:val="none"/>
              </w:rPr>
            </w:pPr>
          </w:p>
        </w:tc>
        <w:tc>
          <w:tcPr>
            <w:tcW w:w="1440" w:type="dxa"/>
          </w:tcPr>
          <w:p>
            <w:pPr>
              <w:pStyle w:val="10"/>
              <w:spacing w:line="440" w:lineRule="exact"/>
              <w:ind w:firstLine="0"/>
              <w:jc w:val="center"/>
              <w:rPr>
                <w:rFonts w:ascii="宋体" w:hAnsi="宋体"/>
                <w:kern w:val="2"/>
                <w:sz w:val="22"/>
                <w:szCs w:val="22"/>
                <w:highlight w:val="none"/>
              </w:rPr>
            </w:pPr>
          </w:p>
        </w:tc>
        <w:tc>
          <w:tcPr>
            <w:tcW w:w="1365" w:type="dxa"/>
          </w:tcPr>
          <w:p>
            <w:pPr>
              <w:pStyle w:val="10"/>
              <w:spacing w:line="440" w:lineRule="exact"/>
              <w:ind w:firstLine="0"/>
              <w:jc w:val="center"/>
              <w:rPr>
                <w:rFonts w:ascii="宋体" w:hAnsi="宋体"/>
                <w:kern w:val="2"/>
                <w:sz w:val="22"/>
                <w:szCs w:val="22"/>
                <w:highlight w:val="none"/>
              </w:rPr>
            </w:pPr>
          </w:p>
        </w:tc>
        <w:tc>
          <w:tcPr>
            <w:tcW w:w="725" w:type="dxa"/>
          </w:tcPr>
          <w:p>
            <w:pPr>
              <w:pStyle w:val="10"/>
              <w:spacing w:line="440" w:lineRule="exact"/>
              <w:ind w:firstLine="0"/>
              <w:jc w:val="center"/>
              <w:rPr>
                <w:rFonts w:ascii="宋体" w:hAnsi="宋体"/>
                <w:kern w:val="2"/>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Pr>
          <w:p>
            <w:pPr>
              <w:pStyle w:val="10"/>
              <w:spacing w:line="440" w:lineRule="exact"/>
              <w:ind w:firstLine="0"/>
              <w:jc w:val="center"/>
              <w:rPr>
                <w:rFonts w:ascii="宋体" w:hAnsi="宋体"/>
                <w:kern w:val="2"/>
                <w:sz w:val="22"/>
                <w:szCs w:val="22"/>
                <w:highlight w:val="none"/>
              </w:rPr>
            </w:pPr>
            <w:r>
              <w:rPr>
                <w:rFonts w:ascii="宋体" w:hAnsi="宋体"/>
                <w:kern w:val="2"/>
                <w:sz w:val="22"/>
                <w:szCs w:val="22"/>
                <w:highlight w:val="none"/>
              </w:rPr>
              <w:t>2</w:t>
            </w:r>
          </w:p>
        </w:tc>
        <w:tc>
          <w:tcPr>
            <w:tcW w:w="3125" w:type="dxa"/>
          </w:tcPr>
          <w:p>
            <w:pPr>
              <w:pStyle w:val="10"/>
              <w:spacing w:line="440" w:lineRule="exact"/>
              <w:ind w:firstLine="0"/>
              <w:jc w:val="center"/>
              <w:rPr>
                <w:rFonts w:ascii="宋体" w:hAnsi="宋体"/>
                <w:kern w:val="2"/>
                <w:sz w:val="22"/>
                <w:szCs w:val="22"/>
                <w:highlight w:val="none"/>
              </w:rPr>
            </w:pPr>
          </w:p>
        </w:tc>
        <w:tc>
          <w:tcPr>
            <w:tcW w:w="900" w:type="dxa"/>
          </w:tcPr>
          <w:p>
            <w:pPr>
              <w:pStyle w:val="10"/>
              <w:spacing w:line="440" w:lineRule="exact"/>
              <w:ind w:firstLine="0"/>
              <w:jc w:val="center"/>
              <w:rPr>
                <w:rFonts w:ascii="宋体" w:hAnsi="宋体"/>
                <w:kern w:val="2"/>
                <w:sz w:val="22"/>
                <w:szCs w:val="22"/>
                <w:highlight w:val="none"/>
              </w:rPr>
            </w:pPr>
          </w:p>
        </w:tc>
        <w:tc>
          <w:tcPr>
            <w:tcW w:w="900" w:type="dxa"/>
          </w:tcPr>
          <w:p>
            <w:pPr>
              <w:pStyle w:val="10"/>
              <w:spacing w:line="440" w:lineRule="exact"/>
              <w:ind w:firstLine="0"/>
              <w:jc w:val="center"/>
              <w:rPr>
                <w:rFonts w:ascii="宋体" w:hAnsi="宋体"/>
                <w:kern w:val="2"/>
                <w:sz w:val="22"/>
                <w:szCs w:val="22"/>
                <w:highlight w:val="none"/>
              </w:rPr>
            </w:pPr>
          </w:p>
        </w:tc>
        <w:tc>
          <w:tcPr>
            <w:tcW w:w="1440" w:type="dxa"/>
          </w:tcPr>
          <w:p>
            <w:pPr>
              <w:pStyle w:val="10"/>
              <w:spacing w:line="440" w:lineRule="exact"/>
              <w:ind w:firstLine="0"/>
              <w:jc w:val="center"/>
              <w:rPr>
                <w:rFonts w:ascii="宋体" w:hAnsi="宋体"/>
                <w:kern w:val="2"/>
                <w:sz w:val="22"/>
                <w:szCs w:val="22"/>
                <w:highlight w:val="none"/>
              </w:rPr>
            </w:pPr>
          </w:p>
        </w:tc>
        <w:tc>
          <w:tcPr>
            <w:tcW w:w="1365" w:type="dxa"/>
          </w:tcPr>
          <w:p>
            <w:pPr>
              <w:pStyle w:val="10"/>
              <w:spacing w:line="440" w:lineRule="exact"/>
              <w:ind w:firstLine="0"/>
              <w:jc w:val="center"/>
              <w:rPr>
                <w:rFonts w:ascii="宋体" w:hAnsi="宋体"/>
                <w:kern w:val="2"/>
                <w:sz w:val="22"/>
                <w:szCs w:val="22"/>
                <w:highlight w:val="none"/>
              </w:rPr>
            </w:pPr>
          </w:p>
        </w:tc>
        <w:tc>
          <w:tcPr>
            <w:tcW w:w="725" w:type="dxa"/>
          </w:tcPr>
          <w:p>
            <w:pPr>
              <w:pStyle w:val="10"/>
              <w:spacing w:line="440" w:lineRule="exact"/>
              <w:ind w:firstLine="0"/>
              <w:jc w:val="center"/>
              <w:rPr>
                <w:rFonts w:ascii="宋体" w:hAnsi="宋体"/>
                <w:kern w:val="2"/>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Pr>
          <w:p>
            <w:pPr>
              <w:pStyle w:val="10"/>
              <w:spacing w:line="440" w:lineRule="exact"/>
              <w:ind w:firstLine="0"/>
              <w:jc w:val="center"/>
              <w:rPr>
                <w:rFonts w:ascii="宋体" w:hAnsi="宋体"/>
                <w:kern w:val="2"/>
                <w:sz w:val="22"/>
                <w:szCs w:val="22"/>
                <w:highlight w:val="none"/>
              </w:rPr>
            </w:pPr>
            <w:r>
              <w:rPr>
                <w:rFonts w:ascii="宋体" w:hAnsi="宋体"/>
                <w:kern w:val="2"/>
                <w:sz w:val="22"/>
                <w:szCs w:val="22"/>
                <w:highlight w:val="none"/>
              </w:rPr>
              <w:t>3</w:t>
            </w:r>
          </w:p>
        </w:tc>
        <w:tc>
          <w:tcPr>
            <w:tcW w:w="3125" w:type="dxa"/>
          </w:tcPr>
          <w:p>
            <w:pPr>
              <w:pStyle w:val="10"/>
              <w:spacing w:line="440" w:lineRule="exact"/>
              <w:ind w:firstLine="0"/>
              <w:jc w:val="center"/>
              <w:rPr>
                <w:rFonts w:ascii="宋体" w:hAnsi="宋体"/>
                <w:kern w:val="2"/>
                <w:sz w:val="22"/>
                <w:szCs w:val="22"/>
                <w:highlight w:val="none"/>
              </w:rPr>
            </w:pPr>
          </w:p>
        </w:tc>
        <w:tc>
          <w:tcPr>
            <w:tcW w:w="900" w:type="dxa"/>
          </w:tcPr>
          <w:p>
            <w:pPr>
              <w:pStyle w:val="10"/>
              <w:spacing w:line="440" w:lineRule="exact"/>
              <w:ind w:firstLine="0"/>
              <w:jc w:val="center"/>
              <w:rPr>
                <w:rFonts w:ascii="宋体" w:hAnsi="宋体"/>
                <w:kern w:val="2"/>
                <w:sz w:val="22"/>
                <w:szCs w:val="22"/>
                <w:highlight w:val="none"/>
              </w:rPr>
            </w:pPr>
          </w:p>
        </w:tc>
        <w:tc>
          <w:tcPr>
            <w:tcW w:w="900" w:type="dxa"/>
          </w:tcPr>
          <w:p>
            <w:pPr>
              <w:pStyle w:val="10"/>
              <w:spacing w:line="440" w:lineRule="exact"/>
              <w:ind w:firstLine="0"/>
              <w:jc w:val="center"/>
              <w:rPr>
                <w:rFonts w:ascii="宋体" w:hAnsi="宋体"/>
                <w:kern w:val="2"/>
                <w:sz w:val="22"/>
                <w:szCs w:val="22"/>
                <w:highlight w:val="none"/>
              </w:rPr>
            </w:pPr>
          </w:p>
        </w:tc>
        <w:tc>
          <w:tcPr>
            <w:tcW w:w="1440" w:type="dxa"/>
          </w:tcPr>
          <w:p>
            <w:pPr>
              <w:pStyle w:val="10"/>
              <w:spacing w:line="440" w:lineRule="exact"/>
              <w:ind w:firstLine="0"/>
              <w:jc w:val="center"/>
              <w:rPr>
                <w:rFonts w:ascii="宋体" w:hAnsi="宋体"/>
                <w:kern w:val="2"/>
                <w:sz w:val="22"/>
                <w:szCs w:val="22"/>
                <w:highlight w:val="none"/>
              </w:rPr>
            </w:pPr>
          </w:p>
        </w:tc>
        <w:tc>
          <w:tcPr>
            <w:tcW w:w="1365" w:type="dxa"/>
          </w:tcPr>
          <w:p>
            <w:pPr>
              <w:pStyle w:val="10"/>
              <w:spacing w:line="440" w:lineRule="exact"/>
              <w:ind w:firstLine="0"/>
              <w:jc w:val="center"/>
              <w:rPr>
                <w:rFonts w:ascii="宋体" w:hAnsi="宋体"/>
                <w:kern w:val="2"/>
                <w:sz w:val="22"/>
                <w:szCs w:val="22"/>
                <w:highlight w:val="none"/>
              </w:rPr>
            </w:pPr>
          </w:p>
        </w:tc>
        <w:tc>
          <w:tcPr>
            <w:tcW w:w="725" w:type="dxa"/>
          </w:tcPr>
          <w:p>
            <w:pPr>
              <w:pStyle w:val="10"/>
              <w:spacing w:line="440" w:lineRule="exact"/>
              <w:ind w:firstLine="0"/>
              <w:jc w:val="center"/>
              <w:rPr>
                <w:rFonts w:ascii="宋体" w:hAnsi="宋体"/>
                <w:kern w:val="2"/>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Pr>
          <w:p>
            <w:pPr>
              <w:pStyle w:val="10"/>
              <w:spacing w:line="440" w:lineRule="exact"/>
              <w:ind w:firstLine="0"/>
              <w:jc w:val="center"/>
              <w:rPr>
                <w:rFonts w:ascii="宋体" w:hAnsi="宋体"/>
                <w:kern w:val="2"/>
                <w:sz w:val="22"/>
                <w:szCs w:val="22"/>
                <w:highlight w:val="none"/>
              </w:rPr>
            </w:pPr>
            <w:r>
              <w:rPr>
                <w:rFonts w:ascii="宋体" w:hAnsi="宋体"/>
                <w:kern w:val="2"/>
                <w:sz w:val="22"/>
                <w:szCs w:val="22"/>
                <w:highlight w:val="none"/>
              </w:rPr>
              <w:t>4</w:t>
            </w:r>
          </w:p>
        </w:tc>
        <w:tc>
          <w:tcPr>
            <w:tcW w:w="3125" w:type="dxa"/>
          </w:tcPr>
          <w:p>
            <w:pPr>
              <w:pStyle w:val="10"/>
              <w:spacing w:line="440" w:lineRule="exact"/>
              <w:ind w:firstLine="0"/>
              <w:jc w:val="center"/>
              <w:rPr>
                <w:rFonts w:ascii="宋体" w:hAnsi="宋体"/>
                <w:kern w:val="2"/>
                <w:sz w:val="22"/>
                <w:szCs w:val="22"/>
                <w:highlight w:val="none"/>
              </w:rPr>
            </w:pPr>
          </w:p>
        </w:tc>
        <w:tc>
          <w:tcPr>
            <w:tcW w:w="900" w:type="dxa"/>
          </w:tcPr>
          <w:p>
            <w:pPr>
              <w:pStyle w:val="10"/>
              <w:spacing w:line="440" w:lineRule="exact"/>
              <w:ind w:firstLine="0"/>
              <w:jc w:val="center"/>
              <w:rPr>
                <w:rFonts w:ascii="宋体" w:hAnsi="宋体"/>
                <w:kern w:val="2"/>
                <w:sz w:val="22"/>
                <w:szCs w:val="22"/>
                <w:highlight w:val="none"/>
              </w:rPr>
            </w:pPr>
          </w:p>
        </w:tc>
        <w:tc>
          <w:tcPr>
            <w:tcW w:w="900" w:type="dxa"/>
          </w:tcPr>
          <w:p>
            <w:pPr>
              <w:pStyle w:val="10"/>
              <w:spacing w:line="440" w:lineRule="exact"/>
              <w:ind w:firstLine="0"/>
              <w:jc w:val="center"/>
              <w:rPr>
                <w:rFonts w:ascii="宋体" w:hAnsi="宋体"/>
                <w:kern w:val="2"/>
                <w:sz w:val="22"/>
                <w:szCs w:val="22"/>
                <w:highlight w:val="none"/>
              </w:rPr>
            </w:pPr>
          </w:p>
        </w:tc>
        <w:tc>
          <w:tcPr>
            <w:tcW w:w="1440" w:type="dxa"/>
          </w:tcPr>
          <w:p>
            <w:pPr>
              <w:pStyle w:val="10"/>
              <w:spacing w:line="440" w:lineRule="exact"/>
              <w:ind w:firstLine="0"/>
              <w:jc w:val="center"/>
              <w:rPr>
                <w:rFonts w:ascii="宋体" w:hAnsi="宋体"/>
                <w:kern w:val="2"/>
                <w:sz w:val="22"/>
                <w:szCs w:val="22"/>
                <w:highlight w:val="none"/>
              </w:rPr>
            </w:pPr>
          </w:p>
        </w:tc>
        <w:tc>
          <w:tcPr>
            <w:tcW w:w="1365" w:type="dxa"/>
          </w:tcPr>
          <w:p>
            <w:pPr>
              <w:pStyle w:val="10"/>
              <w:spacing w:line="440" w:lineRule="exact"/>
              <w:ind w:firstLine="0"/>
              <w:jc w:val="center"/>
              <w:rPr>
                <w:rFonts w:ascii="宋体" w:hAnsi="宋体"/>
                <w:kern w:val="2"/>
                <w:sz w:val="22"/>
                <w:szCs w:val="22"/>
                <w:highlight w:val="none"/>
              </w:rPr>
            </w:pPr>
          </w:p>
        </w:tc>
        <w:tc>
          <w:tcPr>
            <w:tcW w:w="725" w:type="dxa"/>
          </w:tcPr>
          <w:p>
            <w:pPr>
              <w:pStyle w:val="10"/>
              <w:spacing w:line="440" w:lineRule="exact"/>
              <w:ind w:firstLine="0"/>
              <w:jc w:val="center"/>
              <w:rPr>
                <w:rFonts w:ascii="宋体" w:hAnsi="宋体"/>
                <w:kern w:val="2"/>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283" w:type="dxa"/>
            <w:gridSpan w:val="7"/>
          </w:tcPr>
          <w:p>
            <w:pPr>
              <w:pStyle w:val="10"/>
              <w:spacing w:line="440" w:lineRule="exact"/>
              <w:ind w:firstLine="0"/>
              <w:rPr>
                <w:rFonts w:ascii="宋体" w:hAnsi="宋体"/>
                <w:kern w:val="2"/>
                <w:sz w:val="22"/>
                <w:szCs w:val="22"/>
                <w:highlight w:val="none"/>
              </w:rPr>
            </w:pPr>
            <w:r>
              <w:rPr>
                <w:rFonts w:ascii="宋体" w:hAnsi="宋体"/>
                <w:kern w:val="2"/>
                <w:sz w:val="22"/>
                <w:szCs w:val="22"/>
                <w:highlight w:val="none"/>
              </w:rPr>
              <w:t xml:space="preserve">合计人民币（大写）         ￥  </w:t>
            </w:r>
          </w:p>
        </w:tc>
      </w:tr>
    </w:tbl>
    <w:p>
      <w:pPr>
        <w:pStyle w:val="10"/>
        <w:spacing w:line="440" w:lineRule="exact"/>
        <w:rPr>
          <w:rFonts w:ascii="宋体" w:hAnsi="宋体" w:eastAsia="宋体" w:cs="宋体"/>
          <w:sz w:val="22"/>
          <w:szCs w:val="22"/>
          <w:highlight w:val="none"/>
        </w:rPr>
      </w:pPr>
      <w:r>
        <w:rPr>
          <w:rFonts w:hint="eastAsia" w:ascii="宋体" w:hAnsi="宋体" w:eastAsia="宋体" w:cs="宋体"/>
          <w:sz w:val="22"/>
          <w:szCs w:val="22"/>
          <w:highlight w:val="none"/>
        </w:rPr>
        <w:t>合同总价</w:t>
      </w:r>
      <w:r>
        <w:rPr>
          <w:rFonts w:hint="eastAsia" w:ascii="宋体" w:hAnsi="宋体" w:eastAsia="宋体" w:cs="宋体"/>
          <w:sz w:val="22"/>
          <w:szCs w:val="22"/>
          <w:highlight w:val="none"/>
          <w:lang w:eastAsia="zh-CN"/>
        </w:rPr>
        <w:t>包含但不仅限于所需系统软硬件的供货、安装(含配套施工、辅材辅料）、综合布线、系统的分析、系统集成、系统整合（含接口对接）、调试、验收配合（含第三方验收）、第三方检测（如需）、技术培训、场地租赁、售后服务及伴随的其他服务等全部内容所需的一切费用，以及税金、人工（包括工资、福利、交通、食宿、通讯等费用）、管理、合理利润等一切成本及费用（以上费用未单列的视为包含在报价中）</w:t>
      </w:r>
      <w:r>
        <w:rPr>
          <w:rFonts w:ascii="宋体" w:hAnsi="宋体" w:eastAsia="宋体" w:cs="宋体"/>
          <w:sz w:val="22"/>
          <w:szCs w:val="22"/>
          <w:highlight w:val="none"/>
        </w:rPr>
        <w:t>。</w:t>
      </w:r>
    </w:p>
    <w:p>
      <w:pPr>
        <w:pStyle w:val="10"/>
        <w:spacing w:line="440" w:lineRule="exact"/>
        <w:rPr>
          <w:rFonts w:ascii="宋体" w:hAnsi="宋体"/>
          <w:sz w:val="22"/>
          <w:szCs w:val="22"/>
          <w:highlight w:val="none"/>
        </w:rPr>
      </w:pPr>
      <w:r>
        <w:rPr>
          <w:rFonts w:ascii="宋体" w:hAnsi="宋体"/>
          <w:sz w:val="22"/>
          <w:szCs w:val="22"/>
          <w:highlight w:val="none"/>
        </w:rPr>
        <w:t>表中的内容应与中标通知书、</w:t>
      </w:r>
      <w:r>
        <w:rPr>
          <w:rFonts w:hint="eastAsia" w:ascii="宋体" w:hAnsi="宋体" w:eastAsia="宋体" w:cs="宋体"/>
          <w:sz w:val="22"/>
          <w:szCs w:val="22"/>
          <w:highlight w:val="none"/>
        </w:rPr>
        <w:t>招标文件</w:t>
      </w:r>
      <w:r>
        <w:rPr>
          <w:rFonts w:ascii="宋体" w:hAnsi="宋体"/>
          <w:sz w:val="22"/>
          <w:szCs w:val="22"/>
          <w:highlight w:val="none"/>
        </w:rPr>
        <w:t>及被甲方接受的规格性能偏离表相一致（包括技术资料的提供要求）。</w:t>
      </w:r>
    </w:p>
    <w:p>
      <w:pPr>
        <w:spacing w:line="440" w:lineRule="exact"/>
        <w:rPr>
          <w:rFonts w:ascii="宋体" w:hAnsi="宋体"/>
          <w:sz w:val="22"/>
          <w:szCs w:val="22"/>
          <w:highlight w:val="none"/>
        </w:rPr>
      </w:pPr>
      <w:r>
        <w:rPr>
          <w:rFonts w:hint="eastAsia" w:ascii="宋体" w:hAnsi="宋体"/>
          <w:sz w:val="22"/>
          <w:szCs w:val="22"/>
          <w:highlight w:val="none"/>
        </w:rPr>
        <w:t>4、专利权</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乙方应保护甲方在使用该货物或其任何一部分时不受第三方提出侵犯专利权、商标权或工业设计权的指控。如果任何第三方提出侵权指控，乙方须与第三方交涉并承担可能发生的一切法律责任和费用。甲方不负任何责任。</w:t>
      </w:r>
    </w:p>
    <w:p>
      <w:pPr>
        <w:spacing w:line="440" w:lineRule="exact"/>
        <w:rPr>
          <w:rFonts w:ascii="宋体" w:hAnsi="宋体"/>
          <w:sz w:val="22"/>
          <w:szCs w:val="22"/>
          <w:highlight w:val="none"/>
        </w:rPr>
      </w:pPr>
      <w:r>
        <w:rPr>
          <w:rFonts w:hint="eastAsia" w:ascii="宋体" w:hAnsi="宋体"/>
          <w:sz w:val="22"/>
          <w:szCs w:val="22"/>
          <w:highlight w:val="none"/>
        </w:rPr>
        <w:t>5、包装要求</w:t>
      </w:r>
    </w:p>
    <w:p>
      <w:pPr>
        <w:spacing w:line="440" w:lineRule="exact"/>
        <w:ind w:firstLine="440" w:firstLineChars="200"/>
        <w:rPr>
          <w:rFonts w:ascii="宋体" w:hAnsi="宋体"/>
          <w:sz w:val="22"/>
          <w:szCs w:val="22"/>
          <w:highlight w:val="none"/>
        </w:rPr>
      </w:pPr>
      <w:r>
        <w:rPr>
          <w:rFonts w:ascii="宋体" w:hAnsi="宋体"/>
          <w:sz w:val="22"/>
          <w:szCs w:val="22"/>
          <w:highlight w:val="none"/>
        </w:rPr>
        <w:t>5</w:t>
      </w:r>
      <w:r>
        <w:rPr>
          <w:rFonts w:hint="eastAsia" w:ascii="宋体" w:hAnsi="宋体"/>
          <w:sz w:val="22"/>
          <w:szCs w:val="22"/>
          <w:highlight w:val="none"/>
        </w:rPr>
        <w:t>.1乙方提供的全部货物，应采用国家或专业标准保护措施进行包装，使包装适宜于远距离运输、防潮、防震、防锈和防粗暴装卸，确保货物安全无损运抵现场。由于包装不善所引起的货物锈蚀、损坏和损失均由乙方承担。</w:t>
      </w:r>
    </w:p>
    <w:p>
      <w:pPr>
        <w:spacing w:line="440" w:lineRule="exact"/>
        <w:ind w:firstLine="440" w:firstLineChars="200"/>
        <w:rPr>
          <w:rFonts w:ascii="宋体" w:hAnsi="宋体"/>
          <w:sz w:val="22"/>
          <w:szCs w:val="22"/>
          <w:highlight w:val="none"/>
        </w:rPr>
      </w:pPr>
      <w:r>
        <w:rPr>
          <w:rFonts w:ascii="宋体" w:hAnsi="宋体"/>
          <w:sz w:val="22"/>
          <w:szCs w:val="22"/>
          <w:highlight w:val="none"/>
        </w:rPr>
        <w:t>5</w:t>
      </w:r>
      <w:r>
        <w:rPr>
          <w:rFonts w:hint="eastAsia" w:ascii="宋体" w:hAnsi="宋体"/>
          <w:sz w:val="22"/>
          <w:szCs w:val="22"/>
          <w:highlight w:val="none"/>
        </w:rPr>
        <w:t>.2 每件包装箱内应附有详细的装箱单、产品安装使用说明书和质量合格证书。</w:t>
      </w:r>
    </w:p>
    <w:p>
      <w:pPr>
        <w:spacing w:line="440" w:lineRule="exact"/>
        <w:rPr>
          <w:rFonts w:ascii="宋体" w:hAnsi="宋体"/>
          <w:sz w:val="22"/>
          <w:szCs w:val="22"/>
          <w:highlight w:val="none"/>
        </w:rPr>
      </w:pPr>
      <w:r>
        <w:rPr>
          <w:rFonts w:hint="eastAsia" w:ascii="宋体" w:hAnsi="宋体"/>
          <w:sz w:val="22"/>
          <w:szCs w:val="22"/>
          <w:highlight w:val="none"/>
        </w:rPr>
        <w:t>6、装运标志</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 xml:space="preserve">6.1 </w:t>
      </w:r>
      <w:r>
        <w:rPr>
          <w:rFonts w:hint="eastAsia" w:ascii="宋体" w:hAnsi="宋体"/>
          <w:spacing w:val="4"/>
          <w:sz w:val="22"/>
          <w:szCs w:val="22"/>
          <w:highlight w:val="none"/>
        </w:rPr>
        <w:t>乙方应在每一包装箱的四侧用不褪色的油漆以醒目的中文字样做出下列标记：</w:t>
      </w:r>
    </w:p>
    <w:p>
      <w:pPr>
        <w:numPr>
          <w:ilvl w:val="0"/>
          <w:numId w:val="18"/>
        </w:numPr>
        <w:spacing w:line="440" w:lineRule="exact"/>
        <w:ind w:left="1320" w:hanging="480"/>
        <w:rPr>
          <w:rFonts w:ascii="宋体" w:hAnsi="宋体"/>
          <w:sz w:val="22"/>
          <w:szCs w:val="22"/>
          <w:highlight w:val="none"/>
        </w:rPr>
      </w:pPr>
      <w:r>
        <w:rPr>
          <w:rFonts w:hint="eastAsia" w:ascii="宋体" w:hAnsi="宋体"/>
          <w:sz w:val="22"/>
          <w:szCs w:val="22"/>
          <w:highlight w:val="none"/>
        </w:rPr>
        <w:t>收货人地址和名称；</w:t>
      </w:r>
    </w:p>
    <w:p>
      <w:pPr>
        <w:numPr>
          <w:ilvl w:val="0"/>
          <w:numId w:val="18"/>
        </w:numPr>
        <w:spacing w:line="440" w:lineRule="exact"/>
        <w:ind w:left="1320" w:hanging="480"/>
        <w:rPr>
          <w:rFonts w:ascii="宋体" w:hAnsi="宋体"/>
          <w:sz w:val="22"/>
          <w:szCs w:val="22"/>
          <w:highlight w:val="none"/>
        </w:rPr>
      </w:pPr>
      <w:r>
        <w:rPr>
          <w:rFonts w:hint="eastAsia" w:ascii="宋体" w:hAnsi="宋体"/>
          <w:sz w:val="22"/>
          <w:szCs w:val="22"/>
          <w:highlight w:val="none"/>
        </w:rPr>
        <w:t>合同号；</w:t>
      </w:r>
    </w:p>
    <w:p>
      <w:pPr>
        <w:numPr>
          <w:ilvl w:val="0"/>
          <w:numId w:val="18"/>
        </w:numPr>
        <w:spacing w:line="440" w:lineRule="exact"/>
        <w:ind w:left="1320" w:hanging="480"/>
        <w:rPr>
          <w:rFonts w:ascii="宋体" w:hAnsi="宋体"/>
          <w:sz w:val="22"/>
          <w:szCs w:val="22"/>
          <w:highlight w:val="none"/>
        </w:rPr>
      </w:pPr>
      <w:r>
        <w:rPr>
          <w:rFonts w:hint="eastAsia" w:ascii="宋体" w:hAnsi="宋体"/>
          <w:sz w:val="22"/>
          <w:szCs w:val="22"/>
          <w:highlight w:val="none"/>
        </w:rPr>
        <w:t>装运标志；</w:t>
      </w:r>
    </w:p>
    <w:p>
      <w:pPr>
        <w:numPr>
          <w:ilvl w:val="0"/>
          <w:numId w:val="18"/>
        </w:numPr>
        <w:spacing w:line="440" w:lineRule="exact"/>
        <w:ind w:left="1320" w:hanging="480"/>
        <w:rPr>
          <w:rFonts w:ascii="宋体" w:hAnsi="宋体"/>
          <w:sz w:val="22"/>
          <w:szCs w:val="22"/>
          <w:highlight w:val="none"/>
        </w:rPr>
      </w:pPr>
      <w:r>
        <w:rPr>
          <w:rFonts w:hint="eastAsia" w:ascii="宋体" w:hAnsi="宋体"/>
          <w:sz w:val="22"/>
          <w:szCs w:val="22"/>
          <w:highlight w:val="none"/>
        </w:rPr>
        <w:t>收货人代号；</w:t>
      </w:r>
    </w:p>
    <w:p>
      <w:pPr>
        <w:numPr>
          <w:ilvl w:val="0"/>
          <w:numId w:val="18"/>
        </w:numPr>
        <w:spacing w:line="440" w:lineRule="exact"/>
        <w:ind w:left="1320" w:hanging="480"/>
        <w:rPr>
          <w:rFonts w:ascii="宋体" w:hAnsi="宋体"/>
          <w:sz w:val="22"/>
          <w:szCs w:val="22"/>
          <w:highlight w:val="none"/>
        </w:rPr>
      </w:pPr>
      <w:r>
        <w:rPr>
          <w:rFonts w:hint="eastAsia" w:ascii="宋体" w:hAnsi="宋体"/>
          <w:sz w:val="22"/>
          <w:szCs w:val="22"/>
          <w:highlight w:val="none"/>
        </w:rPr>
        <w:t>目的地；</w:t>
      </w:r>
    </w:p>
    <w:p>
      <w:pPr>
        <w:numPr>
          <w:ilvl w:val="0"/>
          <w:numId w:val="18"/>
        </w:numPr>
        <w:spacing w:line="440" w:lineRule="exact"/>
        <w:ind w:left="1320" w:hanging="480"/>
        <w:rPr>
          <w:rFonts w:ascii="宋体" w:hAnsi="宋体"/>
          <w:sz w:val="22"/>
          <w:szCs w:val="22"/>
          <w:highlight w:val="none"/>
        </w:rPr>
      </w:pPr>
      <w:r>
        <w:rPr>
          <w:rFonts w:hint="eastAsia" w:ascii="宋体" w:hAnsi="宋体"/>
          <w:sz w:val="22"/>
          <w:szCs w:val="22"/>
          <w:highlight w:val="none"/>
        </w:rPr>
        <w:t>货物名称、包件号和箱号；</w:t>
      </w:r>
    </w:p>
    <w:p>
      <w:pPr>
        <w:numPr>
          <w:ilvl w:val="0"/>
          <w:numId w:val="18"/>
        </w:numPr>
        <w:spacing w:line="440" w:lineRule="exact"/>
        <w:ind w:left="1320" w:hanging="480"/>
        <w:rPr>
          <w:rFonts w:ascii="宋体" w:hAnsi="宋体"/>
          <w:sz w:val="22"/>
          <w:szCs w:val="22"/>
          <w:highlight w:val="none"/>
        </w:rPr>
      </w:pPr>
      <w:r>
        <w:rPr>
          <w:rFonts w:hint="eastAsia" w:ascii="宋体" w:hAnsi="宋体"/>
          <w:sz w:val="22"/>
          <w:szCs w:val="22"/>
          <w:highlight w:val="none"/>
        </w:rPr>
        <w:t>毛重/净重（公斤）；</w:t>
      </w:r>
    </w:p>
    <w:p>
      <w:pPr>
        <w:numPr>
          <w:ilvl w:val="0"/>
          <w:numId w:val="18"/>
        </w:numPr>
        <w:spacing w:line="440" w:lineRule="exact"/>
        <w:ind w:left="1320" w:hanging="480"/>
        <w:rPr>
          <w:rFonts w:ascii="宋体" w:hAnsi="宋体"/>
          <w:sz w:val="22"/>
          <w:szCs w:val="22"/>
          <w:highlight w:val="none"/>
        </w:rPr>
      </w:pPr>
      <w:r>
        <w:rPr>
          <w:rFonts w:hint="eastAsia" w:ascii="宋体" w:hAnsi="宋体"/>
          <w:sz w:val="22"/>
          <w:szCs w:val="22"/>
          <w:highlight w:val="none"/>
        </w:rPr>
        <w:t>尺寸（长×宽×高，以厘米计）。</w:t>
      </w:r>
    </w:p>
    <w:p>
      <w:pPr>
        <w:spacing w:line="440" w:lineRule="exact"/>
        <w:ind w:firstLine="480"/>
        <w:rPr>
          <w:rFonts w:ascii="宋体" w:hAnsi="宋体"/>
          <w:sz w:val="22"/>
          <w:szCs w:val="22"/>
          <w:highlight w:val="none"/>
        </w:rPr>
      </w:pPr>
      <w:r>
        <w:rPr>
          <w:rFonts w:hint="eastAsia" w:ascii="宋体" w:hAnsi="宋体"/>
          <w:sz w:val="22"/>
          <w:szCs w:val="22"/>
          <w:highlight w:val="none"/>
        </w:rPr>
        <w:t>6.2 如果货物单件重量在2吨或2吨以上，乙方应在每件包装箱的两侧用中文标明适当的运输标记，注明“重心”和“吊装点”，以便装卸和搬运。</w:t>
      </w:r>
    </w:p>
    <w:p>
      <w:pPr>
        <w:spacing w:line="440" w:lineRule="exact"/>
        <w:ind w:firstLine="480"/>
        <w:rPr>
          <w:rFonts w:ascii="宋体" w:hAnsi="宋体"/>
          <w:sz w:val="22"/>
          <w:szCs w:val="22"/>
          <w:highlight w:val="none"/>
        </w:rPr>
      </w:pPr>
      <w:r>
        <w:rPr>
          <w:rFonts w:hint="eastAsia" w:ascii="宋体" w:hAnsi="宋体"/>
          <w:sz w:val="22"/>
          <w:szCs w:val="22"/>
          <w:highlight w:val="none"/>
        </w:rPr>
        <w:t>6.3 根据货物的特点和运输的不同要求，乙方应在包装箱上清楚地标有“小心轻放”、“防潮”、“勿倒置”等字样和其它适当的标志。</w:t>
      </w:r>
    </w:p>
    <w:p>
      <w:pPr>
        <w:spacing w:line="440" w:lineRule="exact"/>
        <w:rPr>
          <w:rFonts w:ascii="宋体" w:hAnsi="宋体"/>
          <w:sz w:val="22"/>
          <w:szCs w:val="22"/>
          <w:highlight w:val="none"/>
        </w:rPr>
      </w:pPr>
      <w:bookmarkStart w:id="231" w:name="_Hlt502199717"/>
      <w:bookmarkEnd w:id="231"/>
      <w:r>
        <w:rPr>
          <w:rFonts w:hint="eastAsia" w:ascii="宋体" w:hAnsi="宋体"/>
          <w:sz w:val="22"/>
          <w:szCs w:val="22"/>
          <w:highlight w:val="none"/>
        </w:rPr>
        <w:t>7、交货时间、地点和方式</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7.1</w:t>
      </w:r>
      <w:r>
        <w:rPr>
          <w:rFonts w:hint="eastAsia" w:ascii="宋体" w:hAnsi="宋体"/>
          <w:b/>
          <w:sz w:val="22"/>
          <w:szCs w:val="22"/>
          <w:highlight w:val="none"/>
        </w:rPr>
        <w:t xml:space="preserve"> </w:t>
      </w:r>
      <w:r>
        <w:rPr>
          <w:rFonts w:hint="eastAsia" w:ascii="宋体" w:hAnsi="宋体"/>
          <w:b/>
          <w:sz w:val="22"/>
          <w:szCs w:val="22"/>
          <w:highlight w:val="none"/>
          <w:u w:val="single"/>
        </w:rPr>
        <w:t>▲交货时间：见招标文件第四部分采购内容及要求。</w:t>
      </w:r>
    </w:p>
    <w:p>
      <w:pPr>
        <w:spacing w:line="440" w:lineRule="exact"/>
        <w:ind w:firstLine="440" w:firstLineChars="200"/>
        <w:rPr>
          <w:rFonts w:ascii="宋体" w:hAnsi="宋体"/>
          <w:sz w:val="22"/>
          <w:szCs w:val="22"/>
          <w:highlight w:val="none"/>
          <w:u w:val="single"/>
        </w:rPr>
      </w:pPr>
      <w:r>
        <w:rPr>
          <w:rFonts w:hint="eastAsia" w:ascii="宋体" w:hAnsi="宋体"/>
          <w:sz w:val="22"/>
          <w:szCs w:val="22"/>
          <w:highlight w:val="none"/>
        </w:rPr>
        <w:t xml:space="preserve">7.2 </w:t>
      </w:r>
      <w:r>
        <w:rPr>
          <w:rFonts w:hint="eastAsia" w:ascii="宋体" w:hAnsi="宋体"/>
          <w:b/>
          <w:sz w:val="22"/>
          <w:szCs w:val="22"/>
          <w:highlight w:val="none"/>
          <w:u w:val="single"/>
        </w:rPr>
        <w:t>交货地点：见招标文件第四部分采购内容及要求。</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7.3 交货方式</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 xml:space="preserve">7.3.1 </w:t>
      </w:r>
      <w:r>
        <w:rPr>
          <w:rFonts w:hint="eastAsia" w:ascii="宋体" w:hAnsi="宋体"/>
          <w:spacing w:val="-2"/>
          <w:sz w:val="22"/>
          <w:szCs w:val="22"/>
          <w:highlight w:val="none"/>
        </w:rPr>
        <w:t>乙方所提供的货物为现场交货。由乙方负责办理运输和保险，将货物运抵现场。有关运输和保险的所有费用由乙方承担。所有货物运抵现场的日期为交货日期。</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7.3.2</w:t>
      </w:r>
      <w:r>
        <w:rPr>
          <w:rFonts w:hint="eastAsia" w:ascii="宋体" w:hAnsi="宋体"/>
          <w:spacing w:val="2"/>
          <w:sz w:val="22"/>
          <w:szCs w:val="22"/>
          <w:highlight w:val="none"/>
        </w:rPr>
        <w:t>乙方应在合同规定的交货时间</w:t>
      </w:r>
      <w:r>
        <w:rPr>
          <w:rFonts w:ascii="宋体" w:hAnsi="宋体"/>
          <w:spacing w:val="2"/>
          <w:sz w:val="22"/>
          <w:szCs w:val="22"/>
          <w:highlight w:val="none"/>
        </w:rPr>
        <w:t>5</w:t>
      </w:r>
      <w:r>
        <w:rPr>
          <w:rFonts w:hint="eastAsia" w:ascii="宋体" w:hAnsi="宋体"/>
          <w:spacing w:val="2"/>
          <w:sz w:val="22"/>
          <w:szCs w:val="22"/>
          <w:highlight w:val="none"/>
        </w:rPr>
        <w:t>天前以电报或传真形式将合同号、货物名称、数量、包装箱件数、总毛重、总体积（立方米）和准备交货日期通知甲方。同时乙方应用挂号信将详细交货清单一式二份包括合同号、货物名称、规格、数量、总毛重、总体积（立方米）、包装箱件数和每个包装箱的尺寸（长×宽×高）、单价、总价和待交日期以及货物运输和仓储的特殊要求或注意事项通知甲方。</w:t>
      </w:r>
    </w:p>
    <w:p>
      <w:pPr>
        <w:spacing w:line="440" w:lineRule="exact"/>
        <w:rPr>
          <w:rFonts w:ascii="宋体" w:hAnsi="宋体"/>
          <w:sz w:val="22"/>
          <w:szCs w:val="22"/>
          <w:highlight w:val="none"/>
        </w:rPr>
      </w:pPr>
      <w:r>
        <w:rPr>
          <w:rFonts w:hint="eastAsia" w:ascii="宋体" w:hAnsi="宋体"/>
          <w:sz w:val="22"/>
          <w:szCs w:val="22"/>
          <w:highlight w:val="none"/>
        </w:rPr>
        <w:t>8、装运通知</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8.1 乙方已办妥待运货物后24小时之内，应将合同号、货名、数量、毛重、总体积（立方米）、发票金额、运输工具名称及启运日期，以电报或</w:t>
      </w:r>
      <w:r>
        <w:rPr>
          <w:rFonts w:hint="eastAsia" w:ascii="宋体" w:hAnsi="宋体"/>
          <w:spacing w:val="2"/>
          <w:sz w:val="22"/>
          <w:szCs w:val="22"/>
          <w:highlight w:val="none"/>
        </w:rPr>
        <w:t>传真</w:t>
      </w:r>
      <w:r>
        <w:rPr>
          <w:rFonts w:hint="eastAsia" w:ascii="宋体" w:hAnsi="宋体"/>
          <w:sz w:val="22"/>
          <w:szCs w:val="22"/>
          <w:highlight w:val="none"/>
        </w:rPr>
        <w:t>形式通知甲方。</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8.2 如因乙方延误，应将上述内容用电报或电传形式通知甲方，由此引起的所有损失由乙方负担。</w:t>
      </w:r>
    </w:p>
    <w:p>
      <w:pPr>
        <w:spacing w:line="440" w:lineRule="exact"/>
        <w:rPr>
          <w:rFonts w:ascii="宋体" w:hAnsi="宋体"/>
          <w:sz w:val="22"/>
          <w:szCs w:val="22"/>
          <w:highlight w:val="none"/>
        </w:rPr>
      </w:pPr>
      <w:r>
        <w:rPr>
          <w:rFonts w:hint="eastAsia" w:ascii="宋体" w:hAnsi="宋体"/>
          <w:sz w:val="22"/>
          <w:szCs w:val="22"/>
          <w:highlight w:val="none"/>
        </w:rPr>
        <w:t>9、保险</w:t>
      </w:r>
    </w:p>
    <w:p>
      <w:pPr>
        <w:spacing w:line="440" w:lineRule="exact"/>
        <w:rPr>
          <w:rFonts w:ascii="宋体" w:hAnsi="宋体"/>
          <w:sz w:val="22"/>
          <w:szCs w:val="22"/>
          <w:highlight w:val="none"/>
        </w:rPr>
      </w:pPr>
      <w:r>
        <w:rPr>
          <w:rFonts w:hint="eastAsia" w:ascii="宋体" w:hAnsi="宋体"/>
          <w:sz w:val="22"/>
          <w:szCs w:val="22"/>
          <w:highlight w:val="none"/>
        </w:rPr>
        <w:t xml:space="preserve">    货物按现场交货方式报价，由乙方办理货物相关保险。保险以人民币按照发票金额的110%办理“一切险”，保险范围包括乙方负责装运的货物。</w:t>
      </w:r>
    </w:p>
    <w:p>
      <w:pPr>
        <w:spacing w:line="440" w:lineRule="exact"/>
        <w:rPr>
          <w:rFonts w:ascii="宋体" w:hAnsi="宋体"/>
          <w:sz w:val="22"/>
          <w:szCs w:val="22"/>
          <w:highlight w:val="none"/>
        </w:rPr>
      </w:pPr>
      <w:r>
        <w:rPr>
          <w:rFonts w:hint="eastAsia" w:ascii="宋体" w:hAnsi="宋体"/>
          <w:sz w:val="22"/>
          <w:szCs w:val="22"/>
          <w:highlight w:val="none"/>
        </w:rPr>
        <w:t>10、付款与结算：转帐（票汇或电汇）</w:t>
      </w:r>
    </w:p>
    <w:p>
      <w:pPr>
        <w:pStyle w:val="10"/>
        <w:spacing w:line="440" w:lineRule="exact"/>
        <w:rPr>
          <w:rFonts w:ascii="宋体" w:hAnsi="宋体"/>
          <w:sz w:val="22"/>
          <w:szCs w:val="22"/>
          <w:highlight w:val="none"/>
        </w:rPr>
      </w:pPr>
      <w:r>
        <w:rPr>
          <w:rFonts w:hint="eastAsia" w:ascii="宋体" w:hAnsi="宋体"/>
          <w:sz w:val="22"/>
          <w:szCs w:val="22"/>
          <w:highlight w:val="none"/>
        </w:rPr>
        <w:t>10</w:t>
      </w:r>
      <w:r>
        <w:rPr>
          <w:rFonts w:ascii="宋体" w:hAnsi="宋体"/>
          <w:sz w:val="22"/>
          <w:szCs w:val="22"/>
          <w:highlight w:val="none"/>
        </w:rPr>
        <w:t>.1本合同的总价为人民币＿＿＿＿＿＿＿＿＿，为含税不变价（</w:t>
      </w:r>
      <w:r>
        <w:rPr>
          <w:rFonts w:hint="eastAsia" w:ascii="宋体" w:hAnsi="宋体"/>
          <w:sz w:val="22"/>
          <w:szCs w:val="22"/>
          <w:highlight w:val="none"/>
        </w:rPr>
        <w:t>运费、保险费、</w:t>
      </w:r>
      <w:r>
        <w:rPr>
          <w:rFonts w:ascii="宋体" w:hAnsi="宋体"/>
          <w:sz w:val="22"/>
          <w:szCs w:val="22"/>
          <w:highlight w:val="none"/>
        </w:rPr>
        <w:t>税指增值税等一切税种）。本合同除发生下列情况可按</w:t>
      </w:r>
      <w:r>
        <w:rPr>
          <w:rFonts w:hint="eastAsia" w:ascii="宋体" w:hAnsi="宋体"/>
          <w:sz w:val="22"/>
          <w:szCs w:val="22"/>
          <w:highlight w:val="none"/>
        </w:rPr>
        <w:t>响应报价</w:t>
      </w:r>
      <w:r>
        <w:rPr>
          <w:rFonts w:ascii="宋体" w:hAnsi="宋体"/>
          <w:sz w:val="22"/>
          <w:szCs w:val="22"/>
          <w:highlight w:val="none"/>
        </w:rPr>
        <w:t>中的价格调整合同以外，其它一律（包括进口设备汇率变动）不得调整：</w:t>
      </w:r>
      <w:r>
        <w:rPr>
          <w:rFonts w:hint="eastAsia" w:ascii="宋体" w:hAnsi="宋体"/>
          <w:b/>
          <w:sz w:val="22"/>
          <w:szCs w:val="22"/>
          <w:highlight w:val="none"/>
          <w:lang w:val="zh-CN"/>
        </w:rPr>
        <w:t>①</w:t>
      </w:r>
      <w:r>
        <w:rPr>
          <w:rFonts w:ascii="宋体" w:hAnsi="宋体"/>
          <w:sz w:val="22"/>
          <w:szCs w:val="22"/>
          <w:highlight w:val="none"/>
        </w:rPr>
        <w:t>因甲方实际需要</w:t>
      </w:r>
      <w:r>
        <w:rPr>
          <w:rFonts w:hint="eastAsia" w:ascii="宋体" w:hAnsi="宋体"/>
          <w:sz w:val="22"/>
          <w:szCs w:val="22"/>
          <w:highlight w:val="none"/>
        </w:rPr>
        <w:t>设计单位</w:t>
      </w:r>
      <w:r>
        <w:rPr>
          <w:rFonts w:ascii="宋体" w:hAnsi="宋体"/>
          <w:sz w:val="22"/>
          <w:szCs w:val="22"/>
          <w:highlight w:val="none"/>
        </w:rPr>
        <w:t>调整原设计方案。</w:t>
      </w:r>
      <w:r>
        <w:rPr>
          <w:rFonts w:ascii="宋体" w:hAnsi="宋体"/>
          <w:b/>
          <w:sz w:val="22"/>
          <w:szCs w:val="22"/>
          <w:highlight w:val="none"/>
          <w:lang w:val="zh-CN"/>
        </w:rPr>
        <w:fldChar w:fldCharType="begin"/>
      </w:r>
      <w:r>
        <w:rPr>
          <w:rFonts w:ascii="宋体" w:hAnsi="宋体"/>
          <w:b/>
          <w:sz w:val="22"/>
          <w:szCs w:val="22"/>
          <w:highlight w:val="none"/>
          <w:lang w:val="zh-CN"/>
        </w:rPr>
        <w:instrText xml:space="preserve"> </w:instrText>
      </w:r>
      <w:r>
        <w:rPr>
          <w:rFonts w:hint="eastAsia" w:ascii="宋体" w:hAnsi="宋体"/>
          <w:b/>
          <w:sz w:val="22"/>
          <w:szCs w:val="22"/>
          <w:highlight w:val="none"/>
          <w:lang w:val="zh-CN"/>
        </w:rPr>
        <w:instrText xml:space="preserve">= 2 \* GB3</w:instrText>
      </w:r>
      <w:r>
        <w:rPr>
          <w:rFonts w:ascii="宋体" w:hAnsi="宋体"/>
          <w:b/>
          <w:sz w:val="22"/>
          <w:szCs w:val="22"/>
          <w:highlight w:val="none"/>
          <w:lang w:val="zh-CN"/>
        </w:rPr>
        <w:instrText xml:space="preserve"> </w:instrText>
      </w:r>
      <w:r>
        <w:rPr>
          <w:rFonts w:ascii="宋体" w:hAnsi="宋体"/>
          <w:b/>
          <w:sz w:val="22"/>
          <w:szCs w:val="22"/>
          <w:highlight w:val="none"/>
          <w:lang w:val="zh-CN"/>
        </w:rPr>
        <w:fldChar w:fldCharType="separate"/>
      </w:r>
      <w:r>
        <w:rPr>
          <w:rFonts w:hint="eastAsia" w:ascii="宋体" w:hAnsi="宋体"/>
          <w:b/>
          <w:sz w:val="22"/>
          <w:szCs w:val="22"/>
          <w:highlight w:val="none"/>
          <w:lang w:val="zh-CN"/>
        </w:rPr>
        <w:t>②</w:t>
      </w:r>
      <w:r>
        <w:rPr>
          <w:rFonts w:ascii="宋体" w:hAnsi="宋体"/>
          <w:b/>
          <w:sz w:val="22"/>
          <w:szCs w:val="22"/>
          <w:highlight w:val="none"/>
          <w:lang w:val="zh-CN"/>
        </w:rPr>
        <w:fldChar w:fldCharType="end"/>
      </w:r>
      <w:r>
        <w:rPr>
          <w:rFonts w:hint="eastAsia" w:ascii="宋体" w:hAnsi="宋体"/>
          <w:b/>
          <w:sz w:val="22"/>
          <w:szCs w:val="22"/>
          <w:highlight w:val="none"/>
          <w:lang w:val="zh-CN"/>
        </w:rPr>
        <w:t>主要设备、材料数量发生变化。</w:t>
      </w:r>
    </w:p>
    <w:p>
      <w:pPr>
        <w:pStyle w:val="10"/>
        <w:spacing w:line="440" w:lineRule="exact"/>
        <w:ind w:firstLine="422"/>
        <w:rPr>
          <w:rFonts w:ascii="宋体" w:hAnsi="宋体"/>
          <w:b/>
          <w:sz w:val="22"/>
          <w:szCs w:val="22"/>
          <w:highlight w:val="none"/>
        </w:rPr>
      </w:pPr>
      <w:r>
        <w:rPr>
          <w:rFonts w:hint="eastAsia" w:ascii="宋体" w:hAnsi="宋体"/>
          <w:b/>
          <w:sz w:val="22"/>
          <w:szCs w:val="22"/>
          <w:highlight w:val="none"/>
        </w:rPr>
        <w:t>10</w:t>
      </w:r>
      <w:r>
        <w:rPr>
          <w:rFonts w:ascii="宋体" w:hAnsi="宋体"/>
          <w:b/>
          <w:sz w:val="22"/>
          <w:szCs w:val="22"/>
          <w:highlight w:val="none"/>
        </w:rPr>
        <w:t>.2</w:t>
      </w:r>
      <w:r>
        <w:rPr>
          <w:rFonts w:hint="eastAsia" w:ascii="宋体" w:hAnsi="宋体" w:eastAsia="宋体" w:cs="宋体"/>
          <w:b/>
          <w:sz w:val="22"/>
          <w:szCs w:val="22"/>
          <w:highlight w:val="none"/>
        </w:rPr>
        <w:t>付款方式：</w:t>
      </w:r>
      <w:r>
        <w:rPr>
          <w:rFonts w:hint="eastAsia" w:ascii="宋体" w:hAnsi="宋体" w:eastAsia="宋体" w:cs="宋体"/>
          <w:b/>
          <w:sz w:val="22"/>
          <w:szCs w:val="22"/>
          <w:highlight w:val="none"/>
          <w:u w:val="single"/>
        </w:rPr>
        <w:t>见招标文件第四部分采购内容及要求。</w:t>
      </w:r>
    </w:p>
    <w:p>
      <w:pPr>
        <w:spacing w:line="440" w:lineRule="exact"/>
        <w:ind w:firstLine="385" w:firstLineChars="175"/>
        <w:rPr>
          <w:rFonts w:ascii="宋体" w:hAnsi="宋体"/>
          <w:sz w:val="22"/>
          <w:szCs w:val="22"/>
          <w:highlight w:val="none"/>
        </w:rPr>
      </w:pPr>
      <w:r>
        <w:rPr>
          <w:rFonts w:hint="eastAsia" w:ascii="宋体" w:hAnsi="宋体"/>
          <w:sz w:val="22"/>
          <w:szCs w:val="22"/>
          <w:highlight w:val="none"/>
        </w:rPr>
        <w:t>10</w:t>
      </w:r>
      <w:r>
        <w:rPr>
          <w:rFonts w:ascii="宋体" w:hAnsi="宋体"/>
          <w:sz w:val="22"/>
          <w:szCs w:val="22"/>
          <w:highlight w:val="none"/>
        </w:rPr>
        <w:t>.</w:t>
      </w:r>
      <w:r>
        <w:rPr>
          <w:rFonts w:hint="eastAsia" w:ascii="宋体" w:hAnsi="宋体"/>
          <w:sz w:val="22"/>
          <w:szCs w:val="22"/>
          <w:highlight w:val="none"/>
        </w:rPr>
        <w:t>3 结算前，乙方必须已提交下列文件：</w:t>
      </w:r>
    </w:p>
    <w:p>
      <w:pPr>
        <w:spacing w:line="440" w:lineRule="exact"/>
        <w:ind w:firstLine="864" w:firstLineChars="393"/>
        <w:rPr>
          <w:rFonts w:hint="eastAsia" w:ascii="宋体" w:hAnsi="宋体" w:eastAsia="宋体"/>
          <w:sz w:val="22"/>
          <w:szCs w:val="22"/>
          <w:highlight w:val="none"/>
        </w:rPr>
      </w:pPr>
      <w:r>
        <w:rPr>
          <w:rFonts w:hint="eastAsia" w:ascii="宋体" w:hAnsi="宋体"/>
          <w:sz w:val="22"/>
          <w:szCs w:val="22"/>
          <w:highlight w:val="none"/>
        </w:rPr>
        <w:t>10</w:t>
      </w:r>
      <w:r>
        <w:rPr>
          <w:rFonts w:ascii="宋体" w:hAnsi="宋体"/>
          <w:sz w:val="22"/>
          <w:szCs w:val="22"/>
          <w:highlight w:val="none"/>
        </w:rPr>
        <w:t>.</w:t>
      </w:r>
      <w:r>
        <w:rPr>
          <w:rFonts w:hint="eastAsia" w:ascii="宋体" w:hAnsi="宋体"/>
          <w:sz w:val="22"/>
          <w:szCs w:val="22"/>
          <w:highlight w:val="none"/>
        </w:rPr>
        <w:t>3</w:t>
      </w:r>
      <w:r>
        <w:rPr>
          <w:rFonts w:ascii="宋体" w:hAnsi="宋体"/>
          <w:sz w:val="22"/>
          <w:szCs w:val="22"/>
          <w:highlight w:val="none"/>
        </w:rPr>
        <w:t>.1</w:t>
      </w:r>
      <w:r>
        <w:rPr>
          <w:rFonts w:hint="eastAsia" w:ascii="宋体" w:hAnsi="宋体" w:eastAsia="宋体"/>
          <w:sz w:val="22"/>
          <w:szCs w:val="22"/>
          <w:highlight w:val="none"/>
        </w:rPr>
        <w:t>交付的设备清单</w:t>
      </w:r>
    </w:p>
    <w:p>
      <w:pPr>
        <w:spacing w:line="440" w:lineRule="exact"/>
        <w:ind w:firstLine="864" w:firstLineChars="393"/>
        <w:rPr>
          <w:rFonts w:hint="default" w:ascii="宋体" w:hAnsi="宋体" w:eastAsia="宋体"/>
          <w:sz w:val="22"/>
          <w:szCs w:val="22"/>
          <w:highlight w:val="none"/>
          <w:lang w:val="en-US" w:eastAsia="zh-CN"/>
        </w:rPr>
      </w:pPr>
      <w:r>
        <w:rPr>
          <w:rFonts w:hint="eastAsia" w:ascii="宋体" w:hAnsi="宋体" w:eastAsia="宋体"/>
          <w:sz w:val="22"/>
          <w:szCs w:val="22"/>
          <w:highlight w:val="none"/>
        </w:rPr>
        <w:t>10.3.2本合同规定的全部技术资料。</w:t>
      </w:r>
    </w:p>
    <w:p>
      <w:pPr>
        <w:spacing w:line="440" w:lineRule="exact"/>
        <w:rPr>
          <w:rFonts w:ascii="宋体" w:hAnsi="宋体"/>
          <w:sz w:val="22"/>
          <w:szCs w:val="22"/>
          <w:highlight w:val="none"/>
        </w:rPr>
      </w:pPr>
      <w:r>
        <w:rPr>
          <w:rFonts w:hint="eastAsia" w:ascii="宋体" w:hAnsi="宋体"/>
          <w:sz w:val="22"/>
          <w:szCs w:val="22"/>
          <w:highlight w:val="none"/>
        </w:rPr>
        <w:t>11、技术资料</w:t>
      </w:r>
    </w:p>
    <w:p>
      <w:pPr>
        <w:spacing w:line="440" w:lineRule="exact"/>
        <w:ind w:firstLine="437"/>
        <w:rPr>
          <w:rFonts w:ascii="宋体" w:hAnsi="宋体"/>
          <w:sz w:val="22"/>
          <w:szCs w:val="22"/>
          <w:highlight w:val="none"/>
        </w:rPr>
      </w:pPr>
      <w:r>
        <w:rPr>
          <w:rFonts w:hint="eastAsia" w:ascii="宋体" w:hAnsi="宋体"/>
          <w:sz w:val="22"/>
          <w:szCs w:val="22"/>
          <w:highlight w:val="none"/>
        </w:rPr>
        <w:t>合同项下技术资料将以下列方式交付：</w:t>
      </w:r>
    </w:p>
    <w:p>
      <w:pPr>
        <w:spacing w:line="440" w:lineRule="exact"/>
        <w:ind w:firstLine="437"/>
        <w:rPr>
          <w:rFonts w:ascii="宋体" w:hAnsi="宋体"/>
          <w:sz w:val="22"/>
          <w:szCs w:val="22"/>
          <w:highlight w:val="none"/>
        </w:rPr>
      </w:pPr>
      <w:r>
        <w:rPr>
          <w:rFonts w:hint="eastAsia" w:ascii="宋体" w:hAnsi="宋体"/>
          <w:sz w:val="22"/>
          <w:szCs w:val="22"/>
          <w:highlight w:val="none"/>
        </w:rPr>
        <w:t>11.1 随同货物一起发运需随机提供包装完整的目录索引、技术说明书、操作手册、使用指南、维修指南(或服务手册)和示意图、</w:t>
      </w:r>
      <w:r>
        <w:rPr>
          <w:rFonts w:hint="eastAsia" w:ascii="宋体" w:hAnsi="宋体"/>
          <w:spacing w:val="2"/>
          <w:sz w:val="22"/>
          <w:szCs w:val="22"/>
          <w:highlight w:val="none"/>
        </w:rPr>
        <w:t>性能测试报告、合格证书等</w:t>
      </w:r>
      <w:r>
        <w:rPr>
          <w:rFonts w:hint="eastAsia" w:ascii="宋体" w:hAnsi="宋体"/>
          <w:sz w:val="22"/>
          <w:szCs w:val="22"/>
          <w:highlight w:val="none"/>
        </w:rPr>
        <w:t>；资料需装订成册，其费用包括在货物总价内。</w:t>
      </w:r>
    </w:p>
    <w:p>
      <w:pPr>
        <w:spacing w:line="440" w:lineRule="exact"/>
        <w:ind w:firstLine="437"/>
        <w:rPr>
          <w:rFonts w:ascii="宋体" w:hAnsi="宋体"/>
          <w:sz w:val="22"/>
          <w:szCs w:val="22"/>
          <w:highlight w:val="none"/>
        </w:rPr>
      </w:pPr>
      <w:r>
        <w:rPr>
          <w:rFonts w:hint="eastAsia" w:ascii="宋体" w:hAnsi="宋体"/>
          <w:sz w:val="22"/>
          <w:szCs w:val="22"/>
          <w:highlight w:val="none"/>
        </w:rPr>
        <w:t>11.2 如果甲方确认乙方提供的技术资料不完整或在运输过程中丢失或破损字迹不清，乙方应在收到甲方通知后</w:t>
      </w:r>
      <w:r>
        <w:rPr>
          <w:rFonts w:ascii="宋体" w:hAnsi="宋体"/>
          <w:sz w:val="22"/>
          <w:szCs w:val="22"/>
          <w:highlight w:val="none"/>
        </w:rPr>
        <w:t>3</w:t>
      </w:r>
      <w:r>
        <w:rPr>
          <w:rFonts w:hint="eastAsia" w:ascii="宋体" w:hAnsi="宋体"/>
          <w:sz w:val="22"/>
          <w:szCs w:val="22"/>
          <w:highlight w:val="none"/>
        </w:rPr>
        <w:t>天内将这些资料免费补寄给甲方。</w:t>
      </w:r>
    </w:p>
    <w:p>
      <w:pPr>
        <w:spacing w:line="440" w:lineRule="exact"/>
        <w:ind w:firstLine="437"/>
        <w:rPr>
          <w:rFonts w:ascii="宋体" w:hAnsi="宋体"/>
          <w:spacing w:val="2"/>
          <w:sz w:val="22"/>
          <w:szCs w:val="22"/>
          <w:highlight w:val="none"/>
        </w:rPr>
      </w:pPr>
      <w:r>
        <w:rPr>
          <w:rFonts w:hint="eastAsia" w:ascii="宋体" w:hAnsi="宋体"/>
          <w:sz w:val="22"/>
          <w:szCs w:val="22"/>
          <w:highlight w:val="none"/>
        </w:rPr>
        <w:t>11.3</w:t>
      </w:r>
      <w:r>
        <w:rPr>
          <w:rFonts w:hint="eastAsia" w:ascii="宋体" w:hAnsi="宋体"/>
          <w:spacing w:val="2"/>
          <w:sz w:val="22"/>
          <w:szCs w:val="22"/>
          <w:highlight w:val="none"/>
        </w:rPr>
        <w:t>合同签订后</w:t>
      </w:r>
      <w:r>
        <w:rPr>
          <w:rFonts w:ascii="宋体" w:hAnsi="宋体"/>
          <w:spacing w:val="2"/>
          <w:sz w:val="22"/>
          <w:szCs w:val="22"/>
          <w:highlight w:val="none"/>
        </w:rPr>
        <w:t>10</w:t>
      </w:r>
      <w:r>
        <w:rPr>
          <w:rFonts w:hint="eastAsia" w:ascii="宋体" w:hAnsi="宋体"/>
          <w:spacing w:val="2"/>
          <w:sz w:val="22"/>
          <w:szCs w:val="22"/>
          <w:highlight w:val="none"/>
        </w:rPr>
        <w:t>天内，乙方必须提供详细的设备外形安装尺寸图及设备性能参数表。</w:t>
      </w:r>
    </w:p>
    <w:p>
      <w:pPr>
        <w:spacing w:line="440" w:lineRule="exact"/>
        <w:ind w:firstLine="437"/>
        <w:rPr>
          <w:rFonts w:ascii="宋体" w:hAnsi="宋体"/>
          <w:spacing w:val="2"/>
          <w:sz w:val="22"/>
          <w:szCs w:val="22"/>
          <w:highlight w:val="none"/>
        </w:rPr>
      </w:pPr>
      <w:r>
        <w:rPr>
          <w:rFonts w:hint="eastAsia" w:ascii="宋体" w:hAnsi="宋体"/>
          <w:spacing w:val="2"/>
          <w:sz w:val="22"/>
          <w:szCs w:val="22"/>
          <w:highlight w:val="none"/>
        </w:rPr>
        <w:t>11.4本文即使未提及而在以后的使用中又必须的资料也应提供给甲方。</w:t>
      </w:r>
    </w:p>
    <w:p>
      <w:pPr>
        <w:spacing w:line="440" w:lineRule="exact"/>
        <w:ind w:firstLine="437"/>
        <w:rPr>
          <w:rFonts w:ascii="宋体" w:hAnsi="宋体"/>
          <w:sz w:val="22"/>
          <w:szCs w:val="22"/>
          <w:highlight w:val="none"/>
        </w:rPr>
      </w:pPr>
      <w:r>
        <w:rPr>
          <w:rFonts w:hint="eastAsia" w:ascii="宋体" w:hAnsi="宋体"/>
          <w:sz w:val="22"/>
          <w:szCs w:val="22"/>
          <w:highlight w:val="none"/>
        </w:rPr>
        <w:t>11.5 所提交的资料除应满足本节要求外，还应满足相应部分的提交内容。</w:t>
      </w:r>
    </w:p>
    <w:p>
      <w:pPr>
        <w:spacing w:line="440" w:lineRule="exact"/>
        <w:rPr>
          <w:rFonts w:ascii="宋体" w:hAnsi="宋体"/>
          <w:sz w:val="22"/>
          <w:szCs w:val="22"/>
          <w:highlight w:val="none"/>
        </w:rPr>
      </w:pPr>
      <w:r>
        <w:rPr>
          <w:rFonts w:hint="eastAsia" w:ascii="宋体" w:hAnsi="宋体"/>
          <w:sz w:val="22"/>
          <w:szCs w:val="22"/>
          <w:highlight w:val="none"/>
        </w:rPr>
        <w:t>12、质量保证</w:t>
      </w:r>
    </w:p>
    <w:p>
      <w:pPr>
        <w:spacing w:line="440" w:lineRule="exact"/>
        <w:ind w:firstLine="385" w:firstLineChars="175"/>
        <w:rPr>
          <w:rFonts w:ascii="宋体" w:hAnsi="宋体"/>
          <w:sz w:val="22"/>
          <w:szCs w:val="22"/>
          <w:highlight w:val="none"/>
        </w:rPr>
      </w:pPr>
      <w:r>
        <w:rPr>
          <w:rFonts w:hint="eastAsia" w:ascii="宋体" w:hAnsi="宋体"/>
          <w:sz w:val="22"/>
          <w:szCs w:val="22"/>
          <w:highlight w:val="none"/>
        </w:rPr>
        <w:t>12.1 乙方提供设备前应将所采用的全部标准提交给甲方，以征得甲方同意。</w:t>
      </w:r>
    </w:p>
    <w:p>
      <w:pPr>
        <w:spacing w:line="440" w:lineRule="exact"/>
        <w:ind w:firstLine="385" w:firstLineChars="175"/>
        <w:rPr>
          <w:rFonts w:ascii="宋体" w:hAnsi="宋体"/>
          <w:sz w:val="22"/>
          <w:szCs w:val="22"/>
          <w:highlight w:val="none"/>
        </w:rPr>
      </w:pPr>
      <w:r>
        <w:rPr>
          <w:rFonts w:hint="eastAsia" w:ascii="宋体" w:hAnsi="宋体"/>
          <w:sz w:val="22"/>
          <w:szCs w:val="22"/>
          <w:highlight w:val="none"/>
        </w:rPr>
        <w:t>12.2 乙方所提供设备的设计、制造、检测、验收、安装、调试等所采用的标准应符合ISO、IEC、DIN标准和设备生产厂家所在国的标准，或其它与之等效的标准，还应符合有毒气体、腐蚀气体、易燃易爆气体等专业标准及安全标准等的要求。</w:t>
      </w:r>
    </w:p>
    <w:p>
      <w:pPr>
        <w:spacing w:line="440" w:lineRule="exact"/>
        <w:ind w:firstLine="385" w:firstLineChars="175"/>
        <w:rPr>
          <w:rFonts w:ascii="宋体" w:hAnsi="宋体"/>
          <w:sz w:val="22"/>
          <w:szCs w:val="22"/>
          <w:highlight w:val="none"/>
        </w:rPr>
      </w:pPr>
      <w:r>
        <w:rPr>
          <w:rFonts w:hint="eastAsia" w:ascii="宋体" w:hAnsi="宋体"/>
          <w:sz w:val="22"/>
          <w:szCs w:val="22"/>
          <w:highlight w:val="none"/>
        </w:rPr>
        <w:t>12.3 乙方应保证货物是全新的、未使用过的，采用一流的工艺和最佳材料制造而成的产品，并完全符合规定的质量、规格和性能的要求。乙方应保证所提供的货物经正确安装、正常运转和保养后，在其使用寿命内应具有满意的性能。在货物质保期内，乙方应对由于设计、工艺或材料的缺陷而发生的任何不足或故障负责。</w:t>
      </w:r>
    </w:p>
    <w:p>
      <w:pPr>
        <w:spacing w:line="440" w:lineRule="exact"/>
        <w:ind w:firstLine="385" w:firstLineChars="175"/>
        <w:rPr>
          <w:rFonts w:ascii="宋体" w:hAnsi="宋体"/>
          <w:sz w:val="22"/>
          <w:szCs w:val="22"/>
          <w:highlight w:val="none"/>
        </w:rPr>
      </w:pPr>
      <w:r>
        <w:rPr>
          <w:rFonts w:hint="eastAsia" w:ascii="宋体" w:hAnsi="宋体"/>
          <w:sz w:val="22"/>
          <w:szCs w:val="22"/>
          <w:highlight w:val="none"/>
        </w:rPr>
        <w:t>12.4 根据甲方按检验标准自己检验或由当地技术质检部门检验的结果，或者在质保期内，如果货物的数量、质量或规格与合同不符，或证实货物是有缺陷的，包括潜在的缺陷或使用不符合要求的材料制造等，甲方应尽快以书面形式通知乙方，提出索赔。</w:t>
      </w:r>
    </w:p>
    <w:p>
      <w:pPr>
        <w:spacing w:line="440" w:lineRule="exact"/>
        <w:ind w:firstLine="385" w:firstLineChars="175"/>
        <w:rPr>
          <w:rFonts w:ascii="宋体" w:hAnsi="宋体"/>
          <w:sz w:val="22"/>
          <w:szCs w:val="22"/>
          <w:highlight w:val="none"/>
        </w:rPr>
      </w:pPr>
      <w:r>
        <w:rPr>
          <w:rFonts w:hint="eastAsia" w:ascii="宋体" w:hAnsi="宋体"/>
          <w:sz w:val="22"/>
          <w:szCs w:val="22"/>
          <w:highlight w:val="none"/>
        </w:rPr>
        <w:t>12.5 乙方在质量保证期内应免费维修或更换有缺陷的货物或零部件。</w:t>
      </w:r>
    </w:p>
    <w:p>
      <w:pPr>
        <w:spacing w:line="440" w:lineRule="exact"/>
        <w:ind w:firstLine="385" w:firstLineChars="175"/>
        <w:rPr>
          <w:rFonts w:ascii="宋体" w:hAnsi="宋体"/>
          <w:sz w:val="22"/>
          <w:szCs w:val="22"/>
          <w:highlight w:val="none"/>
        </w:rPr>
      </w:pPr>
      <w:r>
        <w:rPr>
          <w:rFonts w:hint="eastAsia" w:ascii="宋体" w:hAnsi="宋体"/>
          <w:sz w:val="22"/>
          <w:szCs w:val="22"/>
          <w:highlight w:val="none"/>
        </w:rPr>
        <w:t>12.6 如果乙方在收到通知后30天内没有弥补缺陷，甲方可采取必要的补救措施，但风险和费用将由乙方承担。</w:t>
      </w:r>
    </w:p>
    <w:p>
      <w:pPr>
        <w:spacing w:line="440" w:lineRule="exact"/>
        <w:ind w:firstLine="387" w:firstLineChars="175"/>
        <w:rPr>
          <w:rFonts w:ascii="宋体" w:hAnsi="宋体"/>
          <w:b/>
          <w:sz w:val="22"/>
          <w:szCs w:val="22"/>
          <w:highlight w:val="none"/>
        </w:rPr>
      </w:pPr>
      <w:r>
        <w:rPr>
          <w:rFonts w:hint="eastAsia" w:ascii="宋体" w:hAnsi="宋体"/>
          <w:b/>
          <w:sz w:val="22"/>
          <w:szCs w:val="22"/>
          <w:highlight w:val="none"/>
        </w:rPr>
        <w:t>12.7 合同项下货物的质保期：</w:t>
      </w:r>
      <w:r>
        <w:rPr>
          <w:rFonts w:hint="eastAsia" w:ascii="宋体" w:hAnsi="宋体"/>
          <w:b/>
          <w:sz w:val="22"/>
          <w:szCs w:val="22"/>
          <w:highlight w:val="none"/>
          <w:u w:val="single"/>
        </w:rPr>
        <w:t>见招标文件第四部分采购内容及要求。</w:t>
      </w:r>
    </w:p>
    <w:p>
      <w:pPr>
        <w:spacing w:line="440" w:lineRule="exact"/>
        <w:ind w:firstLine="385" w:firstLineChars="175"/>
        <w:rPr>
          <w:rFonts w:ascii="宋体" w:hAnsi="宋体"/>
          <w:sz w:val="22"/>
          <w:szCs w:val="22"/>
          <w:highlight w:val="none"/>
        </w:rPr>
      </w:pPr>
      <w:r>
        <w:rPr>
          <w:rFonts w:hint="eastAsia" w:ascii="宋体" w:hAnsi="宋体"/>
          <w:sz w:val="22"/>
          <w:szCs w:val="22"/>
          <w:highlight w:val="none"/>
        </w:rPr>
        <w:t>12.8 质量终身制</w:t>
      </w:r>
    </w:p>
    <w:p>
      <w:pPr>
        <w:spacing w:line="440" w:lineRule="exact"/>
        <w:ind w:firstLine="385" w:firstLineChars="175"/>
        <w:rPr>
          <w:rFonts w:ascii="宋体" w:hAnsi="宋体"/>
          <w:sz w:val="22"/>
          <w:szCs w:val="22"/>
          <w:highlight w:val="none"/>
        </w:rPr>
      </w:pPr>
      <w:r>
        <w:rPr>
          <w:rFonts w:hint="eastAsia" w:ascii="宋体" w:hAnsi="宋体"/>
          <w:sz w:val="22"/>
          <w:szCs w:val="22"/>
          <w:highlight w:val="none"/>
        </w:rPr>
        <w:t>质量保证期外，乙方应对设备长期跟踪服务，修理、配件费用由业主负担，乙方只收取成本费。</w:t>
      </w:r>
    </w:p>
    <w:p>
      <w:pPr>
        <w:spacing w:line="440" w:lineRule="exact"/>
        <w:rPr>
          <w:rFonts w:ascii="宋体" w:hAnsi="宋体"/>
          <w:sz w:val="22"/>
          <w:szCs w:val="22"/>
          <w:highlight w:val="none"/>
        </w:rPr>
      </w:pPr>
      <w:r>
        <w:rPr>
          <w:rFonts w:hint="eastAsia" w:ascii="宋体" w:hAnsi="宋体"/>
          <w:sz w:val="22"/>
          <w:szCs w:val="22"/>
          <w:highlight w:val="none"/>
        </w:rPr>
        <w:t>13、检验</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13.</w:t>
      </w:r>
      <w:r>
        <w:rPr>
          <w:rFonts w:ascii="宋体" w:hAnsi="宋体"/>
          <w:sz w:val="22"/>
          <w:szCs w:val="22"/>
          <w:highlight w:val="none"/>
        </w:rPr>
        <w:t>1</w:t>
      </w:r>
      <w:r>
        <w:rPr>
          <w:rFonts w:hint="eastAsia" w:ascii="宋体" w:hAnsi="宋体"/>
          <w:sz w:val="22"/>
          <w:szCs w:val="22"/>
          <w:highlight w:val="none"/>
        </w:rPr>
        <w:t>在交货前，乙方应对货物的质量、规格、性能、数量、重量等进行详细而全面的检验，并出具证明货物符合合同规定的书面证书，乙方检验的结果和细节应在证书中加以说明。该证书将作为申请付款单据的一部分，但有关质量、规格、性能、数量、重量的检验不应视为最终检验。</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13.</w:t>
      </w:r>
      <w:r>
        <w:rPr>
          <w:rFonts w:ascii="宋体" w:hAnsi="宋体"/>
          <w:sz w:val="22"/>
          <w:szCs w:val="22"/>
          <w:highlight w:val="none"/>
        </w:rPr>
        <w:t>2</w:t>
      </w:r>
      <w:r>
        <w:rPr>
          <w:rFonts w:hint="eastAsia" w:ascii="宋体" w:hAnsi="宋体"/>
          <w:sz w:val="22"/>
          <w:szCs w:val="22"/>
          <w:highlight w:val="none"/>
        </w:rPr>
        <w:t xml:space="preserve"> 货物运抵现场后，甲方将会同乙方的代表对货物的质量、规格、数量和重量进行初检验，并出具验收证书。如发现货物的规格或数量或两者都与合同不符，甲方有权在货物运抵现场后</w:t>
      </w:r>
      <w:r>
        <w:rPr>
          <w:rFonts w:ascii="宋体" w:hAnsi="宋体"/>
          <w:sz w:val="22"/>
          <w:szCs w:val="22"/>
          <w:highlight w:val="none"/>
        </w:rPr>
        <w:t>20</w:t>
      </w:r>
      <w:r>
        <w:rPr>
          <w:rFonts w:hint="eastAsia" w:ascii="宋体" w:hAnsi="宋体"/>
          <w:sz w:val="22"/>
          <w:szCs w:val="22"/>
          <w:highlight w:val="none"/>
        </w:rPr>
        <w:t>天内，根据甲方按检验标准自己检验的结果或当地有关技术质检部门出具的检验证书向乙方提出索赔。</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13.</w:t>
      </w:r>
      <w:r>
        <w:rPr>
          <w:rFonts w:ascii="宋体" w:hAnsi="宋体"/>
          <w:sz w:val="22"/>
          <w:szCs w:val="22"/>
          <w:highlight w:val="none"/>
        </w:rPr>
        <w:t>3</w:t>
      </w:r>
      <w:r>
        <w:rPr>
          <w:rFonts w:hint="eastAsia" w:ascii="宋体" w:hAnsi="宋体"/>
          <w:sz w:val="22"/>
          <w:szCs w:val="22"/>
          <w:highlight w:val="none"/>
        </w:rPr>
        <w:t xml:space="preserve"> 如果货物的质量和规格与合同不符，或在第12条规定的质量保证期内证实货物是有缺陷的，包括潜在的缺陷或使用不符合要求的材料，甲方将有权向乙方提出索赔。</w:t>
      </w:r>
    </w:p>
    <w:p>
      <w:pPr>
        <w:spacing w:line="440" w:lineRule="exact"/>
        <w:rPr>
          <w:rFonts w:ascii="宋体" w:hAnsi="宋体"/>
          <w:sz w:val="22"/>
          <w:szCs w:val="22"/>
          <w:highlight w:val="none"/>
        </w:rPr>
      </w:pPr>
      <w:r>
        <w:rPr>
          <w:rFonts w:hint="eastAsia" w:ascii="宋体" w:hAnsi="宋体"/>
          <w:sz w:val="22"/>
          <w:szCs w:val="22"/>
          <w:highlight w:val="none"/>
        </w:rPr>
        <w:t>14、设备最终验收</w:t>
      </w:r>
    </w:p>
    <w:p>
      <w:pPr>
        <w:spacing w:line="440" w:lineRule="exact"/>
        <w:ind w:firstLine="442" w:firstLineChars="200"/>
        <w:rPr>
          <w:rFonts w:ascii="宋体" w:hAnsi="宋体"/>
          <w:b/>
          <w:sz w:val="22"/>
          <w:szCs w:val="22"/>
          <w:highlight w:val="none"/>
        </w:rPr>
      </w:pPr>
      <w:r>
        <w:rPr>
          <w:rFonts w:hint="eastAsia" w:ascii="宋体" w:hAnsi="宋体"/>
          <w:b/>
          <w:sz w:val="22"/>
          <w:szCs w:val="22"/>
          <w:highlight w:val="none"/>
        </w:rPr>
        <w:t xml:space="preserve">甲方将根据合同文件要求对设备进行检测验收、鉴定，办理最终验收手续。 </w:t>
      </w:r>
    </w:p>
    <w:p>
      <w:pPr>
        <w:spacing w:line="440" w:lineRule="exact"/>
        <w:rPr>
          <w:rFonts w:ascii="宋体" w:hAnsi="宋体"/>
          <w:sz w:val="22"/>
          <w:szCs w:val="22"/>
          <w:highlight w:val="none"/>
        </w:rPr>
      </w:pPr>
      <w:r>
        <w:rPr>
          <w:rFonts w:hint="eastAsia" w:ascii="宋体" w:hAnsi="宋体"/>
          <w:sz w:val="22"/>
          <w:szCs w:val="22"/>
          <w:highlight w:val="none"/>
        </w:rPr>
        <w:t>15、索赔</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15.1甲方有权根据甲方按检验标准自己检验的结果或当地有关的技术质检部门出具的质检证书，就缺陷程度向乙方提出索赔。</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15.2在根据合同第12条和第13条规定的质量保证期和检验期内，如果乙方对甲方提出的索赔和差异负有责任，乙方应按照甲方同意的下列一种或多种方式解决索赔事宜：</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（1）退货：乙方按合同规定的同种货币将货款退还给甲方，并承担由此发生的一切损失和费用，包括利息、银行手续费、运费、保险费、检验费、仓储费、装卸费以及为保护退回货物所需的其它必要费用。</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（2）根据货物低劣程度、损坏程度以及甲方所遭受损失的数额，签订买卖双方商定降低货物的价格。</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3）用符合规格、质量和性能要求的新零件、部件或货物来更换有缺陷的部分或修补缺陷部分，乙方应承担一切费用和风险，并负担甲方所发生的一切直接费用。同时，乙方应按合同第11条规定，相应延长修补或更换部件的质量保证期。</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（4）如乙方不能调换的或乙方在收到甲方通知10日内未予调换的，甲方有权选择其他供应商，由此产生的费用由乙方承担，且乙方应按甲方要求无条件退货。</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15.3如果在甲方发出索赔通知后30天内，乙方未作答复，上述索赔应视为已被乙方接受。乙方未能在甲方提出索赔通知后30天内或甲方同意的更长时间内，按照本合同第15.2条规定的方法解决索赔事宜，甲方将从应付款或从乙方的履约保证金中扣回索赔金额（乙方应在3个工作日内补足）。如果这些金额不足以补偿金额，甲方有权向乙方提出不足部分的补偿。</w:t>
      </w:r>
    </w:p>
    <w:p>
      <w:pPr>
        <w:spacing w:line="440" w:lineRule="exact"/>
        <w:rPr>
          <w:rFonts w:ascii="宋体" w:hAnsi="宋体"/>
          <w:sz w:val="22"/>
          <w:szCs w:val="22"/>
          <w:highlight w:val="none"/>
        </w:rPr>
      </w:pPr>
      <w:r>
        <w:rPr>
          <w:rFonts w:hint="eastAsia" w:ascii="宋体" w:hAnsi="宋体"/>
          <w:sz w:val="22"/>
          <w:szCs w:val="22"/>
          <w:highlight w:val="none"/>
        </w:rPr>
        <w:t>16、延期交货</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16.1 乙方应按照合同规定的时间交货和提供服务。</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16.2 在履行合同过程中，如果乙方不能按时交货和提供服务，应及时以书面形式将不能按时交货的理由、延误时间通知甲方。甲方在收到乙方通知后，应进行分析，如果同意，可通过修改合同或签订补充协议，酌情延长交货时间。</w:t>
      </w:r>
    </w:p>
    <w:p>
      <w:pPr>
        <w:spacing w:line="440" w:lineRule="exact"/>
        <w:rPr>
          <w:rFonts w:ascii="宋体" w:hAnsi="宋体"/>
          <w:sz w:val="22"/>
          <w:szCs w:val="22"/>
          <w:highlight w:val="none"/>
        </w:rPr>
      </w:pPr>
      <w:r>
        <w:rPr>
          <w:rFonts w:hint="eastAsia" w:ascii="宋体" w:hAnsi="宋体"/>
          <w:sz w:val="22"/>
          <w:szCs w:val="22"/>
          <w:highlight w:val="none"/>
        </w:rPr>
        <w:t>17、违约赔偿</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17.1 除合同第18款规定外，如果乙方没有按照合同规定的时间交货，每日按合同总价的</w:t>
      </w:r>
      <w:r>
        <w:rPr>
          <w:rFonts w:ascii="宋体" w:hAnsi="宋体"/>
          <w:sz w:val="22"/>
          <w:szCs w:val="22"/>
          <w:highlight w:val="none"/>
        </w:rPr>
        <w:t>0.5</w:t>
      </w:r>
      <w:r>
        <w:rPr>
          <w:rFonts w:hint="eastAsia" w:ascii="宋体" w:hAnsi="宋体"/>
          <w:sz w:val="22"/>
          <w:szCs w:val="22"/>
          <w:highlight w:val="none"/>
        </w:rPr>
        <w:t>%支付逾期违约金。逾期违约金最高限度为合同总价的5%，如逾期违约金达到最高限额时乙方仍不能交货，甲方有权单方解除合同且乙方应将合同已付款项和违约金及时一并付给甲方。</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17.2 如果乙方提供假冒伪劣产品或在供货中有欺诈行为的，将受到以下制裁：甲方有权单方解除合同，乙方应支付合同总价30%的违约金且承担对甲方造成的一切损失，包括直接损失和间接损失。</w:t>
      </w:r>
    </w:p>
    <w:p>
      <w:pPr>
        <w:spacing w:line="440" w:lineRule="exact"/>
        <w:rPr>
          <w:rFonts w:ascii="宋体" w:hAnsi="宋体"/>
          <w:sz w:val="22"/>
          <w:szCs w:val="22"/>
          <w:highlight w:val="none"/>
        </w:rPr>
      </w:pPr>
      <w:r>
        <w:rPr>
          <w:rFonts w:hint="eastAsia" w:ascii="宋体" w:hAnsi="宋体"/>
          <w:sz w:val="22"/>
          <w:szCs w:val="22"/>
          <w:highlight w:val="none"/>
        </w:rPr>
        <w:t>18、不可抗力</w:t>
      </w:r>
    </w:p>
    <w:p>
      <w:pPr>
        <w:spacing w:line="440" w:lineRule="exact"/>
        <w:ind w:firstLine="385" w:firstLineChars="175"/>
        <w:rPr>
          <w:rFonts w:ascii="宋体" w:hAnsi="宋体"/>
          <w:sz w:val="22"/>
          <w:szCs w:val="22"/>
          <w:highlight w:val="none"/>
        </w:rPr>
      </w:pPr>
      <w:r>
        <w:rPr>
          <w:rFonts w:hint="eastAsia" w:ascii="宋体" w:hAnsi="宋体"/>
          <w:sz w:val="22"/>
          <w:szCs w:val="22"/>
          <w:highlight w:val="none"/>
        </w:rPr>
        <w:t>18.1如果双方中任何一方由于战争、台风和地震以及其它经双方同意属于不可抗力的事故，使合同履行受阻时，履行合同的期限应予延长，延长的期限应相当于事故所影响的时间。</w:t>
      </w:r>
    </w:p>
    <w:p>
      <w:pPr>
        <w:spacing w:line="440" w:lineRule="exact"/>
        <w:ind w:firstLine="385" w:firstLineChars="175"/>
        <w:rPr>
          <w:rFonts w:ascii="宋体" w:hAnsi="宋体"/>
          <w:sz w:val="22"/>
          <w:szCs w:val="22"/>
          <w:highlight w:val="none"/>
        </w:rPr>
      </w:pPr>
      <w:r>
        <w:rPr>
          <w:rFonts w:hint="eastAsia" w:ascii="宋体" w:hAnsi="宋体"/>
          <w:sz w:val="22"/>
          <w:szCs w:val="22"/>
          <w:highlight w:val="none"/>
        </w:rPr>
        <w:t>18.2 受事故影响的一方应在不可抗力的事故发生后尽快以电报或传真通知另一方，并在事故发生后15天内，将有关部门出具的证明文件用挂号信航寄给另一方。如果不可抗力影响时间延续120天以上时，双方应通过友好协商在合理的时间内达成进一步履行合同的协议。</w:t>
      </w:r>
    </w:p>
    <w:p>
      <w:pPr>
        <w:spacing w:line="440" w:lineRule="exact"/>
        <w:rPr>
          <w:rFonts w:ascii="宋体" w:hAnsi="宋体"/>
          <w:sz w:val="22"/>
          <w:szCs w:val="22"/>
          <w:highlight w:val="none"/>
        </w:rPr>
      </w:pPr>
      <w:r>
        <w:rPr>
          <w:rFonts w:hint="eastAsia" w:ascii="宋体" w:hAnsi="宋体"/>
          <w:sz w:val="22"/>
          <w:szCs w:val="22"/>
          <w:highlight w:val="none"/>
        </w:rPr>
        <w:t>19、税费</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19.1 根据国家现行税法对乙方征收的与本合同有关的一切税费均由乙方承担，包括海关关税。</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19.2 在中国境外发生的与本合同执行有关的一切税费均由乙方承担。</w:t>
      </w:r>
    </w:p>
    <w:p>
      <w:pPr>
        <w:spacing w:line="440" w:lineRule="exact"/>
        <w:rPr>
          <w:rFonts w:ascii="宋体" w:hAnsi="宋体"/>
          <w:sz w:val="22"/>
          <w:szCs w:val="22"/>
          <w:highlight w:val="none"/>
        </w:rPr>
      </w:pPr>
      <w:r>
        <w:rPr>
          <w:rFonts w:hint="eastAsia" w:ascii="宋体" w:hAnsi="宋体"/>
          <w:sz w:val="22"/>
          <w:szCs w:val="22"/>
          <w:highlight w:val="none"/>
        </w:rPr>
        <w:t>20、合同纠纷的解决</w:t>
      </w:r>
    </w:p>
    <w:p>
      <w:pPr>
        <w:spacing w:line="440" w:lineRule="exact"/>
        <w:ind w:firstLine="480"/>
        <w:rPr>
          <w:rFonts w:ascii="宋体" w:hAnsi="宋体"/>
          <w:sz w:val="22"/>
          <w:szCs w:val="22"/>
          <w:highlight w:val="none"/>
        </w:rPr>
      </w:pPr>
      <w:r>
        <w:rPr>
          <w:rFonts w:hint="eastAsia" w:ascii="宋体" w:hAnsi="宋体"/>
          <w:sz w:val="22"/>
          <w:szCs w:val="22"/>
          <w:highlight w:val="none"/>
        </w:rPr>
        <w:t>20.1合同双方通过友好协商，解决在执行本合同所发生的或与本合同有关的一切争端，如果协商仍得不到解决，任何一方均可向温州市中级人民法院提起诉讼。</w:t>
      </w:r>
    </w:p>
    <w:p>
      <w:pPr>
        <w:spacing w:line="440" w:lineRule="exact"/>
        <w:ind w:firstLine="480"/>
        <w:rPr>
          <w:rFonts w:ascii="宋体" w:hAnsi="宋体"/>
          <w:sz w:val="22"/>
          <w:szCs w:val="22"/>
          <w:highlight w:val="none"/>
        </w:rPr>
      </w:pPr>
      <w:r>
        <w:rPr>
          <w:rFonts w:hint="eastAsia" w:ascii="宋体" w:hAnsi="宋体"/>
          <w:sz w:val="22"/>
          <w:szCs w:val="22"/>
          <w:highlight w:val="none"/>
        </w:rPr>
        <w:t>20.2 在诉讼期间，除正在进行诉讼的部分外，本合同其它部分应继续执行。</w:t>
      </w:r>
    </w:p>
    <w:p>
      <w:pPr>
        <w:spacing w:line="440" w:lineRule="exact"/>
        <w:rPr>
          <w:rFonts w:ascii="宋体" w:hAnsi="宋体"/>
          <w:sz w:val="22"/>
          <w:szCs w:val="22"/>
          <w:highlight w:val="none"/>
        </w:rPr>
      </w:pPr>
      <w:r>
        <w:rPr>
          <w:rFonts w:hint="eastAsia" w:ascii="宋体" w:hAnsi="宋体"/>
          <w:sz w:val="22"/>
          <w:szCs w:val="22"/>
          <w:highlight w:val="none"/>
        </w:rPr>
        <w:t>21、违约终止合同</w:t>
      </w:r>
    </w:p>
    <w:p>
      <w:pPr>
        <w:spacing w:line="440" w:lineRule="exact"/>
        <w:ind w:firstLine="385" w:firstLineChars="175"/>
        <w:rPr>
          <w:rFonts w:ascii="宋体" w:hAnsi="宋体"/>
          <w:sz w:val="22"/>
          <w:szCs w:val="22"/>
          <w:highlight w:val="none"/>
        </w:rPr>
      </w:pPr>
      <w:r>
        <w:rPr>
          <w:rFonts w:hint="eastAsia" w:ascii="宋体" w:hAnsi="宋体"/>
          <w:sz w:val="22"/>
          <w:szCs w:val="22"/>
          <w:highlight w:val="none"/>
        </w:rPr>
        <w:t xml:space="preserve">有下列情况之一者， </w:t>
      </w:r>
    </w:p>
    <w:p>
      <w:pPr>
        <w:spacing w:line="440" w:lineRule="exact"/>
        <w:rPr>
          <w:rFonts w:ascii="宋体" w:hAnsi="宋体"/>
          <w:sz w:val="22"/>
          <w:szCs w:val="22"/>
          <w:highlight w:val="none"/>
        </w:rPr>
      </w:pPr>
      <w:r>
        <w:rPr>
          <w:rFonts w:hint="eastAsia" w:ascii="宋体" w:hAnsi="宋体"/>
          <w:sz w:val="22"/>
          <w:szCs w:val="22"/>
          <w:highlight w:val="none"/>
        </w:rPr>
        <w:t xml:space="preserve">    A．如果乙方未能按合同规定期限或甲方同意延长的期限内提供部分或全部合格的货物；</w:t>
      </w:r>
    </w:p>
    <w:p>
      <w:pPr>
        <w:spacing w:line="440" w:lineRule="exact"/>
        <w:ind w:firstLine="480"/>
        <w:rPr>
          <w:rFonts w:ascii="宋体" w:hAnsi="宋体"/>
          <w:sz w:val="22"/>
          <w:szCs w:val="22"/>
          <w:highlight w:val="none"/>
        </w:rPr>
      </w:pPr>
      <w:r>
        <w:rPr>
          <w:rFonts w:hint="eastAsia" w:ascii="宋体" w:hAnsi="宋体"/>
          <w:sz w:val="22"/>
          <w:szCs w:val="22"/>
          <w:highlight w:val="none"/>
        </w:rPr>
        <w:t>B．如果甲方认为乙方在本合同的实施中有欺诈行为。为此定义如下：“欺诈行为”指为了影响采购过程或合同实施过程而谎报事实，剥夺甲方应有的权益。</w:t>
      </w:r>
    </w:p>
    <w:p>
      <w:pPr>
        <w:spacing w:line="440" w:lineRule="exact"/>
        <w:ind w:firstLine="480"/>
        <w:rPr>
          <w:rFonts w:ascii="宋体" w:hAnsi="宋体"/>
          <w:sz w:val="22"/>
          <w:szCs w:val="22"/>
          <w:highlight w:val="none"/>
        </w:rPr>
      </w:pPr>
      <w:r>
        <w:rPr>
          <w:rFonts w:hint="eastAsia" w:ascii="宋体" w:hAnsi="宋体"/>
          <w:sz w:val="22"/>
          <w:szCs w:val="22"/>
          <w:highlight w:val="none"/>
        </w:rPr>
        <w:t>C．如果乙方未能履行合同规定的其它任何义务。</w:t>
      </w:r>
    </w:p>
    <w:p>
      <w:pPr>
        <w:spacing w:line="440" w:lineRule="exact"/>
        <w:ind w:firstLine="480"/>
        <w:rPr>
          <w:rFonts w:ascii="宋体" w:hAnsi="宋体"/>
          <w:sz w:val="22"/>
          <w:szCs w:val="22"/>
          <w:highlight w:val="none"/>
        </w:rPr>
      </w:pPr>
      <w:r>
        <w:rPr>
          <w:rFonts w:hint="eastAsia" w:ascii="宋体" w:hAnsi="宋体"/>
          <w:sz w:val="22"/>
          <w:szCs w:val="22"/>
          <w:highlight w:val="none"/>
        </w:rPr>
        <w:t>在上述任一情况下，乙方在收到甲方发出的违约通知后10天内，或经甲方书面认可延长的时间内未能纠正其过失，甲方可向乙方发出终止部分或全部合同的书面通知书。</w:t>
      </w:r>
    </w:p>
    <w:p>
      <w:pPr>
        <w:spacing w:line="440" w:lineRule="exact"/>
        <w:rPr>
          <w:rFonts w:ascii="宋体" w:hAnsi="宋体"/>
          <w:sz w:val="22"/>
          <w:szCs w:val="22"/>
          <w:highlight w:val="none"/>
        </w:rPr>
      </w:pPr>
      <w:r>
        <w:rPr>
          <w:rFonts w:hint="eastAsia" w:ascii="宋体" w:hAnsi="宋体"/>
          <w:sz w:val="22"/>
          <w:szCs w:val="22"/>
          <w:highlight w:val="none"/>
        </w:rPr>
        <w:t>22、破产终止合同</w:t>
      </w:r>
    </w:p>
    <w:p>
      <w:pPr>
        <w:spacing w:line="440" w:lineRule="exact"/>
        <w:ind w:firstLine="480"/>
        <w:rPr>
          <w:rFonts w:ascii="宋体" w:hAnsi="宋体"/>
          <w:sz w:val="22"/>
          <w:szCs w:val="22"/>
          <w:highlight w:val="none"/>
        </w:rPr>
      </w:pPr>
      <w:r>
        <w:rPr>
          <w:rFonts w:hint="eastAsia" w:ascii="宋体" w:hAnsi="宋体"/>
          <w:sz w:val="22"/>
          <w:szCs w:val="22"/>
          <w:highlight w:val="none"/>
        </w:rPr>
        <w:t>如果乙方破产或无清偿能力时，甲方可在任何时候以书面形式通知乙方终止合同。该终止合同将不损害或影响甲方已经采取或将要采取的任何行为或补救措施的权利。</w:t>
      </w:r>
    </w:p>
    <w:p>
      <w:pPr>
        <w:spacing w:line="440" w:lineRule="exact"/>
        <w:rPr>
          <w:rFonts w:ascii="宋体" w:hAnsi="宋体"/>
          <w:sz w:val="22"/>
          <w:szCs w:val="22"/>
          <w:highlight w:val="none"/>
        </w:rPr>
      </w:pPr>
      <w:r>
        <w:rPr>
          <w:rFonts w:hint="eastAsia" w:ascii="宋体" w:hAnsi="宋体"/>
          <w:sz w:val="22"/>
          <w:szCs w:val="22"/>
          <w:highlight w:val="none"/>
        </w:rPr>
        <w:t>23、终止合同的经济赔偿</w:t>
      </w:r>
    </w:p>
    <w:p>
      <w:pPr>
        <w:spacing w:line="440" w:lineRule="exact"/>
        <w:ind w:firstLine="480"/>
        <w:rPr>
          <w:rFonts w:ascii="宋体" w:hAnsi="宋体"/>
          <w:sz w:val="22"/>
          <w:szCs w:val="22"/>
          <w:highlight w:val="none"/>
        </w:rPr>
      </w:pPr>
      <w:r>
        <w:rPr>
          <w:rFonts w:hint="eastAsia" w:ascii="宋体" w:hAnsi="宋体"/>
          <w:sz w:val="22"/>
          <w:szCs w:val="22"/>
          <w:highlight w:val="none"/>
        </w:rPr>
        <w:t>不管终止合同由何方引起，当终止合同发生时，乙方应在终止合同后10天内返还甲方的预付款，因终止合同引起的损失由责任方承担。</w:t>
      </w:r>
    </w:p>
    <w:p>
      <w:pPr>
        <w:spacing w:line="440" w:lineRule="exact"/>
        <w:rPr>
          <w:rFonts w:ascii="宋体" w:hAnsi="宋体"/>
          <w:sz w:val="22"/>
          <w:szCs w:val="22"/>
          <w:highlight w:val="none"/>
        </w:rPr>
      </w:pPr>
      <w:r>
        <w:rPr>
          <w:rFonts w:hint="eastAsia" w:ascii="宋体" w:hAnsi="宋体"/>
          <w:sz w:val="22"/>
          <w:szCs w:val="22"/>
          <w:highlight w:val="none"/>
        </w:rPr>
        <w:t>24、转让</w:t>
      </w:r>
    </w:p>
    <w:p>
      <w:pPr>
        <w:spacing w:line="440" w:lineRule="exact"/>
        <w:rPr>
          <w:rFonts w:ascii="宋体" w:hAnsi="宋体"/>
          <w:sz w:val="22"/>
          <w:szCs w:val="22"/>
          <w:highlight w:val="none"/>
        </w:rPr>
      </w:pPr>
      <w:r>
        <w:rPr>
          <w:rFonts w:hint="eastAsia" w:ascii="宋体" w:hAnsi="宋体"/>
          <w:sz w:val="22"/>
          <w:szCs w:val="22"/>
          <w:highlight w:val="none"/>
        </w:rPr>
        <w:t xml:space="preserve">    未经甲方书面同意，乙方不得转让其应履行的合同义务。</w:t>
      </w:r>
    </w:p>
    <w:p>
      <w:pPr>
        <w:spacing w:line="440" w:lineRule="exact"/>
        <w:rPr>
          <w:rFonts w:ascii="宋体" w:hAnsi="宋体"/>
          <w:sz w:val="22"/>
          <w:szCs w:val="22"/>
          <w:highlight w:val="none"/>
        </w:rPr>
      </w:pPr>
      <w:r>
        <w:rPr>
          <w:rFonts w:hint="eastAsia" w:ascii="宋体" w:hAnsi="宋体"/>
          <w:sz w:val="22"/>
          <w:szCs w:val="22"/>
          <w:highlight w:val="none"/>
        </w:rPr>
        <w:t>25、合同修改</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欲对合同条款进行任何改动，均须由合同双方签署书面的合同修改书。</w:t>
      </w:r>
    </w:p>
    <w:p>
      <w:pPr>
        <w:spacing w:line="440" w:lineRule="exact"/>
        <w:rPr>
          <w:rFonts w:ascii="宋体" w:hAnsi="宋体"/>
          <w:sz w:val="22"/>
          <w:szCs w:val="22"/>
          <w:highlight w:val="none"/>
        </w:rPr>
      </w:pPr>
      <w:r>
        <w:rPr>
          <w:rFonts w:hint="eastAsia" w:ascii="宋体" w:hAnsi="宋体"/>
          <w:sz w:val="22"/>
          <w:szCs w:val="22"/>
          <w:highlight w:val="none"/>
        </w:rPr>
        <w:t>26、通知</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本合同任何一方给另一方的通知，都应以书面或电传/传真/电报的形式发送，而另一方应以书面形式确认并发送到对方明确的地址。</w:t>
      </w:r>
    </w:p>
    <w:p>
      <w:pPr>
        <w:spacing w:line="440" w:lineRule="exact"/>
        <w:rPr>
          <w:rFonts w:ascii="宋体" w:hAnsi="宋体"/>
          <w:sz w:val="22"/>
          <w:szCs w:val="22"/>
          <w:highlight w:val="none"/>
        </w:rPr>
      </w:pPr>
      <w:r>
        <w:rPr>
          <w:rFonts w:hint="eastAsia" w:ascii="宋体" w:hAnsi="宋体"/>
          <w:sz w:val="22"/>
          <w:szCs w:val="22"/>
          <w:highlight w:val="none"/>
        </w:rPr>
        <w:t>27、计量单位</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除技术规范中另有规定外，计量单位均使用国家法定计量单位。</w:t>
      </w:r>
    </w:p>
    <w:p>
      <w:pPr>
        <w:spacing w:line="440" w:lineRule="exact"/>
        <w:rPr>
          <w:rFonts w:ascii="宋体" w:hAnsi="宋体"/>
          <w:sz w:val="22"/>
          <w:szCs w:val="22"/>
          <w:highlight w:val="none"/>
        </w:rPr>
      </w:pPr>
      <w:r>
        <w:rPr>
          <w:rFonts w:hint="eastAsia" w:ascii="宋体" w:hAnsi="宋体"/>
          <w:sz w:val="22"/>
          <w:szCs w:val="22"/>
          <w:highlight w:val="none"/>
        </w:rPr>
        <w:t>28、售后服务</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27.1 在货物质量保证期内，乙方应根据甲方需要派有关专家负责指导设备的生产运行。</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27.2在设备正常运行期间，乙方有义务对所供设备进行跟踪调查，定期回访用户。</w:t>
      </w:r>
    </w:p>
    <w:p>
      <w:pPr>
        <w:spacing w:line="440" w:lineRule="exact"/>
        <w:rPr>
          <w:rFonts w:ascii="宋体" w:hAnsi="宋体"/>
          <w:sz w:val="22"/>
          <w:szCs w:val="22"/>
          <w:highlight w:val="none"/>
        </w:rPr>
      </w:pPr>
      <w:r>
        <w:rPr>
          <w:rFonts w:hint="eastAsia" w:ascii="宋体" w:hAnsi="宋体"/>
          <w:sz w:val="22"/>
          <w:szCs w:val="22"/>
          <w:highlight w:val="none"/>
        </w:rPr>
        <w:t>29、技术培训</w:t>
      </w:r>
    </w:p>
    <w:p>
      <w:pPr>
        <w:spacing w:line="440" w:lineRule="exact"/>
        <w:ind w:firstLine="480"/>
        <w:rPr>
          <w:rFonts w:ascii="宋体" w:hAnsi="宋体"/>
          <w:sz w:val="22"/>
          <w:szCs w:val="22"/>
          <w:highlight w:val="none"/>
        </w:rPr>
      </w:pPr>
      <w:r>
        <w:rPr>
          <w:rFonts w:hint="eastAsia" w:ascii="宋体" w:hAnsi="宋体"/>
          <w:sz w:val="22"/>
          <w:szCs w:val="22"/>
          <w:highlight w:val="none"/>
        </w:rPr>
        <w:t>乙方应负责在设备安装现场对甲方进行免费的技术培训，并直至培训人员完全掌握。培训内容包括但不仅限于以下内容：</w:t>
      </w:r>
    </w:p>
    <w:p>
      <w:pPr>
        <w:spacing w:line="440" w:lineRule="exact"/>
        <w:ind w:firstLine="480"/>
        <w:rPr>
          <w:rFonts w:ascii="宋体" w:hAnsi="宋体"/>
          <w:sz w:val="22"/>
          <w:szCs w:val="22"/>
          <w:highlight w:val="none"/>
        </w:rPr>
      </w:pPr>
      <w:r>
        <w:rPr>
          <w:rFonts w:hint="eastAsia" w:ascii="宋体" w:hAnsi="宋体"/>
          <w:sz w:val="22"/>
          <w:szCs w:val="22"/>
          <w:highlight w:val="none"/>
        </w:rPr>
        <w:t>A．设备组成和工作原理；</w:t>
      </w:r>
    </w:p>
    <w:p>
      <w:pPr>
        <w:spacing w:line="440" w:lineRule="exact"/>
        <w:ind w:firstLine="480"/>
        <w:rPr>
          <w:rFonts w:ascii="宋体" w:hAnsi="宋体"/>
          <w:sz w:val="22"/>
          <w:szCs w:val="22"/>
          <w:highlight w:val="none"/>
        </w:rPr>
      </w:pPr>
      <w:r>
        <w:rPr>
          <w:rFonts w:hint="eastAsia" w:ascii="宋体" w:hAnsi="宋体"/>
          <w:sz w:val="22"/>
          <w:szCs w:val="22"/>
          <w:highlight w:val="none"/>
        </w:rPr>
        <w:t>B．设备的调试、测试；</w:t>
      </w:r>
    </w:p>
    <w:p>
      <w:pPr>
        <w:spacing w:line="440" w:lineRule="exact"/>
        <w:ind w:firstLine="480"/>
        <w:rPr>
          <w:rFonts w:ascii="宋体" w:hAnsi="宋体"/>
          <w:sz w:val="22"/>
          <w:szCs w:val="22"/>
          <w:highlight w:val="none"/>
        </w:rPr>
      </w:pPr>
      <w:r>
        <w:rPr>
          <w:rFonts w:hint="eastAsia" w:ascii="宋体" w:hAnsi="宋体"/>
          <w:sz w:val="22"/>
          <w:szCs w:val="22"/>
          <w:highlight w:val="none"/>
        </w:rPr>
        <w:t>C．设备的控制、操作和使用方法；</w:t>
      </w:r>
    </w:p>
    <w:p>
      <w:pPr>
        <w:spacing w:line="440" w:lineRule="exact"/>
        <w:ind w:firstLine="480"/>
        <w:rPr>
          <w:rFonts w:ascii="宋体" w:hAnsi="宋体"/>
          <w:sz w:val="22"/>
          <w:szCs w:val="22"/>
          <w:highlight w:val="none"/>
        </w:rPr>
      </w:pPr>
      <w:r>
        <w:rPr>
          <w:rFonts w:hint="eastAsia" w:ascii="宋体" w:hAnsi="宋体"/>
          <w:sz w:val="22"/>
          <w:szCs w:val="22"/>
          <w:highlight w:val="none"/>
        </w:rPr>
        <w:t>D．设备的日常维护和保养方法；</w:t>
      </w:r>
    </w:p>
    <w:p>
      <w:pPr>
        <w:spacing w:line="440" w:lineRule="exact"/>
        <w:rPr>
          <w:rFonts w:ascii="宋体" w:hAnsi="宋体"/>
          <w:spacing w:val="-4"/>
          <w:sz w:val="22"/>
          <w:szCs w:val="22"/>
          <w:highlight w:val="none"/>
        </w:rPr>
      </w:pPr>
      <w:r>
        <w:rPr>
          <w:rFonts w:hint="eastAsia" w:ascii="宋体" w:hAnsi="宋体"/>
          <w:spacing w:val="-4"/>
          <w:sz w:val="22"/>
          <w:szCs w:val="22"/>
          <w:highlight w:val="none"/>
        </w:rPr>
        <w:t>30、维修保障（如中标人承诺更优的维修保障，则以中标人响应时的承诺为准。）</w:t>
      </w:r>
    </w:p>
    <w:p>
      <w:pPr>
        <w:spacing w:line="440" w:lineRule="exact"/>
        <w:ind w:firstLine="480"/>
        <w:rPr>
          <w:rFonts w:ascii="宋体" w:hAnsi="宋体"/>
          <w:sz w:val="22"/>
          <w:szCs w:val="22"/>
          <w:highlight w:val="none"/>
        </w:rPr>
      </w:pPr>
      <w:r>
        <w:rPr>
          <w:rFonts w:hint="eastAsia" w:ascii="宋体" w:hAnsi="宋体"/>
          <w:sz w:val="22"/>
          <w:szCs w:val="22"/>
          <w:highlight w:val="none"/>
        </w:rPr>
        <w:t>30.1 在质量保证期内，一旦接到甲方的报修电话，乙方应在</w:t>
      </w:r>
      <w:r>
        <w:rPr>
          <w:rFonts w:hint="eastAsia" w:ascii="宋体" w:hAnsi="宋体"/>
          <w:sz w:val="22"/>
          <w:szCs w:val="22"/>
          <w:highlight w:val="none"/>
          <w:lang w:val="en-US" w:eastAsia="zh-CN"/>
        </w:rPr>
        <w:t>1</w:t>
      </w:r>
      <w:r>
        <w:rPr>
          <w:rFonts w:hint="eastAsia" w:ascii="宋体" w:hAnsi="宋体"/>
          <w:sz w:val="22"/>
          <w:szCs w:val="22"/>
          <w:highlight w:val="none"/>
        </w:rPr>
        <w:t>小时内作出响应，并在</w:t>
      </w:r>
      <w:r>
        <w:rPr>
          <w:rFonts w:hint="eastAsia" w:ascii="宋体" w:hAnsi="宋体"/>
          <w:sz w:val="22"/>
          <w:szCs w:val="22"/>
          <w:highlight w:val="none"/>
          <w:lang w:val="en-US" w:eastAsia="zh-CN"/>
        </w:rPr>
        <w:t>8</w:t>
      </w:r>
      <w:r>
        <w:rPr>
          <w:rFonts w:hint="eastAsia" w:ascii="宋体" w:hAnsi="宋体"/>
          <w:sz w:val="22"/>
          <w:szCs w:val="22"/>
          <w:highlight w:val="none"/>
        </w:rPr>
        <w:t>小时内派遣有经验的维修工程师到现场提供免费维修服务及配件更换；在质保期外，乙方有义务对所售设备进行终身维修，协商收取维修费用。</w:t>
      </w:r>
    </w:p>
    <w:p>
      <w:pPr>
        <w:spacing w:line="440" w:lineRule="exact"/>
        <w:ind w:firstLine="480"/>
        <w:rPr>
          <w:rFonts w:ascii="宋体" w:hAnsi="宋体"/>
          <w:sz w:val="22"/>
          <w:szCs w:val="22"/>
          <w:highlight w:val="none"/>
        </w:rPr>
      </w:pPr>
      <w:r>
        <w:rPr>
          <w:rFonts w:hint="eastAsia" w:ascii="宋体" w:hAnsi="宋体"/>
          <w:sz w:val="22"/>
          <w:szCs w:val="22"/>
          <w:highlight w:val="none"/>
        </w:rPr>
        <w:t>30.2 维修工程师赴现场后应及时对故障设备进行检修，对于一般故障在</w:t>
      </w:r>
      <w:r>
        <w:rPr>
          <w:rFonts w:ascii="宋体" w:hAnsi="宋体"/>
          <w:sz w:val="22"/>
          <w:szCs w:val="22"/>
          <w:highlight w:val="none"/>
        </w:rPr>
        <w:t>8</w:t>
      </w:r>
      <w:r>
        <w:rPr>
          <w:rFonts w:hint="eastAsia" w:ascii="宋体" w:hAnsi="宋体"/>
          <w:sz w:val="22"/>
          <w:szCs w:val="22"/>
          <w:highlight w:val="none"/>
        </w:rPr>
        <w:t>小时内修复，对于重大故障应在48小时内修复。</w:t>
      </w:r>
    </w:p>
    <w:p>
      <w:pPr>
        <w:spacing w:line="440" w:lineRule="exact"/>
        <w:rPr>
          <w:rFonts w:ascii="宋体" w:hAnsi="宋体"/>
          <w:sz w:val="22"/>
          <w:szCs w:val="22"/>
          <w:highlight w:val="none"/>
        </w:rPr>
      </w:pPr>
      <w:r>
        <w:rPr>
          <w:rFonts w:hint="eastAsia" w:ascii="宋体" w:hAnsi="宋体"/>
          <w:spacing w:val="-4"/>
          <w:sz w:val="22"/>
          <w:szCs w:val="22"/>
          <w:highlight w:val="none"/>
        </w:rPr>
        <w:t>31、备品、备件供应保障</w:t>
      </w:r>
    </w:p>
    <w:p>
      <w:pPr>
        <w:spacing w:line="440" w:lineRule="exact"/>
        <w:ind w:firstLine="480"/>
        <w:rPr>
          <w:rFonts w:ascii="宋体" w:hAnsi="宋体"/>
          <w:sz w:val="22"/>
          <w:szCs w:val="22"/>
          <w:highlight w:val="none"/>
        </w:rPr>
      </w:pPr>
      <w:r>
        <w:rPr>
          <w:rFonts w:hint="eastAsia" w:ascii="宋体" w:hAnsi="宋体"/>
          <w:sz w:val="22"/>
          <w:szCs w:val="22"/>
          <w:highlight w:val="none"/>
        </w:rPr>
        <w:t>31.1 乙方应在中国境内设有固定的备品、备件仓库或供应渠道。</w:t>
      </w:r>
    </w:p>
    <w:p>
      <w:pPr>
        <w:spacing w:line="440" w:lineRule="exact"/>
        <w:ind w:firstLine="480"/>
        <w:rPr>
          <w:rFonts w:ascii="宋体" w:hAnsi="宋体"/>
          <w:sz w:val="22"/>
          <w:szCs w:val="22"/>
          <w:highlight w:val="none"/>
        </w:rPr>
      </w:pPr>
      <w:r>
        <w:rPr>
          <w:rFonts w:hint="eastAsia" w:ascii="宋体" w:hAnsi="宋体"/>
          <w:sz w:val="22"/>
          <w:szCs w:val="22"/>
          <w:highlight w:val="none"/>
        </w:rPr>
        <w:t>31.2 在质量保证期满后，乙方仍应向甲方提供所有的备品、备件。备品、备件的价格不得高于公开价的80%。且不超过原合同报价，以低者为准。</w:t>
      </w:r>
    </w:p>
    <w:p>
      <w:pPr>
        <w:spacing w:line="440" w:lineRule="exact"/>
        <w:ind w:firstLine="480"/>
        <w:rPr>
          <w:rFonts w:ascii="宋体" w:hAnsi="宋体"/>
          <w:sz w:val="22"/>
          <w:szCs w:val="22"/>
          <w:highlight w:val="none"/>
        </w:rPr>
      </w:pPr>
      <w:r>
        <w:rPr>
          <w:rFonts w:hint="eastAsia" w:ascii="宋体" w:hAnsi="宋体"/>
          <w:sz w:val="22"/>
          <w:szCs w:val="22"/>
          <w:highlight w:val="none"/>
        </w:rPr>
        <w:t>31.3 当获知某备品、备件将停止生产，乙方应及时向甲方通报，以便甲方采取相应的措施。</w:t>
      </w:r>
    </w:p>
    <w:p>
      <w:pPr>
        <w:spacing w:line="440" w:lineRule="exact"/>
        <w:rPr>
          <w:rFonts w:ascii="宋体" w:hAnsi="宋体"/>
          <w:sz w:val="22"/>
          <w:szCs w:val="22"/>
          <w:highlight w:val="none"/>
        </w:rPr>
      </w:pPr>
      <w:r>
        <w:rPr>
          <w:rFonts w:hint="eastAsia" w:ascii="宋体" w:hAnsi="宋体"/>
          <w:sz w:val="22"/>
          <w:szCs w:val="22"/>
          <w:highlight w:val="none"/>
        </w:rPr>
        <w:t>32、适用法律</w:t>
      </w:r>
    </w:p>
    <w:p>
      <w:pPr>
        <w:spacing w:line="440" w:lineRule="exact"/>
        <w:ind w:firstLine="440" w:firstLineChars="200"/>
        <w:rPr>
          <w:rFonts w:ascii="宋体" w:hAnsi="宋体"/>
          <w:sz w:val="22"/>
          <w:szCs w:val="22"/>
          <w:highlight w:val="none"/>
        </w:rPr>
      </w:pPr>
      <w:r>
        <w:rPr>
          <w:rFonts w:hint="eastAsia" w:ascii="宋体" w:hAnsi="宋体"/>
          <w:sz w:val="22"/>
          <w:szCs w:val="22"/>
          <w:highlight w:val="none"/>
        </w:rPr>
        <w:t>本合同应按照中华人民共和国的法律进行解释。</w:t>
      </w:r>
    </w:p>
    <w:p>
      <w:pPr>
        <w:spacing w:line="440" w:lineRule="exact"/>
        <w:rPr>
          <w:rFonts w:ascii="宋体" w:hAnsi="宋体"/>
          <w:sz w:val="22"/>
          <w:szCs w:val="22"/>
          <w:highlight w:val="none"/>
        </w:rPr>
      </w:pPr>
      <w:r>
        <w:rPr>
          <w:rFonts w:hint="eastAsia" w:ascii="宋体" w:hAnsi="宋体"/>
          <w:sz w:val="22"/>
          <w:szCs w:val="22"/>
          <w:highlight w:val="none"/>
        </w:rPr>
        <w:t>33、合同生效及其它</w:t>
      </w:r>
    </w:p>
    <w:p>
      <w:pPr>
        <w:spacing w:line="440" w:lineRule="exact"/>
        <w:ind w:firstLine="437" w:firstLineChars="199"/>
        <w:rPr>
          <w:rFonts w:ascii="宋体" w:hAnsi="宋体"/>
          <w:sz w:val="22"/>
          <w:szCs w:val="22"/>
          <w:highlight w:val="none"/>
        </w:rPr>
      </w:pPr>
      <w:r>
        <w:rPr>
          <w:rFonts w:hint="eastAsia" w:ascii="宋体" w:hAnsi="宋体"/>
          <w:sz w:val="22"/>
          <w:szCs w:val="22"/>
          <w:highlight w:val="none"/>
        </w:rPr>
        <w:t>33.1合同甲方、乙方双方签字并加盖单位公章后开始生效。</w:t>
      </w:r>
    </w:p>
    <w:p>
      <w:pPr>
        <w:spacing w:line="440" w:lineRule="exact"/>
        <w:ind w:firstLine="480"/>
        <w:rPr>
          <w:rFonts w:ascii="宋体" w:hAnsi="宋体"/>
          <w:sz w:val="22"/>
          <w:szCs w:val="22"/>
          <w:highlight w:val="none"/>
        </w:rPr>
      </w:pPr>
      <w:r>
        <w:rPr>
          <w:rFonts w:hint="eastAsia" w:ascii="宋体" w:hAnsi="宋体"/>
          <w:sz w:val="22"/>
          <w:szCs w:val="22"/>
          <w:highlight w:val="none"/>
        </w:rPr>
        <w:t>33.2 如需修改或补充合同内容，经协商，双方应签署书面的修改或补充协议，该协议将作为本合同的一个组成部分。</w:t>
      </w:r>
    </w:p>
    <w:p>
      <w:pPr>
        <w:keepNext w:val="0"/>
        <w:keepLines w:val="0"/>
        <w:pageBreakBefore w:val="0"/>
        <w:kinsoku/>
        <w:wordWrap/>
        <w:overflowPunct/>
        <w:topLinePunct w:val="0"/>
        <w:autoSpaceDE/>
        <w:autoSpaceDN/>
        <w:bidi w:val="0"/>
        <w:adjustRightInd/>
        <w:snapToGrid/>
        <w:spacing w:beforeAutospacing="0" w:afterAutospacing="0" w:line="460" w:lineRule="exact"/>
        <w:ind w:left="0" w:firstLine="440" w:firstLineChars="200"/>
        <w:textAlignment w:val="auto"/>
        <w:rPr>
          <w:rFonts w:hint="eastAsia" w:ascii="宋体" w:hAnsi="宋体" w:eastAsia="宋体"/>
          <w:sz w:val="22"/>
          <w:szCs w:val="22"/>
          <w:highlight w:val="none"/>
          <w:lang w:eastAsia="zh-CN"/>
        </w:rPr>
      </w:pPr>
      <w:r>
        <w:rPr>
          <w:rFonts w:hint="eastAsia" w:ascii="宋体" w:hAnsi="宋体"/>
          <w:sz w:val="22"/>
          <w:szCs w:val="22"/>
          <w:highlight w:val="none"/>
        </w:rPr>
        <w:t xml:space="preserve">33.3 </w:t>
      </w:r>
      <w:r>
        <w:rPr>
          <w:rFonts w:hint="eastAsia" w:ascii="宋体" w:hAnsi="宋体"/>
          <w:spacing w:val="-4"/>
          <w:sz w:val="22"/>
          <w:szCs w:val="22"/>
          <w:highlight w:val="none"/>
        </w:rPr>
        <w:t>本合同一式柒份，</w:t>
      </w:r>
      <w:r>
        <w:rPr>
          <w:rFonts w:hint="eastAsia" w:ascii="宋体" w:hAnsi="宋体"/>
          <w:sz w:val="22"/>
          <w:szCs w:val="22"/>
          <w:highlight w:val="none"/>
        </w:rPr>
        <w:t>甲乙双方各</w:t>
      </w:r>
      <w:r>
        <w:rPr>
          <w:rFonts w:hint="eastAsia" w:ascii="宋体" w:hAnsi="宋体"/>
          <w:spacing w:val="-4"/>
          <w:sz w:val="22"/>
          <w:szCs w:val="22"/>
          <w:highlight w:val="none"/>
        </w:rPr>
        <w:t>执叁份，招标代理机构执壹份</w:t>
      </w:r>
      <w:r>
        <w:rPr>
          <w:rFonts w:hint="eastAsia" w:ascii="宋体" w:hAnsi="宋体"/>
          <w:sz w:val="22"/>
          <w:szCs w:val="22"/>
          <w:highlight w:val="none"/>
          <w:lang w:eastAsia="zh-CN"/>
        </w:rPr>
        <w:t>。</w:t>
      </w:r>
    </w:p>
    <w:p>
      <w:pPr>
        <w:snapToGrid w:val="0"/>
        <w:spacing w:line="440" w:lineRule="atLeast"/>
        <w:ind w:firstLine="431" w:firstLineChars="196"/>
        <w:rPr>
          <w:rFonts w:hint="eastAsia" w:ascii="宋体" w:hAnsi="宋体"/>
          <w:sz w:val="22"/>
          <w:szCs w:val="22"/>
          <w:highlight w:val="none"/>
        </w:rPr>
      </w:pPr>
    </w:p>
    <w:p>
      <w:pPr>
        <w:snapToGrid w:val="0"/>
        <w:spacing w:line="440" w:lineRule="atLeast"/>
        <w:ind w:firstLine="431" w:firstLineChars="196"/>
        <w:rPr>
          <w:rFonts w:ascii="宋体" w:hAnsi="宋体"/>
          <w:sz w:val="22"/>
          <w:szCs w:val="22"/>
          <w:highlight w:val="none"/>
        </w:rPr>
      </w:pPr>
      <w:r>
        <w:rPr>
          <w:rFonts w:hint="eastAsia" w:ascii="宋体" w:hAnsi="宋体"/>
          <w:sz w:val="22"/>
          <w:szCs w:val="22"/>
          <w:highlight w:val="none"/>
          <w:lang w:val="en-US" w:eastAsia="zh-CN"/>
        </w:rPr>
        <w:t>甲方</w:t>
      </w:r>
      <w:r>
        <w:rPr>
          <w:rFonts w:hint="eastAsia" w:ascii="宋体" w:hAnsi="宋体"/>
          <w:sz w:val="22"/>
          <w:szCs w:val="22"/>
          <w:highlight w:val="none"/>
        </w:rPr>
        <w:t xml:space="preserve">(盖章)：                                 </w:t>
      </w:r>
      <w:r>
        <w:rPr>
          <w:rFonts w:ascii="宋体" w:hAnsi="宋体"/>
          <w:sz w:val="22"/>
          <w:szCs w:val="22"/>
          <w:highlight w:val="none"/>
        </w:rPr>
        <w:t xml:space="preserve">  </w:t>
      </w:r>
      <w:r>
        <w:rPr>
          <w:rFonts w:hint="eastAsia" w:ascii="宋体" w:hAnsi="宋体"/>
          <w:sz w:val="22"/>
          <w:szCs w:val="22"/>
          <w:highlight w:val="none"/>
        </w:rPr>
        <w:t xml:space="preserve"> </w:t>
      </w:r>
      <w:r>
        <w:rPr>
          <w:rFonts w:hint="eastAsia" w:ascii="宋体" w:hAnsi="宋体"/>
          <w:sz w:val="22"/>
          <w:szCs w:val="22"/>
          <w:highlight w:val="none"/>
          <w:lang w:val="en-US" w:eastAsia="zh-CN"/>
        </w:rPr>
        <w:t>乙方</w:t>
      </w:r>
      <w:r>
        <w:rPr>
          <w:rFonts w:hint="eastAsia" w:ascii="宋体" w:hAnsi="宋体"/>
          <w:sz w:val="22"/>
          <w:szCs w:val="22"/>
          <w:highlight w:val="none"/>
        </w:rPr>
        <w:t>（盖章）</w:t>
      </w:r>
    </w:p>
    <w:p>
      <w:pPr>
        <w:snapToGrid w:val="0"/>
        <w:spacing w:line="440" w:lineRule="atLeast"/>
        <w:ind w:firstLine="431" w:firstLineChars="196"/>
        <w:rPr>
          <w:rFonts w:ascii="宋体" w:hAnsi="宋体"/>
          <w:sz w:val="22"/>
          <w:szCs w:val="22"/>
          <w:highlight w:val="none"/>
        </w:rPr>
      </w:pPr>
      <w:r>
        <w:rPr>
          <w:rFonts w:hint="eastAsia" w:ascii="宋体" w:hAnsi="宋体"/>
          <w:sz w:val="22"/>
          <w:szCs w:val="22"/>
          <w:highlight w:val="none"/>
        </w:rPr>
        <w:t>单位负责人（或授权代表）：                      单位负责人（或授权代表）：</w:t>
      </w:r>
    </w:p>
    <w:p>
      <w:pPr>
        <w:snapToGrid w:val="0"/>
        <w:spacing w:line="440" w:lineRule="atLeast"/>
        <w:ind w:firstLine="431" w:firstLineChars="196"/>
        <w:rPr>
          <w:rFonts w:ascii="宋体" w:hAnsi="宋体"/>
          <w:sz w:val="22"/>
          <w:szCs w:val="22"/>
          <w:highlight w:val="none"/>
        </w:rPr>
      </w:pPr>
      <w:r>
        <w:rPr>
          <w:rFonts w:hint="eastAsia" w:ascii="宋体" w:hAnsi="宋体"/>
          <w:sz w:val="22"/>
          <w:szCs w:val="22"/>
          <w:highlight w:val="none"/>
        </w:rPr>
        <w:t>开户银行：                                      开户银行：</w:t>
      </w:r>
    </w:p>
    <w:p>
      <w:pPr>
        <w:snapToGrid w:val="0"/>
        <w:spacing w:line="440" w:lineRule="atLeast"/>
        <w:ind w:firstLine="431" w:firstLineChars="196"/>
        <w:rPr>
          <w:rFonts w:ascii="宋体" w:hAnsi="宋体"/>
          <w:sz w:val="22"/>
          <w:szCs w:val="22"/>
          <w:highlight w:val="none"/>
        </w:rPr>
      </w:pPr>
      <w:r>
        <w:rPr>
          <w:rFonts w:hint="eastAsia" w:ascii="宋体" w:hAnsi="宋体"/>
          <w:sz w:val="22"/>
          <w:szCs w:val="22"/>
          <w:highlight w:val="none"/>
        </w:rPr>
        <w:t>开户名称：                                      开户名称：</w:t>
      </w:r>
    </w:p>
    <w:p>
      <w:pPr>
        <w:snapToGrid w:val="0"/>
        <w:spacing w:line="440" w:lineRule="atLeast"/>
        <w:ind w:firstLine="431" w:firstLineChars="196"/>
        <w:rPr>
          <w:rFonts w:ascii="宋体" w:hAnsi="宋体"/>
          <w:sz w:val="22"/>
          <w:szCs w:val="22"/>
          <w:highlight w:val="none"/>
        </w:rPr>
      </w:pPr>
      <w:r>
        <w:rPr>
          <w:rFonts w:hint="eastAsia" w:ascii="宋体" w:hAnsi="宋体"/>
          <w:sz w:val="22"/>
          <w:szCs w:val="22"/>
          <w:highlight w:val="none"/>
        </w:rPr>
        <w:t>账号：                                          账号：</w:t>
      </w:r>
    </w:p>
    <w:p>
      <w:pPr>
        <w:snapToGrid w:val="0"/>
        <w:spacing w:line="440" w:lineRule="atLeast"/>
        <w:ind w:firstLine="435" w:firstLineChars="198"/>
        <w:rPr>
          <w:rFonts w:ascii="宋体" w:hAnsi="宋体"/>
          <w:sz w:val="22"/>
          <w:szCs w:val="22"/>
          <w:highlight w:val="none"/>
        </w:rPr>
      </w:pPr>
      <w:r>
        <w:rPr>
          <w:rFonts w:hint="eastAsia" w:ascii="宋体" w:hAnsi="宋体"/>
          <w:sz w:val="22"/>
          <w:szCs w:val="22"/>
          <w:highlight w:val="none"/>
        </w:rPr>
        <w:t>签约日期：                                      签约日期：</w:t>
      </w:r>
    </w:p>
    <w:p>
      <w:pPr>
        <w:pStyle w:val="5"/>
        <w:spacing w:before="240" w:beforeLines="100"/>
        <w:rPr>
          <w:rFonts w:ascii="宋体" w:hAnsi="宋体" w:eastAsia="宋体" w:cs="Courier New"/>
          <w:sz w:val="44"/>
          <w:szCs w:val="44"/>
          <w:highlight w:val="none"/>
        </w:rPr>
      </w:pPr>
      <w:r>
        <w:rPr>
          <w:rFonts w:hint="eastAsia" w:ascii="宋体" w:hAnsi="宋体" w:eastAsia="宋体"/>
          <w:b w:val="0"/>
          <w:sz w:val="32"/>
          <w:highlight w:val="none"/>
        </w:rPr>
        <w:br w:type="page"/>
      </w:r>
      <w:bookmarkStart w:id="232" w:name="_Toc31204"/>
      <w:r>
        <w:rPr>
          <w:rFonts w:hint="eastAsia" w:ascii="宋体" w:hAnsi="宋体" w:eastAsia="宋体" w:cs="Courier New"/>
          <w:sz w:val="44"/>
          <w:szCs w:val="44"/>
          <w:highlight w:val="none"/>
        </w:rPr>
        <w:t xml:space="preserve">第三部分   </w:t>
      </w:r>
      <w:bookmarkEnd w:id="221"/>
      <w:bookmarkEnd w:id="222"/>
      <w:bookmarkEnd w:id="223"/>
      <w:bookmarkEnd w:id="224"/>
      <w:bookmarkEnd w:id="225"/>
      <w:bookmarkEnd w:id="226"/>
      <w:bookmarkEnd w:id="227"/>
      <w:bookmarkEnd w:id="228"/>
      <w:bookmarkEnd w:id="229"/>
      <w:bookmarkEnd w:id="230"/>
      <w:r>
        <w:rPr>
          <w:rFonts w:hint="eastAsia" w:ascii="宋体" w:hAnsi="宋体" w:eastAsia="宋体" w:cs="Courier New"/>
          <w:sz w:val="44"/>
          <w:szCs w:val="44"/>
          <w:highlight w:val="none"/>
        </w:rPr>
        <w:t>应提交的有关格式范例</w:t>
      </w:r>
      <w:bookmarkEnd w:id="232"/>
    </w:p>
    <w:p>
      <w:pPr>
        <w:rPr>
          <w:rFonts w:ascii="宋体" w:hAnsi="宋体"/>
          <w:highlight w:val="none"/>
        </w:rPr>
      </w:pPr>
    </w:p>
    <w:p>
      <w:pPr>
        <w:snapToGrid w:val="0"/>
        <w:spacing w:line="360" w:lineRule="auto"/>
        <w:rPr>
          <w:rFonts w:ascii="宋体" w:hAnsi="宋体" w:cs="宋体"/>
          <w:b/>
          <w:sz w:val="24"/>
          <w:highlight w:val="none"/>
        </w:rPr>
      </w:pPr>
      <w:r>
        <w:rPr>
          <w:rFonts w:hint="eastAsia" w:ascii="宋体" w:hAnsi="宋体" w:cs="宋体"/>
          <w:b/>
          <w:sz w:val="24"/>
          <w:highlight w:val="none"/>
        </w:rPr>
        <w:t>投标人提交投标文件须知：</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1、投标人</w:t>
      </w:r>
      <w:bookmarkStart w:id="233" w:name="_Hlk100427756"/>
      <w:r>
        <w:rPr>
          <w:rFonts w:hint="eastAsia" w:ascii="宋体" w:hAnsi="宋体" w:cs="宋体"/>
          <w:sz w:val="24"/>
          <w:highlight w:val="none"/>
        </w:rPr>
        <w:t>应按照招标文件要求提交下述规定的全部格式文件以及其他有关资料，混乱的编排</w:t>
      </w:r>
      <w:bookmarkStart w:id="234" w:name="_Hlk36726443"/>
      <w:r>
        <w:rPr>
          <w:rFonts w:hint="eastAsia" w:ascii="宋体" w:hAnsi="宋体" w:cs="宋体"/>
          <w:sz w:val="24"/>
          <w:highlight w:val="none"/>
        </w:rPr>
        <w:t>或未关联</w:t>
      </w:r>
      <w:bookmarkEnd w:id="234"/>
      <w:r>
        <w:rPr>
          <w:rFonts w:hint="eastAsia" w:ascii="宋体" w:hAnsi="宋体" w:cs="宋体"/>
          <w:sz w:val="24"/>
          <w:highlight w:val="none"/>
        </w:rPr>
        <w:t>定位导致投标文件被误读或评标委员会查找不到有效文件是投标人的风险。</w:t>
      </w:r>
      <w:bookmarkEnd w:id="233"/>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2、所附表格中要求回答的全部问题和/或信息都必须正面回答。</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3、签字人应保证全部声明和问题的回答是真实的和准确的。</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4、评标委员会将应用投标人提交的资料作出自己的判断。</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5、投标人提交的材料将在一定期限内被保密保存，但不退还。</w:t>
      </w:r>
    </w:p>
    <w:p>
      <w:pPr>
        <w:snapToGrid w:val="0"/>
        <w:spacing w:line="360" w:lineRule="auto"/>
        <w:ind w:firstLine="480" w:firstLineChars="200"/>
        <w:rPr>
          <w:rFonts w:ascii="宋体" w:hAnsi="宋体" w:cs="宋体"/>
          <w:b/>
          <w:sz w:val="24"/>
          <w:highlight w:val="none"/>
        </w:rPr>
      </w:pPr>
      <w:r>
        <w:rPr>
          <w:rFonts w:hint="eastAsia" w:ascii="宋体" w:hAnsi="宋体" w:cs="宋体"/>
          <w:sz w:val="24"/>
          <w:highlight w:val="none"/>
        </w:rPr>
        <w:t>6、全部文件应按投标人须知中规定的语言和份数提交。投标文件组成漏项或未按规定的格式编制，内容不全或内容字迹模糊辨认不清的情况，</w:t>
      </w:r>
      <w:r>
        <w:rPr>
          <w:rFonts w:hint="eastAsia" w:ascii="宋体" w:hAnsi="宋体" w:cs="宋体"/>
          <w:b/>
          <w:sz w:val="24"/>
          <w:highlight w:val="none"/>
        </w:rPr>
        <w:t>将有可能被评标委员会认定为</w:t>
      </w:r>
      <w:r>
        <w:rPr>
          <w:rFonts w:hint="eastAsia" w:ascii="宋体" w:hAnsi="宋体" w:cs="宋体"/>
          <w:b/>
          <w:bCs/>
          <w:sz w:val="24"/>
          <w:highlight w:val="none"/>
        </w:rPr>
        <w:t>投标无效</w:t>
      </w:r>
      <w:r>
        <w:rPr>
          <w:rFonts w:hint="eastAsia" w:ascii="宋体" w:hAnsi="宋体" w:cs="宋体"/>
          <w:b/>
          <w:sz w:val="24"/>
          <w:highlight w:val="none"/>
        </w:rPr>
        <w:t>。</w:t>
      </w:r>
    </w:p>
    <w:p>
      <w:pPr>
        <w:snapToGrid w:val="0"/>
        <w:spacing w:line="360" w:lineRule="auto"/>
        <w:ind w:firstLine="482" w:firstLineChars="200"/>
        <w:rPr>
          <w:rFonts w:ascii="宋体" w:hAnsi="宋体" w:cs="宋体"/>
          <w:b/>
          <w:sz w:val="24"/>
          <w:highlight w:val="none"/>
          <w:u w:val="single"/>
        </w:rPr>
      </w:pPr>
      <w:r>
        <w:rPr>
          <w:rFonts w:hint="eastAsia" w:ascii="宋体" w:hAnsi="宋体" w:cs="宋体"/>
          <w:b/>
          <w:sz w:val="24"/>
          <w:highlight w:val="none"/>
          <w:u w:val="single"/>
        </w:rPr>
        <w:t>7、要求中涉及提供证明（或材料）复印件的，也可提供扫描件制作进投标文件内。</w:t>
      </w:r>
    </w:p>
    <w:p>
      <w:pPr>
        <w:snapToGrid w:val="0"/>
        <w:spacing w:line="360" w:lineRule="auto"/>
        <w:ind w:firstLine="482" w:firstLineChars="200"/>
        <w:rPr>
          <w:rFonts w:ascii="宋体" w:hAnsi="宋体" w:cs="宋体"/>
          <w:b/>
          <w:sz w:val="24"/>
          <w:highlight w:val="none"/>
          <w:u w:val="single"/>
        </w:rPr>
      </w:pPr>
      <w:r>
        <w:rPr>
          <w:rFonts w:ascii="宋体" w:hAnsi="宋体" w:cs="宋体"/>
          <w:b/>
          <w:sz w:val="24"/>
          <w:highlight w:val="none"/>
          <w:u w:val="single"/>
        </w:rPr>
        <w:t>8</w:t>
      </w:r>
      <w:r>
        <w:rPr>
          <w:rFonts w:hint="eastAsia" w:ascii="宋体" w:hAnsi="宋体" w:cs="宋体"/>
          <w:b/>
          <w:sz w:val="24"/>
          <w:highlight w:val="none"/>
          <w:u w:val="single"/>
        </w:rPr>
        <w:t>、招标文件“采购内容及要求”中提供的可能涉及到的工艺、材料、设备、商标、样本、技术规范、参数规格、品牌等，仅作为说明并没有限制性，投标人在投标时可以选用替代，但这些替代的品牌、产品技术标准要优于或相当于项目采购需求中要求的标准，以满足</w:t>
      </w:r>
      <w:r>
        <w:rPr>
          <w:rFonts w:hint="eastAsia" w:ascii="宋体" w:hAnsi="宋体" w:cs="宋体"/>
          <w:b/>
          <w:sz w:val="24"/>
          <w:highlight w:val="none"/>
          <w:u w:val="single"/>
          <w:lang w:eastAsia="zh-CN"/>
        </w:rPr>
        <w:t>甲方</w:t>
      </w:r>
      <w:r>
        <w:rPr>
          <w:rFonts w:hint="eastAsia" w:ascii="宋体" w:hAnsi="宋体" w:cs="宋体"/>
          <w:b/>
          <w:sz w:val="24"/>
          <w:highlight w:val="none"/>
          <w:u w:val="single"/>
        </w:rPr>
        <w:t>的需要。</w:t>
      </w:r>
    </w:p>
    <w:p>
      <w:pPr>
        <w:rPr>
          <w:rFonts w:ascii="宋体" w:hAnsi="宋体"/>
          <w:highlight w:val="none"/>
        </w:rPr>
      </w:pPr>
    </w:p>
    <w:p>
      <w:pPr>
        <w:rPr>
          <w:rFonts w:ascii="宋体" w:hAnsi="宋体"/>
          <w:highlight w:val="none"/>
        </w:rPr>
      </w:pPr>
    </w:p>
    <w:p>
      <w:pPr>
        <w:rPr>
          <w:rFonts w:ascii="宋体" w:hAnsi="宋体"/>
          <w:highlight w:val="none"/>
        </w:rPr>
      </w:pPr>
    </w:p>
    <w:p>
      <w:pPr>
        <w:pStyle w:val="7"/>
        <w:keepNext/>
        <w:widowControl w:val="0"/>
        <w:autoSpaceDE/>
        <w:autoSpaceDN/>
        <w:adjustRightInd/>
        <w:spacing w:before="0" w:line="360" w:lineRule="auto"/>
        <w:jc w:val="center"/>
        <w:rPr>
          <w:rFonts w:ascii="宋体" w:hAnsi="宋体" w:eastAsia="宋体"/>
          <w:bCs/>
          <w:highlight w:val="none"/>
        </w:rPr>
      </w:pPr>
      <w:bookmarkStart w:id="235" w:name="_Toc33194403"/>
      <w:r>
        <w:rPr>
          <w:rFonts w:ascii="宋体" w:hAnsi="宋体" w:eastAsia="宋体"/>
          <w:bCs/>
          <w:highlight w:val="none"/>
        </w:rPr>
        <w:br w:type="page"/>
      </w:r>
      <w:bookmarkStart w:id="236" w:name="_Toc34761242"/>
    </w:p>
    <w:p>
      <w:pPr>
        <w:rPr>
          <w:highlight w:val="none"/>
        </w:rPr>
      </w:pPr>
    </w:p>
    <w:p>
      <w:pPr>
        <w:pStyle w:val="7"/>
        <w:keepNext/>
        <w:widowControl w:val="0"/>
        <w:autoSpaceDE/>
        <w:autoSpaceDN/>
        <w:adjustRightInd/>
        <w:spacing w:before="0" w:line="360" w:lineRule="auto"/>
        <w:jc w:val="center"/>
        <w:rPr>
          <w:rFonts w:ascii="Times New Roman" w:hAnsi="Times New Roman" w:eastAsia="宋体"/>
          <w:b/>
          <w:bCs/>
          <w:sz w:val="44"/>
          <w:szCs w:val="26"/>
          <w:highlight w:val="none"/>
        </w:rPr>
      </w:pPr>
      <w:bookmarkStart w:id="237" w:name="_Toc12883"/>
      <w:r>
        <w:rPr>
          <w:rFonts w:hint="eastAsia" w:ascii="Times New Roman" w:hAnsi="Times New Roman" w:eastAsia="宋体"/>
          <w:b/>
          <w:bCs/>
          <w:sz w:val="44"/>
          <w:szCs w:val="26"/>
          <w:highlight w:val="none"/>
        </w:rPr>
        <w:t>资格文件</w:t>
      </w:r>
      <w:bookmarkEnd w:id="235"/>
      <w:bookmarkEnd w:id="236"/>
      <w:bookmarkEnd w:id="237"/>
    </w:p>
    <w:p>
      <w:pPr>
        <w:rPr>
          <w:highlight w:val="none"/>
        </w:rPr>
      </w:pPr>
    </w:p>
    <w:p>
      <w:pPr>
        <w:tabs>
          <w:tab w:val="left" w:pos="0"/>
          <w:tab w:val="left" w:pos="600"/>
        </w:tabs>
        <w:spacing w:line="400" w:lineRule="exact"/>
        <w:jc w:val="center"/>
        <w:rPr>
          <w:rFonts w:ascii="宋体" w:hAnsi="宋体" w:cs="Times New Roman"/>
          <w:b/>
          <w:bCs/>
          <w:sz w:val="28"/>
          <w:szCs w:val="28"/>
          <w:highlight w:val="none"/>
        </w:rPr>
      </w:pPr>
      <w:r>
        <w:rPr>
          <w:rFonts w:ascii="宋体" w:hAnsi="宋体" w:cs="Times New Roman"/>
          <w:b/>
          <w:bCs/>
          <w:sz w:val="28"/>
          <w:szCs w:val="28"/>
          <w:highlight w:val="none"/>
        </w:rPr>
        <w:t>一、</w:t>
      </w:r>
      <w:r>
        <w:rPr>
          <w:rFonts w:hint="eastAsia" w:ascii="宋体" w:hAnsi="宋体" w:cs="Times New Roman"/>
          <w:b/>
          <w:bCs/>
          <w:sz w:val="28"/>
          <w:szCs w:val="28"/>
          <w:highlight w:val="none"/>
        </w:rPr>
        <w:t>资格声明书</w:t>
      </w:r>
    </w:p>
    <w:p>
      <w:pPr>
        <w:pStyle w:val="17"/>
        <w:spacing w:line="360" w:lineRule="auto"/>
        <w:rPr>
          <w:rFonts w:ascii="宋体" w:hAnsi="宋体" w:eastAsia="宋体" w:cs="Courier New"/>
          <w:sz w:val="22"/>
          <w:szCs w:val="22"/>
          <w:highlight w:val="none"/>
        </w:rPr>
      </w:pPr>
      <w:r>
        <w:rPr>
          <w:rFonts w:hint="eastAsia" w:ascii="宋体" w:hAnsi="宋体" w:eastAsia="宋体" w:cs="Courier New"/>
          <w:sz w:val="22"/>
          <w:szCs w:val="22"/>
          <w:highlight w:val="none"/>
          <w:lang w:eastAsia="zh-CN"/>
        </w:rPr>
        <w:t>平阳县盈泽控股有限公司</w:t>
      </w:r>
      <w:r>
        <w:rPr>
          <w:rFonts w:hint="eastAsia" w:ascii="宋体" w:hAnsi="宋体" w:eastAsia="宋体" w:cs="Courier New"/>
          <w:sz w:val="22"/>
          <w:szCs w:val="22"/>
          <w:highlight w:val="none"/>
        </w:rPr>
        <w:t>：</w:t>
      </w:r>
    </w:p>
    <w:p>
      <w:pPr>
        <w:pStyle w:val="17"/>
        <w:spacing w:line="360" w:lineRule="auto"/>
        <w:rPr>
          <w:rFonts w:ascii="宋体" w:hAnsi="宋体" w:eastAsia="宋体" w:cs="Courier New"/>
          <w:sz w:val="22"/>
          <w:szCs w:val="22"/>
          <w:highlight w:val="none"/>
        </w:rPr>
      </w:pPr>
      <w:r>
        <w:rPr>
          <w:rFonts w:hint="eastAsia" w:ascii="宋体" w:hAnsi="宋体" w:eastAsia="宋体" w:cs="Courier New"/>
          <w:sz w:val="22"/>
          <w:szCs w:val="22"/>
          <w:highlight w:val="none"/>
          <w:lang w:eastAsia="zh-CN"/>
        </w:rPr>
        <w:t>温州众晨项目管理有限公司</w:t>
      </w:r>
      <w:r>
        <w:rPr>
          <w:rFonts w:hint="eastAsia" w:ascii="宋体" w:hAnsi="宋体" w:eastAsia="宋体" w:cs="Courier New"/>
          <w:sz w:val="22"/>
          <w:szCs w:val="22"/>
          <w:highlight w:val="none"/>
        </w:rPr>
        <w:t>：</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我方此次参加本项目采购活动，郑重承诺：</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（一）</w:t>
      </w:r>
      <w:r>
        <w:rPr>
          <w:rFonts w:hint="eastAsia" w:ascii="宋体" w:hAnsi="宋体" w:eastAsia="宋体" w:cs="宋体"/>
          <w:color w:val="auto"/>
          <w:sz w:val="22"/>
          <w:highlight w:val="none"/>
          <w:lang w:val="en-US" w:eastAsia="zh-CN"/>
        </w:rPr>
        <w:t>满足</w:t>
      </w:r>
      <w:r>
        <w:rPr>
          <w:rFonts w:hint="eastAsia" w:ascii="宋体" w:hAnsi="宋体" w:eastAsia="宋体" w:cs="宋体"/>
          <w:color w:val="auto"/>
          <w:sz w:val="22"/>
          <w:highlight w:val="none"/>
        </w:rPr>
        <w:t>《平阳县县属国有企业采购管理办法（试行）》</w:t>
      </w:r>
      <w:r>
        <w:rPr>
          <w:rFonts w:hint="eastAsia" w:ascii="宋体" w:hAnsi="宋体" w:eastAsia="宋体" w:cs="宋体"/>
          <w:color w:val="auto"/>
          <w:sz w:val="22"/>
          <w:highlight w:val="none"/>
          <w:lang w:eastAsia="zh-CN"/>
        </w:rPr>
        <w:t>（平国资办〔2021〕81号）</w:t>
      </w:r>
      <w:r>
        <w:rPr>
          <w:rFonts w:hint="eastAsia" w:ascii="宋体" w:hAnsi="宋体" w:eastAsia="宋体" w:cs="宋体"/>
          <w:color w:val="auto"/>
          <w:sz w:val="22"/>
          <w:highlight w:val="none"/>
        </w:rPr>
        <w:t>第</w:t>
      </w:r>
      <w:r>
        <w:rPr>
          <w:rFonts w:hint="eastAsia" w:ascii="宋体" w:hAnsi="宋体" w:eastAsia="宋体" w:cs="宋体"/>
          <w:color w:val="auto"/>
          <w:sz w:val="22"/>
          <w:highlight w:val="none"/>
          <w:lang w:val="en-US" w:eastAsia="zh-CN"/>
        </w:rPr>
        <w:t>十四</w:t>
      </w:r>
      <w:r>
        <w:rPr>
          <w:rFonts w:hint="eastAsia" w:ascii="宋体" w:hAnsi="宋体" w:eastAsia="宋体" w:cs="宋体"/>
          <w:color w:val="auto"/>
          <w:sz w:val="22"/>
          <w:highlight w:val="none"/>
        </w:rPr>
        <w:t>条规定，我单位满足以下条件</w:t>
      </w:r>
      <w:r>
        <w:rPr>
          <w:rFonts w:hint="eastAsia" w:ascii="宋体" w:hAnsi="宋体" w:eastAsia="宋体" w:cs="Courier New"/>
          <w:sz w:val="22"/>
          <w:szCs w:val="22"/>
          <w:highlight w:val="none"/>
        </w:rPr>
        <w:t>：</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1、</w:t>
      </w:r>
      <w:r>
        <w:rPr>
          <w:rFonts w:ascii="宋体" w:hAnsi="宋体" w:eastAsia="宋体" w:cs="Courier New"/>
          <w:sz w:val="22"/>
          <w:szCs w:val="22"/>
          <w:highlight w:val="none"/>
        </w:rPr>
        <w:t>具有独立承担民事责任的能力；</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2、</w:t>
      </w:r>
      <w:r>
        <w:rPr>
          <w:rFonts w:ascii="宋体" w:hAnsi="宋体" w:eastAsia="宋体" w:cs="Courier New"/>
          <w:sz w:val="22"/>
          <w:szCs w:val="22"/>
          <w:highlight w:val="none"/>
        </w:rPr>
        <w:t xml:space="preserve">具有良好的商业信誉和健全的财务会计制度； </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3、</w:t>
      </w:r>
      <w:r>
        <w:rPr>
          <w:rFonts w:ascii="宋体" w:hAnsi="宋体" w:eastAsia="宋体" w:cs="Courier New"/>
          <w:sz w:val="22"/>
          <w:szCs w:val="22"/>
          <w:highlight w:val="none"/>
        </w:rPr>
        <w:t>具有履行合同所必需的设备和专业技术能力；</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4、</w:t>
      </w:r>
      <w:r>
        <w:rPr>
          <w:rFonts w:ascii="宋体" w:hAnsi="宋体" w:eastAsia="宋体" w:cs="Courier New"/>
          <w:sz w:val="22"/>
          <w:szCs w:val="22"/>
          <w:highlight w:val="none"/>
        </w:rPr>
        <w:t>有依法缴纳税收和社会保障资金的良好记录；</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5、</w:t>
      </w:r>
      <w:r>
        <w:rPr>
          <w:rFonts w:ascii="宋体" w:hAnsi="宋体" w:eastAsia="宋体" w:cs="Courier New"/>
          <w:sz w:val="22"/>
          <w:szCs w:val="22"/>
          <w:highlight w:val="none"/>
        </w:rPr>
        <w:t>参加采购活动前三年内，在经营活动中没有重大违法记录；</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6、</w:t>
      </w:r>
      <w:r>
        <w:rPr>
          <w:rFonts w:ascii="宋体" w:hAnsi="宋体" w:eastAsia="宋体" w:cs="Courier New"/>
          <w:sz w:val="22"/>
          <w:szCs w:val="22"/>
          <w:highlight w:val="none"/>
        </w:rPr>
        <w:t>具有法律、行政法规规定的其他条件。</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（二）未被信用中国（</w:t>
      </w:r>
      <w:r>
        <w:rPr>
          <w:rFonts w:ascii="宋体" w:hAnsi="宋体" w:eastAsia="宋体" w:cs="Courier New"/>
          <w:sz w:val="22"/>
          <w:szCs w:val="22"/>
          <w:highlight w:val="none"/>
        </w:rPr>
        <w:t>www.creditchina.gov.cn)、中国政府采购网（www.ccgp.gov.cn）列入失信被执行人、重大税收违法案件当事人名单、政府采购严重违法失信行为记录名单。</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（三）不存在以下情况：</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1、</w:t>
      </w:r>
      <w:r>
        <w:rPr>
          <w:rFonts w:ascii="宋体" w:hAnsi="宋体" w:eastAsia="宋体" w:cs="Courier New"/>
          <w:sz w:val="22"/>
          <w:szCs w:val="22"/>
          <w:highlight w:val="none"/>
        </w:rPr>
        <w:t>单位负责人为同一人或者存在直接控股、管理关系的不同供应商参加同一合同项下的采购活动的；</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2、</w:t>
      </w:r>
      <w:r>
        <w:rPr>
          <w:rFonts w:ascii="宋体" w:hAnsi="宋体" w:eastAsia="宋体" w:cs="Courier New"/>
          <w:sz w:val="22"/>
          <w:szCs w:val="22"/>
          <w:highlight w:val="none"/>
        </w:rPr>
        <w:t>为采购项目提供整体设计、规范编制或者项目管理、监理、检测等服务后再参加该采购项目的其他采购活动的</w:t>
      </w:r>
      <w:r>
        <w:rPr>
          <w:rFonts w:hint="eastAsia" w:ascii="宋体" w:hAnsi="宋体" w:eastAsia="宋体" w:cs="Courier New"/>
          <w:sz w:val="22"/>
          <w:szCs w:val="22"/>
          <w:highlight w:val="none"/>
        </w:rPr>
        <w:t>；</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eastAsia="宋体" w:cs="Courier New"/>
          <w:sz w:val="22"/>
          <w:szCs w:val="22"/>
          <w:highlight w:val="none"/>
        </w:rPr>
        <w:t>3、公益一类事业单位、使用事业编制且由财政拨款保障的群团组织，作为购买服务的购买主体和承接主体</w:t>
      </w:r>
      <w:r>
        <w:rPr>
          <w:rFonts w:ascii="宋体" w:hAnsi="宋体" w:eastAsia="宋体" w:cs="Courier New"/>
          <w:sz w:val="22"/>
          <w:szCs w:val="22"/>
          <w:highlight w:val="none"/>
        </w:rPr>
        <w:t>（仅适用于购买服务项目）</w:t>
      </w:r>
      <w:r>
        <w:rPr>
          <w:rFonts w:hint="eastAsia" w:ascii="宋体" w:hAnsi="宋体" w:eastAsia="宋体" w:cs="Courier New"/>
          <w:sz w:val="22"/>
          <w:szCs w:val="22"/>
          <w:highlight w:val="none"/>
        </w:rPr>
        <w:t>；</w:t>
      </w:r>
    </w:p>
    <w:p>
      <w:pPr>
        <w:pStyle w:val="17"/>
        <w:spacing w:line="360" w:lineRule="auto"/>
        <w:ind w:firstLine="440" w:firstLineChars="200"/>
        <w:rPr>
          <w:rFonts w:ascii="宋体" w:hAnsi="宋体" w:eastAsia="宋体" w:cs="Courier New"/>
          <w:sz w:val="22"/>
          <w:szCs w:val="22"/>
          <w:highlight w:val="none"/>
        </w:rPr>
      </w:pPr>
      <w:r>
        <w:rPr>
          <w:rFonts w:hint="eastAsia" w:ascii="宋体" w:hAnsi="宋体"/>
          <w:bCs/>
          <w:sz w:val="22"/>
          <w:szCs w:val="22"/>
          <w:highlight w:val="none"/>
        </w:rPr>
        <w:t>4、恶意串通、妨碍其他投标人的竞争行为、损害</w:t>
      </w:r>
      <w:r>
        <w:rPr>
          <w:rFonts w:hint="eastAsia" w:ascii="宋体" w:hAnsi="宋体"/>
          <w:bCs/>
          <w:sz w:val="22"/>
          <w:szCs w:val="22"/>
          <w:highlight w:val="none"/>
          <w:lang w:eastAsia="zh-CN"/>
        </w:rPr>
        <w:t>甲方</w:t>
      </w:r>
      <w:r>
        <w:rPr>
          <w:rFonts w:hint="eastAsia" w:ascii="宋体" w:hAnsi="宋体"/>
          <w:bCs/>
          <w:sz w:val="22"/>
          <w:szCs w:val="22"/>
          <w:highlight w:val="none"/>
        </w:rPr>
        <w:t>或者其他投标人的合法权益情形的；</w:t>
      </w:r>
    </w:p>
    <w:p>
      <w:pPr>
        <w:pStyle w:val="17"/>
        <w:spacing w:line="360" w:lineRule="auto"/>
        <w:ind w:firstLine="440" w:firstLineChars="200"/>
        <w:rPr>
          <w:rFonts w:ascii="宋体" w:hAnsi="宋体" w:eastAsia="宋体" w:cs="Courier New"/>
          <w:sz w:val="22"/>
          <w:szCs w:val="22"/>
          <w:highlight w:val="none"/>
        </w:rPr>
      </w:pPr>
      <w:r>
        <w:rPr>
          <w:rFonts w:ascii="宋体" w:hAnsi="宋体" w:eastAsia="宋体" w:cs="Courier New"/>
          <w:sz w:val="22"/>
          <w:szCs w:val="22"/>
          <w:highlight w:val="none"/>
        </w:rPr>
        <w:t>5</w:t>
      </w:r>
      <w:r>
        <w:rPr>
          <w:rFonts w:hint="eastAsia" w:ascii="宋体" w:hAnsi="宋体" w:eastAsia="宋体" w:cs="Courier New"/>
          <w:sz w:val="22"/>
          <w:szCs w:val="22"/>
          <w:highlight w:val="none"/>
        </w:rPr>
        <w:t>、招标文件第一部分投标人须知2</w:t>
      </w:r>
      <w:r>
        <w:rPr>
          <w:rFonts w:ascii="宋体" w:hAnsi="宋体" w:eastAsia="宋体" w:cs="Courier New"/>
          <w:sz w:val="22"/>
          <w:szCs w:val="22"/>
          <w:highlight w:val="none"/>
        </w:rPr>
        <w:t>6</w:t>
      </w:r>
      <w:r>
        <w:rPr>
          <w:rFonts w:hint="eastAsia" w:ascii="宋体" w:hAnsi="宋体" w:eastAsia="宋体" w:cs="Courier New"/>
          <w:sz w:val="22"/>
          <w:szCs w:val="22"/>
          <w:highlight w:val="none"/>
        </w:rPr>
        <w:t>.4款 “投标人串通投标”中任意情形之一。</w:t>
      </w:r>
    </w:p>
    <w:p>
      <w:pPr>
        <w:tabs>
          <w:tab w:val="left" w:pos="840"/>
        </w:tabs>
        <w:adjustRightInd w:val="0"/>
        <w:snapToGrid w:val="0"/>
        <w:spacing w:line="360" w:lineRule="auto"/>
        <w:ind w:left="420" w:leftChars="200" w:firstLine="330" w:firstLineChars="150"/>
        <w:rPr>
          <w:rFonts w:hint="eastAsia" w:ascii="宋体" w:hAnsi="宋体" w:cs="Courier New"/>
          <w:bCs/>
          <w:sz w:val="22"/>
          <w:szCs w:val="22"/>
          <w:highlight w:val="none"/>
        </w:rPr>
      </w:pPr>
    </w:p>
    <w:p>
      <w:pPr>
        <w:tabs>
          <w:tab w:val="left" w:pos="840"/>
        </w:tabs>
        <w:adjustRightInd w:val="0"/>
        <w:snapToGrid w:val="0"/>
        <w:spacing w:line="360" w:lineRule="auto"/>
        <w:ind w:left="420" w:leftChars="200" w:firstLine="330" w:firstLineChars="150"/>
        <w:rPr>
          <w:rFonts w:hint="eastAsia" w:ascii="宋体" w:hAnsi="宋体" w:cs="Courier New"/>
          <w:bCs/>
          <w:sz w:val="22"/>
          <w:szCs w:val="22"/>
          <w:highlight w:val="none"/>
        </w:rPr>
      </w:pPr>
    </w:p>
    <w:p>
      <w:pPr>
        <w:tabs>
          <w:tab w:val="left" w:pos="840"/>
        </w:tabs>
        <w:adjustRightInd w:val="0"/>
        <w:snapToGrid w:val="0"/>
        <w:spacing w:line="360" w:lineRule="auto"/>
        <w:ind w:left="420" w:leftChars="200" w:firstLine="330" w:firstLineChars="150"/>
        <w:rPr>
          <w:rFonts w:ascii="宋体" w:hAnsi="宋体" w:cs="Courier New"/>
          <w:bCs/>
          <w:sz w:val="22"/>
          <w:szCs w:val="22"/>
          <w:highlight w:val="none"/>
        </w:rPr>
      </w:pPr>
      <w:r>
        <w:rPr>
          <w:rFonts w:hint="eastAsia" w:ascii="宋体" w:hAnsi="宋体" w:cs="Courier New"/>
          <w:bCs/>
          <w:sz w:val="22"/>
          <w:szCs w:val="22"/>
          <w:highlight w:val="none"/>
        </w:rPr>
        <w:t>投标人全称（盖章）：</w:t>
      </w:r>
    </w:p>
    <w:p>
      <w:pPr>
        <w:tabs>
          <w:tab w:val="left" w:pos="840"/>
        </w:tabs>
        <w:adjustRightInd w:val="0"/>
        <w:snapToGrid w:val="0"/>
        <w:spacing w:line="360" w:lineRule="auto"/>
        <w:ind w:left="420" w:leftChars="200" w:firstLine="330" w:firstLineChars="150"/>
        <w:rPr>
          <w:rFonts w:ascii="宋体" w:hAnsi="宋体"/>
          <w:sz w:val="22"/>
          <w:szCs w:val="22"/>
          <w:highlight w:val="none"/>
        </w:rPr>
      </w:pPr>
      <w:r>
        <w:rPr>
          <w:rFonts w:hint="eastAsia" w:ascii="宋体" w:hAnsi="宋体"/>
          <w:sz w:val="22"/>
          <w:szCs w:val="22"/>
          <w:highlight w:val="none"/>
        </w:rPr>
        <w:t>日          期：  年  月  日</w:t>
      </w:r>
    </w:p>
    <w:p>
      <w:pPr>
        <w:widowControl/>
        <w:jc w:val="left"/>
        <w:rPr>
          <w:rFonts w:eastAsia="宋体,Verdana,Arial"/>
          <w:highlight w:val="none"/>
        </w:rPr>
      </w:pPr>
      <w:r>
        <w:rPr>
          <w:highlight w:val="none"/>
        </w:rPr>
        <w:br w:type="page"/>
      </w:r>
    </w:p>
    <w:p>
      <w:pPr>
        <w:pStyle w:val="2"/>
        <w:rPr>
          <w:highlight w:val="none"/>
        </w:rPr>
      </w:pPr>
    </w:p>
    <w:p>
      <w:pPr>
        <w:shd w:val="clear" w:color="auto" w:fill="FFFFFF"/>
        <w:tabs>
          <w:tab w:val="right" w:leader="middleDot" w:pos="9356"/>
        </w:tabs>
        <w:snapToGrid w:val="0"/>
        <w:spacing w:line="360" w:lineRule="auto"/>
        <w:jc w:val="center"/>
        <w:rPr>
          <w:rFonts w:ascii="宋体" w:hAnsi="宋体"/>
          <w:b/>
          <w:sz w:val="26"/>
          <w:szCs w:val="28"/>
          <w:highlight w:val="none"/>
        </w:rPr>
      </w:pPr>
      <w:r>
        <w:rPr>
          <w:rFonts w:hint="eastAsia" w:ascii="宋体" w:hAnsi="宋体" w:cs="Times New Roman"/>
          <w:b/>
          <w:sz w:val="28"/>
          <w:szCs w:val="28"/>
          <w:highlight w:val="none"/>
        </w:rPr>
        <w:t>二、</w:t>
      </w:r>
      <w:r>
        <w:rPr>
          <w:rFonts w:hint="eastAsia" w:ascii="宋体" w:hAnsi="宋体"/>
          <w:b/>
          <w:sz w:val="28"/>
          <w:szCs w:val="28"/>
          <w:highlight w:val="none"/>
        </w:rPr>
        <w:t>投标人有效的</w:t>
      </w:r>
      <w:r>
        <w:rPr>
          <w:rFonts w:ascii="宋体" w:hAnsi="宋体"/>
          <w:b/>
          <w:sz w:val="28"/>
          <w:szCs w:val="28"/>
          <w:highlight w:val="none"/>
        </w:rPr>
        <w:t>营业执照等证明文件</w:t>
      </w:r>
    </w:p>
    <w:p>
      <w:pPr>
        <w:spacing w:line="460" w:lineRule="exact"/>
        <w:rPr>
          <w:rFonts w:ascii="宋体" w:hAnsi="宋体" w:cs="Courier New"/>
          <w:b/>
          <w:sz w:val="22"/>
          <w:szCs w:val="22"/>
          <w:highlight w:val="none"/>
        </w:rPr>
      </w:pPr>
      <w:r>
        <w:rPr>
          <w:rFonts w:hint="eastAsia" w:ascii="宋体" w:hAnsi="宋体" w:cs="Courier New"/>
          <w:b/>
          <w:sz w:val="22"/>
          <w:szCs w:val="22"/>
          <w:highlight w:val="none"/>
        </w:rPr>
        <w:t>说明：</w:t>
      </w:r>
    </w:p>
    <w:p>
      <w:pPr>
        <w:spacing w:line="460" w:lineRule="exact"/>
        <w:rPr>
          <w:rFonts w:ascii="宋体" w:hAnsi="宋体" w:cs="Courier New"/>
          <w:b/>
          <w:sz w:val="22"/>
          <w:szCs w:val="22"/>
          <w:highlight w:val="none"/>
        </w:rPr>
      </w:pPr>
      <w:r>
        <w:rPr>
          <w:rFonts w:ascii="宋体" w:hAnsi="宋体" w:cs="Courier New"/>
          <w:b/>
          <w:sz w:val="22"/>
          <w:szCs w:val="22"/>
          <w:highlight w:val="none"/>
        </w:rPr>
        <w:t>1</w:t>
      </w:r>
      <w:r>
        <w:rPr>
          <w:rFonts w:hint="eastAsia" w:ascii="宋体" w:hAnsi="宋体" w:cs="Courier New"/>
          <w:b/>
          <w:sz w:val="22"/>
          <w:szCs w:val="22"/>
          <w:highlight w:val="none"/>
        </w:rPr>
        <w:t>、</w:t>
      </w:r>
      <w:r>
        <w:rPr>
          <w:rFonts w:ascii="宋体" w:hAnsi="宋体" w:cs="Courier New"/>
          <w:b/>
          <w:sz w:val="22"/>
          <w:szCs w:val="22"/>
          <w:highlight w:val="none"/>
        </w:rPr>
        <w:t>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spacing w:line="460" w:lineRule="exact"/>
        <w:rPr>
          <w:rFonts w:ascii="宋体" w:hAnsi="宋体" w:cs="Courier New"/>
          <w:b/>
          <w:sz w:val="22"/>
          <w:szCs w:val="22"/>
          <w:highlight w:val="none"/>
        </w:rPr>
      </w:pPr>
      <w:r>
        <w:rPr>
          <w:rFonts w:ascii="宋体" w:hAnsi="宋体" w:cs="Courier New"/>
          <w:b/>
          <w:sz w:val="22"/>
          <w:szCs w:val="22"/>
          <w:highlight w:val="none"/>
        </w:rPr>
        <w:t>2、投标人提供的相应证明材料复印件均应符合：内容完整、清晰、整洁。</w:t>
      </w:r>
    </w:p>
    <w:p>
      <w:pPr>
        <w:pStyle w:val="219"/>
        <w:ind w:firstLine="419" w:firstLineChars="149"/>
        <w:rPr>
          <w:rFonts w:ascii="宋体" w:hAnsi="宋体"/>
          <w:b/>
          <w:sz w:val="28"/>
          <w:szCs w:val="28"/>
          <w:highlight w:val="none"/>
        </w:rPr>
      </w:pPr>
    </w:p>
    <w:p>
      <w:pPr>
        <w:pStyle w:val="219"/>
        <w:ind w:firstLine="419" w:firstLineChars="149"/>
        <w:rPr>
          <w:rFonts w:ascii="宋体" w:hAnsi="宋体"/>
          <w:b/>
          <w:sz w:val="28"/>
          <w:szCs w:val="28"/>
          <w:highlight w:val="none"/>
        </w:rPr>
      </w:pPr>
    </w:p>
    <w:p>
      <w:pPr>
        <w:pStyle w:val="219"/>
        <w:ind w:firstLine="419" w:firstLineChars="149"/>
        <w:rPr>
          <w:rFonts w:ascii="宋体" w:hAnsi="宋体"/>
          <w:b/>
          <w:sz w:val="28"/>
          <w:szCs w:val="28"/>
          <w:highlight w:val="none"/>
        </w:rPr>
      </w:pPr>
    </w:p>
    <w:p>
      <w:pPr>
        <w:pStyle w:val="219"/>
        <w:ind w:firstLine="419" w:firstLineChars="149"/>
        <w:rPr>
          <w:rFonts w:ascii="宋体" w:hAnsi="宋体"/>
          <w:b/>
          <w:sz w:val="28"/>
          <w:szCs w:val="28"/>
          <w:highlight w:val="none"/>
        </w:rPr>
      </w:pPr>
    </w:p>
    <w:p>
      <w:pPr>
        <w:spacing w:line="460" w:lineRule="exact"/>
        <w:jc w:val="center"/>
        <w:rPr>
          <w:rFonts w:ascii="宋体" w:hAnsi="宋体"/>
          <w:b/>
          <w:sz w:val="28"/>
          <w:szCs w:val="28"/>
          <w:highlight w:val="none"/>
        </w:rPr>
      </w:pPr>
      <w:r>
        <w:rPr>
          <w:rFonts w:ascii="宋体" w:hAnsi="宋体"/>
          <w:b/>
          <w:sz w:val="28"/>
          <w:szCs w:val="28"/>
          <w:highlight w:val="none"/>
        </w:rPr>
        <w:br w:type="page"/>
      </w:r>
    </w:p>
    <w:p>
      <w:pPr>
        <w:spacing w:line="460" w:lineRule="exact"/>
        <w:jc w:val="center"/>
        <w:rPr>
          <w:rFonts w:ascii="宋体" w:hAnsi="宋体"/>
          <w:b/>
          <w:sz w:val="28"/>
          <w:szCs w:val="28"/>
          <w:highlight w:val="none"/>
        </w:rPr>
      </w:pPr>
    </w:p>
    <w:p>
      <w:pPr>
        <w:spacing w:line="460" w:lineRule="exact"/>
        <w:jc w:val="center"/>
        <w:rPr>
          <w:rFonts w:ascii="宋体" w:hAnsi="宋体"/>
          <w:b/>
          <w:bCs/>
          <w:sz w:val="28"/>
          <w:szCs w:val="28"/>
          <w:highlight w:val="none"/>
        </w:rPr>
      </w:pPr>
      <w:r>
        <w:rPr>
          <w:rFonts w:hint="eastAsia" w:ascii="宋体" w:hAnsi="宋体"/>
          <w:b/>
          <w:sz w:val="28"/>
          <w:szCs w:val="28"/>
          <w:highlight w:val="none"/>
        </w:rPr>
        <w:t>三、</w:t>
      </w:r>
      <w:r>
        <w:rPr>
          <w:rFonts w:hint="eastAsia" w:ascii="宋体" w:hAnsi="宋体"/>
          <w:b/>
          <w:bCs/>
          <w:sz w:val="28"/>
          <w:szCs w:val="28"/>
          <w:highlight w:val="none"/>
        </w:rPr>
        <w:t>落实采购政策需满足的资格要求</w:t>
      </w:r>
    </w:p>
    <w:p>
      <w:pPr>
        <w:spacing w:line="400" w:lineRule="exact"/>
        <w:ind w:left="221" w:hanging="221" w:hangingChars="100"/>
        <w:rPr>
          <w:rFonts w:ascii="宋体" w:hAnsi="宋体"/>
          <w:b/>
          <w:sz w:val="22"/>
          <w:szCs w:val="22"/>
          <w:highlight w:val="none"/>
        </w:rPr>
      </w:pPr>
      <w:r>
        <w:rPr>
          <w:rFonts w:hint="eastAsia" w:ascii="宋体" w:hAnsi="宋体"/>
          <w:b/>
          <w:sz w:val="22"/>
          <w:szCs w:val="22"/>
          <w:highlight w:val="none"/>
        </w:rPr>
        <w:t>说明：</w:t>
      </w:r>
    </w:p>
    <w:p>
      <w:pPr>
        <w:spacing w:line="460" w:lineRule="exact"/>
        <w:rPr>
          <w:rFonts w:ascii="宋体" w:hAnsi="宋体" w:cs="Courier New"/>
          <w:b/>
          <w:sz w:val="22"/>
          <w:szCs w:val="22"/>
          <w:highlight w:val="none"/>
        </w:rPr>
      </w:pPr>
      <w:r>
        <w:rPr>
          <w:rFonts w:hint="eastAsia" w:ascii="宋体" w:hAnsi="宋体" w:cs="Courier New"/>
          <w:b/>
          <w:sz w:val="22"/>
          <w:szCs w:val="22"/>
          <w:highlight w:val="none"/>
        </w:rPr>
        <w:t>根据本项目落实采购政策需满足的资格要求选择提供相应的材料；未要求。</w:t>
      </w:r>
    </w:p>
    <w:p>
      <w:pPr>
        <w:pStyle w:val="2"/>
        <w:rPr>
          <w:highlight w:val="none"/>
        </w:rPr>
      </w:pPr>
    </w:p>
    <w:p>
      <w:pPr>
        <w:pStyle w:val="3"/>
        <w:ind w:firstLine="210"/>
        <w:rPr>
          <w:highlight w:val="none"/>
        </w:rPr>
      </w:pPr>
    </w:p>
    <w:p>
      <w:pPr>
        <w:tabs>
          <w:tab w:val="left" w:pos="0"/>
          <w:tab w:val="left" w:pos="600"/>
        </w:tabs>
        <w:spacing w:line="400" w:lineRule="exact"/>
        <w:jc w:val="center"/>
        <w:rPr>
          <w:rFonts w:hint="eastAsia" w:ascii="宋体" w:hAnsi="宋体"/>
          <w:b/>
          <w:bCs/>
          <w:sz w:val="28"/>
          <w:szCs w:val="28"/>
          <w:highlight w:val="none"/>
        </w:rPr>
      </w:pPr>
    </w:p>
    <w:p>
      <w:pPr>
        <w:tabs>
          <w:tab w:val="left" w:pos="840"/>
        </w:tabs>
        <w:adjustRightInd w:val="0"/>
        <w:snapToGrid w:val="0"/>
        <w:spacing w:line="360" w:lineRule="auto"/>
        <w:ind w:left="420" w:leftChars="200" w:firstLine="330" w:firstLineChars="150"/>
        <w:rPr>
          <w:rFonts w:ascii="宋体" w:hAnsi="宋体"/>
          <w:sz w:val="22"/>
          <w:szCs w:val="22"/>
          <w:highlight w:val="none"/>
        </w:rPr>
      </w:pPr>
    </w:p>
    <w:p>
      <w:pPr>
        <w:pStyle w:val="7"/>
        <w:keepNext/>
        <w:widowControl w:val="0"/>
        <w:autoSpaceDE/>
        <w:autoSpaceDN/>
        <w:adjustRightInd/>
        <w:spacing w:before="0" w:line="360" w:lineRule="auto"/>
        <w:jc w:val="center"/>
        <w:rPr>
          <w:rFonts w:ascii="宋体" w:hAnsi="宋体" w:eastAsia="宋体" w:cs="宋体"/>
          <w:highlight w:val="none"/>
        </w:rPr>
      </w:pPr>
      <w:r>
        <w:rPr>
          <w:rFonts w:ascii="宋体" w:hAnsi="宋体" w:eastAsia="宋体" w:cs="宋体"/>
          <w:highlight w:val="none"/>
        </w:rPr>
        <w:br w:type="page"/>
      </w:r>
      <w:bookmarkStart w:id="238" w:name="_Toc34761243"/>
    </w:p>
    <w:p>
      <w:pPr>
        <w:rPr>
          <w:highlight w:val="none"/>
        </w:rPr>
      </w:pPr>
    </w:p>
    <w:p>
      <w:pPr>
        <w:pStyle w:val="7"/>
        <w:keepNext/>
        <w:widowControl w:val="0"/>
        <w:autoSpaceDE/>
        <w:autoSpaceDN/>
        <w:adjustRightInd/>
        <w:spacing w:before="0" w:line="360" w:lineRule="auto"/>
        <w:jc w:val="center"/>
        <w:rPr>
          <w:rFonts w:ascii="宋体" w:hAnsi="宋体" w:eastAsia="宋体"/>
          <w:bCs/>
          <w:highlight w:val="none"/>
        </w:rPr>
      </w:pPr>
      <w:bookmarkStart w:id="239" w:name="_Toc20849"/>
      <w:r>
        <w:rPr>
          <w:rFonts w:hint="eastAsia" w:ascii="Times New Roman" w:hAnsi="Times New Roman" w:eastAsia="宋体"/>
          <w:b/>
          <w:bCs/>
          <w:sz w:val="44"/>
          <w:szCs w:val="26"/>
          <w:highlight w:val="none"/>
        </w:rPr>
        <w:t>报价文件</w:t>
      </w:r>
      <w:bookmarkEnd w:id="238"/>
      <w:bookmarkEnd w:id="239"/>
    </w:p>
    <w:p>
      <w:pPr>
        <w:tabs>
          <w:tab w:val="left" w:pos="0"/>
          <w:tab w:val="left" w:pos="600"/>
        </w:tabs>
        <w:spacing w:line="400" w:lineRule="exact"/>
        <w:jc w:val="center"/>
        <w:rPr>
          <w:rFonts w:ascii="宋体" w:hAnsi="宋体"/>
          <w:b/>
          <w:sz w:val="30"/>
          <w:highlight w:val="none"/>
        </w:rPr>
      </w:pPr>
      <w:r>
        <w:rPr>
          <w:rFonts w:ascii="宋体" w:hAnsi="宋体"/>
          <w:b/>
          <w:sz w:val="30"/>
          <w:highlight w:val="none"/>
        </w:rPr>
        <w:t xml:space="preserve"> </w:t>
      </w:r>
    </w:p>
    <w:p>
      <w:pPr>
        <w:tabs>
          <w:tab w:val="left" w:pos="0"/>
          <w:tab w:val="left" w:pos="600"/>
        </w:tabs>
        <w:spacing w:line="400" w:lineRule="exact"/>
        <w:jc w:val="center"/>
        <w:rPr>
          <w:rFonts w:hint="eastAsia" w:ascii="宋体" w:hAnsi="宋体" w:eastAsia="宋体" w:cs="Courier New"/>
          <w:b/>
          <w:bCs/>
          <w:sz w:val="30"/>
          <w:szCs w:val="30"/>
          <w:highlight w:val="none"/>
          <w:lang w:eastAsia="zh-CN"/>
        </w:rPr>
      </w:pPr>
      <w:r>
        <w:rPr>
          <w:rFonts w:hint="eastAsia" w:ascii="宋体" w:hAnsi="宋体"/>
          <w:b/>
          <w:sz w:val="30"/>
          <w:highlight w:val="none"/>
        </w:rPr>
        <w:t>一、开标一览表</w:t>
      </w:r>
      <w:r>
        <w:rPr>
          <w:rFonts w:hint="eastAsia" w:ascii="宋体" w:hAnsi="宋体"/>
          <w:b/>
          <w:sz w:val="30"/>
          <w:highlight w:val="none"/>
          <w:lang w:eastAsia="zh-CN"/>
        </w:rPr>
        <w:t>（</w:t>
      </w:r>
      <w:r>
        <w:rPr>
          <w:rFonts w:hint="eastAsia" w:ascii="宋体" w:hAnsi="宋体"/>
          <w:b/>
          <w:sz w:val="30"/>
          <w:highlight w:val="none"/>
          <w:lang w:val="en-US" w:eastAsia="zh-CN"/>
        </w:rPr>
        <w:t>标段</w:t>
      </w:r>
      <w:r>
        <w:rPr>
          <w:rFonts w:hint="eastAsia" w:ascii="宋体" w:hAnsi="宋体"/>
          <w:b/>
          <w:sz w:val="30"/>
          <w:highlight w:val="none"/>
          <w:u w:val="single"/>
          <w:lang w:val="en-US" w:eastAsia="zh-CN"/>
        </w:rPr>
        <w:t xml:space="preserve">    </w:t>
      </w:r>
      <w:r>
        <w:rPr>
          <w:rFonts w:hint="eastAsia" w:ascii="宋体" w:hAnsi="宋体"/>
          <w:b/>
          <w:sz w:val="30"/>
          <w:highlight w:val="none"/>
          <w:lang w:eastAsia="zh-CN"/>
        </w:rPr>
        <w:t>）</w:t>
      </w:r>
    </w:p>
    <w:p>
      <w:pPr>
        <w:spacing w:line="380" w:lineRule="exact"/>
        <w:ind w:firstLine="990" w:firstLineChars="450"/>
        <w:rPr>
          <w:rFonts w:hint="eastAsia" w:ascii="宋体" w:hAnsi="宋体"/>
          <w:sz w:val="22"/>
          <w:highlight w:val="none"/>
        </w:rPr>
      </w:pPr>
      <w:r>
        <w:rPr>
          <w:rFonts w:hint="eastAsia" w:ascii="宋体" w:hAnsi="宋体"/>
          <w:sz w:val="22"/>
          <w:highlight w:val="none"/>
        </w:rPr>
        <w:t>项目名称：                                     项目编号：</w:t>
      </w:r>
    </w:p>
    <w:tbl>
      <w:tblPr>
        <w:tblStyle w:val="34"/>
        <w:tblW w:w="946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776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1704" w:type="dxa"/>
            <w:vMerge w:val="restart"/>
            <w:vAlign w:val="center"/>
          </w:tcPr>
          <w:p>
            <w:pPr>
              <w:jc w:val="center"/>
              <w:rPr>
                <w:rFonts w:ascii="宋体" w:hAnsi="宋体"/>
                <w:sz w:val="22"/>
                <w:szCs w:val="22"/>
                <w:highlight w:val="none"/>
              </w:rPr>
            </w:pPr>
            <w:r>
              <w:rPr>
                <w:rFonts w:hint="eastAsia" w:ascii="宋体" w:hAnsi="宋体"/>
                <w:sz w:val="22"/>
                <w:szCs w:val="22"/>
                <w:highlight w:val="none"/>
              </w:rPr>
              <w:t>投标报价</w:t>
            </w:r>
          </w:p>
        </w:tc>
        <w:tc>
          <w:tcPr>
            <w:tcW w:w="7760" w:type="dxa"/>
            <w:vAlign w:val="center"/>
          </w:tcPr>
          <w:p>
            <w:pPr>
              <w:pStyle w:val="17"/>
              <w:spacing w:line="460" w:lineRule="atLeast"/>
              <w:rPr>
                <w:rFonts w:ascii="宋体" w:hAnsi="宋体" w:eastAsia="宋体"/>
                <w:kern w:val="2"/>
                <w:sz w:val="22"/>
                <w:szCs w:val="22"/>
                <w:highlight w:val="none"/>
              </w:rPr>
            </w:pPr>
            <w:r>
              <w:rPr>
                <w:rFonts w:hint="eastAsia" w:ascii="宋体" w:hAnsi="宋体" w:eastAsia="宋体"/>
                <w:kern w:val="2"/>
                <w:sz w:val="22"/>
                <w:szCs w:val="22"/>
                <w:highlight w:val="none"/>
              </w:rPr>
              <w:t>（大写）人民币：</w:t>
            </w:r>
            <w:r>
              <w:rPr>
                <w:rFonts w:hint="eastAsia" w:ascii="宋体" w:hAnsi="宋体" w:eastAsia="宋体"/>
                <w:kern w:val="2"/>
                <w:sz w:val="22"/>
                <w:szCs w:val="22"/>
                <w:highlight w:val="none"/>
                <w:u w:val="single"/>
              </w:rPr>
              <w:t xml:space="preserve"> </w:t>
            </w:r>
            <w:r>
              <w:rPr>
                <w:rFonts w:ascii="宋体" w:hAnsi="宋体" w:eastAsia="宋体"/>
                <w:kern w:val="2"/>
                <w:sz w:val="22"/>
                <w:szCs w:val="22"/>
                <w:highlight w:val="none"/>
                <w:u w:val="single"/>
              </w:rPr>
              <w:t xml:space="preserve">    </w:t>
            </w:r>
            <w:r>
              <w:rPr>
                <w:rFonts w:hint="eastAsia" w:ascii="宋体" w:hAnsi="宋体" w:eastAsia="宋体"/>
                <w:kern w:val="2"/>
                <w:sz w:val="22"/>
                <w:szCs w:val="22"/>
                <w:highlight w:val="none"/>
              </w:rPr>
              <w:t>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1704" w:type="dxa"/>
            <w:vMerge w:val="continue"/>
            <w:vAlign w:val="center"/>
          </w:tcPr>
          <w:p>
            <w:pPr>
              <w:pStyle w:val="17"/>
              <w:spacing w:line="460" w:lineRule="atLeast"/>
              <w:rPr>
                <w:rFonts w:ascii="宋体" w:hAnsi="宋体" w:eastAsia="宋体"/>
                <w:kern w:val="2"/>
                <w:sz w:val="22"/>
                <w:szCs w:val="22"/>
                <w:highlight w:val="none"/>
              </w:rPr>
            </w:pPr>
          </w:p>
        </w:tc>
        <w:tc>
          <w:tcPr>
            <w:tcW w:w="7760" w:type="dxa"/>
            <w:vAlign w:val="center"/>
          </w:tcPr>
          <w:p>
            <w:pPr>
              <w:pStyle w:val="17"/>
              <w:spacing w:line="460" w:lineRule="atLeast"/>
              <w:rPr>
                <w:rFonts w:ascii="宋体" w:hAnsi="宋体" w:eastAsia="宋体"/>
                <w:kern w:val="2"/>
                <w:sz w:val="22"/>
                <w:szCs w:val="22"/>
                <w:highlight w:val="none"/>
              </w:rPr>
            </w:pPr>
            <w:r>
              <w:rPr>
                <w:rFonts w:hint="eastAsia" w:ascii="宋体" w:hAnsi="宋体" w:eastAsia="宋体"/>
                <w:kern w:val="2"/>
                <w:sz w:val="22"/>
                <w:szCs w:val="22"/>
                <w:highlight w:val="none"/>
              </w:rPr>
              <w:t>（小写）￥</w:t>
            </w:r>
          </w:p>
        </w:tc>
      </w:tr>
    </w:tbl>
    <w:p>
      <w:pPr>
        <w:tabs>
          <w:tab w:val="left" w:pos="540"/>
        </w:tabs>
        <w:spacing w:line="440" w:lineRule="exact"/>
        <w:rPr>
          <w:rFonts w:ascii="宋体" w:hAnsi="宋体"/>
          <w:sz w:val="22"/>
          <w:szCs w:val="22"/>
          <w:highlight w:val="none"/>
        </w:rPr>
      </w:pPr>
      <w:r>
        <w:rPr>
          <w:rFonts w:hint="eastAsia" w:ascii="宋体" w:hAnsi="宋体"/>
          <w:sz w:val="22"/>
          <w:szCs w:val="22"/>
          <w:highlight w:val="none"/>
        </w:rPr>
        <w:t>说明：</w:t>
      </w:r>
    </w:p>
    <w:p>
      <w:pPr>
        <w:spacing w:line="460" w:lineRule="exact"/>
        <w:rPr>
          <w:rFonts w:ascii="宋体" w:hAnsi="宋体"/>
          <w:b/>
          <w:sz w:val="22"/>
          <w:szCs w:val="22"/>
          <w:highlight w:val="none"/>
        </w:rPr>
      </w:pPr>
      <w:r>
        <w:rPr>
          <w:rFonts w:hint="eastAsia" w:ascii="宋体" w:hAnsi="宋体"/>
          <w:b/>
          <w:sz w:val="22"/>
          <w:szCs w:val="22"/>
          <w:highlight w:val="none"/>
        </w:rPr>
        <w:t>1. “投标报价”应与《投标分项报价表》中“投标报价”相一致。</w:t>
      </w:r>
    </w:p>
    <w:p>
      <w:pPr>
        <w:spacing w:line="460" w:lineRule="exact"/>
        <w:rPr>
          <w:rFonts w:ascii="宋体" w:hAnsi="宋体"/>
          <w:b/>
          <w:sz w:val="22"/>
          <w:szCs w:val="22"/>
          <w:highlight w:val="none"/>
        </w:rPr>
      </w:pPr>
      <w:r>
        <w:rPr>
          <w:rFonts w:hint="eastAsia" w:ascii="宋体" w:hAnsi="宋体"/>
          <w:b/>
          <w:sz w:val="22"/>
          <w:szCs w:val="22"/>
          <w:highlight w:val="none"/>
        </w:rPr>
        <w:t>2. 开标一览表中的投标报价为含税报价，</w:t>
      </w:r>
      <w:r>
        <w:rPr>
          <w:rFonts w:hint="eastAsia" w:ascii="宋体" w:hAnsi="宋体"/>
          <w:b/>
          <w:sz w:val="22"/>
          <w:szCs w:val="22"/>
          <w:highlight w:val="none"/>
          <w:lang w:eastAsia="zh-CN"/>
        </w:rPr>
        <w:t>包含但不仅限于所需系统软硬件的供货、安装(含配套施工、辅材辅料）、综合布线、系统的分析、系统集成、系统整合（含接口对接）、调试、验收配合（含第三方验收）、第三方检测（如需）、技术培训、场地租赁、售后服务及伴随的其他服务等全部内容所需的一切费用，以及税金、人工（包括工资、福利、交通、食宿、通讯等费用）、管理、合理利润等一切成本及费用（以上费用未单列的视为包含在报价中）</w:t>
      </w:r>
      <w:r>
        <w:rPr>
          <w:rFonts w:ascii="宋体" w:hAnsi="宋体"/>
          <w:b/>
          <w:sz w:val="22"/>
          <w:szCs w:val="22"/>
          <w:highlight w:val="none"/>
        </w:rPr>
        <w:t>。</w:t>
      </w:r>
    </w:p>
    <w:p>
      <w:pPr>
        <w:spacing w:line="460" w:lineRule="exact"/>
        <w:rPr>
          <w:rFonts w:hint="eastAsia" w:ascii="宋体" w:hAnsi="宋体"/>
          <w:b/>
          <w:sz w:val="22"/>
          <w:szCs w:val="22"/>
          <w:highlight w:val="none"/>
          <w:u w:val="single"/>
          <w:lang w:eastAsia="zh-CN"/>
        </w:rPr>
      </w:pPr>
    </w:p>
    <w:p>
      <w:pPr>
        <w:spacing w:line="460" w:lineRule="exact"/>
        <w:rPr>
          <w:rFonts w:ascii="宋体" w:hAnsi="宋体"/>
          <w:b/>
          <w:sz w:val="22"/>
          <w:szCs w:val="22"/>
          <w:highlight w:val="none"/>
          <w:u w:val="single"/>
        </w:rPr>
      </w:pPr>
      <w:r>
        <w:rPr>
          <w:rFonts w:hint="eastAsia" w:ascii="宋体" w:hAnsi="宋体"/>
          <w:b/>
          <w:sz w:val="22"/>
          <w:szCs w:val="22"/>
          <w:highlight w:val="none"/>
          <w:u w:val="single"/>
          <w:lang w:eastAsia="zh-CN"/>
        </w:rPr>
        <w:t>▲</w:t>
      </w:r>
      <w:r>
        <w:rPr>
          <w:rFonts w:hint="eastAsia" w:ascii="宋体" w:hAnsi="宋体"/>
          <w:b/>
          <w:sz w:val="22"/>
          <w:szCs w:val="22"/>
          <w:highlight w:val="none"/>
          <w:u w:val="single"/>
        </w:rPr>
        <w:t>不提供此表的投标文件将被视为未实质性响应招标文件，其</w:t>
      </w:r>
      <w:r>
        <w:rPr>
          <w:rFonts w:hint="eastAsia" w:ascii="宋体" w:hAnsi="宋体"/>
          <w:b/>
          <w:bCs/>
          <w:sz w:val="22"/>
          <w:szCs w:val="22"/>
          <w:highlight w:val="none"/>
          <w:u w:val="single"/>
        </w:rPr>
        <w:t>投标无效</w:t>
      </w:r>
      <w:r>
        <w:rPr>
          <w:rFonts w:hint="eastAsia" w:ascii="宋体" w:hAnsi="宋体"/>
          <w:b/>
          <w:sz w:val="22"/>
          <w:szCs w:val="22"/>
          <w:highlight w:val="none"/>
          <w:u w:val="single"/>
        </w:rPr>
        <w:t>。</w:t>
      </w:r>
    </w:p>
    <w:p>
      <w:pPr>
        <w:spacing w:line="360" w:lineRule="auto"/>
        <w:rPr>
          <w:rFonts w:ascii="宋体" w:hAnsi="宋体" w:cs="Courier New"/>
          <w:bCs/>
          <w:sz w:val="22"/>
          <w:szCs w:val="22"/>
          <w:highlight w:val="none"/>
        </w:rPr>
      </w:pPr>
    </w:p>
    <w:p>
      <w:pPr>
        <w:tabs>
          <w:tab w:val="left" w:pos="840"/>
        </w:tabs>
        <w:adjustRightInd w:val="0"/>
        <w:snapToGrid w:val="0"/>
        <w:spacing w:line="360" w:lineRule="auto"/>
        <w:ind w:left="420" w:leftChars="200" w:firstLine="330" w:firstLineChars="150"/>
        <w:rPr>
          <w:rFonts w:ascii="宋体" w:hAnsi="宋体" w:cs="Courier New"/>
          <w:bCs/>
          <w:sz w:val="22"/>
          <w:szCs w:val="22"/>
          <w:highlight w:val="none"/>
        </w:rPr>
      </w:pPr>
      <w:r>
        <w:rPr>
          <w:rFonts w:hint="eastAsia" w:ascii="宋体" w:hAnsi="宋体"/>
          <w:sz w:val="22"/>
          <w:szCs w:val="22"/>
          <w:highlight w:val="none"/>
        </w:rPr>
        <w:t>投标人全称（盖章）</w:t>
      </w:r>
      <w:r>
        <w:rPr>
          <w:rFonts w:hint="eastAsia" w:ascii="宋体" w:hAnsi="宋体" w:cs="Courier New"/>
          <w:bCs/>
          <w:sz w:val="22"/>
          <w:szCs w:val="22"/>
          <w:highlight w:val="none"/>
        </w:rPr>
        <w:t>：</w:t>
      </w:r>
    </w:p>
    <w:p>
      <w:pPr>
        <w:tabs>
          <w:tab w:val="left" w:pos="840"/>
        </w:tabs>
        <w:adjustRightInd w:val="0"/>
        <w:snapToGrid w:val="0"/>
        <w:spacing w:line="360" w:lineRule="auto"/>
        <w:ind w:left="420" w:leftChars="200" w:firstLine="330" w:firstLineChars="150"/>
        <w:rPr>
          <w:rFonts w:ascii="宋体" w:hAnsi="宋体" w:cs="Courier New"/>
          <w:bCs/>
          <w:sz w:val="22"/>
          <w:szCs w:val="22"/>
          <w:highlight w:val="none"/>
        </w:rPr>
      </w:pPr>
      <w:r>
        <w:rPr>
          <w:rFonts w:hint="eastAsia" w:ascii="宋体" w:hAnsi="宋体" w:cs="Courier New"/>
          <w:bCs/>
          <w:sz w:val="22"/>
          <w:szCs w:val="22"/>
          <w:highlight w:val="none"/>
        </w:rPr>
        <w:t>单位</w:t>
      </w:r>
      <w:r>
        <w:rPr>
          <w:rFonts w:hint="eastAsia" w:ascii="宋体" w:hAnsi="宋体"/>
          <w:sz w:val="22"/>
          <w:szCs w:val="22"/>
          <w:highlight w:val="none"/>
        </w:rPr>
        <w:t>负责人</w:t>
      </w:r>
      <w:r>
        <w:rPr>
          <w:rFonts w:hint="eastAsia" w:ascii="宋体" w:hAnsi="宋体" w:cs="Courier New"/>
          <w:bCs/>
          <w:sz w:val="22"/>
          <w:szCs w:val="22"/>
          <w:highlight w:val="none"/>
        </w:rPr>
        <w:t>或授权代表（签字或盖章）：</w:t>
      </w:r>
    </w:p>
    <w:p>
      <w:pPr>
        <w:tabs>
          <w:tab w:val="left" w:pos="840"/>
        </w:tabs>
        <w:adjustRightInd w:val="0"/>
        <w:snapToGrid w:val="0"/>
        <w:spacing w:line="360" w:lineRule="auto"/>
        <w:ind w:left="420" w:leftChars="200" w:firstLine="330" w:firstLineChars="150"/>
        <w:rPr>
          <w:rFonts w:hint="eastAsia" w:ascii="宋体" w:hAnsi="宋体" w:cs="Courier New"/>
          <w:bCs/>
          <w:sz w:val="22"/>
          <w:szCs w:val="22"/>
          <w:highlight w:val="none"/>
        </w:rPr>
      </w:pPr>
      <w:r>
        <w:rPr>
          <w:rFonts w:hint="eastAsia" w:ascii="宋体" w:hAnsi="宋体" w:cs="Courier New"/>
          <w:bCs/>
          <w:sz w:val="22"/>
          <w:szCs w:val="22"/>
          <w:highlight w:val="none"/>
        </w:rPr>
        <w:t>日          期：  年  月  日</w:t>
      </w:r>
    </w:p>
    <w:p>
      <w:pPr>
        <w:rPr>
          <w:rFonts w:hint="eastAsia" w:ascii="宋体" w:hAnsi="宋体" w:cs="Courier New"/>
          <w:bCs/>
          <w:sz w:val="22"/>
          <w:szCs w:val="22"/>
          <w:highlight w:val="none"/>
        </w:rPr>
      </w:pPr>
      <w:r>
        <w:rPr>
          <w:rFonts w:hint="eastAsia" w:ascii="宋体" w:hAnsi="宋体" w:cs="Courier New"/>
          <w:bCs/>
          <w:sz w:val="22"/>
          <w:szCs w:val="22"/>
          <w:highlight w:val="none"/>
        </w:rPr>
        <w:br w:type="page"/>
      </w:r>
    </w:p>
    <w:p>
      <w:pPr>
        <w:tabs>
          <w:tab w:val="left" w:pos="0"/>
          <w:tab w:val="left" w:pos="600"/>
        </w:tabs>
        <w:spacing w:line="400" w:lineRule="exact"/>
        <w:jc w:val="center"/>
        <w:rPr>
          <w:rFonts w:hint="eastAsia" w:ascii="宋体" w:hAnsi="宋体" w:eastAsia="宋体"/>
          <w:b/>
          <w:sz w:val="30"/>
          <w:highlight w:val="none"/>
          <w:lang w:val="en-US" w:eastAsia="zh-CN"/>
        </w:rPr>
      </w:pPr>
      <w:r>
        <w:rPr>
          <w:rFonts w:hint="eastAsia" w:ascii="宋体" w:hAnsi="宋体"/>
          <w:b/>
          <w:sz w:val="30"/>
          <w:highlight w:val="none"/>
        </w:rPr>
        <w:t>二、投标分项报价表</w:t>
      </w:r>
      <w:r>
        <w:rPr>
          <w:rFonts w:hint="eastAsia" w:ascii="宋体" w:hAnsi="宋体"/>
          <w:b/>
          <w:sz w:val="30"/>
          <w:highlight w:val="none"/>
          <w:lang w:eastAsia="zh-CN"/>
        </w:rPr>
        <w:t>（</w:t>
      </w:r>
      <w:r>
        <w:rPr>
          <w:rFonts w:hint="eastAsia" w:ascii="宋体" w:hAnsi="宋体"/>
          <w:b/>
          <w:sz w:val="30"/>
          <w:highlight w:val="none"/>
          <w:lang w:val="en-US" w:eastAsia="zh-CN"/>
        </w:rPr>
        <w:t>标段</w:t>
      </w:r>
      <w:r>
        <w:rPr>
          <w:rFonts w:hint="eastAsia" w:ascii="宋体" w:hAnsi="宋体"/>
          <w:b/>
          <w:sz w:val="30"/>
          <w:highlight w:val="none"/>
          <w:u w:val="single"/>
          <w:lang w:val="en-US" w:eastAsia="zh-CN"/>
        </w:rPr>
        <w:t xml:space="preserve">    </w:t>
      </w:r>
      <w:r>
        <w:rPr>
          <w:rFonts w:hint="eastAsia" w:ascii="宋体" w:hAnsi="宋体"/>
          <w:b/>
          <w:sz w:val="30"/>
          <w:highlight w:val="none"/>
          <w:lang w:eastAsia="zh-CN"/>
        </w:rPr>
        <w:t>）</w:t>
      </w:r>
    </w:p>
    <w:p>
      <w:pPr>
        <w:spacing w:line="380" w:lineRule="exact"/>
        <w:ind w:firstLine="880" w:firstLineChars="400"/>
        <w:rPr>
          <w:rFonts w:ascii="宋体" w:hAnsi="宋体"/>
          <w:sz w:val="22"/>
          <w:highlight w:val="none"/>
        </w:rPr>
      </w:pPr>
      <w:r>
        <w:rPr>
          <w:rFonts w:hint="eastAsia" w:ascii="宋体" w:hAnsi="宋体"/>
          <w:sz w:val="22"/>
          <w:highlight w:val="none"/>
        </w:rPr>
        <w:t>项目名称：                                     项目编号：</w:t>
      </w:r>
    </w:p>
    <w:tbl>
      <w:tblPr>
        <w:tblStyle w:val="34"/>
        <w:tblW w:w="10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55"/>
        <w:gridCol w:w="1278"/>
        <w:gridCol w:w="1134"/>
        <w:gridCol w:w="1106"/>
        <w:gridCol w:w="1139"/>
        <w:gridCol w:w="1198"/>
        <w:gridCol w:w="1093"/>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Borders>
              <w:top w:val="single" w:color="auto" w:sz="12" w:space="0"/>
              <w:left w:val="single" w:color="auto" w:sz="12" w:space="0"/>
              <w:bottom w:val="single" w:color="auto" w:sz="12" w:space="0"/>
            </w:tcBorders>
            <w:vAlign w:val="center"/>
          </w:tcPr>
          <w:p>
            <w:pPr>
              <w:ind w:right="-11"/>
              <w:jc w:val="center"/>
              <w:rPr>
                <w:rFonts w:ascii="宋体" w:hAnsi="宋体" w:cs="黑体"/>
                <w:b/>
                <w:bCs/>
                <w:sz w:val="22"/>
                <w:szCs w:val="22"/>
                <w:highlight w:val="none"/>
              </w:rPr>
            </w:pPr>
            <w:r>
              <w:rPr>
                <w:rFonts w:hint="eastAsia" w:ascii="宋体" w:hAnsi="宋体" w:cs="黑体"/>
                <w:b/>
                <w:bCs/>
                <w:sz w:val="22"/>
                <w:szCs w:val="22"/>
                <w:highlight w:val="none"/>
              </w:rPr>
              <w:t>序号</w:t>
            </w:r>
          </w:p>
        </w:tc>
        <w:tc>
          <w:tcPr>
            <w:tcW w:w="1555" w:type="dxa"/>
            <w:tcBorders>
              <w:top w:val="single" w:color="auto" w:sz="12" w:space="0"/>
              <w:bottom w:val="single" w:color="auto" w:sz="12" w:space="0"/>
            </w:tcBorders>
            <w:vAlign w:val="center"/>
          </w:tcPr>
          <w:p>
            <w:pPr>
              <w:ind w:right="-11"/>
              <w:jc w:val="center"/>
              <w:rPr>
                <w:rFonts w:ascii="宋体" w:hAnsi="宋体" w:cs="黑体"/>
                <w:b/>
                <w:bCs/>
                <w:sz w:val="22"/>
                <w:szCs w:val="22"/>
                <w:highlight w:val="none"/>
              </w:rPr>
            </w:pPr>
            <w:r>
              <w:rPr>
                <w:rFonts w:hint="eastAsia" w:ascii="宋体" w:hAnsi="宋体" w:cs="黑体"/>
                <w:b/>
                <w:bCs/>
                <w:sz w:val="22"/>
                <w:szCs w:val="22"/>
                <w:highlight w:val="none"/>
              </w:rPr>
              <w:t>产品名称</w:t>
            </w:r>
          </w:p>
        </w:tc>
        <w:tc>
          <w:tcPr>
            <w:tcW w:w="1278" w:type="dxa"/>
            <w:tcBorders>
              <w:top w:val="single" w:color="auto" w:sz="12" w:space="0"/>
              <w:bottom w:val="single" w:color="auto" w:sz="12" w:space="0"/>
            </w:tcBorders>
            <w:vAlign w:val="center"/>
          </w:tcPr>
          <w:p>
            <w:pPr>
              <w:ind w:right="-11"/>
              <w:jc w:val="center"/>
              <w:rPr>
                <w:rFonts w:ascii="宋体" w:hAnsi="宋体" w:cs="黑体"/>
                <w:b/>
                <w:bCs/>
                <w:sz w:val="22"/>
                <w:szCs w:val="22"/>
                <w:highlight w:val="none"/>
              </w:rPr>
            </w:pPr>
            <w:r>
              <w:rPr>
                <w:rFonts w:hint="eastAsia" w:ascii="宋体" w:hAnsi="宋体" w:cs="黑体"/>
                <w:b/>
                <w:bCs/>
                <w:sz w:val="22"/>
                <w:szCs w:val="22"/>
                <w:highlight w:val="none"/>
              </w:rPr>
              <w:t>品牌/型号/规格</w:t>
            </w:r>
          </w:p>
        </w:tc>
        <w:tc>
          <w:tcPr>
            <w:tcW w:w="1134" w:type="dxa"/>
            <w:tcBorders>
              <w:top w:val="single" w:color="auto" w:sz="12" w:space="0"/>
              <w:bottom w:val="single" w:color="auto" w:sz="12" w:space="0"/>
            </w:tcBorders>
            <w:vAlign w:val="center"/>
          </w:tcPr>
          <w:p>
            <w:pPr>
              <w:ind w:right="-11"/>
              <w:jc w:val="center"/>
              <w:rPr>
                <w:rFonts w:ascii="宋体" w:hAnsi="宋体" w:cs="黑体"/>
                <w:b/>
                <w:bCs/>
                <w:sz w:val="22"/>
                <w:szCs w:val="22"/>
                <w:highlight w:val="none"/>
              </w:rPr>
            </w:pPr>
            <w:r>
              <w:rPr>
                <w:rFonts w:hint="eastAsia" w:ascii="宋体" w:hAnsi="宋体" w:cs="黑体"/>
                <w:b/>
                <w:bCs/>
                <w:sz w:val="22"/>
                <w:szCs w:val="22"/>
                <w:highlight w:val="none"/>
              </w:rPr>
              <w:t>制造商</w:t>
            </w:r>
          </w:p>
        </w:tc>
        <w:tc>
          <w:tcPr>
            <w:tcW w:w="1106" w:type="dxa"/>
            <w:tcBorders>
              <w:top w:val="single" w:color="auto" w:sz="12" w:space="0"/>
              <w:bottom w:val="single" w:color="auto" w:sz="12" w:space="0"/>
            </w:tcBorders>
            <w:vAlign w:val="center"/>
          </w:tcPr>
          <w:p>
            <w:pPr>
              <w:ind w:right="-11"/>
              <w:jc w:val="center"/>
              <w:rPr>
                <w:rFonts w:ascii="宋体" w:hAnsi="宋体" w:cs="黑体"/>
                <w:b/>
                <w:bCs/>
                <w:sz w:val="22"/>
                <w:szCs w:val="22"/>
                <w:highlight w:val="none"/>
              </w:rPr>
            </w:pPr>
            <w:r>
              <w:rPr>
                <w:rFonts w:hint="eastAsia" w:ascii="宋体" w:hAnsi="宋体" w:cs="黑体"/>
                <w:b/>
                <w:bCs/>
                <w:sz w:val="22"/>
                <w:szCs w:val="22"/>
                <w:highlight w:val="none"/>
              </w:rPr>
              <w:t>数量</w:t>
            </w:r>
          </w:p>
        </w:tc>
        <w:tc>
          <w:tcPr>
            <w:tcW w:w="1139" w:type="dxa"/>
            <w:tcBorders>
              <w:top w:val="single" w:color="auto" w:sz="12" w:space="0"/>
              <w:bottom w:val="single" w:color="auto" w:sz="12" w:space="0"/>
            </w:tcBorders>
            <w:vAlign w:val="center"/>
          </w:tcPr>
          <w:p>
            <w:pPr>
              <w:ind w:right="-11"/>
              <w:jc w:val="center"/>
              <w:rPr>
                <w:rFonts w:ascii="宋体" w:hAnsi="宋体" w:cs="黑体"/>
                <w:b/>
                <w:bCs/>
                <w:sz w:val="22"/>
                <w:szCs w:val="22"/>
                <w:highlight w:val="none"/>
              </w:rPr>
            </w:pPr>
            <w:r>
              <w:rPr>
                <w:rFonts w:hint="eastAsia" w:ascii="宋体" w:hAnsi="宋体" w:cs="黑体"/>
                <w:b/>
                <w:bCs/>
                <w:sz w:val="22"/>
                <w:szCs w:val="22"/>
                <w:highlight w:val="none"/>
              </w:rPr>
              <w:t>单价</w:t>
            </w:r>
          </w:p>
          <w:p>
            <w:pPr>
              <w:ind w:right="-11"/>
              <w:jc w:val="center"/>
              <w:rPr>
                <w:rFonts w:ascii="宋体" w:hAnsi="宋体" w:cs="黑体"/>
                <w:sz w:val="22"/>
                <w:szCs w:val="22"/>
                <w:highlight w:val="none"/>
              </w:rPr>
            </w:pPr>
            <w:r>
              <w:rPr>
                <w:rFonts w:hint="eastAsia" w:ascii="宋体" w:hAnsi="宋体" w:cs="黑体"/>
                <w:sz w:val="22"/>
                <w:szCs w:val="22"/>
                <w:highlight w:val="none"/>
              </w:rPr>
              <w:t>（含税）</w:t>
            </w:r>
          </w:p>
        </w:tc>
        <w:tc>
          <w:tcPr>
            <w:tcW w:w="1198" w:type="dxa"/>
            <w:tcBorders>
              <w:top w:val="single" w:color="auto" w:sz="12" w:space="0"/>
              <w:bottom w:val="single" w:color="auto" w:sz="12" w:space="0"/>
            </w:tcBorders>
            <w:vAlign w:val="center"/>
          </w:tcPr>
          <w:p>
            <w:pPr>
              <w:ind w:right="-11"/>
              <w:jc w:val="center"/>
              <w:rPr>
                <w:rFonts w:ascii="宋体" w:hAnsi="宋体" w:cs="黑体"/>
                <w:b/>
                <w:bCs/>
                <w:sz w:val="22"/>
                <w:szCs w:val="22"/>
                <w:highlight w:val="none"/>
              </w:rPr>
            </w:pPr>
            <w:r>
              <w:rPr>
                <w:rFonts w:hint="eastAsia" w:ascii="宋体" w:hAnsi="宋体" w:cs="黑体"/>
                <w:b/>
                <w:bCs/>
                <w:sz w:val="22"/>
                <w:szCs w:val="22"/>
                <w:highlight w:val="none"/>
              </w:rPr>
              <w:t>总价</w:t>
            </w:r>
          </w:p>
          <w:p>
            <w:pPr>
              <w:ind w:right="-11"/>
              <w:jc w:val="center"/>
              <w:rPr>
                <w:rFonts w:ascii="宋体" w:hAnsi="宋体" w:cs="黑体"/>
                <w:sz w:val="22"/>
                <w:szCs w:val="22"/>
                <w:highlight w:val="none"/>
              </w:rPr>
            </w:pPr>
            <w:r>
              <w:rPr>
                <w:rFonts w:hint="eastAsia" w:ascii="宋体" w:hAnsi="宋体" w:cs="黑体"/>
                <w:sz w:val="22"/>
                <w:szCs w:val="22"/>
                <w:highlight w:val="none"/>
              </w:rPr>
              <w:t>（含税）</w:t>
            </w:r>
          </w:p>
        </w:tc>
        <w:tc>
          <w:tcPr>
            <w:tcW w:w="1093" w:type="dxa"/>
            <w:tcBorders>
              <w:top w:val="single" w:color="auto" w:sz="12" w:space="0"/>
              <w:bottom w:val="single" w:color="auto" w:sz="12" w:space="0"/>
            </w:tcBorders>
          </w:tcPr>
          <w:p>
            <w:pPr>
              <w:ind w:right="-11"/>
              <w:jc w:val="center"/>
              <w:rPr>
                <w:rFonts w:ascii="宋体" w:hAnsi="宋体" w:cs="黑体"/>
                <w:b/>
                <w:bCs/>
                <w:sz w:val="22"/>
                <w:szCs w:val="22"/>
                <w:highlight w:val="none"/>
              </w:rPr>
            </w:pPr>
            <w:r>
              <w:rPr>
                <w:rFonts w:hint="eastAsia" w:ascii="宋体" w:hAnsi="宋体" w:cs="黑体"/>
                <w:b/>
                <w:bCs/>
                <w:sz w:val="22"/>
                <w:szCs w:val="22"/>
                <w:highlight w:val="none"/>
              </w:rPr>
              <w:t>免费</w:t>
            </w:r>
          </w:p>
          <w:p>
            <w:pPr>
              <w:ind w:right="-11"/>
              <w:jc w:val="center"/>
              <w:rPr>
                <w:rFonts w:ascii="宋体" w:hAnsi="宋体" w:cs="黑体"/>
                <w:b/>
                <w:bCs/>
                <w:sz w:val="22"/>
                <w:szCs w:val="22"/>
                <w:highlight w:val="none"/>
              </w:rPr>
            </w:pPr>
            <w:r>
              <w:rPr>
                <w:rFonts w:hint="eastAsia" w:ascii="宋体" w:hAnsi="宋体" w:cs="黑体"/>
                <w:b/>
                <w:bCs/>
                <w:sz w:val="22"/>
                <w:szCs w:val="22"/>
                <w:highlight w:val="none"/>
              </w:rPr>
              <w:t>质保期</w:t>
            </w:r>
          </w:p>
        </w:tc>
        <w:tc>
          <w:tcPr>
            <w:tcW w:w="1134" w:type="dxa"/>
            <w:tcBorders>
              <w:top w:val="single" w:color="auto" w:sz="12" w:space="0"/>
              <w:bottom w:val="single" w:color="auto" w:sz="12" w:space="0"/>
              <w:right w:val="single" w:color="auto" w:sz="12" w:space="0"/>
            </w:tcBorders>
            <w:vAlign w:val="center"/>
          </w:tcPr>
          <w:p>
            <w:pPr>
              <w:ind w:right="-11"/>
              <w:jc w:val="center"/>
              <w:rPr>
                <w:rFonts w:hint="eastAsia" w:ascii="宋体" w:hAnsi="宋体" w:eastAsia="宋体" w:cs="黑体"/>
                <w:b/>
                <w:bCs/>
                <w:sz w:val="22"/>
                <w:szCs w:val="22"/>
                <w:highlight w:val="none"/>
                <w:lang w:eastAsia="zh-CN"/>
              </w:rPr>
            </w:pPr>
            <w:r>
              <w:rPr>
                <w:rFonts w:hint="eastAsia" w:ascii="宋体" w:hAnsi="宋体" w:cs="黑体"/>
                <w:b/>
                <w:bCs/>
                <w:sz w:val="22"/>
                <w:szCs w:val="22"/>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tcBorders>
              <w:left w:val="single" w:color="auto" w:sz="12" w:space="0"/>
            </w:tcBorders>
            <w:vAlign w:val="center"/>
          </w:tcPr>
          <w:p>
            <w:pPr>
              <w:ind w:right="-11"/>
              <w:jc w:val="center"/>
              <w:rPr>
                <w:rFonts w:ascii="宋体" w:hAnsi="宋体" w:cs="黑体"/>
                <w:sz w:val="22"/>
                <w:szCs w:val="22"/>
                <w:highlight w:val="none"/>
              </w:rPr>
            </w:pPr>
          </w:p>
        </w:tc>
        <w:tc>
          <w:tcPr>
            <w:tcW w:w="1555" w:type="dxa"/>
            <w:vAlign w:val="center"/>
          </w:tcPr>
          <w:p>
            <w:pPr>
              <w:jc w:val="center"/>
              <w:rPr>
                <w:rFonts w:ascii="宋体" w:hAnsi="宋体" w:cs="黑体"/>
                <w:sz w:val="22"/>
                <w:szCs w:val="22"/>
                <w:highlight w:val="none"/>
              </w:rPr>
            </w:pPr>
          </w:p>
        </w:tc>
        <w:tc>
          <w:tcPr>
            <w:tcW w:w="1278" w:type="dxa"/>
            <w:vAlign w:val="center"/>
          </w:tcPr>
          <w:p>
            <w:pPr>
              <w:jc w:val="center"/>
              <w:rPr>
                <w:rFonts w:ascii="宋体" w:hAnsi="宋体" w:cs="黑体"/>
                <w:sz w:val="22"/>
                <w:szCs w:val="22"/>
                <w:highlight w:val="none"/>
              </w:rPr>
            </w:pPr>
          </w:p>
        </w:tc>
        <w:tc>
          <w:tcPr>
            <w:tcW w:w="1134" w:type="dxa"/>
            <w:vAlign w:val="center"/>
          </w:tcPr>
          <w:p>
            <w:pPr>
              <w:ind w:right="-11"/>
              <w:jc w:val="center"/>
              <w:rPr>
                <w:rFonts w:ascii="宋体" w:hAnsi="宋体" w:cs="黑体"/>
                <w:sz w:val="22"/>
                <w:szCs w:val="22"/>
                <w:highlight w:val="none"/>
              </w:rPr>
            </w:pPr>
          </w:p>
        </w:tc>
        <w:tc>
          <w:tcPr>
            <w:tcW w:w="1106" w:type="dxa"/>
            <w:vAlign w:val="center"/>
          </w:tcPr>
          <w:p>
            <w:pPr>
              <w:jc w:val="center"/>
              <w:rPr>
                <w:rFonts w:ascii="宋体" w:hAnsi="宋体" w:cs="黑体"/>
                <w:sz w:val="22"/>
                <w:szCs w:val="22"/>
                <w:highlight w:val="none"/>
              </w:rPr>
            </w:pPr>
          </w:p>
        </w:tc>
        <w:tc>
          <w:tcPr>
            <w:tcW w:w="1139" w:type="dxa"/>
            <w:vAlign w:val="center"/>
          </w:tcPr>
          <w:p>
            <w:pPr>
              <w:ind w:right="-11"/>
              <w:jc w:val="center"/>
              <w:rPr>
                <w:rFonts w:ascii="宋体" w:hAnsi="宋体" w:cs="黑体"/>
                <w:sz w:val="22"/>
                <w:szCs w:val="22"/>
                <w:highlight w:val="none"/>
              </w:rPr>
            </w:pPr>
          </w:p>
        </w:tc>
        <w:tc>
          <w:tcPr>
            <w:tcW w:w="1198" w:type="dxa"/>
            <w:vAlign w:val="center"/>
          </w:tcPr>
          <w:p>
            <w:pPr>
              <w:ind w:right="-11"/>
              <w:jc w:val="center"/>
              <w:rPr>
                <w:rFonts w:ascii="宋体" w:hAnsi="宋体" w:cs="黑体"/>
                <w:sz w:val="22"/>
                <w:szCs w:val="22"/>
                <w:highlight w:val="none"/>
              </w:rPr>
            </w:pPr>
          </w:p>
        </w:tc>
        <w:tc>
          <w:tcPr>
            <w:tcW w:w="1093" w:type="dxa"/>
          </w:tcPr>
          <w:p>
            <w:pPr>
              <w:ind w:right="-11"/>
              <w:jc w:val="center"/>
              <w:rPr>
                <w:rFonts w:ascii="宋体" w:hAnsi="宋体" w:cs="黑体"/>
                <w:sz w:val="22"/>
                <w:szCs w:val="22"/>
                <w:highlight w:val="none"/>
              </w:rPr>
            </w:pPr>
          </w:p>
        </w:tc>
        <w:tc>
          <w:tcPr>
            <w:tcW w:w="1134" w:type="dxa"/>
            <w:tcBorders>
              <w:right w:val="single" w:color="auto" w:sz="12" w:space="0"/>
            </w:tcBorders>
            <w:vAlign w:val="center"/>
          </w:tcPr>
          <w:p>
            <w:pPr>
              <w:ind w:right="-11"/>
              <w:jc w:val="center"/>
              <w:rPr>
                <w:rFonts w:ascii="宋体" w:hAnsi="宋体" w:cs="黑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tcBorders>
              <w:left w:val="single" w:color="auto" w:sz="12" w:space="0"/>
            </w:tcBorders>
            <w:vAlign w:val="center"/>
          </w:tcPr>
          <w:p>
            <w:pPr>
              <w:ind w:right="-11"/>
              <w:jc w:val="center"/>
              <w:rPr>
                <w:rFonts w:ascii="宋体" w:hAnsi="宋体" w:cs="黑体"/>
                <w:sz w:val="22"/>
                <w:szCs w:val="22"/>
                <w:highlight w:val="none"/>
              </w:rPr>
            </w:pPr>
          </w:p>
        </w:tc>
        <w:tc>
          <w:tcPr>
            <w:tcW w:w="1555" w:type="dxa"/>
            <w:vAlign w:val="center"/>
          </w:tcPr>
          <w:p>
            <w:pPr>
              <w:jc w:val="center"/>
              <w:rPr>
                <w:rFonts w:ascii="宋体" w:hAnsi="宋体" w:cs="黑体"/>
                <w:sz w:val="22"/>
                <w:szCs w:val="22"/>
                <w:highlight w:val="none"/>
              </w:rPr>
            </w:pPr>
          </w:p>
        </w:tc>
        <w:tc>
          <w:tcPr>
            <w:tcW w:w="1278" w:type="dxa"/>
            <w:vAlign w:val="center"/>
          </w:tcPr>
          <w:p>
            <w:pPr>
              <w:jc w:val="center"/>
              <w:rPr>
                <w:rFonts w:ascii="宋体" w:hAnsi="宋体" w:cs="黑体"/>
                <w:sz w:val="22"/>
                <w:szCs w:val="22"/>
                <w:highlight w:val="none"/>
              </w:rPr>
            </w:pPr>
          </w:p>
        </w:tc>
        <w:tc>
          <w:tcPr>
            <w:tcW w:w="1134" w:type="dxa"/>
            <w:vAlign w:val="center"/>
          </w:tcPr>
          <w:p>
            <w:pPr>
              <w:ind w:right="-11"/>
              <w:jc w:val="center"/>
              <w:rPr>
                <w:rFonts w:ascii="宋体" w:hAnsi="宋体" w:cs="黑体"/>
                <w:sz w:val="22"/>
                <w:szCs w:val="22"/>
                <w:highlight w:val="none"/>
              </w:rPr>
            </w:pPr>
          </w:p>
        </w:tc>
        <w:tc>
          <w:tcPr>
            <w:tcW w:w="1106" w:type="dxa"/>
            <w:vAlign w:val="center"/>
          </w:tcPr>
          <w:p>
            <w:pPr>
              <w:jc w:val="center"/>
              <w:rPr>
                <w:rFonts w:ascii="宋体" w:hAnsi="宋体" w:cs="黑体"/>
                <w:sz w:val="22"/>
                <w:szCs w:val="22"/>
                <w:highlight w:val="none"/>
              </w:rPr>
            </w:pPr>
          </w:p>
        </w:tc>
        <w:tc>
          <w:tcPr>
            <w:tcW w:w="1139" w:type="dxa"/>
            <w:vAlign w:val="center"/>
          </w:tcPr>
          <w:p>
            <w:pPr>
              <w:ind w:right="-11"/>
              <w:jc w:val="center"/>
              <w:rPr>
                <w:rFonts w:ascii="宋体" w:hAnsi="宋体" w:cs="黑体"/>
                <w:sz w:val="22"/>
                <w:szCs w:val="22"/>
                <w:highlight w:val="none"/>
              </w:rPr>
            </w:pPr>
          </w:p>
        </w:tc>
        <w:tc>
          <w:tcPr>
            <w:tcW w:w="1198" w:type="dxa"/>
            <w:vAlign w:val="center"/>
          </w:tcPr>
          <w:p>
            <w:pPr>
              <w:ind w:right="-11"/>
              <w:jc w:val="center"/>
              <w:rPr>
                <w:rFonts w:ascii="宋体" w:hAnsi="宋体" w:cs="黑体"/>
                <w:sz w:val="22"/>
                <w:szCs w:val="22"/>
                <w:highlight w:val="none"/>
              </w:rPr>
            </w:pPr>
          </w:p>
        </w:tc>
        <w:tc>
          <w:tcPr>
            <w:tcW w:w="1093" w:type="dxa"/>
          </w:tcPr>
          <w:p>
            <w:pPr>
              <w:ind w:right="-11"/>
              <w:jc w:val="center"/>
              <w:rPr>
                <w:rFonts w:ascii="宋体" w:hAnsi="宋体" w:cs="黑体"/>
                <w:sz w:val="22"/>
                <w:szCs w:val="22"/>
                <w:highlight w:val="none"/>
              </w:rPr>
            </w:pPr>
          </w:p>
        </w:tc>
        <w:tc>
          <w:tcPr>
            <w:tcW w:w="1134" w:type="dxa"/>
            <w:tcBorders>
              <w:right w:val="single" w:color="auto" w:sz="12" w:space="0"/>
            </w:tcBorders>
            <w:vAlign w:val="center"/>
          </w:tcPr>
          <w:p>
            <w:pPr>
              <w:ind w:right="-11"/>
              <w:jc w:val="center"/>
              <w:rPr>
                <w:rFonts w:ascii="宋体" w:hAnsi="宋体" w:cs="黑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tcBorders>
              <w:left w:val="single" w:color="auto" w:sz="12" w:space="0"/>
            </w:tcBorders>
            <w:vAlign w:val="center"/>
          </w:tcPr>
          <w:p>
            <w:pPr>
              <w:ind w:right="-11"/>
              <w:jc w:val="center"/>
              <w:rPr>
                <w:rFonts w:ascii="宋体" w:hAnsi="宋体" w:cs="黑体"/>
                <w:sz w:val="22"/>
                <w:szCs w:val="22"/>
                <w:highlight w:val="none"/>
              </w:rPr>
            </w:pPr>
          </w:p>
        </w:tc>
        <w:tc>
          <w:tcPr>
            <w:tcW w:w="1555" w:type="dxa"/>
            <w:vAlign w:val="center"/>
          </w:tcPr>
          <w:p>
            <w:pPr>
              <w:jc w:val="center"/>
              <w:rPr>
                <w:rFonts w:ascii="宋体" w:hAnsi="宋体" w:cs="黑体"/>
                <w:sz w:val="22"/>
                <w:szCs w:val="22"/>
                <w:highlight w:val="none"/>
              </w:rPr>
            </w:pPr>
          </w:p>
        </w:tc>
        <w:tc>
          <w:tcPr>
            <w:tcW w:w="1278" w:type="dxa"/>
            <w:vAlign w:val="center"/>
          </w:tcPr>
          <w:p>
            <w:pPr>
              <w:jc w:val="center"/>
              <w:rPr>
                <w:rFonts w:ascii="宋体" w:hAnsi="宋体" w:cs="黑体"/>
                <w:sz w:val="22"/>
                <w:szCs w:val="22"/>
                <w:highlight w:val="none"/>
              </w:rPr>
            </w:pPr>
          </w:p>
        </w:tc>
        <w:tc>
          <w:tcPr>
            <w:tcW w:w="1134" w:type="dxa"/>
            <w:vAlign w:val="center"/>
          </w:tcPr>
          <w:p>
            <w:pPr>
              <w:ind w:right="-11"/>
              <w:jc w:val="center"/>
              <w:rPr>
                <w:rFonts w:ascii="宋体" w:hAnsi="宋体" w:cs="黑体"/>
                <w:sz w:val="22"/>
                <w:szCs w:val="22"/>
                <w:highlight w:val="none"/>
              </w:rPr>
            </w:pPr>
          </w:p>
        </w:tc>
        <w:tc>
          <w:tcPr>
            <w:tcW w:w="1106" w:type="dxa"/>
            <w:vAlign w:val="center"/>
          </w:tcPr>
          <w:p>
            <w:pPr>
              <w:jc w:val="center"/>
              <w:rPr>
                <w:rFonts w:ascii="宋体" w:hAnsi="宋体" w:cs="黑体"/>
                <w:sz w:val="22"/>
                <w:szCs w:val="22"/>
                <w:highlight w:val="none"/>
              </w:rPr>
            </w:pPr>
          </w:p>
        </w:tc>
        <w:tc>
          <w:tcPr>
            <w:tcW w:w="1139" w:type="dxa"/>
            <w:vAlign w:val="center"/>
          </w:tcPr>
          <w:p>
            <w:pPr>
              <w:ind w:right="-11"/>
              <w:jc w:val="center"/>
              <w:rPr>
                <w:rFonts w:ascii="宋体" w:hAnsi="宋体" w:cs="黑体"/>
                <w:sz w:val="22"/>
                <w:szCs w:val="22"/>
                <w:highlight w:val="none"/>
              </w:rPr>
            </w:pPr>
          </w:p>
        </w:tc>
        <w:tc>
          <w:tcPr>
            <w:tcW w:w="1198" w:type="dxa"/>
            <w:vAlign w:val="center"/>
          </w:tcPr>
          <w:p>
            <w:pPr>
              <w:ind w:right="-11"/>
              <w:jc w:val="center"/>
              <w:rPr>
                <w:rFonts w:ascii="宋体" w:hAnsi="宋体" w:cs="黑体"/>
                <w:sz w:val="22"/>
                <w:szCs w:val="22"/>
                <w:highlight w:val="none"/>
              </w:rPr>
            </w:pPr>
          </w:p>
        </w:tc>
        <w:tc>
          <w:tcPr>
            <w:tcW w:w="1093" w:type="dxa"/>
          </w:tcPr>
          <w:p>
            <w:pPr>
              <w:ind w:right="-11"/>
              <w:jc w:val="center"/>
              <w:rPr>
                <w:rFonts w:ascii="宋体" w:hAnsi="宋体" w:cs="黑体"/>
                <w:sz w:val="22"/>
                <w:szCs w:val="22"/>
                <w:highlight w:val="none"/>
              </w:rPr>
            </w:pPr>
          </w:p>
        </w:tc>
        <w:tc>
          <w:tcPr>
            <w:tcW w:w="1134" w:type="dxa"/>
            <w:tcBorders>
              <w:right w:val="single" w:color="auto" w:sz="12" w:space="0"/>
            </w:tcBorders>
            <w:vAlign w:val="center"/>
          </w:tcPr>
          <w:p>
            <w:pPr>
              <w:ind w:right="-11"/>
              <w:jc w:val="center"/>
              <w:rPr>
                <w:rFonts w:ascii="宋体" w:hAnsi="宋体" w:cs="黑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tcBorders>
              <w:left w:val="single" w:color="auto" w:sz="12" w:space="0"/>
            </w:tcBorders>
            <w:vAlign w:val="center"/>
          </w:tcPr>
          <w:p>
            <w:pPr>
              <w:ind w:right="-11"/>
              <w:jc w:val="center"/>
              <w:rPr>
                <w:rFonts w:ascii="宋体" w:hAnsi="宋体" w:cs="黑体"/>
                <w:sz w:val="22"/>
                <w:szCs w:val="22"/>
                <w:highlight w:val="none"/>
              </w:rPr>
            </w:pPr>
          </w:p>
        </w:tc>
        <w:tc>
          <w:tcPr>
            <w:tcW w:w="1555" w:type="dxa"/>
            <w:vAlign w:val="center"/>
          </w:tcPr>
          <w:p>
            <w:pPr>
              <w:jc w:val="center"/>
              <w:rPr>
                <w:rFonts w:ascii="宋体" w:hAnsi="宋体" w:cs="黑体"/>
                <w:sz w:val="22"/>
                <w:szCs w:val="22"/>
                <w:highlight w:val="none"/>
              </w:rPr>
            </w:pPr>
          </w:p>
        </w:tc>
        <w:tc>
          <w:tcPr>
            <w:tcW w:w="1278" w:type="dxa"/>
            <w:vAlign w:val="center"/>
          </w:tcPr>
          <w:p>
            <w:pPr>
              <w:jc w:val="center"/>
              <w:rPr>
                <w:rFonts w:ascii="宋体" w:hAnsi="宋体" w:cs="黑体"/>
                <w:sz w:val="22"/>
                <w:szCs w:val="22"/>
                <w:highlight w:val="none"/>
              </w:rPr>
            </w:pPr>
          </w:p>
        </w:tc>
        <w:tc>
          <w:tcPr>
            <w:tcW w:w="1134" w:type="dxa"/>
            <w:vAlign w:val="center"/>
          </w:tcPr>
          <w:p>
            <w:pPr>
              <w:ind w:right="-11"/>
              <w:jc w:val="center"/>
              <w:rPr>
                <w:rFonts w:ascii="宋体" w:hAnsi="宋体" w:cs="黑体"/>
                <w:sz w:val="22"/>
                <w:szCs w:val="22"/>
                <w:highlight w:val="none"/>
              </w:rPr>
            </w:pPr>
          </w:p>
        </w:tc>
        <w:tc>
          <w:tcPr>
            <w:tcW w:w="1106" w:type="dxa"/>
            <w:vAlign w:val="center"/>
          </w:tcPr>
          <w:p>
            <w:pPr>
              <w:jc w:val="center"/>
              <w:rPr>
                <w:rFonts w:ascii="宋体" w:hAnsi="宋体" w:cs="黑体"/>
                <w:sz w:val="22"/>
                <w:szCs w:val="22"/>
                <w:highlight w:val="none"/>
              </w:rPr>
            </w:pPr>
          </w:p>
        </w:tc>
        <w:tc>
          <w:tcPr>
            <w:tcW w:w="1139" w:type="dxa"/>
            <w:vAlign w:val="center"/>
          </w:tcPr>
          <w:p>
            <w:pPr>
              <w:ind w:right="-11"/>
              <w:jc w:val="center"/>
              <w:rPr>
                <w:rFonts w:ascii="宋体" w:hAnsi="宋体" w:cs="黑体"/>
                <w:sz w:val="22"/>
                <w:szCs w:val="22"/>
                <w:highlight w:val="none"/>
              </w:rPr>
            </w:pPr>
          </w:p>
        </w:tc>
        <w:tc>
          <w:tcPr>
            <w:tcW w:w="1198" w:type="dxa"/>
            <w:vAlign w:val="center"/>
          </w:tcPr>
          <w:p>
            <w:pPr>
              <w:ind w:right="-11"/>
              <w:jc w:val="center"/>
              <w:rPr>
                <w:rFonts w:ascii="宋体" w:hAnsi="宋体" w:cs="黑体"/>
                <w:sz w:val="22"/>
                <w:szCs w:val="22"/>
                <w:highlight w:val="none"/>
              </w:rPr>
            </w:pPr>
          </w:p>
        </w:tc>
        <w:tc>
          <w:tcPr>
            <w:tcW w:w="1093" w:type="dxa"/>
          </w:tcPr>
          <w:p>
            <w:pPr>
              <w:ind w:right="-11"/>
              <w:jc w:val="center"/>
              <w:rPr>
                <w:rFonts w:ascii="宋体" w:hAnsi="宋体" w:cs="黑体"/>
                <w:sz w:val="22"/>
                <w:szCs w:val="22"/>
                <w:highlight w:val="none"/>
              </w:rPr>
            </w:pPr>
          </w:p>
        </w:tc>
        <w:tc>
          <w:tcPr>
            <w:tcW w:w="1134" w:type="dxa"/>
            <w:tcBorders>
              <w:right w:val="single" w:color="auto" w:sz="12" w:space="0"/>
            </w:tcBorders>
            <w:vAlign w:val="center"/>
          </w:tcPr>
          <w:p>
            <w:pPr>
              <w:ind w:right="-11"/>
              <w:jc w:val="center"/>
              <w:rPr>
                <w:rFonts w:ascii="宋体" w:hAnsi="宋体" w:cs="黑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tcBorders>
              <w:left w:val="single" w:color="auto" w:sz="12" w:space="0"/>
            </w:tcBorders>
            <w:vAlign w:val="center"/>
          </w:tcPr>
          <w:p>
            <w:pPr>
              <w:ind w:right="-11"/>
              <w:jc w:val="center"/>
              <w:rPr>
                <w:rFonts w:ascii="宋体" w:hAnsi="宋体" w:cs="黑体"/>
                <w:sz w:val="22"/>
                <w:szCs w:val="22"/>
                <w:highlight w:val="none"/>
              </w:rPr>
            </w:pPr>
          </w:p>
        </w:tc>
        <w:tc>
          <w:tcPr>
            <w:tcW w:w="1555" w:type="dxa"/>
            <w:vAlign w:val="center"/>
          </w:tcPr>
          <w:p>
            <w:pPr>
              <w:jc w:val="center"/>
              <w:rPr>
                <w:rFonts w:ascii="宋体" w:hAnsi="宋体" w:cs="黑体"/>
                <w:sz w:val="22"/>
                <w:szCs w:val="22"/>
                <w:highlight w:val="none"/>
              </w:rPr>
            </w:pPr>
          </w:p>
        </w:tc>
        <w:tc>
          <w:tcPr>
            <w:tcW w:w="1278" w:type="dxa"/>
            <w:vAlign w:val="center"/>
          </w:tcPr>
          <w:p>
            <w:pPr>
              <w:jc w:val="center"/>
              <w:rPr>
                <w:rFonts w:ascii="宋体" w:hAnsi="宋体" w:cs="黑体"/>
                <w:sz w:val="22"/>
                <w:szCs w:val="22"/>
                <w:highlight w:val="none"/>
              </w:rPr>
            </w:pPr>
          </w:p>
        </w:tc>
        <w:tc>
          <w:tcPr>
            <w:tcW w:w="1134" w:type="dxa"/>
            <w:vAlign w:val="center"/>
          </w:tcPr>
          <w:p>
            <w:pPr>
              <w:ind w:right="-11"/>
              <w:jc w:val="center"/>
              <w:rPr>
                <w:rFonts w:ascii="宋体" w:hAnsi="宋体" w:cs="黑体"/>
                <w:sz w:val="22"/>
                <w:szCs w:val="22"/>
                <w:highlight w:val="none"/>
              </w:rPr>
            </w:pPr>
          </w:p>
        </w:tc>
        <w:tc>
          <w:tcPr>
            <w:tcW w:w="1106" w:type="dxa"/>
            <w:vAlign w:val="center"/>
          </w:tcPr>
          <w:p>
            <w:pPr>
              <w:jc w:val="center"/>
              <w:rPr>
                <w:rFonts w:ascii="宋体" w:hAnsi="宋体" w:cs="黑体"/>
                <w:sz w:val="22"/>
                <w:szCs w:val="22"/>
                <w:highlight w:val="none"/>
              </w:rPr>
            </w:pPr>
          </w:p>
        </w:tc>
        <w:tc>
          <w:tcPr>
            <w:tcW w:w="1139" w:type="dxa"/>
            <w:vAlign w:val="center"/>
          </w:tcPr>
          <w:p>
            <w:pPr>
              <w:ind w:right="-11"/>
              <w:jc w:val="center"/>
              <w:rPr>
                <w:rFonts w:ascii="宋体" w:hAnsi="宋体" w:cs="黑体"/>
                <w:sz w:val="22"/>
                <w:szCs w:val="22"/>
                <w:highlight w:val="none"/>
              </w:rPr>
            </w:pPr>
          </w:p>
        </w:tc>
        <w:tc>
          <w:tcPr>
            <w:tcW w:w="1198" w:type="dxa"/>
            <w:vAlign w:val="center"/>
          </w:tcPr>
          <w:p>
            <w:pPr>
              <w:ind w:right="-11"/>
              <w:jc w:val="center"/>
              <w:rPr>
                <w:rFonts w:ascii="宋体" w:hAnsi="宋体" w:cs="黑体"/>
                <w:sz w:val="22"/>
                <w:szCs w:val="22"/>
                <w:highlight w:val="none"/>
              </w:rPr>
            </w:pPr>
          </w:p>
        </w:tc>
        <w:tc>
          <w:tcPr>
            <w:tcW w:w="1093" w:type="dxa"/>
          </w:tcPr>
          <w:p>
            <w:pPr>
              <w:ind w:right="-11"/>
              <w:jc w:val="center"/>
              <w:rPr>
                <w:rFonts w:ascii="宋体" w:hAnsi="宋体" w:cs="黑体"/>
                <w:sz w:val="22"/>
                <w:szCs w:val="22"/>
                <w:highlight w:val="none"/>
              </w:rPr>
            </w:pPr>
          </w:p>
        </w:tc>
        <w:tc>
          <w:tcPr>
            <w:tcW w:w="1134" w:type="dxa"/>
            <w:tcBorders>
              <w:right w:val="single" w:color="auto" w:sz="12" w:space="0"/>
            </w:tcBorders>
            <w:vAlign w:val="center"/>
          </w:tcPr>
          <w:p>
            <w:pPr>
              <w:ind w:right="-11"/>
              <w:jc w:val="center"/>
              <w:rPr>
                <w:rFonts w:ascii="宋体" w:hAnsi="宋体" w:cs="黑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tcBorders>
              <w:left w:val="single" w:color="auto" w:sz="12" w:space="0"/>
            </w:tcBorders>
            <w:vAlign w:val="center"/>
          </w:tcPr>
          <w:p>
            <w:pPr>
              <w:ind w:right="-11"/>
              <w:jc w:val="center"/>
              <w:rPr>
                <w:rFonts w:ascii="宋体" w:hAnsi="宋体" w:cs="黑体"/>
                <w:sz w:val="22"/>
                <w:szCs w:val="22"/>
                <w:highlight w:val="none"/>
              </w:rPr>
            </w:pPr>
          </w:p>
        </w:tc>
        <w:tc>
          <w:tcPr>
            <w:tcW w:w="1555" w:type="dxa"/>
            <w:vAlign w:val="center"/>
          </w:tcPr>
          <w:p>
            <w:pPr>
              <w:jc w:val="center"/>
              <w:rPr>
                <w:rFonts w:ascii="宋体" w:hAnsi="宋体" w:cs="黑体"/>
                <w:sz w:val="22"/>
                <w:szCs w:val="22"/>
                <w:highlight w:val="none"/>
              </w:rPr>
            </w:pPr>
          </w:p>
        </w:tc>
        <w:tc>
          <w:tcPr>
            <w:tcW w:w="1278" w:type="dxa"/>
            <w:vAlign w:val="center"/>
          </w:tcPr>
          <w:p>
            <w:pPr>
              <w:jc w:val="center"/>
              <w:rPr>
                <w:rFonts w:ascii="宋体" w:hAnsi="宋体" w:cs="黑体"/>
                <w:sz w:val="22"/>
                <w:szCs w:val="22"/>
                <w:highlight w:val="none"/>
              </w:rPr>
            </w:pPr>
          </w:p>
        </w:tc>
        <w:tc>
          <w:tcPr>
            <w:tcW w:w="1134" w:type="dxa"/>
            <w:vAlign w:val="center"/>
          </w:tcPr>
          <w:p>
            <w:pPr>
              <w:ind w:right="-11"/>
              <w:jc w:val="center"/>
              <w:rPr>
                <w:rFonts w:ascii="宋体" w:hAnsi="宋体" w:cs="黑体"/>
                <w:sz w:val="22"/>
                <w:szCs w:val="22"/>
                <w:highlight w:val="none"/>
              </w:rPr>
            </w:pPr>
          </w:p>
        </w:tc>
        <w:tc>
          <w:tcPr>
            <w:tcW w:w="1106" w:type="dxa"/>
            <w:vAlign w:val="center"/>
          </w:tcPr>
          <w:p>
            <w:pPr>
              <w:jc w:val="center"/>
              <w:rPr>
                <w:rFonts w:ascii="宋体" w:hAnsi="宋体" w:cs="黑体"/>
                <w:sz w:val="22"/>
                <w:szCs w:val="22"/>
                <w:highlight w:val="none"/>
              </w:rPr>
            </w:pPr>
          </w:p>
        </w:tc>
        <w:tc>
          <w:tcPr>
            <w:tcW w:w="1139" w:type="dxa"/>
            <w:vAlign w:val="center"/>
          </w:tcPr>
          <w:p>
            <w:pPr>
              <w:ind w:right="-11"/>
              <w:jc w:val="center"/>
              <w:rPr>
                <w:rFonts w:ascii="宋体" w:hAnsi="宋体" w:cs="黑体"/>
                <w:sz w:val="22"/>
                <w:szCs w:val="22"/>
                <w:highlight w:val="none"/>
              </w:rPr>
            </w:pPr>
          </w:p>
        </w:tc>
        <w:tc>
          <w:tcPr>
            <w:tcW w:w="1198" w:type="dxa"/>
            <w:vAlign w:val="center"/>
          </w:tcPr>
          <w:p>
            <w:pPr>
              <w:ind w:right="-11"/>
              <w:jc w:val="center"/>
              <w:rPr>
                <w:rFonts w:ascii="宋体" w:hAnsi="宋体" w:cs="黑体"/>
                <w:sz w:val="22"/>
                <w:szCs w:val="22"/>
                <w:highlight w:val="none"/>
              </w:rPr>
            </w:pPr>
          </w:p>
        </w:tc>
        <w:tc>
          <w:tcPr>
            <w:tcW w:w="1093" w:type="dxa"/>
          </w:tcPr>
          <w:p>
            <w:pPr>
              <w:ind w:right="-11"/>
              <w:jc w:val="center"/>
              <w:rPr>
                <w:rFonts w:ascii="宋体" w:hAnsi="宋体" w:cs="黑体"/>
                <w:sz w:val="22"/>
                <w:szCs w:val="22"/>
                <w:highlight w:val="none"/>
              </w:rPr>
            </w:pPr>
          </w:p>
        </w:tc>
        <w:tc>
          <w:tcPr>
            <w:tcW w:w="1134" w:type="dxa"/>
            <w:tcBorders>
              <w:right w:val="single" w:color="auto" w:sz="12" w:space="0"/>
            </w:tcBorders>
            <w:vAlign w:val="center"/>
          </w:tcPr>
          <w:p>
            <w:pPr>
              <w:ind w:right="-11"/>
              <w:jc w:val="center"/>
              <w:rPr>
                <w:rFonts w:ascii="宋体" w:hAnsi="宋体" w:cs="黑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10" w:type="dxa"/>
            <w:gridSpan w:val="3"/>
            <w:tcBorders>
              <w:left w:val="single" w:color="auto" w:sz="12" w:space="0"/>
              <w:bottom w:val="single" w:color="auto" w:sz="12" w:space="0"/>
            </w:tcBorders>
            <w:vAlign w:val="center"/>
          </w:tcPr>
          <w:p>
            <w:pPr>
              <w:ind w:right="-10"/>
              <w:jc w:val="center"/>
              <w:rPr>
                <w:rFonts w:ascii="宋体" w:hAnsi="宋体" w:cs="黑体"/>
                <w:b/>
                <w:bCs/>
                <w:sz w:val="22"/>
                <w:szCs w:val="22"/>
                <w:highlight w:val="none"/>
              </w:rPr>
            </w:pPr>
            <w:r>
              <w:rPr>
                <w:rFonts w:hint="eastAsia" w:ascii="宋体" w:hAnsi="宋体" w:cs="黑体"/>
                <w:b/>
                <w:bCs/>
                <w:sz w:val="22"/>
                <w:szCs w:val="22"/>
                <w:highlight w:val="none"/>
              </w:rPr>
              <w:t>合计</w:t>
            </w:r>
          </w:p>
        </w:tc>
        <w:tc>
          <w:tcPr>
            <w:tcW w:w="6804" w:type="dxa"/>
            <w:gridSpan w:val="6"/>
            <w:tcBorders>
              <w:bottom w:val="single" w:color="auto" w:sz="12" w:space="0"/>
              <w:right w:val="single" w:color="auto" w:sz="12" w:space="0"/>
            </w:tcBorders>
          </w:tcPr>
          <w:p>
            <w:pPr>
              <w:ind w:right="-10"/>
              <w:rPr>
                <w:rFonts w:ascii="宋体" w:hAnsi="宋体" w:cs="黑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10" w:type="dxa"/>
            <w:gridSpan w:val="3"/>
            <w:tcBorders>
              <w:top w:val="single" w:color="auto" w:sz="2" w:space="0"/>
              <w:left w:val="single" w:color="auto" w:sz="12" w:space="0"/>
              <w:bottom w:val="single" w:color="auto" w:sz="2" w:space="0"/>
            </w:tcBorders>
            <w:vAlign w:val="center"/>
          </w:tcPr>
          <w:p>
            <w:pPr>
              <w:ind w:right="-11"/>
              <w:rPr>
                <w:rFonts w:ascii="宋体" w:hAnsi="宋体" w:cs="黑体"/>
                <w:sz w:val="22"/>
                <w:szCs w:val="22"/>
                <w:highlight w:val="none"/>
              </w:rPr>
            </w:pPr>
            <w:r>
              <w:rPr>
                <w:rFonts w:hint="eastAsia" w:ascii="宋体" w:hAnsi="宋体"/>
                <w:sz w:val="22"/>
                <w:szCs w:val="22"/>
                <w:highlight w:val="none"/>
              </w:rPr>
              <w:t>随机备品备件、耗材、专用工具（如有）</w:t>
            </w:r>
          </w:p>
        </w:tc>
        <w:tc>
          <w:tcPr>
            <w:tcW w:w="6804" w:type="dxa"/>
            <w:gridSpan w:val="6"/>
            <w:tcBorders>
              <w:top w:val="single" w:color="auto" w:sz="2" w:space="0"/>
              <w:bottom w:val="single" w:color="auto" w:sz="2" w:space="0"/>
              <w:right w:val="single" w:color="auto" w:sz="12" w:space="0"/>
            </w:tcBorders>
            <w:vAlign w:val="center"/>
          </w:tcPr>
          <w:p>
            <w:pPr>
              <w:ind w:right="-11"/>
              <w:rPr>
                <w:rFonts w:ascii="宋体" w:hAnsi="宋体" w:cs="黑体"/>
                <w:sz w:val="22"/>
                <w:szCs w:val="22"/>
                <w:highlight w:val="none"/>
              </w:rPr>
            </w:pPr>
            <w:r>
              <w:rPr>
                <w:rFonts w:hint="eastAsia" w:ascii="宋体" w:hAnsi="宋体" w:cs="黑体"/>
                <w:sz w:val="22"/>
                <w:szCs w:val="22"/>
                <w:highlight w:val="none"/>
              </w:rPr>
              <w:t>填写“含”或具体金额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10" w:type="dxa"/>
            <w:gridSpan w:val="3"/>
            <w:tcBorders>
              <w:top w:val="single" w:color="auto" w:sz="2" w:space="0"/>
              <w:left w:val="single" w:color="auto" w:sz="12" w:space="0"/>
              <w:bottom w:val="single" w:color="auto" w:sz="2" w:space="0"/>
            </w:tcBorders>
            <w:vAlign w:val="center"/>
          </w:tcPr>
          <w:p>
            <w:pPr>
              <w:ind w:right="-11"/>
              <w:rPr>
                <w:rFonts w:ascii="宋体" w:hAnsi="宋体" w:cs="黑体"/>
                <w:sz w:val="22"/>
                <w:szCs w:val="22"/>
                <w:highlight w:val="none"/>
              </w:rPr>
            </w:pPr>
            <w:r>
              <w:rPr>
                <w:rFonts w:hint="eastAsia" w:ascii="宋体" w:hAnsi="宋体" w:cs="黑体"/>
                <w:sz w:val="22"/>
                <w:szCs w:val="22"/>
                <w:highlight w:val="none"/>
              </w:rPr>
              <w:t>运杂及保险费（含卸货）</w:t>
            </w:r>
          </w:p>
        </w:tc>
        <w:tc>
          <w:tcPr>
            <w:tcW w:w="6804" w:type="dxa"/>
            <w:gridSpan w:val="6"/>
            <w:tcBorders>
              <w:top w:val="single" w:color="auto" w:sz="2" w:space="0"/>
              <w:bottom w:val="single" w:color="auto" w:sz="2" w:space="0"/>
              <w:right w:val="single" w:color="auto" w:sz="12" w:space="0"/>
            </w:tcBorders>
            <w:vAlign w:val="center"/>
          </w:tcPr>
          <w:p>
            <w:pPr>
              <w:ind w:right="-10"/>
              <w:rPr>
                <w:rFonts w:ascii="宋体" w:hAnsi="宋体" w:cs="黑体"/>
                <w:sz w:val="22"/>
                <w:szCs w:val="22"/>
                <w:highlight w:val="none"/>
              </w:rPr>
            </w:pPr>
            <w:r>
              <w:rPr>
                <w:rFonts w:hint="eastAsia" w:ascii="宋体" w:hAnsi="宋体" w:cs="黑体"/>
                <w:sz w:val="22"/>
                <w:szCs w:val="22"/>
                <w:highlight w:val="none"/>
              </w:rPr>
              <w:t>填写“含”或具体金额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10" w:type="dxa"/>
            <w:gridSpan w:val="3"/>
            <w:tcBorders>
              <w:top w:val="single" w:color="auto" w:sz="2" w:space="0"/>
              <w:left w:val="single" w:color="auto" w:sz="12" w:space="0"/>
              <w:bottom w:val="single" w:color="auto" w:sz="2" w:space="0"/>
            </w:tcBorders>
            <w:vAlign w:val="center"/>
          </w:tcPr>
          <w:p>
            <w:pPr>
              <w:ind w:right="-11"/>
              <w:rPr>
                <w:rFonts w:ascii="宋体" w:hAnsi="宋体" w:cs="黑体"/>
                <w:sz w:val="22"/>
                <w:szCs w:val="22"/>
                <w:highlight w:val="none"/>
              </w:rPr>
            </w:pPr>
            <w:r>
              <w:rPr>
                <w:rFonts w:hint="eastAsia" w:ascii="宋体" w:hAnsi="宋体"/>
                <w:sz w:val="22"/>
                <w:szCs w:val="22"/>
                <w:highlight w:val="none"/>
              </w:rPr>
              <w:t>安装、调试及验收费（包括设备的测试、调试、验收等费用）</w:t>
            </w:r>
          </w:p>
        </w:tc>
        <w:tc>
          <w:tcPr>
            <w:tcW w:w="6804" w:type="dxa"/>
            <w:gridSpan w:val="6"/>
            <w:tcBorders>
              <w:top w:val="single" w:color="auto" w:sz="2" w:space="0"/>
              <w:bottom w:val="single" w:color="auto" w:sz="2" w:space="0"/>
              <w:right w:val="single" w:color="auto" w:sz="12" w:space="0"/>
            </w:tcBorders>
            <w:vAlign w:val="center"/>
          </w:tcPr>
          <w:p>
            <w:pPr>
              <w:ind w:right="-10"/>
              <w:rPr>
                <w:rFonts w:ascii="宋体" w:hAnsi="宋体" w:cs="黑体"/>
                <w:sz w:val="22"/>
                <w:szCs w:val="22"/>
                <w:highlight w:val="none"/>
              </w:rPr>
            </w:pPr>
            <w:r>
              <w:rPr>
                <w:rFonts w:hint="eastAsia" w:ascii="宋体" w:hAnsi="宋体" w:cs="黑体"/>
                <w:sz w:val="22"/>
                <w:szCs w:val="22"/>
                <w:highlight w:val="none"/>
              </w:rPr>
              <w:t>填写“含”或具体金额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10" w:type="dxa"/>
            <w:gridSpan w:val="3"/>
            <w:tcBorders>
              <w:top w:val="single" w:color="auto" w:sz="2" w:space="0"/>
              <w:left w:val="single" w:color="auto" w:sz="12" w:space="0"/>
              <w:bottom w:val="single" w:color="auto" w:sz="2" w:space="0"/>
            </w:tcBorders>
            <w:vAlign w:val="center"/>
          </w:tcPr>
          <w:p>
            <w:pPr>
              <w:ind w:right="-11"/>
              <w:rPr>
                <w:rFonts w:ascii="宋体" w:hAnsi="宋体"/>
                <w:sz w:val="22"/>
                <w:szCs w:val="22"/>
                <w:highlight w:val="none"/>
              </w:rPr>
            </w:pPr>
            <w:r>
              <w:rPr>
                <w:rFonts w:hint="eastAsia" w:ascii="宋体" w:hAnsi="宋体" w:cs="黑体"/>
                <w:sz w:val="22"/>
                <w:szCs w:val="22"/>
                <w:highlight w:val="none"/>
              </w:rPr>
              <w:t>技术培训费、技术服务费、售后服务费等</w:t>
            </w:r>
          </w:p>
        </w:tc>
        <w:tc>
          <w:tcPr>
            <w:tcW w:w="6804" w:type="dxa"/>
            <w:gridSpan w:val="6"/>
            <w:tcBorders>
              <w:top w:val="single" w:color="auto" w:sz="2" w:space="0"/>
              <w:bottom w:val="single" w:color="auto" w:sz="2" w:space="0"/>
              <w:right w:val="single" w:color="auto" w:sz="12" w:space="0"/>
            </w:tcBorders>
            <w:vAlign w:val="center"/>
          </w:tcPr>
          <w:p>
            <w:pPr>
              <w:ind w:right="-10"/>
              <w:rPr>
                <w:rFonts w:ascii="宋体" w:hAnsi="宋体" w:cs="黑体"/>
                <w:sz w:val="22"/>
                <w:szCs w:val="22"/>
                <w:highlight w:val="none"/>
              </w:rPr>
            </w:pPr>
            <w:r>
              <w:rPr>
                <w:rFonts w:hint="eastAsia" w:ascii="宋体" w:hAnsi="宋体" w:cs="黑体"/>
                <w:sz w:val="22"/>
                <w:szCs w:val="22"/>
                <w:highlight w:val="none"/>
              </w:rPr>
              <w:t>填写“含”或具体金额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10" w:type="dxa"/>
            <w:gridSpan w:val="3"/>
            <w:tcBorders>
              <w:top w:val="single" w:color="auto" w:sz="2" w:space="0"/>
              <w:left w:val="single" w:color="auto" w:sz="12" w:space="0"/>
              <w:bottom w:val="single" w:color="auto" w:sz="2" w:space="0"/>
            </w:tcBorders>
            <w:vAlign w:val="center"/>
          </w:tcPr>
          <w:p>
            <w:pPr>
              <w:ind w:right="-11"/>
              <w:rPr>
                <w:rFonts w:ascii="宋体" w:hAnsi="宋体"/>
                <w:sz w:val="22"/>
                <w:szCs w:val="22"/>
                <w:highlight w:val="none"/>
              </w:rPr>
            </w:pPr>
            <w:r>
              <w:rPr>
                <w:rFonts w:hint="eastAsia" w:ascii="宋体" w:hAnsi="宋体" w:cs="黑体"/>
                <w:sz w:val="22"/>
                <w:szCs w:val="22"/>
                <w:highlight w:val="none"/>
              </w:rPr>
              <w:t>其他相关费用</w:t>
            </w:r>
          </w:p>
        </w:tc>
        <w:tc>
          <w:tcPr>
            <w:tcW w:w="6804" w:type="dxa"/>
            <w:gridSpan w:val="6"/>
            <w:tcBorders>
              <w:top w:val="single" w:color="auto" w:sz="2" w:space="0"/>
              <w:bottom w:val="single" w:color="auto" w:sz="2" w:space="0"/>
              <w:right w:val="single" w:color="auto" w:sz="12" w:space="0"/>
            </w:tcBorders>
            <w:vAlign w:val="center"/>
          </w:tcPr>
          <w:p>
            <w:pPr>
              <w:ind w:right="-10"/>
              <w:rPr>
                <w:rFonts w:ascii="宋体" w:hAnsi="宋体" w:cs="黑体"/>
                <w:sz w:val="22"/>
                <w:szCs w:val="22"/>
                <w:highlight w:val="none"/>
              </w:rPr>
            </w:pPr>
            <w:r>
              <w:rPr>
                <w:rFonts w:hint="eastAsia" w:ascii="宋体" w:hAnsi="宋体" w:cs="黑体"/>
                <w:sz w:val="22"/>
                <w:szCs w:val="22"/>
                <w:highlight w:val="none"/>
              </w:rPr>
              <w:t>填写“含”或具体金额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3510" w:type="dxa"/>
            <w:gridSpan w:val="3"/>
            <w:tcBorders>
              <w:top w:val="single" w:color="auto" w:sz="2" w:space="0"/>
              <w:left w:val="single" w:color="auto" w:sz="12" w:space="0"/>
              <w:bottom w:val="single" w:color="auto" w:sz="12" w:space="0"/>
            </w:tcBorders>
            <w:vAlign w:val="center"/>
          </w:tcPr>
          <w:p>
            <w:pPr>
              <w:ind w:right="-11"/>
              <w:rPr>
                <w:rFonts w:ascii="宋体" w:hAnsi="宋体" w:cs="黑体"/>
                <w:b/>
                <w:sz w:val="22"/>
                <w:szCs w:val="22"/>
                <w:highlight w:val="none"/>
              </w:rPr>
            </w:pPr>
            <w:r>
              <w:rPr>
                <w:rFonts w:hint="eastAsia" w:ascii="宋体" w:hAnsi="宋体" w:cs="黑体"/>
                <w:b/>
                <w:sz w:val="22"/>
                <w:szCs w:val="22"/>
                <w:highlight w:val="none"/>
              </w:rPr>
              <w:t>投标报价（总计）</w:t>
            </w:r>
          </w:p>
        </w:tc>
        <w:tc>
          <w:tcPr>
            <w:tcW w:w="6804" w:type="dxa"/>
            <w:gridSpan w:val="6"/>
            <w:tcBorders>
              <w:top w:val="single" w:color="auto" w:sz="2" w:space="0"/>
              <w:bottom w:val="single" w:color="auto" w:sz="12" w:space="0"/>
              <w:right w:val="single" w:color="auto" w:sz="12" w:space="0"/>
            </w:tcBorders>
          </w:tcPr>
          <w:p>
            <w:pPr>
              <w:ind w:right="-10"/>
              <w:rPr>
                <w:rFonts w:ascii="宋体" w:hAnsi="宋体" w:cs="黑体"/>
                <w:sz w:val="22"/>
                <w:szCs w:val="22"/>
                <w:highlight w:val="none"/>
              </w:rPr>
            </w:pPr>
          </w:p>
        </w:tc>
      </w:tr>
    </w:tbl>
    <w:p>
      <w:pPr>
        <w:spacing w:line="460" w:lineRule="exact"/>
        <w:rPr>
          <w:rFonts w:ascii="宋体" w:hAnsi="宋体"/>
          <w:b/>
          <w:sz w:val="22"/>
          <w:szCs w:val="22"/>
          <w:highlight w:val="none"/>
        </w:rPr>
      </w:pPr>
      <w:r>
        <w:rPr>
          <w:rFonts w:hint="eastAsia" w:ascii="宋体" w:hAnsi="宋体"/>
          <w:b/>
          <w:sz w:val="22"/>
          <w:szCs w:val="22"/>
          <w:highlight w:val="none"/>
        </w:rPr>
        <w:t>说明：</w:t>
      </w:r>
    </w:p>
    <w:p>
      <w:pPr>
        <w:spacing w:line="460" w:lineRule="exact"/>
        <w:rPr>
          <w:rFonts w:ascii="宋体" w:hAnsi="宋体"/>
          <w:b/>
          <w:sz w:val="22"/>
          <w:szCs w:val="22"/>
          <w:highlight w:val="none"/>
        </w:rPr>
      </w:pPr>
      <w:r>
        <w:rPr>
          <w:rFonts w:hint="eastAsia" w:ascii="宋体" w:hAnsi="宋体"/>
          <w:b/>
          <w:sz w:val="22"/>
          <w:szCs w:val="22"/>
          <w:highlight w:val="none"/>
        </w:rPr>
        <w:t>1. “投标报价”应与《开标一览表》中“投标报价”相一致。</w:t>
      </w:r>
    </w:p>
    <w:p>
      <w:pPr>
        <w:spacing w:line="460" w:lineRule="exact"/>
        <w:rPr>
          <w:rFonts w:ascii="宋体" w:hAnsi="宋体"/>
          <w:b/>
          <w:sz w:val="22"/>
          <w:szCs w:val="22"/>
          <w:highlight w:val="none"/>
        </w:rPr>
      </w:pPr>
      <w:r>
        <w:rPr>
          <w:rFonts w:ascii="宋体" w:hAnsi="宋体"/>
          <w:b/>
          <w:sz w:val="22"/>
          <w:szCs w:val="22"/>
          <w:highlight w:val="none"/>
        </w:rPr>
        <w:t>2</w:t>
      </w:r>
      <w:r>
        <w:rPr>
          <w:rFonts w:hint="eastAsia" w:ascii="宋体" w:hAnsi="宋体"/>
          <w:b/>
          <w:sz w:val="22"/>
          <w:szCs w:val="22"/>
          <w:highlight w:val="none"/>
        </w:rPr>
        <w:t>. 各项费用如已包含在产品价格中请注明“含”。</w:t>
      </w:r>
    </w:p>
    <w:p>
      <w:pPr>
        <w:spacing w:line="460" w:lineRule="exact"/>
        <w:rPr>
          <w:rFonts w:ascii="宋体" w:hAnsi="宋体"/>
          <w:sz w:val="22"/>
          <w:szCs w:val="22"/>
          <w:highlight w:val="none"/>
        </w:rPr>
      </w:pPr>
      <w:r>
        <w:rPr>
          <w:rFonts w:ascii="宋体" w:hAnsi="宋体"/>
          <w:sz w:val="22"/>
          <w:szCs w:val="22"/>
          <w:highlight w:val="none"/>
        </w:rPr>
        <w:t>3</w:t>
      </w:r>
      <w:r>
        <w:rPr>
          <w:rFonts w:hint="eastAsia" w:ascii="宋体" w:hAnsi="宋体"/>
          <w:sz w:val="22"/>
          <w:szCs w:val="22"/>
          <w:highlight w:val="none"/>
        </w:rPr>
        <w:t>. 本表可在不改变格式的情况下根据具体需要自行增减。</w:t>
      </w:r>
    </w:p>
    <w:p>
      <w:pPr>
        <w:spacing w:line="460" w:lineRule="exact"/>
        <w:rPr>
          <w:rFonts w:ascii="宋体" w:hAnsi="宋体"/>
          <w:b/>
          <w:sz w:val="22"/>
          <w:szCs w:val="22"/>
          <w:highlight w:val="none"/>
          <w:u w:val="single"/>
        </w:rPr>
      </w:pPr>
      <w:r>
        <w:rPr>
          <w:rFonts w:hint="eastAsia" w:ascii="宋体" w:hAnsi="宋体"/>
          <w:b/>
          <w:sz w:val="22"/>
          <w:szCs w:val="22"/>
          <w:highlight w:val="none"/>
          <w:u w:val="single"/>
        </w:rPr>
        <w:t>※不提供《投标分项报价表》将视为没有实质性响应招标文件，其</w:t>
      </w:r>
      <w:r>
        <w:rPr>
          <w:rFonts w:hint="eastAsia" w:ascii="宋体" w:hAnsi="宋体"/>
          <w:b/>
          <w:bCs/>
          <w:sz w:val="22"/>
          <w:szCs w:val="22"/>
          <w:highlight w:val="none"/>
          <w:u w:val="single"/>
        </w:rPr>
        <w:t>投标无效</w:t>
      </w:r>
      <w:r>
        <w:rPr>
          <w:rFonts w:hint="eastAsia" w:ascii="宋体" w:hAnsi="宋体"/>
          <w:b/>
          <w:sz w:val="22"/>
          <w:szCs w:val="22"/>
          <w:highlight w:val="none"/>
          <w:u w:val="single"/>
        </w:rPr>
        <w:t>。</w:t>
      </w:r>
    </w:p>
    <w:p>
      <w:pPr>
        <w:tabs>
          <w:tab w:val="left" w:pos="840"/>
        </w:tabs>
        <w:adjustRightInd w:val="0"/>
        <w:snapToGrid w:val="0"/>
        <w:spacing w:line="360" w:lineRule="auto"/>
        <w:ind w:left="420" w:leftChars="200" w:firstLine="330" w:firstLineChars="150"/>
        <w:rPr>
          <w:rFonts w:ascii="宋体" w:hAnsi="宋体"/>
          <w:sz w:val="22"/>
          <w:szCs w:val="22"/>
          <w:highlight w:val="none"/>
        </w:rPr>
      </w:pPr>
    </w:p>
    <w:p>
      <w:pPr>
        <w:tabs>
          <w:tab w:val="left" w:pos="840"/>
        </w:tabs>
        <w:adjustRightInd w:val="0"/>
        <w:snapToGrid w:val="0"/>
        <w:spacing w:line="360" w:lineRule="auto"/>
        <w:ind w:left="420" w:leftChars="200" w:firstLine="330" w:firstLineChars="150"/>
        <w:rPr>
          <w:rFonts w:ascii="宋体" w:hAnsi="宋体"/>
          <w:sz w:val="22"/>
          <w:szCs w:val="22"/>
          <w:highlight w:val="none"/>
        </w:rPr>
      </w:pPr>
      <w:r>
        <w:rPr>
          <w:rFonts w:hint="eastAsia" w:ascii="宋体" w:hAnsi="宋体"/>
          <w:sz w:val="22"/>
          <w:szCs w:val="22"/>
          <w:highlight w:val="none"/>
        </w:rPr>
        <w:t>投标人全称（盖章）：</w:t>
      </w:r>
    </w:p>
    <w:p>
      <w:pPr>
        <w:tabs>
          <w:tab w:val="left" w:pos="840"/>
        </w:tabs>
        <w:adjustRightInd w:val="0"/>
        <w:snapToGrid w:val="0"/>
        <w:spacing w:line="360" w:lineRule="auto"/>
        <w:ind w:left="420" w:leftChars="200" w:firstLine="330" w:firstLineChars="150"/>
        <w:rPr>
          <w:rFonts w:ascii="宋体" w:hAnsi="宋体"/>
          <w:sz w:val="22"/>
          <w:szCs w:val="22"/>
          <w:highlight w:val="none"/>
        </w:rPr>
      </w:pPr>
      <w:r>
        <w:rPr>
          <w:rFonts w:hint="eastAsia" w:ascii="宋体" w:hAnsi="宋体"/>
          <w:sz w:val="22"/>
          <w:szCs w:val="22"/>
          <w:highlight w:val="none"/>
        </w:rPr>
        <w:t>单位负责人或授权代表（签字或盖章）：</w:t>
      </w:r>
    </w:p>
    <w:p>
      <w:pPr>
        <w:tabs>
          <w:tab w:val="left" w:pos="840"/>
        </w:tabs>
        <w:adjustRightInd w:val="0"/>
        <w:snapToGrid w:val="0"/>
        <w:spacing w:line="360" w:lineRule="auto"/>
        <w:ind w:left="420" w:leftChars="200" w:firstLine="330" w:firstLineChars="150"/>
        <w:rPr>
          <w:rFonts w:ascii="宋体" w:hAnsi="宋体"/>
          <w:sz w:val="22"/>
          <w:szCs w:val="22"/>
          <w:highlight w:val="none"/>
        </w:rPr>
        <w:sectPr>
          <w:footerReference r:id="rId4" w:type="first"/>
          <w:footerReference r:id="rId3" w:type="default"/>
          <w:pgSz w:w="11906" w:h="16838"/>
          <w:pgMar w:top="1134" w:right="1134" w:bottom="1134" w:left="1134" w:header="851" w:footer="851" w:gutter="0"/>
          <w:pgNumType w:start="1"/>
          <w:cols w:space="720" w:num="1"/>
          <w:docGrid w:linePitch="312" w:charSpace="0"/>
        </w:sectPr>
      </w:pPr>
      <w:r>
        <w:rPr>
          <w:rFonts w:hint="eastAsia" w:ascii="宋体" w:hAnsi="宋体"/>
          <w:sz w:val="22"/>
          <w:szCs w:val="22"/>
          <w:highlight w:val="none"/>
        </w:rPr>
        <w:t>日          期：  年  月  日</w:t>
      </w:r>
    </w:p>
    <w:p>
      <w:pPr>
        <w:pStyle w:val="7"/>
        <w:keepNext/>
        <w:widowControl w:val="0"/>
        <w:autoSpaceDE/>
        <w:autoSpaceDN/>
        <w:adjustRightInd/>
        <w:spacing w:before="0" w:line="360" w:lineRule="auto"/>
        <w:jc w:val="center"/>
        <w:rPr>
          <w:rFonts w:ascii="Times New Roman" w:hAnsi="Times New Roman" w:eastAsia="宋体"/>
          <w:b/>
          <w:bCs/>
          <w:sz w:val="44"/>
          <w:szCs w:val="26"/>
          <w:highlight w:val="none"/>
        </w:rPr>
      </w:pPr>
      <w:bookmarkStart w:id="240" w:name="_Toc34761244"/>
      <w:bookmarkStart w:id="241" w:name="_Toc24457"/>
      <w:r>
        <w:rPr>
          <w:rFonts w:hint="eastAsia" w:ascii="Times New Roman" w:hAnsi="Times New Roman" w:eastAsia="宋体"/>
          <w:b/>
          <w:bCs/>
          <w:sz w:val="44"/>
          <w:szCs w:val="26"/>
          <w:highlight w:val="none"/>
        </w:rPr>
        <w:t>商务技术文件</w:t>
      </w:r>
      <w:bookmarkEnd w:id="240"/>
      <w:bookmarkEnd w:id="241"/>
    </w:p>
    <w:p>
      <w:pPr>
        <w:rPr>
          <w:highlight w:val="none"/>
        </w:rPr>
      </w:pPr>
    </w:p>
    <w:p>
      <w:pPr>
        <w:spacing w:line="460" w:lineRule="exact"/>
        <w:jc w:val="center"/>
        <w:rPr>
          <w:rFonts w:ascii="宋体" w:hAnsi="宋体"/>
          <w:b/>
          <w:bCs/>
          <w:sz w:val="30"/>
          <w:szCs w:val="30"/>
          <w:highlight w:val="none"/>
        </w:rPr>
      </w:pPr>
      <w:r>
        <w:rPr>
          <w:rFonts w:hint="eastAsia" w:ascii="宋体" w:hAnsi="宋体"/>
          <w:b/>
          <w:bCs/>
          <w:sz w:val="30"/>
          <w:szCs w:val="30"/>
          <w:highlight w:val="none"/>
        </w:rPr>
        <w:t xml:space="preserve">一、投 </w:t>
      </w:r>
      <w:r>
        <w:rPr>
          <w:rFonts w:ascii="宋体" w:hAnsi="宋体"/>
          <w:b/>
          <w:bCs/>
          <w:sz w:val="30"/>
          <w:szCs w:val="30"/>
          <w:highlight w:val="none"/>
        </w:rPr>
        <w:t xml:space="preserve"> </w:t>
      </w:r>
      <w:r>
        <w:rPr>
          <w:rFonts w:hint="eastAsia" w:ascii="宋体" w:hAnsi="宋体"/>
          <w:b/>
          <w:bCs/>
          <w:sz w:val="30"/>
          <w:szCs w:val="30"/>
          <w:highlight w:val="none"/>
        </w:rPr>
        <w:t xml:space="preserve">标 </w:t>
      </w:r>
      <w:r>
        <w:rPr>
          <w:rFonts w:ascii="宋体" w:hAnsi="宋体"/>
          <w:b/>
          <w:bCs/>
          <w:sz w:val="30"/>
          <w:szCs w:val="30"/>
          <w:highlight w:val="none"/>
        </w:rPr>
        <w:t xml:space="preserve"> </w:t>
      </w:r>
      <w:r>
        <w:rPr>
          <w:rFonts w:hint="eastAsia" w:ascii="宋体" w:hAnsi="宋体"/>
          <w:b/>
          <w:bCs/>
          <w:sz w:val="30"/>
          <w:szCs w:val="30"/>
          <w:highlight w:val="none"/>
        </w:rPr>
        <w:t>函</w:t>
      </w:r>
    </w:p>
    <w:p>
      <w:pPr>
        <w:pStyle w:val="17"/>
        <w:spacing w:line="360" w:lineRule="auto"/>
        <w:rPr>
          <w:rFonts w:ascii="宋体" w:hAnsi="宋体" w:eastAsia="宋体" w:cs="Courier New"/>
          <w:sz w:val="22"/>
          <w:szCs w:val="22"/>
          <w:highlight w:val="none"/>
        </w:rPr>
      </w:pPr>
      <w:r>
        <w:rPr>
          <w:rFonts w:hint="eastAsia" w:ascii="宋体" w:hAnsi="宋体" w:eastAsia="宋体" w:cs="Courier New"/>
          <w:sz w:val="22"/>
          <w:szCs w:val="22"/>
          <w:highlight w:val="none"/>
          <w:lang w:eastAsia="zh-CN"/>
        </w:rPr>
        <w:t>平阳县盈泽控股有限公司</w:t>
      </w:r>
      <w:r>
        <w:rPr>
          <w:rFonts w:hint="eastAsia" w:ascii="宋体" w:hAnsi="宋体" w:eastAsia="宋体" w:cs="Courier New"/>
          <w:sz w:val="22"/>
          <w:szCs w:val="22"/>
          <w:highlight w:val="none"/>
        </w:rPr>
        <w:t>：</w:t>
      </w:r>
    </w:p>
    <w:p>
      <w:pPr>
        <w:pStyle w:val="17"/>
        <w:spacing w:line="360" w:lineRule="auto"/>
        <w:rPr>
          <w:rFonts w:ascii="宋体" w:hAnsi="宋体" w:eastAsia="宋体" w:cs="Courier New"/>
          <w:sz w:val="22"/>
          <w:szCs w:val="22"/>
          <w:highlight w:val="none"/>
        </w:rPr>
      </w:pPr>
      <w:r>
        <w:rPr>
          <w:rFonts w:hint="eastAsia" w:ascii="宋体" w:hAnsi="宋体" w:eastAsia="宋体" w:cs="Courier New"/>
          <w:sz w:val="22"/>
          <w:szCs w:val="22"/>
          <w:highlight w:val="none"/>
          <w:lang w:eastAsia="zh-CN"/>
        </w:rPr>
        <w:t>温州众晨项目管理有限公司</w:t>
      </w:r>
      <w:r>
        <w:rPr>
          <w:rFonts w:hint="eastAsia" w:ascii="宋体" w:hAnsi="宋体" w:eastAsia="宋体" w:cs="Courier New"/>
          <w:sz w:val="22"/>
          <w:szCs w:val="22"/>
          <w:highlight w:val="none"/>
        </w:rPr>
        <w:t>：</w:t>
      </w:r>
    </w:p>
    <w:p>
      <w:pPr>
        <w:spacing w:line="360" w:lineRule="auto"/>
        <w:ind w:firstLine="440" w:firstLineChars="200"/>
        <w:rPr>
          <w:rFonts w:ascii="宋体" w:hAnsi="宋体" w:cs="Courier New"/>
          <w:sz w:val="22"/>
          <w:szCs w:val="22"/>
          <w:highlight w:val="none"/>
        </w:rPr>
      </w:pPr>
      <w:r>
        <w:rPr>
          <w:rFonts w:hint="eastAsia" w:ascii="宋体" w:hAnsi="宋体" w:cs="Courier New"/>
          <w:sz w:val="22"/>
          <w:szCs w:val="22"/>
          <w:highlight w:val="none"/>
        </w:rPr>
        <w:t>我方参加你方组织的</w:t>
      </w:r>
      <w:r>
        <w:rPr>
          <w:rFonts w:hint="eastAsia" w:ascii="宋体" w:hAnsi="宋体" w:cs="Courier New"/>
          <w:sz w:val="22"/>
          <w:szCs w:val="22"/>
          <w:highlight w:val="none"/>
          <w:u w:val="single"/>
        </w:rPr>
        <w:t xml:space="preserve">    </w:t>
      </w:r>
      <w:r>
        <w:rPr>
          <w:rFonts w:hint="eastAsia" w:ascii="宋体" w:hAnsi="宋体" w:cs="Courier New"/>
          <w:sz w:val="22"/>
          <w:szCs w:val="22"/>
          <w:highlight w:val="none"/>
          <w:u w:val="single"/>
          <w:lang w:val="en-US" w:eastAsia="zh-CN"/>
        </w:rPr>
        <w:t xml:space="preserve">                </w:t>
      </w:r>
      <w:r>
        <w:rPr>
          <w:rFonts w:hint="eastAsia" w:ascii="宋体" w:hAnsi="宋体" w:cs="Courier New"/>
          <w:sz w:val="22"/>
          <w:szCs w:val="22"/>
          <w:highlight w:val="none"/>
          <w:u w:val="single"/>
        </w:rPr>
        <w:t xml:space="preserve">  项目名称 </w:t>
      </w:r>
      <w:r>
        <w:rPr>
          <w:rFonts w:ascii="宋体" w:hAnsi="宋体" w:cs="Courier New"/>
          <w:sz w:val="22"/>
          <w:szCs w:val="22"/>
          <w:highlight w:val="none"/>
          <w:u w:val="single"/>
        </w:rPr>
        <w:t xml:space="preserve">      </w:t>
      </w:r>
      <w:r>
        <w:rPr>
          <w:rFonts w:hint="eastAsia" w:ascii="宋体" w:hAnsi="宋体" w:cs="Courier New"/>
          <w:sz w:val="22"/>
          <w:szCs w:val="22"/>
          <w:highlight w:val="none"/>
        </w:rPr>
        <w:t>（项目编号：</w:t>
      </w:r>
      <w:r>
        <w:rPr>
          <w:rFonts w:hint="eastAsia" w:ascii="宋体" w:hAnsi="宋体" w:cs="Courier New"/>
          <w:b/>
          <w:sz w:val="22"/>
          <w:szCs w:val="22"/>
          <w:highlight w:val="none"/>
          <w:u w:val="single"/>
        </w:rPr>
        <w:t xml:space="preserve">   </w:t>
      </w:r>
      <w:r>
        <w:rPr>
          <w:rFonts w:hint="eastAsia" w:ascii="宋体" w:hAnsi="宋体" w:cs="Courier New"/>
          <w:b/>
          <w:sz w:val="22"/>
          <w:szCs w:val="22"/>
          <w:highlight w:val="none"/>
          <w:u w:val="single"/>
          <w:lang w:val="en-US" w:eastAsia="zh-CN"/>
        </w:rPr>
        <w:t xml:space="preserve">             </w:t>
      </w:r>
      <w:r>
        <w:rPr>
          <w:rFonts w:hint="eastAsia" w:ascii="宋体" w:hAnsi="宋体" w:cs="Courier New"/>
          <w:b/>
          <w:sz w:val="22"/>
          <w:szCs w:val="22"/>
          <w:highlight w:val="none"/>
          <w:u w:val="single"/>
        </w:rPr>
        <w:t xml:space="preserve">  </w:t>
      </w:r>
      <w:r>
        <w:rPr>
          <w:rFonts w:hint="eastAsia" w:ascii="宋体" w:hAnsi="宋体" w:cs="Courier New"/>
          <w:sz w:val="22"/>
          <w:szCs w:val="22"/>
          <w:highlight w:val="none"/>
        </w:rPr>
        <w:t>）的采购活动，并对此项目进行投标。</w:t>
      </w:r>
    </w:p>
    <w:p>
      <w:pPr>
        <w:spacing w:line="360" w:lineRule="auto"/>
        <w:ind w:firstLine="440" w:firstLineChars="200"/>
        <w:rPr>
          <w:rFonts w:ascii="宋体" w:hAnsi="宋体" w:cs="Courier New"/>
          <w:sz w:val="22"/>
          <w:szCs w:val="22"/>
          <w:highlight w:val="none"/>
        </w:rPr>
      </w:pPr>
      <w:r>
        <w:rPr>
          <w:rFonts w:hint="eastAsia" w:ascii="宋体" w:hAnsi="宋体" w:cs="Courier New"/>
          <w:sz w:val="22"/>
          <w:szCs w:val="22"/>
          <w:highlight w:val="none"/>
        </w:rPr>
        <w:t>我方己完全明白招标文件的所有条款要求，并重申以下几点：</w:t>
      </w:r>
    </w:p>
    <w:p>
      <w:pPr>
        <w:numPr>
          <w:ilvl w:val="0"/>
          <w:numId w:val="19"/>
        </w:numPr>
        <w:spacing w:line="360" w:lineRule="auto"/>
        <w:rPr>
          <w:rFonts w:ascii="宋体" w:hAnsi="宋体" w:cs="Courier New"/>
          <w:sz w:val="22"/>
          <w:szCs w:val="22"/>
          <w:highlight w:val="none"/>
        </w:rPr>
      </w:pPr>
      <w:r>
        <w:rPr>
          <w:rFonts w:hint="eastAsia" w:ascii="宋体" w:hAnsi="宋体" w:cs="Courier New"/>
          <w:sz w:val="22"/>
          <w:szCs w:val="22"/>
          <w:highlight w:val="none"/>
        </w:rPr>
        <w:t>本投标文件的有效期自投标截止时间起90天内有效，如成交，有效期将延至合同终止日为止。</w:t>
      </w:r>
    </w:p>
    <w:p>
      <w:pPr>
        <w:numPr>
          <w:ilvl w:val="0"/>
          <w:numId w:val="19"/>
        </w:numPr>
        <w:spacing w:line="360" w:lineRule="auto"/>
        <w:rPr>
          <w:rFonts w:ascii="宋体" w:hAnsi="宋体" w:cs="Courier New"/>
          <w:sz w:val="22"/>
          <w:szCs w:val="22"/>
          <w:highlight w:val="none"/>
        </w:rPr>
      </w:pPr>
      <w:r>
        <w:rPr>
          <w:rFonts w:hint="eastAsia" w:ascii="宋体" w:hAnsi="宋体" w:cs="Courier New"/>
          <w:sz w:val="22"/>
          <w:szCs w:val="22"/>
          <w:highlight w:val="none"/>
        </w:rPr>
        <w:t>我方已详细研究了招标文件的所有内容包括修改书（如有）和所有已提供的参考资料以及有关附件，我方完全理解并同意放弃在此方面提出含糊意见或误解的一切权力。</w:t>
      </w:r>
    </w:p>
    <w:p>
      <w:pPr>
        <w:numPr>
          <w:ilvl w:val="0"/>
          <w:numId w:val="19"/>
        </w:numPr>
        <w:spacing w:line="360" w:lineRule="auto"/>
        <w:rPr>
          <w:rFonts w:ascii="宋体" w:hAnsi="宋体" w:cs="Courier New"/>
          <w:sz w:val="22"/>
          <w:szCs w:val="22"/>
          <w:highlight w:val="none"/>
        </w:rPr>
      </w:pPr>
      <w:bookmarkStart w:id="242" w:name="_Hlk100429471"/>
      <w:r>
        <w:rPr>
          <w:rFonts w:hint="eastAsia" w:ascii="宋体" w:hAnsi="宋体" w:cs="Courier New"/>
          <w:sz w:val="22"/>
          <w:szCs w:val="22"/>
          <w:highlight w:val="none"/>
        </w:rPr>
        <w:t>我方向贵方提交的所有投标文件、资料都是准确的和真实的</w:t>
      </w:r>
      <w:bookmarkEnd w:id="242"/>
      <w:r>
        <w:rPr>
          <w:rFonts w:hint="eastAsia" w:ascii="宋体" w:hAnsi="宋体" w:cs="Courier New"/>
          <w:sz w:val="22"/>
          <w:szCs w:val="22"/>
          <w:highlight w:val="none"/>
        </w:rPr>
        <w:t>。</w:t>
      </w:r>
    </w:p>
    <w:p>
      <w:pPr>
        <w:numPr>
          <w:ilvl w:val="0"/>
          <w:numId w:val="19"/>
        </w:numPr>
        <w:spacing w:line="360" w:lineRule="auto"/>
        <w:rPr>
          <w:rFonts w:ascii="宋体" w:hAnsi="宋体" w:cs="Courier New"/>
          <w:sz w:val="22"/>
          <w:szCs w:val="22"/>
          <w:highlight w:val="none"/>
        </w:rPr>
      </w:pPr>
      <w:r>
        <w:rPr>
          <w:rFonts w:hint="eastAsia" w:ascii="宋体" w:hAnsi="宋体" w:cs="Courier New"/>
          <w:sz w:val="22"/>
          <w:szCs w:val="22"/>
          <w:highlight w:val="none"/>
        </w:rPr>
        <w:t>我方同意提供按照贵方可能要求的与投标有关的一切数据或资料；若贵方需要，我方愿意提供我方作出的一切承诺的证明材料。</w:t>
      </w:r>
    </w:p>
    <w:p>
      <w:pPr>
        <w:numPr>
          <w:ilvl w:val="0"/>
          <w:numId w:val="19"/>
        </w:numPr>
        <w:spacing w:line="360" w:lineRule="auto"/>
        <w:rPr>
          <w:rFonts w:ascii="宋体" w:hAnsi="宋体" w:cs="Courier New"/>
          <w:sz w:val="22"/>
          <w:szCs w:val="22"/>
          <w:highlight w:val="none"/>
        </w:rPr>
      </w:pPr>
      <w:r>
        <w:rPr>
          <w:rFonts w:ascii="宋体" w:hAnsi="宋体" w:cs="Courier New"/>
          <w:sz w:val="22"/>
          <w:szCs w:val="22"/>
          <w:highlight w:val="none"/>
        </w:rPr>
        <w:t>若成交后，将按照规定及时与</w:t>
      </w:r>
      <w:r>
        <w:rPr>
          <w:rFonts w:hint="eastAsia" w:ascii="宋体" w:hAnsi="宋体" w:cs="Courier New"/>
          <w:sz w:val="22"/>
          <w:szCs w:val="22"/>
          <w:highlight w:val="none"/>
          <w:lang w:eastAsia="zh-CN"/>
        </w:rPr>
        <w:t>甲方</w:t>
      </w:r>
      <w:r>
        <w:rPr>
          <w:rFonts w:ascii="宋体" w:hAnsi="宋体" w:cs="Courier New"/>
          <w:sz w:val="22"/>
          <w:szCs w:val="22"/>
          <w:highlight w:val="none"/>
        </w:rPr>
        <w:t>签订采购合同，不与</w:t>
      </w:r>
      <w:r>
        <w:rPr>
          <w:rFonts w:hint="eastAsia" w:ascii="宋体" w:hAnsi="宋体" w:cs="Courier New"/>
          <w:sz w:val="22"/>
          <w:szCs w:val="22"/>
          <w:highlight w:val="none"/>
          <w:lang w:eastAsia="zh-CN"/>
        </w:rPr>
        <w:t>甲方</w:t>
      </w:r>
      <w:r>
        <w:rPr>
          <w:rFonts w:ascii="宋体" w:hAnsi="宋体" w:cs="Courier New"/>
          <w:sz w:val="22"/>
          <w:szCs w:val="22"/>
          <w:highlight w:val="none"/>
        </w:rPr>
        <w:t>订立有悖于采购结果的合同或协议；严格按照招标文件和</w:t>
      </w:r>
      <w:r>
        <w:rPr>
          <w:rFonts w:hint="eastAsia" w:ascii="宋体" w:hAnsi="宋体" w:cs="Courier New"/>
          <w:sz w:val="22"/>
          <w:szCs w:val="22"/>
          <w:highlight w:val="none"/>
        </w:rPr>
        <w:t>投标</w:t>
      </w:r>
      <w:r>
        <w:rPr>
          <w:rFonts w:ascii="宋体" w:hAnsi="宋体" w:cs="Courier New"/>
          <w:sz w:val="22"/>
          <w:szCs w:val="22"/>
          <w:highlight w:val="none"/>
        </w:rPr>
        <w:t>文件的规定履行采购合同，不降低合同约定的产品质量及相关服务，不擅自变更、中止、终止合同，或者拒绝履行合同义务。</w:t>
      </w:r>
    </w:p>
    <w:p>
      <w:pPr>
        <w:numPr>
          <w:ilvl w:val="0"/>
          <w:numId w:val="19"/>
        </w:numPr>
        <w:spacing w:line="360" w:lineRule="auto"/>
        <w:rPr>
          <w:rFonts w:ascii="宋体" w:hAnsi="宋体" w:cs="Courier New"/>
          <w:sz w:val="22"/>
          <w:szCs w:val="22"/>
          <w:highlight w:val="none"/>
        </w:rPr>
      </w:pPr>
      <w:r>
        <w:rPr>
          <w:rFonts w:hint="eastAsia" w:ascii="宋体" w:hAnsi="宋体" w:cs="Courier New"/>
          <w:sz w:val="22"/>
          <w:szCs w:val="22"/>
          <w:highlight w:val="none"/>
        </w:rPr>
        <w:t>如有下列情形之一的，我方愿意被取消中标资格（如中标），并可向我方收取</w:t>
      </w:r>
      <w:r>
        <w:rPr>
          <w:rFonts w:hint="eastAsia" w:ascii="宋体" w:hAnsi="宋体" w:cs="楷体"/>
          <w:kern w:val="0"/>
          <w:sz w:val="22"/>
          <w:szCs w:val="22"/>
          <w:highlight w:val="none"/>
        </w:rPr>
        <w:t>赔偿损失金</w:t>
      </w:r>
      <w:r>
        <w:rPr>
          <w:rFonts w:hint="eastAsia" w:ascii="宋体" w:hAnsi="宋体" w:cs="Courier New"/>
          <w:sz w:val="22"/>
          <w:szCs w:val="22"/>
          <w:highlight w:val="none"/>
        </w:rPr>
        <w:t>，同时继续承担其他一切法律后果，并不再寻求任何旨在减轻或免除法律责任的解释：</w:t>
      </w:r>
    </w:p>
    <w:p>
      <w:pPr>
        <w:spacing w:line="360" w:lineRule="auto"/>
        <w:ind w:left="1079"/>
        <w:rPr>
          <w:rFonts w:ascii="宋体" w:hAnsi="宋体" w:cs="Courier New"/>
          <w:sz w:val="22"/>
          <w:szCs w:val="22"/>
          <w:highlight w:val="none"/>
        </w:rPr>
      </w:pPr>
      <w:r>
        <w:rPr>
          <w:rFonts w:hint="eastAsia" w:ascii="宋体" w:hAnsi="宋体" w:cs="Courier New"/>
          <w:sz w:val="22"/>
          <w:szCs w:val="22"/>
          <w:highlight w:val="none"/>
        </w:rPr>
        <w:t>(1)</w:t>
      </w:r>
      <w:bookmarkStart w:id="243" w:name="_Hlk87297180"/>
      <w:r>
        <w:rPr>
          <w:rFonts w:hint="eastAsia" w:ascii="宋体" w:hAnsi="宋体" w:cs="Courier New"/>
          <w:sz w:val="22"/>
          <w:szCs w:val="22"/>
          <w:highlight w:val="none"/>
        </w:rPr>
        <w:t>提供虚假材料</w:t>
      </w:r>
      <w:r>
        <w:rPr>
          <w:rFonts w:ascii="宋体" w:hAnsi="宋体" w:cs="Courier New"/>
          <w:sz w:val="22"/>
          <w:szCs w:val="22"/>
          <w:highlight w:val="none"/>
        </w:rPr>
        <w:t>或通过虚假响应、虚假陈述、虚假承诺</w:t>
      </w:r>
      <w:r>
        <w:rPr>
          <w:rFonts w:hint="eastAsia" w:ascii="宋体" w:hAnsi="宋体" w:cs="Courier New"/>
          <w:sz w:val="22"/>
          <w:szCs w:val="22"/>
          <w:highlight w:val="none"/>
        </w:rPr>
        <w:t>谋取</w:t>
      </w:r>
      <w:r>
        <w:rPr>
          <w:rFonts w:ascii="宋体" w:hAnsi="宋体" w:cs="Courier New"/>
          <w:sz w:val="22"/>
          <w:szCs w:val="22"/>
          <w:highlight w:val="none"/>
        </w:rPr>
        <w:t>中标（成交）资格</w:t>
      </w:r>
      <w:r>
        <w:rPr>
          <w:rFonts w:hint="eastAsia" w:ascii="宋体" w:hAnsi="宋体" w:cs="Courier New"/>
          <w:sz w:val="22"/>
          <w:szCs w:val="22"/>
          <w:highlight w:val="none"/>
        </w:rPr>
        <w:t>的</w:t>
      </w:r>
      <w:bookmarkEnd w:id="243"/>
      <w:r>
        <w:rPr>
          <w:rFonts w:hint="eastAsia" w:ascii="宋体" w:hAnsi="宋体" w:cs="Courier New"/>
          <w:sz w:val="22"/>
          <w:szCs w:val="22"/>
          <w:highlight w:val="none"/>
        </w:rPr>
        <w:t>；</w:t>
      </w:r>
    </w:p>
    <w:p>
      <w:pPr>
        <w:spacing w:line="360" w:lineRule="auto"/>
        <w:ind w:left="1079"/>
        <w:rPr>
          <w:rFonts w:ascii="宋体" w:hAnsi="宋体" w:cs="Courier New"/>
          <w:sz w:val="22"/>
          <w:szCs w:val="22"/>
          <w:highlight w:val="none"/>
        </w:rPr>
      </w:pPr>
      <w:r>
        <w:rPr>
          <w:rFonts w:hint="eastAsia" w:ascii="宋体" w:hAnsi="宋体" w:cs="Courier New"/>
          <w:sz w:val="22"/>
          <w:szCs w:val="22"/>
          <w:highlight w:val="none"/>
        </w:rPr>
        <w:t>(2)采取不正当手段诋毁、排挤其他投标人的；</w:t>
      </w:r>
    </w:p>
    <w:p>
      <w:pPr>
        <w:spacing w:line="360" w:lineRule="auto"/>
        <w:ind w:left="1079"/>
        <w:rPr>
          <w:rFonts w:ascii="宋体" w:hAnsi="宋体" w:cs="Courier New"/>
          <w:sz w:val="22"/>
          <w:szCs w:val="22"/>
          <w:highlight w:val="none"/>
        </w:rPr>
      </w:pPr>
      <w:r>
        <w:rPr>
          <w:rFonts w:hint="eastAsia" w:ascii="宋体" w:hAnsi="宋体" w:cs="Courier New"/>
          <w:sz w:val="22"/>
          <w:szCs w:val="22"/>
          <w:highlight w:val="none"/>
        </w:rPr>
        <w:t>(3)与</w:t>
      </w:r>
      <w:r>
        <w:rPr>
          <w:rFonts w:hint="eastAsia" w:ascii="宋体" w:hAnsi="宋体" w:cs="Courier New"/>
          <w:sz w:val="22"/>
          <w:szCs w:val="22"/>
          <w:highlight w:val="none"/>
          <w:lang w:eastAsia="zh-CN"/>
        </w:rPr>
        <w:t>甲方</w:t>
      </w:r>
      <w:r>
        <w:rPr>
          <w:rFonts w:hint="eastAsia" w:ascii="宋体" w:hAnsi="宋体" w:cs="Courier New"/>
          <w:sz w:val="22"/>
          <w:szCs w:val="22"/>
          <w:highlight w:val="none"/>
        </w:rPr>
        <w:t>、其它供应商或者采购代理机构恶意串通的；</w:t>
      </w:r>
    </w:p>
    <w:p>
      <w:pPr>
        <w:spacing w:line="360" w:lineRule="auto"/>
        <w:ind w:left="1079"/>
        <w:rPr>
          <w:rFonts w:ascii="宋体" w:hAnsi="宋体" w:cs="Courier New"/>
          <w:sz w:val="22"/>
          <w:szCs w:val="22"/>
          <w:highlight w:val="none"/>
        </w:rPr>
      </w:pPr>
      <w:r>
        <w:rPr>
          <w:rFonts w:hint="eastAsia" w:ascii="宋体" w:hAnsi="宋体" w:cs="Courier New"/>
          <w:sz w:val="22"/>
          <w:szCs w:val="22"/>
          <w:highlight w:val="none"/>
        </w:rPr>
        <w:t>(4)向</w:t>
      </w:r>
      <w:r>
        <w:rPr>
          <w:rFonts w:hint="eastAsia" w:ascii="宋体" w:hAnsi="宋体" w:cs="Courier New"/>
          <w:sz w:val="22"/>
          <w:szCs w:val="22"/>
          <w:highlight w:val="none"/>
          <w:lang w:eastAsia="zh-CN"/>
        </w:rPr>
        <w:t>甲方</w:t>
      </w:r>
      <w:r>
        <w:rPr>
          <w:rFonts w:hint="eastAsia" w:ascii="宋体" w:hAnsi="宋体" w:cs="Courier New"/>
          <w:sz w:val="22"/>
          <w:szCs w:val="22"/>
          <w:highlight w:val="none"/>
        </w:rPr>
        <w:t>、采购代理机构行贿或者提供其他不正当利益的；</w:t>
      </w:r>
    </w:p>
    <w:p>
      <w:pPr>
        <w:spacing w:line="360" w:lineRule="auto"/>
        <w:ind w:left="1079"/>
        <w:rPr>
          <w:rFonts w:ascii="宋体" w:hAnsi="宋体" w:cs="Courier New"/>
          <w:sz w:val="22"/>
          <w:szCs w:val="22"/>
          <w:highlight w:val="none"/>
        </w:rPr>
      </w:pPr>
      <w:r>
        <w:rPr>
          <w:rFonts w:hint="eastAsia" w:ascii="宋体" w:hAnsi="宋体" w:cs="Courier New"/>
          <w:sz w:val="22"/>
          <w:szCs w:val="22"/>
          <w:highlight w:val="none"/>
        </w:rPr>
        <w:t>(5)在招标采购过程中与</w:t>
      </w:r>
      <w:r>
        <w:rPr>
          <w:rFonts w:hint="eastAsia" w:ascii="宋体" w:hAnsi="宋体" w:cs="Courier New"/>
          <w:sz w:val="22"/>
          <w:szCs w:val="22"/>
          <w:highlight w:val="none"/>
          <w:lang w:eastAsia="zh-CN"/>
        </w:rPr>
        <w:t>甲方</w:t>
      </w:r>
      <w:r>
        <w:rPr>
          <w:rFonts w:hint="eastAsia" w:ascii="宋体" w:hAnsi="宋体" w:cs="Courier New"/>
          <w:sz w:val="22"/>
          <w:szCs w:val="22"/>
          <w:highlight w:val="none"/>
        </w:rPr>
        <w:t>进行协商谈判的；</w:t>
      </w:r>
    </w:p>
    <w:p>
      <w:pPr>
        <w:spacing w:line="360" w:lineRule="auto"/>
        <w:ind w:left="1079"/>
        <w:rPr>
          <w:rFonts w:ascii="宋体" w:hAnsi="宋体" w:cs="Courier New"/>
          <w:sz w:val="22"/>
          <w:szCs w:val="22"/>
          <w:highlight w:val="none"/>
        </w:rPr>
      </w:pPr>
      <w:r>
        <w:rPr>
          <w:rFonts w:hint="eastAsia" w:ascii="宋体" w:hAnsi="宋体" w:cs="Courier New"/>
          <w:sz w:val="22"/>
          <w:szCs w:val="22"/>
          <w:highlight w:val="none"/>
        </w:rPr>
        <w:t>(</w:t>
      </w:r>
      <w:r>
        <w:rPr>
          <w:rFonts w:ascii="宋体" w:hAnsi="宋体" w:cs="Courier New"/>
          <w:sz w:val="22"/>
          <w:szCs w:val="22"/>
          <w:highlight w:val="none"/>
        </w:rPr>
        <w:t>6</w:t>
      </w:r>
      <w:r>
        <w:rPr>
          <w:rFonts w:hint="eastAsia" w:ascii="宋体" w:hAnsi="宋体" w:cs="Courier New"/>
          <w:sz w:val="22"/>
          <w:szCs w:val="22"/>
          <w:highlight w:val="none"/>
        </w:rPr>
        <w:t>)在招标文件规定的投标有效期内撤回投标；</w:t>
      </w:r>
    </w:p>
    <w:p>
      <w:pPr>
        <w:spacing w:line="360" w:lineRule="auto"/>
        <w:ind w:left="1079"/>
        <w:rPr>
          <w:rFonts w:ascii="宋体" w:hAnsi="宋体" w:cs="Courier New"/>
          <w:sz w:val="22"/>
          <w:szCs w:val="22"/>
          <w:highlight w:val="none"/>
        </w:rPr>
      </w:pPr>
      <w:r>
        <w:rPr>
          <w:rFonts w:hint="eastAsia" w:ascii="宋体" w:hAnsi="宋体" w:cs="Courier New"/>
          <w:sz w:val="22"/>
          <w:szCs w:val="22"/>
          <w:highlight w:val="none"/>
        </w:rPr>
        <w:t>(</w:t>
      </w:r>
      <w:r>
        <w:rPr>
          <w:rFonts w:ascii="宋体" w:hAnsi="宋体" w:cs="Courier New"/>
          <w:sz w:val="22"/>
          <w:szCs w:val="22"/>
          <w:highlight w:val="none"/>
        </w:rPr>
        <w:t>7</w:t>
      </w:r>
      <w:r>
        <w:rPr>
          <w:rFonts w:hint="eastAsia" w:ascii="宋体" w:hAnsi="宋体" w:cs="Courier New"/>
          <w:sz w:val="22"/>
          <w:szCs w:val="22"/>
          <w:highlight w:val="none"/>
        </w:rPr>
        <w:t>)未按中标（成交）通知书中规定的时间与</w:t>
      </w:r>
      <w:r>
        <w:rPr>
          <w:rFonts w:hint="eastAsia" w:ascii="宋体" w:hAnsi="宋体" w:cs="Courier New"/>
          <w:sz w:val="22"/>
          <w:szCs w:val="22"/>
          <w:highlight w:val="none"/>
          <w:lang w:eastAsia="zh-CN"/>
        </w:rPr>
        <w:t>甲方</w:t>
      </w:r>
      <w:r>
        <w:rPr>
          <w:rFonts w:hint="eastAsia" w:ascii="宋体" w:hAnsi="宋体" w:cs="Courier New"/>
          <w:sz w:val="22"/>
          <w:szCs w:val="22"/>
          <w:highlight w:val="none"/>
        </w:rPr>
        <w:t>签订合同；</w:t>
      </w:r>
    </w:p>
    <w:p>
      <w:pPr>
        <w:spacing w:line="360" w:lineRule="auto"/>
        <w:ind w:left="1079"/>
        <w:rPr>
          <w:rFonts w:ascii="宋体" w:hAnsi="宋体" w:cs="Courier New"/>
          <w:sz w:val="22"/>
          <w:szCs w:val="22"/>
          <w:highlight w:val="none"/>
        </w:rPr>
      </w:pPr>
      <w:r>
        <w:rPr>
          <w:rFonts w:hint="eastAsia" w:ascii="宋体" w:hAnsi="宋体" w:cs="Courier New"/>
          <w:sz w:val="22"/>
          <w:szCs w:val="22"/>
          <w:highlight w:val="none"/>
        </w:rPr>
        <w:t>(</w:t>
      </w:r>
      <w:r>
        <w:rPr>
          <w:rFonts w:ascii="宋体" w:hAnsi="宋体" w:cs="Courier New"/>
          <w:sz w:val="22"/>
          <w:szCs w:val="22"/>
          <w:highlight w:val="none"/>
        </w:rPr>
        <w:t>8</w:t>
      </w:r>
      <w:r>
        <w:rPr>
          <w:rFonts w:hint="eastAsia" w:ascii="宋体" w:hAnsi="宋体" w:cs="Courier New"/>
          <w:sz w:val="22"/>
          <w:szCs w:val="22"/>
          <w:highlight w:val="none"/>
        </w:rPr>
        <w:t>)拒绝有关部门监督检查或提供虚假情况的。</w:t>
      </w:r>
    </w:p>
    <w:p>
      <w:pPr>
        <w:spacing w:line="360" w:lineRule="auto"/>
        <w:ind w:firstLine="435"/>
        <w:rPr>
          <w:rFonts w:ascii="宋体" w:hAnsi="宋体" w:cs="Courier New"/>
          <w:sz w:val="22"/>
          <w:szCs w:val="22"/>
          <w:highlight w:val="none"/>
        </w:rPr>
      </w:pPr>
      <w:r>
        <w:rPr>
          <w:rFonts w:hint="eastAsia" w:ascii="宋体" w:hAnsi="宋体" w:cs="Courier New"/>
          <w:sz w:val="22"/>
          <w:szCs w:val="22"/>
          <w:highlight w:val="none"/>
        </w:rPr>
        <w:t xml:space="preserve">                                   投标人全称（盖章）：</w:t>
      </w:r>
      <w:r>
        <w:rPr>
          <w:rFonts w:hint="eastAsia" w:ascii="宋体" w:hAnsi="宋体" w:cs="Courier New"/>
          <w:sz w:val="22"/>
          <w:szCs w:val="22"/>
          <w:highlight w:val="none"/>
          <w:u w:val="single"/>
        </w:rPr>
        <w:t xml:space="preserve">                   </w:t>
      </w:r>
    </w:p>
    <w:p>
      <w:pPr>
        <w:spacing w:line="360" w:lineRule="auto"/>
        <w:ind w:firstLine="435"/>
        <w:rPr>
          <w:rFonts w:ascii="宋体" w:hAnsi="宋体" w:cs="Courier New"/>
          <w:sz w:val="22"/>
          <w:szCs w:val="22"/>
          <w:highlight w:val="none"/>
        </w:rPr>
      </w:pPr>
      <w:r>
        <w:rPr>
          <w:rFonts w:hint="eastAsia" w:ascii="宋体" w:hAnsi="宋体" w:cs="Courier New"/>
          <w:sz w:val="22"/>
          <w:szCs w:val="22"/>
          <w:highlight w:val="none"/>
        </w:rPr>
        <w:t xml:space="preserve">                                   单位负责人或授权代表（签字或盖章）：</w:t>
      </w:r>
      <w:r>
        <w:rPr>
          <w:rFonts w:hint="eastAsia" w:ascii="宋体" w:hAnsi="宋体" w:cs="Courier New"/>
          <w:sz w:val="22"/>
          <w:szCs w:val="22"/>
          <w:highlight w:val="none"/>
          <w:u w:val="single"/>
        </w:rPr>
        <w:t xml:space="preserve">         </w:t>
      </w:r>
    </w:p>
    <w:p>
      <w:pPr>
        <w:spacing w:line="360" w:lineRule="auto"/>
        <w:ind w:firstLine="435"/>
        <w:rPr>
          <w:rFonts w:ascii="宋体" w:hAnsi="宋体"/>
          <w:sz w:val="22"/>
          <w:szCs w:val="22"/>
          <w:highlight w:val="none"/>
        </w:rPr>
      </w:pPr>
      <w:r>
        <w:rPr>
          <w:rFonts w:hint="eastAsia" w:ascii="宋体" w:hAnsi="宋体" w:cs="Courier New"/>
          <w:sz w:val="22"/>
          <w:szCs w:val="22"/>
          <w:highlight w:val="none"/>
        </w:rPr>
        <w:t xml:space="preserve">      </w:t>
      </w:r>
      <w:r>
        <w:rPr>
          <w:rFonts w:ascii="宋体" w:hAnsi="宋体" w:cs="Courier New"/>
          <w:sz w:val="22"/>
          <w:szCs w:val="22"/>
          <w:highlight w:val="none"/>
        </w:rPr>
        <w:t xml:space="preserve">                            </w:t>
      </w:r>
      <w:bookmarkStart w:id="244" w:name="_Hlk100512650"/>
      <w:r>
        <w:rPr>
          <w:rFonts w:ascii="宋体" w:hAnsi="宋体" w:cs="Courier New"/>
          <w:sz w:val="22"/>
          <w:szCs w:val="22"/>
          <w:highlight w:val="none"/>
        </w:rPr>
        <w:t xml:space="preserve"> </w:t>
      </w:r>
      <w:r>
        <w:rPr>
          <w:rFonts w:hint="eastAsia" w:ascii="宋体" w:hAnsi="宋体" w:cs="Courier New"/>
          <w:sz w:val="22"/>
          <w:szCs w:val="22"/>
          <w:highlight w:val="none"/>
        </w:rPr>
        <w:t xml:space="preserve">日 </w:t>
      </w:r>
      <w:r>
        <w:rPr>
          <w:rFonts w:ascii="宋体" w:hAnsi="宋体" w:cs="Courier New"/>
          <w:sz w:val="22"/>
          <w:szCs w:val="22"/>
          <w:highlight w:val="none"/>
        </w:rPr>
        <w:t xml:space="preserve">      </w:t>
      </w:r>
      <w:r>
        <w:rPr>
          <w:rFonts w:hint="eastAsia" w:ascii="宋体" w:hAnsi="宋体" w:cs="Courier New"/>
          <w:sz w:val="22"/>
          <w:szCs w:val="22"/>
          <w:highlight w:val="none"/>
        </w:rPr>
        <w:t>期：  年  月  日</w:t>
      </w:r>
      <w:bookmarkEnd w:id="244"/>
    </w:p>
    <w:p>
      <w:pPr>
        <w:spacing w:line="400" w:lineRule="exact"/>
        <w:ind w:firstLine="331" w:firstLineChars="150"/>
        <w:rPr>
          <w:rFonts w:hint="eastAsia" w:ascii="宋体" w:hAnsi="宋体"/>
          <w:b/>
          <w:sz w:val="22"/>
          <w:szCs w:val="22"/>
          <w:highlight w:val="none"/>
          <w:u w:val="single"/>
          <w:lang w:eastAsia="zh-CN"/>
        </w:rPr>
      </w:pPr>
    </w:p>
    <w:p>
      <w:pPr>
        <w:spacing w:line="400" w:lineRule="exact"/>
        <w:ind w:firstLine="331" w:firstLineChars="150"/>
        <w:rPr>
          <w:rFonts w:ascii="宋体" w:hAnsi="宋体"/>
          <w:b/>
          <w:sz w:val="22"/>
          <w:szCs w:val="22"/>
          <w:highlight w:val="none"/>
          <w:u w:val="single"/>
        </w:rPr>
      </w:pPr>
      <w:r>
        <w:rPr>
          <w:rFonts w:hint="eastAsia" w:ascii="宋体" w:hAnsi="宋体"/>
          <w:b/>
          <w:sz w:val="22"/>
          <w:szCs w:val="22"/>
          <w:highlight w:val="none"/>
          <w:u w:val="single"/>
          <w:lang w:eastAsia="zh-CN"/>
        </w:rPr>
        <w:t>▲</w:t>
      </w:r>
      <w:r>
        <w:rPr>
          <w:rFonts w:hint="eastAsia" w:ascii="宋体" w:hAnsi="宋体"/>
          <w:b/>
          <w:sz w:val="22"/>
          <w:szCs w:val="22"/>
          <w:highlight w:val="none"/>
          <w:u w:val="single"/>
        </w:rPr>
        <w:t>不提供此函的投标文件将被视为未实质性响应招标文件，其</w:t>
      </w:r>
      <w:r>
        <w:rPr>
          <w:rFonts w:hint="eastAsia" w:ascii="宋体" w:hAnsi="宋体"/>
          <w:b/>
          <w:bCs/>
          <w:sz w:val="22"/>
          <w:szCs w:val="22"/>
          <w:highlight w:val="none"/>
          <w:u w:val="single"/>
        </w:rPr>
        <w:t>投标无效</w:t>
      </w:r>
      <w:r>
        <w:rPr>
          <w:rFonts w:hint="eastAsia" w:ascii="宋体" w:hAnsi="宋体"/>
          <w:b/>
          <w:sz w:val="22"/>
          <w:szCs w:val="22"/>
          <w:highlight w:val="none"/>
          <w:u w:val="single"/>
        </w:rPr>
        <w:t>。</w:t>
      </w:r>
    </w:p>
    <w:p>
      <w:pPr>
        <w:jc w:val="center"/>
        <w:rPr>
          <w:rFonts w:hint="eastAsia" w:ascii="宋体" w:hAnsi="宋体"/>
          <w:b/>
          <w:bCs/>
          <w:sz w:val="30"/>
          <w:szCs w:val="30"/>
          <w:highlight w:val="none"/>
        </w:rPr>
      </w:pPr>
    </w:p>
    <w:p>
      <w:pPr>
        <w:jc w:val="center"/>
        <w:rPr>
          <w:rFonts w:ascii="宋体" w:hAnsi="宋体"/>
          <w:b/>
          <w:bCs/>
          <w:sz w:val="30"/>
          <w:szCs w:val="30"/>
          <w:highlight w:val="none"/>
        </w:rPr>
      </w:pPr>
      <w:r>
        <w:rPr>
          <w:rFonts w:hint="eastAsia" w:ascii="宋体" w:hAnsi="宋体"/>
          <w:b/>
          <w:bCs/>
          <w:sz w:val="30"/>
          <w:szCs w:val="30"/>
          <w:highlight w:val="none"/>
        </w:rPr>
        <w:t>二、单位负责人授权书</w:t>
      </w:r>
    </w:p>
    <w:p>
      <w:pPr>
        <w:spacing w:line="420" w:lineRule="exact"/>
        <w:rPr>
          <w:rFonts w:ascii="宋体" w:hAnsi="宋体"/>
          <w:sz w:val="22"/>
          <w:szCs w:val="22"/>
          <w:highlight w:val="none"/>
        </w:rPr>
      </w:pPr>
    </w:p>
    <w:p>
      <w:pPr>
        <w:spacing w:line="420" w:lineRule="exact"/>
        <w:rPr>
          <w:rFonts w:hint="eastAsia" w:ascii="宋体" w:hAnsi="宋体" w:eastAsia="宋体"/>
          <w:sz w:val="22"/>
          <w:szCs w:val="22"/>
          <w:highlight w:val="none"/>
          <w:lang w:eastAsia="zh-CN"/>
        </w:rPr>
      </w:pPr>
      <w:r>
        <w:rPr>
          <w:rFonts w:hint="eastAsia" w:ascii="宋体" w:hAnsi="宋体"/>
          <w:sz w:val="22"/>
          <w:szCs w:val="22"/>
          <w:highlight w:val="none"/>
          <w:lang w:eastAsia="zh-CN"/>
        </w:rPr>
        <w:t>平阳县盈泽控股有限公司</w:t>
      </w:r>
    </w:p>
    <w:p>
      <w:pPr>
        <w:spacing w:line="420" w:lineRule="exact"/>
        <w:rPr>
          <w:rFonts w:ascii="宋体" w:hAnsi="宋体"/>
          <w:sz w:val="22"/>
          <w:szCs w:val="22"/>
          <w:highlight w:val="none"/>
        </w:rPr>
      </w:pPr>
      <w:r>
        <w:rPr>
          <w:rFonts w:hint="eastAsia" w:ascii="宋体" w:hAnsi="宋体"/>
          <w:sz w:val="22"/>
          <w:szCs w:val="22"/>
          <w:highlight w:val="none"/>
          <w:lang w:eastAsia="zh-CN"/>
        </w:rPr>
        <w:t>温州众晨项目管理有限公司</w:t>
      </w:r>
      <w:r>
        <w:rPr>
          <w:rFonts w:hint="eastAsia" w:ascii="宋体" w:hAnsi="宋体"/>
          <w:sz w:val="22"/>
          <w:szCs w:val="22"/>
          <w:highlight w:val="none"/>
        </w:rPr>
        <w:t>：</w:t>
      </w:r>
    </w:p>
    <w:p>
      <w:pPr>
        <w:spacing w:line="460" w:lineRule="exact"/>
        <w:ind w:firstLine="550" w:firstLineChars="250"/>
        <w:rPr>
          <w:rFonts w:ascii="宋体" w:hAnsi="宋体"/>
          <w:sz w:val="22"/>
          <w:szCs w:val="22"/>
          <w:highlight w:val="none"/>
        </w:rPr>
      </w:pPr>
      <w:r>
        <w:rPr>
          <w:rFonts w:hint="eastAsia" w:ascii="宋体" w:hAnsi="宋体"/>
          <w:sz w:val="22"/>
          <w:szCs w:val="22"/>
          <w:highlight w:val="none"/>
          <w:u w:val="single"/>
        </w:rPr>
        <w:t xml:space="preserve">                   </w:t>
      </w:r>
      <w:r>
        <w:rPr>
          <w:rFonts w:hint="eastAsia" w:ascii="宋体" w:hAnsi="宋体"/>
          <w:sz w:val="22"/>
          <w:szCs w:val="22"/>
          <w:highlight w:val="none"/>
        </w:rPr>
        <w:t>（投标人单位全称）单位负责人</w:t>
      </w:r>
      <w:r>
        <w:rPr>
          <w:rFonts w:hint="eastAsia" w:ascii="宋体" w:hAnsi="宋体"/>
          <w:sz w:val="22"/>
          <w:szCs w:val="22"/>
          <w:highlight w:val="none"/>
          <w:u w:val="single"/>
        </w:rPr>
        <w:t xml:space="preserve">            </w:t>
      </w:r>
      <w:r>
        <w:rPr>
          <w:rFonts w:hint="eastAsia" w:ascii="宋体" w:hAnsi="宋体"/>
          <w:sz w:val="22"/>
          <w:szCs w:val="22"/>
          <w:highlight w:val="none"/>
        </w:rPr>
        <w:t>授权</w:t>
      </w:r>
      <w:r>
        <w:rPr>
          <w:rFonts w:hint="eastAsia" w:ascii="宋体" w:hAnsi="宋体"/>
          <w:sz w:val="22"/>
          <w:szCs w:val="22"/>
          <w:highlight w:val="none"/>
          <w:u w:val="single"/>
        </w:rPr>
        <w:t xml:space="preserve">           </w:t>
      </w:r>
      <w:r>
        <w:rPr>
          <w:rFonts w:hint="eastAsia" w:ascii="宋体" w:hAnsi="宋体"/>
          <w:sz w:val="22"/>
          <w:szCs w:val="22"/>
          <w:highlight w:val="none"/>
        </w:rPr>
        <w:t>（全权代表姓名）为全权代表，参加贵处组织的</w:t>
      </w:r>
      <w:r>
        <w:rPr>
          <w:rFonts w:hint="eastAsia" w:ascii="宋体" w:hAnsi="宋体"/>
          <w:sz w:val="22"/>
          <w:szCs w:val="22"/>
          <w:highlight w:val="none"/>
          <w:u w:val="single"/>
        </w:rPr>
        <w:t xml:space="preserve">                        </w:t>
      </w:r>
      <w:r>
        <w:rPr>
          <w:rFonts w:hint="eastAsia" w:ascii="宋体" w:hAnsi="宋体"/>
          <w:sz w:val="22"/>
          <w:szCs w:val="22"/>
          <w:highlight w:val="none"/>
        </w:rPr>
        <w:t>（采购项目名称、编号）的采购活动，全权代表我方处理采购活动中的一切事宜</w:t>
      </w:r>
      <w:bookmarkStart w:id="245" w:name="_Hlk100435796"/>
      <w:r>
        <w:rPr>
          <w:rFonts w:ascii="宋体" w:hAnsi="宋体"/>
          <w:sz w:val="22"/>
          <w:szCs w:val="22"/>
          <w:highlight w:val="none"/>
        </w:rPr>
        <w:t>。投标人代表在投标过程中所签署的一切文件和处理与之有关的一切事务，我方均予以认可并对此承担责任。</w:t>
      </w:r>
      <w:bookmarkEnd w:id="245"/>
    </w:p>
    <w:p>
      <w:pPr>
        <w:spacing w:line="460" w:lineRule="exact"/>
        <w:ind w:firstLine="550" w:firstLineChars="250"/>
        <w:rPr>
          <w:rFonts w:ascii="宋体" w:hAnsi="宋体"/>
          <w:sz w:val="22"/>
          <w:szCs w:val="22"/>
          <w:highlight w:val="none"/>
        </w:rPr>
      </w:pPr>
    </w:p>
    <w:p>
      <w:pPr>
        <w:spacing w:line="460" w:lineRule="exact"/>
        <w:ind w:firstLine="3971" w:firstLineChars="1805"/>
        <w:rPr>
          <w:rFonts w:ascii="宋体" w:hAnsi="宋体"/>
          <w:sz w:val="22"/>
          <w:szCs w:val="22"/>
          <w:highlight w:val="none"/>
        </w:rPr>
      </w:pPr>
      <w:r>
        <w:rPr>
          <w:rFonts w:hint="eastAsia" w:ascii="宋体" w:hAnsi="宋体"/>
          <w:sz w:val="22"/>
          <w:szCs w:val="22"/>
          <w:highlight w:val="none"/>
        </w:rPr>
        <w:t>单位负责人(签字或盖章)：</w:t>
      </w:r>
    </w:p>
    <w:p>
      <w:pPr>
        <w:spacing w:line="460" w:lineRule="exact"/>
        <w:ind w:firstLine="3971" w:firstLineChars="1805"/>
        <w:rPr>
          <w:rFonts w:ascii="宋体" w:hAnsi="宋体"/>
          <w:sz w:val="22"/>
          <w:szCs w:val="22"/>
          <w:highlight w:val="none"/>
        </w:rPr>
      </w:pPr>
      <w:r>
        <w:rPr>
          <w:rFonts w:hint="eastAsia" w:ascii="宋体" w:hAnsi="宋体"/>
          <w:sz w:val="22"/>
          <w:szCs w:val="22"/>
          <w:highlight w:val="none"/>
        </w:rPr>
        <w:t>投标人全称（盖章）：</w:t>
      </w:r>
    </w:p>
    <w:p>
      <w:pPr>
        <w:spacing w:line="460" w:lineRule="exact"/>
        <w:ind w:firstLine="3971" w:firstLineChars="1805"/>
        <w:rPr>
          <w:rFonts w:ascii="宋体" w:hAnsi="宋体"/>
          <w:sz w:val="22"/>
          <w:szCs w:val="22"/>
          <w:highlight w:val="none"/>
        </w:rPr>
      </w:pPr>
      <w:r>
        <w:rPr>
          <w:rFonts w:hint="eastAsia" w:ascii="宋体" w:hAnsi="宋体"/>
          <w:sz w:val="22"/>
          <w:szCs w:val="22"/>
          <w:highlight w:val="none"/>
        </w:rPr>
        <w:t>日          期：  年  月  日</w:t>
      </w:r>
    </w:p>
    <w:p>
      <w:pPr>
        <w:spacing w:line="460" w:lineRule="exact"/>
        <w:rPr>
          <w:rFonts w:ascii="宋体" w:hAnsi="宋体"/>
          <w:sz w:val="22"/>
          <w:szCs w:val="22"/>
          <w:highlight w:val="none"/>
        </w:rPr>
      </w:pPr>
    </w:p>
    <w:p>
      <w:pPr>
        <w:spacing w:line="460" w:lineRule="exact"/>
        <w:rPr>
          <w:rFonts w:ascii="宋体" w:hAnsi="宋体"/>
          <w:sz w:val="22"/>
          <w:szCs w:val="22"/>
          <w:highlight w:val="none"/>
        </w:rPr>
      </w:pPr>
      <w:r>
        <w:rPr>
          <w:rFonts w:hint="eastAsia" w:ascii="宋体" w:hAnsi="宋体"/>
          <w:sz w:val="22"/>
          <w:szCs w:val="22"/>
          <w:highlight w:val="none"/>
        </w:rPr>
        <w:t>附：</w:t>
      </w:r>
    </w:p>
    <w:p>
      <w:pPr>
        <w:spacing w:line="460" w:lineRule="exact"/>
        <w:ind w:firstLine="220" w:firstLineChars="100"/>
        <w:rPr>
          <w:rFonts w:ascii="宋体" w:hAnsi="宋体"/>
          <w:sz w:val="22"/>
          <w:szCs w:val="22"/>
          <w:highlight w:val="none"/>
        </w:rPr>
      </w:pPr>
      <w:r>
        <w:rPr>
          <w:rFonts w:hint="eastAsia" w:ascii="宋体" w:hAnsi="宋体"/>
          <w:sz w:val="22"/>
          <w:szCs w:val="22"/>
          <w:highlight w:val="none"/>
        </w:rPr>
        <w:t>单位负责人有效期内的身份证正反面电子件：</w:t>
      </w:r>
    </w:p>
    <w:tbl>
      <w:tblPr>
        <w:tblStyle w:val="34"/>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73"/>
        <w:gridCol w:w="45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673" w:type="dxa"/>
            <w:tcBorders>
              <w:top w:val="single" w:color="000000" w:sz="4" w:space="0"/>
              <w:left w:val="single" w:color="000000" w:sz="4" w:space="0"/>
              <w:bottom w:val="single" w:color="000000" w:sz="4" w:space="0"/>
              <w:right w:val="single" w:color="000000" w:sz="4" w:space="0"/>
            </w:tcBorders>
          </w:tcPr>
          <w:p>
            <w:pPr>
              <w:spacing w:line="360" w:lineRule="auto"/>
              <w:jc w:val="left"/>
              <w:rPr>
                <w:rFonts w:ascii="宋体" w:hAnsi="宋体"/>
                <w:sz w:val="24"/>
                <w:highlight w:val="none"/>
              </w:rPr>
            </w:pPr>
          </w:p>
          <w:p>
            <w:pPr>
              <w:spacing w:line="360" w:lineRule="auto"/>
              <w:jc w:val="left"/>
              <w:rPr>
                <w:rFonts w:ascii="宋体" w:hAnsi="宋体"/>
                <w:sz w:val="24"/>
                <w:highlight w:val="none"/>
              </w:rPr>
            </w:pPr>
          </w:p>
          <w:p>
            <w:pPr>
              <w:spacing w:line="360" w:lineRule="auto"/>
              <w:jc w:val="left"/>
              <w:rPr>
                <w:rFonts w:ascii="宋体" w:hAnsi="宋体"/>
                <w:sz w:val="24"/>
                <w:highlight w:val="none"/>
              </w:rPr>
            </w:pPr>
          </w:p>
        </w:tc>
        <w:tc>
          <w:tcPr>
            <w:tcW w:w="4536" w:type="dxa"/>
            <w:tcBorders>
              <w:top w:val="single" w:color="000000" w:sz="4" w:space="0"/>
              <w:left w:val="nil"/>
              <w:bottom w:val="single" w:color="000000" w:sz="4" w:space="0"/>
              <w:right w:val="single" w:color="000000" w:sz="4" w:space="0"/>
            </w:tcBorders>
          </w:tcPr>
          <w:p>
            <w:pPr>
              <w:spacing w:line="360" w:lineRule="auto"/>
              <w:jc w:val="left"/>
              <w:rPr>
                <w:rFonts w:ascii="宋体" w:hAnsi="宋体"/>
                <w:sz w:val="24"/>
                <w:highlight w:val="none"/>
              </w:rPr>
            </w:pPr>
          </w:p>
          <w:p>
            <w:pPr>
              <w:spacing w:line="360" w:lineRule="auto"/>
              <w:jc w:val="left"/>
              <w:rPr>
                <w:rFonts w:ascii="宋体" w:hAnsi="宋体"/>
                <w:sz w:val="24"/>
                <w:highlight w:val="none"/>
              </w:rPr>
            </w:pPr>
          </w:p>
          <w:p>
            <w:pPr>
              <w:spacing w:line="360" w:lineRule="auto"/>
              <w:jc w:val="left"/>
              <w:rPr>
                <w:rFonts w:ascii="宋体" w:hAnsi="宋体"/>
                <w:sz w:val="24"/>
                <w:highlight w:val="none"/>
              </w:rPr>
            </w:pPr>
          </w:p>
        </w:tc>
      </w:tr>
    </w:tbl>
    <w:p>
      <w:pPr>
        <w:spacing w:line="460" w:lineRule="exact"/>
        <w:ind w:firstLine="220" w:firstLineChars="100"/>
        <w:rPr>
          <w:rFonts w:ascii="宋体" w:hAnsi="宋体"/>
          <w:sz w:val="22"/>
          <w:szCs w:val="22"/>
          <w:highlight w:val="none"/>
        </w:rPr>
      </w:pPr>
      <w:r>
        <w:rPr>
          <w:rFonts w:hint="eastAsia" w:ascii="宋体" w:hAnsi="宋体"/>
          <w:sz w:val="22"/>
          <w:szCs w:val="22"/>
          <w:highlight w:val="none"/>
        </w:rPr>
        <w:t>全权代表人有效期内的身份证正反面电子件：</w:t>
      </w:r>
    </w:p>
    <w:tbl>
      <w:tblPr>
        <w:tblStyle w:val="34"/>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73"/>
        <w:gridCol w:w="45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673" w:type="dxa"/>
            <w:tcBorders>
              <w:top w:val="single" w:color="000000" w:sz="4" w:space="0"/>
              <w:left w:val="single" w:color="000000" w:sz="4" w:space="0"/>
              <w:bottom w:val="single" w:color="000000" w:sz="4" w:space="0"/>
              <w:right w:val="single" w:color="000000" w:sz="4" w:space="0"/>
            </w:tcBorders>
          </w:tcPr>
          <w:p>
            <w:pPr>
              <w:spacing w:line="360" w:lineRule="auto"/>
              <w:jc w:val="left"/>
              <w:rPr>
                <w:rFonts w:ascii="宋体" w:hAnsi="宋体"/>
                <w:sz w:val="24"/>
                <w:highlight w:val="none"/>
              </w:rPr>
            </w:pPr>
          </w:p>
          <w:p>
            <w:pPr>
              <w:spacing w:line="360" w:lineRule="auto"/>
              <w:jc w:val="left"/>
              <w:rPr>
                <w:rFonts w:ascii="宋体" w:hAnsi="宋体"/>
                <w:sz w:val="24"/>
                <w:highlight w:val="none"/>
              </w:rPr>
            </w:pPr>
          </w:p>
          <w:p>
            <w:pPr>
              <w:spacing w:line="360" w:lineRule="auto"/>
              <w:jc w:val="left"/>
              <w:rPr>
                <w:rFonts w:ascii="宋体" w:hAnsi="宋体"/>
                <w:sz w:val="24"/>
                <w:highlight w:val="none"/>
              </w:rPr>
            </w:pPr>
          </w:p>
        </w:tc>
        <w:tc>
          <w:tcPr>
            <w:tcW w:w="4536" w:type="dxa"/>
            <w:tcBorders>
              <w:top w:val="single" w:color="000000" w:sz="4" w:space="0"/>
              <w:left w:val="nil"/>
              <w:bottom w:val="single" w:color="000000" w:sz="4" w:space="0"/>
              <w:right w:val="single" w:color="000000" w:sz="4" w:space="0"/>
            </w:tcBorders>
          </w:tcPr>
          <w:p>
            <w:pPr>
              <w:spacing w:line="360" w:lineRule="auto"/>
              <w:jc w:val="left"/>
              <w:rPr>
                <w:rFonts w:ascii="宋体" w:hAnsi="宋体"/>
                <w:sz w:val="24"/>
                <w:highlight w:val="none"/>
              </w:rPr>
            </w:pPr>
          </w:p>
          <w:p>
            <w:pPr>
              <w:spacing w:line="360" w:lineRule="auto"/>
              <w:jc w:val="left"/>
              <w:rPr>
                <w:rFonts w:ascii="宋体" w:hAnsi="宋体"/>
                <w:sz w:val="24"/>
                <w:highlight w:val="none"/>
              </w:rPr>
            </w:pPr>
          </w:p>
          <w:p>
            <w:pPr>
              <w:spacing w:line="360" w:lineRule="auto"/>
              <w:jc w:val="left"/>
              <w:rPr>
                <w:rFonts w:ascii="宋体" w:hAnsi="宋体"/>
                <w:sz w:val="24"/>
                <w:highlight w:val="none"/>
              </w:rPr>
            </w:pPr>
          </w:p>
        </w:tc>
      </w:tr>
    </w:tbl>
    <w:p>
      <w:pPr>
        <w:spacing w:line="460" w:lineRule="exact"/>
        <w:rPr>
          <w:rFonts w:ascii="宋体" w:hAnsi="宋体"/>
          <w:b/>
          <w:bCs/>
          <w:sz w:val="22"/>
          <w:szCs w:val="22"/>
          <w:highlight w:val="none"/>
        </w:rPr>
      </w:pPr>
    </w:p>
    <w:p>
      <w:pPr>
        <w:spacing w:line="460" w:lineRule="exact"/>
        <w:rPr>
          <w:rFonts w:ascii="宋体" w:hAnsi="宋体" w:cs="Courier New"/>
          <w:b/>
          <w:sz w:val="22"/>
          <w:szCs w:val="22"/>
          <w:highlight w:val="none"/>
        </w:rPr>
      </w:pPr>
      <w:r>
        <w:rPr>
          <w:rFonts w:hint="eastAsia" w:ascii="宋体" w:hAnsi="宋体" w:cs="Courier New"/>
          <w:b/>
          <w:sz w:val="22"/>
          <w:szCs w:val="22"/>
          <w:highlight w:val="none"/>
        </w:rPr>
        <w:t xml:space="preserve">说明： </w:t>
      </w:r>
    </w:p>
    <w:p>
      <w:pPr>
        <w:spacing w:line="460" w:lineRule="exact"/>
        <w:rPr>
          <w:rFonts w:ascii="宋体" w:hAnsi="宋体" w:cs="Courier New"/>
          <w:b/>
          <w:sz w:val="22"/>
          <w:szCs w:val="22"/>
          <w:highlight w:val="none"/>
        </w:rPr>
      </w:pPr>
      <w:r>
        <w:rPr>
          <w:rFonts w:ascii="宋体" w:hAnsi="宋体" w:cs="Courier New"/>
          <w:b/>
          <w:sz w:val="22"/>
          <w:szCs w:val="22"/>
          <w:highlight w:val="none"/>
        </w:rPr>
        <w:t>1</w:t>
      </w:r>
      <w:r>
        <w:rPr>
          <w:rFonts w:hint="eastAsia" w:ascii="宋体" w:hAnsi="宋体" w:cs="Courier New"/>
          <w:b/>
          <w:sz w:val="22"/>
          <w:szCs w:val="22"/>
          <w:highlight w:val="none"/>
        </w:rPr>
        <w:t>、</w:t>
      </w:r>
      <w:r>
        <w:rPr>
          <w:rFonts w:ascii="宋体" w:hAnsi="宋体" w:cs="Courier New"/>
          <w:b/>
          <w:sz w:val="22"/>
          <w:szCs w:val="22"/>
          <w:highlight w:val="none"/>
        </w:rPr>
        <w:t>投标人：若投标人代表为单位负责人授权的委托代理人，应提供本授权书；</w:t>
      </w:r>
    </w:p>
    <w:p>
      <w:pPr>
        <w:spacing w:line="460" w:lineRule="exact"/>
        <w:rPr>
          <w:rFonts w:ascii="宋体" w:hAnsi="宋体" w:cs="Courier New"/>
          <w:b/>
          <w:sz w:val="22"/>
          <w:szCs w:val="22"/>
          <w:highlight w:val="none"/>
        </w:rPr>
      </w:pPr>
      <w:r>
        <w:rPr>
          <w:rFonts w:ascii="宋体" w:hAnsi="宋体" w:cs="Courier New"/>
          <w:b/>
          <w:sz w:val="22"/>
          <w:szCs w:val="22"/>
          <w:highlight w:val="none"/>
        </w:rPr>
        <w:t>2</w:t>
      </w:r>
      <w:r>
        <w:rPr>
          <w:rFonts w:hint="eastAsia" w:ascii="宋体" w:hAnsi="宋体" w:cs="Courier New"/>
          <w:b/>
          <w:sz w:val="22"/>
          <w:szCs w:val="22"/>
          <w:highlight w:val="none"/>
        </w:rPr>
        <w:t>、</w:t>
      </w:r>
      <w:r>
        <w:rPr>
          <w:rFonts w:ascii="宋体" w:hAnsi="宋体" w:cs="Courier New"/>
          <w:b/>
          <w:sz w:val="22"/>
          <w:szCs w:val="22"/>
          <w:highlight w:val="none"/>
        </w:rPr>
        <w:t>若投标人代表为单位负责人，应在此项下提交其身份证正反面复印件，可不提供本授权书。</w:t>
      </w:r>
    </w:p>
    <w:p>
      <w:pPr>
        <w:rPr>
          <w:rFonts w:ascii="宋体" w:hAnsi="宋体" w:cs="Courier New"/>
          <w:b/>
          <w:sz w:val="22"/>
          <w:szCs w:val="22"/>
          <w:highlight w:val="none"/>
        </w:rPr>
      </w:pPr>
      <w:r>
        <w:rPr>
          <w:rFonts w:ascii="宋体" w:hAnsi="宋体" w:cs="Courier New"/>
          <w:b/>
          <w:sz w:val="22"/>
          <w:szCs w:val="22"/>
          <w:highlight w:val="none"/>
        </w:rPr>
        <w:br w:type="page"/>
      </w:r>
    </w:p>
    <w:p>
      <w:pPr>
        <w:rPr>
          <w:rFonts w:ascii="宋体" w:hAnsi="宋体"/>
          <w:highlight w:val="none"/>
        </w:rPr>
      </w:pPr>
    </w:p>
    <w:p>
      <w:pPr>
        <w:spacing w:line="460" w:lineRule="exact"/>
        <w:jc w:val="center"/>
        <w:rPr>
          <w:rFonts w:ascii="宋体" w:hAnsi="宋体"/>
          <w:b/>
          <w:bCs/>
          <w:sz w:val="30"/>
          <w:szCs w:val="30"/>
          <w:highlight w:val="none"/>
        </w:rPr>
      </w:pPr>
      <w:r>
        <w:rPr>
          <w:rFonts w:hint="eastAsia" w:ascii="宋体" w:hAnsi="宋体"/>
          <w:b/>
          <w:bCs/>
          <w:sz w:val="30"/>
          <w:szCs w:val="30"/>
          <w:highlight w:val="none"/>
        </w:rPr>
        <w:t>三、投标人联系表</w:t>
      </w:r>
    </w:p>
    <w:p>
      <w:pPr>
        <w:pStyle w:val="226"/>
        <w:ind w:firstLine="210"/>
        <w:rPr>
          <w:rFonts w:ascii="宋体" w:hAnsi="宋体"/>
          <w:highlight w:val="none"/>
        </w:rPr>
      </w:pPr>
    </w:p>
    <w:tbl>
      <w:tblPr>
        <w:tblStyle w:val="34"/>
        <w:tblW w:w="97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9"/>
        <w:gridCol w:w="2587"/>
        <w:gridCol w:w="641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序号</w:t>
            </w:r>
          </w:p>
        </w:tc>
        <w:tc>
          <w:tcPr>
            <w:tcW w:w="2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项  目</w:t>
            </w:r>
          </w:p>
        </w:tc>
        <w:tc>
          <w:tcPr>
            <w:tcW w:w="6413"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1</w:t>
            </w:r>
          </w:p>
        </w:tc>
        <w:tc>
          <w:tcPr>
            <w:tcW w:w="2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Cs/>
                <w:sz w:val="22"/>
                <w:szCs w:val="22"/>
                <w:highlight w:val="none"/>
              </w:rPr>
            </w:pPr>
            <w:r>
              <w:rPr>
                <w:rFonts w:ascii="宋体" w:hAnsi="宋体"/>
                <w:bCs/>
                <w:sz w:val="22"/>
                <w:szCs w:val="22"/>
                <w:highlight w:val="none"/>
              </w:rPr>
              <w:t>项目名称</w:t>
            </w:r>
          </w:p>
        </w:tc>
        <w:tc>
          <w:tcPr>
            <w:tcW w:w="641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2</w:t>
            </w:r>
          </w:p>
        </w:tc>
        <w:tc>
          <w:tcPr>
            <w:tcW w:w="2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Cs/>
                <w:sz w:val="22"/>
                <w:szCs w:val="22"/>
                <w:highlight w:val="none"/>
              </w:rPr>
            </w:pPr>
            <w:r>
              <w:rPr>
                <w:rFonts w:hint="eastAsia" w:ascii="宋体" w:hAnsi="宋体"/>
                <w:bCs/>
                <w:sz w:val="22"/>
                <w:szCs w:val="22"/>
                <w:highlight w:val="none"/>
              </w:rPr>
              <w:t>项目编号</w:t>
            </w:r>
          </w:p>
        </w:tc>
        <w:tc>
          <w:tcPr>
            <w:tcW w:w="641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3</w:t>
            </w:r>
          </w:p>
        </w:tc>
        <w:tc>
          <w:tcPr>
            <w:tcW w:w="2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Cs/>
                <w:sz w:val="22"/>
                <w:szCs w:val="22"/>
                <w:highlight w:val="none"/>
              </w:rPr>
            </w:pPr>
            <w:r>
              <w:rPr>
                <w:rFonts w:hint="eastAsia" w:ascii="宋体" w:hAnsi="宋体"/>
                <w:bCs/>
                <w:sz w:val="22"/>
                <w:szCs w:val="22"/>
                <w:highlight w:val="none"/>
              </w:rPr>
              <w:t>投标单位名称</w:t>
            </w:r>
          </w:p>
        </w:tc>
        <w:tc>
          <w:tcPr>
            <w:tcW w:w="641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4</w:t>
            </w:r>
          </w:p>
        </w:tc>
        <w:tc>
          <w:tcPr>
            <w:tcW w:w="2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Cs/>
                <w:sz w:val="22"/>
                <w:szCs w:val="22"/>
                <w:highlight w:val="none"/>
              </w:rPr>
            </w:pPr>
            <w:r>
              <w:rPr>
                <w:rFonts w:hint="eastAsia" w:ascii="宋体" w:hAnsi="宋体"/>
                <w:bCs/>
                <w:sz w:val="22"/>
                <w:szCs w:val="22"/>
                <w:highlight w:val="none"/>
              </w:rPr>
              <w:t>投标单位联系地址</w:t>
            </w:r>
          </w:p>
        </w:tc>
        <w:tc>
          <w:tcPr>
            <w:tcW w:w="641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5</w:t>
            </w:r>
          </w:p>
        </w:tc>
        <w:tc>
          <w:tcPr>
            <w:tcW w:w="2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Cs/>
                <w:sz w:val="22"/>
                <w:szCs w:val="22"/>
                <w:highlight w:val="none"/>
              </w:rPr>
            </w:pPr>
            <w:r>
              <w:rPr>
                <w:rFonts w:hint="eastAsia" w:ascii="宋体" w:hAnsi="宋体"/>
                <w:bCs/>
                <w:sz w:val="22"/>
                <w:szCs w:val="22"/>
                <w:highlight w:val="none"/>
              </w:rPr>
              <w:t>投标单位联系方式</w:t>
            </w:r>
          </w:p>
        </w:tc>
        <w:tc>
          <w:tcPr>
            <w:tcW w:w="641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6</w:t>
            </w:r>
          </w:p>
        </w:tc>
        <w:tc>
          <w:tcPr>
            <w:tcW w:w="2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Cs/>
                <w:sz w:val="22"/>
                <w:szCs w:val="22"/>
                <w:highlight w:val="none"/>
              </w:rPr>
            </w:pPr>
            <w:r>
              <w:rPr>
                <w:rFonts w:hint="eastAsia" w:ascii="宋体" w:hAnsi="宋体"/>
                <w:bCs/>
                <w:sz w:val="22"/>
                <w:szCs w:val="22"/>
                <w:highlight w:val="none"/>
              </w:rPr>
              <w:t>投标单位电子邮箱</w:t>
            </w:r>
          </w:p>
        </w:tc>
        <w:tc>
          <w:tcPr>
            <w:tcW w:w="641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7</w:t>
            </w:r>
          </w:p>
        </w:tc>
        <w:tc>
          <w:tcPr>
            <w:tcW w:w="2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Cs/>
                <w:sz w:val="22"/>
                <w:szCs w:val="22"/>
                <w:highlight w:val="none"/>
              </w:rPr>
            </w:pPr>
            <w:r>
              <w:rPr>
                <w:rFonts w:hint="eastAsia" w:ascii="宋体" w:hAnsi="宋体"/>
                <w:bCs/>
                <w:sz w:val="22"/>
                <w:szCs w:val="22"/>
                <w:highlight w:val="none"/>
              </w:rPr>
              <w:t>投标单位传真号码</w:t>
            </w:r>
          </w:p>
        </w:tc>
        <w:tc>
          <w:tcPr>
            <w:tcW w:w="641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ascii="宋体" w:hAnsi="宋体"/>
                <w:sz w:val="22"/>
                <w:szCs w:val="22"/>
                <w:highlight w:val="none"/>
              </w:rPr>
              <w:t>8</w:t>
            </w:r>
          </w:p>
        </w:tc>
        <w:tc>
          <w:tcPr>
            <w:tcW w:w="2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Cs/>
                <w:sz w:val="22"/>
                <w:szCs w:val="22"/>
                <w:highlight w:val="none"/>
              </w:rPr>
            </w:pPr>
            <w:r>
              <w:rPr>
                <w:rFonts w:hint="eastAsia" w:ascii="宋体" w:hAnsi="宋体"/>
                <w:bCs/>
                <w:sz w:val="22"/>
                <w:szCs w:val="22"/>
                <w:highlight w:val="none"/>
              </w:rPr>
              <w:t>单位负责人名字</w:t>
            </w:r>
          </w:p>
        </w:tc>
        <w:tc>
          <w:tcPr>
            <w:tcW w:w="641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ascii="宋体" w:hAnsi="宋体"/>
                <w:sz w:val="22"/>
                <w:szCs w:val="22"/>
                <w:highlight w:val="none"/>
              </w:rPr>
              <w:t>9</w:t>
            </w:r>
          </w:p>
        </w:tc>
        <w:tc>
          <w:tcPr>
            <w:tcW w:w="2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Cs/>
                <w:sz w:val="22"/>
                <w:szCs w:val="22"/>
                <w:highlight w:val="none"/>
              </w:rPr>
            </w:pPr>
            <w:r>
              <w:rPr>
                <w:rFonts w:hint="eastAsia" w:ascii="宋体" w:hAnsi="宋体"/>
                <w:bCs/>
                <w:sz w:val="22"/>
                <w:szCs w:val="22"/>
                <w:highlight w:val="none"/>
              </w:rPr>
              <w:t>授权代理人名字</w:t>
            </w:r>
          </w:p>
        </w:tc>
        <w:tc>
          <w:tcPr>
            <w:tcW w:w="641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楷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1</w:t>
            </w:r>
            <w:r>
              <w:rPr>
                <w:rFonts w:ascii="宋体" w:hAnsi="宋体"/>
                <w:sz w:val="22"/>
                <w:szCs w:val="22"/>
                <w:highlight w:val="none"/>
              </w:rPr>
              <w:t>0</w:t>
            </w:r>
          </w:p>
        </w:tc>
        <w:tc>
          <w:tcPr>
            <w:tcW w:w="2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Cs/>
                <w:sz w:val="22"/>
                <w:szCs w:val="22"/>
                <w:highlight w:val="none"/>
              </w:rPr>
            </w:pPr>
            <w:r>
              <w:rPr>
                <w:rFonts w:hint="eastAsia" w:ascii="宋体" w:hAnsi="宋体"/>
                <w:bCs/>
                <w:sz w:val="22"/>
                <w:szCs w:val="22"/>
                <w:highlight w:val="none"/>
              </w:rPr>
              <w:t>投标人代表联系号码</w:t>
            </w:r>
          </w:p>
        </w:tc>
        <w:tc>
          <w:tcPr>
            <w:tcW w:w="641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bCs/>
                <w:spacing w:val="-4"/>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1</w:t>
            </w:r>
            <w:r>
              <w:rPr>
                <w:rFonts w:ascii="宋体" w:hAnsi="宋体"/>
                <w:sz w:val="22"/>
                <w:szCs w:val="22"/>
                <w:highlight w:val="none"/>
              </w:rPr>
              <w:t>1</w:t>
            </w:r>
          </w:p>
        </w:tc>
        <w:tc>
          <w:tcPr>
            <w:tcW w:w="258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Cs/>
                <w:sz w:val="22"/>
                <w:szCs w:val="22"/>
                <w:highlight w:val="none"/>
              </w:rPr>
            </w:pPr>
            <w:r>
              <w:rPr>
                <w:rFonts w:hint="eastAsia" w:ascii="宋体" w:hAnsi="宋体"/>
                <w:bCs/>
                <w:sz w:val="22"/>
                <w:szCs w:val="22"/>
                <w:highlight w:val="none"/>
              </w:rPr>
              <w:t>投标人代表联系邮箱</w:t>
            </w:r>
          </w:p>
        </w:tc>
        <w:tc>
          <w:tcPr>
            <w:tcW w:w="641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bCs/>
                <w:spacing w:val="-4"/>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2"/>
                <w:szCs w:val="22"/>
                <w:highlight w:val="none"/>
              </w:rPr>
            </w:pPr>
            <w:r>
              <w:rPr>
                <w:rFonts w:hint="eastAsia" w:ascii="宋体" w:hAnsi="宋体"/>
                <w:sz w:val="22"/>
                <w:szCs w:val="22"/>
                <w:highlight w:val="none"/>
              </w:rPr>
              <w:t>1</w:t>
            </w:r>
            <w:r>
              <w:rPr>
                <w:rFonts w:ascii="宋体" w:hAnsi="宋体"/>
                <w:sz w:val="22"/>
                <w:szCs w:val="22"/>
                <w:highlight w:val="none"/>
              </w:rPr>
              <w:t>2</w:t>
            </w:r>
          </w:p>
        </w:tc>
        <w:tc>
          <w:tcPr>
            <w:tcW w:w="25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Cs/>
                <w:sz w:val="22"/>
                <w:szCs w:val="22"/>
                <w:highlight w:val="none"/>
              </w:rPr>
            </w:pPr>
            <w:r>
              <w:rPr>
                <w:rFonts w:hint="eastAsia" w:ascii="宋体" w:hAnsi="宋体"/>
                <w:bCs/>
                <w:sz w:val="22"/>
                <w:szCs w:val="22"/>
                <w:highlight w:val="none"/>
              </w:rPr>
              <w:t>开票信息</w:t>
            </w:r>
          </w:p>
          <w:p>
            <w:pPr>
              <w:jc w:val="center"/>
              <w:rPr>
                <w:rFonts w:ascii="宋体" w:hAnsi="宋体"/>
                <w:bCs/>
                <w:sz w:val="22"/>
                <w:szCs w:val="22"/>
                <w:highlight w:val="none"/>
              </w:rPr>
            </w:pPr>
            <w:r>
              <w:rPr>
                <w:rFonts w:hint="eastAsia" w:ascii="宋体" w:hAnsi="宋体"/>
                <w:bCs/>
                <w:sz w:val="22"/>
                <w:szCs w:val="22"/>
                <w:highlight w:val="none"/>
              </w:rPr>
              <w:t>（增值税）</w:t>
            </w:r>
          </w:p>
        </w:tc>
        <w:tc>
          <w:tcPr>
            <w:tcW w:w="641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bCs/>
                <w:spacing w:val="-4"/>
                <w:sz w:val="22"/>
                <w:szCs w:val="22"/>
                <w:highlight w:val="none"/>
              </w:rPr>
            </w:pPr>
          </w:p>
        </w:tc>
      </w:tr>
    </w:tbl>
    <w:p>
      <w:pPr>
        <w:spacing w:line="460" w:lineRule="exact"/>
        <w:ind w:left="216"/>
        <w:rPr>
          <w:rFonts w:ascii="宋体" w:hAnsi="宋体"/>
          <w:b/>
          <w:bCs/>
          <w:sz w:val="22"/>
          <w:szCs w:val="22"/>
          <w:highlight w:val="none"/>
        </w:rPr>
      </w:pPr>
      <w:r>
        <w:rPr>
          <w:rFonts w:hint="eastAsia" w:ascii="宋体" w:hAnsi="宋体"/>
          <w:b/>
          <w:bCs/>
          <w:sz w:val="22"/>
          <w:szCs w:val="22"/>
          <w:highlight w:val="none"/>
        </w:rPr>
        <w:t>特此承诺：上表中的联系方式将作为我方参加此次采购活动的联系方式，其他方式均不作为送达方式。</w:t>
      </w:r>
    </w:p>
    <w:p>
      <w:pPr>
        <w:spacing w:line="460" w:lineRule="exact"/>
        <w:ind w:left="216" w:hanging="216" w:hangingChars="98"/>
        <w:rPr>
          <w:rFonts w:ascii="宋体" w:hAnsi="宋体"/>
          <w:b/>
          <w:bCs/>
          <w:sz w:val="22"/>
          <w:szCs w:val="22"/>
          <w:highlight w:val="none"/>
        </w:rPr>
      </w:pPr>
    </w:p>
    <w:p>
      <w:pPr>
        <w:tabs>
          <w:tab w:val="left" w:pos="840"/>
        </w:tabs>
        <w:adjustRightInd w:val="0"/>
        <w:snapToGrid w:val="0"/>
        <w:spacing w:line="360" w:lineRule="auto"/>
        <w:ind w:left="420" w:leftChars="200" w:firstLine="330" w:firstLineChars="150"/>
        <w:rPr>
          <w:rFonts w:ascii="宋体" w:hAnsi="宋体"/>
          <w:sz w:val="22"/>
          <w:szCs w:val="22"/>
          <w:highlight w:val="none"/>
        </w:rPr>
      </w:pPr>
      <w:r>
        <w:rPr>
          <w:rFonts w:hint="eastAsia" w:ascii="宋体" w:hAnsi="宋体" w:cs="Courier New"/>
          <w:bCs/>
          <w:sz w:val="22"/>
          <w:szCs w:val="22"/>
          <w:highlight w:val="none"/>
        </w:rPr>
        <w:t>投标人全称（盖章）：</w:t>
      </w:r>
    </w:p>
    <w:p>
      <w:pPr>
        <w:tabs>
          <w:tab w:val="left" w:pos="840"/>
        </w:tabs>
        <w:adjustRightInd w:val="0"/>
        <w:snapToGrid w:val="0"/>
        <w:spacing w:line="360" w:lineRule="auto"/>
        <w:ind w:left="420" w:leftChars="200" w:firstLine="330" w:firstLineChars="150"/>
        <w:rPr>
          <w:rFonts w:ascii="宋体" w:hAnsi="宋体"/>
          <w:sz w:val="22"/>
          <w:szCs w:val="22"/>
          <w:highlight w:val="none"/>
        </w:rPr>
      </w:pPr>
      <w:r>
        <w:rPr>
          <w:rFonts w:hint="eastAsia" w:ascii="宋体" w:hAnsi="宋体"/>
          <w:sz w:val="22"/>
          <w:szCs w:val="22"/>
          <w:highlight w:val="none"/>
        </w:rPr>
        <w:t>单位负责人或授权代表（签字或盖章）：</w:t>
      </w:r>
    </w:p>
    <w:p>
      <w:pPr>
        <w:tabs>
          <w:tab w:val="left" w:pos="840"/>
        </w:tabs>
        <w:adjustRightInd w:val="0"/>
        <w:snapToGrid w:val="0"/>
        <w:spacing w:line="360" w:lineRule="auto"/>
        <w:ind w:left="420" w:leftChars="200" w:firstLine="330" w:firstLineChars="150"/>
        <w:rPr>
          <w:rFonts w:ascii="宋体" w:hAnsi="宋体"/>
          <w:sz w:val="22"/>
          <w:szCs w:val="22"/>
          <w:highlight w:val="none"/>
        </w:rPr>
      </w:pPr>
      <w:r>
        <w:rPr>
          <w:rFonts w:hint="eastAsia" w:ascii="宋体" w:hAnsi="宋体"/>
          <w:sz w:val="22"/>
          <w:szCs w:val="22"/>
          <w:highlight w:val="none"/>
        </w:rPr>
        <w:t>日          期：  年  月  日</w:t>
      </w:r>
    </w:p>
    <w:p>
      <w:pPr>
        <w:spacing w:line="460" w:lineRule="exact"/>
        <w:rPr>
          <w:rFonts w:ascii="宋体" w:hAnsi="宋体" w:cs="Courier New"/>
          <w:b/>
          <w:bCs/>
          <w:sz w:val="30"/>
          <w:szCs w:val="30"/>
          <w:highlight w:val="none"/>
        </w:rPr>
      </w:pPr>
      <w:r>
        <w:rPr>
          <w:rFonts w:ascii="宋体" w:hAnsi="宋体"/>
          <w:b/>
          <w:sz w:val="22"/>
          <w:szCs w:val="22"/>
          <w:highlight w:val="none"/>
        </w:rPr>
        <w:br w:type="page"/>
      </w:r>
      <w:r>
        <w:rPr>
          <w:rFonts w:ascii="宋体" w:hAnsi="宋体"/>
          <w:b/>
          <w:bCs/>
          <w:sz w:val="22"/>
          <w:szCs w:val="22"/>
          <w:highlight w:val="none"/>
        </w:rPr>
        <w:t xml:space="preserve"> </w:t>
      </w:r>
      <w:bookmarkStart w:id="246" w:name="_Toc216667829"/>
      <w:bookmarkStart w:id="247" w:name="_Toc219538622"/>
      <w:bookmarkStart w:id="248" w:name="_Toc218041735"/>
      <w:bookmarkStart w:id="249" w:name="_Toc227489896"/>
      <w:bookmarkStart w:id="250" w:name="_Toc215415539"/>
      <w:bookmarkStart w:id="251" w:name="_Toc223933230"/>
      <w:bookmarkStart w:id="252" w:name="_Toc217460694"/>
      <w:bookmarkStart w:id="253" w:name="_Toc227056855"/>
      <w:bookmarkStart w:id="254" w:name="_Toc227057042"/>
      <w:bookmarkStart w:id="255" w:name="_Toc223717613"/>
    </w:p>
    <w:p>
      <w:pPr>
        <w:spacing w:line="460" w:lineRule="exact"/>
        <w:jc w:val="center"/>
        <w:rPr>
          <w:rFonts w:ascii="宋体" w:hAnsi="宋体"/>
          <w:b/>
          <w:bCs/>
          <w:sz w:val="30"/>
          <w:szCs w:val="30"/>
          <w:highlight w:val="none"/>
        </w:rPr>
      </w:pPr>
      <w:r>
        <w:rPr>
          <w:rFonts w:hint="eastAsia" w:ascii="宋体" w:hAnsi="宋体"/>
          <w:b/>
          <w:bCs/>
          <w:sz w:val="30"/>
          <w:szCs w:val="30"/>
          <w:highlight w:val="none"/>
        </w:rPr>
        <w:t>四、采购需求偏离表</w:t>
      </w:r>
    </w:p>
    <w:p>
      <w:pPr>
        <w:spacing w:line="460" w:lineRule="exact"/>
        <w:ind w:firstLine="352" w:firstLineChars="147"/>
        <w:rPr>
          <w:rFonts w:ascii="宋体" w:hAnsi="宋体"/>
          <w:sz w:val="22"/>
          <w:szCs w:val="22"/>
          <w:highlight w:val="none"/>
        </w:rPr>
      </w:pPr>
      <w:r>
        <w:rPr>
          <w:rFonts w:hint="eastAsia" w:ascii="宋体" w:hAnsi="宋体"/>
          <w:sz w:val="24"/>
          <w:highlight w:val="none"/>
        </w:rPr>
        <w:t xml:space="preserve">   </w:t>
      </w:r>
      <w:r>
        <w:rPr>
          <w:rFonts w:hint="eastAsia" w:ascii="宋体" w:hAnsi="宋体"/>
          <w:sz w:val="22"/>
          <w:szCs w:val="22"/>
          <w:highlight w:val="none"/>
        </w:rPr>
        <w:t>项目名称：                                      项目编号：</w:t>
      </w:r>
    </w:p>
    <w:tbl>
      <w:tblPr>
        <w:tblStyle w:val="34"/>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68"/>
        <w:gridCol w:w="1985"/>
        <w:gridCol w:w="2268"/>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704" w:type="dxa"/>
            <w:shd w:val="clear" w:color="auto" w:fill="FFFFFF"/>
            <w:vAlign w:val="center"/>
          </w:tcPr>
          <w:p>
            <w:pPr>
              <w:jc w:val="center"/>
              <w:rPr>
                <w:rFonts w:ascii="宋体" w:hAnsi="宋体"/>
                <w:sz w:val="22"/>
                <w:szCs w:val="22"/>
                <w:highlight w:val="none"/>
              </w:rPr>
            </w:pPr>
            <w:r>
              <w:rPr>
                <w:rFonts w:hint="eastAsia" w:ascii="宋体" w:hAnsi="宋体"/>
                <w:sz w:val="22"/>
                <w:szCs w:val="22"/>
                <w:highlight w:val="none"/>
              </w:rPr>
              <w:t>序号</w:t>
            </w:r>
          </w:p>
        </w:tc>
        <w:tc>
          <w:tcPr>
            <w:tcW w:w="2268" w:type="dxa"/>
            <w:shd w:val="clear" w:color="auto" w:fill="FFFFFF"/>
            <w:vAlign w:val="center"/>
          </w:tcPr>
          <w:p>
            <w:pPr>
              <w:jc w:val="center"/>
              <w:rPr>
                <w:rFonts w:ascii="宋体" w:hAnsi="宋体"/>
                <w:sz w:val="22"/>
                <w:szCs w:val="22"/>
                <w:highlight w:val="none"/>
              </w:rPr>
            </w:pPr>
            <w:r>
              <w:rPr>
                <w:rFonts w:hint="eastAsia" w:ascii="宋体" w:hAnsi="宋体"/>
                <w:sz w:val="22"/>
                <w:szCs w:val="22"/>
                <w:highlight w:val="none"/>
              </w:rPr>
              <w:t>招标文件</w:t>
            </w:r>
          </w:p>
          <w:p>
            <w:pPr>
              <w:jc w:val="center"/>
              <w:rPr>
                <w:rFonts w:ascii="宋体" w:hAnsi="宋体"/>
                <w:sz w:val="22"/>
                <w:szCs w:val="22"/>
                <w:highlight w:val="none"/>
              </w:rPr>
            </w:pPr>
            <w:r>
              <w:rPr>
                <w:rFonts w:hint="eastAsia" w:ascii="宋体" w:hAnsi="宋体"/>
                <w:sz w:val="22"/>
                <w:szCs w:val="22"/>
                <w:highlight w:val="none"/>
              </w:rPr>
              <w:t>规定要求</w:t>
            </w:r>
          </w:p>
        </w:tc>
        <w:tc>
          <w:tcPr>
            <w:tcW w:w="1985" w:type="dxa"/>
            <w:shd w:val="clear" w:color="auto" w:fill="FFFFFF"/>
            <w:vAlign w:val="center"/>
          </w:tcPr>
          <w:p>
            <w:pPr>
              <w:jc w:val="center"/>
              <w:rPr>
                <w:rFonts w:ascii="宋体" w:hAnsi="宋体"/>
                <w:sz w:val="22"/>
                <w:szCs w:val="22"/>
                <w:highlight w:val="none"/>
              </w:rPr>
            </w:pPr>
            <w:r>
              <w:rPr>
                <w:rFonts w:hint="eastAsia" w:ascii="宋体" w:hAnsi="宋体"/>
                <w:sz w:val="22"/>
                <w:szCs w:val="22"/>
                <w:highlight w:val="none"/>
              </w:rPr>
              <w:t>投标文件</w:t>
            </w:r>
          </w:p>
          <w:p>
            <w:pPr>
              <w:jc w:val="center"/>
              <w:rPr>
                <w:rFonts w:ascii="宋体" w:hAnsi="宋体"/>
                <w:sz w:val="22"/>
                <w:szCs w:val="22"/>
                <w:highlight w:val="none"/>
              </w:rPr>
            </w:pPr>
            <w:r>
              <w:rPr>
                <w:rFonts w:hint="eastAsia" w:ascii="宋体" w:hAnsi="宋体"/>
                <w:sz w:val="22"/>
                <w:szCs w:val="22"/>
                <w:highlight w:val="none"/>
              </w:rPr>
              <w:t>对应条款</w:t>
            </w:r>
          </w:p>
        </w:tc>
        <w:tc>
          <w:tcPr>
            <w:tcW w:w="2268" w:type="dxa"/>
            <w:shd w:val="clear" w:color="auto" w:fill="FFFFFF"/>
            <w:vAlign w:val="center"/>
          </w:tcPr>
          <w:p>
            <w:pPr>
              <w:jc w:val="center"/>
              <w:rPr>
                <w:rFonts w:ascii="宋体" w:hAnsi="宋体"/>
                <w:sz w:val="22"/>
                <w:szCs w:val="22"/>
                <w:highlight w:val="none"/>
              </w:rPr>
            </w:pPr>
            <w:r>
              <w:rPr>
                <w:rFonts w:hint="eastAsia" w:ascii="宋体" w:hAnsi="宋体"/>
                <w:sz w:val="22"/>
                <w:szCs w:val="22"/>
                <w:highlight w:val="none"/>
              </w:rPr>
              <w:t>偏离说明</w:t>
            </w:r>
          </w:p>
        </w:tc>
        <w:tc>
          <w:tcPr>
            <w:tcW w:w="2340" w:type="dxa"/>
            <w:shd w:val="clear" w:color="auto" w:fill="FFFFFF"/>
            <w:vAlign w:val="center"/>
          </w:tcPr>
          <w:p>
            <w:pPr>
              <w:jc w:val="center"/>
              <w:rPr>
                <w:rFonts w:ascii="宋体" w:hAnsi="宋体"/>
                <w:sz w:val="22"/>
                <w:szCs w:val="22"/>
                <w:highlight w:val="none"/>
              </w:rPr>
            </w:pPr>
            <w:r>
              <w:rPr>
                <w:rFonts w:hint="eastAsia" w:ascii="宋体" w:hAnsi="宋体"/>
                <w:sz w:val="22"/>
                <w:szCs w:val="22"/>
                <w:highlight w:val="none"/>
              </w:rPr>
              <w:t>偏离情况</w:t>
            </w:r>
          </w:p>
          <w:p>
            <w:pPr>
              <w:jc w:val="center"/>
              <w:rPr>
                <w:rFonts w:ascii="宋体" w:hAnsi="宋体"/>
                <w:sz w:val="22"/>
                <w:szCs w:val="22"/>
                <w:highlight w:val="none"/>
              </w:rPr>
            </w:pPr>
            <w:r>
              <w:rPr>
                <w:rFonts w:hint="eastAsia" w:ascii="宋体" w:hAnsi="宋体"/>
                <w:sz w:val="22"/>
                <w:szCs w:val="22"/>
                <w:highlight w:val="none"/>
              </w:rPr>
              <w:t>（</w:t>
            </w:r>
            <w:r>
              <w:rPr>
                <w:rFonts w:hint="eastAsia" w:ascii="宋体" w:hAnsi="宋体"/>
                <w:b/>
                <w:sz w:val="22"/>
                <w:szCs w:val="22"/>
                <w:highlight w:val="none"/>
              </w:rPr>
              <w:t>填写正偏离、负偏离或无偏离</w:t>
            </w:r>
            <w:r>
              <w:rPr>
                <w:rFonts w:hint="eastAsia" w:ascii="宋体" w:hAnsi="宋体"/>
                <w:sz w:val="22"/>
                <w:szCs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704" w:type="dxa"/>
          </w:tcPr>
          <w:p>
            <w:pPr>
              <w:jc w:val="center"/>
              <w:rPr>
                <w:rFonts w:ascii="宋体" w:hAnsi="宋体"/>
                <w:sz w:val="22"/>
                <w:szCs w:val="22"/>
                <w:highlight w:val="none"/>
              </w:rPr>
            </w:pPr>
          </w:p>
        </w:tc>
        <w:tc>
          <w:tcPr>
            <w:tcW w:w="2268" w:type="dxa"/>
            <w:vAlign w:val="center"/>
          </w:tcPr>
          <w:p>
            <w:pPr>
              <w:jc w:val="center"/>
              <w:rPr>
                <w:rFonts w:ascii="宋体" w:hAnsi="宋体"/>
                <w:sz w:val="22"/>
                <w:szCs w:val="22"/>
                <w:highlight w:val="none"/>
              </w:rPr>
            </w:pPr>
          </w:p>
        </w:tc>
        <w:tc>
          <w:tcPr>
            <w:tcW w:w="1985" w:type="dxa"/>
            <w:vAlign w:val="center"/>
          </w:tcPr>
          <w:p>
            <w:pPr>
              <w:jc w:val="center"/>
              <w:rPr>
                <w:rFonts w:ascii="宋体" w:hAnsi="宋体"/>
                <w:sz w:val="22"/>
                <w:szCs w:val="22"/>
                <w:highlight w:val="none"/>
              </w:rPr>
            </w:pPr>
          </w:p>
        </w:tc>
        <w:tc>
          <w:tcPr>
            <w:tcW w:w="2268" w:type="dxa"/>
            <w:vAlign w:val="center"/>
          </w:tcPr>
          <w:p>
            <w:pPr>
              <w:jc w:val="center"/>
              <w:rPr>
                <w:rFonts w:ascii="宋体" w:hAnsi="宋体"/>
                <w:sz w:val="22"/>
                <w:szCs w:val="22"/>
                <w:highlight w:val="none"/>
              </w:rPr>
            </w:pPr>
          </w:p>
        </w:tc>
        <w:tc>
          <w:tcPr>
            <w:tcW w:w="2340" w:type="dxa"/>
            <w:vAlign w:val="center"/>
          </w:tcPr>
          <w:p>
            <w:pPr>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704" w:type="dxa"/>
          </w:tcPr>
          <w:p>
            <w:pPr>
              <w:jc w:val="center"/>
              <w:rPr>
                <w:rFonts w:ascii="宋体" w:hAnsi="宋体"/>
                <w:sz w:val="22"/>
                <w:szCs w:val="22"/>
                <w:highlight w:val="none"/>
              </w:rPr>
            </w:pPr>
          </w:p>
        </w:tc>
        <w:tc>
          <w:tcPr>
            <w:tcW w:w="2268" w:type="dxa"/>
            <w:vAlign w:val="center"/>
          </w:tcPr>
          <w:p>
            <w:pPr>
              <w:jc w:val="center"/>
              <w:rPr>
                <w:rFonts w:ascii="宋体" w:hAnsi="宋体"/>
                <w:sz w:val="22"/>
                <w:szCs w:val="22"/>
                <w:highlight w:val="none"/>
              </w:rPr>
            </w:pPr>
          </w:p>
        </w:tc>
        <w:tc>
          <w:tcPr>
            <w:tcW w:w="1985" w:type="dxa"/>
            <w:vAlign w:val="center"/>
          </w:tcPr>
          <w:p>
            <w:pPr>
              <w:jc w:val="center"/>
              <w:rPr>
                <w:rFonts w:ascii="宋体" w:hAnsi="宋体"/>
                <w:sz w:val="22"/>
                <w:szCs w:val="22"/>
                <w:highlight w:val="none"/>
              </w:rPr>
            </w:pPr>
          </w:p>
        </w:tc>
        <w:tc>
          <w:tcPr>
            <w:tcW w:w="2268" w:type="dxa"/>
            <w:vAlign w:val="center"/>
          </w:tcPr>
          <w:p>
            <w:pPr>
              <w:jc w:val="center"/>
              <w:rPr>
                <w:rFonts w:ascii="宋体" w:hAnsi="宋体"/>
                <w:sz w:val="22"/>
                <w:szCs w:val="22"/>
                <w:highlight w:val="none"/>
              </w:rPr>
            </w:pPr>
          </w:p>
        </w:tc>
        <w:tc>
          <w:tcPr>
            <w:tcW w:w="2340" w:type="dxa"/>
            <w:vAlign w:val="center"/>
          </w:tcPr>
          <w:p>
            <w:pPr>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704" w:type="dxa"/>
          </w:tcPr>
          <w:p>
            <w:pPr>
              <w:jc w:val="center"/>
              <w:rPr>
                <w:rFonts w:ascii="宋体" w:hAnsi="宋体"/>
                <w:sz w:val="22"/>
                <w:szCs w:val="22"/>
                <w:highlight w:val="none"/>
              </w:rPr>
            </w:pPr>
          </w:p>
        </w:tc>
        <w:tc>
          <w:tcPr>
            <w:tcW w:w="2268" w:type="dxa"/>
            <w:vAlign w:val="center"/>
          </w:tcPr>
          <w:p>
            <w:pPr>
              <w:jc w:val="center"/>
              <w:rPr>
                <w:rFonts w:ascii="宋体" w:hAnsi="宋体"/>
                <w:sz w:val="22"/>
                <w:szCs w:val="22"/>
                <w:highlight w:val="none"/>
              </w:rPr>
            </w:pPr>
          </w:p>
        </w:tc>
        <w:tc>
          <w:tcPr>
            <w:tcW w:w="1985" w:type="dxa"/>
            <w:vAlign w:val="center"/>
          </w:tcPr>
          <w:p>
            <w:pPr>
              <w:jc w:val="center"/>
              <w:rPr>
                <w:rFonts w:ascii="宋体" w:hAnsi="宋体"/>
                <w:sz w:val="22"/>
                <w:szCs w:val="22"/>
                <w:highlight w:val="none"/>
              </w:rPr>
            </w:pPr>
          </w:p>
        </w:tc>
        <w:tc>
          <w:tcPr>
            <w:tcW w:w="2268" w:type="dxa"/>
            <w:vAlign w:val="center"/>
          </w:tcPr>
          <w:p>
            <w:pPr>
              <w:jc w:val="center"/>
              <w:rPr>
                <w:rFonts w:ascii="宋体" w:hAnsi="宋体"/>
                <w:sz w:val="22"/>
                <w:szCs w:val="22"/>
                <w:highlight w:val="none"/>
              </w:rPr>
            </w:pPr>
          </w:p>
        </w:tc>
        <w:tc>
          <w:tcPr>
            <w:tcW w:w="2340" w:type="dxa"/>
            <w:vAlign w:val="center"/>
          </w:tcPr>
          <w:p>
            <w:pPr>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704" w:type="dxa"/>
          </w:tcPr>
          <w:p>
            <w:pPr>
              <w:jc w:val="center"/>
              <w:rPr>
                <w:rFonts w:ascii="宋体" w:hAnsi="宋体"/>
                <w:sz w:val="22"/>
                <w:szCs w:val="22"/>
                <w:highlight w:val="none"/>
              </w:rPr>
            </w:pPr>
          </w:p>
        </w:tc>
        <w:tc>
          <w:tcPr>
            <w:tcW w:w="2268" w:type="dxa"/>
            <w:vAlign w:val="center"/>
          </w:tcPr>
          <w:p>
            <w:pPr>
              <w:jc w:val="center"/>
              <w:rPr>
                <w:rFonts w:ascii="宋体" w:hAnsi="宋体"/>
                <w:sz w:val="22"/>
                <w:szCs w:val="22"/>
                <w:highlight w:val="none"/>
              </w:rPr>
            </w:pPr>
          </w:p>
        </w:tc>
        <w:tc>
          <w:tcPr>
            <w:tcW w:w="1985" w:type="dxa"/>
            <w:vAlign w:val="center"/>
          </w:tcPr>
          <w:p>
            <w:pPr>
              <w:jc w:val="center"/>
              <w:rPr>
                <w:rFonts w:ascii="宋体" w:hAnsi="宋体"/>
                <w:sz w:val="22"/>
                <w:szCs w:val="22"/>
                <w:highlight w:val="none"/>
              </w:rPr>
            </w:pPr>
          </w:p>
        </w:tc>
        <w:tc>
          <w:tcPr>
            <w:tcW w:w="2268" w:type="dxa"/>
            <w:vAlign w:val="center"/>
          </w:tcPr>
          <w:p>
            <w:pPr>
              <w:jc w:val="center"/>
              <w:rPr>
                <w:rFonts w:ascii="宋体" w:hAnsi="宋体"/>
                <w:sz w:val="22"/>
                <w:szCs w:val="22"/>
                <w:highlight w:val="none"/>
              </w:rPr>
            </w:pPr>
          </w:p>
        </w:tc>
        <w:tc>
          <w:tcPr>
            <w:tcW w:w="2340" w:type="dxa"/>
            <w:vAlign w:val="center"/>
          </w:tcPr>
          <w:p>
            <w:pPr>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704" w:type="dxa"/>
          </w:tcPr>
          <w:p>
            <w:pPr>
              <w:jc w:val="center"/>
              <w:rPr>
                <w:rFonts w:ascii="宋体" w:hAnsi="宋体"/>
                <w:sz w:val="22"/>
                <w:szCs w:val="22"/>
                <w:highlight w:val="none"/>
              </w:rPr>
            </w:pPr>
          </w:p>
        </w:tc>
        <w:tc>
          <w:tcPr>
            <w:tcW w:w="2268" w:type="dxa"/>
            <w:vAlign w:val="center"/>
          </w:tcPr>
          <w:p>
            <w:pPr>
              <w:jc w:val="center"/>
              <w:rPr>
                <w:rFonts w:ascii="宋体" w:hAnsi="宋体"/>
                <w:sz w:val="22"/>
                <w:szCs w:val="22"/>
                <w:highlight w:val="none"/>
              </w:rPr>
            </w:pPr>
          </w:p>
        </w:tc>
        <w:tc>
          <w:tcPr>
            <w:tcW w:w="1985" w:type="dxa"/>
            <w:vAlign w:val="center"/>
          </w:tcPr>
          <w:p>
            <w:pPr>
              <w:jc w:val="center"/>
              <w:rPr>
                <w:rFonts w:ascii="宋体" w:hAnsi="宋体"/>
                <w:sz w:val="22"/>
                <w:szCs w:val="22"/>
                <w:highlight w:val="none"/>
              </w:rPr>
            </w:pPr>
          </w:p>
        </w:tc>
        <w:tc>
          <w:tcPr>
            <w:tcW w:w="2268" w:type="dxa"/>
            <w:vAlign w:val="center"/>
          </w:tcPr>
          <w:p>
            <w:pPr>
              <w:jc w:val="center"/>
              <w:rPr>
                <w:rFonts w:ascii="宋体" w:hAnsi="宋体"/>
                <w:sz w:val="22"/>
                <w:szCs w:val="22"/>
                <w:highlight w:val="none"/>
              </w:rPr>
            </w:pPr>
          </w:p>
        </w:tc>
        <w:tc>
          <w:tcPr>
            <w:tcW w:w="2340" w:type="dxa"/>
            <w:vAlign w:val="center"/>
          </w:tcPr>
          <w:p>
            <w:pPr>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704" w:type="dxa"/>
          </w:tcPr>
          <w:p>
            <w:pPr>
              <w:jc w:val="center"/>
              <w:rPr>
                <w:rFonts w:ascii="宋体" w:hAnsi="宋体"/>
                <w:sz w:val="22"/>
                <w:szCs w:val="22"/>
                <w:highlight w:val="none"/>
              </w:rPr>
            </w:pPr>
          </w:p>
        </w:tc>
        <w:tc>
          <w:tcPr>
            <w:tcW w:w="2268" w:type="dxa"/>
            <w:vAlign w:val="center"/>
          </w:tcPr>
          <w:p>
            <w:pPr>
              <w:jc w:val="center"/>
              <w:rPr>
                <w:rFonts w:ascii="宋体" w:hAnsi="宋体"/>
                <w:sz w:val="22"/>
                <w:szCs w:val="22"/>
                <w:highlight w:val="none"/>
              </w:rPr>
            </w:pPr>
          </w:p>
        </w:tc>
        <w:tc>
          <w:tcPr>
            <w:tcW w:w="1985" w:type="dxa"/>
            <w:vAlign w:val="center"/>
          </w:tcPr>
          <w:p>
            <w:pPr>
              <w:jc w:val="center"/>
              <w:rPr>
                <w:rFonts w:ascii="宋体" w:hAnsi="宋体"/>
                <w:sz w:val="22"/>
                <w:szCs w:val="22"/>
                <w:highlight w:val="none"/>
              </w:rPr>
            </w:pPr>
          </w:p>
        </w:tc>
        <w:tc>
          <w:tcPr>
            <w:tcW w:w="2268" w:type="dxa"/>
            <w:vAlign w:val="center"/>
          </w:tcPr>
          <w:p>
            <w:pPr>
              <w:jc w:val="center"/>
              <w:rPr>
                <w:rFonts w:ascii="宋体" w:hAnsi="宋体"/>
                <w:sz w:val="22"/>
                <w:szCs w:val="22"/>
                <w:highlight w:val="none"/>
              </w:rPr>
            </w:pPr>
          </w:p>
        </w:tc>
        <w:tc>
          <w:tcPr>
            <w:tcW w:w="2340" w:type="dxa"/>
            <w:vAlign w:val="center"/>
          </w:tcPr>
          <w:p>
            <w:pPr>
              <w:jc w:val="center"/>
              <w:rPr>
                <w:rFonts w:ascii="宋体" w:hAnsi="宋体"/>
                <w:sz w:val="22"/>
                <w:szCs w:val="22"/>
                <w:highlight w:val="none"/>
              </w:rPr>
            </w:pPr>
          </w:p>
        </w:tc>
      </w:tr>
    </w:tbl>
    <w:p>
      <w:pPr>
        <w:spacing w:line="400" w:lineRule="exact"/>
        <w:ind w:left="221" w:hanging="221" w:hangingChars="100"/>
        <w:rPr>
          <w:rFonts w:ascii="宋体" w:hAnsi="宋体"/>
          <w:b/>
          <w:sz w:val="22"/>
          <w:szCs w:val="22"/>
          <w:highlight w:val="none"/>
        </w:rPr>
      </w:pPr>
      <w:r>
        <w:rPr>
          <w:rFonts w:hint="eastAsia" w:ascii="宋体" w:hAnsi="宋体"/>
          <w:b/>
          <w:sz w:val="22"/>
          <w:szCs w:val="22"/>
          <w:highlight w:val="none"/>
        </w:rPr>
        <w:t>说明：</w:t>
      </w:r>
    </w:p>
    <w:p>
      <w:pPr>
        <w:spacing w:line="400" w:lineRule="exact"/>
        <w:ind w:left="221" w:hanging="221" w:hangingChars="100"/>
        <w:rPr>
          <w:rFonts w:ascii="宋体" w:hAnsi="宋体"/>
          <w:b/>
          <w:sz w:val="22"/>
          <w:szCs w:val="22"/>
          <w:highlight w:val="none"/>
        </w:rPr>
      </w:pPr>
      <w:r>
        <w:rPr>
          <w:rFonts w:hint="eastAsia" w:ascii="宋体" w:hAnsi="宋体"/>
          <w:b/>
          <w:sz w:val="22"/>
          <w:szCs w:val="22"/>
          <w:highlight w:val="none"/>
        </w:rPr>
        <w:t>1.如不填写，则视为完全响应招标文件。</w:t>
      </w:r>
    </w:p>
    <w:p>
      <w:pPr>
        <w:spacing w:line="400" w:lineRule="exact"/>
        <w:ind w:left="221" w:hanging="221" w:hangingChars="100"/>
        <w:rPr>
          <w:rFonts w:ascii="宋体" w:hAnsi="宋体"/>
          <w:b/>
          <w:sz w:val="22"/>
          <w:szCs w:val="22"/>
          <w:highlight w:val="none"/>
        </w:rPr>
      </w:pPr>
      <w:r>
        <w:rPr>
          <w:rFonts w:hint="eastAsia" w:ascii="宋体" w:hAnsi="宋体"/>
          <w:b/>
          <w:sz w:val="22"/>
          <w:szCs w:val="22"/>
          <w:highlight w:val="none"/>
        </w:rPr>
        <w:t>2.如出现偏离，投标人务必如实填写此表，“投标文件对应条款”栏不得复制粘贴，所投内容必须对照招标文件要求详细填写说明，否则存在的风险由投标人自行承担。</w:t>
      </w:r>
    </w:p>
    <w:p>
      <w:pPr>
        <w:spacing w:line="400" w:lineRule="exact"/>
        <w:ind w:left="221" w:hanging="221" w:hangingChars="100"/>
        <w:rPr>
          <w:rFonts w:ascii="宋体" w:hAnsi="宋体"/>
          <w:b/>
          <w:sz w:val="22"/>
          <w:szCs w:val="22"/>
          <w:highlight w:val="none"/>
        </w:rPr>
      </w:pPr>
      <w:r>
        <w:rPr>
          <w:rFonts w:ascii="宋体" w:hAnsi="宋体"/>
          <w:b/>
          <w:sz w:val="22"/>
          <w:szCs w:val="22"/>
          <w:highlight w:val="none"/>
        </w:rPr>
        <w:t>3.</w:t>
      </w:r>
      <w:r>
        <w:rPr>
          <w:rFonts w:hint="eastAsia" w:ascii="宋体" w:hAnsi="宋体"/>
          <w:b/>
          <w:sz w:val="22"/>
          <w:szCs w:val="22"/>
          <w:highlight w:val="none"/>
        </w:rPr>
        <w:t>偏离说明是指对招标文件要求存在不同之处的解释说明。偏离系指：正偏离（高于采购需求）、负偏离（低于采购需求）、无偏离（满足采购需求）。</w:t>
      </w:r>
    </w:p>
    <w:p>
      <w:pPr>
        <w:pStyle w:val="2"/>
        <w:rPr>
          <w:rFonts w:ascii="宋体" w:hAnsi="宋体" w:eastAsia="宋体"/>
          <w:highlight w:val="none"/>
        </w:rPr>
      </w:pPr>
    </w:p>
    <w:p>
      <w:pPr>
        <w:spacing w:line="400" w:lineRule="exact"/>
        <w:rPr>
          <w:rFonts w:ascii="宋体" w:hAnsi="宋体"/>
          <w:b/>
          <w:sz w:val="22"/>
          <w:szCs w:val="22"/>
          <w:highlight w:val="none"/>
          <w:u w:val="single"/>
        </w:rPr>
      </w:pPr>
      <w:r>
        <w:rPr>
          <w:rFonts w:hint="eastAsia" w:ascii="宋体" w:hAnsi="宋体"/>
          <w:b/>
          <w:sz w:val="22"/>
          <w:szCs w:val="22"/>
          <w:highlight w:val="none"/>
          <w:u w:val="single"/>
          <w:lang w:eastAsia="zh-CN"/>
        </w:rPr>
        <w:t>▲</w:t>
      </w:r>
      <w:r>
        <w:rPr>
          <w:rFonts w:hint="eastAsia" w:ascii="宋体" w:hAnsi="宋体"/>
          <w:b/>
          <w:sz w:val="22"/>
          <w:szCs w:val="22"/>
          <w:highlight w:val="none"/>
          <w:u w:val="single"/>
        </w:rPr>
        <w:t>不提供此表的投标文件将被视为未实质性响应招标文件，其</w:t>
      </w:r>
      <w:r>
        <w:rPr>
          <w:rFonts w:hint="eastAsia" w:ascii="宋体" w:hAnsi="宋体"/>
          <w:b/>
          <w:bCs/>
          <w:sz w:val="22"/>
          <w:szCs w:val="22"/>
          <w:highlight w:val="none"/>
          <w:u w:val="single"/>
        </w:rPr>
        <w:t>投标无效</w:t>
      </w:r>
      <w:r>
        <w:rPr>
          <w:rFonts w:hint="eastAsia" w:ascii="宋体" w:hAnsi="宋体"/>
          <w:b/>
          <w:sz w:val="22"/>
          <w:szCs w:val="22"/>
          <w:highlight w:val="none"/>
          <w:u w:val="single"/>
        </w:rPr>
        <w:t>。</w:t>
      </w:r>
    </w:p>
    <w:p>
      <w:pPr>
        <w:spacing w:line="400" w:lineRule="exact"/>
        <w:rPr>
          <w:rFonts w:ascii="宋体" w:hAnsi="宋体"/>
          <w:sz w:val="22"/>
          <w:szCs w:val="22"/>
          <w:highlight w:val="none"/>
        </w:rPr>
      </w:pPr>
    </w:p>
    <w:p>
      <w:pPr>
        <w:spacing w:line="400" w:lineRule="exact"/>
        <w:rPr>
          <w:rFonts w:ascii="宋体" w:hAnsi="宋体"/>
          <w:sz w:val="22"/>
          <w:szCs w:val="22"/>
          <w:highlight w:val="none"/>
        </w:rPr>
      </w:pPr>
    </w:p>
    <w:p>
      <w:pPr>
        <w:tabs>
          <w:tab w:val="left" w:pos="840"/>
        </w:tabs>
        <w:adjustRightInd w:val="0"/>
        <w:snapToGrid w:val="0"/>
        <w:spacing w:line="360" w:lineRule="auto"/>
        <w:ind w:left="420" w:leftChars="200" w:firstLine="330" w:firstLineChars="150"/>
        <w:rPr>
          <w:rFonts w:ascii="宋体" w:hAnsi="宋体"/>
          <w:sz w:val="22"/>
          <w:szCs w:val="22"/>
          <w:highlight w:val="none"/>
        </w:rPr>
      </w:pPr>
      <w:r>
        <w:rPr>
          <w:rFonts w:hint="eastAsia" w:ascii="宋体" w:hAnsi="宋体"/>
          <w:sz w:val="22"/>
          <w:szCs w:val="22"/>
          <w:highlight w:val="none"/>
        </w:rPr>
        <w:t>投标人全称（盖章）：</w:t>
      </w:r>
    </w:p>
    <w:p>
      <w:pPr>
        <w:tabs>
          <w:tab w:val="left" w:pos="840"/>
        </w:tabs>
        <w:adjustRightInd w:val="0"/>
        <w:snapToGrid w:val="0"/>
        <w:spacing w:line="360" w:lineRule="auto"/>
        <w:ind w:left="420" w:leftChars="200" w:firstLine="330" w:firstLineChars="150"/>
        <w:rPr>
          <w:rFonts w:ascii="宋体" w:hAnsi="宋体"/>
          <w:sz w:val="22"/>
          <w:szCs w:val="22"/>
          <w:highlight w:val="none"/>
        </w:rPr>
      </w:pPr>
      <w:r>
        <w:rPr>
          <w:rFonts w:hint="eastAsia" w:ascii="宋体" w:hAnsi="宋体"/>
          <w:sz w:val="22"/>
          <w:szCs w:val="22"/>
          <w:highlight w:val="none"/>
        </w:rPr>
        <w:t>单位负责人或授权代表（签字或盖章）：</w:t>
      </w:r>
    </w:p>
    <w:p>
      <w:pPr>
        <w:tabs>
          <w:tab w:val="left" w:pos="840"/>
        </w:tabs>
        <w:adjustRightInd w:val="0"/>
        <w:snapToGrid w:val="0"/>
        <w:spacing w:line="360" w:lineRule="auto"/>
        <w:ind w:left="420" w:leftChars="200" w:firstLine="330" w:firstLineChars="150"/>
        <w:rPr>
          <w:rFonts w:ascii="宋体" w:hAnsi="宋体"/>
          <w:sz w:val="22"/>
          <w:szCs w:val="22"/>
          <w:highlight w:val="none"/>
        </w:rPr>
      </w:pPr>
      <w:r>
        <w:rPr>
          <w:rFonts w:hint="eastAsia" w:ascii="宋体" w:hAnsi="宋体"/>
          <w:sz w:val="22"/>
          <w:szCs w:val="22"/>
          <w:highlight w:val="none"/>
        </w:rPr>
        <w:t>日          期：  年  月  日</w:t>
      </w:r>
    </w:p>
    <w:p>
      <w:pPr>
        <w:pStyle w:val="12"/>
        <w:rPr>
          <w:rFonts w:ascii="宋体" w:hAnsi="宋体" w:eastAsia="宋体"/>
          <w:b/>
          <w:sz w:val="28"/>
          <w:szCs w:val="28"/>
          <w:highlight w:val="none"/>
        </w:rPr>
      </w:pPr>
      <w:r>
        <w:rPr>
          <w:rFonts w:ascii="宋体" w:hAnsi="宋体" w:eastAsia="宋体"/>
          <w:b/>
          <w:bCs/>
          <w:sz w:val="22"/>
          <w:szCs w:val="22"/>
          <w:highlight w:val="none"/>
        </w:rPr>
        <w:br w:type="page"/>
      </w:r>
    </w:p>
    <w:p>
      <w:pPr>
        <w:spacing w:line="460" w:lineRule="exact"/>
        <w:jc w:val="center"/>
        <w:rPr>
          <w:rFonts w:ascii="宋体" w:hAnsi="宋体"/>
          <w:b/>
          <w:bCs/>
          <w:sz w:val="30"/>
          <w:szCs w:val="30"/>
          <w:highlight w:val="none"/>
        </w:rPr>
      </w:pPr>
      <w:r>
        <w:rPr>
          <w:rFonts w:hint="eastAsia" w:ascii="宋体" w:hAnsi="宋体"/>
          <w:b/>
          <w:bCs/>
          <w:sz w:val="30"/>
          <w:szCs w:val="30"/>
          <w:highlight w:val="none"/>
        </w:rPr>
        <w:t>五、供货范围详细清单</w:t>
      </w:r>
    </w:p>
    <w:p>
      <w:pPr>
        <w:rPr>
          <w:rFonts w:ascii="宋体" w:hAnsi="宋体"/>
          <w:sz w:val="22"/>
          <w:szCs w:val="22"/>
          <w:highlight w:val="none"/>
        </w:rPr>
      </w:pPr>
      <w:r>
        <w:rPr>
          <w:rFonts w:hint="eastAsia" w:ascii="宋体" w:hAnsi="宋体"/>
          <w:sz w:val="24"/>
          <w:highlight w:val="none"/>
        </w:rPr>
        <w:t xml:space="preserve"> </w:t>
      </w:r>
      <w:r>
        <w:rPr>
          <w:rFonts w:hint="eastAsia" w:ascii="宋体" w:hAnsi="宋体"/>
          <w:sz w:val="22"/>
          <w:szCs w:val="22"/>
          <w:highlight w:val="none"/>
        </w:rPr>
        <w:t xml:space="preserve">  </w:t>
      </w:r>
      <w:r>
        <w:rPr>
          <w:rFonts w:ascii="宋体" w:hAnsi="宋体"/>
          <w:sz w:val="22"/>
          <w:szCs w:val="22"/>
          <w:highlight w:val="none"/>
        </w:rPr>
        <w:t xml:space="preserve">  </w:t>
      </w:r>
      <w:r>
        <w:rPr>
          <w:rFonts w:hint="eastAsia" w:ascii="宋体" w:hAnsi="宋体"/>
          <w:sz w:val="22"/>
          <w:szCs w:val="22"/>
          <w:highlight w:val="none"/>
        </w:rPr>
        <w:t>项目名称：                                      项目编号：</w:t>
      </w:r>
    </w:p>
    <w:tbl>
      <w:tblPr>
        <w:tblStyle w:val="34"/>
        <w:tblW w:w="96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4"/>
        <w:gridCol w:w="1851"/>
        <w:gridCol w:w="935"/>
        <w:gridCol w:w="940"/>
        <w:gridCol w:w="1143"/>
        <w:gridCol w:w="718"/>
        <w:gridCol w:w="825"/>
        <w:gridCol w:w="1676"/>
        <w:gridCol w:w="103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r>
              <w:rPr>
                <w:rFonts w:hint="eastAsia" w:ascii="宋体" w:hAnsi="宋体"/>
                <w:sz w:val="22"/>
                <w:szCs w:val="22"/>
                <w:highlight w:val="none"/>
              </w:rPr>
              <w:t>序号</w:t>
            </w: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r>
              <w:rPr>
                <w:rFonts w:hint="eastAsia" w:ascii="宋体" w:hAnsi="宋体"/>
                <w:sz w:val="22"/>
                <w:szCs w:val="22"/>
                <w:highlight w:val="none"/>
              </w:rPr>
              <w:t>产品名称</w:t>
            </w: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r>
              <w:rPr>
                <w:rFonts w:hint="eastAsia" w:ascii="宋体" w:hAnsi="宋体"/>
                <w:sz w:val="22"/>
                <w:szCs w:val="22"/>
                <w:highlight w:val="none"/>
              </w:rPr>
              <w:t>品牌</w:t>
            </w:r>
          </w:p>
        </w:tc>
        <w:tc>
          <w:tcPr>
            <w:tcW w:w="94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r>
              <w:rPr>
                <w:rFonts w:hint="eastAsia" w:ascii="宋体" w:hAnsi="宋体"/>
                <w:sz w:val="22"/>
                <w:szCs w:val="22"/>
                <w:highlight w:val="none"/>
              </w:rPr>
              <w:t>产地</w:t>
            </w: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r>
              <w:rPr>
                <w:rFonts w:hint="eastAsia" w:ascii="宋体" w:hAnsi="宋体"/>
                <w:sz w:val="22"/>
                <w:szCs w:val="22"/>
                <w:highlight w:val="none"/>
              </w:rPr>
              <w:t>规格</w:t>
            </w:r>
          </w:p>
          <w:p>
            <w:pPr>
              <w:snapToGrid w:val="0"/>
              <w:spacing w:before="50" w:after="50"/>
              <w:jc w:val="center"/>
              <w:rPr>
                <w:rFonts w:ascii="宋体" w:hAnsi="宋体"/>
                <w:sz w:val="22"/>
                <w:szCs w:val="22"/>
                <w:highlight w:val="none"/>
              </w:rPr>
            </w:pPr>
            <w:r>
              <w:rPr>
                <w:rFonts w:hint="eastAsia" w:ascii="宋体" w:hAnsi="宋体"/>
                <w:sz w:val="22"/>
                <w:szCs w:val="22"/>
                <w:highlight w:val="none"/>
              </w:rPr>
              <w:t>型号</w:t>
            </w: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r>
              <w:rPr>
                <w:rFonts w:hint="eastAsia" w:ascii="宋体" w:hAnsi="宋体"/>
                <w:sz w:val="22"/>
                <w:szCs w:val="22"/>
                <w:highlight w:val="none"/>
              </w:rPr>
              <w:t>单位</w:t>
            </w: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r>
              <w:rPr>
                <w:rFonts w:hint="eastAsia" w:ascii="宋体" w:hAnsi="宋体"/>
                <w:sz w:val="22"/>
                <w:szCs w:val="22"/>
                <w:highlight w:val="none"/>
              </w:rPr>
              <w:t>数量</w:t>
            </w: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r>
              <w:rPr>
                <w:rFonts w:hint="eastAsia" w:ascii="宋体" w:hAnsi="宋体"/>
                <w:sz w:val="22"/>
                <w:szCs w:val="22"/>
                <w:highlight w:val="none"/>
              </w:rPr>
              <w:t>性能及指标</w:t>
            </w:r>
          </w:p>
        </w:tc>
        <w:tc>
          <w:tcPr>
            <w:tcW w:w="1031" w:type="dxa"/>
            <w:tcBorders>
              <w:top w:val="single" w:color="auto" w:sz="4" w:space="0"/>
              <w:left w:val="single" w:color="auto" w:sz="4" w:space="0"/>
              <w:bottom w:val="single" w:color="auto" w:sz="4" w:space="0"/>
              <w:right w:val="single" w:color="auto" w:sz="4" w:space="0"/>
            </w:tcBorders>
            <w:vAlign w:val="center"/>
          </w:tcPr>
          <w:p>
            <w:pPr>
              <w:ind w:right="-11"/>
              <w:jc w:val="center"/>
              <w:rPr>
                <w:rFonts w:ascii="宋体" w:hAnsi="宋体"/>
                <w:b/>
                <w:sz w:val="22"/>
                <w:szCs w:val="22"/>
                <w:highlight w:val="none"/>
              </w:rPr>
            </w:pPr>
            <w:r>
              <w:rPr>
                <w:rFonts w:hint="eastAsia" w:ascii="宋体" w:hAnsi="宋体"/>
                <w:b/>
                <w:sz w:val="22"/>
                <w:szCs w:val="22"/>
                <w:highlight w:val="none"/>
              </w:rPr>
              <w:t>免费</w:t>
            </w:r>
          </w:p>
          <w:p>
            <w:pPr>
              <w:snapToGrid w:val="0"/>
              <w:spacing w:before="50" w:after="50"/>
              <w:jc w:val="center"/>
              <w:rPr>
                <w:rFonts w:ascii="宋体" w:hAnsi="宋体"/>
                <w:sz w:val="22"/>
                <w:szCs w:val="22"/>
                <w:highlight w:val="none"/>
              </w:rPr>
            </w:pPr>
            <w:r>
              <w:rPr>
                <w:rFonts w:hint="eastAsia" w:ascii="宋体" w:hAnsi="宋体"/>
                <w:b/>
                <w:sz w:val="22"/>
                <w:szCs w:val="22"/>
                <w:highlight w:val="none"/>
              </w:rPr>
              <w:t>质保期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8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93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sz w:val="22"/>
                <w:szCs w:val="22"/>
                <w:highlight w:val="none"/>
              </w:rPr>
            </w:pPr>
          </w:p>
        </w:tc>
        <w:tc>
          <w:tcPr>
            <w:tcW w:w="940"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ascii="宋体" w:hAnsi="宋体"/>
                <w:sz w:val="22"/>
                <w:szCs w:val="22"/>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67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c>
          <w:tcPr>
            <w:tcW w:w="103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 w:val="22"/>
                <w:szCs w:val="22"/>
                <w:highlight w:val="none"/>
              </w:rPr>
            </w:pPr>
          </w:p>
        </w:tc>
      </w:tr>
    </w:tbl>
    <w:p>
      <w:pPr>
        <w:spacing w:line="360" w:lineRule="auto"/>
        <w:rPr>
          <w:rFonts w:ascii="宋体" w:hAnsi="宋体"/>
          <w:sz w:val="22"/>
          <w:szCs w:val="22"/>
          <w:highlight w:val="none"/>
        </w:rPr>
      </w:pPr>
      <w:r>
        <w:rPr>
          <w:rFonts w:hint="eastAsia" w:ascii="宋体" w:hAnsi="宋体"/>
          <w:sz w:val="22"/>
          <w:szCs w:val="22"/>
          <w:highlight w:val="none"/>
        </w:rPr>
        <w:t>注：1、表中的产品名称需按采购内容分项填写；</w:t>
      </w:r>
    </w:p>
    <w:p>
      <w:pPr>
        <w:spacing w:line="360" w:lineRule="auto"/>
        <w:ind w:firstLine="440" w:firstLineChars="200"/>
        <w:rPr>
          <w:rFonts w:ascii="宋体" w:hAnsi="宋体"/>
          <w:sz w:val="22"/>
          <w:szCs w:val="22"/>
          <w:highlight w:val="none"/>
        </w:rPr>
      </w:pPr>
      <w:r>
        <w:rPr>
          <w:rFonts w:hint="eastAsia" w:ascii="宋体" w:hAnsi="宋体"/>
          <w:sz w:val="22"/>
          <w:szCs w:val="22"/>
          <w:highlight w:val="none"/>
        </w:rPr>
        <w:t>2、投标人可按以上表格形式进行复制，附在商务技术文件内。</w:t>
      </w:r>
    </w:p>
    <w:p>
      <w:pPr>
        <w:spacing w:line="360" w:lineRule="auto"/>
        <w:ind w:firstLine="440" w:firstLineChars="200"/>
        <w:rPr>
          <w:rFonts w:ascii="宋体" w:hAnsi="宋体"/>
          <w:sz w:val="22"/>
          <w:szCs w:val="22"/>
          <w:highlight w:val="none"/>
        </w:rPr>
      </w:pPr>
    </w:p>
    <w:p>
      <w:pPr>
        <w:tabs>
          <w:tab w:val="left" w:pos="840"/>
        </w:tabs>
        <w:adjustRightInd w:val="0"/>
        <w:snapToGrid w:val="0"/>
        <w:spacing w:line="360" w:lineRule="auto"/>
        <w:ind w:left="420" w:leftChars="200" w:firstLine="330" w:firstLineChars="150"/>
        <w:rPr>
          <w:rFonts w:ascii="宋体" w:hAnsi="宋体"/>
          <w:sz w:val="22"/>
          <w:szCs w:val="22"/>
          <w:highlight w:val="none"/>
        </w:rPr>
      </w:pPr>
      <w:r>
        <w:rPr>
          <w:rFonts w:hint="eastAsia" w:ascii="宋体" w:hAnsi="宋体"/>
          <w:sz w:val="22"/>
          <w:szCs w:val="22"/>
          <w:highlight w:val="none"/>
        </w:rPr>
        <w:t>投标人全称（盖章）：</w:t>
      </w:r>
    </w:p>
    <w:p>
      <w:pPr>
        <w:tabs>
          <w:tab w:val="left" w:pos="840"/>
        </w:tabs>
        <w:adjustRightInd w:val="0"/>
        <w:snapToGrid w:val="0"/>
        <w:spacing w:line="360" w:lineRule="auto"/>
        <w:ind w:left="420" w:leftChars="200" w:firstLine="330" w:firstLineChars="150"/>
        <w:rPr>
          <w:rFonts w:ascii="宋体" w:hAnsi="宋体"/>
          <w:sz w:val="22"/>
          <w:szCs w:val="22"/>
          <w:highlight w:val="none"/>
        </w:rPr>
      </w:pPr>
      <w:r>
        <w:rPr>
          <w:rFonts w:hint="eastAsia" w:ascii="宋体" w:hAnsi="宋体"/>
          <w:sz w:val="22"/>
          <w:szCs w:val="22"/>
          <w:highlight w:val="none"/>
        </w:rPr>
        <w:t>单位负责人或授权代表（签字或盖章）：</w:t>
      </w:r>
    </w:p>
    <w:p>
      <w:pPr>
        <w:tabs>
          <w:tab w:val="left" w:pos="840"/>
        </w:tabs>
        <w:adjustRightInd w:val="0"/>
        <w:snapToGrid w:val="0"/>
        <w:spacing w:line="360" w:lineRule="auto"/>
        <w:ind w:left="420" w:leftChars="200" w:firstLine="330" w:firstLineChars="150"/>
        <w:rPr>
          <w:rFonts w:ascii="宋体" w:hAnsi="宋体"/>
          <w:sz w:val="22"/>
          <w:szCs w:val="22"/>
          <w:highlight w:val="none"/>
        </w:rPr>
      </w:pPr>
      <w:r>
        <w:rPr>
          <w:rFonts w:hint="eastAsia" w:ascii="宋体" w:hAnsi="宋体"/>
          <w:sz w:val="22"/>
          <w:szCs w:val="22"/>
          <w:highlight w:val="none"/>
        </w:rPr>
        <w:t>日          期：  年  月  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b/>
          <w:bCs/>
          <w:sz w:val="30"/>
          <w:szCs w:val="30"/>
          <w:highlight w:val="none"/>
        </w:rPr>
      </w:pPr>
    </w:p>
    <w:p>
      <w:pPr>
        <w:rPr>
          <w:rFonts w:hint="eastAsia" w:ascii="宋体" w:hAnsi="宋体"/>
          <w:b/>
          <w:bCs/>
          <w:sz w:val="30"/>
          <w:szCs w:val="30"/>
          <w:highlight w:val="none"/>
        </w:rPr>
      </w:pPr>
      <w:r>
        <w:rPr>
          <w:rFonts w:hint="eastAsia" w:ascii="宋体" w:hAnsi="宋体"/>
          <w:b/>
          <w:bCs/>
          <w:sz w:val="30"/>
          <w:szCs w:val="30"/>
          <w:highlight w:val="none"/>
        </w:rPr>
        <w:br w:type="page"/>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b/>
          <w:bCs/>
          <w:sz w:val="30"/>
          <w:szCs w:val="30"/>
          <w:highlight w:val="none"/>
        </w:rPr>
      </w:pPr>
      <w:r>
        <w:rPr>
          <w:rFonts w:hint="eastAsia" w:ascii="宋体" w:hAnsi="宋体"/>
          <w:b/>
          <w:bCs/>
          <w:sz w:val="30"/>
          <w:szCs w:val="30"/>
          <w:highlight w:val="none"/>
          <w:lang w:val="en-US" w:eastAsia="zh-CN"/>
        </w:rPr>
        <w:t>六、</w:t>
      </w:r>
      <w:r>
        <w:rPr>
          <w:rFonts w:hint="eastAsia" w:ascii="宋体" w:hAnsi="宋体"/>
          <w:b/>
          <w:bCs/>
          <w:sz w:val="30"/>
          <w:szCs w:val="30"/>
          <w:highlight w:val="none"/>
          <w:lang w:eastAsia="zh-CN"/>
        </w:rPr>
        <w:t>拟派项目人员</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b/>
          <w:bCs/>
          <w:sz w:val="30"/>
          <w:szCs w:val="30"/>
          <w:highlight w:val="none"/>
          <w:lang w:eastAsia="zh-CN"/>
        </w:rPr>
      </w:pPr>
      <w:r>
        <w:rPr>
          <w:rFonts w:hint="eastAsia" w:ascii="宋体" w:hAnsi="宋体" w:eastAsia="宋体" w:cs="Times New Roman"/>
          <w:b/>
          <w:bCs/>
          <w:sz w:val="30"/>
          <w:szCs w:val="30"/>
          <w:highlight w:val="none"/>
          <w:lang w:val="en-US" w:eastAsia="zh-CN"/>
        </w:rPr>
        <w:t>（1）</w:t>
      </w:r>
      <w:r>
        <w:rPr>
          <w:rFonts w:hint="eastAsia" w:ascii="宋体" w:hAnsi="宋体" w:eastAsia="宋体" w:cs="Times New Roman"/>
          <w:b/>
          <w:bCs/>
          <w:sz w:val="30"/>
          <w:szCs w:val="30"/>
          <w:highlight w:val="none"/>
        </w:rPr>
        <w:t>项目</w:t>
      </w:r>
      <w:r>
        <w:rPr>
          <w:rFonts w:hint="eastAsia" w:ascii="宋体" w:hAnsi="宋体" w:eastAsia="宋体" w:cs="Times New Roman"/>
          <w:b/>
          <w:bCs/>
          <w:sz w:val="30"/>
          <w:szCs w:val="30"/>
          <w:highlight w:val="none"/>
          <w:lang w:val="en-US" w:eastAsia="zh-CN"/>
        </w:rPr>
        <w:t>负责人</w:t>
      </w:r>
    </w:p>
    <w:p>
      <w:pPr>
        <w:spacing w:line="380" w:lineRule="exact"/>
        <w:ind w:firstLine="990" w:firstLineChars="450"/>
        <w:rPr>
          <w:rFonts w:ascii="宋体" w:hAnsi="宋体"/>
          <w:sz w:val="22"/>
          <w:highlight w:val="none"/>
        </w:rPr>
      </w:pPr>
      <w:r>
        <w:rPr>
          <w:rFonts w:hint="eastAsia" w:ascii="宋体" w:hAnsi="宋体"/>
          <w:sz w:val="22"/>
          <w:highlight w:val="none"/>
        </w:rPr>
        <w:t>项目名称：                                     项目编号：</w:t>
      </w:r>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Layout w:type="fixed"/>
        <w:tblCellMar>
          <w:top w:w="0" w:type="dxa"/>
          <w:left w:w="108" w:type="dxa"/>
          <w:bottom w:w="0" w:type="dxa"/>
          <w:right w:w="108" w:type="dxa"/>
        </w:tblCellMar>
      </w:tblPr>
      <w:tblGrid>
        <w:gridCol w:w="1018"/>
        <w:gridCol w:w="439"/>
        <w:gridCol w:w="1799"/>
        <w:gridCol w:w="1189"/>
        <w:gridCol w:w="378"/>
        <w:gridCol w:w="1062"/>
        <w:gridCol w:w="2074"/>
        <w:gridCol w:w="1568"/>
      </w:tblGrid>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9527" w:type="dxa"/>
            <w:gridSpan w:val="8"/>
            <w:tcBorders>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1、一般情况</w:t>
            </w: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1457" w:type="dxa"/>
            <w:gridSpan w:val="2"/>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姓   名</w:t>
            </w:r>
          </w:p>
        </w:tc>
        <w:tc>
          <w:tcPr>
            <w:tcW w:w="1799" w:type="dxa"/>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p>
        </w:tc>
        <w:tc>
          <w:tcPr>
            <w:tcW w:w="1567" w:type="dxa"/>
            <w:gridSpan w:val="2"/>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年  龄</w:t>
            </w:r>
          </w:p>
        </w:tc>
        <w:tc>
          <w:tcPr>
            <w:tcW w:w="1062" w:type="dxa"/>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p>
        </w:tc>
        <w:tc>
          <w:tcPr>
            <w:tcW w:w="2074" w:type="dxa"/>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学  历</w:t>
            </w:r>
          </w:p>
        </w:tc>
        <w:tc>
          <w:tcPr>
            <w:tcW w:w="1568" w:type="dxa"/>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1457" w:type="dxa"/>
            <w:gridSpan w:val="2"/>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毕业学校</w:t>
            </w:r>
          </w:p>
        </w:tc>
        <w:tc>
          <w:tcPr>
            <w:tcW w:w="1799" w:type="dxa"/>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1567" w:type="dxa"/>
            <w:gridSpan w:val="2"/>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专  业</w:t>
            </w:r>
          </w:p>
        </w:tc>
        <w:tc>
          <w:tcPr>
            <w:tcW w:w="1062" w:type="dxa"/>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p>
        </w:tc>
        <w:tc>
          <w:tcPr>
            <w:tcW w:w="2074" w:type="dxa"/>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职  务</w:t>
            </w:r>
          </w:p>
        </w:tc>
        <w:tc>
          <w:tcPr>
            <w:tcW w:w="1568" w:type="dxa"/>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1457" w:type="dxa"/>
            <w:gridSpan w:val="2"/>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职  称</w:t>
            </w:r>
          </w:p>
        </w:tc>
        <w:tc>
          <w:tcPr>
            <w:tcW w:w="1799" w:type="dxa"/>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1567" w:type="dxa"/>
            <w:gridSpan w:val="2"/>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拟任何职</w:t>
            </w:r>
          </w:p>
        </w:tc>
        <w:tc>
          <w:tcPr>
            <w:tcW w:w="1062" w:type="dxa"/>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p>
        </w:tc>
        <w:tc>
          <w:tcPr>
            <w:tcW w:w="2074" w:type="dxa"/>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参加工作</w:t>
            </w:r>
          </w:p>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时间</w:t>
            </w:r>
          </w:p>
        </w:tc>
        <w:tc>
          <w:tcPr>
            <w:tcW w:w="1568" w:type="dxa"/>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9527" w:type="dxa"/>
            <w:gridSpan w:val="8"/>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2、个人简历</w:t>
            </w: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1457" w:type="dxa"/>
            <w:gridSpan w:val="2"/>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时  间</w:t>
            </w:r>
          </w:p>
        </w:tc>
        <w:tc>
          <w:tcPr>
            <w:tcW w:w="8070" w:type="dxa"/>
            <w:gridSpan w:val="6"/>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专业工作经历</w:t>
            </w: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1457" w:type="dxa"/>
            <w:gridSpan w:val="2"/>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8070" w:type="dxa"/>
            <w:gridSpan w:val="6"/>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1457" w:type="dxa"/>
            <w:gridSpan w:val="2"/>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8070" w:type="dxa"/>
            <w:gridSpan w:val="6"/>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9527" w:type="dxa"/>
            <w:gridSpan w:val="8"/>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3、项目负责人业绩</w:t>
            </w: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1018" w:type="dxa"/>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序号</w:t>
            </w:r>
          </w:p>
        </w:tc>
        <w:tc>
          <w:tcPr>
            <w:tcW w:w="3427" w:type="dxa"/>
            <w:gridSpan w:val="3"/>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项  目  名  称</w:t>
            </w:r>
          </w:p>
        </w:tc>
        <w:tc>
          <w:tcPr>
            <w:tcW w:w="1440" w:type="dxa"/>
            <w:gridSpan w:val="2"/>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完成年份</w:t>
            </w:r>
          </w:p>
        </w:tc>
        <w:tc>
          <w:tcPr>
            <w:tcW w:w="3642" w:type="dxa"/>
            <w:gridSpan w:val="2"/>
            <w:tcBorders>
              <w:top w:val="single" w:color="auto" w:sz="4" w:space="0"/>
              <w:bottom w:val="single" w:color="auto" w:sz="4" w:space="0"/>
            </w:tcBorders>
            <w:noWrap w:val="0"/>
            <w:vAlign w:val="center"/>
          </w:tcPr>
          <w:p>
            <w:pPr>
              <w:spacing w:line="360" w:lineRule="exact"/>
              <w:jc w:val="center"/>
              <w:rPr>
                <w:rFonts w:hint="eastAsia" w:eastAsia="新宋体"/>
                <w:color w:val="auto"/>
                <w:sz w:val="22"/>
                <w:szCs w:val="22"/>
                <w:highlight w:val="none"/>
              </w:rPr>
            </w:pPr>
            <w:r>
              <w:rPr>
                <w:rFonts w:hint="eastAsia" w:eastAsia="新宋体"/>
                <w:color w:val="auto"/>
                <w:sz w:val="22"/>
                <w:szCs w:val="22"/>
                <w:highlight w:val="none"/>
              </w:rPr>
              <w:t>获奖情况</w:t>
            </w: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1018" w:type="dxa"/>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3427" w:type="dxa"/>
            <w:gridSpan w:val="3"/>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1440" w:type="dxa"/>
            <w:gridSpan w:val="2"/>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3642" w:type="dxa"/>
            <w:gridSpan w:val="2"/>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1018" w:type="dxa"/>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3427" w:type="dxa"/>
            <w:gridSpan w:val="3"/>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1440" w:type="dxa"/>
            <w:gridSpan w:val="2"/>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3642" w:type="dxa"/>
            <w:gridSpan w:val="2"/>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1018" w:type="dxa"/>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3427" w:type="dxa"/>
            <w:gridSpan w:val="3"/>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1440" w:type="dxa"/>
            <w:gridSpan w:val="2"/>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c>
          <w:tcPr>
            <w:tcW w:w="3642" w:type="dxa"/>
            <w:gridSpan w:val="2"/>
            <w:tcBorders>
              <w:top w:val="single" w:color="auto" w:sz="4" w:space="0"/>
              <w:bottom w:val="single" w:color="auto" w:sz="4" w:space="0"/>
            </w:tcBorders>
            <w:noWrap w:val="0"/>
            <w:vAlign w:val="center"/>
          </w:tcPr>
          <w:p>
            <w:pPr>
              <w:spacing w:line="360" w:lineRule="exact"/>
              <w:rPr>
                <w:rFonts w:hint="eastAsia" w:eastAsia="新宋体"/>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cantSplit/>
          <w:trHeight w:val="680" w:hRule="atLeast"/>
          <w:jc w:val="center"/>
        </w:trPr>
        <w:tc>
          <w:tcPr>
            <w:tcW w:w="1018" w:type="dxa"/>
            <w:tcBorders>
              <w:top w:val="single" w:color="auto" w:sz="4" w:space="0"/>
              <w:bottom w:val="single" w:color="auto" w:sz="12" w:space="0"/>
            </w:tcBorders>
            <w:noWrap w:val="0"/>
            <w:vAlign w:val="center"/>
          </w:tcPr>
          <w:p>
            <w:pPr>
              <w:spacing w:line="360" w:lineRule="exact"/>
              <w:rPr>
                <w:rFonts w:hint="eastAsia" w:eastAsia="新宋体"/>
                <w:color w:val="auto"/>
                <w:sz w:val="22"/>
                <w:szCs w:val="22"/>
                <w:highlight w:val="none"/>
              </w:rPr>
            </w:pPr>
          </w:p>
        </w:tc>
        <w:tc>
          <w:tcPr>
            <w:tcW w:w="3427" w:type="dxa"/>
            <w:gridSpan w:val="3"/>
            <w:tcBorders>
              <w:top w:val="single" w:color="auto" w:sz="4" w:space="0"/>
              <w:bottom w:val="single" w:color="auto" w:sz="12" w:space="0"/>
            </w:tcBorders>
            <w:noWrap w:val="0"/>
            <w:vAlign w:val="center"/>
          </w:tcPr>
          <w:p>
            <w:pPr>
              <w:spacing w:line="360" w:lineRule="exact"/>
              <w:rPr>
                <w:rFonts w:hint="eastAsia" w:eastAsia="新宋体"/>
                <w:color w:val="auto"/>
                <w:sz w:val="22"/>
                <w:szCs w:val="22"/>
                <w:highlight w:val="none"/>
              </w:rPr>
            </w:pPr>
          </w:p>
        </w:tc>
        <w:tc>
          <w:tcPr>
            <w:tcW w:w="1440" w:type="dxa"/>
            <w:gridSpan w:val="2"/>
            <w:tcBorders>
              <w:top w:val="single" w:color="auto" w:sz="4" w:space="0"/>
              <w:bottom w:val="single" w:color="auto" w:sz="12" w:space="0"/>
            </w:tcBorders>
            <w:noWrap w:val="0"/>
            <w:vAlign w:val="center"/>
          </w:tcPr>
          <w:p>
            <w:pPr>
              <w:spacing w:line="360" w:lineRule="exact"/>
              <w:rPr>
                <w:rFonts w:hint="eastAsia" w:eastAsia="新宋体"/>
                <w:color w:val="auto"/>
                <w:sz w:val="22"/>
                <w:szCs w:val="22"/>
                <w:highlight w:val="none"/>
              </w:rPr>
            </w:pPr>
          </w:p>
        </w:tc>
        <w:tc>
          <w:tcPr>
            <w:tcW w:w="3642" w:type="dxa"/>
            <w:gridSpan w:val="2"/>
            <w:tcBorders>
              <w:top w:val="single" w:color="auto" w:sz="4" w:space="0"/>
              <w:bottom w:val="single" w:color="auto" w:sz="12" w:space="0"/>
            </w:tcBorders>
            <w:noWrap w:val="0"/>
            <w:vAlign w:val="center"/>
          </w:tcPr>
          <w:p>
            <w:pPr>
              <w:spacing w:line="360" w:lineRule="exact"/>
              <w:rPr>
                <w:rFonts w:hint="eastAsia" w:eastAsia="新宋体"/>
                <w:color w:val="auto"/>
                <w:sz w:val="22"/>
                <w:szCs w:val="22"/>
                <w:highlight w:val="none"/>
              </w:rPr>
            </w:pPr>
          </w:p>
        </w:tc>
      </w:tr>
    </w:tbl>
    <w:p>
      <w:pPr>
        <w:spacing w:line="360" w:lineRule="auto"/>
        <w:ind w:firstLine="440" w:firstLineChars="200"/>
        <w:rPr>
          <w:rFonts w:ascii="宋体" w:hAnsi="宋体"/>
          <w:sz w:val="22"/>
          <w:szCs w:val="22"/>
          <w:highlight w:val="none"/>
        </w:rPr>
      </w:pPr>
    </w:p>
    <w:p>
      <w:pPr>
        <w:spacing w:line="460" w:lineRule="exact"/>
        <w:ind w:left="535" w:leftChars="153" w:hanging="214" w:hangingChars="97"/>
        <w:rPr>
          <w:rFonts w:ascii="宋体" w:hAnsi="宋体"/>
          <w:b/>
          <w:sz w:val="22"/>
          <w:szCs w:val="22"/>
          <w:highlight w:val="none"/>
        </w:rPr>
      </w:pPr>
    </w:p>
    <w:p>
      <w:pPr>
        <w:tabs>
          <w:tab w:val="left" w:pos="840"/>
        </w:tabs>
        <w:adjustRightInd w:val="0"/>
        <w:snapToGrid w:val="0"/>
        <w:spacing w:line="360" w:lineRule="auto"/>
        <w:ind w:left="420" w:leftChars="200" w:firstLine="330" w:firstLineChars="150"/>
        <w:rPr>
          <w:rFonts w:hint="eastAsia" w:ascii="宋体" w:hAnsi="宋体" w:eastAsia="宋体"/>
          <w:sz w:val="22"/>
          <w:szCs w:val="22"/>
          <w:highlight w:val="none"/>
        </w:rPr>
      </w:pPr>
      <w:r>
        <w:rPr>
          <w:rFonts w:hint="eastAsia" w:ascii="宋体" w:hAnsi="宋体" w:cs="Courier New"/>
          <w:bCs/>
          <w:sz w:val="22"/>
          <w:szCs w:val="22"/>
          <w:highlight w:val="none"/>
        </w:rPr>
        <w:t>供应商全称（盖章）：</w:t>
      </w:r>
    </w:p>
    <w:p>
      <w:pPr>
        <w:tabs>
          <w:tab w:val="left" w:pos="840"/>
        </w:tabs>
        <w:adjustRightInd w:val="0"/>
        <w:snapToGrid w:val="0"/>
        <w:spacing w:line="360" w:lineRule="auto"/>
        <w:ind w:left="420" w:leftChars="200" w:firstLine="330" w:firstLineChars="150"/>
        <w:rPr>
          <w:rFonts w:hint="eastAsia" w:ascii="宋体" w:hAnsi="宋体" w:eastAsia="宋体"/>
          <w:sz w:val="22"/>
          <w:szCs w:val="22"/>
          <w:highlight w:val="none"/>
        </w:rPr>
      </w:pPr>
      <w:r>
        <w:rPr>
          <w:rFonts w:hint="eastAsia" w:ascii="宋体" w:hAnsi="宋体" w:eastAsia="宋体"/>
          <w:sz w:val="22"/>
          <w:szCs w:val="22"/>
          <w:highlight w:val="none"/>
        </w:rPr>
        <w:t>单位负责人或授权代表（签字或盖章）：</w:t>
      </w:r>
    </w:p>
    <w:p>
      <w:pPr>
        <w:tabs>
          <w:tab w:val="left" w:pos="840"/>
        </w:tabs>
        <w:adjustRightInd w:val="0"/>
        <w:snapToGrid w:val="0"/>
        <w:spacing w:line="360" w:lineRule="auto"/>
        <w:ind w:left="420" w:leftChars="200" w:firstLine="330" w:firstLineChars="150"/>
        <w:rPr>
          <w:rFonts w:hint="eastAsia" w:ascii="宋体" w:hAnsi="宋体" w:eastAsia="宋体"/>
          <w:sz w:val="22"/>
          <w:szCs w:val="22"/>
          <w:highlight w:val="none"/>
        </w:rPr>
      </w:pPr>
      <w:r>
        <w:rPr>
          <w:rFonts w:hint="eastAsia" w:ascii="宋体" w:hAnsi="宋体" w:eastAsia="宋体"/>
          <w:sz w:val="22"/>
          <w:szCs w:val="22"/>
          <w:highlight w:val="none"/>
        </w:rPr>
        <w:t>日          期：  年  月  日</w:t>
      </w:r>
    </w:p>
    <w:p>
      <w:pPr>
        <w:rPr>
          <w:rFonts w:hint="eastAsia" w:ascii="宋体" w:hAnsi="宋体"/>
          <w:b/>
          <w:bCs/>
          <w:sz w:val="30"/>
          <w:szCs w:val="30"/>
          <w:highlight w:val="none"/>
        </w:rPr>
      </w:pPr>
      <w:r>
        <w:rPr>
          <w:rFonts w:hint="eastAsia" w:ascii="宋体" w:hAnsi="宋体"/>
          <w:b/>
          <w:bCs/>
          <w:sz w:val="30"/>
          <w:szCs w:val="30"/>
          <w:highlight w:val="none"/>
        </w:rPr>
        <w:br w:type="page"/>
      </w:r>
    </w:p>
    <w:p>
      <w:pPr>
        <w:pageBreakBefore w:val="0"/>
        <w:kinsoku/>
        <w:bidi w:val="0"/>
        <w:spacing w:line="40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2</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项目组人员配置汇总表</w:t>
      </w:r>
    </w:p>
    <w:p>
      <w:pPr>
        <w:pageBreakBefore w:val="0"/>
        <w:kinsoku/>
        <w:bidi w:val="0"/>
        <w:spacing w:line="400" w:lineRule="exact"/>
        <w:rPr>
          <w:rFonts w:hint="eastAsia" w:ascii="宋体" w:hAnsi="宋体" w:eastAsia="宋体" w:cs="宋体"/>
          <w:color w:val="auto"/>
          <w:sz w:val="24"/>
          <w:szCs w:val="20"/>
          <w:highlight w:val="none"/>
        </w:rPr>
      </w:pPr>
      <w:r>
        <w:rPr>
          <w:rFonts w:hint="eastAsia" w:ascii="宋体" w:hAnsi="宋体" w:eastAsia="宋体" w:cs="宋体"/>
          <w:b/>
          <w:bCs/>
          <w:color w:val="auto"/>
          <w:sz w:val="22"/>
          <w:szCs w:val="22"/>
          <w:highlight w:val="none"/>
        </w:rPr>
        <w:t>项目名称：                                               项目编号：</w:t>
      </w:r>
    </w:p>
    <w:tbl>
      <w:tblPr>
        <w:tblStyle w:val="3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66"/>
        <w:gridCol w:w="958"/>
        <w:gridCol w:w="958"/>
        <w:gridCol w:w="767"/>
        <w:gridCol w:w="767"/>
        <w:gridCol w:w="1340"/>
        <w:gridCol w:w="1326"/>
        <w:gridCol w:w="1825"/>
        <w:gridCol w:w="114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5" w:hRule="atLeas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序号</w:t>
            </w: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姓名</w:t>
            </w: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性别</w:t>
            </w: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年龄</w:t>
            </w: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学历</w:t>
            </w: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职称/职务</w:t>
            </w: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r>
              <w:rPr>
                <w:rFonts w:hint="eastAsia" w:ascii="宋体" w:hAnsi="宋体" w:eastAsia="宋体" w:cs="宋体"/>
                <w:color w:val="auto"/>
                <w:highlight w:val="none"/>
              </w:rPr>
              <w:t>本项目中的岗位</w:t>
            </w:r>
          </w:p>
        </w:tc>
        <w:tc>
          <w:tcPr>
            <w:tcW w:w="1825"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从事专业年限</w:t>
            </w: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身份证号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958"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76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40"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326"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c>
          <w:tcPr>
            <w:tcW w:w="1825" w:type="dxa"/>
            <w:noWrap w:val="0"/>
            <w:vAlign w:val="top"/>
          </w:tcPr>
          <w:p>
            <w:pPr>
              <w:pageBreakBefore w:val="0"/>
              <w:kinsoku/>
              <w:bidi w:val="0"/>
              <w:spacing w:line="400" w:lineRule="exact"/>
              <w:jc w:val="center"/>
              <w:rPr>
                <w:rFonts w:hint="eastAsia" w:ascii="宋体" w:hAnsi="宋体" w:eastAsia="宋体" w:cs="宋体"/>
                <w:color w:val="auto"/>
                <w:sz w:val="22"/>
                <w:highlight w:val="none"/>
              </w:rPr>
            </w:pPr>
          </w:p>
        </w:tc>
        <w:tc>
          <w:tcPr>
            <w:tcW w:w="1147" w:type="dxa"/>
            <w:noWrap w:val="0"/>
            <w:vAlign w:val="center"/>
          </w:tcPr>
          <w:p>
            <w:pPr>
              <w:pageBreakBefore w:val="0"/>
              <w:kinsoku/>
              <w:bidi w:val="0"/>
              <w:spacing w:line="400" w:lineRule="exact"/>
              <w:jc w:val="center"/>
              <w:rPr>
                <w:rFonts w:hint="eastAsia" w:ascii="宋体" w:hAnsi="宋体" w:eastAsia="宋体" w:cs="宋体"/>
                <w:color w:val="auto"/>
                <w:sz w:val="22"/>
                <w:highlight w:val="none"/>
              </w:rPr>
            </w:pPr>
          </w:p>
        </w:tc>
      </w:tr>
    </w:tbl>
    <w:p>
      <w:pPr>
        <w:pStyle w:val="19"/>
        <w:pageBreakBefore w:val="0"/>
        <w:kinsoku/>
        <w:bidi w:val="0"/>
        <w:spacing w:line="400" w:lineRule="exact"/>
        <w:rPr>
          <w:rFonts w:hint="eastAsia" w:ascii="宋体" w:hAnsi="宋体" w:eastAsia="宋体" w:cs="宋体"/>
          <w:color w:val="auto"/>
          <w:highlight w:val="none"/>
        </w:rPr>
      </w:pPr>
    </w:p>
    <w:p>
      <w:pPr>
        <w:tabs>
          <w:tab w:val="left" w:pos="840"/>
        </w:tabs>
        <w:adjustRightInd w:val="0"/>
        <w:snapToGrid w:val="0"/>
        <w:spacing w:line="360" w:lineRule="auto"/>
        <w:ind w:left="420" w:leftChars="200" w:firstLine="330" w:firstLineChars="150"/>
        <w:rPr>
          <w:rFonts w:hint="eastAsia" w:ascii="宋体" w:hAnsi="宋体" w:eastAsia="宋体" w:cs="Courier New"/>
          <w:bCs/>
          <w:sz w:val="22"/>
          <w:szCs w:val="22"/>
          <w:highlight w:val="none"/>
        </w:rPr>
      </w:pPr>
    </w:p>
    <w:p>
      <w:pPr>
        <w:tabs>
          <w:tab w:val="left" w:pos="840"/>
        </w:tabs>
        <w:adjustRightInd w:val="0"/>
        <w:snapToGrid w:val="0"/>
        <w:spacing w:line="360" w:lineRule="auto"/>
        <w:ind w:left="420" w:leftChars="200" w:firstLine="330" w:firstLineChars="150"/>
        <w:rPr>
          <w:rFonts w:hint="eastAsia" w:ascii="宋体" w:hAnsi="宋体" w:eastAsia="宋体" w:cs="Courier New"/>
          <w:bCs/>
          <w:sz w:val="22"/>
          <w:szCs w:val="22"/>
          <w:highlight w:val="none"/>
        </w:rPr>
      </w:pPr>
      <w:r>
        <w:rPr>
          <w:rFonts w:hint="eastAsia" w:ascii="宋体" w:hAnsi="宋体" w:eastAsia="宋体" w:cs="Courier New"/>
          <w:bCs/>
          <w:sz w:val="22"/>
          <w:szCs w:val="22"/>
          <w:highlight w:val="none"/>
        </w:rPr>
        <w:t>供应商全称（盖章）：</w:t>
      </w:r>
    </w:p>
    <w:p>
      <w:pPr>
        <w:tabs>
          <w:tab w:val="left" w:pos="840"/>
        </w:tabs>
        <w:adjustRightInd w:val="0"/>
        <w:snapToGrid w:val="0"/>
        <w:spacing w:line="360" w:lineRule="auto"/>
        <w:ind w:left="420" w:leftChars="200" w:firstLine="330" w:firstLineChars="150"/>
        <w:rPr>
          <w:rFonts w:hint="eastAsia" w:ascii="宋体" w:hAnsi="宋体" w:eastAsia="宋体" w:cs="Courier New"/>
          <w:bCs/>
          <w:sz w:val="22"/>
          <w:szCs w:val="22"/>
          <w:highlight w:val="none"/>
        </w:rPr>
      </w:pPr>
      <w:r>
        <w:rPr>
          <w:rFonts w:hint="eastAsia" w:ascii="宋体" w:hAnsi="宋体" w:eastAsia="宋体" w:cs="Courier New"/>
          <w:bCs/>
          <w:sz w:val="22"/>
          <w:szCs w:val="22"/>
          <w:highlight w:val="none"/>
        </w:rPr>
        <w:t>法定代表人或授权代表（签字或盖章）：</w:t>
      </w:r>
    </w:p>
    <w:p>
      <w:pPr>
        <w:tabs>
          <w:tab w:val="left" w:pos="840"/>
        </w:tabs>
        <w:adjustRightInd w:val="0"/>
        <w:snapToGrid w:val="0"/>
        <w:spacing w:line="360" w:lineRule="auto"/>
        <w:ind w:left="420" w:leftChars="200" w:firstLine="330" w:firstLineChars="150"/>
        <w:rPr>
          <w:rFonts w:hint="eastAsia" w:ascii="宋体" w:hAnsi="宋体"/>
          <w:b/>
          <w:bCs/>
          <w:sz w:val="30"/>
          <w:szCs w:val="30"/>
          <w:highlight w:val="none"/>
        </w:rPr>
      </w:pPr>
      <w:r>
        <w:rPr>
          <w:rFonts w:hint="eastAsia" w:ascii="宋体" w:hAnsi="宋体" w:eastAsia="宋体" w:cs="Courier New"/>
          <w:bCs/>
          <w:sz w:val="22"/>
          <w:szCs w:val="22"/>
          <w:highlight w:val="none"/>
        </w:rPr>
        <w:t>日期：  年   月  日</w:t>
      </w:r>
      <w:r>
        <w:rPr>
          <w:rFonts w:hint="eastAsia" w:ascii="宋体" w:hAnsi="宋体"/>
          <w:b/>
          <w:bCs/>
          <w:sz w:val="30"/>
          <w:szCs w:val="30"/>
          <w:highlight w:val="none"/>
        </w:rPr>
        <w:br w:type="page"/>
      </w:r>
    </w:p>
    <w:p>
      <w:pPr>
        <w:tabs>
          <w:tab w:val="left" w:pos="840"/>
        </w:tabs>
        <w:adjustRightInd w:val="0"/>
        <w:snapToGrid w:val="0"/>
        <w:spacing w:line="360" w:lineRule="auto"/>
        <w:ind w:left="420" w:leftChars="200" w:firstLine="452" w:firstLineChars="150"/>
        <w:jc w:val="center"/>
        <w:rPr>
          <w:rFonts w:ascii="宋体" w:hAnsi="宋体"/>
          <w:b/>
          <w:bCs/>
          <w:sz w:val="30"/>
          <w:szCs w:val="30"/>
          <w:highlight w:val="none"/>
        </w:rPr>
      </w:pPr>
      <w:r>
        <w:rPr>
          <w:rFonts w:hint="eastAsia" w:ascii="宋体" w:hAnsi="宋体"/>
          <w:b/>
          <w:bCs/>
          <w:sz w:val="30"/>
          <w:szCs w:val="30"/>
          <w:highlight w:val="none"/>
          <w:lang w:val="en-US" w:eastAsia="zh-CN"/>
        </w:rPr>
        <w:t>六、</w:t>
      </w:r>
      <w:r>
        <w:rPr>
          <w:rFonts w:hint="eastAsia" w:ascii="宋体" w:hAnsi="宋体"/>
          <w:b/>
          <w:bCs/>
          <w:sz w:val="30"/>
          <w:szCs w:val="30"/>
          <w:highlight w:val="none"/>
        </w:rPr>
        <w:t>根据本项目采购内容及要求以及商务技术评分项目，需要提供的文件和资料</w:t>
      </w:r>
    </w:p>
    <w:p>
      <w:pPr>
        <w:spacing w:line="460" w:lineRule="exact"/>
        <w:jc w:val="center"/>
        <w:rPr>
          <w:rFonts w:ascii="宋体" w:hAnsi="宋体"/>
          <w:b/>
          <w:bCs/>
          <w:sz w:val="28"/>
          <w:szCs w:val="28"/>
          <w:highlight w:val="none"/>
        </w:rPr>
      </w:pPr>
    </w:p>
    <w:p>
      <w:pPr>
        <w:spacing w:line="460" w:lineRule="exact"/>
        <w:ind w:firstLine="281" w:firstLineChars="100"/>
        <w:rPr>
          <w:rFonts w:hint="eastAsia" w:ascii="宋体" w:hAnsi="宋体"/>
          <w:b/>
          <w:bCs/>
          <w:sz w:val="28"/>
          <w:szCs w:val="28"/>
          <w:highlight w:val="none"/>
        </w:rPr>
      </w:pPr>
      <w:r>
        <w:rPr>
          <w:rFonts w:hint="eastAsia" w:ascii="宋体" w:hAnsi="宋体"/>
          <w:b/>
          <w:bCs/>
          <w:sz w:val="28"/>
          <w:szCs w:val="28"/>
          <w:highlight w:val="none"/>
        </w:rPr>
        <w:t>说明：内容、格式自拟。</w:t>
      </w:r>
    </w:p>
    <w:p>
      <w:pPr>
        <w:rPr>
          <w:rFonts w:hint="eastAsia" w:ascii="宋体" w:hAnsi="宋体"/>
          <w:b/>
          <w:bCs/>
          <w:sz w:val="28"/>
          <w:szCs w:val="28"/>
          <w:highlight w:val="none"/>
        </w:rPr>
      </w:pPr>
      <w:r>
        <w:rPr>
          <w:rFonts w:hint="eastAsia" w:ascii="宋体" w:hAnsi="宋体"/>
          <w:b/>
          <w:bCs/>
          <w:sz w:val="28"/>
          <w:szCs w:val="28"/>
          <w:highlight w:val="none"/>
        </w:rPr>
        <w:br w:type="page"/>
      </w:r>
    </w:p>
    <w:p>
      <w:pPr>
        <w:pStyle w:val="238"/>
        <w:widowControl w:val="0"/>
        <w:shd w:val="clear" w:color="auto" w:fill="auto"/>
        <w:snapToGrid w:val="0"/>
        <w:spacing w:line="480" w:lineRule="exact"/>
        <w:ind w:firstLine="2560" w:firstLineChars="8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eastAsia="zh-CN"/>
        </w:rPr>
        <w:t>国企采购</w:t>
      </w:r>
      <w:r>
        <w:rPr>
          <w:rFonts w:hint="eastAsia" w:ascii="宋体" w:hAnsi="宋体" w:eastAsia="宋体" w:cs="宋体"/>
          <w:color w:val="auto"/>
          <w:sz w:val="32"/>
          <w:szCs w:val="32"/>
          <w:highlight w:val="none"/>
        </w:rPr>
        <w:t>活动现场确认声明书</w:t>
      </w:r>
    </w:p>
    <w:p>
      <w:pPr>
        <w:pStyle w:val="238"/>
        <w:widowControl w:val="0"/>
        <w:shd w:val="clear" w:color="auto" w:fill="auto"/>
        <w:snapToGrid w:val="0"/>
        <w:spacing w:line="480" w:lineRule="exact"/>
        <w:ind w:firstLine="464" w:firstLineChars="200"/>
        <w:jc w:val="both"/>
        <w:rPr>
          <w:rFonts w:hint="eastAsia" w:ascii="宋体" w:hAnsi="宋体" w:eastAsia="宋体" w:cs="宋体"/>
          <w:color w:val="auto"/>
          <w:spacing w:val="6"/>
          <w:sz w:val="22"/>
          <w:szCs w:val="22"/>
          <w:highlight w:val="none"/>
          <w:u w:val="single"/>
        </w:rPr>
      </w:pPr>
      <w:r>
        <w:rPr>
          <w:rFonts w:hint="eastAsia" w:ascii="宋体" w:hAnsi="宋体" w:eastAsia="宋体" w:cs="宋体"/>
          <w:color w:val="auto"/>
          <w:spacing w:val="6"/>
          <w:sz w:val="22"/>
          <w:szCs w:val="22"/>
          <w:highlight w:val="none"/>
          <w:u w:val="single"/>
          <w:lang w:eastAsia="zh-CN"/>
        </w:rPr>
        <w:t>温州众晨项目管理有限公司</w:t>
      </w:r>
      <w:r>
        <w:rPr>
          <w:rFonts w:hint="eastAsia" w:ascii="宋体" w:hAnsi="宋体" w:eastAsia="宋体" w:cs="宋体"/>
          <w:color w:val="auto"/>
          <w:spacing w:val="6"/>
          <w:sz w:val="22"/>
          <w:szCs w:val="22"/>
          <w:highlight w:val="none"/>
          <w:u w:val="single"/>
        </w:rPr>
        <w:t>：</w:t>
      </w:r>
    </w:p>
    <w:p>
      <w:pPr>
        <w:pStyle w:val="238"/>
        <w:widowControl w:val="0"/>
        <w:shd w:val="clear" w:color="auto" w:fill="auto"/>
        <w:snapToGrid w:val="0"/>
        <w:spacing w:line="480" w:lineRule="exact"/>
        <w:ind w:firstLine="464" w:firstLineChars="200"/>
        <w:jc w:val="both"/>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u w:val="single"/>
        </w:rPr>
        <w:t>本人经由                            （单位）负责人        （姓名）合法授权参加</w:t>
      </w:r>
      <w:r>
        <w:rPr>
          <w:rFonts w:hint="eastAsia" w:hAnsi="宋体" w:cs="宋体"/>
          <w:color w:val="auto"/>
          <w:spacing w:val="6"/>
          <w:sz w:val="22"/>
          <w:szCs w:val="22"/>
          <w:highlight w:val="none"/>
          <w:u w:val="single"/>
          <w:lang w:eastAsia="zh-CN"/>
        </w:rPr>
        <w:t>2023年平阳县生态环境监测设备采购及安装</w:t>
      </w:r>
      <w:r>
        <w:rPr>
          <w:rFonts w:hint="eastAsia" w:ascii="宋体" w:hAnsi="宋体" w:eastAsia="宋体" w:cs="宋体"/>
          <w:color w:val="auto"/>
          <w:spacing w:val="6"/>
          <w:sz w:val="22"/>
          <w:szCs w:val="22"/>
          <w:highlight w:val="none"/>
          <w:u w:val="single"/>
        </w:rPr>
        <w:t>（</w:t>
      </w:r>
      <w:r>
        <w:rPr>
          <w:rFonts w:hint="eastAsia" w:ascii="宋体" w:hAnsi="宋体" w:eastAsia="宋体" w:cs="宋体"/>
          <w:color w:val="auto"/>
          <w:spacing w:val="6"/>
          <w:sz w:val="22"/>
          <w:szCs w:val="22"/>
          <w:highlight w:val="none"/>
          <w:u w:val="single"/>
          <w:lang w:val="en-US" w:eastAsia="zh-CN"/>
        </w:rPr>
        <w:t>项目</w:t>
      </w:r>
      <w:r>
        <w:rPr>
          <w:rFonts w:hint="eastAsia" w:ascii="宋体" w:hAnsi="宋体" w:eastAsia="宋体" w:cs="宋体"/>
          <w:color w:val="auto"/>
          <w:spacing w:val="6"/>
          <w:sz w:val="22"/>
          <w:szCs w:val="22"/>
          <w:highlight w:val="none"/>
          <w:u w:val="single"/>
        </w:rPr>
        <w:t>编号：</w:t>
      </w:r>
      <w:r>
        <w:rPr>
          <w:rFonts w:hint="eastAsia" w:hAnsi="宋体" w:cs="宋体"/>
          <w:color w:val="auto"/>
          <w:spacing w:val="6"/>
          <w:sz w:val="22"/>
          <w:szCs w:val="22"/>
          <w:highlight w:val="none"/>
          <w:u w:val="single"/>
          <w:lang w:eastAsia="zh-CN"/>
        </w:rPr>
        <w:t>PYCG230927094</w:t>
      </w:r>
      <w:r>
        <w:rPr>
          <w:rFonts w:hint="eastAsia" w:ascii="宋体" w:hAnsi="宋体" w:eastAsia="宋体" w:cs="宋体"/>
          <w:color w:val="auto"/>
          <w:spacing w:val="6"/>
          <w:sz w:val="22"/>
          <w:szCs w:val="22"/>
          <w:highlight w:val="none"/>
          <w:u w:val="single"/>
        </w:rPr>
        <w:t>）</w:t>
      </w:r>
      <w:r>
        <w:rPr>
          <w:rFonts w:hint="eastAsia" w:ascii="宋体" w:hAnsi="宋体" w:eastAsia="宋体" w:cs="宋体"/>
          <w:color w:val="auto"/>
          <w:spacing w:val="6"/>
          <w:sz w:val="22"/>
          <w:szCs w:val="22"/>
          <w:highlight w:val="none"/>
          <w:lang w:eastAsia="zh-CN"/>
        </w:rPr>
        <w:t>国企采购</w:t>
      </w:r>
      <w:r>
        <w:rPr>
          <w:rFonts w:hint="eastAsia" w:ascii="宋体" w:hAnsi="宋体" w:eastAsia="宋体" w:cs="宋体"/>
          <w:color w:val="auto"/>
          <w:spacing w:val="6"/>
          <w:sz w:val="22"/>
          <w:szCs w:val="22"/>
          <w:highlight w:val="none"/>
        </w:rPr>
        <w:t xml:space="preserve">活动，经与本单位法人代表（负责人）联系确认，现就有关公平竞争事项郑重声明如下： </w:t>
      </w:r>
    </w:p>
    <w:p>
      <w:pPr>
        <w:pStyle w:val="83"/>
        <w:widowControl/>
        <w:numPr>
          <w:ilvl w:val="0"/>
          <w:numId w:val="20"/>
        </w:numPr>
        <w:shd w:val="clear" w:color="auto" w:fill="auto"/>
        <w:snapToGrid w:val="0"/>
        <w:spacing w:line="480" w:lineRule="exact"/>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本单位与</w:t>
      </w:r>
      <w:r>
        <w:rPr>
          <w:rFonts w:hint="eastAsia" w:ascii="宋体" w:hAnsi="宋体" w:eastAsia="宋体" w:cs="宋体"/>
          <w:color w:val="auto"/>
          <w:kern w:val="0"/>
          <w:sz w:val="22"/>
          <w:szCs w:val="22"/>
          <w:highlight w:val="none"/>
          <w:lang w:eastAsia="zh-CN"/>
        </w:rPr>
        <w:t>甲方</w:t>
      </w:r>
      <w:r>
        <w:rPr>
          <w:rFonts w:hint="eastAsia" w:ascii="宋体" w:hAnsi="宋体" w:eastAsia="宋体" w:cs="宋体"/>
          <w:color w:val="auto"/>
          <w:kern w:val="0"/>
          <w:sz w:val="22"/>
          <w:szCs w:val="22"/>
          <w:highlight w:val="none"/>
        </w:rPr>
        <w:t xml:space="preserve">之间 </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不存在利害关系 □存在下列利害关系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w:t>
      </w:r>
    </w:p>
    <w:p>
      <w:pPr>
        <w:pStyle w:val="83"/>
        <w:widowControl/>
        <w:shd w:val="clear" w:color="auto" w:fill="auto"/>
        <w:snapToGrid w:val="0"/>
        <w:spacing w:line="480" w:lineRule="exac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A.投资关系    B.行政隶属关系    C.业务指导关系</w:t>
      </w:r>
    </w:p>
    <w:p>
      <w:pPr>
        <w:pStyle w:val="83"/>
        <w:widowControl/>
        <w:shd w:val="clear" w:color="auto" w:fill="auto"/>
        <w:snapToGrid w:val="0"/>
        <w:spacing w:line="480" w:lineRule="exac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D.其他可能</w:t>
      </w:r>
      <w:r>
        <w:rPr>
          <w:rFonts w:hint="eastAsia" w:ascii="宋体" w:hAnsi="宋体" w:eastAsia="宋体" w:cs="宋体"/>
          <w:color w:val="auto"/>
          <w:sz w:val="22"/>
          <w:szCs w:val="22"/>
          <w:highlight w:val="none"/>
        </w:rPr>
        <w:t>影响采购公正的</w:t>
      </w:r>
      <w:r>
        <w:rPr>
          <w:rFonts w:hint="eastAsia" w:ascii="宋体" w:hAnsi="宋体" w:eastAsia="宋体" w:cs="宋体"/>
          <w:color w:val="auto"/>
          <w:kern w:val="0"/>
          <w:sz w:val="22"/>
          <w:szCs w:val="22"/>
          <w:highlight w:val="none"/>
        </w:rPr>
        <w:t>利害关系</w:t>
      </w:r>
      <w:r>
        <w:rPr>
          <w:rFonts w:hint="eastAsia" w:ascii="宋体" w:hAnsi="宋体" w:eastAsia="宋体" w:cs="宋体"/>
          <w:color w:val="auto"/>
          <w:kern w:val="0"/>
          <w:sz w:val="22"/>
          <w:szCs w:val="22"/>
          <w:highlight w:val="none"/>
          <w:u w:val="single"/>
        </w:rPr>
        <w:t xml:space="preserve">（如有，请如实说明）                 </w:t>
      </w:r>
      <w:r>
        <w:rPr>
          <w:rFonts w:hint="eastAsia" w:ascii="宋体" w:hAnsi="宋体" w:eastAsia="宋体" w:cs="宋体"/>
          <w:color w:val="auto"/>
          <w:kern w:val="0"/>
          <w:sz w:val="22"/>
          <w:szCs w:val="22"/>
          <w:highlight w:val="none"/>
        </w:rPr>
        <w:t>。</w:t>
      </w:r>
    </w:p>
    <w:p>
      <w:pPr>
        <w:pStyle w:val="83"/>
        <w:widowControl/>
        <w:shd w:val="clear" w:color="auto" w:fill="auto"/>
        <w:snapToGrid w:val="0"/>
        <w:spacing w:line="480" w:lineRule="exact"/>
        <w:rPr>
          <w:rFonts w:hint="eastAsia" w:ascii="宋体" w:hAnsi="宋体" w:eastAsia="宋体" w:cs="宋体"/>
          <w:color w:val="auto"/>
          <w:kern w:val="0"/>
          <w:sz w:val="22"/>
          <w:szCs w:val="22"/>
          <w:highlight w:val="none"/>
        </w:rPr>
      </w:pPr>
      <w:r>
        <w:rPr>
          <w:rFonts w:hint="eastAsia" w:ascii="宋体" w:hAnsi="宋体" w:eastAsia="宋体" w:cs="宋体"/>
          <w:color w:val="auto"/>
          <w:spacing w:val="6"/>
          <w:sz w:val="22"/>
          <w:szCs w:val="22"/>
          <w:highlight w:val="none"/>
        </w:rPr>
        <w:t xml:space="preserve">  二、</w:t>
      </w:r>
      <w:r>
        <w:rPr>
          <w:rFonts w:hint="eastAsia" w:ascii="宋体" w:hAnsi="宋体" w:eastAsia="宋体" w:cs="宋体"/>
          <w:color w:val="auto"/>
          <w:kern w:val="0"/>
          <w:sz w:val="22"/>
          <w:szCs w:val="22"/>
          <w:highlight w:val="none"/>
        </w:rPr>
        <w:t>现已清楚知道参加本项目采购活动的其他所有供应商名称，本单位 □与其他所有供应商之间均不存在利害关系 □与</w:t>
      </w:r>
      <w:r>
        <w:rPr>
          <w:rFonts w:hint="eastAsia" w:ascii="宋体" w:hAnsi="宋体" w:eastAsia="宋体" w:cs="宋体"/>
          <w:color w:val="auto"/>
          <w:kern w:val="0"/>
          <w:sz w:val="22"/>
          <w:szCs w:val="22"/>
          <w:highlight w:val="none"/>
          <w:u w:val="single"/>
        </w:rPr>
        <w:t xml:space="preserve">           （供应商名称）</w:t>
      </w:r>
      <w:r>
        <w:rPr>
          <w:rFonts w:hint="eastAsia" w:ascii="宋体" w:hAnsi="宋体" w:eastAsia="宋体" w:cs="宋体"/>
          <w:color w:val="auto"/>
          <w:kern w:val="0"/>
          <w:sz w:val="22"/>
          <w:szCs w:val="22"/>
          <w:highlight w:val="none"/>
        </w:rPr>
        <w:t>之间存在下列利害关系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w:t>
      </w:r>
    </w:p>
    <w:p>
      <w:pPr>
        <w:pStyle w:val="238"/>
        <w:widowControl w:val="0"/>
        <w:shd w:val="clear" w:color="auto" w:fill="auto"/>
        <w:snapToGrid w:val="0"/>
        <w:spacing w:line="480" w:lineRule="exact"/>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A.法定代表人或负责人或实际控制人是同一人</w:t>
      </w:r>
    </w:p>
    <w:p>
      <w:pPr>
        <w:pStyle w:val="238"/>
        <w:widowControl w:val="0"/>
        <w:shd w:val="clear" w:color="auto" w:fill="auto"/>
        <w:snapToGrid w:val="0"/>
        <w:spacing w:line="480" w:lineRule="exact"/>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B.法定代表人或负责人或实际控制人是夫妻关系</w:t>
      </w:r>
    </w:p>
    <w:p>
      <w:pPr>
        <w:pStyle w:val="238"/>
        <w:widowControl w:val="0"/>
        <w:shd w:val="clear" w:color="auto" w:fill="auto"/>
        <w:snapToGrid w:val="0"/>
        <w:spacing w:line="480" w:lineRule="exact"/>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C.法定代表人或负责人或实际控制人是直系血亲关系</w:t>
      </w:r>
    </w:p>
    <w:p>
      <w:pPr>
        <w:pStyle w:val="238"/>
        <w:widowControl w:val="0"/>
        <w:shd w:val="clear" w:color="auto" w:fill="auto"/>
        <w:snapToGrid w:val="0"/>
        <w:spacing w:line="480" w:lineRule="exact"/>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D.法定代表人或负责人或实际控制人存在三代以内旁系血亲关系</w:t>
      </w:r>
    </w:p>
    <w:p>
      <w:pPr>
        <w:pStyle w:val="238"/>
        <w:widowControl w:val="0"/>
        <w:shd w:val="clear" w:color="auto" w:fill="auto"/>
        <w:snapToGrid w:val="0"/>
        <w:spacing w:line="480" w:lineRule="exact"/>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E.法定代表人或负责人或实际控制人存在近姻亲关系</w:t>
      </w:r>
    </w:p>
    <w:p>
      <w:pPr>
        <w:pStyle w:val="238"/>
        <w:widowControl w:val="0"/>
        <w:shd w:val="clear" w:color="auto" w:fill="auto"/>
        <w:snapToGrid w:val="0"/>
        <w:spacing w:line="480" w:lineRule="exact"/>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F.法定代表人或负责人或实际控制人存在股份控制或实际控制关系</w:t>
      </w:r>
    </w:p>
    <w:p>
      <w:pPr>
        <w:pStyle w:val="238"/>
        <w:widowControl w:val="0"/>
        <w:shd w:val="clear" w:color="auto" w:fill="auto"/>
        <w:snapToGrid w:val="0"/>
        <w:spacing w:line="480" w:lineRule="exact"/>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G.存在共同直接或间接投资设立子公司、联营企业和合营企业情况</w:t>
      </w:r>
    </w:p>
    <w:p>
      <w:pPr>
        <w:pStyle w:val="238"/>
        <w:widowControl w:val="0"/>
        <w:shd w:val="clear" w:color="auto" w:fill="auto"/>
        <w:snapToGrid w:val="0"/>
        <w:spacing w:line="480" w:lineRule="exact"/>
        <w:jc w:val="both"/>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 xml:space="preserve">  H.存在分级代理或代销关系、同一生产制造商关系、</w:t>
      </w:r>
      <w:r>
        <w:rPr>
          <w:rFonts w:hint="eastAsia" w:ascii="宋体" w:hAnsi="宋体" w:eastAsia="宋体" w:cs="宋体"/>
          <w:color w:val="auto"/>
          <w:sz w:val="22"/>
          <w:szCs w:val="22"/>
          <w:highlight w:val="none"/>
        </w:rPr>
        <w:t>管理关系、重要业务（占主营业务收入50%以上）或重要财务往来关系（如融资）等其他实质性控制关系</w:t>
      </w:r>
    </w:p>
    <w:p>
      <w:pPr>
        <w:pStyle w:val="238"/>
        <w:widowControl w:val="0"/>
        <w:shd w:val="clear" w:color="auto" w:fill="auto"/>
        <w:snapToGrid w:val="0"/>
        <w:spacing w:line="480" w:lineRule="exact"/>
        <w:jc w:val="both"/>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 xml:space="preserve">    I</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其他利害关系情况</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kern w:val="0"/>
          <w:sz w:val="22"/>
          <w:szCs w:val="22"/>
          <w:highlight w:val="none"/>
        </w:rPr>
        <w:t>。</w:t>
      </w:r>
    </w:p>
    <w:p>
      <w:pPr>
        <w:pStyle w:val="83"/>
        <w:widowControl/>
        <w:numPr>
          <w:ilvl w:val="0"/>
          <w:numId w:val="21"/>
        </w:numPr>
        <w:shd w:val="clear" w:color="auto" w:fill="auto"/>
        <w:snapToGrid w:val="0"/>
        <w:spacing w:line="480" w:lineRule="exact"/>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现已清楚知道并</w:t>
      </w:r>
      <w:r>
        <w:rPr>
          <w:rFonts w:hint="eastAsia" w:ascii="宋体" w:hAnsi="宋体" w:eastAsia="宋体" w:cs="宋体"/>
          <w:color w:val="auto"/>
          <w:kern w:val="0"/>
          <w:sz w:val="22"/>
          <w:szCs w:val="22"/>
          <w:highlight w:val="none"/>
        </w:rPr>
        <w:t>严格遵守</w:t>
      </w:r>
      <w:r>
        <w:rPr>
          <w:rFonts w:hint="eastAsia" w:ascii="宋体" w:hAnsi="宋体" w:eastAsia="宋体" w:cs="宋体"/>
          <w:color w:val="auto"/>
          <w:kern w:val="0"/>
          <w:sz w:val="22"/>
          <w:szCs w:val="22"/>
          <w:highlight w:val="none"/>
          <w:lang w:eastAsia="zh-CN"/>
        </w:rPr>
        <w:t>国企采购</w:t>
      </w:r>
      <w:r>
        <w:rPr>
          <w:rFonts w:hint="eastAsia" w:ascii="宋体" w:hAnsi="宋体" w:eastAsia="宋体" w:cs="宋体"/>
          <w:color w:val="auto"/>
          <w:kern w:val="0"/>
          <w:sz w:val="22"/>
          <w:szCs w:val="22"/>
          <w:highlight w:val="none"/>
        </w:rPr>
        <w:t>法律法规和现场纪律。</w:t>
      </w:r>
    </w:p>
    <w:p>
      <w:pPr>
        <w:pStyle w:val="83"/>
        <w:widowControl/>
        <w:numPr>
          <w:ilvl w:val="0"/>
          <w:numId w:val="21"/>
        </w:numPr>
        <w:shd w:val="clear" w:color="auto" w:fill="auto"/>
        <w:snapToGrid w:val="0"/>
        <w:spacing w:line="480" w:lineRule="exact"/>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我发现</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供应商之间存在或可能存在上述第二条第</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项利害关系</w:t>
      </w:r>
    </w:p>
    <w:p>
      <w:pPr>
        <w:pStyle w:val="238"/>
        <w:widowControl w:val="0"/>
        <w:shd w:val="clear" w:color="auto" w:fill="auto"/>
        <w:snapToGrid w:val="0"/>
        <w:spacing w:line="480" w:lineRule="exact"/>
        <w:ind w:firstLine="5280" w:firstLineChars="240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（供应商代表签名）</w:t>
      </w:r>
    </w:p>
    <w:p>
      <w:pPr>
        <w:pStyle w:val="238"/>
        <w:widowControl w:val="0"/>
        <w:shd w:val="clear" w:color="auto" w:fill="auto"/>
        <w:snapToGrid w:val="0"/>
        <w:spacing w:line="480" w:lineRule="exact"/>
        <w:ind w:firstLine="440"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年  月   日</w:t>
      </w:r>
    </w:p>
    <w:p>
      <w:pPr>
        <w:shd w:val="clear" w:color="auto" w:fill="auto"/>
        <w:snapToGrid w:val="0"/>
        <w:ind w:firstLine="442" w:firstLineChars="200"/>
        <w:rPr>
          <w:rFonts w:hint="eastAsia" w:ascii="宋体" w:hAnsi="宋体" w:eastAsia="宋体" w:cs="宋体"/>
          <w:b/>
          <w:bCs/>
          <w:color w:val="auto"/>
          <w:sz w:val="22"/>
          <w:szCs w:val="22"/>
          <w:highlight w:val="none"/>
        </w:rPr>
      </w:pPr>
    </w:p>
    <w:p>
      <w:pPr>
        <w:pStyle w:val="2"/>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eastAsia="宋体"/>
          <w:highlight w:val="none"/>
          <w:lang w:eastAsia="zh-CN"/>
        </w:rPr>
      </w:pPr>
      <w:r>
        <w:rPr>
          <w:rFonts w:hint="eastAsia" w:ascii="宋体" w:hAnsi="宋体" w:eastAsia="宋体" w:cs="宋体"/>
          <w:b/>
          <w:bCs/>
          <w:color w:val="auto"/>
          <w:sz w:val="22"/>
          <w:szCs w:val="22"/>
          <w:highlight w:val="none"/>
        </w:rPr>
        <w:t>注：</w:t>
      </w:r>
      <w:r>
        <w:rPr>
          <w:rFonts w:hint="eastAsia" w:ascii="宋体" w:hAnsi="宋体" w:eastAsia="宋体" w:cs="宋体"/>
          <w:b/>
          <w:bCs/>
          <w:color w:val="auto"/>
          <w:sz w:val="22"/>
          <w:szCs w:val="22"/>
          <w:highlight w:val="none"/>
          <w:lang w:val="en-US" w:eastAsia="zh-CN"/>
        </w:rPr>
        <w:t>响应</w:t>
      </w:r>
      <w:r>
        <w:rPr>
          <w:rFonts w:hint="eastAsia" w:ascii="宋体" w:hAnsi="宋体" w:eastAsia="宋体" w:cs="宋体"/>
          <w:b/>
          <w:bCs/>
          <w:color w:val="auto"/>
          <w:sz w:val="22"/>
          <w:szCs w:val="22"/>
          <w:highlight w:val="none"/>
        </w:rPr>
        <w:t>文件解密结束后，各投标供应商签署《</w:t>
      </w:r>
      <w:r>
        <w:rPr>
          <w:rFonts w:hint="eastAsia" w:ascii="宋体" w:hAnsi="宋体" w:eastAsia="宋体" w:cs="宋体"/>
          <w:b/>
          <w:bCs/>
          <w:color w:val="auto"/>
          <w:sz w:val="22"/>
          <w:szCs w:val="22"/>
          <w:highlight w:val="none"/>
          <w:lang w:eastAsia="zh-CN"/>
        </w:rPr>
        <w:t>国企采购</w:t>
      </w:r>
      <w:r>
        <w:rPr>
          <w:rFonts w:hint="eastAsia" w:ascii="宋体" w:hAnsi="宋体" w:eastAsia="宋体" w:cs="宋体"/>
          <w:b/>
          <w:bCs/>
          <w:color w:val="auto"/>
          <w:sz w:val="22"/>
          <w:szCs w:val="22"/>
          <w:highlight w:val="none"/>
        </w:rPr>
        <w:t>活动现场确认声明书》，并在</w:t>
      </w:r>
      <w:r>
        <w:rPr>
          <w:rFonts w:hint="eastAsia" w:ascii="宋体" w:hAnsi="宋体" w:cs="宋体"/>
          <w:b/>
          <w:bCs/>
          <w:color w:val="auto"/>
          <w:sz w:val="22"/>
          <w:szCs w:val="22"/>
          <w:highlight w:val="none"/>
          <w:lang w:val="en-US" w:eastAsia="zh-CN"/>
        </w:rPr>
        <w:t>60</w:t>
      </w:r>
      <w:r>
        <w:rPr>
          <w:rFonts w:hint="eastAsia" w:ascii="宋体" w:hAnsi="宋体" w:eastAsia="宋体" w:cs="宋体"/>
          <w:b/>
          <w:bCs/>
          <w:color w:val="auto"/>
          <w:sz w:val="22"/>
          <w:szCs w:val="22"/>
          <w:highlight w:val="none"/>
        </w:rPr>
        <w:t>分钟内以扫描件方式发送至代理机构邮箱：</w:t>
      </w:r>
      <w:r>
        <w:rPr>
          <w:rFonts w:hint="eastAsia" w:ascii="宋体" w:hAnsi="宋体" w:eastAsia="宋体" w:cs="宋体"/>
          <w:b/>
          <w:bCs/>
          <w:color w:val="auto"/>
          <w:sz w:val="22"/>
          <w:szCs w:val="22"/>
          <w:highlight w:val="none"/>
          <w:lang w:val="en-US" w:eastAsia="zh-CN"/>
        </w:rPr>
        <w:t>244353463</w:t>
      </w:r>
      <w:r>
        <w:rPr>
          <w:rFonts w:hint="eastAsia" w:ascii="宋体" w:hAnsi="宋体" w:eastAsia="宋体" w:cs="宋体"/>
          <w:b/>
          <w:bCs/>
          <w:color w:val="auto"/>
          <w:sz w:val="22"/>
          <w:szCs w:val="22"/>
          <w:highlight w:val="none"/>
        </w:rPr>
        <w:t>@qq.com</w:t>
      </w:r>
      <w:r>
        <w:rPr>
          <w:rFonts w:hint="eastAsia" w:ascii="宋体" w:hAnsi="宋体" w:eastAsia="宋体" w:cs="宋体"/>
          <w:b/>
          <w:bCs/>
          <w:color w:val="auto"/>
          <w:sz w:val="22"/>
          <w:szCs w:val="22"/>
          <w:highlight w:val="none"/>
          <w:lang w:eastAsia="zh-CN"/>
        </w:rPr>
        <w:t>。</w:t>
      </w:r>
    </w:p>
    <w:p>
      <w:pPr>
        <w:widowControl/>
        <w:jc w:val="left"/>
        <w:rPr>
          <w:rFonts w:ascii="宋体" w:hAnsi="宋体"/>
          <w:bCs/>
          <w:kern w:val="0"/>
          <w:sz w:val="38"/>
          <w:szCs w:val="20"/>
          <w:highlight w:val="none"/>
        </w:rPr>
      </w:pPr>
      <w:bookmarkStart w:id="256" w:name="_Toc34761245"/>
    </w:p>
    <w:p>
      <w:pPr>
        <w:pStyle w:val="7"/>
        <w:spacing w:before="0" w:after="120" w:line="700" w:lineRule="exact"/>
        <w:rPr>
          <w:rFonts w:hint="eastAsia" w:ascii="宋体" w:hAnsi="宋体" w:eastAsia="宋体"/>
          <w:bCs/>
          <w:sz w:val="38"/>
          <w:highlight w:val="none"/>
        </w:rPr>
      </w:pPr>
    </w:p>
    <w:p>
      <w:pPr>
        <w:pStyle w:val="7"/>
        <w:spacing w:before="0" w:after="120" w:line="700" w:lineRule="exact"/>
        <w:rPr>
          <w:rFonts w:ascii="宋体" w:hAnsi="宋体" w:eastAsia="宋体"/>
          <w:b/>
          <w:spacing w:val="20"/>
          <w:sz w:val="32"/>
          <w:szCs w:val="32"/>
          <w:highlight w:val="none"/>
        </w:rPr>
      </w:pPr>
      <w:bookmarkStart w:id="257" w:name="_Toc25813"/>
      <w:r>
        <w:rPr>
          <w:rFonts w:hint="eastAsia" w:ascii="宋体" w:hAnsi="宋体" w:eastAsia="宋体"/>
          <w:bCs/>
          <w:sz w:val="38"/>
          <w:highlight w:val="none"/>
        </w:rPr>
        <w:t>封面</w:t>
      </w:r>
      <w:bookmarkEnd w:id="256"/>
      <w:bookmarkEnd w:id="257"/>
    </w:p>
    <w:p>
      <w:pPr>
        <w:adjustRightInd w:val="0"/>
        <w:snapToGrid w:val="0"/>
        <w:spacing w:line="460" w:lineRule="atLeast"/>
        <w:ind w:left="380" w:hanging="380" w:hangingChars="100"/>
        <w:jc w:val="left"/>
        <w:rPr>
          <w:rFonts w:ascii="宋体" w:hAnsi="宋体"/>
          <w:b/>
          <w:spacing w:val="20"/>
          <w:sz w:val="32"/>
          <w:szCs w:val="32"/>
          <w:highlight w:val="none"/>
        </w:rPr>
      </w:pPr>
      <w:r>
        <w:rPr>
          <w:rFonts w:hint="eastAsia" w:ascii="宋体" w:hAnsi="宋体"/>
          <w:bCs/>
          <w:kern w:val="0"/>
          <w:sz w:val="38"/>
          <w:szCs w:val="20"/>
          <w:highlight w:val="none"/>
        </w:rPr>
        <w:t>（仅供参考）</w:t>
      </w:r>
    </w:p>
    <w:p>
      <w:pPr>
        <w:adjustRightInd w:val="0"/>
        <w:snapToGrid w:val="0"/>
        <w:spacing w:line="460" w:lineRule="atLeast"/>
        <w:ind w:left="401" w:hanging="401" w:hangingChars="100"/>
        <w:rPr>
          <w:rFonts w:ascii="宋体" w:hAnsi="宋体"/>
          <w:b/>
          <w:spacing w:val="20"/>
          <w:sz w:val="36"/>
          <w:szCs w:val="36"/>
          <w:highlight w:val="none"/>
        </w:rPr>
      </w:pPr>
    </w:p>
    <w:p>
      <w:pPr>
        <w:adjustRightInd w:val="0"/>
        <w:snapToGrid w:val="0"/>
        <w:spacing w:line="460" w:lineRule="atLeast"/>
        <w:ind w:left="401" w:hanging="401" w:hangingChars="100"/>
        <w:rPr>
          <w:rFonts w:ascii="宋体" w:hAnsi="宋体"/>
          <w:b/>
          <w:spacing w:val="20"/>
          <w:sz w:val="36"/>
          <w:szCs w:val="36"/>
          <w:highlight w:val="none"/>
        </w:rPr>
      </w:pPr>
    </w:p>
    <w:p>
      <w:pPr>
        <w:adjustRightInd w:val="0"/>
        <w:snapToGrid w:val="0"/>
        <w:spacing w:line="460" w:lineRule="atLeast"/>
        <w:ind w:left="401" w:hanging="401" w:hangingChars="100"/>
        <w:rPr>
          <w:rFonts w:ascii="宋体" w:hAnsi="宋体"/>
          <w:b/>
          <w:spacing w:val="20"/>
          <w:sz w:val="36"/>
          <w:szCs w:val="36"/>
          <w:highlight w:val="none"/>
        </w:rPr>
      </w:pPr>
    </w:p>
    <w:p>
      <w:pPr>
        <w:adjustRightInd w:val="0"/>
        <w:snapToGrid w:val="0"/>
        <w:spacing w:line="460" w:lineRule="atLeast"/>
        <w:ind w:left="401" w:hanging="401" w:hangingChars="100"/>
        <w:rPr>
          <w:rFonts w:ascii="宋体" w:hAnsi="宋体"/>
          <w:b/>
          <w:spacing w:val="20"/>
          <w:sz w:val="36"/>
          <w:szCs w:val="36"/>
          <w:highlight w:val="none"/>
        </w:rPr>
      </w:pPr>
    </w:p>
    <w:p>
      <w:pPr>
        <w:spacing w:line="360" w:lineRule="auto"/>
        <w:jc w:val="center"/>
        <w:rPr>
          <w:rFonts w:ascii="宋体" w:hAnsi="宋体"/>
          <w:b/>
          <w:sz w:val="96"/>
          <w:szCs w:val="22"/>
          <w:highlight w:val="none"/>
        </w:rPr>
      </w:pPr>
      <w:r>
        <w:rPr>
          <w:rFonts w:hint="eastAsia" w:ascii="宋体" w:hAnsi="宋体"/>
          <w:b/>
          <w:sz w:val="96"/>
          <w:szCs w:val="22"/>
          <w:highlight w:val="none"/>
        </w:rPr>
        <w:t xml:space="preserve">投 </w:t>
      </w:r>
      <w:r>
        <w:rPr>
          <w:rFonts w:ascii="宋体" w:hAnsi="宋体"/>
          <w:b/>
          <w:sz w:val="96"/>
          <w:szCs w:val="22"/>
          <w:highlight w:val="none"/>
        </w:rPr>
        <w:t xml:space="preserve"> </w:t>
      </w:r>
      <w:r>
        <w:rPr>
          <w:rFonts w:hint="eastAsia" w:ascii="宋体" w:hAnsi="宋体"/>
          <w:b/>
          <w:sz w:val="96"/>
          <w:szCs w:val="22"/>
          <w:highlight w:val="none"/>
        </w:rPr>
        <w:t xml:space="preserve">标 </w:t>
      </w:r>
      <w:r>
        <w:rPr>
          <w:rFonts w:ascii="宋体" w:hAnsi="宋体"/>
          <w:b/>
          <w:sz w:val="96"/>
          <w:szCs w:val="22"/>
          <w:highlight w:val="none"/>
        </w:rPr>
        <w:t xml:space="preserve"> </w:t>
      </w:r>
      <w:r>
        <w:rPr>
          <w:rFonts w:hint="eastAsia" w:ascii="宋体" w:hAnsi="宋体"/>
          <w:b/>
          <w:sz w:val="96"/>
          <w:szCs w:val="22"/>
          <w:highlight w:val="none"/>
        </w:rPr>
        <w:t xml:space="preserve">文 </w:t>
      </w:r>
      <w:r>
        <w:rPr>
          <w:rFonts w:ascii="宋体" w:hAnsi="宋体"/>
          <w:b/>
          <w:sz w:val="96"/>
          <w:szCs w:val="22"/>
          <w:highlight w:val="none"/>
        </w:rPr>
        <w:t xml:space="preserve"> </w:t>
      </w:r>
      <w:r>
        <w:rPr>
          <w:rFonts w:hint="eastAsia" w:ascii="宋体" w:hAnsi="宋体"/>
          <w:b/>
          <w:sz w:val="96"/>
          <w:szCs w:val="22"/>
          <w:highlight w:val="none"/>
        </w:rPr>
        <w:t>件</w:t>
      </w:r>
    </w:p>
    <w:p>
      <w:pPr>
        <w:spacing w:line="360" w:lineRule="auto"/>
        <w:jc w:val="center"/>
        <w:rPr>
          <w:rFonts w:ascii="宋体" w:hAnsi="宋体"/>
          <w:b/>
          <w:sz w:val="44"/>
          <w:szCs w:val="44"/>
          <w:highlight w:val="none"/>
        </w:rPr>
      </w:pPr>
    </w:p>
    <w:p>
      <w:pPr>
        <w:spacing w:line="360" w:lineRule="auto"/>
        <w:jc w:val="center"/>
        <w:rPr>
          <w:rFonts w:ascii="宋体" w:hAnsi="宋体"/>
          <w:b/>
          <w:sz w:val="44"/>
          <w:szCs w:val="44"/>
          <w:highlight w:val="none"/>
        </w:rPr>
      </w:pPr>
      <w:r>
        <w:rPr>
          <w:rFonts w:hint="eastAsia" w:ascii="宋体" w:hAnsi="宋体"/>
          <w:b/>
          <w:sz w:val="44"/>
          <w:szCs w:val="44"/>
          <w:highlight w:val="none"/>
        </w:rPr>
        <w:t>（资格文件/报价文件/商务技术文件）</w:t>
      </w:r>
    </w:p>
    <w:p>
      <w:pPr>
        <w:spacing w:line="360" w:lineRule="auto"/>
        <w:rPr>
          <w:rFonts w:ascii="宋体" w:hAnsi="宋体"/>
          <w:b/>
          <w:szCs w:val="22"/>
          <w:highlight w:val="none"/>
        </w:rPr>
      </w:pPr>
    </w:p>
    <w:p>
      <w:pPr>
        <w:spacing w:line="360" w:lineRule="auto"/>
        <w:rPr>
          <w:rFonts w:ascii="宋体" w:hAnsi="宋体"/>
          <w:b/>
          <w:szCs w:val="22"/>
          <w:highlight w:val="none"/>
        </w:rPr>
      </w:pPr>
    </w:p>
    <w:p>
      <w:pPr>
        <w:spacing w:line="360" w:lineRule="auto"/>
        <w:rPr>
          <w:rFonts w:ascii="宋体" w:hAnsi="宋体"/>
          <w:b/>
          <w:szCs w:val="22"/>
          <w:highlight w:val="none"/>
        </w:rPr>
      </w:pPr>
    </w:p>
    <w:p>
      <w:pPr>
        <w:spacing w:line="360" w:lineRule="auto"/>
        <w:rPr>
          <w:rFonts w:ascii="宋体" w:hAnsi="宋体"/>
          <w:b/>
          <w:szCs w:val="22"/>
          <w:highlight w:val="none"/>
        </w:rPr>
      </w:pPr>
    </w:p>
    <w:p>
      <w:pPr>
        <w:spacing w:line="360" w:lineRule="auto"/>
        <w:rPr>
          <w:rFonts w:ascii="宋体" w:hAnsi="宋体"/>
          <w:b/>
          <w:szCs w:val="22"/>
          <w:highlight w:val="none"/>
        </w:rPr>
      </w:pPr>
    </w:p>
    <w:p>
      <w:pPr>
        <w:spacing w:line="360" w:lineRule="auto"/>
        <w:ind w:firstLine="1276" w:firstLineChars="454"/>
        <w:rPr>
          <w:rFonts w:ascii="宋体" w:hAnsi="宋体"/>
          <w:b/>
          <w:sz w:val="36"/>
          <w:szCs w:val="22"/>
          <w:highlight w:val="none"/>
          <w:u w:val="single"/>
        </w:rPr>
      </w:pPr>
      <w:r>
        <w:rPr>
          <w:rFonts w:hint="eastAsia" w:ascii="宋体" w:hAnsi="宋体"/>
          <w:b/>
          <w:sz w:val="28"/>
          <w:szCs w:val="22"/>
          <w:highlight w:val="none"/>
        </w:rPr>
        <w:t>项目名称：</w:t>
      </w:r>
      <w:r>
        <w:rPr>
          <w:rFonts w:hint="eastAsia" w:ascii="宋体" w:hAnsi="宋体"/>
          <w:b/>
          <w:sz w:val="28"/>
          <w:szCs w:val="22"/>
          <w:highlight w:val="none"/>
          <w:u w:val="single"/>
        </w:rPr>
        <w:t xml:space="preserve">                                  </w:t>
      </w:r>
    </w:p>
    <w:p>
      <w:pPr>
        <w:spacing w:line="360" w:lineRule="auto"/>
        <w:ind w:firstLine="1276" w:firstLineChars="454"/>
        <w:rPr>
          <w:rFonts w:ascii="宋体" w:hAnsi="宋体"/>
          <w:b/>
          <w:sz w:val="28"/>
          <w:szCs w:val="22"/>
          <w:highlight w:val="none"/>
          <w:u w:val="single"/>
        </w:rPr>
      </w:pPr>
      <w:r>
        <w:rPr>
          <w:rFonts w:hint="eastAsia" w:ascii="宋体" w:hAnsi="宋体"/>
          <w:b/>
          <w:sz w:val="28"/>
          <w:szCs w:val="22"/>
          <w:highlight w:val="none"/>
        </w:rPr>
        <w:t>项目编号：</w:t>
      </w:r>
      <w:r>
        <w:rPr>
          <w:rFonts w:hint="eastAsia" w:ascii="宋体" w:hAnsi="宋体"/>
          <w:b/>
          <w:sz w:val="28"/>
          <w:szCs w:val="22"/>
          <w:highlight w:val="none"/>
          <w:u w:val="single"/>
        </w:rPr>
        <w:t xml:space="preserve">                                  </w:t>
      </w:r>
    </w:p>
    <w:p>
      <w:pPr>
        <w:spacing w:line="360" w:lineRule="auto"/>
        <w:ind w:firstLine="1276" w:firstLineChars="454"/>
        <w:rPr>
          <w:rFonts w:ascii="宋体" w:hAnsi="宋体"/>
          <w:b/>
          <w:sz w:val="28"/>
          <w:szCs w:val="22"/>
          <w:highlight w:val="none"/>
          <w:u w:val="single"/>
        </w:rPr>
      </w:pPr>
      <w:r>
        <w:rPr>
          <w:rFonts w:hint="eastAsia" w:ascii="宋体" w:hAnsi="宋体"/>
          <w:b/>
          <w:sz w:val="28"/>
          <w:szCs w:val="22"/>
          <w:highlight w:val="none"/>
        </w:rPr>
        <w:t>投标单位：</w:t>
      </w:r>
      <w:r>
        <w:rPr>
          <w:rFonts w:hint="eastAsia" w:ascii="宋体" w:hAnsi="宋体"/>
          <w:b/>
          <w:sz w:val="28"/>
          <w:szCs w:val="22"/>
          <w:highlight w:val="none"/>
          <w:u w:val="single"/>
        </w:rPr>
        <w:t xml:space="preserve">                  </w:t>
      </w:r>
      <w:r>
        <w:rPr>
          <w:rFonts w:ascii="宋体" w:hAnsi="宋体"/>
          <w:b/>
          <w:sz w:val="28"/>
          <w:szCs w:val="22"/>
          <w:highlight w:val="none"/>
          <w:u w:val="single"/>
        </w:rPr>
        <w:t xml:space="preserve">        </w:t>
      </w:r>
      <w:r>
        <w:rPr>
          <w:rFonts w:hint="eastAsia" w:ascii="宋体" w:hAnsi="宋体"/>
          <w:b/>
          <w:sz w:val="28"/>
          <w:szCs w:val="22"/>
          <w:highlight w:val="none"/>
          <w:u w:val="single"/>
        </w:rPr>
        <w:t xml:space="preserve">       </w:t>
      </w:r>
    </w:p>
    <w:p>
      <w:pPr>
        <w:spacing w:line="360" w:lineRule="auto"/>
        <w:ind w:firstLine="1276" w:firstLineChars="454"/>
        <w:rPr>
          <w:rFonts w:ascii="宋体" w:hAnsi="宋体"/>
          <w:b/>
          <w:sz w:val="28"/>
          <w:szCs w:val="22"/>
          <w:highlight w:val="none"/>
          <w:u w:val="single"/>
        </w:rPr>
      </w:pPr>
      <w:r>
        <w:rPr>
          <w:rFonts w:hint="eastAsia" w:ascii="宋体" w:hAnsi="宋体"/>
          <w:b/>
          <w:sz w:val="28"/>
          <w:szCs w:val="22"/>
          <w:highlight w:val="none"/>
        </w:rPr>
        <w:t>日期：</w:t>
      </w:r>
      <w:r>
        <w:rPr>
          <w:rFonts w:hint="eastAsia" w:ascii="宋体" w:hAnsi="宋体"/>
          <w:b/>
          <w:sz w:val="28"/>
          <w:szCs w:val="22"/>
          <w:highlight w:val="none"/>
          <w:u w:val="single"/>
        </w:rPr>
        <w:t xml:space="preserve">                                      </w:t>
      </w:r>
    </w:p>
    <w:p>
      <w:pPr>
        <w:widowControl/>
        <w:jc w:val="left"/>
        <w:rPr>
          <w:rFonts w:ascii="宋体" w:hAnsi="宋体"/>
          <w:bCs/>
          <w:kern w:val="0"/>
          <w:sz w:val="38"/>
          <w:szCs w:val="20"/>
          <w:highlight w:val="none"/>
        </w:rPr>
      </w:pPr>
      <w:bookmarkStart w:id="258" w:name="_Toc43648024"/>
      <w:r>
        <w:rPr>
          <w:rFonts w:ascii="宋体" w:hAnsi="宋体"/>
          <w:bCs/>
          <w:sz w:val="38"/>
          <w:highlight w:val="none"/>
        </w:rPr>
        <w:br w:type="page"/>
      </w:r>
    </w:p>
    <w:bookmarkEnd w:id="246"/>
    <w:bookmarkEnd w:id="247"/>
    <w:bookmarkEnd w:id="248"/>
    <w:bookmarkEnd w:id="249"/>
    <w:bookmarkEnd w:id="250"/>
    <w:bookmarkEnd w:id="251"/>
    <w:bookmarkEnd w:id="252"/>
    <w:bookmarkEnd w:id="253"/>
    <w:bookmarkEnd w:id="254"/>
    <w:bookmarkEnd w:id="255"/>
    <w:bookmarkEnd w:id="258"/>
    <w:p>
      <w:pPr>
        <w:pStyle w:val="5"/>
        <w:tabs>
          <w:tab w:val="left" w:pos="1703"/>
          <w:tab w:val="center" w:pos="4819"/>
        </w:tabs>
        <w:spacing w:before="240" w:beforeLines="100"/>
        <w:rPr>
          <w:rFonts w:ascii="宋体" w:hAnsi="宋体" w:eastAsia="宋体"/>
          <w:sz w:val="36"/>
          <w:szCs w:val="36"/>
          <w:highlight w:val="none"/>
        </w:rPr>
      </w:pPr>
      <w:bookmarkStart w:id="259" w:name="_Toc12388"/>
      <w:r>
        <w:rPr>
          <w:rFonts w:hint="eastAsia" w:ascii="宋体" w:hAnsi="宋体" w:eastAsia="宋体"/>
          <w:sz w:val="36"/>
          <w:szCs w:val="36"/>
          <w:highlight w:val="none"/>
        </w:rPr>
        <w:t>第四部分   采购内容及要求</w:t>
      </w:r>
      <w:bookmarkEnd w:id="259"/>
    </w:p>
    <w:p>
      <w:pPr>
        <w:autoSpaceDE w:val="0"/>
        <w:autoSpaceDN w:val="0"/>
        <w:adjustRightInd w:val="0"/>
        <w:spacing w:line="440" w:lineRule="exact"/>
        <w:ind w:firstLine="440" w:firstLineChars="200"/>
        <w:rPr>
          <w:rFonts w:hint="eastAsia" w:ascii="宋体" w:hAnsi="宋体" w:eastAsia="宋体"/>
          <w:sz w:val="22"/>
          <w:szCs w:val="22"/>
          <w:highlight w:val="none"/>
          <w:lang w:val="en-US" w:eastAsia="zh-CN"/>
        </w:rPr>
      </w:pPr>
      <w:bookmarkStart w:id="260" w:name="_Toc104560015"/>
      <w:bookmarkStart w:id="261" w:name="_Toc100763419"/>
    </w:p>
    <w:bookmarkEnd w:id="260"/>
    <w:bookmarkEnd w:id="261"/>
    <w:p>
      <w:pPr>
        <w:pStyle w:val="262"/>
        <w:spacing w:beforeLines="0" w:afterLines="0" w:line="440" w:lineRule="exact"/>
        <w:rPr>
          <w:sz w:val="32"/>
          <w:szCs w:val="32"/>
          <w:highlight w:val="none"/>
        </w:rPr>
      </w:pPr>
      <w:bookmarkStart w:id="262" w:name="_Toc15571"/>
      <w:bookmarkStart w:id="263" w:name="_Toc27784"/>
      <w:r>
        <w:rPr>
          <w:rFonts w:hint="eastAsia"/>
          <w:sz w:val="32"/>
          <w:szCs w:val="32"/>
          <w:highlight w:val="none"/>
        </w:rPr>
        <w:t>一、采购总说明</w:t>
      </w:r>
      <w:bookmarkEnd w:id="262"/>
      <w:bookmarkEnd w:id="263"/>
    </w:p>
    <w:p>
      <w:pPr>
        <w:adjustRightInd w:val="0"/>
        <w:snapToGrid w:val="0"/>
        <w:spacing w:line="420" w:lineRule="exact"/>
        <w:ind w:firstLine="482"/>
        <w:rPr>
          <w:rFonts w:ascii="宋体" w:hAnsi="宋体"/>
          <w:sz w:val="22"/>
          <w:szCs w:val="22"/>
          <w:highlight w:val="none"/>
        </w:rPr>
      </w:pPr>
      <w:r>
        <w:rPr>
          <w:rFonts w:hint="eastAsia" w:ascii="宋体" w:hAnsi="宋体"/>
          <w:sz w:val="22"/>
          <w:szCs w:val="22"/>
          <w:highlight w:val="none"/>
        </w:rPr>
        <w:t>1.1本技术规范要求提出的是基本技术要求，并未对所有技术细节作出规定，投标人应提供符合本技术要求和国家标准、行业标准的优质产品及服务。</w:t>
      </w:r>
    </w:p>
    <w:p>
      <w:pPr>
        <w:adjustRightInd w:val="0"/>
        <w:snapToGrid w:val="0"/>
        <w:spacing w:line="420" w:lineRule="exact"/>
        <w:ind w:firstLine="482"/>
        <w:rPr>
          <w:rFonts w:ascii="宋体" w:hAnsi="宋体"/>
          <w:sz w:val="22"/>
          <w:szCs w:val="22"/>
          <w:highlight w:val="none"/>
        </w:rPr>
      </w:pPr>
      <w:r>
        <w:rPr>
          <w:rFonts w:hint="eastAsia" w:ascii="宋体" w:hAnsi="宋体"/>
          <w:sz w:val="22"/>
          <w:szCs w:val="22"/>
          <w:highlight w:val="none"/>
        </w:rPr>
        <w:t>1.2投标产品与本技术要求不一致时，投标人应在投标文件中予以说明，并由评标委员会鉴定投标产品能否达到要求。如投标人没有在投标文件中提出异议，则视为投标人提供的产品完全按照本招标文件要求。</w:t>
      </w:r>
    </w:p>
    <w:p>
      <w:pPr>
        <w:adjustRightInd w:val="0"/>
        <w:snapToGrid w:val="0"/>
        <w:spacing w:line="420" w:lineRule="exact"/>
        <w:ind w:firstLine="482"/>
        <w:rPr>
          <w:rFonts w:ascii="宋体" w:hAnsi="宋体"/>
          <w:sz w:val="22"/>
          <w:szCs w:val="22"/>
          <w:highlight w:val="none"/>
        </w:rPr>
      </w:pPr>
      <w:r>
        <w:rPr>
          <w:rFonts w:hint="eastAsia" w:ascii="宋体" w:hAnsi="宋体"/>
          <w:sz w:val="22"/>
          <w:szCs w:val="22"/>
          <w:highlight w:val="none"/>
        </w:rPr>
        <w:t>2、技术要求及标准的执行</w:t>
      </w:r>
    </w:p>
    <w:p>
      <w:pPr>
        <w:adjustRightInd w:val="0"/>
        <w:snapToGrid w:val="0"/>
        <w:spacing w:line="420" w:lineRule="exact"/>
        <w:ind w:firstLine="482"/>
        <w:rPr>
          <w:rFonts w:ascii="宋体" w:hAnsi="宋体"/>
          <w:sz w:val="22"/>
          <w:szCs w:val="22"/>
          <w:highlight w:val="none"/>
        </w:rPr>
      </w:pPr>
      <w:r>
        <w:rPr>
          <w:rFonts w:hint="eastAsia" w:ascii="宋体" w:hAnsi="宋体"/>
          <w:sz w:val="22"/>
          <w:szCs w:val="22"/>
          <w:highlight w:val="none"/>
        </w:rPr>
        <w:t>投标人提供的产品应标明所执行的质量标准，若同一标准已颁发新标准，则按最新标准执行。若同一产品同时有几个标准（国际标准、国家标准、行业标准、企业标准等），则按最高层次的标准执行。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20" w:lineRule="exact"/>
        <w:ind w:firstLine="440" w:firstLineChars="200"/>
        <w:textAlignment w:val="bottom"/>
        <w:rPr>
          <w:rFonts w:ascii="宋体" w:hAnsi="宋体"/>
          <w:sz w:val="22"/>
          <w:szCs w:val="22"/>
          <w:highlight w:val="none"/>
        </w:rPr>
      </w:pPr>
      <w:r>
        <w:rPr>
          <w:rFonts w:hint="eastAsia" w:ascii="宋体" w:hAnsi="宋体"/>
          <w:sz w:val="22"/>
          <w:szCs w:val="22"/>
          <w:highlight w:val="none"/>
        </w:rPr>
        <w:t>投标人须按国家有关规定及标准完成本次采购产品的供货、运输、装卸、就位、安装、调试、技术培训、检验、通过有关部门验收、维保期服务、产品终身维修等各项工作，并保证投标产品使用的安全性能与检测结果的可靠性。如中标，中标人及制造商对中标产品使用的安全性能与可靠性负全部责任。中标人须随产品提供使用说明书与维保卡。投标人提供相关数据与说明，投标文件须对下列要求作出实质性回应。</w:t>
      </w:r>
    </w:p>
    <w:p>
      <w:pPr>
        <w:adjustRightInd w:val="0"/>
        <w:snapToGrid w:val="0"/>
        <w:spacing w:line="420" w:lineRule="exact"/>
        <w:ind w:firstLine="482"/>
        <w:rPr>
          <w:rFonts w:ascii="宋体" w:hAnsi="宋体"/>
          <w:b/>
          <w:bCs/>
          <w:sz w:val="22"/>
          <w:szCs w:val="22"/>
          <w:highlight w:val="none"/>
        </w:rPr>
      </w:pPr>
      <w:r>
        <w:rPr>
          <w:rFonts w:ascii="宋体" w:hAnsi="宋体"/>
          <w:b/>
          <w:bCs/>
          <w:sz w:val="22"/>
          <w:szCs w:val="22"/>
          <w:highlight w:val="none"/>
        </w:rPr>
        <w:t>3</w:t>
      </w:r>
      <w:r>
        <w:rPr>
          <w:rFonts w:hint="eastAsia" w:ascii="宋体" w:hAnsi="宋体"/>
          <w:b/>
          <w:bCs/>
          <w:sz w:val="22"/>
          <w:szCs w:val="22"/>
          <w:highlight w:val="none"/>
        </w:rPr>
        <w:t>、本次采购的货物如涉及国家规定强制认证的，均视为投标人报价货物符合了工业品生产许可证，3C认证，环保货物认证等强制认证规定的，但中标人须在采购人或最终使用单位对上述货物验收时提供相关证书证明资料，否则做验收不能通过处理。</w:t>
      </w:r>
    </w:p>
    <w:p>
      <w:pPr>
        <w:spacing w:line="400" w:lineRule="exact"/>
        <w:ind w:firstLine="442" w:firstLineChars="200"/>
        <w:rPr>
          <w:rFonts w:hint="eastAsia" w:ascii="宋体" w:hAnsi="宋体"/>
          <w:b/>
          <w:bCs/>
          <w:sz w:val="22"/>
          <w:szCs w:val="22"/>
          <w:highlight w:val="none"/>
        </w:rPr>
      </w:pPr>
      <w:r>
        <w:rPr>
          <w:rFonts w:ascii="宋体" w:hAnsi="宋体"/>
          <w:b/>
          <w:bCs/>
          <w:sz w:val="22"/>
          <w:szCs w:val="22"/>
          <w:highlight w:val="none"/>
        </w:rPr>
        <w:t>4</w:t>
      </w:r>
      <w:r>
        <w:rPr>
          <w:rFonts w:hint="eastAsia" w:ascii="宋体" w:hAnsi="宋体"/>
          <w:b/>
          <w:bCs/>
          <w:sz w:val="22"/>
          <w:szCs w:val="22"/>
          <w:highlight w:val="none"/>
        </w:rPr>
        <w:t>、本部分 “采购内容及要求”中提供的硬件设备可能涉及到的工艺、材料、设备、商标、样本、技术规范、参数规格、品牌等，仅作为说明并没有限制性，投标人在投标时可以选用替代，但这些替代的品牌、产品技术标准要优于或相当于项目采购需求中要求的标准，以满足采购人的需要。</w:t>
      </w:r>
    </w:p>
    <w:p>
      <w:pPr>
        <w:spacing w:line="400" w:lineRule="exact"/>
        <w:ind w:firstLine="442" w:firstLineChars="200"/>
        <w:rPr>
          <w:rFonts w:hint="eastAsia" w:ascii="宋体" w:hAnsi="宋体"/>
          <w:b/>
          <w:bCs/>
          <w:sz w:val="22"/>
          <w:szCs w:val="22"/>
          <w:highlight w:val="none"/>
          <w:lang w:eastAsia="zh-CN"/>
        </w:rPr>
      </w:pPr>
      <w:r>
        <w:rPr>
          <w:rFonts w:hint="eastAsia" w:ascii="宋体" w:hAnsi="宋体"/>
          <w:b/>
          <w:bCs/>
          <w:sz w:val="22"/>
          <w:szCs w:val="22"/>
          <w:highlight w:val="none"/>
          <w:lang w:val="en-US" w:eastAsia="zh-CN"/>
        </w:rPr>
        <w:t>5、</w:t>
      </w:r>
      <w:r>
        <w:rPr>
          <w:rFonts w:hint="eastAsia" w:ascii="宋体" w:hAnsi="宋体"/>
          <w:b/>
          <w:bCs/>
          <w:sz w:val="22"/>
          <w:szCs w:val="22"/>
          <w:highlight w:val="none"/>
        </w:rPr>
        <w:t>在签订合同之前，中标人需要向采购人提供投标产品的制造商质保函</w:t>
      </w:r>
      <w:r>
        <w:rPr>
          <w:rFonts w:hint="eastAsia" w:ascii="宋体" w:hAnsi="宋体"/>
          <w:b/>
          <w:bCs/>
          <w:sz w:val="22"/>
          <w:szCs w:val="22"/>
          <w:highlight w:val="none"/>
          <w:lang w:eastAsia="zh-CN"/>
        </w:rPr>
        <w:t>。</w:t>
      </w:r>
    </w:p>
    <w:p>
      <w:pPr>
        <w:pStyle w:val="2"/>
        <w:rPr>
          <w:rFonts w:hint="eastAsia" w:ascii="宋体" w:hAnsi="宋体"/>
          <w:b/>
          <w:bCs/>
          <w:sz w:val="22"/>
          <w:szCs w:val="22"/>
          <w:highlight w:val="none"/>
          <w:lang w:eastAsia="zh-CN"/>
        </w:rPr>
      </w:pPr>
    </w:p>
    <w:p>
      <w:pPr>
        <w:pStyle w:val="3"/>
        <w:rPr>
          <w:rFonts w:hint="eastAsia"/>
          <w:highlight w:val="none"/>
        </w:rPr>
      </w:pPr>
    </w:p>
    <w:p>
      <w:pPr>
        <w:pStyle w:val="262"/>
        <w:keepNext w:val="0"/>
        <w:pageBreakBefore w:val="0"/>
        <w:kinsoku/>
        <w:wordWrap/>
        <w:overflowPunct/>
        <w:topLinePunct w:val="0"/>
        <w:bidi w:val="0"/>
        <w:spacing w:beforeLines="0" w:afterLines="0" w:line="400" w:lineRule="exact"/>
        <w:rPr>
          <w:rFonts w:hint="eastAsia" w:ascii="宋体" w:hAnsi="宋体" w:eastAsia="宋体" w:cs="Arial"/>
          <w:b/>
          <w:kern w:val="0"/>
          <w:sz w:val="32"/>
          <w:szCs w:val="32"/>
          <w:highlight w:val="none"/>
          <w:lang w:val="en-US" w:eastAsia="zh-CN" w:bidi="ar-SA"/>
        </w:rPr>
      </w:pPr>
      <w:bookmarkStart w:id="264" w:name="_Toc1509"/>
      <w:r>
        <w:rPr>
          <w:rFonts w:hint="eastAsia" w:ascii="宋体" w:hAnsi="宋体" w:eastAsia="宋体" w:cs="Arial"/>
          <w:b/>
          <w:kern w:val="0"/>
          <w:sz w:val="32"/>
          <w:szCs w:val="32"/>
          <w:highlight w:val="none"/>
          <w:lang w:val="en-US" w:eastAsia="zh-CN" w:bidi="ar-SA"/>
        </w:rPr>
        <w:t>二、采购清单及要求</w:t>
      </w:r>
      <w:bookmarkEnd w:id="264"/>
    </w:p>
    <w:p>
      <w:pPr>
        <w:keepNext w:val="0"/>
        <w:pageBreakBefore w:val="0"/>
        <w:kinsoku/>
        <w:wordWrap/>
        <w:overflowPunct/>
        <w:topLinePunct w:val="0"/>
        <w:bidi w:val="0"/>
        <w:spacing w:line="400" w:lineRule="exact"/>
        <w:ind w:firstLine="221" w:firstLineChars="100"/>
        <w:rPr>
          <w:rFonts w:hint="default" w:ascii="宋体" w:hAnsi="宋体" w:eastAsia="宋体" w:cs="Arial Unicode MS"/>
          <w:sz w:val="36"/>
          <w:szCs w:val="36"/>
          <w:highlight w:val="none"/>
          <w:lang w:val="en-US"/>
        </w:rPr>
      </w:pPr>
      <w:r>
        <w:rPr>
          <w:rFonts w:hint="eastAsia" w:ascii="宋体" w:hAnsi="宋体" w:eastAsia="宋体"/>
          <w:b/>
          <w:bCs/>
          <w:sz w:val="22"/>
          <w:szCs w:val="22"/>
          <w:highlight w:val="none"/>
          <w:lang w:val="en-US" w:eastAsia="zh-CN"/>
        </w:rPr>
        <w:t>标段一：</w:t>
      </w:r>
      <w:r>
        <w:rPr>
          <w:rFonts w:hint="eastAsia" w:ascii="宋体" w:hAnsi="宋体"/>
          <w:b/>
          <w:bCs/>
          <w:sz w:val="22"/>
          <w:szCs w:val="22"/>
          <w:highlight w:val="none"/>
          <w:lang w:val="en-US" w:eastAsia="zh-CN"/>
        </w:rPr>
        <w:t>平阳县万全镇、腾蛟镇、南雁镇空气质量自动监测站设备采购及安装</w:t>
      </w:r>
    </w:p>
    <w:tbl>
      <w:tblPr>
        <w:tblStyle w:val="35"/>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3086"/>
        <w:gridCol w:w="1063"/>
        <w:gridCol w:w="1154"/>
        <w:gridCol w:w="2571"/>
        <w:gridCol w:w="1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序号</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名称</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单位</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数量</w:t>
            </w:r>
          </w:p>
        </w:tc>
        <w:tc>
          <w:tcPr>
            <w:tcW w:w="2571"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技术参数及要求</w:t>
            </w: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1</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PM</w:t>
            </w:r>
            <w:r>
              <w:rPr>
                <w:rFonts w:hint="eastAsia" w:ascii="宋体" w:hAnsi="宋体" w:eastAsia="宋体" w:cs="宋体"/>
                <w:color w:val="auto"/>
                <w:kern w:val="0"/>
                <w:sz w:val="22"/>
                <w:szCs w:val="22"/>
                <w:highlight w:val="none"/>
                <w:vertAlign w:val="subscript"/>
                <w:lang w:bidi="ar"/>
              </w:rPr>
              <w:t>2.5</w:t>
            </w:r>
            <w:r>
              <w:rPr>
                <w:rFonts w:hint="eastAsia" w:ascii="宋体" w:hAnsi="宋体" w:eastAsia="宋体" w:cs="宋体"/>
                <w:color w:val="auto"/>
                <w:kern w:val="0"/>
                <w:sz w:val="22"/>
                <w:szCs w:val="22"/>
                <w:highlight w:val="none"/>
                <w:lang w:bidi="ar"/>
              </w:rPr>
              <w:t>分析仪</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台</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bidi="ar"/>
              </w:rPr>
              <w:t>3</w:t>
            </w:r>
          </w:p>
        </w:tc>
        <w:tc>
          <w:tcPr>
            <w:tcW w:w="2571" w:type="dxa"/>
            <w:vMerge w:val="restart"/>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详见表后</w:t>
            </w: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2</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PM</w:t>
            </w:r>
            <w:r>
              <w:rPr>
                <w:rFonts w:hint="eastAsia" w:ascii="宋体" w:hAnsi="宋体" w:eastAsia="宋体" w:cs="宋体"/>
                <w:color w:val="auto"/>
                <w:kern w:val="0"/>
                <w:sz w:val="22"/>
                <w:szCs w:val="22"/>
                <w:highlight w:val="none"/>
                <w:vertAlign w:val="subscript"/>
                <w:lang w:bidi="ar"/>
              </w:rPr>
              <w:t>10</w:t>
            </w:r>
            <w:r>
              <w:rPr>
                <w:rFonts w:hint="eastAsia" w:ascii="宋体" w:hAnsi="宋体" w:eastAsia="宋体" w:cs="宋体"/>
                <w:color w:val="auto"/>
                <w:kern w:val="0"/>
                <w:sz w:val="22"/>
                <w:szCs w:val="22"/>
                <w:highlight w:val="none"/>
                <w:lang w:bidi="ar"/>
              </w:rPr>
              <w:t>分析仪</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台</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bidi="ar"/>
              </w:rPr>
              <w:t>3</w:t>
            </w:r>
          </w:p>
        </w:tc>
        <w:tc>
          <w:tcPr>
            <w:tcW w:w="2571" w:type="dxa"/>
            <w:vMerge w:val="continue"/>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rPr>
            </w:pP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3</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lang w:val="en-US" w:eastAsia="zh-CN"/>
              </w:rPr>
              <w:t>SO2分析仪</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台</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bidi="ar"/>
              </w:rPr>
              <w:t>3</w:t>
            </w:r>
          </w:p>
        </w:tc>
        <w:tc>
          <w:tcPr>
            <w:tcW w:w="2571" w:type="dxa"/>
            <w:vMerge w:val="continue"/>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rPr>
            </w:pP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4</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bidi="ar"/>
              </w:rPr>
              <w:t>NOx</w:t>
            </w:r>
            <w:r>
              <w:rPr>
                <w:rFonts w:hint="eastAsia" w:ascii="宋体" w:hAnsi="宋体" w:eastAsia="宋体" w:cs="宋体"/>
                <w:color w:val="auto"/>
                <w:kern w:val="0"/>
                <w:sz w:val="22"/>
                <w:szCs w:val="22"/>
                <w:highlight w:val="none"/>
                <w:lang w:bidi="ar"/>
              </w:rPr>
              <w:t>分析仪</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台</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bidi="ar"/>
              </w:rPr>
              <w:t>3</w:t>
            </w:r>
          </w:p>
        </w:tc>
        <w:tc>
          <w:tcPr>
            <w:tcW w:w="2571" w:type="dxa"/>
            <w:vMerge w:val="continue"/>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rPr>
            </w:pP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5</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bidi="ar"/>
              </w:rPr>
              <w:t>CO</w:t>
            </w:r>
            <w:r>
              <w:rPr>
                <w:rFonts w:hint="eastAsia" w:ascii="宋体" w:hAnsi="宋体" w:eastAsia="宋体" w:cs="宋体"/>
                <w:color w:val="auto"/>
                <w:kern w:val="0"/>
                <w:sz w:val="22"/>
                <w:szCs w:val="22"/>
                <w:highlight w:val="none"/>
                <w:lang w:bidi="ar"/>
              </w:rPr>
              <w:t>分析仪</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台</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bidi="ar"/>
              </w:rPr>
              <w:t>3</w:t>
            </w:r>
          </w:p>
        </w:tc>
        <w:tc>
          <w:tcPr>
            <w:tcW w:w="2571" w:type="dxa"/>
            <w:vMerge w:val="continue"/>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rPr>
            </w:pP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6</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bidi="ar"/>
              </w:rPr>
              <w:t>O</w:t>
            </w:r>
            <w:r>
              <w:rPr>
                <w:rFonts w:hint="eastAsia" w:ascii="宋体" w:hAnsi="宋体" w:eastAsia="宋体" w:cs="宋体"/>
                <w:color w:val="auto"/>
                <w:kern w:val="0"/>
                <w:sz w:val="22"/>
                <w:szCs w:val="22"/>
                <w:highlight w:val="none"/>
                <w:vertAlign w:val="subscript"/>
                <w:lang w:val="en-US" w:eastAsia="zh-CN" w:bidi="ar"/>
              </w:rPr>
              <w:t>3</w:t>
            </w:r>
            <w:r>
              <w:rPr>
                <w:rFonts w:hint="eastAsia" w:ascii="宋体" w:hAnsi="宋体" w:eastAsia="宋体" w:cs="宋体"/>
                <w:color w:val="auto"/>
                <w:kern w:val="0"/>
                <w:sz w:val="22"/>
                <w:szCs w:val="22"/>
                <w:highlight w:val="none"/>
                <w:lang w:bidi="ar"/>
              </w:rPr>
              <w:t>分析仪</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台</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bidi="ar"/>
              </w:rPr>
              <w:t>3</w:t>
            </w:r>
          </w:p>
        </w:tc>
        <w:tc>
          <w:tcPr>
            <w:tcW w:w="2571" w:type="dxa"/>
            <w:vMerge w:val="continue"/>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rPr>
            </w:pP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7</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动态校准仪</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台</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bidi="ar"/>
              </w:rPr>
              <w:t>3</w:t>
            </w:r>
          </w:p>
        </w:tc>
        <w:tc>
          <w:tcPr>
            <w:tcW w:w="2571" w:type="dxa"/>
            <w:vMerge w:val="continue"/>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rPr>
            </w:pP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8</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零气发生器</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bidi="ar"/>
              </w:rPr>
              <w:t>台</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bidi="ar"/>
              </w:rPr>
              <w:t>3</w:t>
            </w:r>
          </w:p>
        </w:tc>
        <w:tc>
          <w:tcPr>
            <w:tcW w:w="2571" w:type="dxa"/>
            <w:vMerge w:val="continue"/>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2"/>
                <w:sz w:val="22"/>
                <w:szCs w:val="22"/>
                <w:highlight w:val="none"/>
                <w:lang w:val="en-US" w:eastAsia="zh-CN" w:bidi="ar-SA"/>
              </w:rPr>
            </w:pP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bidi="ar"/>
              </w:rPr>
              <w:t>9</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气象五参数</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台</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3</w:t>
            </w:r>
          </w:p>
        </w:tc>
        <w:tc>
          <w:tcPr>
            <w:tcW w:w="2571" w:type="dxa"/>
            <w:vMerge w:val="continue"/>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10</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环境空气自动站站房建设</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eastAsia="zh-CN" w:bidi="ar"/>
              </w:rPr>
            </w:pPr>
            <w:r>
              <w:rPr>
                <w:rFonts w:hint="eastAsia" w:ascii="宋体" w:hAnsi="宋体" w:eastAsia="宋体" w:cs="宋体"/>
                <w:color w:val="auto"/>
                <w:kern w:val="0"/>
                <w:sz w:val="22"/>
                <w:szCs w:val="22"/>
                <w:highlight w:val="none"/>
                <w:lang w:val="en-US" w:eastAsia="zh-CN" w:bidi="ar"/>
              </w:rPr>
              <w:t>套</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eastAsia="zh-CN" w:bidi="ar"/>
              </w:rPr>
            </w:pPr>
            <w:r>
              <w:rPr>
                <w:rFonts w:hint="eastAsia" w:ascii="宋体" w:hAnsi="宋体" w:eastAsia="宋体" w:cs="宋体"/>
                <w:color w:val="auto"/>
                <w:kern w:val="0"/>
                <w:sz w:val="22"/>
                <w:szCs w:val="22"/>
                <w:highlight w:val="none"/>
                <w:lang w:val="en-US" w:eastAsia="zh-CN" w:bidi="ar"/>
              </w:rPr>
              <w:t>3</w:t>
            </w:r>
          </w:p>
        </w:tc>
        <w:tc>
          <w:tcPr>
            <w:tcW w:w="2571" w:type="dxa"/>
            <w:vMerge w:val="continue"/>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2"/>
                <w:sz w:val="22"/>
                <w:szCs w:val="22"/>
                <w:highlight w:val="none"/>
                <w:lang w:val="en-US" w:eastAsia="zh-CN" w:bidi="ar-SA"/>
              </w:rPr>
            </w:pP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11</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系统集成</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套</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3</w:t>
            </w:r>
          </w:p>
        </w:tc>
        <w:tc>
          <w:tcPr>
            <w:tcW w:w="2571" w:type="dxa"/>
            <w:vMerge w:val="continue"/>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2"/>
                <w:sz w:val="22"/>
                <w:szCs w:val="22"/>
                <w:highlight w:val="none"/>
                <w:lang w:val="en-US" w:eastAsia="zh-CN" w:bidi="ar-SA"/>
              </w:rPr>
            </w:pP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2"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12</w:t>
            </w:r>
          </w:p>
        </w:tc>
        <w:tc>
          <w:tcPr>
            <w:tcW w:w="3086"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sz w:val="22"/>
                <w:szCs w:val="22"/>
                <w:highlight w:val="none"/>
              </w:rPr>
              <w:t>一年运维服务</w:t>
            </w:r>
          </w:p>
        </w:tc>
        <w:tc>
          <w:tcPr>
            <w:tcW w:w="1063"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项</w:t>
            </w:r>
          </w:p>
        </w:tc>
        <w:tc>
          <w:tcPr>
            <w:tcW w:w="1154" w:type="dxa"/>
            <w:noWrap w:val="0"/>
            <w:vAlign w:val="center"/>
          </w:tcPr>
          <w:p>
            <w:pPr>
              <w:keepNext w:val="0"/>
              <w:pageBreakBefore w:val="0"/>
              <w:widowControl/>
              <w:kinsoku/>
              <w:wordWrap/>
              <w:overflowPunct/>
              <w:topLinePunct w:val="0"/>
              <w:autoSpaceDE/>
              <w:autoSpaceDN/>
              <w:bidi w:val="0"/>
              <w:spacing w:line="400" w:lineRule="exact"/>
              <w:ind w:left="0"/>
              <w:jc w:val="center"/>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1</w:t>
            </w:r>
          </w:p>
        </w:tc>
        <w:tc>
          <w:tcPr>
            <w:tcW w:w="2571" w:type="dxa"/>
            <w:vMerge w:val="continue"/>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c>
          <w:tcPr>
            <w:tcW w:w="1173" w:type="dxa"/>
            <w:noWrap w:val="0"/>
            <w:vAlign w:val="center"/>
          </w:tcPr>
          <w:p>
            <w:pPr>
              <w:keepNext w:val="0"/>
              <w:pageBreakBefore w:val="0"/>
              <w:kinsoku/>
              <w:wordWrap/>
              <w:overflowPunct/>
              <w:topLinePunct w:val="0"/>
              <w:autoSpaceDE/>
              <w:autoSpaceDN/>
              <w:bidi w:val="0"/>
              <w:spacing w:line="400" w:lineRule="exact"/>
              <w:ind w:left="0"/>
              <w:jc w:val="center"/>
              <w:textAlignment w:val="auto"/>
              <w:rPr>
                <w:rFonts w:hint="eastAsia" w:ascii="宋体" w:hAnsi="宋体" w:eastAsia="宋体" w:cs="宋体"/>
                <w:color w:val="auto"/>
                <w:sz w:val="22"/>
                <w:szCs w:val="22"/>
                <w:highlight w:val="none"/>
                <w:lang w:val="en-US" w:eastAsia="zh-CN"/>
              </w:rPr>
            </w:pPr>
          </w:p>
        </w:tc>
      </w:tr>
    </w:tbl>
    <w:p>
      <w:pPr>
        <w:pStyle w:val="8"/>
        <w:keepNext w:val="0"/>
        <w:pageBreakBefore w:val="0"/>
        <w:numPr>
          <w:ilvl w:val="0"/>
          <w:numId w:val="0"/>
        </w:numPr>
        <w:kinsoku/>
        <w:wordWrap/>
        <w:overflowPunct/>
        <w:topLinePunct w:val="0"/>
        <w:autoSpaceDE/>
        <w:autoSpaceDN/>
        <w:bidi w:val="0"/>
        <w:spacing w:line="400" w:lineRule="exact"/>
        <w:ind w:left="0"/>
        <w:textAlignment w:val="auto"/>
        <w:rPr>
          <w:rFonts w:hint="eastAsia" w:ascii="宋体" w:hAnsi="宋体" w:eastAsia="宋体" w:cs="宋体"/>
          <w:sz w:val="22"/>
          <w:szCs w:val="22"/>
          <w:highlight w:val="none"/>
          <w:lang w:val="en-US" w:eastAsia="zh-CN"/>
        </w:rPr>
      </w:pPr>
    </w:p>
    <w:p>
      <w:pPr>
        <w:pStyle w:val="8"/>
        <w:keepNext w:val="0"/>
        <w:pageBreakBefore w:val="0"/>
        <w:numPr>
          <w:ilvl w:val="0"/>
          <w:numId w:val="0"/>
        </w:numPr>
        <w:kinsoku/>
        <w:wordWrap/>
        <w:overflowPunct/>
        <w:topLinePunct w:val="0"/>
        <w:autoSpaceDE/>
        <w:autoSpaceDN/>
        <w:bidi w:val="0"/>
        <w:spacing w:line="400" w:lineRule="exact"/>
        <w:ind w:left="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技术参数及要求：</w:t>
      </w:r>
    </w:p>
    <w:p>
      <w:pPr>
        <w:keepNext w:val="0"/>
        <w:pageBreakBefore w:val="0"/>
        <w:kinsoku/>
        <w:wordWrap/>
        <w:overflowPunct/>
        <w:topLinePunct w:val="0"/>
        <w:bidi w:val="0"/>
        <w:spacing w:line="400" w:lineRule="exact"/>
        <w:rPr>
          <w:rFonts w:hint="default"/>
          <w:highlight w:val="none"/>
          <w:lang w:val="en-US" w:eastAsia="zh-CN"/>
        </w:rPr>
      </w:pPr>
    </w:p>
    <w:p>
      <w:pPr>
        <w:pStyle w:val="8"/>
        <w:keepNext w:val="0"/>
        <w:pageBreakBefore w:val="0"/>
        <w:numPr>
          <w:ilvl w:val="-1"/>
          <w:numId w:val="0"/>
        </w:numPr>
        <w:kinsoku/>
        <w:wordWrap/>
        <w:overflowPunct/>
        <w:topLinePunct w:val="0"/>
        <w:autoSpaceDE/>
        <w:autoSpaceDN/>
        <w:bidi w:val="0"/>
        <w:spacing w:line="400" w:lineRule="exact"/>
        <w:ind w:left="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1、PM2.5分析仪</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用途：测量环境空气中的PM2.5质量浓度；</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2★检测方法：连续实时地在环境温度下同时进行颗粒物的采集和质量测量。采用β射线吸收加光散射双检测技术或震荡天平法</w:t>
      </w:r>
      <w:r>
        <w:rPr>
          <w:rFonts w:hint="eastAsia" w:ascii="宋体" w:hAnsi="宋体" w:cs="宋体"/>
          <w:sz w:val="22"/>
          <w:szCs w:val="22"/>
          <w:highlight w:val="none"/>
          <w:lang w:eastAsia="zh-CN"/>
        </w:rPr>
        <w:t>；</w:t>
      </w:r>
      <w:r>
        <w:rPr>
          <w:rFonts w:hint="eastAsia" w:ascii="宋体" w:hAnsi="宋体" w:eastAsia="宋体" w:cs="宋体"/>
          <w:sz w:val="22"/>
          <w:szCs w:val="22"/>
          <w:highlight w:val="none"/>
        </w:rPr>
        <w:t>（</w:t>
      </w:r>
      <w:r>
        <w:rPr>
          <w:rFonts w:hint="eastAsia" w:ascii="宋体" w:hAnsi="宋体" w:eastAsia="宋体" w:cs="宋体"/>
          <w:sz w:val="22"/>
          <w:szCs w:val="22"/>
          <w:highlight w:val="none"/>
          <w:lang w:eastAsia="zh-CN"/>
        </w:rPr>
        <w:t>需提供相关证明材料</w:t>
      </w:r>
      <w:r>
        <w:rPr>
          <w:rFonts w:hint="eastAsia" w:ascii="宋体" w:hAnsi="宋体" w:eastAsia="宋体" w:cs="宋体"/>
          <w:sz w:val="22"/>
          <w:szCs w:val="22"/>
          <w:highlight w:val="none"/>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3</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 xml:space="preserve">属于中国环境监测总站环境空气自动监测系统认证检测合格产品； </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4</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采样头：环保部认可的PM10采样头和 PM2.5切割器；</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智能加热系统：配置智能加热系统，可设置恒温加热和动态加热模式，能有效地控制样品的温度和湿度；</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★最低检测限：小于0.5µg/m3 (2 σ)（1小时数据）</w:t>
      </w:r>
      <w:r>
        <w:rPr>
          <w:rFonts w:hint="eastAsia" w:ascii="宋体" w:hAnsi="宋体" w:cs="宋体"/>
          <w:sz w:val="22"/>
          <w:szCs w:val="22"/>
          <w:highlight w:val="none"/>
          <w:lang w:eastAsia="zh-CN"/>
        </w:rPr>
        <w:t>；</w:t>
      </w:r>
      <w:r>
        <w:rPr>
          <w:rFonts w:hint="eastAsia" w:ascii="宋体" w:hAnsi="宋体" w:eastAsia="宋体" w:cs="宋体"/>
          <w:sz w:val="22"/>
          <w:szCs w:val="22"/>
          <w:highlight w:val="none"/>
        </w:rPr>
        <w:t>（</w:t>
      </w:r>
      <w:r>
        <w:rPr>
          <w:rFonts w:hint="eastAsia" w:ascii="宋体" w:hAnsi="宋体" w:eastAsia="宋体" w:cs="宋体"/>
          <w:sz w:val="22"/>
          <w:szCs w:val="22"/>
          <w:highlight w:val="none"/>
          <w:lang w:eastAsia="zh-CN"/>
        </w:rPr>
        <w:t>需提供相关证明材料</w:t>
      </w:r>
      <w:r>
        <w:rPr>
          <w:rFonts w:hint="eastAsia" w:ascii="宋体" w:hAnsi="宋体" w:eastAsia="宋体" w:cs="宋体"/>
          <w:sz w:val="22"/>
          <w:szCs w:val="22"/>
          <w:highlight w:val="none"/>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7</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测量精度：±2.0µg/m3（小于80µg/m3），其他±5.0µg/m3（24小时）；</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8）</w:t>
      </w:r>
      <w:r>
        <w:rPr>
          <w:rFonts w:hint="eastAsia" w:ascii="宋体" w:hAnsi="宋体" w:eastAsia="宋体" w:cs="宋体"/>
          <w:sz w:val="22"/>
          <w:szCs w:val="22"/>
          <w:highlight w:val="none"/>
        </w:rPr>
        <w:t>校准膜重现性（示值误差）：±2%</w:t>
      </w:r>
      <w:r>
        <w:rPr>
          <w:rFonts w:hint="eastAsia" w:ascii="宋体" w:hAnsi="宋体" w:cs="宋体"/>
          <w:sz w:val="22"/>
          <w:szCs w:val="22"/>
          <w:highlight w:val="none"/>
          <w:lang w:eastAsia="zh-CN"/>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9</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采样流量： 16.67升/分钟；</w:t>
      </w:r>
      <w:r>
        <w:rPr>
          <w:rFonts w:hint="eastAsia" w:ascii="宋体" w:hAnsi="宋体" w:eastAsia="宋体" w:cs="宋体"/>
          <w:sz w:val="22"/>
          <w:szCs w:val="22"/>
          <w:highlight w:val="none"/>
          <w:lang w:val="en-US" w:eastAsia="zh-CN"/>
        </w:rPr>
        <w:t xml:space="preserve">  </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10</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流量精度：±2%测量值；</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11</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★仪器的质量浓度时间周期：60到3600秒和24小时；（</w:t>
      </w:r>
      <w:r>
        <w:rPr>
          <w:rFonts w:hint="eastAsia" w:ascii="宋体" w:hAnsi="宋体" w:eastAsia="宋体" w:cs="宋体"/>
          <w:sz w:val="22"/>
          <w:szCs w:val="22"/>
          <w:highlight w:val="none"/>
          <w:lang w:eastAsia="zh-CN"/>
        </w:rPr>
        <w:t>需提供相关证明材料</w:t>
      </w:r>
      <w:r>
        <w:rPr>
          <w:rFonts w:hint="eastAsia" w:ascii="宋体" w:hAnsi="宋体" w:eastAsia="宋体" w:cs="宋体"/>
          <w:sz w:val="22"/>
          <w:szCs w:val="22"/>
          <w:highlight w:val="none"/>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数据输出速率：每1秒；</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实时监控滤膜负载情况：仪器更换滤带采样点可以有流量下降、颗粒物负载值、时间设置三种方式来控制，节约滤带的使用量，不会出现因滤膜超载而产生的数据丢失情况；压力/温度测量：实时监测环境压力与温度，可以选择输出实况浓度和标况浓度；</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val="en-US" w:eastAsia="zh-CN"/>
        </w:rPr>
        <w:t>4</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信号输出：0-1V，0-5V，0-10V，RS232/RS485，TCP/IP，10个继电器输出；</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rPr>
        <w:t>．可以使用软件进行远程监控，实时调取仪器操作界面，方便对仪器进行远程维护</w:t>
      </w:r>
      <w:r>
        <w:rPr>
          <w:rFonts w:hint="eastAsia" w:ascii="宋体" w:hAnsi="宋体" w:cs="宋体"/>
          <w:sz w:val="22"/>
          <w:szCs w:val="22"/>
          <w:highlight w:val="none"/>
          <w:lang w:eastAsia="zh-CN"/>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．★可采用零膜和跨度膜按需求进行质量控制检查、审计和校准。（</w:t>
      </w:r>
      <w:r>
        <w:rPr>
          <w:rFonts w:hint="eastAsia" w:ascii="宋体" w:hAnsi="宋体" w:eastAsia="宋体" w:cs="宋体"/>
          <w:sz w:val="22"/>
          <w:szCs w:val="22"/>
          <w:highlight w:val="none"/>
          <w:lang w:eastAsia="zh-CN"/>
        </w:rPr>
        <w:t>需提供相关证明材料</w:t>
      </w:r>
      <w:r>
        <w:rPr>
          <w:rFonts w:hint="eastAsia" w:ascii="宋体" w:hAnsi="宋体" w:eastAsia="宋体" w:cs="宋体"/>
          <w:sz w:val="22"/>
          <w:szCs w:val="22"/>
          <w:highlight w:val="none"/>
        </w:rPr>
        <w:t>）</w:t>
      </w:r>
    </w:p>
    <w:p>
      <w:pPr>
        <w:pStyle w:val="224"/>
        <w:keepNext w:val="0"/>
        <w:pageBreakBefore w:val="0"/>
        <w:kinsoku/>
        <w:wordWrap/>
        <w:overflowPunct/>
        <w:topLinePunct w:val="0"/>
        <w:bidi w:val="0"/>
        <w:spacing w:line="400" w:lineRule="exact"/>
        <w:rPr>
          <w:rFonts w:hint="eastAsia"/>
          <w:highlight w:val="none"/>
        </w:rPr>
      </w:pPr>
    </w:p>
    <w:p>
      <w:pPr>
        <w:pStyle w:val="8"/>
        <w:keepNext w:val="0"/>
        <w:pageBreakBefore w:val="0"/>
        <w:kinsoku/>
        <w:wordWrap/>
        <w:overflowPunct/>
        <w:topLinePunct w:val="0"/>
        <w:autoSpaceDE/>
        <w:autoSpaceDN/>
        <w:bidi w:val="0"/>
        <w:spacing w:line="400" w:lineRule="exact"/>
        <w:ind w:left="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2、PM10分析仪</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用途：测量环境空气中的PM10质量浓度；</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★检测方法：连续实时地在环境温度下同时进行颗粒物的采集和质量测量。采用β射线吸收加光散射双检测技术或震荡天平法</w:t>
      </w:r>
      <w:r>
        <w:rPr>
          <w:rFonts w:hint="eastAsia" w:ascii="宋体" w:hAnsi="宋体" w:cs="宋体"/>
          <w:sz w:val="22"/>
          <w:szCs w:val="22"/>
          <w:highlight w:val="none"/>
          <w:lang w:eastAsia="zh-CN"/>
        </w:rPr>
        <w:t>；</w:t>
      </w:r>
      <w:r>
        <w:rPr>
          <w:rFonts w:hint="eastAsia" w:ascii="宋体" w:hAnsi="宋体" w:eastAsia="宋体" w:cs="宋体"/>
          <w:sz w:val="22"/>
          <w:szCs w:val="22"/>
          <w:highlight w:val="none"/>
        </w:rPr>
        <w:t>（</w:t>
      </w:r>
      <w:r>
        <w:rPr>
          <w:rFonts w:hint="eastAsia" w:ascii="宋体" w:hAnsi="宋体" w:eastAsia="宋体" w:cs="宋体"/>
          <w:sz w:val="22"/>
          <w:szCs w:val="22"/>
          <w:highlight w:val="none"/>
          <w:lang w:eastAsia="zh-CN"/>
        </w:rPr>
        <w:t>需提供相关证明材料</w:t>
      </w:r>
      <w:r>
        <w:rPr>
          <w:rFonts w:hint="eastAsia" w:ascii="宋体" w:hAnsi="宋体" w:eastAsia="宋体" w:cs="宋体"/>
          <w:sz w:val="22"/>
          <w:szCs w:val="22"/>
          <w:highlight w:val="none"/>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3</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 xml:space="preserve">属于中国环境监测总站环境空气自动监测系统认证检测合格产品； </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4</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采样头：环保部认可的PM10采样头；</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智能加热系统：配置智能加热系统，可设置恒温加热和动态加热模式，能有效地控制样品的温度和湿度；</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★最低检测限：小于1µg/m3 (2 σ)（24小时数据）</w:t>
      </w:r>
      <w:r>
        <w:rPr>
          <w:rFonts w:hint="eastAsia" w:ascii="宋体" w:hAnsi="宋体" w:cs="宋体"/>
          <w:sz w:val="22"/>
          <w:szCs w:val="22"/>
          <w:highlight w:val="none"/>
          <w:lang w:eastAsia="zh-CN"/>
        </w:rPr>
        <w:t>；</w:t>
      </w:r>
      <w:r>
        <w:rPr>
          <w:rFonts w:hint="eastAsia" w:ascii="宋体" w:hAnsi="宋体" w:eastAsia="宋体" w:cs="宋体"/>
          <w:sz w:val="22"/>
          <w:szCs w:val="22"/>
          <w:highlight w:val="none"/>
        </w:rPr>
        <w:t>（</w:t>
      </w:r>
      <w:r>
        <w:rPr>
          <w:rFonts w:hint="eastAsia" w:ascii="宋体" w:hAnsi="宋体" w:eastAsia="宋体" w:cs="宋体"/>
          <w:sz w:val="22"/>
          <w:szCs w:val="22"/>
          <w:highlight w:val="none"/>
          <w:lang w:eastAsia="zh-CN"/>
        </w:rPr>
        <w:t>需提供相关证明材料</w:t>
      </w:r>
      <w:r>
        <w:rPr>
          <w:rFonts w:hint="eastAsia" w:ascii="宋体" w:hAnsi="宋体" w:eastAsia="宋体" w:cs="宋体"/>
          <w:sz w:val="22"/>
          <w:szCs w:val="22"/>
          <w:highlight w:val="none"/>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7</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测量精度：±2.0µg/m3（小于80µg/m3），其他±5.0µg/m3（24小时）；</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8</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 xml:space="preserve"> 校准膜重现性（示值误差）：±2%</w:t>
      </w:r>
      <w:r>
        <w:rPr>
          <w:rFonts w:hint="eastAsia" w:ascii="宋体" w:hAnsi="宋体" w:cs="宋体"/>
          <w:sz w:val="22"/>
          <w:szCs w:val="22"/>
          <w:highlight w:val="none"/>
          <w:lang w:eastAsia="zh-CN"/>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9</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采样流量： 16.67升/分钟；</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val="en-US" w:eastAsia="zh-CN"/>
        </w:rPr>
        <w:t>0</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流量精度：±2%测量值；</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val="en-US" w:eastAsia="zh-CN"/>
        </w:rPr>
        <w:t>1</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★仪器的质量浓度时间周期：60到3600秒和24小时；（需提供</w:t>
      </w:r>
      <w:r>
        <w:rPr>
          <w:rFonts w:hint="eastAsia" w:ascii="宋体" w:hAnsi="宋体" w:eastAsia="宋体" w:cs="宋体"/>
          <w:sz w:val="22"/>
          <w:szCs w:val="22"/>
          <w:highlight w:val="none"/>
          <w:lang w:val="en-US" w:eastAsia="zh-CN"/>
        </w:rPr>
        <w:t>相关</w:t>
      </w:r>
      <w:r>
        <w:rPr>
          <w:rFonts w:hint="eastAsia" w:ascii="宋体" w:hAnsi="宋体" w:eastAsia="宋体" w:cs="宋体"/>
          <w:sz w:val="22"/>
          <w:szCs w:val="22"/>
          <w:highlight w:val="none"/>
        </w:rPr>
        <w:t>证明材料）</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数据输出速率：每1秒；</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实时监控滤膜负载情况：仪器更换滤带采样点可以有流量下降、颗粒物负载值、时间设置三种方式来控制，节约滤带的使用量，不会出现因滤膜超载而产生的数据丢失情况；压力/温度测量：实时监测环境压力与温度，可以选择输出实况浓度和标况浓度；</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val="en-US" w:eastAsia="zh-CN"/>
        </w:rPr>
        <w:t>4</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信号输出：0-1V，0-5V，0-10V，RS232/RS485，TCP/IP，10个继电器输出；</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可以使用软件进行远程监控，实时调取仪器操作界面，方便对仪器进行远程维护</w:t>
      </w:r>
      <w:r>
        <w:rPr>
          <w:rFonts w:hint="eastAsia" w:ascii="宋体" w:hAnsi="宋体" w:cs="宋体"/>
          <w:sz w:val="22"/>
          <w:szCs w:val="22"/>
          <w:highlight w:val="none"/>
          <w:lang w:eastAsia="zh-CN"/>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16</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★可采用零膜和跨度膜按需求进行质量控制检查、审计和校准。（需提供</w:t>
      </w:r>
      <w:r>
        <w:rPr>
          <w:rFonts w:hint="eastAsia" w:ascii="宋体" w:hAnsi="宋体" w:eastAsia="宋体" w:cs="宋体"/>
          <w:sz w:val="22"/>
          <w:szCs w:val="22"/>
          <w:highlight w:val="none"/>
          <w:lang w:val="en-US" w:eastAsia="zh-CN"/>
        </w:rPr>
        <w:t>相关</w:t>
      </w:r>
      <w:r>
        <w:rPr>
          <w:rFonts w:hint="eastAsia" w:ascii="宋体" w:hAnsi="宋体" w:eastAsia="宋体" w:cs="宋体"/>
          <w:sz w:val="22"/>
          <w:szCs w:val="22"/>
          <w:highlight w:val="none"/>
        </w:rPr>
        <w:t>证明材料）</w:t>
      </w:r>
      <w:r>
        <w:rPr>
          <w:rFonts w:hint="eastAsia" w:ascii="宋体" w:hAnsi="宋体" w:eastAsia="宋体" w:cs="宋体"/>
          <w:sz w:val="22"/>
          <w:szCs w:val="22"/>
          <w:highlight w:val="none"/>
          <w:lang w:eastAsia="zh-CN"/>
        </w:rPr>
        <w:t>。</w:t>
      </w:r>
    </w:p>
    <w:p>
      <w:pPr>
        <w:pStyle w:val="224"/>
        <w:keepNext w:val="0"/>
        <w:pageBreakBefore w:val="0"/>
        <w:kinsoku/>
        <w:wordWrap/>
        <w:overflowPunct/>
        <w:topLinePunct w:val="0"/>
        <w:bidi w:val="0"/>
        <w:spacing w:line="400" w:lineRule="exact"/>
        <w:rPr>
          <w:rFonts w:hint="eastAsia"/>
          <w:highlight w:val="none"/>
          <w:lang w:eastAsia="zh-CN"/>
        </w:rPr>
      </w:pPr>
    </w:p>
    <w:p>
      <w:pPr>
        <w:pStyle w:val="8"/>
        <w:keepNext w:val="0"/>
        <w:pageBreakBefore w:val="0"/>
        <w:kinsoku/>
        <w:wordWrap/>
        <w:overflowPunct/>
        <w:topLinePunct w:val="0"/>
        <w:autoSpaceDE/>
        <w:autoSpaceDN/>
        <w:bidi w:val="0"/>
        <w:spacing w:line="400" w:lineRule="exact"/>
        <w:ind w:left="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3、O</w:t>
      </w:r>
      <w:r>
        <w:rPr>
          <w:rFonts w:hint="eastAsia" w:ascii="宋体" w:hAnsi="宋体" w:eastAsia="宋体" w:cs="宋体"/>
          <w:sz w:val="22"/>
          <w:szCs w:val="22"/>
          <w:highlight w:val="none"/>
          <w:vertAlign w:val="subscript"/>
        </w:rPr>
        <w:t>3</w:t>
      </w:r>
      <w:r>
        <w:rPr>
          <w:rFonts w:hint="eastAsia" w:ascii="宋体" w:hAnsi="宋体" w:eastAsia="宋体" w:cs="宋体"/>
          <w:sz w:val="22"/>
          <w:szCs w:val="22"/>
          <w:highlight w:val="none"/>
        </w:rPr>
        <w:t>分析仪</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1</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用途：测量环境空气中的臭氧浓度</w:t>
      </w:r>
      <w:r>
        <w:rPr>
          <w:rFonts w:hint="eastAsia" w:ascii="宋体" w:hAnsi="宋体" w:cs="宋体"/>
          <w:sz w:val="22"/>
          <w:szCs w:val="22"/>
          <w:highlight w:val="none"/>
          <w:lang w:eastAsia="zh-CN"/>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★测量方法：紫外吸收光度法；对称型双光池设计</w:t>
      </w:r>
      <w:r>
        <w:rPr>
          <w:rFonts w:hint="eastAsia" w:ascii="宋体" w:hAnsi="宋体" w:cs="宋体"/>
          <w:sz w:val="22"/>
          <w:szCs w:val="22"/>
          <w:highlight w:val="none"/>
          <w:lang w:eastAsia="zh-CN"/>
        </w:rPr>
        <w:t>；</w:t>
      </w:r>
      <w:r>
        <w:rPr>
          <w:rFonts w:hint="eastAsia" w:ascii="宋体" w:hAnsi="宋体" w:eastAsia="宋体" w:cs="宋体"/>
          <w:sz w:val="22"/>
          <w:szCs w:val="22"/>
          <w:highlight w:val="none"/>
        </w:rPr>
        <w:t>（</w:t>
      </w:r>
      <w:r>
        <w:rPr>
          <w:rFonts w:hint="eastAsia" w:ascii="宋体" w:hAnsi="宋体" w:eastAsia="宋体" w:cs="宋体"/>
          <w:sz w:val="22"/>
          <w:szCs w:val="22"/>
          <w:highlight w:val="none"/>
          <w:lang w:eastAsia="zh-CN"/>
        </w:rPr>
        <w:t>需提供相关证明材料</w:t>
      </w:r>
      <w:r>
        <w:rPr>
          <w:rFonts w:hint="eastAsia" w:ascii="宋体" w:hAnsi="宋体" w:eastAsia="宋体" w:cs="宋体"/>
          <w:sz w:val="22"/>
          <w:szCs w:val="22"/>
          <w:highlight w:val="none"/>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3</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属于中国环境监测总站环境空气自动监测系统认证检测合格产品；</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4</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 xml:space="preserve">测量范围：0-0.05, 0.1, 0.2, 0.5, 1, 2, 5, 10ppm可选，自动或手动选择分档； </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5</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零点噪声：&lt;0.25ppb(RMS)；</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6</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★最低检测限：0.5ppb； （</w:t>
      </w:r>
      <w:r>
        <w:rPr>
          <w:rFonts w:hint="eastAsia" w:ascii="宋体" w:hAnsi="宋体" w:eastAsia="宋体" w:cs="宋体"/>
          <w:sz w:val="22"/>
          <w:szCs w:val="22"/>
          <w:highlight w:val="none"/>
          <w:lang w:eastAsia="zh-CN"/>
        </w:rPr>
        <w:t>需提供相关证明材料</w:t>
      </w:r>
      <w:r>
        <w:rPr>
          <w:rFonts w:hint="eastAsia" w:ascii="宋体" w:hAnsi="宋体" w:eastAsia="宋体" w:cs="宋体"/>
          <w:sz w:val="22"/>
          <w:szCs w:val="22"/>
          <w:highlight w:val="none"/>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7</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测量精度：±1.0ppb；</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8</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 xml:space="preserve">线性：±1%满度值； </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9.零点漂移：&lt;1.0ppb/24h</w:t>
      </w:r>
      <w:r>
        <w:rPr>
          <w:rFonts w:hint="eastAsia" w:ascii="宋体" w:hAnsi="宋体" w:cs="宋体"/>
          <w:sz w:val="22"/>
          <w:szCs w:val="22"/>
          <w:highlight w:val="none"/>
          <w:lang w:eastAsia="zh-CN"/>
        </w:rPr>
        <w:t>；</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10.跨度漂移：±1%满度值/24h；</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11.质量控制：可以自动零点和标点检查；</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12.响应时间：&lt;300s/(0-95%)；</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13.运行温度范围：10-35℃； </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14.测量值输出：0~100mV、1V、5V、10V电压输出或0-20mA、4-20mA电流输出，具有RS232/RS485 和以太网口；</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15.运行方式：微处理机控制，具有参数设定、仪器运行状态参数显示、自我诊断报警、诊断操作、存储分析数据和运行状态参数的功能；</w:t>
      </w:r>
    </w:p>
    <w:p>
      <w:pPr>
        <w:keepNext w:val="0"/>
        <w:pageBreakBefore w:val="0"/>
        <w:kinsoku/>
        <w:wordWrap/>
        <w:overflowPunct/>
        <w:topLinePunct w:val="0"/>
        <w:autoSpaceDE/>
        <w:autoSpaceDN/>
        <w:bidi w:val="0"/>
        <w:spacing w:line="400" w:lineRule="exact"/>
        <w:ind w:left="0" w:firstLine="440" w:firstLineChars="200"/>
        <w:jc w:val="left"/>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16.电源电压：220±10%VAC/50Hz</w:t>
      </w:r>
      <w:r>
        <w:rPr>
          <w:rFonts w:hint="eastAsia" w:ascii="宋体" w:hAnsi="宋体" w:cs="宋体"/>
          <w:sz w:val="22"/>
          <w:szCs w:val="22"/>
          <w:highlight w:val="none"/>
          <w:lang w:eastAsia="zh-CN"/>
        </w:rPr>
        <w:t>。</w:t>
      </w:r>
    </w:p>
    <w:p>
      <w:pPr>
        <w:pStyle w:val="224"/>
        <w:keepNext w:val="0"/>
        <w:pageBreakBefore w:val="0"/>
        <w:kinsoku/>
        <w:wordWrap/>
        <w:overflowPunct/>
        <w:topLinePunct w:val="0"/>
        <w:bidi w:val="0"/>
        <w:spacing w:line="400" w:lineRule="exact"/>
        <w:rPr>
          <w:rFonts w:hint="eastAsia"/>
          <w:highlight w:val="none"/>
        </w:rPr>
      </w:pPr>
    </w:p>
    <w:p>
      <w:pPr>
        <w:pStyle w:val="8"/>
        <w:keepNext w:val="0"/>
        <w:pageBreakBefore w:val="0"/>
        <w:kinsoku/>
        <w:wordWrap/>
        <w:overflowPunct/>
        <w:topLinePunct w:val="0"/>
        <w:autoSpaceDE/>
        <w:autoSpaceDN/>
        <w:bidi w:val="0"/>
        <w:spacing w:line="400" w:lineRule="exact"/>
        <w:ind w:left="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4、NO-NO2-NOX分析仪</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用途：测量环境空气中的 NO/NO2/Nox浓度；</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2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测量方法：化学发光法；</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3</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属于中国环境监测总站环境空气自动监测系统认证检测合格产品；</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4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测量范围：0-0.05、0.1、0.2、0.5、1、2、5、10、20、50、100ppm可选，自动或手动选择分档；</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5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零点噪声：&lt;0.2ppb(RMS)；</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6</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最低检测限：0.4ppb；</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7</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测量精度：±0.5 ppb(100ppb量程)或读数的0.5%（量程大于100ppb）；</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8</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线性：±1%满度值；</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rPr>
        <w:t>9</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零点漂移：&lt;0.5ppb/24h</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10</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跨度漂移：±1%满度值/24h；</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11</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响应时间：&lt;110s；（</w:t>
      </w:r>
      <w:r>
        <w:rPr>
          <w:rFonts w:hint="eastAsia" w:ascii="宋体" w:hAnsi="宋体" w:eastAsia="宋体" w:cs="宋体"/>
          <w:color w:val="000000"/>
          <w:sz w:val="22"/>
          <w:szCs w:val="22"/>
          <w:highlight w:val="none"/>
          <w:lang w:eastAsia="zh-CN"/>
        </w:rPr>
        <w:t>需提供相关证明材料</w:t>
      </w:r>
      <w:r>
        <w:rPr>
          <w:rFonts w:hint="eastAsia" w:ascii="宋体" w:hAnsi="宋体" w:eastAsia="宋体" w:cs="宋体"/>
          <w:color w:val="000000"/>
          <w:sz w:val="22"/>
          <w:szCs w:val="22"/>
          <w:highlight w:val="none"/>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12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运行温度范围：10-35℃；</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13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测量值输出：0~100mV、1V、5V、10V电压输出或0-20mA、4-20mA电流输出，具有RS232/RS485 和以太网口；</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14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运行方式：微处理机控制，具有参数设定、仪器运行状态参数显示、自我诊断报警、诊断操作、存储分析数据和运行状态参数的功能；</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15</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零跨阀：外置，可满足自动校准；</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rPr>
        <w:t>16</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电源电压：220±10%VAC/50Hz</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rPr>
      </w:pPr>
    </w:p>
    <w:p>
      <w:pPr>
        <w:pStyle w:val="8"/>
        <w:keepNext w:val="0"/>
        <w:pageBreakBefore w:val="0"/>
        <w:kinsoku/>
        <w:wordWrap/>
        <w:overflowPunct/>
        <w:topLinePunct w:val="0"/>
        <w:autoSpaceDE/>
        <w:autoSpaceDN/>
        <w:bidi w:val="0"/>
        <w:spacing w:line="400" w:lineRule="exact"/>
        <w:ind w:left="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5、SO2分析仪</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用途：测量环境空气中的二氧化硫浓度；</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测量方法：脉冲紫外荧光法；（</w:t>
      </w:r>
      <w:r>
        <w:rPr>
          <w:rFonts w:hint="eastAsia" w:ascii="宋体" w:hAnsi="宋体" w:eastAsia="宋体" w:cs="宋体"/>
          <w:color w:val="000000"/>
          <w:sz w:val="22"/>
          <w:szCs w:val="22"/>
          <w:highlight w:val="none"/>
          <w:lang w:eastAsia="zh-CN"/>
        </w:rPr>
        <w:t>需提供相关证明材料</w:t>
      </w:r>
      <w:r>
        <w:rPr>
          <w:rFonts w:hint="eastAsia" w:ascii="宋体" w:hAnsi="宋体" w:eastAsia="宋体" w:cs="宋体"/>
          <w:color w:val="000000"/>
          <w:sz w:val="22"/>
          <w:szCs w:val="22"/>
          <w:highlight w:val="none"/>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3</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属于中国环境监测总站环境空气自动监测系统认证检测合格产品；</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4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测量范围：0-0.05, 0.1, 0.2, 0.5, 1, 2, 5, 10, 20, 50,100 ppm可选，自动或手动选择分档；</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5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零点噪声：&lt;0.25ppb(RMS)；</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6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最低检测限：0.5ppb；</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7</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测量精度：读数值的 1%或2ppb；</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8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线性：±1%满度值；</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9</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零点漂移：&lt;1ppb/24h；</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10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跨度漂移：±1%满度值/24h；</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11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响应时间： &lt;200s；</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12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运行温度范围：10-35℃；</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13</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测量值输出： 0~100mV、1V、5V、10V电压输出或0-20mA、4-20mA电流输出，具有RS232/RS485 和以太网口；</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14</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运行方式：微处理机控制，具有参数设定、仪器运行状态参数显示、自我诊断报警、诊断操作、存储分析数据和运行状态参数的功能；</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15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零跨阀：外置，可满足自动校准；</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rPr>
        <w:t xml:space="preserve">16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电源电压：220±10%VAC/50Hz</w:t>
      </w:r>
      <w:r>
        <w:rPr>
          <w:rFonts w:hint="eastAsia" w:ascii="宋体" w:hAnsi="宋体" w:cs="宋体"/>
          <w:color w:val="000000"/>
          <w:sz w:val="22"/>
          <w:szCs w:val="22"/>
          <w:highlight w:val="none"/>
          <w:lang w:eastAsia="zh-CN"/>
        </w:rPr>
        <w:t>。</w:t>
      </w:r>
    </w:p>
    <w:p>
      <w:pPr>
        <w:pStyle w:val="224"/>
        <w:keepNext w:val="0"/>
        <w:pageBreakBefore w:val="0"/>
        <w:kinsoku/>
        <w:wordWrap/>
        <w:overflowPunct/>
        <w:topLinePunct w:val="0"/>
        <w:bidi w:val="0"/>
        <w:spacing w:line="400" w:lineRule="exact"/>
        <w:rPr>
          <w:rFonts w:hint="eastAsia"/>
          <w:highlight w:val="none"/>
        </w:rPr>
      </w:pPr>
    </w:p>
    <w:p>
      <w:pPr>
        <w:pStyle w:val="8"/>
        <w:keepNext w:val="0"/>
        <w:pageBreakBefore w:val="0"/>
        <w:kinsoku/>
        <w:wordWrap/>
        <w:overflowPunct/>
        <w:topLinePunct w:val="0"/>
        <w:autoSpaceDE/>
        <w:autoSpaceDN/>
        <w:bidi w:val="0"/>
        <w:spacing w:line="400" w:lineRule="exact"/>
        <w:ind w:left="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6、CO分析仪</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用途：测量环境空气中的一氧化碳浓度；</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2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测量方法：气体滤波相关红外法；</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3</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属于中国环境监测总站环境空气自动监测系统认证检测合格产品；</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4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测量范围：0-1, 2, 5, 10, 20, 50, 100, 200, 500, 1000 ，2000，5000，10000ppm可选，双量程自动切换；</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5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零点噪声：&lt;0.2ppm(RMS)；</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6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最低检测限：≤0.</w:t>
      </w:r>
      <w:r>
        <w:rPr>
          <w:rFonts w:hint="eastAsia" w:ascii="宋体" w:hAnsi="宋体" w:eastAsia="宋体" w:cs="宋体"/>
          <w:color w:val="000000"/>
          <w:sz w:val="22"/>
          <w:szCs w:val="22"/>
          <w:highlight w:val="none"/>
          <w:lang w:eastAsia="zh-CN"/>
        </w:rPr>
        <w:t>5</w:t>
      </w:r>
      <w:r>
        <w:rPr>
          <w:rFonts w:hint="eastAsia" w:ascii="宋体" w:hAnsi="宋体" w:eastAsia="宋体" w:cs="宋体"/>
          <w:color w:val="000000"/>
          <w:sz w:val="22"/>
          <w:szCs w:val="22"/>
          <w:highlight w:val="none"/>
        </w:rPr>
        <w:t>ppm；</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7</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测量精度：±0.1 ppm；</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8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线性：±1%满度值；</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9</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零点漂移：≤0.2ppm/24h；</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10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跨度漂移：±1%满度值/24h；</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11</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响应时间：&lt;120s；</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12</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运行温度范围：10-35℃；</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13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零跨阀：内置，可满足自动校准； </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rPr>
        <w:t xml:space="preserve">14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具有内置自动零点校正系统</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15</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测量值输出：0~100mV、1V、5V、10V电压输出或0-20mA、4-20mA电流输出，具有RS232/RS485 和以太网口；</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16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运行方式：微处理机控制，具有参数设定、仪器运行状态参数显示、自我诊断报警、诊断操作、存储分析数据和运行状态参数的功能；</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rPr>
        <w:t xml:space="preserve">17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电源电压：220±10%VAC/50Hz</w:t>
      </w:r>
      <w:r>
        <w:rPr>
          <w:rFonts w:hint="eastAsia" w:ascii="宋体" w:hAnsi="宋体" w:cs="宋体"/>
          <w:color w:val="000000"/>
          <w:sz w:val="22"/>
          <w:szCs w:val="22"/>
          <w:highlight w:val="none"/>
          <w:lang w:eastAsia="zh-CN"/>
        </w:rPr>
        <w:t>。</w:t>
      </w:r>
    </w:p>
    <w:p>
      <w:pPr>
        <w:pStyle w:val="224"/>
        <w:keepNext w:val="0"/>
        <w:pageBreakBefore w:val="0"/>
        <w:kinsoku/>
        <w:wordWrap/>
        <w:overflowPunct/>
        <w:topLinePunct w:val="0"/>
        <w:bidi w:val="0"/>
        <w:spacing w:line="400" w:lineRule="exact"/>
        <w:rPr>
          <w:rFonts w:hint="eastAsia"/>
          <w:highlight w:val="none"/>
        </w:rPr>
      </w:pPr>
    </w:p>
    <w:p>
      <w:pPr>
        <w:pStyle w:val="8"/>
        <w:keepNext w:val="0"/>
        <w:pageBreakBefore w:val="0"/>
        <w:kinsoku/>
        <w:wordWrap/>
        <w:overflowPunct/>
        <w:topLinePunct w:val="0"/>
        <w:autoSpaceDE/>
        <w:autoSpaceDN/>
        <w:bidi w:val="0"/>
        <w:spacing w:line="400" w:lineRule="exact"/>
        <w:ind w:left="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7、动态校准仪</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1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具有稀释系统及多种气体标准气源入口，动态配置多种不同浓度的标准气，实现对气态分析仪的单点和多点校准的功能；</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2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能接受控制指令进行自动零、跨（单点和多点）校准，也能以手动方式进行校准；</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3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具有自编程能力，编制/存储校准程序，并启动和控制分析仪器进行零/跨或多点校准；</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4</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流量测量准确度：±1%满量程；</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5</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流量测量线性：±0.5%满量程；</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6</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流量测量重复性：±2%满量程；</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7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标准气输入口： 3 个或以上；稀释气输出口 ：1 个；</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rPr>
        <w:t xml:space="preserve">8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臭氧发生器输出臭氧浓度范围：0.01ppm-1ppm@6SLPM</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rPr>
        <w:t>9</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数字信号控制：10个继电器和8路24VDC电磁阀驱动的控制输出，16通道控制输入</w:t>
      </w:r>
      <w:r>
        <w:rPr>
          <w:rFonts w:hint="eastAsia" w:ascii="宋体" w:hAnsi="宋体" w:cs="宋体"/>
          <w:color w:val="000000"/>
          <w:sz w:val="22"/>
          <w:szCs w:val="22"/>
          <w:highlight w:val="none"/>
          <w:lang w:eastAsia="zh-CN"/>
        </w:rPr>
        <w:t>。</w:t>
      </w:r>
    </w:p>
    <w:p>
      <w:pPr>
        <w:pStyle w:val="224"/>
        <w:keepNext w:val="0"/>
        <w:pageBreakBefore w:val="0"/>
        <w:kinsoku/>
        <w:wordWrap/>
        <w:overflowPunct/>
        <w:topLinePunct w:val="0"/>
        <w:bidi w:val="0"/>
        <w:spacing w:line="400" w:lineRule="exact"/>
        <w:rPr>
          <w:rFonts w:hint="eastAsia"/>
          <w:highlight w:val="none"/>
        </w:rPr>
      </w:pPr>
    </w:p>
    <w:p>
      <w:pPr>
        <w:pStyle w:val="8"/>
        <w:keepNext w:val="0"/>
        <w:pageBreakBefore w:val="0"/>
        <w:kinsoku/>
        <w:wordWrap/>
        <w:overflowPunct/>
        <w:topLinePunct w:val="0"/>
        <w:autoSpaceDE/>
        <w:autoSpaceDN/>
        <w:bidi w:val="0"/>
        <w:spacing w:line="400" w:lineRule="exact"/>
        <w:ind w:left="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8、零气发生器</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输出流量：≥10L/min；  </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2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输出压力：10-30PSI；</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3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含去除 HC 和 CO 装置；</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4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零气纯度：NO、NO2、SO2、O3 、NH3&lt;1.0ppb，CO、HC≤0.1ppm；</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rPr>
        <w:t xml:space="preserve">5 </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电源电压：220 VAC±10%/50Hz</w:t>
      </w:r>
      <w:r>
        <w:rPr>
          <w:rFonts w:hint="eastAsia" w:ascii="宋体" w:hAnsi="宋体" w:cs="宋体"/>
          <w:color w:val="000000"/>
          <w:sz w:val="22"/>
          <w:szCs w:val="22"/>
          <w:highlight w:val="none"/>
          <w:lang w:eastAsia="zh-CN"/>
        </w:rPr>
        <w:t>。</w:t>
      </w:r>
    </w:p>
    <w:p>
      <w:pPr>
        <w:pStyle w:val="224"/>
        <w:keepNext w:val="0"/>
        <w:pageBreakBefore w:val="0"/>
        <w:kinsoku/>
        <w:wordWrap/>
        <w:overflowPunct/>
        <w:topLinePunct w:val="0"/>
        <w:bidi w:val="0"/>
        <w:spacing w:line="400" w:lineRule="exact"/>
        <w:rPr>
          <w:rFonts w:hint="eastAsia"/>
          <w:highlight w:val="none"/>
        </w:rPr>
      </w:pPr>
    </w:p>
    <w:p>
      <w:pPr>
        <w:pStyle w:val="8"/>
        <w:keepNext w:val="0"/>
        <w:pageBreakBefore w:val="0"/>
        <w:kinsoku/>
        <w:wordWrap/>
        <w:overflowPunct/>
        <w:topLinePunct w:val="0"/>
        <w:autoSpaceDE/>
        <w:autoSpaceDN/>
        <w:bidi w:val="0"/>
        <w:spacing w:line="400" w:lineRule="exact"/>
        <w:ind w:left="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9、气象五参数</w:t>
      </w:r>
    </w:p>
    <w:p>
      <w:pPr>
        <w:keepNext w:val="0"/>
        <w:pageBreakBefore w:val="0"/>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（一）用途</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测量环境温度、湿度、气压、风速、风向；</w:t>
      </w:r>
    </w:p>
    <w:p>
      <w:pPr>
        <w:keepNext w:val="0"/>
        <w:pageBreakBefore w:val="0"/>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（二）主要技术指标：</w:t>
      </w:r>
    </w:p>
    <w:p>
      <w:pPr>
        <w:keepNext w:val="0"/>
        <w:pageBreakBefore w:val="0"/>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温度</w:t>
      </w:r>
      <w:r>
        <w:rPr>
          <w:rFonts w:hint="eastAsia" w:ascii="宋体" w:hAnsi="宋体" w:eastAsia="宋体" w:cs="宋体"/>
          <w:color w:val="auto"/>
          <w:sz w:val="22"/>
          <w:szCs w:val="22"/>
          <w:highlight w:val="none"/>
        </w:rPr>
        <w:tab/>
      </w:r>
    </w:p>
    <w:p>
      <w:pPr>
        <w:keepNext w:val="0"/>
        <w:pageBreakBefore w:val="0"/>
        <w:numPr>
          <w:ilvl w:val="0"/>
          <w:numId w:val="22"/>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原理：负温度系数；</w:t>
      </w:r>
    </w:p>
    <w:p>
      <w:pPr>
        <w:keepNext w:val="0"/>
        <w:pageBreakBefore w:val="0"/>
        <w:numPr>
          <w:ilvl w:val="0"/>
          <w:numId w:val="22"/>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测量范围：-50～60℃；</w:t>
      </w:r>
    </w:p>
    <w:p>
      <w:pPr>
        <w:keepNext w:val="0"/>
        <w:pageBreakBefore w:val="0"/>
        <w:numPr>
          <w:ilvl w:val="0"/>
          <w:numId w:val="22"/>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准确度：≤±0.2℃</w:t>
      </w:r>
      <w:r>
        <w:rPr>
          <w:rFonts w:hint="eastAsia" w:ascii="宋体" w:hAnsi="宋体" w:cs="宋体"/>
          <w:color w:val="auto"/>
          <w:sz w:val="22"/>
          <w:szCs w:val="22"/>
          <w:highlight w:val="none"/>
          <w:lang w:eastAsia="zh-CN"/>
        </w:rPr>
        <w:t>。</w:t>
      </w:r>
    </w:p>
    <w:p>
      <w:pPr>
        <w:keepNext w:val="0"/>
        <w:pageBreakBefore w:val="0"/>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相对湿度</w:t>
      </w:r>
    </w:p>
    <w:p>
      <w:pPr>
        <w:keepNext w:val="0"/>
        <w:pageBreakBefore w:val="0"/>
        <w:numPr>
          <w:ilvl w:val="0"/>
          <w:numId w:val="23"/>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原理：电容式；</w:t>
      </w:r>
    </w:p>
    <w:p>
      <w:pPr>
        <w:keepNext w:val="0"/>
        <w:pageBreakBefore w:val="0"/>
        <w:numPr>
          <w:ilvl w:val="0"/>
          <w:numId w:val="23"/>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测量范围：0-100%相对湿度；</w:t>
      </w:r>
    </w:p>
    <w:p>
      <w:pPr>
        <w:keepNext w:val="0"/>
        <w:pageBreakBefore w:val="0"/>
        <w:numPr>
          <w:ilvl w:val="0"/>
          <w:numId w:val="23"/>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准确度：≤±2% 相对湿度</w:t>
      </w:r>
      <w:r>
        <w:rPr>
          <w:rFonts w:hint="eastAsia" w:ascii="宋体" w:hAnsi="宋体" w:cs="宋体"/>
          <w:color w:val="auto"/>
          <w:sz w:val="22"/>
          <w:szCs w:val="22"/>
          <w:highlight w:val="none"/>
          <w:lang w:eastAsia="zh-CN"/>
        </w:rPr>
        <w:t>。</w:t>
      </w:r>
    </w:p>
    <w:p>
      <w:pPr>
        <w:keepNext w:val="0"/>
        <w:pageBreakBefore w:val="0"/>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气压</w:t>
      </w:r>
      <w:r>
        <w:rPr>
          <w:rFonts w:hint="eastAsia" w:ascii="宋体" w:hAnsi="宋体" w:eastAsia="宋体" w:cs="宋体"/>
          <w:color w:val="auto"/>
          <w:sz w:val="22"/>
          <w:szCs w:val="22"/>
          <w:highlight w:val="none"/>
        </w:rPr>
        <w:tab/>
      </w:r>
    </w:p>
    <w:p>
      <w:pPr>
        <w:keepNext w:val="0"/>
        <w:pageBreakBefore w:val="0"/>
        <w:numPr>
          <w:ilvl w:val="0"/>
          <w:numId w:val="24"/>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原理：MEMS 电容式；</w:t>
      </w:r>
    </w:p>
    <w:p>
      <w:pPr>
        <w:keepNext w:val="0"/>
        <w:pageBreakBefore w:val="0"/>
        <w:numPr>
          <w:ilvl w:val="0"/>
          <w:numId w:val="24"/>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测量范围：300-1200 百帕；</w:t>
      </w:r>
    </w:p>
    <w:p>
      <w:pPr>
        <w:keepNext w:val="0"/>
        <w:pageBreakBefore w:val="0"/>
        <w:numPr>
          <w:ilvl w:val="0"/>
          <w:numId w:val="24"/>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准确度：≤±1.5百帕</w:t>
      </w:r>
      <w:r>
        <w:rPr>
          <w:rFonts w:hint="eastAsia" w:ascii="宋体" w:hAnsi="宋体" w:cs="宋体"/>
          <w:color w:val="auto"/>
          <w:sz w:val="22"/>
          <w:szCs w:val="22"/>
          <w:highlight w:val="none"/>
          <w:lang w:eastAsia="zh-CN"/>
        </w:rPr>
        <w:t>。</w:t>
      </w:r>
    </w:p>
    <w:p>
      <w:pPr>
        <w:keepNext w:val="0"/>
        <w:pageBreakBefore w:val="0"/>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风向</w:t>
      </w:r>
      <w:r>
        <w:rPr>
          <w:rFonts w:hint="eastAsia" w:ascii="宋体" w:hAnsi="宋体" w:eastAsia="宋体" w:cs="宋体"/>
          <w:color w:val="auto"/>
          <w:sz w:val="22"/>
          <w:szCs w:val="22"/>
          <w:highlight w:val="none"/>
        </w:rPr>
        <w:tab/>
      </w:r>
    </w:p>
    <w:p>
      <w:pPr>
        <w:keepNext w:val="0"/>
        <w:pageBreakBefore w:val="0"/>
        <w:numPr>
          <w:ilvl w:val="0"/>
          <w:numId w:val="25"/>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原理：超声波；</w:t>
      </w:r>
    </w:p>
    <w:p>
      <w:pPr>
        <w:keepNext w:val="0"/>
        <w:pageBreakBefore w:val="0"/>
        <w:numPr>
          <w:ilvl w:val="0"/>
          <w:numId w:val="25"/>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测量范围：0-360°；</w:t>
      </w:r>
    </w:p>
    <w:p>
      <w:pPr>
        <w:keepNext w:val="0"/>
        <w:pageBreakBefore w:val="0"/>
        <w:numPr>
          <w:ilvl w:val="0"/>
          <w:numId w:val="25"/>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准确度：≤± 3°</w:t>
      </w:r>
      <w:r>
        <w:rPr>
          <w:rFonts w:hint="eastAsia" w:ascii="宋体" w:hAnsi="宋体" w:cs="宋体"/>
          <w:color w:val="auto"/>
          <w:sz w:val="22"/>
          <w:szCs w:val="22"/>
          <w:highlight w:val="none"/>
          <w:lang w:eastAsia="zh-CN"/>
        </w:rPr>
        <w:t>。</w:t>
      </w:r>
    </w:p>
    <w:p>
      <w:pPr>
        <w:keepNext w:val="0"/>
        <w:pageBreakBefore w:val="0"/>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风速</w:t>
      </w:r>
      <w:r>
        <w:rPr>
          <w:rFonts w:hint="eastAsia" w:ascii="宋体" w:hAnsi="宋体" w:eastAsia="宋体" w:cs="宋体"/>
          <w:color w:val="auto"/>
          <w:sz w:val="22"/>
          <w:szCs w:val="22"/>
          <w:highlight w:val="none"/>
        </w:rPr>
        <w:tab/>
      </w:r>
    </w:p>
    <w:p>
      <w:pPr>
        <w:keepNext w:val="0"/>
        <w:pageBreakBefore w:val="0"/>
        <w:numPr>
          <w:ilvl w:val="0"/>
          <w:numId w:val="26"/>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原理：超声波</w:t>
      </w:r>
    </w:p>
    <w:p>
      <w:pPr>
        <w:keepNext w:val="0"/>
        <w:pageBreakBefore w:val="0"/>
        <w:numPr>
          <w:ilvl w:val="0"/>
          <w:numId w:val="26"/>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测量范围：0-60米/秒；</w:t>
      </w:r>
    </w:p>
    <w:p>
      <w:pPr>
        <w:keepNext w:val="0"/>
        <w:pageBreakBefore w:val="0"/>
        <w:numPr>
          <w:ilvl w:val="0"/>
          <w:numId w:val="26"/>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准确度：使用最高值：≤±0.3m/s或≤3%</w:t>
      </w:r>
      <w:r>
        <w:rPr>
          <w:rFonts w:hint="eastAsia" w:ascii="宋体" w:hAnsi="宋体" w:cs="宋体"/>
          <w:color w:val="auto"/>
          <w:sz w:val="22"/>
          <w:szCs w:val="22"/>
          <w:highlight w:val="none"/>
          <w:lang w:eastAsia="zh-CN"/>
        </w:rPr>
        <w:t>。</w:t>
      </w:r>
    </w:p>
    <w:p>
      <w:pPr>
        <w:keepNext w:val="0"/>
        <w:pageBreakBefore w:val="0"/>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（三）基本信息</w:t>
      </w:r>
    </w:p>
    <w:p>
      <w:pPr>
        <w:keepNext w:val="0"/>
        <w:pageBreakBefore w:val="0"/>
        <w:numPr>
          <w:ilvl w:val="0"/>
          <w:numId w:val="27"/>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防护等级：IP64 接口RS485,双线连接方式，半双工操作功率</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 xml:space="preserve"> 直流电压24伏特±10%   ＜3伏安</w:t>
      </w:r>
      <w:r>
        <w:rPr>
          <w:rFonts w:hint="eastAsia" w:ascii="宋体" w:hAnsi="宋体" w:cs="宋体"/>
          <w:color w:val="auto"/>
          <w:sz w:val="22"/>
          <w:szCs w:val="22"/>
          <w:highlight w:val="none"/>
          <w:lang w:eastAsia="zh-CN"/>
        </w:rPr>
        <w:t>；</w:t>
      </w:r>
    </w:p>
    <w:p>
      <w:pPr>
        <w:keepNext w:val="0"/>
        <w:pageBreakBefore w:val="0"/>
        <w:numPr>
          <w:ilvl w:val="0"/>
          <w:numId w:val="27"/>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加热：直流电压 24V，功率25VA</w:t>
      </w:r>
      <w:r>
        <w:rPr>
          <w:rFonts w:hint="eastAsia" w:ascii="宋体" w:hAnsi="宋体" w:cs="宋体"/>
          <w:color w:val="auto"/>
          <w:sz w:val="22"/>
          <w:szCs w:val="22"/>
          <w:highlight w:val="none"/>
          <w:lang w:eastAsia="zh-CN"/>
        </w:rPr>
        <w:t>。</w:t>
      </w:r>
    </w:p>
    <w:p>
      <w:pPr>
        <w:keepNext w:val="0"/>
        <w:pageBreakBefore w:val="0"/>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（四）主要配置要求</w:t>
      </w:r>
    </w:p>
    <w:p>
      <w:pPr>
        <w:keepNext w:val="0"/>
        <w:pageBreakBefore w:val="0"/>
        <w:numPr>
          <w:ilvl w:val="0"/>
          <w:numId w:val="28"/>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基本配置要求：主机、附件、耗材等标配；</w:t>
      </w:r>
    </w:p>
    <w:p>
      <w:pPr>
        <w:keepNext w:val="0"/>
        <w:pageBreakBefore w:val="0"/>
        <w:numPr>
          <w:ilvl w:val="0"/>
          <w:numId w:val="28"/>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提供仪器安装及正常运行所需的所有附件及配件</w:t>
      </w:r>
      <w:r>
        <w:rPr>
          <w:rFonts w:hint="eastAsia" w:ascii="宋体" w:hAnsi="宋体" w:cs="宋体"/>
          <w:color w:val="auto"/>
          <w:sz w:val="22"/>
          <w:szCs w:val="22"/>
          <w:highlight w:val="none"/>
          <w:lang w:eastAsia="zh-CN"/>
        </w:rPr>
        <w:t>；</w:t>
      </w:r>
    </w:p>
    <w:p>
      <w:pPr>
        <w:keepNext w:val="0"/>
        <w:pageBreakBefore w:val="0"/>
        <w:numPr>
          <w:ilvl w:val="0"/>
          <w:numId w:val="28"/>
        </w:numPr>
        <w:kinsoku/>
        <w:wordWrap/>
        <w:overflowPunct/>
        <w:topLinePunct w:val="0"/>
        <w:autoSpaceDE/>
        <w:autoSpaceDN/>
        <w:bidi w:val="0"/>
        <w:adjustRightInd/>
        <w:snapToGrid/>
        <w:spacing w:line="400" w:lineRule="exact"/>
        <w:ind w:left="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中/英文仪器说明书及维护手册+电子版。</w:t>
      </w:r>
    </w:p>
    <w:p>
      <w:pPr>
        <w:pStyle w:val="8"/>
        <w:keepNext w:val="0"/>
        <w:pageBreakBefore w:val="0"/>
        <w:kinsoku/>
        <w:wordWrap/>
        <w:overflowPunct/>
        <w:topLinePunct w:val="0"/>
        <w:autoSpaceDE/>
        <w:autoSpaceDN/>
        <w:bidi w:val="0"/>
        <w:adjustRightInd/>
        <w:snapToGrid/>
        <w:spacing w:before="0" w:after="0" w:line="400" w:lineRule="exact"/>
        <w:ind w:left="0"/>
        <w:textAlignment w:val="auto"/>
        <w:outlineLvl w:val="0"/>
        <w:rPr>
          <w:rFonts w:hint="default" w:ascii="宋体" w:hAnsi="宋体" w:eastAsia="宋体" w:cs="宋体"/>
          <w:b/>
          <w:bCs/>
          <w:color w:val="auto"/>
          <w:kern w:val="2"/>
          <w:sz w:val="22"/>
          <w:szCs w:val="22"/>
          <w:highlight w:val="none"/>
          <w:lang w:val="en-US" w:eastAsia="zh-CN" w:bidi="ar-SA"/>
        </w:rPr>
      </w:pPr>
      <w:bookmarkStart w:id="265" w:name="_Toc31012"/>
    </w:p>
    <w:p>
      <w:pPr>
        <w:pStyle w:val="8"/>
        <w:keepNext w:val="0"/>
        <w:pageBreakBefore w:val="0"/>
        <w:kinsoku/>
        <w:wordWrap/>
        <w:overflowPunct/>
        <w:topLinePunct w:val="0"/>
        <w:autoSpaceDE/>
        <w:autoSpaceDN/>
        <w:bidi w:val="0"/>
        <w:spacing w:line="400" w:lineRule="exact"/>
        <w:ind w:left="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10、环境空气自动监测站房</w:t>
      </w:r>
      <w:bookmarkEnd w:id="265"/>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rPr>
        <w:t>满足环境空气质量自动监测技术规范（HJT 193-2013）中对站房的基本要求。提出合理的站房设计方案，并提供仪器布局方案，经用户确认后实施。</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 总体要求</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站房技术总体上应遵循整体规划、技术先进、扩展方便、布局合理、经济适用、安全可靠、质量优良、降低能耗等原则，并应具备以下特性：</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1.1 先进性：在满足可靠性和实用性前提下，采用先进的技术和设备建设站房，给监测设备、数据网络系统及宽带、电源等系统提供安全、可靠的服务空间。</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1.2 可靠性：具备在现有条件下和规定的时间内完成规定功能的能力。并具备长期可靠和稳定运行的能力。</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1.3 实用性：应具备完成站房内项目技术需求的能力和水准；符合本项目实际需要的国家有关规范的要求。</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1.4 规范性：仪器气路管道以及电缆线归入线槽。在气路管道以及电缆两端悬挂不宜损坏的塑料制作的统一规范的标签。</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1.5 经济性：工艺与造价两者兼顾，满足性能价格比的最优化。</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1.6 整体性：站房项目是一个整体，考虑各系统的色调、布局、格调及效果的一致性和整体性。</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1.7 安全性：子站站房是监测设备运行、监测数据集中采集与处理的终端。站房的设计与技术改造必须确保其安全性。应考虑站房的安全可靠，确保设备运行环境以及技术人员工作环境安全；从防火、防水、防盗、接地、防雷、防磁、防干扰、降噪等方面采取有效措施；地面承重能力等特殊技术措施。</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1.8 环保性：项目中使用环保型材料，符合国家环保方面的相关要求。</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.新建内容：</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.1 内部</w:t>
      </w:r>
      <w:r>
        <w:rPr>
          <w:rFonts w:hint="eastAsia" w:ascii="宋体" w:hAnsi="宋体" w:eastAsia="宋体" w:cs="宋体"/>
          <w:color w:val="000000"/>
          <w:sz w:val="22"/>
          <w:szCs w:val="22"/>
          <w:highlight w:val="none"/>
          <w:lang w:val="en-US" w:eastAsia="zh-CN"/>
        </w:rPr>
        <w:t>建设</w:t>
      </w:r>
      <w:r>
        <w:rPr>
          <w:rFonts w:hint="eastAsia" w:ascii="宋体" w:hAnsi="宋体" w:eastAsia="宋体" w:cs="宋体"/>
          <w:color w:val="000000"/>
          <w:sz w:val="22"/>
          <w:szCs w:val="22"/>
          <w:highlight w:val="none"/>
        </w:rPr>
        <w:t>内容主要有以下几个部分：</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lang w:val="en-US" w:eastAsia="zh-CN"/>
        </w:rPr>
        <w:t>1</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站房规划布局</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站房结构加固与装饰系统</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lang w:val="en-US" w:eastAsia="zh-CN"/>
        </w:rPr>
        <w:t>3</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站房供配电系统</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lang w:val="en-US" w:eastAsia="zh-CN"/>
        </w:rPr>
        <w:t>4</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站房布线系统</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lang w:val="en-US" w:eastAsia="zh-CN"/>
        </w:rPr>
        <w:t>5</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站房温湿度控制</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lang w:val="en-US" w:eastAsia="zh-CN"/>
        </w:rPr>
        <w:t>6</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站房防雷接地系统</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lang w:val="en-US" w:eastAsia="zh-CN"/>
        </w:rPr>
        <w:t>7</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站房消防与安全系统</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lang w:val="en-US" w:eastAsia="zh-CN"/>
        </w:rPr>
        <w:t>8</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子站仪器安装</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lang w:val="en-US" w:eastAsia="zh-CN"/>
        </w:rPr>
        <w:t>9</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rPr>
        <w:t>楼顶防水系统</w:t>
      </w:r>
      <w:r>
        <w:rPr>
          <w:rFonts w:hint="eastAsia" w:ascii="宋体" w:hAnsi="宋体" w:cs="宋体"/>
          <w:color w:val="000000"/>
          <w:sz w:val="22"/>
          <w:szCs w:val="22"/>
          <w:highlight w:val="none"/>
          <w:lang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.2 投标人应根据子站监测项目配置，提出合理的站房设计和建设方案，并提供效果图和仪器布局方案，经用户确认后实施。</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rPr>
        <w:t>站房面积要求：</w:t>
      </w:r>
      <w:r>
        <w:rPr>
          <w:rFonts w:hint="eastAsia" w:ascii="宋体" w:hAnsi="宋体" w:eastAsia="宋体" w:cs="宋体"/>
          <w:color w:val="000000"/>
          <w:sz w:val="22"/>
          <w:szCs w:val="22"/>
          <w:highlight w:val="none"/>
          <w:lang w:val="en-US" w:eastAsia="zh-CN"/>
        </w:rPr>
        <w:t>≥20㎡</w:t>
      </w:r>
      <w:r>
        <w:rPr>
          <w:rFonts w:hint="eastAsia" w:ascii="宋体" w:hAnsi="宋体" w:cs="宋体"/>
          <w:color w:val="000000"/>
          <w:sz w:val="22"/>
          <w:szCs w:val="22"/>
          <w:highlight w:val="none"/>
          <w:lang w:val="en-US"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.3 墙体及顶板要求为彩钢板夹芯板制作，双面均为彩钢板平板，面层采用进口或宝钢产彩钢板。外层钢板厚度≥0.8毫米、内层钢板厚度≥0.5毫米。芯材选用隔热性、强度及稳定性好的EPS或PU材料芯材性能应符合附件规定。芯材厚度≥100毫米，要求防火、保温性能良好。站房整体为框架结构，内部高度2.8m，集成吊顶，防静电地板，内部按使用性质，用铝合金分隔成相应的区域区，屋顶上设维护用钢板走道，四周建高1.2m不锈钢围栏，站房需设置上楼顶维护用的固定钢制楼梯。</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.4站房内应安装温湿度控制设备，使站房的温度在25℃±5℃，相对湿度控制在80%以下。功率不小于1.5P，具备断电后来电自启动功能，常规站点站房配置2台。</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.5采样装置抽气风机排气口和监测仪器排气口的位置，应设置在靠近站房下部的墙壁上，排气口离地面的距离应保持在20cm以上。</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.6在站房顶上设置用于固定气象传感器的气象杆时，气象杆与站房顶的垂直高度应大于2m，并且气象杆和子站房的建筑结构应能经受10级以上的风力。</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.7 站房基础及防震：站房基础应施工坚固，并有防震功能，确保有足够的承载能力，承重不小于3吨。</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.8 站房引入独立走线的外部电源，站房供电采用三相供电，分相使用。配电箱/柜要求采用自动空气开关控制，并设过负荷、短路、漏电保护装置；电缆线要求使用正规品牌的电缆铜线。电缆线采用PVC穿管，从地下电缆井穿线，安全的由配电房单独引出，根据用电负荷配备合适的稳压器，保证电源电压的波动在仪器允许的范围内，同时具备电源过压、过载和漏电保护装置。站房监测仪器供电线路应独立走线。</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.9 主要工作区照度为500LX，基本工作区照度为300LX，其余区域为200LX。</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.10 站房应有防雷措施，设置独立的避雷接闪器（避雷针）。站房和仪器应有良好的接地，接地电阻＜4Ω。所有引入站房内的电源线、信号线、通信线路均应按要求加装防感应雷保护装置。接地线路要求安全、独立铺设，不得与供电零线和避雷针线连接，接地线采用截面积≥5mm2的橡皮电缆或截面积≥16mm2的钢带、铜条与建筑物的地桩焊接，注意防腐蚀。</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.11 站房设计时须考虑站房内仪器布局所产生的房顶开孔，开孔须考虑房顶的结构、应力分布等，确保安全，并做好房顶的防水、防渗工作。站房顶部开孔安装采样总管固定座、站房固定座等零部件后要做好防渗漏处理。</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2</w:t>
      </w:r>
      <w:r>
        <w:rPr>
          <w:rFonts w:hint="eastAsia" w:ascii="宋体" w:hAnsi="宋体" w:eastAsia="宋体" w:cs="宋体"/>
          <w:color w:val="000000"/>
          <w:sz w:val="22"/>
          <w:szCs w:val="22"/>
          <w:highlight w:val="none"/>
        </w:rPr>
        <w:t>.12 站房内消防系统应根据站房内仪器配置情况及空间情况合理设置，并配备足够的灭火器。</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textAlignment w:val="auto"/>
        <w:rPr>
          <w:rFonts w:hint="eastAsia" w:ascii="宋体" w:hAnsi="宋体" w:eastAsia="宋体" w:cs="宋体"/>
          <w:color w:val="000000"/>
          <w:sz w:val="22"/>
          <w:szCs w:val="22"/>
          <w:highlight w:val="none"/>
        </w:rPr>
      </w:pPr>
    </w:p>
    <w:p>
      <w:pPr>
        <w:pStyle w:val="8"/>
        <w:keepNext w:val="0"/>
        <w:pageBreakBefore w:val="0"/>
        <w:kinsoku/>
        <w:wordWrap/>
        <w:overflowPunct/>
        <w:topLinePunct w:val="0"/>
        <w:autoSpaceDE/>
        <w:autoSpaceDN/>
        <w:bidi w:val="0"/>
        <w:adjustRightInd/>
        <w:snapToGrid/>
        <w:spacing w:before="0" w:after="0" w:line="400" w:lineRule="exact"/>
        <w:textAlignment w:val="auto"/>
        <w:outlineLvl w:val="0"/>
        <w:rPr>
          <w:rFonts w:hint="eastAsia" w:ascii="宋体" w:hAnsi="宋体" w:eastAsia="宋体" w:cs="宋体"/>
          <w:b/>
          <w:bCs/>
          <w:color w:val="auto"/>
          <w:kern w:val="2"/>
          <w:sz w:val="22"/>
          <w:szCs w:val="22"/>
          <w:highlight w:val="none"/>
          <w:lang w:val="en-US" w:eastAsia="zh-CN" w:bidi="ar-SA"/>
        </w:rPr>
      </w:pPr>
      <w:bookmarkStart w:id="266" w:name="_Toc23845"/>
      <w:bookmarkStart w:id="267" w:name="_Toc27778"/>
      <w:r>
        <w:rPr>
          <w:rFonts w:hint="eastAsia" w:ascii="宋体" w:hAnsi="宋体" w:eastAsia="宋体" w:cs="宋体"/>
          <w:b/>
          <w:bCs/>
          <w:color w:val="auto"/>
          <w:kern w:val="2"/>
          <w:sz w:val="22"/>
          <w:szCs w:val="22"/>
          <w:highlight w:val="none"/>
          <w:lang w:val="en-US" w:eastAsia="zh-CN" w:bidi="ar-SA"/>
        </w:rPr>
        <w:t>11、系统集成</w:t>
      </w:r>
      <w:bookmarkEnd w:id="266"/>
      <w:bookmarkEnd w:id="267"/>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0" w:firstLineChars="0"/>
        <w:textAlignment w:val="auto"/>
        <w:rPr>
          <w:rFonts w:hint="eastAsia" w:ascii="宋体" w:hAnsi="宋体" w:eastAsia="宋体" w:cs="宋体"/>
          <w:b w:val="0"/>
          <w:bCs w:val="0"/>
          <w:color w:val="000000"/>
          <w:sz w:val="22"/>
          <w:szCs w:val="22"/>
          <w:highlight w:val="none"/>
        </w:rPr>
      </w:pPr>
      <w:r>
        <w:rPr>
          <w:rFonts w:hint="eastAsia" w:ascii="宋体" w:hAnsi="宋体" w:eastAsia="宋体" w:cs="宋体"/>
          <w:b w:val="0"/>
          <w:bCs w:val="0"/>
          <w:color w:val="000000"/>
          <w:sz w:val="22"/>
          <w:szCs w:val="22"/>
          <w:highlight w:val="none"/>
        </w:rPr>
        <w:t>1、总体要求</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0" w:firstLineChars="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本系统集成</w:t>
      </w:r>
      <w:r>
        <w:rPr>
          <w:rFonts w:hint="eastAsia" w:ascii="宋体" w:hAnsi="宋体" w:eastAsia="宋体" w:cs="宋体"/>
          <w:color w:val="000000"/>
          <w:sz w:val="22"/>
          <w:szCs w:val="22"/>
          <w:highlight w:val="none"/>
          <w:lang w:val="en-US" w:eastAsia="zh-CN"/>
        </w:rPr>
        <w:t>包含本项目所有设备的安装调试及</w:t>
      </w:r>
      <w:r>
        <w:rPr>
          <w:rFonts w:hint="eastAsia" w:ascii="宋体" w:hAnsi="宋体" w:eastAsia="宋体" w:cs="宋体"/>
          <w:color w:val="000000"/>
          <w:sz w:val="22"/>
          <w:szCs w:val="22"/>
          <w:highlight w:val="none"/>
        </w:rPr>
        <w:t>子站站房内部装饰、电气技术、温度调节、电子工艺、通信技术、弱电工程系统、自动控制技术、设备和环境监控技术等。具体子站内部系统建造需要解决温湿度控制、通风、洁静度、静电防护、防雷击、防电磁干扰、消防安全、动力配电、照明等。</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0" w:firstLineChars="0"/>
        <w:textAlignment w:val="auto"/>
        <w:rPr>
          <w:rFonts w:hint="eastAsia" w:ascii="宋体" w:hAnsi="宋体" w:eastAsia="宋体" w:cs="宋体"/>
          <w:color w:val="000000"/>
          <w:kern w:val="2"/>
          <w:sz w:val="22"/>
          <w:szCs w:val="22"/>
          <w:highlight w:val="none"/>
          <w:lang w:val="de-DE"/>
        </w:rPr>
      </w:pPr>
      <w:r>
        <w:rPr>
          <w:rFonts w:hint="eastAsia" w:ascii="宋体" w:hAnsi="宋体" w:eastAsia="宋体" w:cs="宋体"/>
          <w:color w:val="000000"/>
          <w:sz w:val="22"/>
          <w:szCs w:val="22"/>
          <w:highlight w:val="none"/>
        </w:rPr>
        <w:t>中标方应做好系统集成及数据传输，同时按照国家有关规定做好仪器及其辅助设备的安装，确保仪器正常运行。建成后完成质保期内的运维管理。</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0" w:firstLineChars="0"/>
        <w:textAlignment w:val="auto"/>
        <w:rPr>
          <w:rFonts w:hint="eastAsia" w:ascii="宋体" w:hAnsi="宋体" w:eastAsia="宋体" w:cs="宋体"/>
          <w:b w:val="0"/>
          <w:bCs w:val="0"/>
          <w:color w:val="000000"/>
          <w:kern w:val="2"/>
          <w:sz w:val="22"/>
          <w:szCs w:val="22"/>
          <w:highlight w:val="none"/>
          <w:lang w:val="de-DE"/>
        </w:rPr>
      </w:pPr>
      <w:r>
        <w:rPr>
          <w:rFonts w:hint="eastAsia" w:ascii="宋体" w:hAnsi="宋体" w:eastAsia="宋体" w:cs="宋体"/>
          <w:b w:val="0"/>
          <w:bCs w:val="0"/>
          <w:color w:val="000000"/>
          <w:kern w:val="2"/>
          <w:sz w:val="22"/>
          <w:szCs w:val="22"/>
          <w:highlight w:val="none"/>
          <w:lang w:val="de-DE"/>
        </w:rPr>
        <w:t>2、技术要求</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2.1 机柜需采用优质材质制作，可以提供对仪器设备的保护，能屏蔽电磁干扰，能有序整齐地放置仪器设备，方便以后操作维护。机柜内仪器之间预留一定的距离，确保仪器能正常散热。</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2.2总采样管内径选择在1.5-15cm之间，采样总管内的气流应保持层流状态，样品气在采样总管内停留时间应小于20s，样品气压力应接近大气压力，各个支管间距大于8cm，采样管材质需以不锈钢内衬特氟龙为制作材料。</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2.3 采样管采集气体角度360°，应防止雨水、昆虫进入采样系统，与房顶垂直安装，采样口离屋顶高度为1.5米左右。</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2.4 各采样口之间距离不得小于1米。</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2.5 采样总管具有温度控制系统。</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2.6 需配备交流参数稳压电源，除具有最基本的稳定电压功能以外，还应具有</w:t>
      </w:r>
      <w:r>
        <w:rPr>
          <w:rFonts w:hint="eastAsia" w:ascii="宋体" w:hAnsi="宋体" w:eastAsia="宋体" w:cs="宋体"/>
          <w:color w:val="000000"/>
          <w:sz w:val="22"/>
          <w:szCs w:val="22"/>
          <w:highlight w:val="none"/>
        </w:rPr>
        <w:fldChar w:fldCharType="begin"/>
      </w:r>
      <w:r>
        <w:rPr>
          <w:rFonts w:hint="eastAsia" w:ascii="宋体" w:hAnsi="宋体" w:eastAsia="宋体" w:cs="宋体"/>
          <w:color w:val="000000"/>
          <w:sz w:val="22"/>
          <w:szCs w:val="22"/>
          <w:highlight w:val="none"/>
        </w:rPr>
        <w:instrText xml:space="preserve"> HYPERLINK "http://baike.baidu.com/view/699546.htm" \t "_blank" </w:instrText>
      </w:r>
      <w:r>
        <w:rPr>
          <w:rFonts w:hint="eastAsia" w:ascii="宋体" w:hAnsi="宋体" w:eastAsia="宋体" w:cs="宋体"/>
          <w:color w:val="000000"/>
          <w:sz w:val="22"/>
          <w:szCs w:val="22"/>
          <w:highlight w:val="none"/>
        </w:rPr>
        <w:fldChar w:fldCharType="separate"/>
      </w:r>
      <w:r>
        <w:rPr>
          <w:rFonts w:hint="eastAsia" w:ascii="宋体" w:hAnsi="宋体" w:eastAsia="宋体" w:cs="宋体"/>
          <w:color w:val="000000"/>
          <w:sz w:val="22"/>
          <w:szCs w:val="22"/>
          <w:highlight w:val="none"/>
        </w:rPr>
        <w:t>过压</w:t>
      </w:r>
      <w:r>
        <w:rPr>
          <w:rFonts w:hint="eastAsia" w:ascii="宋体" w:hAnsi="宋体" w:eastAsia="宋体" w:cs="宋体"/>
          <w:color w:val="000000"/>
          <w:sz w:val="22"/>
          <w:szCs w:val="22"/>
          <w:highlight w:val="none"/>
        </w:rPr>
        <w:fldChar w:fldCharType="end"/>
      </w:r>
      <w:r>
        <w:rPr>
          <w:rFonts w:hint="eastAsia" w:ascii="宋体" w:hAnsi="宋体" w:eastAsia="宋体" w:cs="宋体"/>
          <w:color w:val="000000"/>
          <w:sz w:val="22"/>
          <w:szCs w:val="22"/>
          <w:highlight w:val="none"/>
        </w:rPr>
        <w:t>保护（超过输出电压的+10%）、欠压保护（低于输出电压的-10%）、短路过载保护等保护功能。</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2.7中标方提供的数采软件，必须能保证将新建站点的监测数据无缝接入甲方指定平台。</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2.8中标方完成数据联网，仪器数据采集集成及工控机数采软件联网。</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2.9系统集成仪器使用RS485接口或以太网接入，优先使用RS485通讯，其次考虑以太网或模拟量通讯。</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0" w:firstLineChars="0"/>
        <w:textAlignment w:val="auto"/>
        <w:rPr>
          <w:rFonts w:hint="eastAsia" w:ascii="宋体" w:hAnsi="宋体" w:eastAsia="宋体" w:cs="宋体"/>
          <w:color w:val="000000"/>
          <w:kern w:val="2"/>
          <w:sz w:val="22"/>
          <w:szCs w:val="22"/>
          <w:highlight w:val="none"/>
          <w:lang w:val="de-DE"/>
        </w:rPr>
      </w:pPr>
      <w:r>
        <w:rPr>
          <w:rFonts w:hint="eastAsia" w:ascii="宋体" w:hAnsi="宋体" w:eastAsia="宋体" w:cs="宋体"/>
          <w:color w:val="000000"/>
          <w:kern w:val="2"/>
          <w:sz w:val="22"/>
          <w:szCs w:val="22"/>
          <w:highlight w:val="none"/>
          <w:lang w:val="de-DE"/>
        </w:rPr>
        <w:t>数字量接口（站内通讯）：数字量接口个数能满足系统控制、数据传输的需要；</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0" w:firstLineChars="0"/>
        <w:textAlignment w:val="auto"/>
        <w:rPr>
          <w:rFonts w:hint="eastAsia" w:ascii="宋体" w:hAnsi="宋体" w:eastAsia="宋体" w:cs="宋体"/>
          <w:color w:val="000000"/>
          <w:kern w:val="2"/>
          <w:sz w:val="22"/>
          <w:szCs w:val="22"/>
          <w:highlight w:val="none"/>
          <w:lang w:val="de-DE" w:eastAsia="zh-CN"/>
        </w:rPr>
      </w:pPr>
      <w:r>
        <w:rPr>
          <w:rFonts w:hint="eastAsia" w:ascii="宋体" w:hAnsi="宋体" w:eastAsia="宋体" w:cs="宋体"/>
          <w:color w:val="000000"/>
          <w:kern w:val="2"/>
          <w:sz w:val="22"/>
          <w:szCs w:val="22"/>
          <w:highlight w:val="none"/>
          <w:lang w:val="de-DE"/>
        </w:rPr>
        <w:t>调制解调器（网络适配器）：能满足仪器数据传输、遥控的通讯要求</w:t>
      </w:r>
      <w:r>
        <w:rPr>
          <w:rFonts w:hint="eastAsia" w:ascii="宋体" w:hAnsi="宋体" w:cs="宋体"/>
          <w:color w:val="000000"/>
          <w:kern w:val="2"/>
          <w:sz w:val="22"/>
          <w:szCs w:val="22"/>
          <w:highlight w:val="none"/>
          <w:lang w:val="de-DE" w:eastAsia="zh-CN"/>
        </w:rPr>
        <w:t>。</w:t>
      </w:r>
    </w:p>
    <w:p>
      <w:pPr>
        <w:pStyle w:val="8"/>
        <w:keepNext w:val="0"/>
        <w:pageBreakBefore w:val="0"/>
        <w:numPr>
          <w:ilvl w:val="3"/>
          <w:numId w:val="29"/>
        </w:numPr>
        <w:kinsoku/>
        <w:wordWrap/>
        <w:overflowPunct/>
        <w:topLinePunct w:val="0"/>
        <w:autoSpaceDE/>
        <w:autoSpaceDN/>
        <w:bidi w:val="0"/>
        <w:spacing w:before="0" w:after="0" w:line="400" w:lineRule="exact"/>
        <w:ind w:left="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12、</w:t>
      </w:r>
      <w:r>
        <w:rPr>
          <w:rFonts w:hint="eastAsia" w:ascii="宋体" w:hAnsi="宋体" w:eastAsia="宋体" w:cs="宋体"/>
          <w:sz w:val="22"/>
          <w:szCs w:val="22"/>
          <w:highlight w:val="none"/>
        </w:rPr>
        <w:t>运行维护要求</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0" w:firstLineChars="0"/>
        <w:textAlignment w:val="auto"/>
        <w:rPr>
          <w:rFonts w:hint="eastAsia" w:ascii="宋体" w:hAnsi="宋体" w:eastAsia="宋体" w:cs="宋体"/>
          <w:color w:val="000000"/>
          <w:kern w:val="2"/>
          <w:sz w:val="22"/>
          <w:szCs w:val="22"/>
          <w:highlight w:val="none"/>
          <w:lang w:val="de-DE"/>
        </w:rPr>
      </w:pPr>
      <w:r>
        <w:rPr>
          <w:rFonts w:hint="eastAsia" w:ascii="宋体" w:hAnsi="宋体" w:eastAsia="宋体" w:cs="宋体"/>
          <w:color w:val="000000"/>
          <w:kern w:val="2"/>
          <w:sz w:val="22"/>
          <w:szCs w:val="22"/>
          <w:highlight w:val="none"/>
          <w:lang w:val="de-DE"/>
        </w:rPr>
        <w:t>一、运维内容</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kern w:val="2"/>
          <w:sz w:val="22"/>
          <w:szCs w:val="22"/>
          <w:highlight w:val="none"/>
          <w:lang w:val="de-DE" w:eastAsia="zh-CN"/>
        </w:rPr>
      </w:pPr>
      <w:r>
        <w:rPr>
          <w:rFonts w:hint="eastAsia" w:ascii="宋体" w:hAnsi="宋体" w:eastAsia="宋体" w:cs="宋体"/>
          <w:color w:val="000000"/>
          <w:kern w:val="2"/>
          <w:sz w:val="22"/>
          <w:szCs w:val="22"/>
          <w:highlight w:val="none"/>
          <w:lang w:val="de-DE"/>
        </w:rPr>
        <w:t>1.1数量：</w:t>
      </w:r>
      <w:r>
        <w:rPr>
          <w:rFonts w:hint="eastAsia" w:ascii="宋体" w:hAnsi="宋体" w:eastAsia="宋体" w:cs="宋体"/>
          <w:color w:val="000000"/>
          <w:kern w:val="2"/>
          <w:sz w:val="22"/>
          <w:szCs w:val="22"/>
          <w:highlight w:val="none"/>
          <w:lang w:val="en-US" w:eastAsia="zh-CN"/>
        </w:rPr>
        <w:t>3</w:t>
      </w:r>
      <w:r>
        <w:rPr>
          <w:rFonts w:hint="eastAsia" w:ascii="宋体" w:hAnsi="宋体" w:eastAsia="宋体" w:cs="宋体"/>
          <w:color w:val="000000"/>
          <w:kern w:val="2"/>
          <w:sz w:val="22"/>
          <w:szCs w:val="22"/>
          <w:highlight w:val="none"/>
          <w:lang w:val="de-DE"/>
        </w:rPr>
        <w:t>套</w:t>
      </w:r>
      <w:r>
        <w:rPr>
          <w:rFonts w:hint="eastAsia" w:ascii="宋体" w:hAnsi="宋体" w:cs="宋体"/>
          <w:color w:val="000000"/>
          <w:kern w:val="2"/>
          <w:sz w:val="22"/>
          <w:szCs w:val="22"/>
          <w:highlight w:val="none"/>
          <w:lang w:val="de-DE"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firstLine="440" w:firstLineChars="200"/>
        <w:textAlignment w:val="auto"/>
        <w:rPr>
          <w:rFonts w:hint="eastAsia" w:ascii="宋体" w:hAnsi="宋体" w:eastAsia="宋体" w:cs="宋体"/>
          <w:color w:val="000000"/>
          <w:kern w:val="2"/>
          <w:sz w:val="22"/>
          <w:szCs w:val="22"/>
          <w:highlight w:val="none"/>
          <w:lang w:val="en-US" w:eastAsia="zh-CN"/>
        </w:rPr>
      </w:pPr>
      <w:r>
        <w:rPr>
          <w:rFonts w:hint="eastAsia" w:ascii="宋体" w:hAnsi="宋体" w:eastAsia="宋体" w:cs="宋体"/>
          <w:color w:val="000000"/>
          <w:kern w:val="2"/>
          <w:sz w:val="22"/>
          <w:szCs w:val="22"/>
          <w:highlight w:val="none"/>
          <w:lang w:val="en-US" w:eastAsia="zh-CN"/>
        </w:rPr>
        <w:t>1.2运维周期：验收后1年</w:t>
      </w:r>
      <w:r>
        <w:rPr>
          <w:rFonts w:hint="eastAsia" w:ascii="宋体" w:hAnsi="宋体" w:cs="宋体"/>
          <w:color w:val="000000"/>
          <w:kern w:val="2"/>
          <w:sz w:val="22"/>
          <w:szCs w:val="22"/>
          <w:highlight w:val="none"/>
          <w:lang w:val="en-US" w:eastAsia="zh-CN"/>
        </w:rPr>
        <w:t>。</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kern w:val="2"/>
          <w:sz w:val="22"/>
          <w:szCs w:val="22"/>
          <w:highlight w:val="none"/>
          <w:lang w:val="de-DE"/>
        </w:rPr>
      </w:pPr>
      <w:r>
        <w:rPr>
          <w:rFonts w:hint="eastAsia" w:ascii="宋体" w:hAnsi="宋体" w:eastAsia="宋体" w:cs="宋体"/>
          <w:color w:val="000000"/>
          <w:kern w:val="2"/>
          <w:sz w:val="22"/>
          <w:szCs w:val="22"/>
          <w:highlight w:val="none"/>
          <w:lang w:val="de-DE"/>
        </w:rPr>
        <w:t>1.</w:t>
      </w:r>
      <w:r>
        <w:rPr>
          <w:rFonts w:hint="eastAsia" w:ascii="宋体" w:hAnsi="宋体" w:eastAsia="宋体" w:cs="宋体"/>
          <w:color w:val="000000"/>
          <w:kern w:val="2"/>
          <w:sz w:val="22"/>
          <w:szCs w:val="22"/>
          <w:highlight w:val="none"/>
          <w:lang w:val="en-US" w:eastAsia="zh-CN"/>
        </w:rPr>
        <w:t>3</w:t>
      </w:r>
      <w:r>
        <w:rPr>
          <w:rFonts w:hint="eastAsia" w:ascii="宋体" w:hAnsi="宋体" w:eastAsia="宋体" w:cs="宋体"/>
          <w:color w:val="000000"/>
          <w:kern w:val="2"/>
          <w:sz w:val="22"/>
          <w:szCs w:val="22"/>
          <w:highlight w:val="none"/>
          <w:lang w:val="de-DE"/>
        </w:rPr>
        <w:t>配置：空气自动监测站包含PM2.5、PM10、O3、SO2、NOX、CO、气象参数监测仪等。</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kern w:val="2"/>
          <w:sz w:val="22"/>
          <w:szCs w:val="22"/>
          <w:highlight w:val="none"/>
          <w:lang w:val="de-DE"/>
        </w:rPr>
      </w:pPr>
      <w:r>
        <w:rPr>
          <w:rFonts w:hint="eastAsia" w:ascii="宋体" w:hAnsi="宋体" w:eastAsia="宋体" w:cs="宋体"/>
          <w:color w:val="000000"/>
          <w:kern w:val="2"/>
          <w:sz w:val="22"/>
          <w:szCs w:val="22"/>
          <w:highlight w:val="none"/>
          <w:lang w:val="de-DE"/>
        </w:rPr>
        <w:t>1.</w:t>
      </w:r>
      <w:r>
        <w:rPr>
          <w:rFonts w:hint="eastAsia" w:ascii="宋体" w:hAnsi="宋体" w:eastAsia="宋体" w:cs="宋体"/>
          <w:color w:val="000000"/>
          <w:kern w:val="2"/>
          <w:sz w:val="22"/>
          <w:szCs w:val="22"/>
          <w:highlight w:val="none"/>
          <w:lang w:val="en-US" w:eastAsia="zh-CN"/>
        </w:rPr>
        <w:t>4</w:t>
      </w:r>
      <w:r>
        <w:rPr>
          <w:rFonts w:hint="eastAsia" w:ascii="宋体" w:hAnsi="宋体" w:eastAsia="宋体" w:cs="宋体"/>
          <w:color w:val="000000"/>
          <w:kern w:val="2"/>
          <w:sz w:val="22"/>
          <w:szCs w:val="22"/>
          <w:highlight w:val="none"/>
          <w:lang w:val="de-DE"/>
        </w:rPr>
        <w:t>运维模式：日常全托管维护、故障处理及维修。</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0" w:firstLineChars="0"/>
        <w:textAlignment w:val="auto"/>
        <w:rPr>
          <w:rFonts w:hint="eastAsia" w:ascii="宋体" w:hAnsi="宋体" w:eastAsia="宋体" w:cs="宋体"/>
          <w:color w:val="000000"/>
          <w:kern w:val="2"/>
          <w:sz w:val="22"/>
          <w:szCs w:val="22"/>
          <w:highlight w:val="none"/>
          <w:lang w:val="de-DE"/>
        </w:rPr>
      </w:pPr>
      <w:r>
        <w:rPr>
          <w:rFonts w:hint="eastAsia" w:ascii="宋体" w:hAnsi="宋体" w:eastAsia="宋体" w:cs="宋体"/>
          <w:color w:val="000000"/>
          <w:kern w:val="2"/>
          <w:sz w:val="22"/>
          <w:szCs w:val="22"/>
          <w:highlight w:val="none"/>
          <w:lang w:val="de-DE"/>
        </w:rPr>
        <w:t>二、运维方式</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0" w:firstLineChars="0"/>
        <w:textAlignment w:val="auto"/>
        <w:rPr>
          <w:rFonts w:hint="eastAsia" w:ascii="宋体" w:hAnsi="宋体" w:eastAsia="宋体" w:cs="宋体"/>
          <w:color w:val="000000"/>
          <w:kern w:val="2"/>
          <w:sz w:val="22"/>
          <w:szCs w:val="22"/>
          <w:highlight w:val="none"/>
          <w:lang w:val="de-DE"/>
        </w:rPr>
      </w:pPr>
      <w:r>
        <w:rPr>
          <w:rFonts w:hint="eastAsia" w:ascii="宋体" w:hAnsi="宋体" w:eastAsia="宋体" w:cs="宋体"/>
          <w:color w:val="000000"/>
          <w:kern w:val="2"/>
          <w:sz w:val="22"/>
          <w:szCs w:val="22"/>
          <w:highlight w:val="none"/>
          <w:lang w:val="de-DE"/>
        </w:rPr>
        <w:t>全托管服务模式，所有配件、耗材、网络通迅费、人工、交通费用均由中标方承担。</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0" w:firstLineChars="0"/>
        <w:textAlignment w:val="auto"/>
        <w:rPr>
          <w:rFonts w:hint="eastAsia" w:ascii="宋体" w:hAnsi="宋体" w:eastAsia="宋体" w:cs="宋体"/>
          <w:color w:val="000000"/>
          <w:kern w:val="2"/>
          <w:sz w:val="22"/>
          <w:szCs w:val="22"/>
          <w:highlight w:val="none"/>
          <w:lang w:val="de-DE"/>
        </w:rPr>
      </w:pPr>
      <w:r>
        <w:rPr>
          <w:rFonts w:hint="eastAsia" w:ascii="宋体" w:hAnsi="宋体" w:eastAsia="宋体" w:cs="宋体"/>
          <w:color w:val="000000"/>
          <w:kern w:val="2"/>
          <w:sz w:val="22"/>
          <w:szCs w:val="22"/>
          <w:highlight w:val="none"/>
          <w:lang w:val="de-DE"/>
        </w:rPr>
        <w:t>三、 服务内容、质量保证要求及考核形式</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kern w:val="2"/>
          <w:sz w:val="22"/>
          <w:szCs w:val="22"/>
          <w:highlight w:val="none"/>
          <w:lang w:val="de-DE"/>
        </w:rPr>
      </w:pPr>
      <w:r>
        <w:rPr>
          <w:rFonts w:hint="eastAsia" w:ascii="宋体" w:hAnsi="宋体" w:eastAsia="宋体" w:cs="宋体"/>
          <w:color w:val="000000"/>
          <w:kern w:val="2"/>
          <w:sz w:val="22"/>
          <w:szCs w:val="22"/>
          <w:highlight w:val="none"/>
          <w:lang w:val="de-DE"/>
        </w:rPr>
        <w:t>3.1服务内容：按《环境空气质量监测规范（试行）》、《国家环境空气质量监测城市自动监测站运行管理暂行规定》（总站气字[2013]41号）、《环境空气颗粒物（PM10和PM2.5）连续自动监测系统安装和验收技术规范》(HJ655-2013)、《环境空气气态污染物（SO2、NO2、O3、CO）连续自动监测系统安装验收技术规范》(HJ193-2013)、《环境空气颗粒物（PM10和PM2.5）连续自动监测系统技术要求及检测方法》（HJ653-2013）、《环境空气气态污染物（SO2、NO2、O3、CO）连续自动监测系统技术要求及检测方法》（HJ654-2013）、《浙江省环境空气质量自动监测系统运行管理实施细则》等要求进行运行维护及管理，包括每日数据有效性审核、每周巡检维护、月度维护、仪器维修、故障处理等服务，如运维期间上级部门出台新规定，按新规定执行。</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kern w:val="2"/>
          <w:sz w:val="22"/>
          <w:szCs w:val="22"/>
          <w:highlight w:val="none"/>
          <w:lang w:val="de-DE"/>
        </w:rPr>
      </w:pPr>
      <w:r>
        <w:rPr>
          <w:rFonts w:hint="eastAsia" w:ascii="宋体" w:hAnsi="宋体" w:eastAsia="宋体" w:cs="宋体"/>
          <w:color w:val="000000"/>
          <w:kern w:val="2"/>
          <w:sz w:val="22"/>
          <w:szCs w:val="22"/>
          <w:highlight w:val="none"/>
          <w:lang w:val="de-DE"/>
        </w:rPr>
        <w:t>3.2质量保证要求：中标单位需按照国家标准方法进行维护工作和服务。</w:t>
      </w:r>
    </w:p>
    <w:p>
      <w:pPr>
        <w:keepNext w:val="0"/>
        <w:pageBreakBefore w:val="0"/>
        <w:kinsoku/>
        <w:wordWrap/>
        <w:overflowPunct/>
        <w:topLinePunct w:val="0"/>
        <w:autoSpaceDE/>
        <w:autoSpaceDN/>
        <w:bidi w:val="0"/>
        <w:adjustRightInd w:val="0"/>
        <w:snapToGrid w:val="0"/>
        <w:spacing w:before="62" w:beforeLines="20" w:after="62" w:afterLines="20" w:line="400" w:lineRule="exact"/>
        <w:ind w:left="0" w:firstLine="440" w:firstLineChars="200"/>
        <w:textAlignment w:val="auto"/>
        <w:rPr>
          <w:rFonts w:hint="eastAsia" w:ascii="宋体" w:hAnsi="宋体" w:eastAsia="宋体" w:cs="宋体"/>
          <w:color w:val="000000"/>
          <w:kern w:val="2"/>
          <w:sz w:val="22"/>
          <w:szCs w:val="22"/>
          <w:highlight w:val="none"/>
          <w:lang w:val="de-DE"/>
        </w:rPr>
      </w:pPr>
      <w:r>
        <w:rPr>
          <w:rFonts w:hint="eastAsia" w:ascii="宋体" w:hAnsi="宋体" w:eastAsia="宋体" w:cs="宋体"/>
          <w:color w:val="000000"/>
          <w:kern w:val="2"/>
          <w:sz w:val="22"/>
          <w:szCs w:val="22"/>
          <w:highlight w:val="none"/>
          <w:lang w:val="de-DE"/>
        </w:rPr>
        <w:t>3.3 考核形式： 由</w:t>
      </w:r>
      <w:r>
        <w:rPr>
          <w:rFonts w:hint="eastAsia" w:ascii="宋体" w:hAnsi="宋体" w:eastAsia="宋体" w:cs="宋体"/>
          <w:color w:val="000000"/>
          <w:kern w:val="2"/>
          <w:sz w:val="22"/>
          <w:szCs w:val="22"/>
          <w:highlight w:val="none"/>
          <w:lang w:val="en-US" w:eastAsia="zh-CN"/>
        </w:rPr>
        <w:t>业主单位</w:t>
      </w:r>
      <w:r>
        <w:rPr>
          <w:rFonts w:hint="eastAsia" w:ascii="宋体" w:hAnsi="宋体" w:eastAsia="宋体" w:cs="宋体"/>
          <w:color w:val="000000"/>
          <w:kern w:val="2"/>
          <w:sz w:val="22"/>
          <w:szCs w:val="22"/>
          <w:highlight w:val="none"/>
          <w:lang w:val="de-DE"/>
        </w:rPr>
        <w:t>组织有关人员进行评审，不定期对站点进行抽查，填写《环境空气自动监测系统现场核查表》，每半年组织对中标单位开展一次定期服务工作考核，以每个气站为单位进行，逐站依据维护内容就每月、每季的维护质量、材料汇总及其他相关指标相结合的方式进行评分。</w:t>
      </w:r>
    </w:p>
    <w:p>
      <w:pPr>
        <w:keepNext w:val="0"/>
        <w:pageBreakBefore w:val="0"/>
        <w:kinsoku/>
        <w:wordWrap/>
        <w:overflowPunct/>
        <w:topLinePunct w:val="0"/>
        <w:bidi w:val="0"/>
        <w:spacing w:line="400" w:lineRule="exact"/>
        <w:ind w:firstLine="442" w:firstLineChars="200"/>
        <w:rPr>
          <w:rFonts w:hint="eastAsia" w:ascii="宋体" w:hAnsi="宋体" w:eastAsia="宋体"/>
          <w:b/>
          <w:bCs/>
          <w:sz w:val="22"/>
          <w:szCs w:val="22"/>
          <w:highlight w:val="none"/>
          <w:lang w:val="de-DE" w:eastAsia="zh-CN"/>
        </w:rPr>
      </w:pPr>
    </w:p>
    <w:p>
      <w:pPr>
        <w:keepNext w:val="0"/>
        <w:pageBreakBefore w:val="0"/>
        <w:widowControl/>
        <w:tabs>
          <w:tab w:val="left" w:pos="2019"/>
        </w:tabs>
        <w:kinsoku/>
        <w:wordWrap/>
        <w:overflowPunct/>
        <w:topLinePunct w:val="0"/>
        <w:bidi w:val="0"/>
        <w:spacing w:line="400" w:lineRule="exact"/>
        <w:ind w:left="1200" w:hanging="1405" w:hangingChars="500"/>
        <w:rPr>
          <w:b/>
          <w:bCs/>
          <w:sz w:val="28"/>
          <w:szCs w:val="28"/>
          <w:highlight w:val="none"/>
        </w:rPr>
      </w:pPr>
    </w:p>
    <w:p>
      <w:pPr>
        <w:keepNext w:val="0"/>
        <w:pageBreakBefore w:val="0"/>
        <w:kinsoku/>
        <w:wordWrap/>
        <w:overflowPunct/>
        <w:topLinePunct w:val="0"/>
        <w:bidi w:val="0"/>
        <w:spacing w:line="400" w:lineRule="exact"/>
        <w:rPr>
          <w:rFonts w:hint="eastAsia" w:ascii="宋体" w:hAnsi="宋体" w:eastAsia="宋体" w:cs="宋体"/>
          <w:b/>
          <w:bCs/>
          <w:color w:val="000000"/>
          <w:kern w:val="2"/>
          <w:sz w:val="24"/>
          <w:szCs w:val="24"/>
          <w:highlight w:val="none"/>
          <w:lang w:val="en-US" w:eastAsia="zh-CN"/>
        </w:rPr>
      </w:pPr>
      <w:bookmarkStart w:id="268" w:name="_Toc493249763"/>
      <w:bookmarkStart w:id="269" w:name="_Toc317503367"/>
      <w:r>
        <w:rPr>
          <w:rFonts w:hint="eastAsia" w:ascii="宋体" w:hAnsi="宋体" w:eastAsia="宋体" w:cs="宋体"/>
          <w:b/>
          <w:bCs/>
          <w:color w:val="000000"/>
          <w:kern w:val="2"/>
          <w:sz w:val="24"/>
          <w:szCs w:val="24"/>
          <w:highlight w:val="none"/>
          <w:lang w:val="en-US" w:eastAsia="zh-CN"/>
        </w:rPr>
        <w:br w:type="page"/>
      </w:r>
    </w:p>
    <w:p>
      <w:pPr>
        <w:keepNext w:val="0"/>
        <w:keepLines w:val="0"/>
        <w:pageBreakBefore w:val="0"/>
        <w:numPr>
          <w:ilvl w:val="0"/>
          <w:numId w:val="0"/>
        </w:numPr>
        <w:kinsoku/>
        <w:wordWrap/>
        <w:overflowPunct/>
        <w:topLinePunct w:val="0"/>
        <w:bidi w:val="0"/>
        <w:spacing w:line="400" w:lineRule="exact"/>
        <w:outlineLvl w:val="1"/>
        <w:rPr>
          <w:rFonts w:hint="eastAsia" w:ascii="宋体" w:hAnsi="宋体" w:eastAsia="宋体" w:cs="宋体"/>
          <w:b/>
          <w:bCs/>
          <w:color w:val="000000"/>
          <w:kern w:val="2"/>
          <w:sz w:val="24"/>
          <w:szCs w:val="24"/>
          <w:highlight w:val="none"/>
          <w:lang w:val="en-US" w:eastAsia="zh-CN"/>
        </w:rPr>
      </w:pPr>
      <w:bookmarkStart w:id="270" w:name="_Toc3165"/>
      <w:r>
        <w:rPr>
          <w:rFonts w:hint="eastAsia" w:ascii="宋体" w:hAnsi="宋体" w:eastAsia="宋体" w:cs="宋体"/>
          <w:b/>
          <w:bCs/>
          <w:color w:val="000000"/>
          <w:kern w:val="2"/>
          <w:sz w:val="24"/>
          <w:szCs w:val="24"/>
          <w:highlight w:val="none"/>
          <w:lang w:val="en-US" w:eastAsia="zh-CN"/>
        </w:rPr>
        <w:t>标段二：</w:t>
      </w:r>
      <w:r>
        <w:rPr>
          <w:rFonts w:hint="eastAsia" w:ascii="宋体" w:hAnsi="宋体" w:cs="宋体"/>
          <w:b/>
          <w:bCs/>
          <w:color w:val="000000"/>
          <w:kern w:val="2"/>
          <w:sz w:val="24"/>
          <w:szCs w:val="24"/>
          <w:highlight w:val="none"/>
          <w:lang w:val="en-US" w:eastAsia="zh-CN"/>
        </w:rPr>
        <w:t>平阳县工业园区VOCs自动站监测设备更新及调整采购</w:t>
      </w:r>
      <w:bookmarkEnd w:id="270"/>
    </w:p>
    <w:tbl>
      <w:tblPr>
        <w:tblStyle w:val="34"/>
        <w:tblW w:w="992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34"/>
        <w:gridCol w:w="1391"/>
        <w:gridCol w:w="3468"/>
        <w:gridCol w:w="1551"/>
        <w:gridCol w:w="1159"/>
        <w:gridCol w:w="784"/>
        <w:gridCol w:w="8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4"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序号</w:t>
            </w:r>
          </w:p>
        </w:tc>
        <w:tc>
          <w:tcPr>
            <w:tcW w:w="4859" w:type="dxa"/>
            <w:gridSpan w:val="2"/>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产品名称</w:t>
            </w:r>
          </w:p>
        </w:tc>
        <w:tc>
          <w:tcPr>
            <w:tcW w:w="1551"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lang w:val="en-US" w:eastAsia="zh-CN"/>
              </w:rPr>
            </w:pPr>
            <w:r>
              <w:rPr>
                <w:rFonts w:hint="eastAsia" w:ascii="宋体" w:hAnsi="宋体" w:eastAsia="宋体" w:cs="宋体"/>
                <w:kern w:val="0"/>
                <w:sz w:val="22"/>
                <w:szCs w:val="22"/>
                <w:highlight w:val="none"/>
                <w:lang w:val="en-US" w:eastAsia="zh-CN"/>
              </w:rPr>
              <w:t>技术参数及要求</w:t>
            </w:r>
          </w:p>
        </w:tc>
        <w:tc>
          <w:tcPr>
            <w:tcW w:w="1159"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单位</w:t>
            </w:r>
          </w:p>
        </w:tc>
        <w:tc>
          <w:tcPr>
            <w:tcW w:w="784"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数量</w:t>
            </w:r>
          </w:p>
        </w:tc>
        <w:tc>
          <w:tcPr>
            <w:tcW w:w="83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default" w:ascii="宋体" w:hAnsi="宋体" w:eastAsia="宋体" w:cs="宋体"/>
                <w:kern w:val="0"/>
                <w:sz w:val="22"/>
                <w:szCs w:val="22"/>
                <w:highlight w:val="none"/>
                <w:lang w:val="en-US" w:eastAsia="zh-CN"/>
              </w:rPr>
            </w:pPr>
            <w:r>
              <w:rPr>
                <w:rFonts w:hint="eastAsia" w:ascii="宋体" w:hAnsi="宋体" w:eastAsia="宋体" w:cs="宋体"/>
                <w:kern w:val="0"/>
                <w:sz w:val="22"/>
                <w:szCs w:val="22"/>
                <w:highlight w:val="none"/>
                <w:lang w:val="en-US" w:eastAsia="zh-CN"/>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4"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w:t>
            </w:r>
          </w:p>
        </w:tc>
        <w:tc>
          <w:tcPr>
            <w:tcW w:w="4859" w:type="dxa"/>
            <w:gridSpan w:val="2"/>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VOCs自动监测系统</w:t>
            </w:r>
          </w:p>
        </w:tc>
        <w:tc>
          <w:tcPr>
            <w:tcW w:w="1551" w:type="dxa"/>
            <w:vMerge w:val="restart"/>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lang w:val="en-US" w:eastAsia="zh-CN"/>
              </w:rPr>
            </w:pPr>
            <w:r>
              <w:rPr>
                <w:rFonts w:hint="eastAsia" w:ascii="宋体" w:hAnsi="宋体" w:eastAsia="宋体" w:cs="宋体"/>
                <w:color w:val="auto"/>
                <w:sz w:val="22"/>
                <w:szCs w:val="22"/>
                <w:highlight w:val="none"/>
                <w:lang w:val="en-US" w:eastAsia="zh-CN"/>
              </w:rPr>
              <w:t>详见表后</w:t>
            </w:r>
          </w:p>
        </w:tc>
        <w:tc>
          <w:tcPr>
            <w:tcW w:w="1159"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套</w:t>
            </w:r>
          </w:p>
        </w:tc>
        <w:tc>
          <w:tcPr>
            <w:tcW w:w="784"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w:t>
            </w:r>
          </w:p>
        </w:tc>
        <w:tc>
          <w:tcPr>
            <w:tcW w:w="83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4" w:type="dxa"/>
            <w:vMerge w:val="restart"/>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2</w:t>
            </w:r>
          </w:p>
        </w:tc>
        <w:tc>
          <w:tcPr>
            <w:tcW w:w="1391" w:type="dxa"/>
            <w:vMerge w:val="restart"/>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站房</w:t>
            </w:r>
          </w:p>
        </w:tc>
        <w:tc>
          <w:tcPr>
            <w:tcW w:w="346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彩钢板房及配套设施（40 m</w:t>
            </w:r>
            <w:r>
              <w:rPr>
                <w:rFonts w:hint="eastAsia" w:ascii="宋体" w:hAnsi="宋体" w:eastAsia="宋体" w:cs="宋体"/>
                <w:kern w:val="0"/>
                <w:sz w:val="22"/>
                <w:szCs w:val="22"/>
                <w:highlight w:val="none"/>
                <w:vertAlign w:val="superscript"/>
              </w:rPr>
              <w:t>2</w:t>
            </w:r>
            <w:r>
              <w:rPr>
                <w:rFonts w:hint="eastAsia" w:ascii="宋体" w:hAnsi="宋体" w:eastAsia="宋体" w:cs="宋体"/>
                <w:kern w:val="0"/>
                <w:sz w:val="22"/>
                <w:szCs w:val="22"/>
                <w:highlight w:val="none"/>
              </w:rPr>
              <w:t>）</w:t>
            </w:r>
          </w:p>
        </w:tc>
        <w:tc>
          <w:tcPr>
            <w:tcW w:w="1551"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lang w:val="en-US" w:eastAsia="zh-CN"/>
              </w:rPr>
            </w:pPr>
          </w:p>
        </w:tc>
        <w:tc>
          <w:tcPr>
            <w:tcW w:w="1159"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套</w:t>
            </w:r>
          </w:p>
        </w:tc>
        <w:tc>
          <w:tcPr>
            <w:tcW w:w="784"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w:t>
            </w:r>
          </w:p>
        </w:tc>
        <w:tc>
          <w:tcPr>
            <w:tcW w:w="83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4"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c>
          <w:tcPr>
            <w:tcW w:w="1391"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c>
          <w:tcPr>
            <w:tcW w:w="346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空调（2P, 带来电自启功能）</w:t>
            </w:r>
          </w:p>
        </w:tc>
        <w:tc>
          <w:tcPr>
            <w:tcW w:w="1551"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lang w:val="en-US" w:eastAsia="zh-CN"/>
              </w:rPr>
            </w:pPr>
          </w:p>
        </w:tc>
        <w:tc>
          <w:tcPr>
            <w:tcW w:w="1159"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台</w:t>
            </w:r>
          </w:p>
        </w:tc>
        <w:tc>
          <w:tcPr>
            <w:tcW w:w="784"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4</w:t>
            </w:r>
          </w:p>
        </w:tc>
        <w:tc>
          <w:tcPr>
            <w:tcW w:w="83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4" w:type="dxa"/>
            <w:vMerge w:val="restart"/>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w:t>
            </w:r>
          </w:p>
        </w:tc>
        <w:tc>
          <w:tcPr>
            <w:tcW w:w="1391" w:type="dxa"/>
            <w:vMerge w:val="restart"/>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系统</w:t>
            </w:r>
          </w:p>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集成</w:t>
            </w:r>
          </w:p>
        </w:tc>
        <w:tc>
          <w:tcPr>
            <w:tcW w:w="346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参数稳压电源（5KVA）</w:t>
            </w:r>
          </w:p>
        </w:tc>
        <w:tc>
          <w:tcPr>
            <w:tcW w:w="1551"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lang w:val="en-US" w:eastAsia="zh-CN"/>
              </w:rPr>
            </w:pPr>
          </w:p>
        </w:tc>
        <w:tc>
          <w:tcPr>
            <w:tcW w:w="1159"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台</w:t>
            </w:r>
          </w:p>
        </w:tc>
        <w:tc>
          <w:tcPr>
            <w:tcW w:w="784"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2</w:t>
            </w:r>
          </w:p>
        </w:tc>
        <w:tc>
          <w:tcPr>
            <w:tcW w:w="83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4"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c>
          <w:tcPr>
            <w:tcW w:w="1391"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c>
          <w:tcPr>
            <w:tcW w:w="346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参数稳压电源（3KVA）</w:t>
            </w:r>
          </w:p>
        </w:tc>
        <w:tc>
          <w:tcPr>
            <w:tcW w:w="1551"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lang w:val="en-US" w:eastAsia="zh-CN"/>
              </w:rPr>
            </w:pPr>
          </w:p>
        </w:tc>
        <w:tc>
          <w:tcPr>
            <w:tcW w:w="1159"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台</w:t>
            </w:r>
          </w:p>
        </w:tc>
        <w:tc>
          <w:tcPr>
            <w:tcW w:w="784"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w:t>
            </w:r>
          </w:p>
        </w:tc>
        <w:tc>
          <w:tcPr>
            <w:tcW w:w="83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4"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c>
          <w:tcPr>
            <w:tcW w:w="1391"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c>
          <w:tcPr>
            <w:tcW w:w="346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安装辅材</w:t>
            </w:r>
          </w:p>
        </w:tc>
        <w:tc>
          <w:tcPr>
            <w:tcW w:w="1551"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lang w:val="en-US" w:eastAsia="zh-CN"/>
              </w:rPr>
            </w:pPr>
          </w:p>
        </w:tc>
        <w:tc>
          <w:tcPr>
            <w:tcW w:w="1159"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套</w:t>
            </w:r>
          </w:p>
        </w:tc>
        <w:tc>
          <w:tcPr>
            <w:tcW w:w="784"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w:t>
            </w:r>
          </w:p>
        </w:tc>
        <w:tc>
          <w:tcPr>
            <w:tcW w:w="83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4"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c>
          <w:tcPr>
            <w:tcW w:w="1391"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c>
          <w:tcPr>
            <w:tcW w:w="346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设备搬迁</w:t>
            </w:r>
          </w:p>
        </w:tc>
        <w:tc>
          <w:tcPr>
            <w:tcW w:w="1551"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lang w:val="en-US" w:eastAsia="zh-CN"/>
              </w:rPr>
            </w:pPr>
          </w:p>
        </w:tc>
        <w:tc>
          <w:tcPr>
            <w:tcW w:w="1159"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项</w:t>
            </w:r>
          </w:p>
        </w:tc>
        <w:tc>
          <w:tcPr>
            <w:tcW w:w="784"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w:t>
            </w:r>
          </w:p>
        </w:tc>
        <w:tc>
          <w:tcPr>
            <w:tcW w:w="83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4"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4</w:t>
            </w:r>
          </w:p>
        </w:tc>
        <w:tc>
          <w:tcPr>
            <w:tcW w:w="4859" w:type="dxa"/>
            <w:gridSpan w:val="2"/>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点位选址比对服务</w:t>
            </w:r>
          </w:p>
        </w:tc>
        <w:tc>
          <w:tcPr>
            <w:tcW w:w="1551" w:type="dxa"/>
            <w:vMerge w:val="continue"/>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c>
          <w:tcPr>
            <w:tcW w:w="1159" w:type="dxa"/>
            <w:noWrap w:val="0"/>
            <w:vAlign w:val="center"/>
          </w:tcPr>
          <w:p>
            <w:pPr>
              <w:keepNext w:val="0"/>
              <w:keepLines w:val="0"/>
              <w:pageBreakBefore w:val="0"/>
              <w:kinsoku/>
              <w:wordWrap/>
              <w:overflowPunct/>
              <w:topLinePunct w:val="0"/>
              <w:autoSpaceDE w:val="0"/>
              <w:autoSpaceDN w:val="0"/>
              <w:bidi w:val="0"/>
              <w:adjustRightInd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lang w:val="en-US" w:eastAsia="zh-CN"/>
              </w:rPr>
              <w:t>附后</w:t>
            </w:r>
          </w:p>
        </w:tc>
        <w:tc>
          <w:tcPr>
            <w:tcW w:w="784"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w:t>
            </w:r>
          </w:p>
        </w:tc>
        <w:tc>
          <w:tcPr>
            <w:tcW w:w="838" w:type="dxa"/>
            <w:noWrap w:val="0"/>
            <w:vAlign w:val="center"/>
          </w:tcPr>
          <w:p>
            <w:pPr>
              <w:keepNext w:val="0"/>
              <w:keepLines w:val="0"/>
              <w:pageBreakBefore w:val="0"/>
              <w:kinsoku/>
              <w:wordWrap/>
              <w:overflowPunct/>
              <w:topLinePunct w:val="0"/>
              <w:autoSpaceDE w:val="0"/>
              <w:autoSpaceDN w:val="0"/>
              <w:bidi w:val="0"/>
              <w:adjustRightInd w:val="0"/>
              <w:spacing w:line="400" w:lineRule="exact"/>
              <w:ind w:firstLine="0" w:firstLineChars="0"/>
              <w:jc w:val="center"/>
              <w:rPr>
                <w:rFonts w:hint="eastAsia" w:ascii="宋体" w:hAnsi="宋体" w:eastAsia="宋体" w:cs="宋体"/>
                <w:kern w:val="0"/>
                <w:sz w:val="22"/>
                <w:szCs w:val="22"/>
                <w:highlight w:val="none"/>
              </w:rPr>
            </w:pPr>
          </w:p>
        </w:tc>
      </w:tr>
    </w:tbl>
    <w:p>
      <w:pPr>
        <w:keepNext w:val="0"/>
        <w:keepLines w:val="0"/>
        <w:pageBreakBefore w:val="0"/>
        <w:numPr>
          <w:ilvl w:val="0"/>
          <w:numId w:val="0"/>
        </w:numPr>
        <w:kinsoku/>
        <w:wordWrap/>
        <w:overflowPunct/>
        <w:topLinePunct w:val="0"/>
        <w:bidi w:val="0"/>
        <w:spacing w:line="400" w:lineRule="exact"/>
        <w:outlineLvl w:val="1"/>
        <w:rPr>
          <w:rFonts w:hint="eastAsia" w:ascii="宋体" w:hAnsi="宋体" w:eastAsia="宋体" w:cs="宋体"/>
          <w:b/>
          <w:sz w:val="22"/>
          <w:szCs w:val="22"/>
          <w:highlight w:val="none"/>
        </w:rPr>
      </w:pPr>
    </w:p>
    <w:p>
      <w:pPr>
        <w:pStyle w:val="2"/>
        <w:keepNext w:val="0"/>
        <w:pageBreakBefore w:val="0"/>
        <w:kinsoku/>
        <w:wordWrap/>
        <w:overflowPunct/>
        <w:topLinePunct w:val="0"/>
        <w:bidi w:val="0"/>
        <w:spacing w:line="400" w:lineRule="exact"/>
        <w:rPr>
          <w:rFonts w:hint="eastAsia" w:eastAsia="宋体"/>
          <w:highlight w:val="none"/>
          <w:lang w:eastAsia="zh-CN"/>
        </w:rPr>
      </w:pPr>
      <w:r>
        <w:rPr>
          <w:rFonts w:hint="eastAsia" w:ascii="宋体" w:hAnsi="宋体" w:eastAsia="宋体" w:cs="宋体"/>
          <w:b/>
          <w:sz w:val="28"/>
          <w:szCs w:val="28"/>
          <w:highlight w:val="none"/>
        </w:rPr>
        <w:t>技术</w:t>
      </w:r>
      <w:r>
        <w:rPr>
          <w:rFonts w:hint="eastAsia" w:ascii="宋体" w:hAnsi="宋体" w:eastAsia="宋体" w:cs="宋体"/>
          <w:b/>
          <w:sz w:val="28"/>
          <w:szCs w:val="28"/>
          <w:highlight w:val="none"/>
          <w:lang w:val="en-US" w:eastAsia="zh-CN"/>
        </w:rPr>
        <w:t>参数及</w:t>
      </w:r>
      <w:r>
        <w:rPr>
          <w:rFonts w:hint="eastAsia" w:ascii="宋体" w:hAnsi="宋体" w:eastAsia="宋体" w:cs="宋体"/>
          <w:b/>
          <w:sz w:val="28"/>
          <w:szCs w:val="28"/>
          <w:highlight w:val="none"/>
        </w:rPr>
        <w:t>要求</w:t>
      </w:r>
      <w:r>
        <w:rPr>
          <w:rFonts w:hint="eastAsia" w:ascii="宋体" w:hAnsi="宋体" w:eastAsia="宋体" w:cs="宋体"/>
          <w:b/>
          <w:sz w:val="28"/>
          <w:szCs w:val="28"/>
          <w:highlight w:val="none"/>
          <w:lang w:eastAsia="zh-CN"/>
        </w:rPr>
        <w:t>：</w:t>
      </w:r>
    </w:p>
    <w:p>
      <w:pPr>
        <w:pStyle w:val="2"/>
        <w:keepNext w:val="0"/>
        <w:pageBreakBefore w:val="0"/>
        <w:kinsoku/>
        <w:wordWrap/>
        <w:overflowPunct/>
        <w:topLinePunct w:val="0"/>
        <w:bidi w:val="0"/>
        <w:spacing w:line="400" w:lineRule="exact"/>
        <w:rPr>
          <w:rFonts w:hint="eastAsia"/>
          <w:sz w:val="24"/>
          <w:szCs w:val="32"/>
          <w:highlight w:val="none"/>
        </w:rPr>
      </w:pPr>
    </w:p>
    <w:p>
      <w:pPr>
        <w:keepNext w:val="0"/>
        <w:keepLines w:val="0"/>
        <w:pageBreakBefore w:val="0"/>
        <w:kinsoku/>
        <w:wordWrap/>
        <w:overflowPunct/>
        <w:topLinePunct w:val="0"/>
        <w:bidi w:val="0"/>
        <w:spacing w:line="400" w:lineRule="exact"/>
        <w:ind w:firstLine="480"/>
        <w:outlineLvl w:val="2"/>
        <w:rPr>
          <w:rFonts w:hint="eastAsia" w:ascii="宋体" w:hAnsi="宋体" w:eastAsia="宋体" w:cs="宋体"/>
          <w:sz w:val="22"/>
          <w:szCs w:val="22"/>
          <w:highlight w:val="none"/>
        </w:rPr>
      </w:pPr>
      <w:bookmarkStart w:id="271" w:name="_Toc9766"/>
      <w:r>
        <w:rPr>
          <w:rFonts w:hint="eastAsia" w:ascii="宋体" w:hAnsi="宋体" w:eastAsia="宋体" w:cs="宋体"/>
          <w:sz w:val="22"/>
          <w:szCs w:val="22"/>
          <w:highlight w:val="none"/>
        </w:rPr>
        <w:t>1) 在线挥发性有机物分析仪</w:t>
      </w:r>
      <w:bookmarkEnd w:id="271"/>
    </w:p>
    <w:p>
      <w:pPr>
        <w:keepNext w:val="0"/>
        <w:keepLines w:val="0"/>
        <w:pageBreakBefore w:val="0"/>
        <w:tabs>
          <w:tab w:val="left" w:pos="2115"/>
        </w:tabs>
        <w:kinsoku/>
        <w:wordWrap/>
        <w:overflowPunct/>
        <w:topLinePunct w:val="0"/>
        <w:bidi w:val="0"/>
        <w:adjustRightInd w:val="0"/>
        <w:snapToGrid w:val="0"/>
        <w:spacing w:line="400" w:lineRule="exact"/>
        <w:ind w:firstLine="482"/>
        <w:rPr>
          <w:rFonts w:hint="eastAsia" w:ascii="宋体" w:hAnsi="宋体" w:eastAsia="宋体" w:cs="宋体"/>
          <w:sz w:val="22"/>
          <w:szCs w:val="22"/>
          <w:highlight w:val="none"/>
        </w:rPr>
      </w:pPr>
      <w:r>
        <w:rPr>
          <w:rFonts w:hint="eastAsia" w:ascii="宋体" w:hAnsi="宋体" w:eastAsia="宋体" w:cs="宋体"/>
          <w:b/>
          <w:sz w:val="22"/>
          <w:szCs w:val="22"/>
          <w:highlight w:val="none"/>
        </w:rPr>
        <w:t>1、用途</w:t>
      </w:r>
      <w:r>
        <w:rPr>
          <w:rFonts w:hint="eastAsia" w:ascii="宋体" w:hAnsi="宋体" w:eastAsia="宋体" w:cs="宋体"/>
          <w:sz w:val="22"/>
          <w:szCs w:val="22"/>
          <w:highlight w:val="none"/>
        </w:rPr>
        <w:t>：连续24小时在线监测环境空气中可挥发性有机物。监测项目应满足国际上通用的臭氧前驱体标准（PAMs）监测项目；同时有能力监测环境空气中含氧/氮挥发性有机物（OVOCs）、监测环境空气中卤代烃等；</w:t>
      </w:r>
    </w:p>
    <w:p>
      <w:pPr>
        <w:keepNext w:val="0"/>
        <w:keepLines w:val="0"/>
        <w:pageBreakBefore w:val="0"/>
        <w:kinsoku/>
        <w:wordWrap/>
        <w:overflowPunct/>
        <w:topLinePunct w:val="0"/>
        <w:bidi w:val="0"/>
        <w:spacing w:line="400" w:lineRule="exact"/>
        <w:ind w:firstLine="480"/>
        <w:jc w:val="left"/>
        <w:rPr>
          <w:rFonts w:hint="eastAsia" w:ascii="宋体" w:hAnsi="宋体" w:eastAsia="宋体" w:cs="宋体"/>
          <w:color w:val="FF0000"/>
          <w:sz w:val="22"/>
          <w:szCs w:val="22"/>
          <w:highlight w:val="none"/>
        </w:rPr>
      </w:pPr>
      <w:r>
        <w:rPr>
          <w:rFonts w:hint="eastAsia" w:ascii="宋体" w:hAnsi="宋体" w:eastAsia="宋体" w:cs="宋体"/>
          <w:color w:val="000000"/>
          <w:sz w:val="22"/>
          <w:szCs w:val="22"/>
          <w:highlight w:val="none"/>
        </w:rPr>
        <w:t>★2、产品具有中国环境监测总站（环境保护部环境监测仪器质量监督检验中心）出具的116种VOC物种检测报告</w:t>
      </w: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（物种见附件1）  </w:t>
      </w:r>
    </w:p>
    <w:p>
      <w:pPr>
        <w:keepNext w:val="0"/>
        <w:keepLines w:val="0"/>
        <w:pageBreakBefore w:val="0"/>
        <w:tabs>
          <w:tab w:val="left" w:pos="2115"/>
        </w:tabs>
        <w:kinsoku/>
        <w:wordWrap/>
        <w:overflowPunct/>
        <w:topLinePunct w:val="0"/>
        <w:bidi w:val="0"/>
        <w:adjustRightInd w:val="0"/>
        <w:snapToGrid w:val="0"/>
        <w:spacing w:line="400" w:lineRule="exact"/>
        <w:ind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3、技术参数要求：</w:t>
      </w:r>
    </w:p>
    <w:p>
      <w:pPr>
        <w:keepNext w:val="0"/>
        <w:keepLines w:val="0"/>
        <w:pageBreakBefore w:val="0"/>
        <w:tabs>
          <w:tab w:val="left" w:pos="2115"/>
        </w:tabs>
        <w:kinsoku/>
        <w:wordWrap/>
        <w:overflowPunct/>
        <w:topLinePunct w:val="0"/>
        <w:bidi w:val="0"/>
        <w:adjustRightInd w:val="0"/>
        <w:snapToGrid w:val="0"/>
        <w:spacing w:line="400" w:lineRule="exact"/>
        <w:ind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3.1仪器监测原理</w:t>
      </w:r>
    </w:p>
    <w:p>
      <w:pPr>
        <w:keepNext w:val="0"/>
        <w:keepLines w:val="0"/>
        <w:pageBreakBefore w:val="0"/>
        <w:tabs>
          <w:tab w:val="left" w:pos="2115"/>
        </w:tabs>
        <w:kinsoku/>
        <w:wordWrap/>
        <w:overflowPunct/>
        <w:topLinePunct w:val="0"/>
        <w:bidi w:val="0"/>
        <w:adjustRightInd w:val="0"/>
        <w:snapToGrid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采用超低温富集浓缩技术，压缩机制冷方式，结合气相色谱/质谱法检测大气挥发性有机化合物VOCs。采用双通道采样，双色谱柱分离后分别进入氢离子化火焰检测器（FID）和质谱（MS）进行检测。</w:t>
      </w:r>
    </w:p>
    <w:p>
      <w:pPr>
        <w:keepNext w:val="0"/>
        <w:keepLines w:val="0"/>
        <w:pageBreakBefore w:val="0"/>
        <w:tabs>
          <w:tab w:val="left" w:pos="2115"/>
        </w:tabs>
        <w:kinsoku/>
        <w:wordWrap/>
        <w:overflowPunct/>
        <w:topLinePunct w:val="0"/>
        <w:bidi w:val="0"/>
        <w:adjustRightInd w:val="0"/>
        <w:snapToGrid w:val="0"/>
        <w:spacing w:line="400" w:lineRule="exact"/>
        <w:ind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3.2配置要求：</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1)预浓缩仪，1套；</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2)气相色谱质谱联用仪，1套；</w:t>
      </w:r>
    </w:p>
    <w:p>
      <w:pPr>
        <w:pStyle w:val="263"/>
        <w:keepNext w:val="0"/>
        <w:keepLines w:val="0"/>
        <w:pageBreakBefore w:val="0"/>
        <w:kinsoku/>
        <w:wordWrap/>
        <w:overflowPunct/>
        <w:topLinePunct w:val="0"/>
        <w:bidi w:val="0"/>
        <w:spacing w:line="400" w:lineRule="exact"/>
        <w:ind w:firstLine="220" w:firstLineChars="100"/>
        <w:rPr>
          <w:rFonts w:hint="eastAsia" w:ascii="宋体" w:hAnsi="宋体" w:eastAsia="宋体" w:cs="宋体"/>
          <w:kern w:val="2"/>
          <w:sz w:val="22"/>
          <w:szCs w:val="22"/>
          <w:highlight w:val="none"/>
        </w:rPr>
      </w:pPr>
      <w:r>
        <w:rPr>
          <w:rFonts w:hint="eastAsia" w:ascii="宋体" w:hAnsi="宋体" w:eastAsia="宋体" w:cs="宋体"/>
          <w:sz w:val="22"/>
          <w:szCs w:val="22"/>
          <w:highlight w:val="none"/>
        </w:rPr>
        <w:t>3)</w:t>
      </w:r>
      <w:r>
        <w:rPr>
          <w:rFonts w:hint="eastAsia" w:ascii="宋体" w:hAnsi="宋体" w:eastAsia="宋体" w:cs="宋体"/>
          <w:kern w:val="2"/>
          <w:sz w:val="22"/>
          <w:szCs w:val="22"/>
          <w:highlight w:val="none"/>
        </w:rPr>
        <w:t>氢空一体机，1台；</w:t>
      </w:r>
    </w:p>
    <w:p>
      <w:pPr>
        <w:pStyle w:val="263"/>
        <w:keepNext w:val="0"/>
        <w:keepLines w:val="0"/>
        <w:pageBreakBefore w:val="0"/>
        <w:kinsoku/>
        <w:wordWrap/>
        <w:overflowPunct/>
        <w:topLinePunct w:val="0"/>
        <w:bidi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4)高纯氮气清洁器，1套；</w:t>
      </w:r>
    </w:p>
    <w:p>
      <w:pPr>
        <w:pStyle w:val="263"/>
        <w:keepNext w:val="0"/>
        <w:keepLines w:val="0"/>
        <w:pageBreakBefore w:val="0"/>
        <w:kinsoku/>
        <w:wordWrap/>
        <w:overflowPunct/>
        <w:topLinePunct w:val="0"/>
        <w:bidi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5)高纯氦气清洁器，1套；</w:t>
      </w:r>
    </w:p>
    <w:p>
      <w:pPr>
        <w:pStyle w:val="263"/>
        <w:keepNext w:val="0"/>
        <w:keepLines w:val="0"/>
        <w:pageBreakBefore w:val="0"/>
        <w:kinsoku/>
        <w:wordWrap/>
        <w:overflowPunct/>
        <w:topLinePunct w:val="0"/>
        <w:bidi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6)苏码罐15L，4个；</w:t>
      </w:r>
    </w:p>
    <w:p>
      <w:pPr>
        <w:pStyle w:val="263"/>
        <w:keepNext w:val="0"/>
        <w:keepLines w:val="0"/>
        <w:pageBreakBefore w:val="0"/>
        <w:kinsoku/>
        <w:wordWrap/>
        <w:overflowPunct/>
        <w:topLinePunct w:val="0"/>
        <w:bidi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7)一年耗材</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1" w:firstLineChars="100"/>
        <w:rPr>
          <w:rFonts w:hint="eastAsia" w:ascii="宋体" w:hAnsi="宋体" w:eastAsia="宋体" w:cs="宋体"/>
          <w:b/>
          <w:sz w:val="22"/>
          <w:szCs w:val="22"/>
          <w:highlight w:val="none"/>
        </w:rPr>
      </w:pPr>
      <w:r>
        <w:rPr>
          <w:rFonts w:hint="eastAsia" w:ascii="宋体" w:hAnsi="宋体" w:eastAsia="宋体" w:cs="宋体"/>
          <w:b/>
          <w:sz w:val="22"/>
          <w:szCs w:val="22"/>
          <w:highlight w:val="none"/>
        </w:rPr>
        <w:t>3.3 技术指标</w:t>
      </w:r>
    </w:p>
    <w:p>
      <w:pPr>
        <w:keepNext w:val="0"/>
        <w:keepLines w:val="0"/>
        <w:pageBreakBefore w:val="0"/>
        <w:tabs>
          <w:tab w:val="left" w:pos="2115"/>
        </w:tabs>
        <w:kinsoku/>
        <w:wordWrap/>
        <w:overflowPunct/>
        <w:topLinePunct w:val="0"/>
        <w:bidi w:val="0"/>
        <w:adjustRightInd w:val="0"/>
        <w:snapToGrid w:val="0"/>
        <w:spacing w:line="400" w:lineRule="exact"/>
        <w:ind w:firstLine="221" w:firstLineChars="100"/>
        <w:rPr>
          <w:rFonts w:hint="eastAsia" w:ascii="宋体" w:hAnsi="宋体" w:eastAsia="宋体" w:cs="宋体"/>
          <w:b/>
          <w:sz w:val="22"/>
          <w:szCs w:val="22"/>
          <w:highlight w:val="none"/>
        </w:rPr>
      </w:pPr>
      <w:r>
        <w:rPr>
          <w:rFonts w:hint="eastAsia" w:ascii="宋体" w:hAnsi="宋体" w:eastAsia="宋体" w:cs="宋体"/>
          <w:b/>
          <w:sz w:val="22"/>
          <w:szCs w:val="22"/>
          <w:highlight w:val="none"/>
        </w:rPr>
        <w:t>3.3.1 工作条件</w:t>
      </w:r>
    </w:p>
    <w:p>
      <w:pPr>
        <w:keepNext w:val="0"/>
        <w:keepLines w:val="0"/>
        <w:pageBreakBefore w:val="0"/>
        <w:kinsoku/>
        <w:wordWrap/>
        <w:overflowPunct/>
        <w:topLinePunct w:val="0"/>
        <w:autoSpaceDE w:val="0"/>
        <w:autoSpaceDN w:val="0"/>
        <w:bidi w:val="0"/>
        <w:adjustRightInd w:val="0"/>
        <w:spacing w:line="400" w:lineRule="exact"/>
        <w:ind w:firstLine="480"/>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环境温度：（20～30）℃；</w:t>
      </w:r>
    </w:p>
    <w:p>
      <w:pPr>
        <w:keepNext w:val="0"/>
        <w:keepLines w:val="0"/>
        <w:pageBreakBefore w:val="0"/>
        <w:kinsoku/>
        <w:wordWrap/>
        <w:overflowPunct/>
        <w:topLinePunct w:val="0"/>
        <w:autoSpaceDE w:val="0"/>
        <w:autoSpaceDN w:val="0"/>
        <w:bidi w:val="0"/>
        <w:adjustRightInd w:val="0"/>
        <w:spacing w:line="400" w:lineRule="exact"/>
        <w:ind w:firstLine="480"/>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相对湿度：≤85%；</w:t>
      </w:r>
    </w:p>
    <w:p>
      <w:pPr>
        <w:keepNext w:val="0"/>
        <w:keepLines w:val="0"/>
        <w:pageBreakBefore w:val="0"/>
        <w:kinsoku/>
        <w:wordWrap/>
        <w:overflowPunct/>
        <w:topLinePunct w:val="0"/>
        <w:autoSpaceDE w:val="0"/>
        <w:autoSpaceDN w:val="0"/>
        <w:bidi w:val="0"/>
        <w:adjustRightInd w:val="0"/>
        <w:spacing w:line="400" w:lineRule="exact"/>
        <w:ind w:firstLine="480"/>
        <w:jc w:val="left"/>
        <w:rPr>
          <w:rFonts w:hint="eastAsia" w:ascii="宋体" w:hAnsi="宋体" w:eastAsia="宋体" w:cs="宋体"/>
          <w:color w:val="000000"/>
          <w:sz w:val="22"/>
          <w:szCs w:val="22"/>
          <w:highlight w:val="none"/>
        </w:rPr>
      </w:pPr>
      <w:r>
        <w:rPr>
          <w:rFonts w:hint="eastAsia" w:ascii="宋体" w:hAnsi="宋体" w:eastAsia="宋体" w:cs="宋体"/>
          <w:sz w:val="22"/>
          <w:szCs w:val="22"/>
          <w:highlight w:val="none"/>
        </w:rPr>
        <w:t>大气压</w:t>
      </w:r>
      <w:r>
        <w:rPr>
          <w:rFonts w:hint="eastAsia" w:ascii="宋体" w:hAnsi="宋体" w:eastAsia="宋体" w:cs="宋体"/>
          <w:color w:val="000000"/>
          <w:sz w:val="22"/>
          <w:szCs w:val="22"/>
          <w:highlight w:val="none"/>
        </w:rPr>
        <w:t>：（800～1060）hPa；</w:t>
      </w:r>
    </w:p>
    <w:p>
      <w:pPr>
        <w:keepNext w:val="0"/>
        <w:keepLines w:val="0"/>
        <w:pageBreakBefore w:val="0"/>
        <w:kinsoku/>
        <w:wordWrap/>
        <w:overflowPunct/>
        <w:topLinePunct w:val="0"/>
        <w:autoSpaceDE w:val="0"/>
        <w:autoSpaceDN w:val="0"/>
        <w:bidi w:val="0"/>
        <w:adjustRightInd w:val="0"/>
        <w:spacing w:line="400" w:lineRule="exact"/>
        <w:ind w:firstLine="480"/>
        <w:jc w:val="left"/>
        <w:rPr>
          <w:rFonts w:hint="eastAsia" w:ascii="宋体" w:hAnsi="宋体" w:eastAsia="宋体" w:cs="宋体"/>
          <w:color w:val="FF0000"/>
          <w:sz w:val="22"/>
          <w:szCs w:val="22"/>
          <w:highlight w:val="none"/>
          <w:lang w:eastAsia="zh-CN"/>
        </w:rPr>
      </w:pP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全系统总功率≤4000W，输入电压≤220V </w:t>
      </w:r>
      <w:r>
        <w:rPr>
          <w:rFonts w:hint="eastAsia" w:ascii="宋体" w:hAnsi="宋体" w:cs="宋体"/>
          <w:color w:val="000000"/>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 xml:space="preserve"> 3.3.2 采样时间</w:t>
      </w:r>
    </w:p>
    <w:p>
      <w:pPr>
        <w:keepNext w:val="0"/>
        <w:keepLines w:val="0"/>
        <w:pageBreakBefore w:val="0"/>
        <w:tabs>
          <w:tab w:val="left" w:pos="2115"/>
        </w:tabs>
        <w:kinsoku/>
        <w:wordWrap/>
        <w:overflowPunct/>
        <w:topLinePunct w:val="0"/>
        <w:bidi w:val="0"/>
        <w:adjustRightInd w:val="0"/>
        <w:snapToGrid w:val="0"/>
        <w:spacing w:line="400" w:lineRule="exact"/>
        <w:ind w:firstLine="48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每小时累积采样时间≥30min。</w:t>
      </w:r>
    </w:p>
    <w:p>
      <w:pPr>
        <w:keepNext w:val="0"/>
        <w:keepLines w:val="0"/>
        <w:pageBreakBefore w:val="0"/>
        <w:tabs>
          <w:tab w:val="left" w:pos="2115"/>
        </w:tabs>
        <w:kinsoku/>
        <w:wordWrap/>
        <w:overflowPunct/>
        <w:topLinePunct w:val="0"/>
        <w:bidi w:val="0"/>
        <w:adjustRightInd w:val="0"/>
        <w:snapToGrid w:val="0"/>
        <w:spacing w:line="400" w:lineRule="exact"/>
        <w:ind w:left="141" w:leftChars="67"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3.3.3 性能指标</w:t>
      </w:r>
    </w:p>
    <w:p>
      <w:pPr>
        <w:keepNext w:val="0"/>
        <w:keepLines w:val="0"/>
        <w:pageBreakBefore w:val="0"/>
        <w:tabs>
          <w:tab w:val="left" w:pos="2115"/>
        </w:tabs>
        <w:kinsoku/>
        <w:wordWrap/>
        <w:overflowPunct/>
        <w:topLinePunct w:val="0"/>
        <w:bidi w:val="0"/>
        <w:adjustRightInd w:val="0"/>
        <w:snapToGrid w:val="0"/>
        <w:spacing w:line="400" w:lineRule="exact"/>
        <w:ind w:firstLine="482"/>
        <w:rPr>
          <w:rFonts w:hint="eastAsia" w:ascii="宋体" w:hAnsi="宋体" w:eastAsia="宋体" w:cs="宋体"/>
          <w:b/>
          <w:sz w:val="22"/>
          <w:szCs w:val="22"/>
          <w:highlight w:val="none"/>
        </w:rPr>
      </w:pPr>
      <w:r>
        <w:rPr>
          <w:rFonts w:hint="eastAsia" w:ascii="宋体" w:hAnsi="宋体" w:eastAsia="宋体" w:cs="宋体"/>
          <w:b/>
          <w:kern w:val="0"/>
          <w:sz w:val="22"/>
          <w:szCs w:val="22"/>
          <w:highlight w:val="none"/>
        </w:rPr>
        <w:t>3.3.3.1</w:t>
      </w:r>
      <w:r>
        <w:rPr>
          <w:rFonts w:hint="eastAsia" w:ascii="宋体" w:hAnsi="宋体" w:eastAsia="宋体" w:cs="宋体"/>
          <w:b/>
          <w:sz w:val="22"/>
          <w:szCs w:val="22"/>
          <w:highlight w:val="none"/>
        </w:rPr>
        <w:t>分析组分</w:t>
      </w:r>
    </w:p>
    <w:p>
      <w:pPr>
        <w:keepNext w:val="0"/>
        <w:keepLines w:val="0"/>
        <w:pageBreakBefore w:val="0"/>
        <w:kinsoku/>
        <w:wordWrap/>
        <w:overflowPunct/>
        <w:topLinePunct w:val="0"/>
        <w:autoSpaceDE w:val="0"/>
        <w:autoSpaceDN w:val="0"/>
        <w:bidi w:val="0"/>
        <w:adjustRightInd w:val="0"/>
        <w:spacing w:line="400" w:lineRule="exact"/>
        <w:ind w:firstLine="480"/>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分析大气中挥发性有机物，包括PAMS（57种），OVOCs（醛、酮类物质），其他挥发性有机物等，组分表见附件1；57中PAMS浓度最高量程≥20 nmol/mol。</w:t>
      </w:r>
    </w:p>
    <w:p>
      <w:pPr>
        <w:keepNext w:val="0"/>
        <w:keepLines w:val="0"/>
        <w:pageBreakBefore w:val="0"/>
        <w:kinsoku/>
        <w:wordWrap/>
        <w:overflowPunct/>
        <w:topLinePunct w:val="0"/>
        <w:autoSpaceDE w:val="0"/>
        <w:autoSpaceDN w:val="0"/>
        <w:bidi w:val="0"/>
        <w:adjustRightInd w:val="0"/>
        <w:spacing w:line="400" w:lineRule="exact"/>
        <w:ind w:firstLine="482"/>
        <w:jc w:val="left"/>
        <w:rPr>
          <w:rFonts w:hint="eastAsia" w:ascii="宋体" w:hAnsi="宋体" w:eastAsia="宋体" w:cs="宋体"/>
          <w:b/>
          <w:kern w:val="0"/>
          <w:sz w:val="22"/>
          <w:szCs w:val="22"/>
          <w:highlight w:val="none"/>
        </w:rPr>
      </w:pPr>
      <w:r>
        <w:rPr>
          <w:rFonts w:hint="eastAsia" w:ascii="宋体" w:hAnsi="宋体" w:eastAsia="宋体" w:cs="宋体"/>
          <w:b/>
          <w:kern w:val="0"/>
          <w:sz w:val="22"/>
          <w:szCs w:val="22"/>
          <w:highlight w:val="none"/>
        </w:rPr>
        <w:t>3.3.3.2标准曲线</w:t>
      </w:r>
    </w:p>
    <w:p>
      <w:pPr>
        <w:keepNext w:val="0"/>
        <w:keepLines w:val="0"/>
        <w:pageBreakBefore w:val="0"/>
        <w:kinsoku/>
        <w:wordWrap/>
        <w:overflowPunct/>
        <w:topLinePunct w:val="0"/>
        <w:autoSpaceDE w:val="0"/>
        <w:autoSpaceDN w:val="0"/>
        <w:bidi w:val="0"/>
        <w:adjustRightInd w:val="0"/>
        <w:spacing w:line="400" w:lineRule="exact"/>
        <w:ind w:firstLine="480"/>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附表一中目标化合物90%以上的标准曲线相关系数≥0.98。校准曲线浓度点范围为0.5~10ppb，不低于5个浓度点。</w:t>
      </w:r>
      <w:r>
        <w:rPr>
          <w:rFonts w:hint="eastAsia" w:ascii="宋体" w:hAnsi="宋体" w:cs="宋体"/>
          <w:kern w:val="0"/>
          <w:sz w:val="22"/>
          <w:szCs w:val="22"/>
          <w:highlight w:val="none"/>
          <w:lang w:eastAsia="zh-CN"/>
        </w:rPr>
        <w:t>（</w:t>
      </w:r>
      <w:r>
        <w:rPr>
          <w:rFonts w:hint="eastAsia" w:ascii="宋体" w:hAnsi="宋体" w:eastAsia="宋体" w:cs="宋体"/>
          <w:kern w:val="0"/>
          <w:sz w:val="22"/>
          <w:szCs w:val="22"/>
          <w:highlight w:val="none"/>
        </w:rPr>
        <w:t>提供证明材料</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autoSpaceDE w:val="0"/>
        <w:autoSpaceDN w:val="0"/>
        <w:bidi w:val="0"/>
        <w:adjustRightInd w:val="0"/>
        <w:spacing w:line="400" w:lineRule="exact"/>
        <w:ind w:firstLine="482"/>
        <w:jc w:val="left"/>
        <w:rPr>
          <w:rFonts w:hint="eastAsia" w:ascii="宋体" w:hAnsi="宋体" w:eastAsia="宋体" w:cs="宋体"/>
          <w:b/>
          <w:kern w:val="0"/>
          <w:sz w:val="22"/>
          <w:szCs w:val="22"/>
          <w:highlight w:val="none"/>
        </w:rPr>
      </w:pPr>
      <w:r>
        <w:rPr>
          <w:rFonts w:hint="eastAsia" w:ascii="宋体" w:hAnsi="宋体" w:eastAsia="宋体" w:cs="宋体"/>
          <w:b/>
          <w:kern w:val="0"/>
          <w:sz w:val="22"/>
          <w:szCs w:val="22"/>
          <w:highlight w:val="none"/>
        </w:rPr>
        <w:t>3.3.3.3零点噪声</w:t>
      </w:r>
    </w:p>
    <w:p>
      <w:pPr>
        <w:keepNext w:val="0"/>
        <w:keepLines w:val="0"/>
        <w:pageBreakBefore w:val="0"/>
        <w:kinsoku/>
        <w:wordWrap/>
        <w:overflowPunct/>
        <w:topLinePunct w:val="0"/>
        <w:autoSpaceDE w:val="0"/>
        <w:autoSpaceDN w:val="0"/>
        <w:bidi w:val="0"/>
        <w:adjustRightInd w:val="0"/>
        <w:spacing w:line="400" w:lineRule="exact"/>
        <w:ind w:firstLine="480"/>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57种PAMS各组分仪器零点噪声≤0.05 nmol/mol。</w:t>
      </w:r>
    </w:p>
    <w:p>
      <w:pPr>
        <w:keepNext w:val="0"/>
        <w:keepLines w:val="0"/>
        <w:pageBreakBefore w:val="0"/>
        <w:kinsoku/>
        <w:wordWrap/>
        <w:overflowPunct/>
        <w:topLinePunct w:val="0"/>
        <w:autoSpaceDE w:val="0"/>
        <w:autoSpaceDN w:val="0"/>
        <w:bidi w:val="0"/>
        <w:adjustRightInd w:val="0"/>
        <w:spacing w:line="400" w:lineRule="exact"/>
        <w:ind w:firstLine="482"/>
        <w:jc w:val="left"/>
        <w:rPr>
          <w:rFonts w:hint="eastAsia" w:ascii="宋体" w:hAnsi="宋体" w:eastAsia="宋体" w:cs="宋体"/>
          <w:b/>
          <w:kern w:val="0"/>
          <w:sz w:val="22"/>
          <w:szCs w:val="22"/>
          <w:highlight w:val="none"/>
        </w:rPr>
      </w:pPr>
      <w:r>
        <w:rPr>
          <w:rFonts w:hint="eastAsia" w:ascii="宋体" w:hAnsi="宋体" w:eastAsia="宋体" w:cs="宋体"/>
          <w:b/>
          <w:kern w:val="0"/>
          <w:sz w:val="22"/>
          <w:szCs w:val="22"/>
          <w:highlight w:val="none"/>
        </w:rPr>
        <w:t>3.3.3.4方法检出限</w:t>
      </w:r>
    </w:p>
    <w:p>
      <w:pPr>
        <w:keepNext w:val="0"/>
        <w:keepLines w:val="0"/>
        <w:pageBreakBefore w:val="0"/>
        <w:kinsoku/>
        <w:wordWrap/>
        <w:overflowPunct/>
        <w:topLinePunct w:val="0"/>
        <w:autoSpaceDE w:val="0"/>
        <w:autoSpaceDN w:val="0"/>
        <w:bidi w:val="0"/>
        <w:adjustRightInd w:val="0"/>
        <w:spacing w:line="400" w:lineRule="exact"/>
        <w:ind w:firstLine="480"/>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附表一中目标化合物 90%组分的方法检出限≤0.1 nmol/mol。通入浓度气体不高于0.6ppb。提供证明材料。</w:t>
      </w:r>
    </w:p>
    <w:p>
      <w:pPr>
        <w:keepNext w:val="0"/>
        <w:keepLines w:val="0"/>
        <w:pageBreakBefore w:val="0"/>
        <w:kinsoku/>
        <w:wordWrap/>
        <w:overflowPunct/>
        <w:topLinePunct w:val="0"/>
        <w:autoSpaceDE w:val="0"/>
        <w:autoSpaceDN w:val="0"/>
        <w:bidi w:val="0"/>
        <w:adjustRightInd w:val="0"/>
        <w:spacing w:line="400" w:lineRule="exact"/>
        <w:ind w:firstLine="482"/>
        <w:jc w:val="left"/>
        <w:rPr>
          <w:rFonts w:hint="eastAsia" w:ascii="宋体" w:hAnsi="宋体" w:eastAsia="宋体" w:cs="宋体"/>
          <w:b/>
          <w:kern w:val="0"/>
          <w:sz w:val="22"/>
          <w:szCs w:val="22"/>
          <w:highlight w:val="none"/>
        </w:rPr>
      </w:pPr>
      <w:r>
        <w:rPr>
          <w:rFonts w:hint="eastAsia" w:ascii="宋体" w:hAnsi="宋体" w:eastAsia="宋体" w:cs="宋体"/>
          <w:b/>
          <w:kern w:val="0"/>
          <w:sz w:val="22"/>
          <w:szCs w:val="22"/>
          <w:highlight w:val="none"/>
        </w:rPr>
        <w:t>3.3.3.5准确性和重复性</w:t>
      </w:r>
    </w:p>
    <w:p>
      <w:pPr>
        <w:keepNext w:val="0"/>
        <w:keepLines w:val="0"/>
        <w:pageBreakBefore w:val="0"/>
        <w:kinsoku/>
        <w:wordWrap/>
        <w:overflowPunct/>
        <w:topLinePunct w:val="0"/>
        <w:autoSpaceDE w:val="0"/>
        <w:autoSpaceDN w:val="0"/>
        <w:bidi w:val="0"/>
        <w:adjustRightInd w:val="0"/>
        <w:spacing w:line="400" w:lineRule="exact"/>
        <w:ind w:firstLine="480"/>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连续 6 次以上测定同一浓度目标化合物的标准气体，浓度不高于6ppb，附表一中组分95%以上的目标化合物 RSD≤8%；95%以上的目标化合物 RE≤10%。提供证明材料。</w:t>
      </w:r>
    </w:p>
    <w:p>
      <w:pPr>
        <w:keepNext w:val="0"/>
        <w:keepLines w:val="0"/>
        <w:pageBreakBefore w:val="0"/>
        <w:tabs>
          <w:tab w:val="left" w:pos="2115"/>
        </w:tabs>
        <w:kinsoku/>
        <w:wordWrap/>
        <w:overflowPunct/>
        <w:topLinePunct w:val="0"/>
        <w:bidi w:val="0"/>
        <w:adjustRightInd w:val="0"/>
        <w:snapToGrid w:val="0"/>
        <w:spacing w:line="400" w:lineRule="exact"/>
        <w:ind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3.4 技术参数：</w:t>
      </w:r>
    </w:p>
    <w:p>
      <w:pPr>
        <w:keepNext w:val="0"/>
        <w:keepLines w:val="0"/>
        <w:pageBreakBefore w:val="0"/>
        <w:tabs>
          <w:tab w:val="left" w:pos="2115"/>
        </w:tabs>
        <w:kinsoku/>
        <w:wordWrap/>
        <w:overflowPunct/>
        <w:topLinePunct w:val="0"/>
        <w:bidi w:val="0"/>
        <w:adjustRightInd w:val="0"/>
        <w:snapToGrid w:val="0"/>
        <w:spacing w:line="400" w:lineRule="exact"/>
        <w:ind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 xml:space="preserve"> 3.4.1、预浓缩仪</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3.4.1.1管路要求：硅烷化管路，减少了管壁对物种的吸附；</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cs="宋体"/>
          <w:color w:val="000000"/>
          <w:sz w:val="22"/>
          <w:szCs w:val="22"/>
          <w:highlight w:val="none"/>
          <w:lang w:eastAsia="zh-CN"/>
        </w:rPr>
        <w:t>★</w:t>
      </w:r>
      <w:r>
        <w:rPr>
          <w:rFonts w:hint="eastAsia" w:ascii="宋体" w:hAnsi="宋体" w:eastAsia="宋体" w:cs="宋体"/>
          <w:sz w:val="22"/>
          <w:szCs w:val="22"/>
          <w:highlight w:val="none"/>
        </w:rPr>
        <w:t xml:space="preserve">3.4.1.2富集技术要求：采用空管超低温压缩机冷冻捕集技术，样品采集不使用吸附剂，纯物理富集；    </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color w:val="FF0000"/>
          <w:sz w:val="22"/>
          <w:szCs w:val="22"/>
          <w:highlight w:val="none"/>
        </w:rPr>
      </w:pPr>
      <w:r>
        <w:rPr>
          <w:rFonts w:hint="eastAsia" w:ascii="宋体" w:hAnsi="宋体" w:cs="宋体"/>
          <w:color w:val="000000"/>
          <w:sz w:val="22"/>
          <w:szCs w:val="22"/>
          <w:highlight w:val="none"/>
          <w:lang w:eastAsia="zh-CN"/>
        </w:rPr>
        <w:t>★</w:t>
      </w:r>
      <w:r>
        <w:rPr>
          <w:rFonts w:hint="eastAsia" w:ascii="宋体" w:hAnsi="宋体" w:eastAsia="宋体" w:cs="宋体"/>
          <w:sz w:val="22"/>
          <w:szCs w:val="22"/>
          <w:highlight w:val="none"/>
        </w:rPr>
        <w:t xml:space="preserve">3.4.1.3制冷要求：采用压缩机制冷系统（不用液氮制冷），220V供电，富集管核心温度可达-150℃以下；  </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cs="宋体"/>
          <w:color w:val="000000"/>
          <w:sz w:val="22"/>
          <w:szCs w:val="22"/>
          <w:highlight w:val="none"/>
          <w:lang w:eastAsia="zh-CN"/>
        </w:rPr>
        <w:t>★</w:t>
      </w:r>
      <w:r>
        <w:rPr>
          <w:rFonts w:hint="eastAsia" w:ascii="宋体" w:hAnsi="宋体" w:eastAsia="宋体" w:cs="宋体"/>
          <w:sz w:val="22"/>
          <w:szCs w:val="22"/>
          <w:highlight w:val="none"/>
        </w:rPr>
        <w:t xml:space="preserve">3.4.1.4富集管加热采用直金属管加热，不弯曲，保证加热均匀；  </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color w:val="FF0000"/>
          <w:sz w:val="22"/>
          <w:szCs w:val="22"/>
          <w:highlight w:val="none"/>
        </w:rPr>
      </w:pP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3.4.1.5除水系统：需采用独立温度控制技术，控制采样时的除水温度、捕集温度及解析温度互不干扰，通过程控软件自动控制。双路除水，FID路除水温度可低至-100℃及以下，MS路除水温度可低至-50℃及以下；</w:t>
      </w:r>
      <w:r>
        <w:rPr>
          <w:rFonts w:hint="eastAsia" w:ascii="宋体" w:hAnsi="宋体" w:eastAsia="宋体" w:cs="宋体"/>
          <w:color w:val="FF0000"/>
          <w:sz w:val="22"/>
          <w:szCs w:val="22"/>
          <w:highlight w:val="none"/>
        </w:rPr>
        <w:t xml:space="preserve">  </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3.4.1.6控制要求：可自动完成采样、冷冻捕集和热解析、分析、加热反吹、惰性气体填充、系统标定的全程控制；</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3.4.1.7温度：实时在线监控样品采样流量和系统温度；</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3.4.1.8采样数量：可在线自动采样，采样数不少于24个/24小时；</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3.4.1.9流量控制：带流量传感器的质量流量计精密测量采样体积</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3.4.1.10具有自动控制和记录设备运行参数，并对样品进行自动分析、出数的功能；</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3.4.1.11具备数据采集与传输功能，可以通过无线或有线方式传输到中心平台。提供传输方式和通讯协议；</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3.4.1.12温度范围：-150℃～120℃；  </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3.4.1.13脱附时间：可自由设定，并以1分钟为单位进行增减；</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3.4.1.14高温维持时间：可自由设定，并以1分钟进行增减；</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3.4.1.15采样流量：MFC，5～100sccm/min，可调节</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3.4.2、气相色谱部分</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3.4.2.1全电子气路控制EPC ；</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3.4.2.2压力精度0.01psi；</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3.4.2.3温度稳定性：小于0.01℃/1℃环境变化；</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3.4.2.4自动载气节省控制；</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3.4.2.5漏气自动检测和自动切闭；</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3.4.2.6有LAN通讯；</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3.4.2.7柱箱工作温度：室温以上8℃-425℃；</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3.4.2.8升温速率：75℃/min；</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3.4.2.9程序升温：19梯度/20平台程序升温；</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3.4.2.10带EPC的分流/不分流毛细柱进样口：</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3.4.2.10.1电子压力/流量控制；</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3.4.2.10.2最大工作温度：400℃；</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3.4.2.10.3压力设定范围：0-100psi；</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3.4.2.10.4最大分流比：7500：1；</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3.4.2.11带EPC的氢火焰检测器FID</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3.4.2.11.2电子压力/流量控制；</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3.4.2.11.3最大工作温度：425℃；</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 xml:space="preserve">3.4.2.11.4最小检测限：&lt;3pg 碳/s，是十三烷测定 </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3.4.2.11.5线性范围：&gt;10</w:t>
      </w:r>
      <w:r>
        <w:rPr>
          <w:rFonts w:hint="eastAsia" w:ascii="宋体" w:hAnsi="宋体" w:eastAsia="宋体" w:cs="宋体"/>
          <w:sz w:val="22"/>
          <w:szCs w:val="22"/>
          <w:highlight w:val="none"/>
          <w:vertAlign w:val="superscript"/>
        </w:rPr>
        <w:t>7</w:t>
      </w:r>
      <w:r>
        <w:rPr>
          <w:rFonts w:hint="eastAsia" w:ascii="宋体" w:hAnsi="宋体" w:eastAsia="宋体" w:cs="宋体"/>
          <w:sz w:val="22"/>
          <w:szCs w:val="22"/>
          <w:highlight w:val="none"/>
        </w:rPr>
        <w:t>，用氮气载气，0.29mm内径的喷嘴</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3.4.2.11.6最大数据采集数率：500Hz。</w:t>
      </w:r>
    </w:p>
    <w:p>
      <w:pPr>
        <w:keepNext w:val="0"/>
        <w:keepLines w:val="0"/>
        <w:pageBreakBefore w:val="0"/>
        <w:tabs>
          <w:tab w:val="left" w:pos="2115"/>
        </w:tabs>
        <w:kinsoku/>
        <w:wordWrap/>
        <w:overflowPunct/>
        <w:topLinePunct w:val="0"/>
        <w:bidi w:val="0"/>
        <w:adjustRightInd w:val="0"/>
        <w:snapToGrid w:val="0"/>
        <w:spacing w:line="400" w:lineRule="exact"/>
        <w:ind w:firstLine="331" w:firstLineChars="150"/>
        <w:rPr>
          <w:rFonts w:hint="eastAsia" w:ascii="宋体" w:hAnsi="宋体" w:eastAsia="宋体" w:cs="宋体"/>
          <w:b/>
          <w:sz w:val="22"/>
          <w:szCs w:val="22"/>
          <w:highlight w:val="none"/>
        </w:rPr>
      </w:pPr>
      <w:r>
        <w:rPr>
          <w:rFonts w:hint="eastAsia" w:ascii="宋体" w:hAnsi="宋体" w:eastAsia="宋体" w:cs="宋体"/>
          <w:b/>
          <w:sz w:val="22"/>
          <w:szCs w:val="22"/>
          <w:highlight w:val="none"/>
        </w:rPr>
        <w:t>3.4.3、质谱部分</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3.4.3.1质量数范围：1.6-1050amu</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3.4.3.2分辨率：单位质量数分辨（1amu）</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3.4.3.3质量轴稳定性：优于0.10amu/48小时</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3.4.3.4模式：EI</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3.4.3.5最大扫描速率：12,500amu/秒</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3.4.3.6仪器检测限指标（IDL）：24fg或更低，100fg八氟萘不分流进样，连续进样8针，检测272离子）；</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3.4.3.7质量精度：进样1 μL 的100 pg/μL OFN 标准品并在50-300 u 范围内进行扫描，其单同位素将出现在m/z 271.987 ± 0.005 处；</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3.4.3.8谱图精度：进样1 μL 的100 pg/μL OFN 标准品并在50-300 u 范围内进行扫描，谱图精度将达到99.0%；</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3.4.3.9离子源类型：高温，可加热至350˚C</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3.4.3.10离子化能量：不低于230eV</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left="279" w:leftChars="133" w:firstLine="480"/>
        <w:rPr>
          <w:rFonts w:hint="eastAsia" w:ascii="宋体" w:hAnsi="宋体" w:eastAsia="宋体" w:cs="宋体"/>
          <w:sz w:val="22"/>
          <w:szCs w:val="22"/>
          <w:highlight w:val="none"/>
        </w:rPr>
      </w:pPr>
      <w:r>
        <w:rPr>
          <w:rFonts w:hint="eastAsia" w:ascii="宋体" w:hAnsi="宋体" w:eastAsia="宋体" w:cs="宋体"/>
          <w:color w:val="000000"/>
          <w:sz w:val="22"/>
          <w:szCs w:val="22"/>
          <w:highlight w:val="none"/>
        </w:rPr>
        <w:t>★3.4.3.11 分析器：</w:t>
      </w:r>
      <w:r>
        <w:rPr>
          <w:rFonts w:hint="eastAsia" w:ascii="宋体" w:hAnsi="宋体" w:eastAsia="宋体" w:cs="宋体"/>
          <w:color w:val="000000"/>
          <w:sz w:val="22"/>
          <w:szCs w:val="22"/>
          <w:highlight w:val="none"/>
          <w:lang w:bidi="ar"/>
        </w:rPr>
        <w:t>整体镀金双曲面四极杆</w:t>
      </w:r>
      <w:r>
        <w:rPr>
          <w:rFonts w:hint="eastAsia" w:ascii="宋体" w:hAnsi="宋体" w:eastAsia="宋体" w:cs="宋体"/>
          <w:color w:val="000000"/>
          <w:sz w:val="22"/>
          <w:szCs w:val="22"/>
          <w:highlight w:val="none"/>
        </w:rPr>
        <w:t>，需独立温控，可达200˚C；</w:t>
      </w:r>
      <w:r>
        <w:rPr>
          <w:rFonts w:hint="eastAsia" w:ascii="宋体" w:hAnsi="宋体" w:eastAsia="宋体" w:cs="宋体"/>
          <w:color w:val="FF0000"/>
          <w:sz w:val="22"/>
          <w:szCs w:val="22"/>
          <w:highlight w:val="none"/>
        </w:rPr>
        <w:t xml:space="preserve">   </w:t>
      </w:r>
    </w:p>
    <w:p>
      <w:pPr>
        <w:keepNext w:val="0"/>
        <w:keepLines w:val="0"/>
        <w:pageBreakBefore w:val="0"/>
        <w:tabs>
          <w:tab w:val="left" w:pos="2115"/>
        </w:tabs>
        <w:kinsoku/>
        <w:wordWrap/>
        <w:overflowPunct/>
        <w:topLinePunct w:val="0"/>
        <w:bidi w:val="0"/>
        <w:adjustRightInd w:val="0"/>
        <w:snapToGrid w:val="0"/>
        <w:spacing w:line="400" w:lineRule="exact"/>
        <w:ind w:left="279" w:leftChars="133" w:firstLine="48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 xml:space="preserve">3.4.3.12检测器：长寿命EM的三轴HED-EM </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3.4.3.13泵系统：分子涡轮泵</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1" w:firstLineChars="100"/>
        <w:rPr>
          <w:rFonts w:hint="eastAsia" w:ascii="宋体" w:hAnsi="宋体" w:eastAsia="宋体" w:cs="宋体"/>
          <w:b/>
          <w:sz w:val="22"/>
          <w:szCs w:val="22"/>
          <w:highlight w:val="none"/>
        </w:rPr>
      </w:pPr>
      <w:r>
        <w:rPr>
          <w:rFonts w:hint="eastAsia" w:ascii="宋体" w:hAnsi="宋体" w:eastAsia="宋体" w:cs="宋体"/>
          <w:b/>
          <w:sz w:val="22"/>
          <w:szCs w:val="22"/>
          <w:highlight w:val="none"/>
        </w:rPr>
        <w:t>3.4.4、色谱工作站</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3.4.4.1手动/自动调谐，数据采集，数据检索，分析结果报告，定量分析及谱库检索功能</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3.4.4.2一界面显示仪器状态信息，参数，以及序列</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3.4.4.3单灵活的报告工具，信息管理读取方便</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3.4.4.4数据存储处理功能齐全</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3.4.4.5具有全扫描/选择离子检测同时采集功能</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3.4.4.6具备早期维护预报功能（EMF）</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3.4.4.7可提供质量认证功能（OQ/PV）</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3.4.4.8谱库：最新NIS谱库</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3.4.4.9 数据处理软件具有DRS解卷积功能</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3.4.4.10具有保留时间锁定功能。</w:t>
      </w:r>
    </w:p>
    <w:p>
      <w:pPr>
        <w:keepNext w:val="0"/>
        <w:keepLines w:val="0"/>
        <w:pageBreakBefore w:val="0"/>
        <w:tabs>
          <w:tab w:val="left" w:pos="2115"/>
        </w:tabs>
        <w:kinsoku/>
        <w:wordWrap/>
        <w:overflowPunct/>
        <w:topLinePunct w:val="0"/>
        <w:bidi w:val="0"/>
        <w:adjustRightInd w:val="0"/>
        <w:snapToGrid w:val="0"/>
        <w:spacing w:line="400" w:lineRule="exact"/>
        <w:ind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3.4.5氢空一体机</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3.4.5.1内部结构紧凑，操作简单，安全可靠</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3.4.5.2产气纯度高，压力稳定</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3.4.5.3低噪音，自动放水，三支不锈钢过滤器</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3.4.5.4空气纯度：无油三级；氢气纯度：99.999%；</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3.4.5.5空气流量：0~2L/min；空气压力：0~0.4MPa</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3.4.5.6氢气流量：0~300ml/min；氢气压力：0~0.4MPa</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3.4.5.7操作温度：5℃-40℃；</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3.4.5.8电源供应：交流220V±10％  50Hz</w:t>
      </w:r>
      <w:r>
        <w:rPr>
          <w:rFonts w:hint="eastAsia" w:ascii="宋体" w:hAnsi="宋体" w:cs="宋体"/>
          <w:sz w:val="22"/>
          <w:szCs w:val="22"/>
          <w:highlight w:val="none"/>
          <w:lang w:eastAsia="zh-CN"/>
        </w:rPr>
        <w:t>。</w:t>
      </w:r>
    </w:p>
    <w:p>
      <w:pPr>
        <w:keepNext w:val="0"/>
        <w:keepLines w:val="0"/>
        <w:pageBreakBefore w:val="0"/>
        <w:kinsoku/>
        <w:wordWrap/>
        <w:overflowPunct/>
        <w:topLinePunct w:val="0"/>
        <w:bidi w:val="0"/>
        <w:spacing w:line="400" w:lineRule="exact"/>
        <w:ind w:right="-108"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3.4.6高纯氮气清洁器</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3.4.6.1可纯化气体：N2</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3.4.6.2最高操作压强：1000psig</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3.4.6.3去除杂质：</w:t>
      </w:r>
      <w:bookmarkStart w:id="272" w:name="_Toc361476716"/>
      <w:bookmarkStart w:id="273" w:name="_Toc357171670"/>
      <w:r>
        <w:rPr>
          <w:rFonts w:hint="eastAsia" w:ascii="宋体" w:hAnsi="宋体" w:eastAsia="宋体" w:cs="宋体"/>
          <w:sz w:val="22"/>
          <w:szCs w:val="22"/>
          <w:highlight w:val="none"/>
        </w:rPr>
        <w:t>去除N2中的H2O, H2, O2, N2, NO, NH3, CO, CO2, 和碳氢化合物等</w:t>
      </w:r>
      <w:r>
        <w:rPr>
          <w:rFonts w:hint="eastAsia" w:ascii="宋体" w:hAnsi="宋体" w:cs="宋体"/>
          <w:sz w:val="22"/>
          <w:szCs w:val="22"/>
          <w:highlight w:val="none"/>
          <w:lang w:eastAsia="zh-CN"/>
        </w:rPr>
        <w:t>。</w:t>
      </w:r>
    </w:p>
    <w:p>
      <w:pPr>
        <w:keepNext w:val="0"/>
        <w:keepLines w:val="0"/>
        <w:pageBreakBefore w:val="0"/>
        <w:tabs>
          <w:tab w:val="left" w:pos="480"/>
        </w:tabs>
        <w:kinsoku/>
        <w:wordWrap/>
        <w:overflowPunct/>
        <w:topLinePunct w:val="0"/>
        <w:bidi w:val="0"/>
        <w:spacing w:line="400" w:lineRule="exact"/>
        <w:ind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3.4.7高纯氦气清洁器</w:t>
      </w:r>
      <w:bookmarkEnd w:id="272"/>
      <w:bookmarkEnd w:id="273"/>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3.4.7.1可纯化气体：He、Ne、Ar、Kr、Xe、Rn</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3.4.7.2最高操作压强：1000 psig</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rPr>
      </w:pPr>
      <w:r>
        <w:rPr>
          <w:rFonts w:hint="eastAsia" w:ascii="宋体" w:hAnsi="宋体" w:eastAsia="宋体" w:cs="宋体"/>
          <w:sz w:val="22"/>
          <w:szCs w:val="22"/>
          <w:highlight w:val="none"/>
        </w:rPr>
        <w:t>3.4.7.3可去除杂质：去除N2中的H2O, H2, O2, N2, NO, NH3, CO, CO2, 和碳氢化合物等。</w:t>
      </w:r>
    </w:p>
    <w:p>
      <w:pPr>
        <w:keepNext w:val="0"/>
        <w:keepLines w:val="0"/>
        <w:pageBreakBefore w:val="0"/>
        <w:tabs>
          <w:tab w:val="left" w:pos="2115"/>
        </w:tabs>
        <w:kinsoku/>
        <w:wordWrap/>
        <w:overflowPunct/>
        <w:topLinePunct w:val="0"/>
        <w:bidi w:val="0"/>
        <w:adjustRightInd w:val="0"/>
        <w:snapToGrid w:val="0"/>
        <w:spacing w:line="400" w:lineRule="exact"/>
        <w:ind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3.4.8苏码罐15L</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3.4.8.1耐压30psi以上</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3.4.8.2材质：硅烷化</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220" w:firstLineChars="10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3.4.8.3阀门：工业标准1/4”TOV阀不锈钢材质</w:t>
      </w:r>
      <w:r>
        <w:rPr>
          <w:rFonts w:hint="eastAsia" w:ascii="宋体" w:hAnsi="宋体" w:cs="宋体"/>
          <w:sz w:val="22"/>
          <w:szCs w:val="22"/>
          <w:highlight w:val="none"/>
          <w:lang w:eastAsia="zh-CN"/>
        </w:rPr>
        <w:t>。</w:t>
      </w:r>
    </w:p>
    <w:p>
      <w:pPr>
        <w:keepNext w:val="0"/>
        <w:keepLines w:val="0"/>
        <w:pageBreakBefore w:val="0"/>
        <w:tabs>
          <w:tab w:val="left" w:pos="2115"/>
        </w:tabs>
        <w:kinsoku/>
        <w:wordWrap/>
        <w:overflowPunct/>
        <w:topLinePunct w:val="0"/>
        <w:bidi w:val="0"/>
        <w:adjustRightInd w:val="0"/>
        <w:snapToGrid w:val="0"/>
        <w:spacing w:line="400" w:lineRule="exact"/>
        <w:ind w:firstLine="482"/>
        <w:rPr>
          <w:rFonts w:hint="eastAsia" w:ascii="宋体" w:hAnsi="宋体" w:eastAsia="宋体" w:cs="宋体"/>
          <w:b/>
          <w:sz w:val="22"/>
          <w:szCs w:val="22"/>
          <w:highlight w:val="none"/>
        </w:rPr>
      </w:pPr>
      <w:r>
        <w:rPr>
          <w:rFonts w:hint="eastAsia" w:ascii="宋体" w:hAnsi="宋体" w:eastAsia="宋体" w:cs="宋体"/>
          <w:b/>
          <w:sz w:val="22"/>
          <w:szCs w:val="22"/>
          <w:highlight w:val="none"/>
        </w:rPr>
        <w:t>3.4.9一年耗材</w:t>
      </w:r>
    </w:p>
    <w:p>
      <w:pPr>
        <w:keepNext w:val="0"/>
        <w:keepLines w:val="0"/>
        <w:pageBreakBefore w:val="0"/>
        <w:tabs>
          <w:tab w:val="left" w:pos="2115"/>
        </w:tabs>
        <w:kinsoku/>
        <w:wordWrap/>
        <w:overflowPunct/>
        <w:topLinePunct w:val="0"/>
        <w:bidi w:val="0"/>
        <w:adjustRightInd w:val="0"/>
        <w:snapToGrid w:val="0"/>
        <w:spacing w:line="400" w:lineRule="exact"/>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 包括仪器运行一年所需要的消耗品，包括但不限于二氧化碳去除管、过滤膜（Φ47mm）、过滤膜（Φ6mm）。</w:t>
      </w:r>
    </w:p>
    <w:p>
      <w:pPr>
        <w:keepNext w:val="0"/>
        <w:keepLines w:val="0"/>
        <w:pageBreakBefore w:val="0"/>
        <w:tabs>
          <w:tab w:val="left" w:pos="2115"/>
        </w:tabs>
        <w:kinsoku/>
        <w:wordWrap/>
        <w:overflowPunct/>
        <w:topLinePunct w:val="0"/>
        <w:bidi w:val="0"/>
        <w:adjustRightInd w:val="0"/>
        <w:snapToGrid w:val="0"/>
        <w:spacing w:line="400" w:lineRule="exact"/>
        <w:ind w:firstLine="480"/>
        <w:rPr>
          <w:rFonts w:hint="eastAsia" w:ascii="宋体" w:hAnsi="宋体" w:eastAsia="宋体" w:cs="宋体"/>
          <w:b/>
          <w:sz w:val="22"/>
          <w:szCs w:val="22"/>
          <w:highlight w:val="none"/>
        </w:rPr>
      </w:pPr>
      <w:r>
        <w:rPr>
          <w:rFonts w:hint="eastAsia" w:ascii="宋体" w:hAnsi="宋体" w:cs="宋体"/>
          <w:color w:val="000000"/>
          <w:sz w:val="22"/>
          <w:szCs w:val="22"/>
          <w:highlight w:val="none"/>
          <w:lang w:eastAsia="zh-CN"/>
        </w:rPr>
        <w:t>★</w:t>
      </w:r>
      <w:r>
        <w:rPr>
          <w:rFonts w:hint="eastAsia" w:ascii="宋体" w:hAnsi="宋体" w:eastAsia="宋体" w:cs="宋体"/>
          <w:b/>
          <w:sz w:val="22"/>
          <w:szCs w:val="22"/>
          <w:highlight w:val="none"/>
        </w:rPr>
        <w:t>3.5、质控要求</w:t>
      </w:r>
    </w:p>
    <w:p>
      <w:pPr>
        <w:keepNext w:val="0"/>
        <w:keepLines w:val="0"/>
        <w:pageBreakBefore w:val="0"/>
        <w:kinsoku/>
        <w:wordWrap/>
        <w:overflowPunct/>
        <w:topLinePunct w:val="0"/>
        <w:autoSpaceDE w:val="0"/>
        <w:autoSpaceDN w:val="0"/>
        <w:bidi w:val="0"/>
        <w:adjustRightInd w:val="0"/>
        <w:spacing w:line="400" w:lineRule="exact"/>
        <w:ind w:firstLine="480"/>
        <w:jc w:val="left"/>
        <w:rPr>
          <w:rFonts w:hint="eastAsia" w:ascii="宋体" w:hAnsi="宋体" w:eastAsia="宋体" w:cs="宋体"/>
          <w:sz w:val="22"/>
          <w:szCs w:val="22"/>
          <w:highlight w:val="none"/>
        </w:rPr>
      </w:pPr>
      <w:r>
        <w:rPr>
          <w:rFonts w:hint="eastAsia" w:ascii="宋体" w:hAnsi="宋体" w:eastAsia="宋体" w:cs="宋体"/>
          <w:kern w:val="0"/>
          <w:sz w:val="22"/>
          <w:szCs w:val="22"/>
          <w:highlight w:val="none"/>
        </w:rPr>
        <w:t>具备自动校准的功能，火焰离子化检测器采用外标法校准，质谱检测器采用内标法校准。</w:t>
      </w:r>
    </w:p>
    <w:p>
      <w:pPr>
        <w:keepNext w:val="0"/>
        <w:keepLines w:val="0"/>
        <w:pageBreakBefore w:val="0"/>
        <w:tabs>
          <w:tab w:val="left" w:pos="2115"/>
        </w:tabs>
        <w:kinsoku/>
        <w:wordWrap/>
        <w:overflowPunct/>
        <w:topLinePunct w:val="0"/>
        <w:bidi w:val="0"/>
        <w:adjustRightInd w:val="0"/>
        <w:snapToGrid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校准标气采用苏码罐进样的方式，仪器自动进标样，每个样品进一次内标，24小时进一次PAMS标气，标气浓度2-6PPb。</w:t>
      </w:r>
    </w:p>
    <w:p>
      <w:pPr>
        <w:keepNext w:val="0"/>
        <w:keepLines w:val="0"/>
        <w:pageBreakBefore w:val="0"/>
        <w:kinsoku/>
        <w:wordWrap/>
        <w:overflowPunct/>
        <w:topLinePunct w:val="0"/>
        <w:bidi w:val="0"/>
        <w:spacing w:line="400" w:lineRule="exact"/>
        <w:ind w:firstLine="482"/>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eastAsia="宋体" w:cs="宋体"/>
          <w:b/>
          <w:sz w:val="22"/>
          <w:szCs w:val="22"/>
          <w:highlight w:val="none"/>
        </w:rPr>
        <w:t>3.6</w:t>
      </w:r>
      <w:r>
        <w:rPr>
          <w:rFonts w:hint="eastAsia" w:ascii="宋体" w:hAnsi="宋体" w:eastAsia="宋体" w:cs="宋体"/>
          <w:sz w:val="22"/>
          <w:szCs w:val="22"/>
          <w:highlight w:val="none"/>
        </w:rPr>
        <w:t>、签订合同时提供原厂针对本项目的1年质保函原件；</w:t>
      </w:r>
    </w:p>
    <w:p>
      <w:pPr>
        <w:keepNext w:val="0"/>
        <w:keepLines w:val="0"/>
        <w:pageBreakBefore w:val="0"/>
        <w:tabs>
          <w:tab w:val="left" w:pos="2115"/>
        </w:tabs>
        <w:kinsoku/>
        <w:wordWrap/>
        <w:overflowPunct/>
        <w:topLinePunct w:val="0"/>
        <w:bidi w:val="0"/>
        <w:adjustRightInd w:val="0"/>
        <w:snapToGrid w:val="0"/>
        <w:spacing w:line="400" w:lineRule="exact"/>
        <w:ind w:firstLine="221" w:firstLineChars="100"/>
        <w:rPr>
          <w:rFonts w:hint="eastAsia" w:ascii="宋体" w:hAnsi="宋体" w:eastAsia="宋体" w:cs="宋体"/>
          <w:b/>
          <w:sz w:val="22"/>
          <w:szCs w:val="22"/>
          <w:highlight w:val="none"/>
        </w:rPr>
      </w:pPr>
    </w:p>
    <w:p>
      <w:pPr>
        <w:keepNext w:val="0"/>
        <w:keepLines w:val="0"/>
        <w:pageBreakBefore w:val="0"/>
        <w:kinsoku/>
        <w:wordWrap/>
        <w:overflowPunct/>
        <w:topLinePunct w:val="0"/>
        <w:autoSpaceDE w:val="0"/>
        <w:autoSpaceDN w:val="0"/>
        <w:bidi w:val="0"/>
        <w:adjustRightInd w:val="0"/>
        <w:spacing w:line="400" w:lineRule="exact"/>
        <w:ind w:firstLine="0" w:firstLineChars="0"/>
        <w:jc w:val="left"/>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附件1</w:t>
      </w:r>
      <w:r>
        <w:rPr>
          <w:rFonts w:hint="eastAsia" w:ascii="宋体" w:hAnsi="宋体" w:cs="宋体"/>
          <w:color w:val="000000"/>
          <w:kern w:val="0"/>
          <w:sz w:val="22"/>
          <w:szCs w:val="22"/>
          <w:highlight w:val="none"/>
          <w:lang w:eastAsia="zh-CN"/>
        </w:rPr>
        <w:t>：</w:t>
      </w:r>
      <w:r>
        <w:rPr>
          <w:rFonts w:hint="eastAsia" w:ascii="宋体" w:hAnsi="宋体" w:eastAsia="宋体" w:cs="宋体"/>
          <w:color w:val="000000"/>
          <w:kern w:val="0"/>
          <w:sz w:val="22"/>
          <w:szCs w:val="22"/>
          <w:highlight w:val="none"/>
        </w:rPr>
        <w:t>监测组分表</w:t>
      </w:r>
    </w:p>
    <w:tbl>
      <w:tblPr>
        <w:tblStyle w:val="34"/>
        <w:tblW w:w="8846" w:type="dxa"/>
        <w:tblInd w:w="0" w:type="dxa"/>
        <w:tblLayout w:type="fixed"/>
        <w:tblCellMar>
          <w:top w:w="0" w:type="dxa"/>
          <w:left w:w="0" w:type="dxa"/>
          <w:bottom w:w="0" w:type="dxa"/>
          <w:right w:w="0" w:type="dxa"/>
        </w:tblCellMar>
      </w:tblPr>
      <w:tblGrid>
        <w:gridCol w:w="573"/>
        <w:gridCol w:w="1827"/>
        <w:gridCol w:w="1446"/>
        <w:gridCol w:w="654"/>
        <w:gridCol w:w="2246"/>
        <w:gridCol w:w="2100"/>
      </w:tblGrid>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序号</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中文名称</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CAS号</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序号</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中文名称</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CAS号</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乙烷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74-84-0</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59</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正庚烷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142-82-5</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乙烯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74-85-1</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60</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三氯乙烯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79-01-6</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丙烷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74-98-6</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61</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甲基环己烷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108-87-2</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丙烯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115-07-1</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62</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1,2-二氯丙烷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78-87-5</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异丁烷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75-28-5</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63</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甲基丙烯酸甲酯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80-62-6</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正丁烷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106-97-8</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64</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1,4-二氧六环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123-91-1</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乙炔</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74-86-2</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65</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一溴二氯甲烷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75-27-4</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8</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反式-2-丁烯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624-64-6</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66</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2,3,4-三甲基戊烷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565-75-3</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1-丁烯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106-98-9</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67</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2-甲基庚烷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592-27-8</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顺式-2-丁烯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590-18-1</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68</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反-1,3-二氯-1-丙烯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10061-02-6</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环戊烷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287-92-3</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69</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3-甲基庚烷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589-81-1</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异戊烷(2-甲基丁烷)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78-78-4</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70</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4-甲基-2戊酮</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108-10-1</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13</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正戊烷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109-66-0</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71</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甲苯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108-88-3</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14</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二氟二氯甲烷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75-71-8</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72</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正辛烷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111-65-9</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15</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1,2-二氯四氟乙烷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76-14-2</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73</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顺式-1,3-二氯丙烯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10061-01-5</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16</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氯甲烷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74-87-3</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74</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1,1,2-三氯乙烷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79-00-5</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17</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氯乙烯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75-01-4</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四氯乙烯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127-18-4</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18</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1,3-丁二烯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106-99-0</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76</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2-己酮</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591-78-6</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19</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溴甲烷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74-83-9</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77</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二溴一氯甲烷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124-48-1</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20</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氯乙烷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75-00-3</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78</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二溴乙烷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106-93-4</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21</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一氟三氯甲烷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75-69-4</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79</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氯苯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108-90-7</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22</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1-戊烯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109-67-1</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80</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乙苯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100-41-4</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23</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反式-2-戊烯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646-04-8</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81/82</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间/对-二甲苯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106-42-3/108-38-3</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24</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异戊二烯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78-79-5</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83</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正壬烷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111-84-2</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25</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顺-2-戊烯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627-20-3</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84</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邻-二甲苯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95-47-6</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26</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丙烯醛</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107-02-8</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85</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苯乙烯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100-42-5</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27</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二氯乙烯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75-35-4</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86</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溴仿</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75-25-2</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28</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三氟三氯乙烷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76-13-1</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87</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异丙苯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98-82-8</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29</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2,2-二甲基丁烷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75-83-2</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88</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1,1,2,2- 四氯乙烷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79-34-5</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30</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丙酮</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67-64-1</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89</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正丙基苯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103-65-1</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31</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异丙醇</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67-63-0</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90</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3-乙基甲苯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620-14-4</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32</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二硫化碳</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75-15-0</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91</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4-乙基甲苯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622-96-8</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33</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二氯甲烷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75-09-2</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92</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1,3,5-三甲苯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108-67-8</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34</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2,3-二甲基丁烷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79-29-8</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93</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正癸烷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124-18-5</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35</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2-甲基戊烷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107-83-5</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94</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2-乙基甲苯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611-14-3</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36</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甲基叔丁基醚</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1634-04-4</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95</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1,2,4-三甲苯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95-63-6</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37</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反-1,2-二氯乙烯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156-60-5</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96</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1,3-二氯苯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541-73-1</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38</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3-甲基戊烷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96-14-0</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97</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1,4-二氯苯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106-46-7</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39</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1-己烯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592-41-6</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98</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1,2,3-三甲苯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526-73-8</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40</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正己烷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110-54-3</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99</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氯化苄</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100-44-7</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41</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乙酸乙烯酯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108-05-4</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100</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1,3-二乙基苯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141-93-5</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42</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1,1-二氯乙烷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75-34-3</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101</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1,4-二乙基苯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105-05-5</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43</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2,4-二甲基戊烷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108-08-7</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102</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1,2-二氯苯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95-50-1</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44</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甲基环戊烷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96-37-7</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103</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正十一烷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1120-21-4</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45</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丁酮</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78-93-3</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104</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正十二烷</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112-40-3</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46</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顺-1,2-二氯乙烯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156-59-2</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105</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1,2,4-三氯苯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120-82-1</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47</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乙酸乙酯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141-78-6</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106</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1,1,2,3,4,4-六氯-1,3-丁二烯</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87-68-3</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48</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四氢呋喃</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109-99-9</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107</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萘</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91-20-3</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49</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氯仿</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67-66-3</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108</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乙醛</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75-07-0</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50</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2-甲基己烷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591-76-4</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109</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丙醛</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123-38-6</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51</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1,1,1-三氯乙烷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71-55-6</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110</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异丁烯醛</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78-85-3</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52</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环己烷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110-82-7</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111</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正丁醛</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123-72-8</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53</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2,3-二甲基戊烷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565-59-3</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112</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反式丁烯醛</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123-73-9</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54</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四氯化碳</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56-23-5</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113</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戊醛</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110-62-3</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55</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3-甲基己烷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589-34-4</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114</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己醛</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66-25-1</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56</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苯</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71-43-2</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115</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苯甲醛</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100-52-7</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57</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1，2-二氯乙烷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107-06-2</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116</w:t>
            </w: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间甲基苯甲醛</w:t>
            </w: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620-23-5</w:t>
            </w:r>
          </w:p>
        </w:tc>
      </w:tr>
      <w:tr>
        <w:tblPrEx>
          <w:tblCellMar>
            <w:top w:w="0" w:type="dxa"/>
            <w:left w:w="0" w:type="dxa"/>
            <w:bottom w:w="0" w:type="dxa"/>
            <w:right w:w="0" w:type="dxa"/>
          </w:tblCellMar>
        </w:tblPrEx>
        <w:trPr>
          <w:trHeight w:val="280" w:hRule="atLeast"/>
        </w:trPr>
        <w:tc>
          <w:tcPr>
            <w:tcW w:w="57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bottom"/>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58</w:t>
            </w:r>
          </w:p>
        </w:tc>
        <w:tc>
          <w:tcPr>
            <w:tcW w:w="1827"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2,2,4-三甲基戊烷</w:t>
            </w:r>
          </w:p>
        </w:tc>
        <w:tc>
          <w:tcPr>
            <w:tcW w:w="14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widowControl/>
              <w:kinsoku/>
              <w:wordWrap/>
              <w:overflowPunct/>
              <w:topLinePunct w:val="0"/>
              <w:bidi w:val="0"/>
              <w:spacing w:line="400" w:lineRule="exact"/>
              <w:ind w:firstLine="0" w:firstLineChars="0"/>
              <w:jc w:val="center"/>
              <w:textAlignment w:val="center"/>
              <w:rPr>
                <w:rFonts w:hint="eastAsia"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lang w:bidi="ar"/>
              </w:rPr>
              <w:t>540-84-1</w:t>
            </w:r>
          </w:p>
        </w:tc>
        <w:tc>
          <w:tcPr>
            <w:tcW w:w="65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kinsoku/>
              <w:wordWrap/>
              <w:overflowPunct/>
              <w:topLinePunct w:val="0"/>
              <w:bidi w:val="0"/>
              <w:spacing w:line="400" w:lineRule="exact"/>
              <w:ind w:firstLine="0" w:firstLineChars="0"/>
              <w:jc w:val="center"/>
              <w:rPr>
                <w:rFonts w:hint="eastAsia" w:ascii="宋体" w:hAnsi="宋体" w:eastAsia="宋体" w:cs="宋体"/>
                <w:color w:val="000000"/>
                <w:sz w:val="22"/>
                <w:szCs w:val="22"/>
                <w:highlight w:val="none"/>
              </w:rPr>
            </w:pPr>
          </w:p>
        </w:tc>
        <w:tc>
          <w:tcPr>
            <w:tcW w:w="224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kinsoku/>
              <w:wordWrap/>
              <w:overflowPunct/>
              <w:topLinePunct w:val="0"/>
              <w:bidi w:val="0"/>
              <w:spacing w:line="400" w:lineRule="exact"/>
              <w:ind w:firstLine="0" w:firstLineChars="0"/>
              <w:jc w:val="center"/>
              <w:rPr>
                <w:rFonts w:hint="eastAsia" w:ascii="宋体" w:hAnsi="宋体" w:eastAsia="宋体" w:cs="宋体"/>
                <w:color w:val="000000"/>
                <w:sz w:val="22"/>
                <w:szCs w:val="22"/>
                <w:highlight w:val="none"/>
              </w:rPr>
            </w:pPr>
          </w:p>
        </w:tc>
        <w:tc>
          <w:tcPr>
            <w:tcW w:w="210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keepNext w:val="0"/>
              <w:keepLines w:val="0"/>
              <w:pageBreakBefore w:val="0"/>
              <w:kinsoku/>
              <w:wordWrap/>
              <w:overflowPunct/>
              <w:topLinePunct w:val="0"/>
              <w:bidi w:val="0"/>
              <w:spacing w:line="400" w:lineRule="exact"/>
              <w:ind w:firstLine="0" w:firstLineChars="0"/>
              <w:jc w:val="center"/>
              <w:rPr>
                <w:rFonts w:hint="eastAsia" w:ascii="宋体" w:hAnsi="宋体" w:eastAsia="宋体" w:cs="宋体"/>
                <w:color w:val="000000"/>
                <w:sz w:val="22"/>
                <w:szCs w:val="22"/>
                <w:highlight w:val="none"/>
              </w:rPr>
            </w:pPr>
          </w:p>
        </w:tc>
      </w:tr>
    </w:tbl>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p>
    <w:p>
      <w:pPr>
        <w:keepNext w:val="0"/>
        <w:keepLines w:val="0"/>
        <w:pageBreakBefore w:val="0"/>
        <w:kinsoku/>
        <w:wordWrap/>
        <w:overflowPunct/>
        <w:topLinePunct w:val="0"/>
        <w:bidi w:val="0"/>
        <w:spacing w:line="400" w:lineRule="exact"/>
        <w:outlineLvl w:val="2"/>
        <w:rPr>
          <w:rFonts w:hint="eastAsia" w:ascii="宋体" w:hAnsi="宋体" w:eastAsia="宋体" w:cs="宋体"/>
          <w:sz w:val="22"/>
          <w:szCs w:val="22"/>
          <w:highlight w:val="none"/>
        </w:rPr>
      </w:pPr>
      <w:bookmarkStart w:id="274" w:name="_Toc20337"/>
      <w:r>
        <w:rPr>
          <w:rFonts w:hint="eastAsia" w:ascii="宋体" w:hAnsi="宋体" w:eastAsia="宋体" w:cs="宋体"/>
          <w:b/>
          <w:bCs/>
          <w:sz w:val="22"/>
          <w:szCs w:val="22"/>
          <w:highlight w:val="none"/>
          <w:lang w:val="en-US" w:eastAsia="zh-CN"/>
        </w:rPr>
        <w:t>二</w:t>
      </w:r>
      <w:r>
        <w:rPr>
          <w:rFonts w:hint="eastAsia" w:ascii="宋体" w:hAnsi="宋体" w:eastAsia="宋体" w:cs="宋体"/>
          <w:b/>
          <w:bCs/>
          <w:sz w:val="22"/>
          <w:szCs w:val="22"/>
          <w:highlight w:val="none"/>
        </w:rPr>
        <w:t>）站房</w:t>
      </w:r>
      <w:bookmarkEnd w:id="274"/>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投标人应根据子站监测项目配置，满足环境空气质量自动监测技术规范（HJT 193-2013）中对站房的基本要求。提出合理的站房设计和建设方案，并提供仪器布局方案，经用户确认后实施。</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在站房设计和建设时因满足以下要求：</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1、站房建设需充分考虑站房建设位置所在单位意见，在满足可靠性和实用性前提下，采用先进的技术和设备建设站房，站房面积不小于40m</w:t>
      </w:r>
      <w:r>
        <w:rPr>
          <w:rFonts w:hint="eastAsia" w:ascii="宋体" w:hAnsi="宋体" w:eastAsia="宋体" w:cs="宋体"/>
          <w:sz w:val="22"/>
          <w:szCs w:val="22"/>
          <w:highlight w:val="none"/>
          <w:vertAlign w:val="superscript"/>
        </w:rPr>
        <w:t>2</w:t>
      </w:r>
      <w:r>
        <w:rPr>
          <w:rFonts w:hint="eastAsia" w:ascii="宋体" w:hAnsi="宋体" w:eastAsia="宋体" w:cs="宋体"/>
          <w:sz w:val="22"/>
          <w:szCs w:val="22"/>
          <w:highlight w:val="none"/>
        </w:rPr>
        <w:t>，给监测设备、数据网络系统及宽带、电源等系统提供安全、可靠的服务空间。</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2、站房内应安装温湿度控制设备，使站房的温度在25℃±5℃，相对湿度控制在80%以下。温湿度控制设备应具有断电后来电自启动功能。</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3、仪器气路管道以及电缆线归入线槽，线路管道尽量不走明线。在气路管道以及电缆两端悬挂不宜损坏的塑料制作的统一规范的标签。</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4、站房应有防水、防潮措施，铺有防静电地板。</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5、采样装置抽气风机排气口和监测仪器排气口的位置，应设置在靠近站房下部的墙壁上，排气口离地面的距离应保持在20cm以上。</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6、在站房顶上设置用于固定气象传感器的气象杆时，气象杆与站房顶的垂直高度应大于2m，并且气象杆和子站房的建筑结构应能经受10级以上的风力。</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7、站房供电采用三相供电，分相使用。配电箱/柜要求采用自动空气开关控制，且有温度控制功能（温度过高自动断电）。并设过负荷、短路、漏电保护装置；根据用电负荷配备合适的稳压器，保证电源电压的波动在仪器允许的范围内，同时具备电源过压、过载和漏电保护装置。站房监测仪器供电线路应独立走线。</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8、站房应有防雷措施。站房和仪器应有良好的接地，接地电阻＜4Ω。所有引入站房内的电源线、信号线、通信线路均应按要求加装防感应雷保护装置。</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9、站房设计时须考虑站房内仪器布局所产生的房顶开孔，开孔须考虑房顶的结构、应力分布等，确保安全，并做好房顶的防水、防渗工作。</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10、站房内配备2套自动灭火装置。</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11、站房内做有缓冲间，将入门空间与仪器间单独隔开。</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12、站房顶部做好围栏和</w:t>
      </w:r>
      <w:r>
        <w:rPr>
          <w:rFonts w:hint="eastAsia" w:ascii="宋体" w:hAnsi="宋体" w:cs="宋体"/>
          <w:sz w:val="22"/>
          <w:szCs w:val="22"/>
          <w:highlight w:val="none"/>
          <w:lang w:val="en-US" w:eastAsia="zh-CN"/>
        </w:rPr>
        <w:t>宣传牌。</w:t>
      </w:r>
    </w:p>
    <w:p>
      <w:pPr>
        <w:keepNext w:val="0"/>
        <w:keepLines w:val="0"/>
        <w:pageBreakBefore w:val="0"/>
        <w:kinsoku/>
        <w:wordWrap/>
        <w:overflowPunct/>
        <w:topLinePunct w:val="0"/>
        <w:bidi w:val="0"/>
        <w:spacing w:line="400" w:lineRule="exact"/>
        <w:ind w:firstLine="480"/>
        <w:rPr>
          <w:rFonts w:hint="eastAsia"/>
          <w:highlight w:val="none"/>
          <w:lang w:val="en-US" w:eastAsia="zh-CN"/>
        </w:rPr>
      </w:pPr>
    </w:p>
    <w:p>
      <w:pPr>
        <w:keepNext w:val="0"/>
        <w:keepLines w:val="0"/>
        <w:pageBreakBefore w:val="0"/>
        <w:kinsoku/>
        <w:wordWrap/>
        <w:overflowPunct/>
        <w:topLinePunct w:val="0"/>
        <w:bidi w:val="0"/>
        <w:spacing w:line="400" w:lineRule="exact"/>
        <w:outlineLvl w:val="2"/>
        <w:rPr>
          <w:rFonts w:hint="eastAsia" w:ascii="宋体" w:hAnsi="宋体" w:eastAsia="宋体" w:cs="宋体"/>
          <w:b/>
          <w:bCs/>
          <w:sz w:val="22"/>
          <w:szCs w:val="22"/>
          <w:highlight w:val="none"/>
        </w:rPr>
      </w:pPr>
      <w:bookmarkStart w:id="275" w:name="_Toc1935"/>
      <w:r>
        <w:rPr>
          <w:rFonts w:hint="eastAsia" w:ascii="宋体" w:hAnsi="宋体" w:eastAsia="宋体" w:cs="宋体"/>
          <w:b/>
          <w:bCs/>
          <w:sz w:val="22"/>
          <w:szCs w:val="22"/>
          <w:highlight w:val="none"/>
          <w:lang w:val="en-US" w:eastAsia="zh-CN"/>
        </w:rPr>
        <w:t>三</w:t>
      </w:r>
      <w:r>
        <w:rPr>
          <w:rFonts w:hint="eastAsia" w:ascii="宋体" w:hAnsi="宋体" w:eastAsia="宋体" w:cs="宋体"/>
          <w:b/>
          <w:bCs/>
          <w:sz w:val="22"/>
          <w:szCs w:val="22"/>
          <w:highlight w:val="none"/>
        </w:rPr>
        <w:t>）系统集成服务</w:t>
      </w:r>
      <w:bookmarkEnd w:id="275"/>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安装辅材及数据集成</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1、安装辅材：提供以上所有设备安装及系统集成过程中所需的辅材</w:t>
      </w:r>
      <w:r>
        <w:rPr>
          <w:rFonts w:hint="eastAsia" w:ascii="宋体" w:hAnsi="宋体" w:cs="宋体"/>
          <w:sz w:val="22"/>
          <w:szCs w:val="22"/>
          <w:highlight w:val="none"/>
          <w:lang w:eastAsia="zh-CN"/>
        </w:rPr>
        <w:t>。</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2、设备搬迁：将原工业园区站的设备搬迁至新站房内</w:t>
      </w:r>
      <w:r>
        <w:rPr>
          <w:rFonts w:hint="eastAsia" w:ascii="宋体" w:hAnsi="宋体" w:cs="宋体"/>
          <w:sz w:val="22"/>
          <w:szCs w:val="22"/>
          <w:highlight w:val="none"/>
          <w:lang w:eastAsia="zh-CN"/>
        </w:rPr>
        <w:t>。</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3、数据集成：以上设备安装后对系统集成及数据传输、站房、采样系统及设备整合</w:t>
      </w:r>
      <w:r>
        <w:rPr>
          <w:rFonts w:hint="eastAsia" w:ascii="宋体" w:hAnsi="宋体" w:cs="宋体"/>
          <w:sz w:val="22"/>
          <w:szCs w:val="22"/>
          <w:highlight w:val="none"/>
          <w:lang w:eastAsia="zh-CN"/>
        </w:rPr>
        <w:t>。</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交流参数稳压电源</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1、源电压标称值：220V/50HZ。</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2、额定输出电压：220V±2%。</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3、源电压范围：154V~264V（短时工作范围达120V~300V）。</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4、稳定电压输出精度：</w:t>
      </w:r>
    </w:p>
    <w:tbl>
      <w:tblPr>
        <w:tblStyle w:val="3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891"/>
        <w:gridCol w:w="394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89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输入198~242V时</w:t>
            </w:r>
          </w:p>
        </w:tc>
        <w:tc>
          <w:tcPr>
            <w:tcW w:w="39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输出220V±2%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89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输入176~264V时</w:t>
            </w:r>
          </w:p>
        </w:tc>
        <w:tc>
          <w:tcPr>
            <w:tcW w:w="39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输出220V±2.5%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89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输入150~286V时</w:t>
            </w:r>
          </w:p>
        </w:tc>
        <w:tc>
          <w:tcPr>
            <w:tcW w:w="39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输出220V（+3～-4）%</w:t>
            </w:r>
          </w:p>
        </w:tc>
      </w:tr>
    </w:tbl>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5、效率：</w:t>
      </w:r>
    </w:p>
    <w:tbl>
      <w:tblPr>
        <w:tblStyle w:val="3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933"/>
        <w:gridCol w:w="364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9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500VA以下</w:t>
            </w:r>
          </w:p>
        </w:tc>
        <w:tc>
          <w:tcPr>
            <w:tcW w:w="36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≥80%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9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1000VA以上</w:t>
            </w:r>
          </w:p>
        </w:tc>
        <w:tc>
          <w:tcPr>
            <w:tcW w:w="36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≥83~92%</w:t>
            </w:r>
          </w:p>
        </w:tc>
      </w:tr>
    </w:tbl>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6、输出电压相对谐波含量：</w:t>
      </w:r>
    </w:p>
    <w:tbl>
      <w:tblPr>
        <w:tblStyle w:val="3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961"/>
        <w:gridCol w:w="255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496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1KVA、2KVA、3KVA、5KVA、7.5KVA</w:t>
            </w:r>
          </w:p>
        </w:tc>
        <w:tc>
          <w:tcPr>
            <w:tcW w:w="255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496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300VA、500VA、10KVA、15KVA</w:t>
            </w:r>
          </w:p>
        </w:tc>
        <w:tc>
          <w:tcPr>
            <w:tcW w:w="255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≤3.5%</w:t>
            </w:r>
          </w:p>
        </w:tc>
      </w:tr>
    </w:tbl>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7、瞬态总恢复时间：10～90ms。</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8、温升：＜65℃(E级绝缘)。</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9、音频噪声：＜60dB(A)、  10KVA以上≤70dB(A)。</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10、输出短路特性：输出短路时，源电流小于额定输入电流的2.5倍，当短路消除后能自动恢复工作，但稳压器不允许输出端处在长时间短路状态。</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11、过载能力：输入220V时，允许1.2倍额定输出电流偶发性过载。</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12、源频率效应：≤6％。(源频率标称值±2％)</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13、工作环境： -25℃～+45℃，相对湿度&lt;95％，海拔4千米以下。</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14、冷却方式：1kVA以下自然冷却，2KVA以上风冷或自然冷却。</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15、抗干扰性能：(1)尖峰抑制：常模输入2KV尖峰信号，输出≤40Vp。(2)常模噪声抑制：≥50dB。</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16、运行方式：连续。</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17、可靠性指标：平均无故障工作时间MTBF(m1)≥30000(m1为下限值)小时。</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18、安全标准：</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    1）绝缘电阻：≥20MΩ。    </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    2）绝缘试验电压：1．5 KV／min无闪络击穿现象。</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 xml:space="preserve">    3）漏电流：3.5mA</w:t>
      </w:r>
      <w:r>
        <w:rPr>
          <w:rFonts w:hint="eastAsia" w:ascii="宋体" w:hAnsi="宋体" w:cs="宋体"/>
          <w:sz w:val="22"/>
          <w:szCs w:val="22"/>
          <w:highlight w:val="none"/>
          <w:lang w:eastAsia="zh-CN"/>
        </w:rPr>
        <w:t>（</w:t>
      </w:r>
      <w:r>
        <w:rPr>
          <w:rFonts w:hint="eastAsia" w:ascii="宋体" w:hAnsi="宋体" w:eastAsia="宋体" w:cs="宋体"/>
          <w:sz w:val="22"/>
          <w:szCs w:val="22"/>
          <w:highlight w:val="none"/>
        </w:rPr>
        <w:t>有效值</w:t>
      </w:r>
      <w:r>
        <w:rPr>
          <w:rFonts w:hint="eastAsia" w:ascii="宋体" w:hAnsi="宋体" w:cs="宋体"/>
          <w:sz w:val="22"/>
          <w:szCs w:val="22"/>
          <w:highlight w:val="none"/>
          <w:lang w:eastAsia="zh-CN"/>
        </w:rPr>
        <w:t>）。</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 xml:space="preserve">    4）安全类别：Ⅰ类安全仪器</w:t>
      </w:r>
      <w:r>
        <w:rPr>
          <w:rFonts w:hint="eastAsia" w:ascii="宋体" w:hAnsi="宋体" w:cs="宋体"/>
          <w:sz w:val="22"/>
          <w:szCs w:val="22"/>
          <w:highlight w:val="none"/>
          <w:lang w:eastAsia="zh-CN"/>
        </w:rPr>
        <w:t>。</w:t>
      </w:r>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 xml:space="preserve">    5）防护等级：IP20类</w:t>
      </w:r>
      <w:r>
        <w:rPr>
          <w:rFonts w:hint="eastAsia" w:ascii="宋体" w:hAnsi="宋体" w:cs="宋体"/>
          <w:sz w:val="22"/>
          <w:szCs w:val="22"/>
          <w:highlight w:val="none"/>
          <w:lang w:eastAsia="zh-CN"/>
        </w:rPr>
        <w:t>。</w:t>
      </w:r>
    </w:p>
    <w:p>
      <w:pPr>
        <w:keepNext w:val="0"/>
        <w:keepLines w:val="0"/>
        <w:pageBreakBefore w:val="0"/>
        <w:kinsoku/>
        <w:wordWrap/>
        <w:overflowPunct/>
        <w:topLinePunct w:val="0"/>
        <w:bidi w:val="0"/>
        <w:spacing w:line="400" w:lineRule="exact"/>
        <w:outlineLvl w:val="2"/>
        <w:rPr>
          <w:rFonts w:hint="eastAsia" w:ascii="宋体" w:hAnsi="宋体" w:eastAsia="宋体" w:cs="宋体"/>
          <w:b/>
          <w:bCs/>
          <w:sz w:val="22"/>
          <w:szCs w:val="22"/>
          <w:highlight w:val="none"/>
        </w:rPr>
      </w:pPr>
      <w:bookmarkStart w:id="276" w:name="_Toc15205"/>
      <w:r>
        <w:rPr>
          <w:rFonts w:hint="eastAsia" w:ascii="宋体" w:hAnsi="宋体" w:eastAsia="宋体" w:cs="宋体"/>
          <w:b/>
          <w:bCs/>
          <w:sz w:val="22"/>
          <w:szCs w:val="22"/>
          <w:highlight w:val="none"/>
          <w:lang w:val="en-US" w:eastAsia="zh-CN"/>
        </w:rPr>
        <w:t>四</w:t>
      </w:r>
      <w:r>
        <w:rPr>
          <w:rFonts w:hint="eastAsia" w:ascii="宋体" w:hAnsi="宋体" w:eastAsia="宋体" w:cs="宋体"/>
          <w:b/>
          <w:bCs/>
          <w:sz w:val="22"/>
          <w:szCs w:val="22"/>
          <w:highlight w:val="none"/>
        </w:rPr>
        <w:t>）点位选址比对服务</w:t>
      </w:r>
      <w:bookmarkEnd w:id="276"/>
    </w:p>
    <w:p>
      <w:pPr>
        <w:keepNext w:val="0"/>
        <w:keepLines w:val="0"/>
        <w:pageBreakBefore w:val="0"/>
        <w:kinsoku/>
        <w:wordWrap/>
        <w:overflowPunct/>
        <w:topLinePunct w:val="0"/>
        <w:bidi w:val="0"/>
        <w:spacing w:line="400" w:lineRule="exact"/>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供应商负责本次点位选址的比对工作，依据《环境空气质量监测点位布设技术规范（试行）》（HJ 664—2013），并提供浙江省生态环境监测中心认可的手工比对报告。</w:t>
      </w:r>
      <w:bookmarkEnd w:id="268"/>
      <w:bookmarkEnd w:id="269"/>
    </w:p>
    <w:p>
      <w:pPr>
        <w:pStyle w:val="17"/>
        <w:keepNext w:val="0"/>
        <w:keepLines w:val="0"/>
        <w:pageBreakBefore w:val="0"/>
        <w:kinsoku/>
        <w:wordWrap/>
        <w:overflowPunct/>
        <w:topLinePunct w:val="0"/>
        <w:bidi w:val="0"/>
        <w:adjustRightInd w:val="0"/>
        <w:snapToGrid w:val="0"/>
        <w:spacing w:line="400" w:lineRule="exact"/>
        <w:ind w:firstLine="440" w:firstLineChars="200"/>
        <w:rPr>
          <w:rFonts w:hint="eastAsia" w:ascii="宋体" w:hAnsi="宋体" w:eastAsia="宋体" w:cs="宋体"/>
          <w:b w:val="0"/>
          <w:color w:val="auto"/>
          <w:sz w:val="22"/>
          <w:szCs w:val="22"/>
          <w:highlight w:val="none"/>
        </w:rPr>
      </w:pPr>
    </w:p>
    <w:p>
      <w:pPr>
        <w:keepNext w:val="0"/>
        <w:pageBreakBefore w:val="0"/>
        <w:kinsoku/>
        <w:wordWrap/>
        <w:overflowPunct/>
        <w:topLinePunct w:val="0"/>
        <w:bidi w:val="0"/>
        <w:spacing w:line="400" w:lineRule="exact"/>
        <w:rPr>
          <w:rFonts w:hint="eastAsia" w:ascii="宋体" w:hAnsi="宋体" w:eastAsia="宋体" w:cs="Arial Unicode MS"/>
          <w:sz w:val="36"/>
          <w:szCs w:val="36"/>
          <w:highlight w:val="none"/>
        </w:rPr>
      </w:pPr>
      <w:r>
        <w:rPr>
          <w:rFonts w:hint="eastAsia" w:ascii="宋体" w:hAnsi="宋体" w:eastAsia="宋体" w:cs="宋体"/>
          <w:b w:val="0"/>
          <w:color w:val="auto"/>
          <w:sz w:val="22"/>
          <w:szCs w:val="22"/>
          <w:highlight w:val="none"/>
        </w:rPr>
        <w:br w:type="page"/>
      </w:r>
    </w:p>
    <w:p>
      <w:pPr>
        <w:keepNext w:val="0"/>
        <w:keepLines w:val="0"/>
        <w:pageBreakBefore w:val="0"/>
        <w:kinsoku/>
        <w:wordWrap/>
        <w:overflowPunct/>
        <w:topLinePunct w:val="0"/>
        <w:bidi w:val="0"/>
        <w:spacing w:line="400" w:lineRule="exact"/>
        <w:outlineLvl w:val="2"/>
        <w:rPr>
          <w:rFonts w:hint="eastAsia" w:ascii="宋体" w:hAnsi="宋体" w:eastAsia="宋体" w:cs="宋体"/>
          <w:b/>
          <w:bCs/>
          <w:kern w:val="2"/>
          <w:sz w:val="22"/>
          <w:szCs w:val="22"/>
          <w:highlight w:val="none"/>
          <w:lang w:val="en-US" w:eastAsia="zh-CN" w:bidi="ar-SA"/>
        </w:rPr>
      </w:pPr>
      <w:bookmarkStart w:id="277" w:name="_Toc25285"/>
      <w:r>
        <w:rPr>
          <w:rFonts w:hint="eastAsia" w:ascii="宋体" w:hAnsi="宋体" w:eastAsia="宋体" w:cs="宋体"/>
          <w:b/>
          <w:bCs/>
          <w:color w:val="000000"/>
          <w:kern w:val="2"/>
          <w:sz w:val="24"/>
          <w:szCs w:val="24"/>
          <w:highlight w:val="none"/>
          <w:lang w:val="en-US" w:eastAsia="zh-CN"/>
        </w:rPr>
        <w:t>标段三：</w:t>
      </w:r>
      <w:r>
        <w:rPr>
          <w:rFonts w:hint="eastAsia" w:ascii="宋体" w:hAnsi="宋体" w:cs="宋体"/>
          <w:b/>
          <w:bCs/>
          <w:color w:val="000000"/>
          <w:kern w:val="2"/>
          <w:sz w:val="24"/>
          <w:szCs w:val="24"/>
          <w:highlight w:val="none"/>
          <w:lang w:val="en-US" w:eastAsia="zh-CN"/>
        </w:rPr>
        <w:t>平阳县下厂、东洋断面水质自动监测站设备采购及安装</w:t>
      </w:r>
      <w:bookmarkEnd w:id="277"/>
    </w:p>
    <w:tbl>
      <w:tblPr>
        <w:tblStyle w:val="34"/>
        <w:tblW w:w="10150" w:type="dxa"/>
        <w:jc w:val="center"/>
        <w:tblLayout w:type="fixed"/>
        <w:tblCellMar>
          <w:top w:w="0" w:type="dxa"/>
          <w:left w:w="108" w:type="dxa"/>
          <w:bottom w:w="0" w:type="dxa"/>
          <w:right w:w="108" w:type="dxa"/>
        </w:tblCellMar>
      </w:tblPr>
      <w:tblGrid>
        <w:gridCol w:w="918"/>
        <w:gridCol w:w="3793"/>
        <w:gridCol w:w="1376"/>
        <w:gridCol w:w="1075"/>
        <w:gridCol w:w="1009"/>
        <w:gridCol w:w="1979"/>
      </w:tblGrid>
      <w:tr>
        <w:tblPrEx>
          <w:tblCellMar>
            <w:top w:w="0" w:type="dxa"/>
            <w:left w:w="108" w:type="dxa"/>
            <w:bottom w:w="0" w:type="dxa"/>
            <w:right w:w="108" w:type="dxa"/>
          </w:tblCellMar>
        </w:tblPrEx>
        <w:trPr>
          <w:trHeight w:val="706" w:hRule="atLeast"/>
          <w:jc w:val="center"/>
        </w:trPr>
        <w:tc>
          <w:tcPr>
            <w:tcW w:w="918" w:type="dxa"/>
            <w:tcBorders>
              <w:top w:val="single" w:color="auto" w:sz="4" w:space="0"/>
              <w:left w:val="single" w:color="auto" w:sz="4" w:space="0"/>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bookmarkStart w:id="278" w:name="_Hlk72083629"/>
            <w:bookmarkStart w:id="279" w:name="_Toc482713803"/>
            <w:bookmarkStart w:id="280" w:name="_Toc409683143"/>
            <w:bookmarkStart w:id="281" w:name="_Toc494555847"/>
            <w:bookmarkStart w:id="282" w:name="_Toc493956031"/>
            <w:r>
              <w:rPr>
                <w:rFonts w:hint="eastAsia" w:ascii="宋体" w:hAnsi="宋体" w:cs="宋体"/>
                <w:color w:val="000000"/>
                <w:szCs w:val="21"/>
                <w:highlight w:val="none"/>
                <w:lang w:val="zh-TW" w:eastAsia="zh-TW" w:bidi="zh-TW"/>
              </w:rPr>
              <w:t>序号</w:t>
            </w:r>
          </w:p>
        </w:tc>
        <w:tc>
          <w:tcPr>
            <w:tcW w:w="3793"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设备名称</w:t>
            </w:r>
          </w:p>
        </w:tc>
        <w:tc>
          <w:tcPr>
            <w:tcW w:w="1376"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技术参数</w:t>
            </w:r>
          </w:p>
        </w:tc>
        <w:tc>
          <w:tcPr>
            <w:tcW w:w="1075"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数量</w:t>
            </w:r>
          </w:p>
        </w:tc>
        <w:tc>
          <w:tcPr>
            <w:tcW w:w="1009"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单位</w:t>
            </w:r>
          </w:p>
        </w:tc>
        <w:tc>
          <w:tcPr>
            <w:tcW w:w="1979"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备注</w:t>
            </w:r>
          </w:p>
        </w:tc>
      </w:tr>
      <w:tr>
        <w:tblPrEx>
          <w:tblCellMar>
            <w:top w:w="0" w:type="dxa"/>
            <w:left w:w="108" w:type="dxa"/>
            <w:bottom w:w="0" w:type="dxa"/>
            <w:right w:w="108" w:type="dxa"/>
          </w:tblCellMar>
        </w:tblPrEx>
        <w:trPr>
          <w:trHeight w:val="514" w:hRule="atLeast"/>
          <w:jc w:val="center"/>
        </w:trPr>
        <w:tc>
          <w:tcPr>
            <w:tcW w:w="918" w:type="dxa"/>
            <w:tcBorders>
              <w:top w:val="single" w:color="auto" w:sz="4" w:space="0"/>
              <w:left w:val="single" w:color="auto" w:sz="4" w:space="0"/>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1</w:t>
            </w:r>
          </w:p>
        </w:tc>
        <w:tc>
          <w:tcPr>
            <w:tcW w:w="3793"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五参数在线分析仪</w:t>
            </w:r>
          </w:p>
        </w:tc>
        <w:tc>
          <w:tcPr>
            <w:tcW w:w="1376" w:type="dxa"/>
            <w:vMerge w:val="restart"/>
            <w:tcBorders>
              <w:top w:val="single" w:color="auto" w:sz="4" w:space="0"/>
              <w:left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详见技术参数要求</w:t>
            </w:r>
          </w:p>
        </w:tc>
        <w:tc>
          <w:tcPr>
            <w:tcW w:w="1075"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hint="eastAsia" w:ascii="宋体" w:hAnsi="宋体" w:cs="宋体"/>
                <w:color w:val="000000"/>
                <w:szCs w:val="21"/>
                <w:highlight w:val="none"/>
                <w:lang w:val="zh-TW" w:bidi="zh-TW"/>
              </w:rPr>
            </w:pPr>
            <w:r>
              <w:rPr>
                <w:rFonts w:hint="eastAsia" w:ascii="宋体" w:hAnsi="宋体" w:cs="宋体"/>
                <w:color w:val="000000"/>
                <w:szCs w:val="21"/>
                <w:highlight w:val="none"/>
                <w:lang w:bidi="zh-TW"/>
              </w:rPr>
              <w:t>2</w:t>
            </w:r>
          </w:p>
        </w:tc>
        <w:tc>
          <w:tcPr>
            <w:tcW w:w="1009"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套</w:t>
            </w:r>
          </w:p>
        </w:tc>
        <w:tc>
          <w:tcPr>
            <w:tcW w:w="1979" w:type="dxa"/>
            <w:tcBorders>
              <w:top w:val="single" w:color="auto" w:sz="4" w:space="0"/>
              <w:left w:val="nil"/>
              <w:bottom w:val="single" w:color="auto" w:sz="4" w:space="0"/>
              <w:right w:val="single" w:color="auto" w:sz="4" w:space="0"/>
            </w:tcBorders>
            <w:noWrap w:val="0"/>
            <w:vAlign w:val="top"/>
          </w:tcPr>
          <w:p>
            <w:pPr>
              <w:keepNext w:val="0"/>
              <w:pageBreakBefore w:val="0"/>
              <w:widowControl/>
              <w:kinsoku/>
              <w:wordWrap/>
              <w:overflowPunct/>
              <w:topLinePunct w:val="0"/>
              <w:bidi w:val="0"/>
              <w:adjustRightInd w:val="0"/>
              <w:snapToGrid w:val="0"/>
              <w:spacing w:line="400" w:lineRule="exact"/>
              <w:jc w:val="center"/>
              <w:rPr>
                <w:rFonts w:hint="eastAsia" w:ascii="宋体" w:hAnsi="宋体" w:eastAsia="PMingLiU" w:cs="宋体"/>
                <w:color w:val="000000"/>
                <w:szCs w:val="21"/>
                <w:highlight w:val="none"/>
                <w:lang w:val="zh-TW" w:eastAsia="zh-TW" w:bidi="zh-TW"/>
              </w:rPr>
            </w:pPr>
            <w:r>
              <w:rPr>
                <w:rFonts w:hint="eastAsia" w:ascii="宋体"/>
                <w:sz w:val="22"/>
                <w:highlight w:val="none"/>
              </w:rPr>
              <w:t>下厂、东垟</w:t>
            </w:r>
          </w:p>
        </w:tc>
      </w:tr>
      <w:tr>
        <w:tblPrEx>
          <w:tblCellMar>
            <w:top w:w="0" w:type="dxa"/>
            <w:left w:w="108" w:type="dxa"/>
            <w:bottom w:w="0" w:type="dxa"/>
            <w:right w:w="108" w:type="dxa"/>
          </w:tblCellMar>
        </w:tblPrEx>
        <w:trPr>
          <w:trHeight w:val="543" w:hRule="atLeast"/>
          <w:jc w:val="center"/>
        </w:trPr>
        <w:tc>
          <w:tcPr>
            <w:tcW w:w="918" w:type="dxa"/>
            <w:tcBorders>
              <w:top w:val="single" w:color="auto" w:sz="4" w:space="0"/>
              <w:left w:val="single" w:color="auto" w:sz="4" w:space="0"/>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2</w:t>
            </w:r>
          </w:p>
        </w:tc>
        <w:tc>
          <w:tcPr>
            <w:tcW w:w="3793"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氨氮在线分析仪</w:t>
            </w:r>
          </w:p>
        </w:tc>
        <w:tc>
          <w:tcPr>
            <w:tcW w:w="1376" w:type="dxa"/>
            <w:vMerge w:val="continue"/>
            <w:tcBorders>
              <w:left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宋体" w:hAnsi="宋体" w:cs="宋体"/>
                <w:color w:val="000000"/>
                <w:szCs w:val="21"/>
                <w:highlight w:val="none"/>
                <w:lang w:val="zh-TW" w:eastAsia="zh-TW" w:bidi="zh-TW"/>
              </w:rPr>
            </w:pPr>
          </w:p>
        </w:tc>
        <w:tc>
          <w:tcPr>
            <w:tcW w:w="1075"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hint="eastAsia" w:ascii="宋体" w:hAnsi="宋体" w:eastAsia="PMingLiU" w:cs="宋体"/>
                <w:color w:val="000000"/>
                <w:szCs w:val="21"/>
                <w:highlight w:val="none"/>
                <w:lang w:val="zh-TW" w:eastAsia="zh-TW" w:bidi="zh-TW"/>
              </w:rPr>
            </w:pPr>
            <w:r>
              <w:rPr>
                <w:rFonts w:hint="eastAsia" w:ascii="宋体" w:hAnsi="宋体" w:cs="宋体"/>
                <w:color w:val="000000"/>
                <w:szCs w:val="21"/>
                <w:highlight w:val="none"/>
                <w:lang w:bidi="zh-TW"/>
              </w:rPr>
              <w:t>2</w:t>
            </w:r>
          </w:p>
        </w:tc>
        <w:tc>
          <w:tcPr>
            <w:tcW w:w="1009"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套</w:t>
            </w:r>
          </w:p>
        </w:tc>
        <w:tc>
          <w:tcPr>
            <w:tcW w:w="1979" w:type="dxa"/>
            <w:tcBorders>
              <w:top w:val="single" w:color="auto" w:sz="4" w:space="0"/>
              <w:left w:val="nil"/>
              <w:bottom w:val="single" w:color="auto" w:sz="4" w:space="0"/>
              <w:right w:val="single" w:color="auto" w:sz="4" w:space="0"/>
            </w:tcBorders>
            <w:noWrap w:val="0"/>
            <w:vAlign w:val="top"/>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sz w:val="22"/>
                <w:highlight w:val="none"/>
              </w:rPr>
              <w:t>下厂、东垟</w:t>
            </w:r>
          </w:p>
        </w:tc>
      </w:tr>
      <w:tr>
        <w:tblPrEx>
          <w:tblCellMar>
            <w:top w:w="0" w:type="dxa"/>
            <w:left w:w="108" w:type="dxa"/>
            <w:bottom w:w="0" w:type="dxa"/>
            <w:right w:w="108" w:type="dxa"/>
          </w:tblCellMar>
        </w:tblPrEx>
        <w:trPr>
          <w:trHeight w:val="543" w:hRule="atLeast"/>
          <w:jc w:val="center"/>
        </w:trPr>
        <w:tc>
          <w:tcPr>
            <w:tcW w:w="918" w:type="dxa"/>
            <w:tcBorders>
              <w:top w:val="single" w:color="auto" w:sz="4" w:space="0"/>
              <w:left w:val="single" w:color="auto" w:sz="4" w:space="0"/>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3</w:t>
            </w:r>
          </w:p>
        </w:tc>
        <w:tc>
          <w:tcPr>
            <w:tcW w:w="3793"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高锰酸盐指数在线分析仪</w:t>
            </w:r>
          </w:p>
        </w:tc>
        <w:tc>
          <w:tcPr>
            <w:tcW w:w="1376" w:type="dxa"/>
            <w:vMerge w:val="continue"/>
            <w:tcBorders>
              <w:left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宋体" w:hAnsi="宋体" w:cs="宋体"/>
                <w:color w:val="000000"/>
                <w:szCs w:val="21"/>
                <w:highlight w:val="none"/>
                <w:lang w:val="zh-TW" w:eastAsia="zh-TW" w:bidi="zh-TW"/>
              </w:rPr>
            </w:pPr>
          </w:p>
        </w:tc>
        <w:tc>
          <w:tcPr>
            <w:tcW w:w="1075"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hint="eastAsia" w:ascii="宋体" w:hAnsi="宋体" w:eastAsia="PMingLiU" w:cs="宋体"/>
                <w:color w:val="000000"/>
                <w:szCs w:val="21"/>
                <w:highlight w:val="none"/>
                <w:lang w:val="zh-TW" w:eastAsia="zh-TW" w:bidi="zh-TW"/>
              </w:rPr>
            </w:pPr>
            <w:r>
              <w:rPr>
                <w:rFonts w:hint="eastAsia" w:ascii="宋体" w:hAnsi="宋体" w:cs="宋体"/>
                <w:color w:val="000000"/>
                <w:szCs w:val="21"/>
                <w:highlight w:val="none"/>
                <w:lang w:bidi="zh-TW"/>
              </w:rPr>
              <w:t>2</w:t>
            </w:r>
          </w:p>
        </w:tc>
        <w:tc>
          <w:tcPr>
            <w:tcW w:w="1009"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套</w:t>
            </w:r>
          </w:p>
        </w:tc>
        <w:tc>
          <w:tcPr>
            <w:tcW w:w="1979" w:type="dxa"/>
            <w:tcBorders>
              <w:top w:val="single" w:color="auto" w:sz="4" w:space="0"/>
              <w:left w:val="nil"/>
              <w:bottom w:val="single" w:color="auto" w:sz="4" w:space="0"/>
              <w:right w:val="single" w:color="auto" w:sz="4" w:space="0"/>
            </w:tcBorders>
            <w:noWrap w:val="0"/>
            <w:vAlign w:val="top"/>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sz w:val="22"/>
                <w:highlight w:val="none"/>
              </w:rPr>
              <w:t>下厂、东垟</w:t>
            </w:r>
          </w:p>
        </w:tc>
      </w:tr>
      <w:tr>
        <w:tblPrEx>
          <w:tblCellMar>
            <w:top w:w="0" w:type="dxa"/>
            <w:left w:w="108" w:type="dxa"/>
            <w:bottom w:w="0" w:type="dxa"/>
            <w:right w:w="108" w:type="dxa"/>
          </w:tblCellMar>
        </w:tblPrEx>
        <w:trPr>
          <w:trHeight w:val="547" w:hRule="atLeast"/>
          <w:jc w:val="center"/>
        </w:trPr>
        <w:tc>
          <w:tcPr>
            <w:tcW w:w="918" w:type="dxa"/>
            <w:tcBorders>
              <w:top w:val="single" w:color="auto" w:sz="4" w:space="0"/>
              <w:left w:val="single" w:color="auto" w:sz="4" w:space="0"/>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4</w:t>
            </w:r>
          </w:p>
        </w:tc>
        <w:tc>
          <w:tcPr>
            <w:tcW w:w="3793"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总磷在线分析仪</w:t>
            </w:r>
          </w:p>
        </w:tc>
        <w:tc>
          <w:tcPr>
            <w:tcW w:w="1376" w:type="dxa"/>
            <w:vMerge w:val="continue"/>
            <w:tcBorders>
              <w:left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宋体" w:hAnsi="宋体" w:cs="宋体"/>
                <w:color w:val="000000"/>
                <w:szCs w:val="21"/>
                <w:highlight w:val="none"/>
                <w:lang w:val="zh-TW" w:eastAsia="zh-TW" w:bidi="zh-TW"/>
              </w:rPr>
            </w:pPr>
          </w:p>
        </w:tc>
        <w:tc>
          <w:tcPr>
            <w:tcW w:w="1075"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hint="eastAsia" w:ascii="宋体" w:hAnsi="宋体" w:eastAsia="PMingLiU" w:cs="宋体"/>
                <w:color w:val="000000"/>
                <w:szCs w:val="21"/>
                <w:highlight w:val="none"/>
                <w:lang w:val="zh-TW" w:eastAsia="zh-TW" w:bidi="zh-TW"/>
              </w:rPr>
            </w:pPr>
            <w:r>
              <w:rPr>
                <w:rFonts w:hint="eastAsia" w:ascii="宋体" w:hAnsi="宋体" w:cs="宋体"/>
                <w:color w:val="000000"/>
                <w:szCs w:val="21"/>
                <w:highlight w:val="none"/>
                <w:lang w:bidi="zh-TW"/>
              </w:rPr>
              <w:t>2</w:t>
            </w:r>
          </w:p>
        </w:tc>
        <w:tc>
          <w:tcPr>
            <w:tcW w:w="1009"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套</w:t>
            </w:r>
          </w:p>
        </w:tc>
        <w:tc>
          <w:tcPr>
            <w:tcW w:w="1979" w:type="dxa"/>
            <w:tcBorders>
              <w:top w:val="single" w:color="auto" w:sz="4" w:space="0"/>
              <w:left w:val="nil"/>
              <w:bottom w:val="single" w:color="auto" w:sz="4" w:space="0"/>
              <w:right w:val="single" w:color="auto" w:sz="4" w:space="0"/>
            </w:tcBorders>
            <w:noWrap w:val="0"/>
            <w:vAlign w:val="top"/>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sz w:val="22"/>
                <w:highlight w:val="none"/>
              </w:rPr>
              <w:t>下厂、东垟</w:t>
            </w:r>
          </w:p>
        </w:tc>
      </w:tr>
      <w:tr>
        <w:tblPrEx>
          <w:tblCellMar>
            <w:top w:w="0" w:type="dxa"/>
            <w:left w:w="108" w:type="dxa"/>
            <w:bottom w:w="0" w:type="dxa"/>
            <w:right w:w="108" w:type="dxa"/>
          </w:tblCellMar>
        </w:tblPrEx>
        <w:trPr>
          <w:trHeight w:val="607" w:hRule="atLeast"/>
          <w:jc w:val="center"/>
        </w:trPr>
        <w:tc>
          <w:tcPr>
            <w:tcW w:w="918" w:type="dxa"/>
            <w:tcBorders>
              <w:top w:val="single" w:color="auto" w:sz="4" w:space="0"/>
              <w:left w:val="single" w:color="auto" w:sz="4" w:space="0"/>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5</w:t>
            </w:r>
          </w:p>
        </w:tc>
        <w:tc>
          <w:tcPr>
            <w:tcW w:w="3793"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总氮在线分析仪</w:t>
            </w:r>
          </w:p>
        </w:tc>
        <w:tc>
          <w:tcPr>
            <w:tcW w:w="1376" w:type="dxa"/>
            <w:vMerge w:val="continue"/>
            <w:tcBorders>
              <w:left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宋体" w:hAnsi="宋体" w:cs="宋体"/>
                <w:color w:val="000000"/>
                <w:szCs w:val="21"/>
                <w:highlight w:val="none"/>
                <w:lang w:val="zh-TW" w:eastAsia="zh-TW" w:bidi="zh-TW"/>
              </w:rPr>
            </w:pPr>
          </w:p>
        </w:tc>
        <w:tc>
          <w:tcPr>
            <w:tcW w:w="1075"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hint="eastAsia" w:ascii="宋体" w:hAnsi="宋体" w:eastAsia="PMingLiU" w:cs="宋体"/>
                <w:color w:val="000000"/>
                <w:szCs w:val="21"/>
                <w:highlight w:val="none"/>
                <w:lang w:val="zh-TW" w:eastAsia="zh-TW" w:bidi="zh-TW"/>
              </w:rPr>
            </w:pPr>
            <w:r>
              <w:rPr>
                <w:rFonts w:hint="eastAsia" w:ascii="宋体" w:hAnsi="宋体" w:cs="宋体"/>
                <w:color w:val="000000"/>
                <w:szCs w:val="21"/>
                <w:highlight w:val="none"/>
                <w:lang w:bidi="zh-TW"/>
              </w:rPr>
              <w:t>2</w:t>
            </w:r>
          </w:p>
        </w:tc>
        <w:tc>
          <w:tcPr>
            <w:tcW w:w="1009"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hAnsi="宋体" w:cs="宋体"/>
                <w:color w:val="000000"/>
                <w:szCs w:val="21"/>
                <w:highlight w:val="none"/>
                <w:lang w:val="zh-TW" w:eastAsia="zh-TW" w:bidi="zh-TW"/>
              </w:rPr>
              <w:t>套</w:t>
            </w:r>
          </w:p>
        </w:tc>
        <w:tc>
          <w:tcPr>
            <w:tcW w:w="1979" w:type="dxa"/>
            <w:tcBorders>
              <w:top w:val="single" w:color="auto" w:sz="4" w:space="0"/>
              <w:left w:val="nil"/>
              <w:bottom w:val="single" w:color="auto" w:sz="4" w:space="0"/>
              <w:right w:val="single" w:color="auto" w:sz="4" w:space="0"/>
            </w:tcBorders>
            <w:noWrap w:val="0"/>
            <w:vAlign w:val="top"/>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val="zh-TW" w:eastAsia="zh-TW" w:bidi="zh-TW"/>
              </w:rPr>
            </w:pPr>
            <w:r>
              <w:rPr>
                <w:rFonts w:hint="eastAsia" w:ascii="宋体"/>
                <w:sz w:val="22"/>
                <w:highlight w:val="none"/>
              </w:rPr>
              <w:t>下厂、东垟</w:t>
            </w:r>
          </w:p>
        </w:tc>
      </w:tr>
      <w:tr>
        <w:tblPrEx>
          <w:tblCellMar>
            <w:top w:w="0" w:type="dxa"/>
            <w:left w:w="108" w:type="dxa"/>
            <w:bottom w:w="0" w:type="dxa"/>
            <w:right w:w="108" w:type="dxa"/>
          </w:tblCellMar>
        </w:tblPrEx>
        <w:trPr>
          <w:trHeight w:val="1003" w:hRule="atLeast"/>
          <w:jc w:val="center"/>
        </w:trPr>
        <w:tc>
          <w:tcPr>
            <w:tcW w:w="918" w:type="dxa"/>
            <w:tcBorders>
              <w:top w:val="single" w:color="auto" w:sz="4" w:space="0"/>
              <w:left w:val="single" w:color="auto" w:sz="4" w:space="0"/>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bidi="zh-TW"/>
              </w:rPr>
            </w:pPr>
            <w:r>
              <w:rPr>
                <w:rFonts w:ascii="宋体" w:hAnsi="宋体" w:cs="宋体"/>
                <w:color w:val="000000"/>
                <w:szCs w:val="21"/>
                <w:highlight w:val="none"/>
                <w:lang w:bidi="zh-TW"/>
              </w:rPr>
              <w:t>6</w:t>
            </w:r>
          </w:p>
        </w:tc>
        <w:tc>
          <w:tcPr>
            <w:tcW w:w="3793"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Times" w:hAnsi="Times" w:cs="宋体"/>
                <w:szCs w:val="21"/>
                <w:highlight w:val="none"/>
              </w:rPr>
            </w:pPr>
            <w:r>
              <w:rPr>
                <w:rFonts w:hint="eastAsia" w:ascii="宋体" w:hAnsi="宋体" w:cs="宋体"/>
                <w:color w:val="000000"/>
                <w:szCs w:val="21"/>
                <w:highlight w:val="none"/>
                <w:lang w:bidi="zh-TW"/>
              </w:rPr>
              <w:t>系统集成（包含采、配水/预处理/清洗系统/控制/数据采集传输系统/辅助系统/质控单元/视频监控系统）等</w:t>
            </w:r>
          </w:p>
        </w:tc>
        <w:tc>
          <w:tcPr>
            <w:tcW w:w="1376" w:type="dxa"/>
            <w:vMerge w:val="continue"/>
            <w:tcBorders>
              <w:left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宋体" w:hAnsi="宋体" w:cs="宋体"/>
                <w:color w:val="000000"/>
                <w:szCs w:val="21"/>
                <w:highlight w:val="none"/>
                <w:lang w:val="zh-TW" w:eastAsia="zh-TW" w:bidi="zh-TW"/>
              </w:rPr>
            </w:pPr>
          </w:p>
        </w:tc>
        <w:tc>
          <w:tcPr>
            <w:tcW w:w="1075"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bidi="zh-TW"/>
              </w:rPr>
            </w:pPr>
            <w:r>
              <w:rPr>
                <w:rFonts w:hint="eastAsia" w:ascii="宋体" w:hAnsi="宋体" w:cs="宋体"/>
                <w:color w:val="000000"/>
                <w:szCs w:val="21"/>
                <w:highlight w:val="none"/>
                <w:lang w:bidi="zh-TW"/>
              </w:rPr>
              <w:t>2</w:t>
            </w:r>
          </w:p>
        </w:tc>
        <w:tc>
          <w:tcPr>
            <w:tcW w:w="1009"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bidi="zh-TW"/>
              </w:rPr>
            </w:pPr>
            <w:r>
              <w:rPr>
                <w:rFonts w:hint="eastAsia" w:ascii="宋体" w:hAnsi="宋体" w:cs="宋体"/>
                <w:color w:val="000000"/>
                <w:szCs w:val="21"/>
                <w:highlight w:val="none"/>
                <w:lang w:bidi="zh-TW"/>
              </w:rPr>
              <w:t>套</w:t>
            </w:r>
          </w:p>
        </w:tc>
        <w:tc>
          <w:tcPr>
            <w:tcW w:w="1979" w:type="dxa"/>
            <w:tcBorders>
              <w:top w:val="single" w:color="auto" w:sz="4" w:space="0"/>
              <w:left w:val="nil"/>
              <w:bottom w:val="single" w:color="auto" w:sz="4" w:space="0"/>
              <w:right w:val="single" w:color="auto" w:sz="4" w:space="0"/>
            </w:tcBorders>
            <w:noWrap w:val="0"/>
            <w:vAlign w:val="top"/>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bidi="zh-TW"/>
              </w:rPr>
            </w:pPr>
            <w:r>
              <w:rPr>
                <w:rFonts w:hint="eastAsia" w:ascii="宋体"/>
                <w:sz w:val="22"/>
                <w:highlight w:val="none"/>
              </w:rPr>
              <w:t>下厂、东垟</w:t>
            </w:r>
          </w:p>
        </w:tc>
      </w:tr>
      <w:tr>
        <w:tblPrEx>
          <w:tblCellMar>
            <w:top w:w="0" w:type="dxa"/>
            <w:left w:w="108" w:type="dxa"/>
            <w:bottom w:w="0" w:type="dxa"/>
            <w:right w:w="108" w:type="dxa"/>
          </w:tblCellMar>
        </w:tblPrEx>
        <w:trPr>
          <w:trHeight w:val="808" w:hRule="atLeast"/>
          <w:jc w:val="center"/>
        </w:trPr>
        <w:tc>
          <w:tcPr>
            <w:tcW w:w="918" w:type="dxa"/>
            <w:tcBorders>
              <w:top w:val="single" w:color="auto" w:sz="4" w:space="0"/>
              <w:left w:val="single" w:color="auto" w:sz="4" w:space="0"/>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hint="eastAsia" w:ascii="宋体" w:hAnsi="宋体" w:cs="宋体"/>
                <w:color w:val="000000"/>
                <w:szCs w:val="21"/>
                <w:highlight w:val="none"/>
                <w:lang w:bidi="zh-TW"/>
              </w:rPr>
            </w:pPr>
            <w:r>
              <w:rPr>
                <w:rFonts w:ascii="宋体" w:hAnsi="宋体" w:cs="宋体"/>
                <w:color w:val="000000"/>
                <w:szCs w:val="21"/>
                <w:highlight w:val="none"/>
                <w:lang w:bidi="zh-TW"/>
              </w:rPr>
              <w:t>7</w:t>
            </w:r>
          </w:p>
        </w:tc>
        <w:tc>
          <w:tcPr>
            <w:tcW w:w="3793"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hint="eastAsia" w:ascii="宋体" w:hAnsi="宋体" w:cs="宋体"/>
                <w:color w:val="000000"/>
                <w:szCs w:val="21"/>
                <w:highlight w:val="none"/>
                <w:lang w:bidi="zh-TW"/>
              </w:rPr>
            </w:pPr>
            <w:r>
              <w:rPr>
                <w:rFonts w:hint="eastAsia" w:ascii="宋体" w:hAnsi="宋体" w:cs="宋体"/>
                <w:color w:val="000000"/>
                <w:szCs w:val="21"/>
                <w:highlight w:val="none"/>
                <w:lang w:bidi="zh-TW"/>
              </w:rPr>
              <w:t>站房建设及三通一平</w:t>
            </w:r>
          </w:p>
        </w:tc>
        <w:tc>
          <w:tcPr>
            <w:tcW w:w="1376" w:type="dxa"/>
            <w:vMerge w:val="continue"/>
            <w:tcBorders>
              <w:left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宋体" w:hAnsi="宋体" w:cs="宋体"/>
                <w:color w:val="000000"/>
                <w:szCs w:val="21"/>
                <w:highlight w:val="none"/>
                <w:lang w:val="zh-TW" w:eastAsia="zh-TW" w:bidi="zh-TW"/>
              </w:rPr>
            </w:pPr>
          </w:p>
        </w:tc>
        <w:tc>
          <w:tcPr>
            <w:tcW w:w="1075"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hint="eastAsia" w:ascii="宋体" w:hAnsi="宋体" w:cs="宋体"/>
                <w:color w:val="000000"/>
                <w:szCs w:val="21"/>
                <w:highlight w:val="none"/>
                <w:lang w:bidi="zh-TW"/>
              </w:rPr>
            </w:pPr>
            <w:r>
              <w:rPr>
                <w:rFonts w:hint="eastAsia" w:ascii="宋体" w:hAnsi="宋体" w:cs="宋体"/>
                <w:color w:val="000000"/>
                <w:szCs w:val="21"/>
                <w:highlight w:val="none"/>
                <w:lang w:bidi="zh-TW"/>
              </w:rPr>
              <w:t>2</w:t>
            </w:r>
          </w:p>
        </w:tc>
        <w:tc>
          <w:tcPr>
            <w:tcW w:w="1009"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hint="eastAsia" w:ascii="宋体" w:hAnsi="宋体" w:cs="宋体"/>
                <w:color w:val="000000"/>
                <w:szCs w:val="21"/>
                <w:highlight w:val="none"/>
                <w:lang w:bidi="zh-TW"/>
              </w:rPr>
            </w:pPr>
            <w:r>
              <w:rPr>
                <w:rFonts w:hint="eastAsia" w:ascii="宋体" w:hAnsi="宋体" w:cs="宋体"/>
                <w:color w:val="000000"/>
                <w:szCs w:val="21"/>
                <w:highlight w:val="none"/>
                <w:lang w:bidi="zh-TW"/>
              </w:rPr>
              <w:t>套</w:t>
            </w:r>
          </w:p>
        </w:tc>
        <w:tc>
          <w:tcPr>
            <w:tcW w:w="1979" w:type="dxa"/>
            <w:tcBorders>
              <w:top w:val="single" w:color="auto" w:sz="4" w:space="0"/>
              <w:left w:val="nil"/>
              <w:bottom w:val="single" w:color="auto" w:sz="4" w:space="0"/>
              <w:right w:val="single" w:color="auto" w:sz="4" w:space="0"/>
            </w:tcBorders>
            <w:noWrap w:val="0"/>
            <w:vAlign w:val="top"/>
          </w:tcPr>
          <w:p>
            <w:pPr>
              <w:keepNext w:val="0"/>
              <w:pageBreakBefore w:val="0"/>
              <w:widowControl/>
              <w:kinsoku/>
              <w:wordWrap/>
              <w:overflowPunct/>
              <w:topLinePunct w:val="0"/>
              <w:bidi w:val="0"/>
              <w:adjustRightInd w:val="0"/>
              <w:snapToGrid w:val="0"/>
              <w:spacing w:line="400" w:lineRule="exact"/>
              <w:jc w:val="center"/>
              <w:rPr>
                <w:rFonts w:hint="eastAsia" w:ascii="宋体" w:hAnsi="宋体" w:cs="宋体"/>
                <w:color w:val="000000"/>
                <w:szCs w:val="21"/>
                <w:highlight w:val="none"/>
                <w:lang w:bidi="zh-TW"/>
              </w:rPr>
            </w:pPr>
            <w:r>
              <w:rPr>
                <w:rFonts w:hint="eastAsia" w:ascii="宋体"/>
                <w:sz w:val="22"/>
                <w:highlight w:val="none"/>
              </w:rPr>
              <w:t>下厂、东垟</w:t>
            </w:r>
          </w:p>
        </w:tc>
      </w:tr>
      <w:tr>
        <w:tblPrEx>
          <w:tblCellMar>
            <w:top w:w="0" w:type="dxa"/>
            <w:left w:w="108" w:type="dxa"/>
            <w:bottom w:w="0" w:type="dxa"/>
            <w:right w:w="108" w:type="dxa"/>
          </w:tblCellMar>
        </w:tblPrEx>
        <w:trPr>
          <w:trHeight w:val="808" w:hRule="atLeast"/>
          <w:jc w:val="center"/>
        </w:trPr>
        <w:tc>
          <w:tcPr>
            <w:tcW w:w="918" w:type="dxa"/>
            <w:tcBorders>
              <w:top w:val="single" w:color="auto" w:sz="4" w:space="0"/>
              <w:left w:val="single" w:color="auto" w:sz="4" w:space="0"/>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bidi="zh-TW"/>
              </w:rPr>
            </w:pPr>
            <w:r>
              <w:rPr>
                <w:rFonts w:hint="eastAsia" w:ascii="宋体" w:hAnsi="宋体" w:cs="宋体"/>
                <w:color w:val="000000"/>
                <w:szCs w:val="21"/>
                <w:highlight w:val="none"/>
                <w:lang w:bidi="zh-TW"/>
              </w:rPr>
              <w:t>8</w:t>
            </w:r>
          </w:p>
        </w:tc>
        <w:tc>
          <w:tcPr>
            <w:tcW w:w="3793"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hint="eastAsia" w:ascii="宋体" w:hAnsi="宋体" w:cs="宋体"/>
                <w:color w:val="000000"/>
                <w:szCs w:val="21"/>
                <w:highlight w:val="none"/>
                <w:lang w:bidi="zh-TW"/>
              </w:rPr>
            </w:pPr>
            <w:r>
              <w:rPr>
                <w:rFonts w:hint="eastAsia" w:ascii="宋体" w:hAnsi="宋体" w:cs="宋体"/>
                <w:color w:val="000000"/>
                <w:szCs w:val="21"/>
                <w:highlight w:val="none"/>
                <w:lang w:bidi="zh-TW"/>
              </w:rPr>
              <w:t>水站运维</w:t>
            </w:r>
          </w:p>
        </w:tc>
        <w:tc>
          <w:tcPr>
            <w:tcW w:w="1376" w:type="dxa"/>
            <w:vMerge w:val="continue"/>
            <w:tcBorders>
              <w:left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left"/>
              <w:rPr>
                <w:rFonts w:ascii="宋体" w:hAnsi="宋体" w:cs="宋体"/>
                <w:color w:val="000000"/>
                <w:szCs w:val="21"/>
                <w:highlight w:val="none"/>
                <w:lang w:val="zh-TW" w:eastAsia="zh-TW" w:bidi="zh-TW"/>
              </w:rPr>
            </w:pPr>
          </w:p>
        </w:tc>
        <w:tc>
          <w:tcPr>
            <w:tcW w:w="1075"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hint="eastAsia" w:ascii="宋体" w:hAnsi="宋体" w:cs="宋体"/>
                <w:color w:val="000000"/>
                <w:szCs w:val="21"/>
                <w:highlight w:val="none"/>
                <w:lang w:bidi="zh-TW"/>
              </w:rPr>
            </w:pPr>
            <w:r>
              <w:rPr>
                <w:rFonts w:hint="eastAsia" w:ascii="宋体" w:hAnsi="宋体" w:cs="宋体"/>
                <w:color w:val="000000"/>
                <w:szCs w:val="21"/>
                <w:highlight w:val="none"/>
                <w:lang w:bidi="zh-TW"/>
              </w:rPr>
              <w:t>1</w:t>
            </w:r>
          </w:p>
        </w:tc>
        <w:tc>
          <w:tcPr>
            <w:tcW w:w="1009" w:type="dxa"/>
            <w:tcBorders>
              <w:top w:val="single" w:color="auto" w:sz="4" w:space="0"/>
              <w:left w:val="nil"/>
              <w:bottom w:val="single" w:color="auto" w:sz="4" w:space="0"/>
              <w:right w:val="single" w:color="auto" w:sz="4" w:space="0"/>
            </w:tcBorders>
            <w:noWrap w:val="0"/>
            <w:vAlign w:val="center"/>
          </w:tcPr>
          <w:p>
            <w:pPr>
              <w:keepNext w:val="0"/>
              <w:pageBreakBefore w:val="0"/>
              <w:widowControl/>
              <w:kinsoku/>
              <w:wordWrap/>
              <w:overflowPunct/>
              <w:topLinePunct w:val="0"/>
              <w:bidi w:val="0"/>
              <w:adjustRightInd w:val="0"/>
              <w:snapToGrid w:val="0"/>
              <w:spacing w:line="400" w:lineRule="exact"/>
              <w:jc w:val="center"/>
              <w:rPr>
                <w:rFonts w:hint="eastAsia" w:ascii="宋体" w:hAnsi="宋体" w:cs="宋体"/>
                <w:color w:val="000000"/>
                <w:szCs w:val="21"/>
                <w:highlight w:val="none"/>
                <w:lang w:bidi="zh-TW"/>
              </w:rPr>
            </w:pPr>
            <w:r>
              <w:rPr>
                <w:rFonts w:hint="eastAsia" w:ascii="宋体" w:hAnsi="宋体" w:cs="宋体"/>
                <w:color w:val="000000"/>
                <w:szCs w:val="21"/>
                <w:highlight w:val="none"/>
                <w:lang w:bidi="zh-TW"/>
              </w:rPr>
              <w:t>年</w:t>
            </w:r>
          </w:p>
        </w:tc>
        <w:tc>
          <w:tcPr>
            <w:tcW w:w="1979" w:type="dxa"/>
            <w:tcBorders>
              <w:top w:val="single" w:color="auto" w:sz="4" w:space="0"/>
              <w:left w:val="nil"/>
              <w:bottom w:val="single" w:color="auto" w:sz="4" w:space="0"/>
              <w:right w:val="single" w:color="auto" w:sz="4" w:space="0"/>
            </w:tcBorders>
            <w:noWrap w:val="0"/>
            <w:vAlign w:val="top"/>
          </w:tcPr>
          <w:p>
            <w:pPr>
              <w:keepNext w:val="0"/>
              <w:pageBreakBefore w:val="0"/>
              <w:widowControl/>
              <w:kinsoku/>
              <w:wordWrap/>
              <w:overflowPunct/>
              <w:topLinePunct w:val="0"/>
              <w:bidi w:val="0"/>
              <w:adjustRightInd w:val="0"/>
              <w:snapToGrid w:val="0"/>
              <w:spacing w:line="400" w:lineRule="exact"/>
              <w:jc w:val="center"/>
              <w:rPr>
                <w:rFonts w:ascii="宋体" w:hAnsi="宋体" w:cs="宋体"/>
                <w:color w:val="000000"/>
                <w:szCs w:val="21"/>
                <w:highlight w:val="none"/>
                <w:lang w:bidi="zh-TW"/>
              </w:rPr>
            </w:pPr>
            <w:r>
              <w:rPr>
                <w:rFonts w:hint="eastAsia" w:ascii="宋体"/>
                <w:sz w:val="22"/>
                <w:highlight w:val="none"/>
              </w:rPr>
              <w:t>下厂、东垟2个站1年运维</w:t>
            </w:r>
          </w:p>
        </w:tc>
      </w:tr>
      <w:bookmarkEnd w:id="278"/>
    </w:tbl>
    <w:p>
      <w:pPr>
        <w:keepNext w:val="0"/>
        <w:pageBreakBefore w:val="0"/>
        <w:kinsoku/>
        <w:wordWrap/>
        <w:overflowPunct/>
        <w:topLinePunct w:val="0"/>
        <w:bidi w:val="0"/>
        <w:spacing w:after="120" w:line="400" w:lineRule="exact"/>
        <w:rPr>
          <w:rFonts w:hint="eastAsia" w:ascii="Times New Roman" w:hAnsi="Times New Roman"/>
          <w:sz w:val="24"/>
          <w:szCs w:val="20"/>
          <w:highlight w:val="none"/>
        </w:rPr>
      </w:pPr>
    </w:p>
    <w:p>
      <w:pPr>
        <w:pStyle w:val="2"/>
        <w:keepNext w:val="0"/>
        <w:pageBreakBefore w:val="0"/>
        <w:kinsoku/>
        <w:wordWrap/>
        <w:overflowPunct/>
        <w:topLinePunct w:val="0"/>
        <w:bidi w:val="0"/>
        <w:spacing w:line="400" w:lineRule="exact"/>
        <w:rPr>
          <w:rFonts w:hint="default" w:ascii="宋体" w:hAnsi="宋体" w:eastAsia="宋体" w:cs="宋体"/>
          <w:b/>
          <w:sz w:val="28"/>
          <w:szCs w:val="28"/>
          <w:highlight w:val="none"/>
          <w:lang w:val="en-US" w:eastAsia="zh-CN"/>
        </w:rPr>
      </w:pPr>
      <w:bookmarkStart w:id="283" w:name="_Toc115358586"/>
      <w:bookmarkStart w:id="284" w:name="_Toc89034105"/>
      <w:bookmarkStart w:id="285" w:name="_Hlk72083920"/>
      <w:r>
        <w:rPr>
          <w:rFonts w:hint="eastAsia" w:ascii="宋体" w:hAnsi="宋体" w:eastAsia="宋体" w:cs="宋体"/>
          <w:b/>
          <w:sz w:val="28"/>
          <w:szCs w:val="28"/>
          <w:highlight w:val="none"/>
          <w:lang w:val="en-US" w:eastAsia="zh-CN"/>
        </w:rPr>
        <w:t>技术参数及功能要求</w:t>
      </w:r>
      <w:bookmarkEnd w:id="283"/>
      <w:bookmarkEnd w:id="284"/>
      <w:r>
        <w:rPr>
          <w:rFonts w:hint="eastAsia" w:ascii="宋体" w:hAnsi="宋体" w:eastAsia="宋体" w:cs="宋体"/>
          <w:b/>
          <w:sz w:val="28"/>
          <w:szCs w:val="28"/>
          <w:highlight w:val="none"/>
          <w:lang w:val="en-US" w:eastAsia="zh-CN"/>
        </w:rPr>
        <w:t>：</w:t>
      </w:r>
    </w:p>
    <w:bookmarkEnd w:id="285"/>
    <w:p>
      <w:pPr>
        <w:keepNext w:val="0"/>
        <w:pageBreakBefore w:val="0"/>
        <w:tabs>
          <w:tab w:val="left" w:pos="830"/>
        </w:tabs>
        <w:kinsoku/>
        <w:wordWrap/>
        <w:overflowPunct/>
        <w:topLinePunct w:val="0"/>
        <w:bidi w:val="0"/>
        <w:spacing w:line="400" w:lineRule="exact"/>
        <w:jc w:val="left"/>
        <w:outlineLvl w:val="1"/>
        <w:rPr>
          <w:rFonts w:hint="eastAsia" w:ascii="Times New Roman" w:hAnsi="Times New Roman" w:cs="宋体"/>
          <w:b/>
          <w:bCs/>
          <w:color w:val="000000"/>
          <w:sz w:val="24"/>
          <w:szCs w:val="24"/>
          <w:highlight w:val="none"/>
          <w:lang w:bidi="zh-TW"/>
        </w:rPr>
      </w:pPr>
      <w:bookmarkStart w:id="286" w:name="_Toc23980"/>
      <w:bookmarkStart w:id="287" w:name="_Toc89034107"/>
      <w:bookmarkStart w:id="288" w:name="_Toc115358587"/>
      <w:bookmarkStart w:id="289" w:name="_Hlk72087170"/>
      <w:r>
        <w:rPr>
          <w:rFonts w:ascii="Times New Roman" w:hAnsi="Times New Roman" w:cs="宋体"/>
          <w:b/>
          <w:bCs/>
          <w:color w:val="000000"/>
          <w:sz w:val="24"/>
          <w:szCs w:val="24"/>
          <w:highlight w:val="none"/>
          <w:lang w:bidi="zh-TW"/>
        </w:rPr>
        <w:t>1</w:t>
      </w:r>
      <w:r>
        <w:rPr>
          <w:rFonts w:hint="eastAsia" w:ascii="Times New Roman" w:hAnsi="Times New Roman" w:cs="宋体"/>
          <w:b/>
          <w:bCs/>
          <w:color w:val="000000"/>
          <w:sz w:val="24"/>
          <w:szCs w:val="24"/>
          <w:highlight w:val="none"/>
          <w:lang w:bidi="zh-TW"/>
        </w:rPr>
        <w:t>、系统总体要求</w:t>
      </w:r>
      <w:bookmarkEnd w:id="286"/>
      <w:bookmarkEnd w:id="287"/>
      <w:bookmarkEnd w:id="288"/>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1.具有实用性、先进性、开放性、安全性和经济性的特点，符合国家、行业有关技术标准和规范。</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2.所采用的设备符合结构简单、性能可靠、能耗低的原则，系统可在无人值守的条件下长期、稳定工作。</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3.系统具有良好的兼容性和可扩展性，充分考虑将来仪器设备的扩充要求，相关设备保留相应的余量和接口。</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4.取样方式设计合理，不影响水质参数的检测结果，在恶劣气候下可稳定运行。</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5.系统具备断电、断水自动保护和恢复功能，市电中断后，系统可采用备用供电装置自行维持运转至少</w:t>
      </w:r>
      <w:r>
        <w:rPr>
          <w:rFonts w:ascii="Times New Roman" w:hAnsi="Times New Roman" w:cs="宋体"/>
          <w:sz w:val="24"/>
          <w:szCs w:val="24"/>
          <w:highlight w:val="none"/>
        </w:rPr>
        <w:t>1</w:t>
      </w:r>
      <w:r>
        <w:rPr>
          <w:rFonts w:hint="eastAsia" w:ascii="Times New Roman" w:hAnsi="Times New Roman" w:cs="宋体"/>
          <w:sz w:val="24"/>
          <w:szCs w:val="24"/>
          <w:highlight w:val="none"/>
        </w:rPr>
        <w:t>小时。</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6.能够判断故障部位和原因，具备故障和状态异常自动报警功能，及监测频次设置功能。</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7.具备定期自动校准功能，监测后对系统内部管路进行反吹清洗。</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8.具备远程显示仪器状态和远程启动清洗、测量、修改检测周期功能。</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9.具备视频监控功能，可对水体表观及站房内主要区域实施实时视频监控。</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10.系统控制软件界面设计应该简洁、美观、实用，功能全面且操作方便。</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11.中标方所提供的水质自动监测站需具备自动清洗功能，即每次测量结束后，自动清洗前处理装置、仪器管路、阀门等部件，并能接受现场和远程人工控制清洗功能。</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12.系统数据采用环保专网传输（裸光纤），能够一点多传。</w:t>
      </w:r>
      <w:bookmarkEnd w:id="289"/>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p>
    <w:p>
      <w:pPr>
        <w:keepNext w:val="0"/>
        <w:pageBreakBefore w:val="0"/>
        <w:tabs>
          <w:tab w:val="left" w:pos="830"/>
        </w:tabs>
        <w:kinsoku/>
        <w:wordWrap/>
        <w:overflowPunct/>
        <w:topLinePunct w:val="0"/>
        <w:bidi w:val="0"/>
        <w:spacing w:line="400" w:lineRule="exact"/>
        <w:jc w:val="left"/>
        <w:outlineLvl w:val="1"/>
        <w:rPr>
          <w:rFonts w:hint="eastAsia" w:ascii="Times New Roman" w:hAnsi="Times New Roman" w:cs="宋体"/>
          <w:b/>
          <w:bCs/>
          <w:color w:val="000000"/>
          <w:sz w:val="30"/>
          <w:szCs w:val="30"/>
          <w:highlight w:val="none"/>
          <w:lang w:bidi="zh-TW"/>
        </w:rPr>
      </w:pPr>
      <w:bookmarkStart w:id="290" w:name="_Toc115358588"/>
      <w:bookmarkStart w:id="291" w:name="_Toc89034106"/>
      <w:bookmarkStart w:id="292" w:name="_Toc11471"/>
      <w:r>
        <w:rPr>
          <w:rFonts w:ascii="Times New Roman" w:hAnsi="Times New Roman" w:cs="宋体"/>
          <w:b/>
          <w:bCs/>
          <w:color w:val="000000"/>
          <w:sz w:val="30"/>
          <w:szCs w:val="30"/>
          <w:highlight w:val="none"/>
          <w:lang w:bidi="zh-TW"/>
        </w:rPr>
        <w:t>2</w:t>
      </w:r>
      <w:r>
        <w:rPr>
          <w:rFonts w:hint="eastAsia" w:ascii="Times New Roman" w:hAnsi="Times New Roman" w:cs="宋体"/>
          <w:b/>
          <w:bCs/>
          <w:color w:val="000000"/>
          <w:sz w:val="30"/>
          <w:szCs w:val="30"/>
          <w:highlight w:val="none"/>
          <w:lang w:bidi="zh-TW"/>
        </w:rPr>
        <w:t>、仪器基本要求</w:t>
      </w:r>
      <w:bookmarkEnd w:id="290"/>
      <w:bookmarkEnd w:id="291"/>
      <w:bookmarkEnd w:id="292"/>
    </w:p>
    <w:p>
      <w:pPr>
        <w:keepNext w:val="0"/>
        <w:pageBreakBefore w:val="0"/>
        <w:tabs>
          <w:tab w:val="left" w:pos="830"/>
        </w:tabs>
        <w:kinsoku/>
        <w:wordWrap/>
        <w:overflowPunct/>
        <w:topLinePunct w:val="0"/>
        <w:bidi w:val="0"/>
        <w:spacing w:line="400" w:lineRule="exact"/>
        <w:ind w:firstLine="480" w:firstLineChars="200"/>
        <w:jc w:val="left"/>
        <w:rPr>
          <w:rFonts w:hint="eastAsia" w:ascii="Times New Roman" w:hAnsi="Times New Roman" w:cs="宋体"/>
          <w:color w:val="000000"/>
          <w:sz w:val="24"/>
          <w:szCs w:val="24"/>
          <w:highlight w:val="none"/>
          <w:lang w:val="zh-TW" w:eastAsia="zh-TW" w:bidi="zh-TW"/>
        </w:rPr>
      </w:pPr>
      <w:r>
        <w:rPr>
          <w:rFonts w:hint="eastAsia" w:ascii="Times New Roman" w:hAnsi="Times New Roman" w:cs="宋体"/>
          <w:color w:val="000000"/>
          <w:sz w:val="24"/>
          <w:szCs w:val="24"/>
          <w:highlight w:val="none"/>
          <w:lang w:bidi="zh-TW"/>
        </w:rPr>
        <w:t>1.</w:t>
      </w:r>
      <w:r>
        <w:rPr>
          <w:rFonts w:hint="eastAsia" w:ascii="Times New Roman" w:hAnsi="Times New Roman" w:cs="宋体"/>
          <w:color w:val="000000"/>
          <w:sz w:val="24"/>
          <w:szCs w:val="24"/>
          <w:highlight w:val="none"/>
          <w:lang w:val="zh-TW" w:eastAsia="zh-TW" w:bidi="zh-TW"/>
        </w:rPr>
        <w:t>具有异常信息记录、上传功能，如零部件故障、超量程报警、超标报警、缺试剂报警等信息；</w:t>
      </w:r>
    </w:p>
    <w:p>
      <w:pPr>
        <w:keepNext w:val="0"/>
        <w:pageBreakBefore w:val="0"/>
        <w:tabs>
          <w:tab w:val="left" w:pos="830"/>
        </w:tabs>
        <w:kinsoku/>
        <w:wordWrap/>
        <w:overflowPunct/>
        <w:topLinePunct w:val="0"/>
        <w:bidi w:val="0"/>
        <w:spacing w:line="400" w:lineRule="exact"/>
        <w:ind w:firstLine="480" w:firstLineChars="200"/>
        <w:jc w:val="left"/>
        <w:rPr>
          <w:rFonts w:hint="eastAsia" w:ascii="Times New Roman" w:hAnsi="Times New Roman" w:cs="宋体"/>
          <w:color w:val="000000"/>
          <w:sz w:val="24"/>
          <w:szCs w:val="24"/>
          <w:highlight w:val="none"/>
          <w:lang w:val="zh-TW" w:eastAsia="zh-TW" w:bidi="zh-TW"/>
        </w:rPr>
      </w:pPr>
      <w:r>
        <w:rPr>
          <w:rFonts w:hint="eastAsia" w:ascii="Times New Roman" w:hAnsi="Times New Roman" w:cs="宋体"/>
          <w:color w:val="000000"/>
          <w:sz w:val="24"/>
          <w:szCs w:val="24"/>
          <w:highlight w:val="none"/>
          <w:lang w:bidi="zh-TW"/>
        </w:rPr>
        <w:t>2.</w:t>
      </w:r>
      <w:r>
        <w:rPr>
          <w:rFonts w:hint="eastAsia" w:ascii="Times New Roman" w:hAnsi="Times New Roman" w:cs="宋体"/>
          <w:color w:val="000000"/>
          <w:sz w:val="24"/>
          <w:szCs w:val="24"/>
          <w:highlight w:val="none"/>
          <w:lang w:val="zh-TW" w:eastAsia="zh-TW" w:bidi="zh-TW"/>
        </w:rPr>
        <w:t>具有仪器状态(如测量、空闲、故障等)显示；</w:t>
      </w:r>
    </w:p>
    <w:p>
      <w:pPr>
        <w:keepNext w:val="0"/>
        <w:pageBreakBefore w:val="0"/>
        <w:tabs>
          <w:tab w:val="left" w:pos="830"/>
        </w:tabs>
        <w:kinsoku/>
        <w:wordWrap/>
        <w:overflowPunct/>
        <w:topLinePunct w:val="0"/>
        <w:bidi w:val="0"/>
        <w:spacing w:line="400" w:lineRule="exact"/>
        <w:ind w:firstLine="480" w:firstLineChars="200"/>
        <w:jc w:val="left"/>
        <w:rPr>
          <w:rFonts w:hint="eastAsia" w:ascii="Times New Roman" w:hAnsi="Times New Roman" w:cs="宋体"/>
          <w:color w:val="000000"/>
          <w:sz w:val="24"/>
          <w:szCs w:val="24"/>
          <w:highlight w:val="none"/>
          <w:lang w:val="zh-TW" w:eastAsia="zh-TW" w:bidi="zh-TW"/>
        </w:rPr>
      </w:pPr>
      <w:r>
        <w:rPr>
          <w:rFonts w:hint="eastAsia" w:ascii="Times New Roman" w:hAnsi="Times New Roman" w:cs="宋体"/>
          <w:color w:val="000000"/>
          <w:sz w:val="24"/>
          <w:szCs w:val="24"/>
          <w:highlight w:val="none"/>
          <w:lang w:bidi="zh-TW"/>
        </w:rPr>
        <w:t>3.</w:t>
      </w:r>
      <w:r>
        <w:rPr>
          <w:rFonts w:hint="eastAsia" w:ascii="Times New Roman" w:hAnsi="Times New Roman" w:cs="宋体"/>
          <w:color w:val="000000"/>
          <w:sz w:val="24"/>
          <w:szCs w:val="24"/>
          <w:highlight w:val="none"/>
          <w:lang w:val="zh-TW" w:eastAsia="zh-TW" w:bidi="zh-TW"/>
        </w:rPr>
        <w:t>具有RS-232或RS-485标准通讯接口；</w:t>
      </w:r>
    </w:p>
    <w:p>
      <w:pPr>
        <w:keepNext w:val="0"/>
        <w:pageBreakBefore w:val="0"/>
        <w:tabs>
          <w:tab w:val="left" w:pos="830"/>
        </w:tabs>
        <w:kinsoku/>
        <w:wordWrap/>
        <w:overflowPunct/>
        <w:topLinePunct w:val="0"/>
        <w:bidi w:val="0"/>
        <w:spacing w:line="400" w:lineRule="exact"/>
        <w:ind w:firstLine="480" w:firstLineChars="200"/>
        <w:jc w:val="left"/>
        <w:rPr>
          <w:rFonts w:hint="eastAsia" w:ascii="Times New Roman" w:hAnsi="Times New Roman" w:cs="宋体"/>
          <w:color w:val="000000"/>
          <w:sz w:val="24"/>
          <w:szCs w:val="24"/>
          <w:highlight w:val="none"/>
          <w:lang w:val="zh-TW" w:eastAsia="zh-TW" w:bidi="zh-TW"/>
        </w:rPr>
      </w:pPr>
      <w:r>
        <w:rPr>
          <w:rFonts w:hint="eastAsia" w:ascii="Times New Roman" w:hAnsi="Times New Roman" w:cs="宋体"/>
          <w:color w:val="000000"/>
          <w:sz w:val="24"/>
          <w:szCs w:val="24"/>
          <w:highlight w:val="none"/>
          <w:lang w:bidi="zh-TW"/>
        </w:rPr>
        <w:t>4.</w:t>
      </w:r>
      <w:r>
        <w:rPr>
          <w:rFonts w:hint="eastAsia" w:ascii="Times New Roman" w:hAnsi="Times New Roman" w:cs="宋体"/>
          <w:color w:val="000000"/>
          <w:sz w:val="24"/>
          <w:szCs w:val="24"/>
          <w:highlight w:val="none"/>
          <w:lang w:val="zh-TW" w:eastAsia="zh-TW" w:bidi="zh-TW"/>
        </w:rPr>
        <w:t>具备1小时1次的监测能力；</w:t>
      </w:r>
    </w:p>
    <w:p>
      <w:pPr>
        <w:keepNext w:val="0"/>
        <w:pageBreakBefore w:val="0"/>
        <w:tabs>
          <w:tab w:val="left" w:pos="830"/>
        </w:tabs>
        <w:kinsoku/>
        <w:wordWrap/>
        <w:overflowPunct/>
        <w:topLinePunct w:val="0"/>
        <w:bidi w:val="0"/>
        <w:spacing w:line="400" w:lineRule="exact"/>
        <w:ind w:firstLine="480" w:firstLineChars="200"/>
        <w:jc w:val="left"/>
        <w:rPr>
          <w:rFonts w:hint="eastAsia" w:ascii="宋体" w:hAnsi="宋体" w:cs="宋体"/>
          <w:color w:val="000000"/>
          <w:sz w:val="24"/>
          <w:szCs w:val="24"/>
          <w:highlight w:val="none"/>
          <w:lang w:val="zh-TW" w:eastAsia="zh-TW" w:bidi="zh-TW"/>
        </w:rPr>
      </w:pPr>
      <w:r>
        <w:rPr>
          <w:rFonts w:hint="eastAsia" w:ascii="Times New Roman" w:hAnsi="Times New Roman" w:cs="宋体"/>
          <w:color w:val="000000"/>
          <w:sz w:val="24"/>
          <w:szCs w:val="24"/>
          <w:highlight w:val="none"/>
          <w:lang w:bidi="zh-TW"/>
        </w:rPr>
        <w:t>5.</w:t>
      </w:r>
      <w:r>
        <w:rPr>
          <w:rFonts w:hint="eastAsia" w:ascii="Times New Roman" w:hAnsi="Times New Roman" w:cs="宋体"/>
          <w:color w:val="000000"/>
          <w:sz w:val="24"/>
          <w:szCs w:val="24"/>
          <w:highlight w:val="none"/>
          <w:lang w:val="zh-TW" w:eastAsia="zh-TW" w:bidi="zh-TW"/>
        </w:rPr>
        <w:t>高锰酸盐指数在线分析仪、氨氮在线分析仪、总磷在线分析仪、总氮在线分析仪需具</w:t>
      </w:r>
      <w:r>
        <w:rPr>
          <w:rFonts w:hint="eastAsia" w:ascii="宋体" w:hAnsi="宋体" w:cs="宋体"/>
          <w:color w:val="000000"/>
          <w:sz w:val="24"/>
          <w:szCs w:val="24"/>
          <w:highlight w:val="none"/>
          <w:lang w:val="zh-TW" w:eastAsia="zh-TW" w:bidi="zh-TW"/>
        </w:rPr>
        <w:t>有自动标样核查、零点校准、标样校准等功能。</w:t>
      </w:r>
    </w:p>
    <w:p>
      <w:pPr>
        <w:keepNext w:val="0"/>
        <w:pageBreakBefore w:val="0"/>
        <w:tabs>
          <w:tab w:val="left" w:pos="830"/>
        </w:tabs>
        <w:kinsoku/>
        <w:wordWrap/>
        <w:overflowPunct/>
        <w:topLinePunct w:val="0"/>
        <w:bidi w:val="0"/>
        <w:spacing w:line="400" w:lineRule="exact"/>
        <w:ind w:firstLine="480" w:firstLineChars="200"/>
        <w:jc w:val="left"/>
        <w:rPr>
          <w:rFonts w:hint="eastAsia" w:ascii="宋体" w:hAnsi="宋体" w:cs="宋体"/>
          <w:color w:val="000000"/>
          <w:sz w:val="24"/>
          <w:szCs w:val="24"/>
          <w:highlight w:val="none"/>
          <w:lang w:val="zh-TW" w:eastAsia="zh-TW" w:bidi="zh-TW"/>
        </w:rPr>
      </w:pPr>
    </w:p>
    <w:p>
      <w:pPr>
        <w:keepNext w:val="0"/>
        <w:pageBreakBefore w:val="0"/>
        <w:tabs>
          <w:tab w:val="left" w:pos="830"/>
        </w:tabs>
        <w:kinsoku/>
        <w:wordWrap/>
        <w:overflowPunct/>
        <w:topLinePunct w:val="0"/>
        <w:bidi w:val="0"/>
        <w:spacing w:line="400" w:lineRule="exact"/>
        <w:jc w:val="left"/>
        <w:outlineLvl w:val="1"/>
        <w:rPr>
          <w:rFonts w:hint="eastAsia" w:ascii="Times New Roman" w:hAnsi="Times New Roman" w:cs="宋体"/>
          <w:b/>
          <w:bCs/>
          <w:color w:val="000000"/>
          <w:sz w:val="30"/>
          <w:szCs w:val="30"/>
          <w:highlight w:val="none"/>
          <w:lang w:bidi="zh-TW"/>
        </w:rPr>
      </w:pPr>
      <w:bookmarkStart w:id="293" w:name="_Toc1807"/>
      <w:bookmarkStart w:id="294" w:name="_Toc115358594"/>
      <w:bookmarkStart w:id="295" w:name="_Toc89034113"/>
      <w:r>
        <w:rPr>
          <w:rFonts w:ascii="Times New Roman" w:hAnsi="Times New Roman" w:cs="宋体"/>
          <w:b/>
          <w:bCs/>
          <w:color w:val="000000"/>
          <w:sz w:val="30"/>
          <w:szCs w:val="30"/>
          <w:highlight w:val="none"/>
          <w:lang w:bidi="zh-TW"/>
        </w:rPr>
        <w:t>3</w:t>
      </w:r>
      <w:r>
        <w:rPr>
          <w:rFonts w:hint="eastAsia" w:ascii="Times New Roman" w:hAnsi="Times New Roman" w:cs="宋体"/>
          <w:b/>
          <w:bCs/>
          <w:color w:val="000000"/>
          <w:sz w:val="30"/>
          <w:szCs w:val="30"/>
          <w:highlight w:val="none"/>
          <w:lang w:eastAsia="zh-CN" w:bidi="zh-TW"/>
        </w:rPr>
        <w:t>、</w:t>
      </w:r>
      <w:r>
        <w:rPr>
          <w:rFonts w:hint="eastAsia" w:ascii="Times New Roman" w:hAnsi="Times New Roman" w:cs="宋体"/>
          <w:b/>
          <w:bCs/>
          <w:color w:val="000000"/>
          <w:sz w:val="30"/>
          <w:szCs w:val="30"/>
          <w:highlight w:val="none"/>
          <w:lang w:bidi="zh-TW"/>
        </w:rPr>
        <w:t>常规五参数自动分析仪</w:t>
      </w:r>
      <w:bookmarkEnd w:id="293"/>
    </w:p>
    <w:p>
      <w:pPr>
        <w:keepNext w:val="0"/>
        <w:pageBreakBefore w:val="0"/>
        <w:kinsoku/>
        <w:wordWrap/>
        <w:overflowPunct/>
        <w:topLinePunct w:val="0"/>
        <w:bidi w:val="0"/>
        <w:snapToGrid w:val="0"/>
        <w:spacing w:before="157"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水温</w:t>
      </w:r>
    </w:p>
    <w:tbl>
      <w:tblPr>
        <w:tblStyle w:val="34"/>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43"/>
        <w:gridCol w:w="63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bCs/>
                <w:sz w:val="24"/>
                <w:szCs w:val="24"/>
                <w:highlight w:val="none"/>
              </w:rPr>
            </w:pPr>
            <w:r>
              <w:rPr>
                <w:rFonts w:hint="eastAsia" w:ascii="宋体" w:hAnsi="宋体" w:eastAsia="宋体" w:cs="仿宋"/>
                <w:b/>
                <w:bCs/>
                <w:sz w:val="24"/>
                <w:szCs w:val="24"/>
                <w:highlight w:val="none"/>
              </w:rPr>
              <w:t>项目</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测定原理</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温度传感器法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量程</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0℃～50℃，可调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准确度</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分辨率</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响应时间</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0.5min以内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平均无故障时间</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≥720h/次</w:t>
            </w:r>
          </w:p>
        </w:tc>
      </w:tr>
    </w:tbl>
    <w:p>
      <w:pPr>
        <w:keepNext w:val="0"/>
        <w:pageBreakBefore w:val="0"/>
        <w:kinsoku/>
        <w:wordWrap/>
        <w:overflowPunct/>
        <w:topLinePunct w:val="0"/>
        <w:bidi w:val="0"/>
        <w:snapToGrid w:val="0"/>
        <w:spacing w:before="157"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pH</w:t>
      </w:r>
    </w:p>
    <w:tbl>
      <w:tblPr>
        <w:tblStyle w:val="34"/>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79"/>
        <w:gridCol w:w="63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blHeader/>
          <w:jc w:val="center"/>
        </w:trPr>
        <w:tc>
          <w:tcPr>
            <w:tcW w:w="217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bCs/>
                <w:sz w:val="24"/>
                <w:szCs w:val="24"/>
                <w:highlight w:val="none"/>
              </w:rPr>
            </w:pPr>
            <w:r>
              <w:rPr>
                <w:rFonts w:hint="eastAsia" w:ascii="宋体" w:hAnsi="宋体" w:eastAsia="宋体" w:cs="仿宋"/>
                <w:b/>
                <w:bCs/>
                <w:sz w:val="24"/>
                <w:szCs w:val="24"/>
                <w:highlight w:val="none"/>
              </w:rPr>
              <w:t>项目</w:t>
            </w:r>
          </w:p>
        </w:tc>
        <w:tc>
          <w:tcPr>
            <w:tcW w:w="632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7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测定原理</w:t>
            </w:r>
          </w:p>
        </w:tc>
        <w:tc>
          <w:tcPr>
            <w:tcW w:w="632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玻璃电极法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7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量程</w:t>
            </w:r>
          </w:p>
        </w:tc>
        <w:tc>
          <w:tcPr>
            <w:tcW w:w="632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pH 0～14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7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测量精度</w:t>
            </w:r>
          </w:p>
        </w:tc>
        <w:tc>
          <w:tcPr>
            <w:tcW w:w="632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0.1pH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7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分辨率</w:t>
            </w:r>
          </w:p>
        </w:tc>
        <w:tc>
          <w:tcPr>
            <w:tcW w:w="632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0.01pH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7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★重复性</w:t>
            </w:r>
          </w:p>
        </w:tc>
        <w:tc>
          <w:tcPr>
            <w:tcW w:w="632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left"/>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±0.05 pH（提供计量部门出具的CMA报告）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7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响应时间</w:t>
            </w:r>
          </w:p>
        </w:tc>
        <w:tc>
          <w:tcPr>
            <w:tcW w:w="632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0.5min以内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7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温度补偿</w:t>
            </w:r>
          </w:p>
        </w:tc>
        <w:tc>
          <w:tcPr>
            <w:tcW w:w="632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自动温度补偿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7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bCs/>
                <w:sz w:val="24"/>
                <w:szCs w:val="24"/>
                <w:highlight w:val="none"/>
              </w:rPr>
            </w:pPr>
            <w:r>
              <w:rPr>
                <w:rFonts w:hint="eastAsia" w:ascii="宋体" w:hAnsi="宋体" w:eastAsia="宋体" w:cs="仿宋"/>
                <w:b/>
                <w:bCs/>
                <w:sz w:val="24"/>
                <w:szCs w:val="24"/>
                <w:highlight w:val="none"/>
              </w:rPr>
              <w:t>平均无故障时间</w:t>
            </w:r>
          </w:p>
        </w:tc>
        <w:tc>
          <w:tcPr>
            <w:tcW w:w="632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≥720h/次</w:t>
            </w:r>
          </w:p>
        </w:tc>
      </w:tr>
    </w:tbl>
    <w:p>
      <w:pPr>
        <w:keepNext w:val="0"/>
        <w:pageBreakBefore w:val="0"/>
        <w:kinsoku/>
        <w:wordWrap/>
        <w:overflowPunct/>
        <w:topLinePunct w:val="0"/>
        <w:bidi w:val="0"/>
        <w:snapToGrid w:val="0"/>
        <w:spacing w:before="157"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溶解氧</w:t>
      </w:r>
    </w:p>
    <w:tbl>
      <w:tblPr>
        <w:tblStyle w:val="34"/>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43"/>
        <w:gridCol w:w="63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bCs/>
                <w:sz w:val="24"/>
                <w:szCs w:val="24"/>
                <w:highlight w:val="none"/>
              </w:rPr>
            </w:pPr>
            <w:r>
              <w:rPr>
                <w:rFonts w:hint="eastAsia" w:ascii="宋体" w:hAnsi="宋体" w:eastAsia="宋体" w:cs="仿宋"/>
                <w:b/>
                <w:bCs/>
                <w:sz w:val="24"/>
                <w:szCs w:val="24"/>
                <w:highlight w:val="none"/>
              </w:rPr>
              <w:t>项目</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测定原理</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荧光法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量程</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0～20mg/L，可调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测量精度</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±0.3mg/L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分辨率</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0.01mg/L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★重复性</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±0.1 mg/L</w:t>
            </w:r>
            <w:r>
              <w:rPr>
                <w:rFonts w:hint="eastAsia" w:ascii="宋体" w:hAnsi="宋体" w:eastAsia="宋体" w:cs="仿宋"/>
                <w:b w:val="0"/>
                <w:bCs w:val="0"/>
                <w:sz w:val="24"/>
                <w:szCs w:val="24"/>
                <w:highlight w:val="none"/>
              </w:rPr>
              <w:t>（提供计量部门出具的CMA报告）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温度补偿</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自动温度补偿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零点漂移</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±0.3mg/L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量程漂移</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±0.2 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b w:val="0"/>
                <w:bCs w:val="0"/>
                <w:sz w:val="24"/>
                <w:szCs w:val="24"/>
                <w:highlight w:val="none"/>
              </w:rPr>
            </w:pPr>
            <w:r>
              <w:rPr>
                <w:rFonts w:hint="eastAsia" w:ascii="宋体" w:hAnsi="宋体" w:eastAsia="宋体" w:cs="仿宋"/>
                <w:b w:val="0"/>
                <w:bCs w:val="0"/>
                <w:sz w:val="24"/>
                <w:szCs w:val="24"/>
                <w:highlight w:val="none"/>
              </w:rPr>
              <w:t>平均无故障时间</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≥720h/次</w:t>
            </w:r>
          </w:p>
        </w:tc>
      </w:tr>
    </w:tbl>
    <w:p>
      <w:pPr>
        <w:keepNext w:val="0"/>
        <w:pageBreakBefore w:val="0"/>
        <w:kinsoku/>
        <w:wordWrap/>
        <w:overflowPunct/>
        <w:topLinePunct w:val="0"/>
        <w:bidi w:val="0"/>
        <w:snapToGrid w:val="0"/>
        <w:spacing w:before="157"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电导率</w:t>
      </w:r>
    </w:p>
    <w:tbl>
      <w:tblPr>
        <w:tblStyle w:val="34"/>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43"/>
        <w:gridCol w:w="63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blHeader/>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项目</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测定原理</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电极法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量程</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0～5000mS/cm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测量精度</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 F.S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分辨率</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≤0.1</w:t>
            </w:r>
            <w:r>
              <w:rPr>
                <w:rFonts w:ascii="宋体" w:hAnsi="宋体" w:cs="Calibri"/>
                <w:sz w:val="24"/>
                <w:szCs w:val="24"/>
                <w:highlight w:val="none"/>
              </w:rPr>
              <w:t>µ</w:t>
            </w:r>
            <w:r>
              <w:rPr>
                <w:rFonts w:hint="eastAsia" w:ascii="宋体" w:hAnsi="宋体" w:cs="仿宋"/>
                <w:sz w:val="24"/>
                <w:szCs w:val="24"/>
                <w:highlight w:val="none"/>
              </w:rPr>
              <w:t>s/cm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eastAsia="宋体" w:cs="仿宋"/>
                <w:b w:val="0"/>
                <w:bCs w:val="0"/>
                <w:sz w:val="24"/>
                <w:szCs w:val="24"/>
                <w:highlight w:val="none"/>
              </w:rPr>
              <w:t>★</w:t>
            </w:r>
            <w:r>
              <w:rPr>
                <w:rFonts w:hint="eastAsia" w:ascii="宋体" w:hAnsi="宋体" w:cs="仿宋"/>
                <w:sz w:val="24"/>
                <w:szCs w:val="24"/>
                <w:highlight w:val="none"/>
              </w:rPr>
              <w:t>重复性</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±0.5%</w:t>
            </w:r>
            <w:r>
              <w:rPr>
                <w:rFonts w:hint="eastAsia" w:ascii="宋体" w:hAnsi="宋体" w:eastAsia="宋体" w:cs="仿宋"/>
                <w:b w:val="0"/>
                <w:bCs w:val="0"/>
                <w:sz w:val="24"/>
                <w:szCs w:val="24"/>
                <w:highlight w:val="none"/>
              </w:rPr>
              <w:t>（提供计量部门出具的CMA报告）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温度补偿</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自动温度补偿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零点漂移</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量程漂移</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响应时间</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≤0.5min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平均无故障时间</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≥720h/次</w:t>
            </w:r>
          </w:p>
        </w:tc>
      </w:tr>
    </w:tbl>
    <w:p>
      <w:pPr>
        <w:keepNext w:val="0"/>
        <w:pageBreakBefore w:val="0"/>
        <w:kinsoku/>
        <w:wordWrap/>
        <w:overflowPunct/>
        <w:topLinePunct w:val="0"/>
        <w:bidi w:val="0"/>
        <w:snapToGrid w:val="0"/>
        <w:spacing w:before="157"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浊度</w:t>
      </w:r>
    </w:p>
    <w:tbl>
      <w:tblPr>
        <w:tblStyle w:val="34"/>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43"/>
        <w:gridCol w:w="63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blHeader/>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项目</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测定原理</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光散射法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量程</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0～2000NTU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测量精度</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±2% F.S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分辨率</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0.1 NTU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eastAsia="宋体" w:cs="仿宋"/>
                <w:b w:val="0"/>
                <w:bCs w:val="0"/>
                <w:sz w:val="24"/>
                <w:szCs w:val="24"/>
                <w:highlight w:val="none"/>
              </w:rPr>
              <w:t>★</w:t>
            </w:r>
            <w:r>
              <w:rPr>
                <w:rFonts w:hint="eastAsia" w:ascii="宋体" w:hAnsi="宋体" w:cs="仿宋"/>
                <w:sz w:val="24"/>
                <w:szCs w:val="24"/>
                <w:highlight w:val="none"/>
              </w:rPr>
              <w:t>重复性</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w:t>
            </w:r>
            <w:r>
              <w:rPr>
                <w:rFonts w:hint="eastAsia" w:ascii="宋体" w:hAnsi="宋体" w:eastAsia="宋体" w:cs="仿宋"/>
                <w:b w:val="0"/>
                <w:bCs w:val="0"/>
                <w:sz w:val="24"/>
                <w:szCs w:val="24"/>
                <w:highlight w:val="none"/>
              </w:rPr>
              <w:t>（提供计量部门出具的CMA报告）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零点漂移</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 F.S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143"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量程漂移</w:t>
            </w:r>
          </w:p>
        </w:tc>
        <w:tc>
          <w:tcPr>
            <w:tcW w:w="6361"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 F.S</w:t>
            </w:r>
          </w:p>
        </w:tc>
      </w:tr>
    </w:tbl>
    <w:p>
      <w:pPr>
        <w:keepNext w:val="0"/>
        <w:pageBreakBefore w:val="0"/>
        <w:kinsoku/>
        <w:wordWrap/>
        <w:overflowPunct/>
        <w:topLinePunct w:val="0"/>
        <w:bidi w:val="0"/>
        <w:spacing w:line="400" w:lineRule="exact"/>
        <w:ind w:firstLine="482" w:firstLineChars="200"/>
        <w:rPr>
          <w:rFonts w:ascii="宋体" w:hAnsi="宋体" w:cs="仿宋"/>
          <w:b/>
          <w:bCs/>
          <w:sz w:val="24"/>
          <w:highlight w:val="none"/>
        </w:rPr>
      </w:pPr>
    </w:p>
    <w:p>
      <w:pPr>
        <w:keepNext w:val="0"/>
        <w:pageBreakBefore w:val="0"/>
        <w:tabs>
          <w:tab w:val="left" w:pos="830"/>
        </w:tabs>
        <w:kinsoku/>
        <w:wordWrap/>
        <w:overflowPunct/>
        <w:topLinePunct w:val="0"/>
        <w:bidi w:val="0"/>
        <w:spacing w:line="400" w:lineRule="exact"/>
        <w:jc w:val="left"/>
        <w:outlineLvl w:val="1"/>
        <w:rPr>
          <w:rFonts w:hint="eastAsia"/>
          <w:highlight w:val="none"/>
        </w:rPr>
      </w:pPr>
      <w:bookmarkStart w:id="296" w:name="_Toc19400"/>
      <w:r>
        <w:rPr>
          <w:rFonts w:ascii="Times New Roman" w:hAnsi="Times New Roman" w:cs="宋体"/>
          <w:b/>
          <w:bCs/>
          <w:color w:val="000000"/>
          <w:sz w:val="30"/>
          <w:szCs w:val="30"/>
          <w:highlight w:val="none"/>
          <w:lang w:bidi="zh-TW"/>
        </w:rPr>
        <w:t>4</w:t>
      </w:r>
      <w:r>
        <w:rPr>
          <w:rFonts w:hint="eastAsia" w:ascii="Times New Roman" w:hAnsi="Times New Roman" w:cs="宋体"/>
          <w:b/>
          <w:bCs/>
          <w:color w:val="000000"/>
          <w:sz w:val="30"/>
          <w:szCs w:val="30"/>
          <w:highlight w:val="none"/>
          <w:lang w:eastAsia="zh-CN" w:bidi="zh-TW"/>
        </w:rPr>
        <w:t>、</w:t>
      </w:r>
      <w:r>
        <w:rPr>
          <w:rFonts w:hint="eastAsia" w:ascii="Times New Roman" w:hAnsi="Times New Roman" w:cs="宋体"/>
          <w:b/>
          <w:bCs/>
          <w:color w:val="000000"/>
          <w:sz w:val="30"/>
          <w:szCs w:val="30"/>
          <w:highlight w:val="none"/>
          <w:lang w:bidi="zh-TW"/>
        </w:rPr>
        <w:t>氨氮自动分析仪</w:t>
      </w:r>
      <w:bookmarkEnd w:id="296"/>
    </w:p>
    <w:tbl>
      <w:tblPr>
        <w:tblStyle w:val="34"/>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96"/>
        <w:gridCol w:w="3950"/>
        <w:gridCol w:w="24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eastAsia="宋体" w:cs="仿宋"/>
                <w:sz w:val="24"/>
                <w:szCs w:val="24"/>
                <w:highlight w:val="none"/>
                <w:lang w:val="en-US" w:eastAsia="zh-CN"/>
              </w:rPr>
            </w:pPr>
            <w:r>
              <w:rPr>
                <w:rFonts w:hint="eastAsia" w:ascii="宋体" w:hAnsi="宋体" w:cs="仿宋"/>
                <w:sz w:val="24"/>
                <w:szCs w:val="24"/>
                <w:highlight w:val="none"/>
                <w:lang w:val="en-US" w:eastAsia="zh-CN"/>
              </w:rPr>
              <w:t>项目</w:t>
            </w:r>
          </w:p>
        </w:tc>
        <w:tc>
          <w:tcPr>
            <w:tcW w:w="640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default" w:ascii="宋体" w:hAnsi="宋体" w:eastAsia="宋体" w:cs="仿宋"/>
                <w:sz w:val="24"/>
                <w:szCs w:val="24"/>
                <w:highlight w:val="none"/>
                <w:lang w:val="en-US" w:eastAsia="zh-CN"/>
              </w:rPr>
            </w:pPr>
            <w:r>
              <w:rPr>
                <w:rFonts w:hint="eastAsia" w:ascii="宋体" w:hAnsi="宋体" w:cs="仿宋"/>
                <w:sz w:val="24"/>
                <w:szCs w:val="24"/>
                <w:highlight w:val="none"/>
                <w:lang w:val="en-US" w:eastAsia="zh-CN"/>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测定原理</w:t>
            </w:r>
          </w:p>
        </w:tc>
        <w:tc>
          <w:tcPr>
            <w:tcW w:w="640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纳氏试剂分光光度法、水杨酸分光光度法、氨气敏电极法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量程</w:t>
            </w:r>
          </w:p>
        </w:tc>
        <w:tc>
          <w:tcPr>
            <w:tcW w:w="640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0～10 mg/L，可调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eastAsia="宋体" w:cs="仿宋"/>
                <w:b w:val="0"/>
                <w:bCs w:val="0"/>
                <w:sz w:val="24"/>
                <w:szCs w:val="24"/>
                <w:highlight w:val="none"/>
              </w:rPr>
              <w:t>★</w:t>
            </w:r>
            <w:r>
              <w:rPr>
                <w:rFonts w:hint="eastAsia" w:ascii="宋体" w:hAnsi="宋体" w:cs="仿宋"/>
                <w:sz w:val="24"/>
                <w:szCs w:val="24"/>
                <w:highlight w:val="none"/>
              </w:rPr>
              <w:t>低浓度漂移</w:t>
            </w:r>
          </w:p>
        </w:tc>
        <w:tc>
          <w:tcPr>
            <w:tcW w:w="640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≤0.0002 mg/L（</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eastAsia="宋体" w:cs="仿宋"/>
                <w:b w:val="0"/>
                <w:bCs w:val="0"/>
                <w:sz w:val="24"/>
                <w:szCs w:val="24"/>
                <w:highlight w:val="none"/>
              </w:rPr>
              <w:t>★</w:t>
            </w:r>
            <w:r>
              <w:rPr>
                <w:rFonts w:hint="eastAsia" w:ascii="宋体" w:hAnsi="宋体" w:cs="仿宋"/>
                <w:sz w:val="24"/>
                <w:szCs w:val="24"/>
                <w:highlight w:val="none"/>
              </w:rPr>
              <w:t>高浓度漂移</w:t>
            </w:r>
          </w:p>
        </w:tc>
        <w:tc>
          <w:tcPr>
            <w:tcW w:w="640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≤1.0%（</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示值误差</w:t>
            </w:r>
          </w:p>
        </w:tc>
        <w:tc>
          <w:tcPr>
            <w:tcW w:w="395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20%量程标准溶液</w:t>
            </w:r>
          </w:p>
        </w:tc>
        <w:tc>
          <w:tcPr>
            <w:tcW w:w="2458"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 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p>
        </w:tc>
        <w:tc>
          <w:tcPr>
            <w:tcW w:w="395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50%量程标准溶液</w:t>
            </w:r>
          </w:p>
        </w:tc>
        <w:tc>
          <w:tcPr>
            <w:tcW w:w="2458"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 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p>
        </w:tc>
        <w:tc>
          <w:tcPr>
            <w:tcW w:w="395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80%量程标准溶液</w:t>
            </w:r>
          </w:p>
        </w:tc>
        <w:tc>
          <w:tcPr>
            <w:tcW w:w="2458"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 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eastAsia="宋体" w:cs="仿宋"/>
                <w:b w:val="0"/>
                <w:bCs w:val="0"/>
                <w:sz w:val="24"/>
                <w:szCs w:val="24"/>
                <w:highlight w:val="none"/>
              </w:rPr>
              <w:t>★</w:t>
            </w:r>
            <w:r>
              <w:rPr>
                <w:rFonts w:hint="eastAsia" w:ascii="宋体" w:hAnsi="宋体" w:cs="仿宋"/>
                <w:sz w:val="24"/>
                <w:szCs w:val="24"/>
                <w:highlight w:val="none"/>
              </w:rPr>
              <w:t>重复性</w:t>
            </w:r>
          </w:p>
        </w:tc>
        <w:tc>
          <w:tcPr>
            <w:tcW w:w="640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≤1.0%（</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检出限</w:t>
            </w:r>
          </w:p>
        </w:tc>
        <w:tc>
          <w:tcPr>
            <w:tcW w:w="640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≤0.05mg/L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加标回收率</w:t>
            </w:r>
          </w:p>
        </w:tc>
        <w:tc>
          <w:tcPr>
            <w:tcW w:w="640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98%-102%（</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线性相关系数</w:t>
            </w:r>
          </w:p>
        </w:tc>
        <w:tc>
          <w:tcPr>
            <w:tcW w:w="640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≥0.999（</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jc w:val="center"/>
        </w:trPr>
        <w:tc>
          <w:tcPr>
            <w:tcW w:w="2096"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pH影响</w:t>
            </w:r>
          </w:p>
        </w:tc>
        <w:tc>
          <w:tcPr>
            <w:tcW w:w="640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 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8" w:hRule="atLeast"/>
          <w:jc w:val="center"/>
        </w:trPr>
        <w:tc>
          <w:tcPr>
            <w:tcW w:w="2096"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拓展功能</w:t>
            </w:r>
          </w:p>
        </w:tc>
        <w:tc>
          <w:tcPr>
            <w:tcW w:w="640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仪器扩展性好，可实现不同监测参数之间的转换。（</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bl>
    <w:p>
      <w:pPr>
        <w:keepNext w:val="0"/>
        <w:pageBreakBefore w:val="0"/>
        <w:kinsoku/>
        <w:wordWrap/>
        <w:overflowPunct/>
        <w:topLinePunct w:val="0"/>
        <w:bidi w:val="0"/>
        <w:spacing w:line="400" w:lineRule="exact"/>
        <w:ind w:firstLine="482" w:firstLineChars="200"/>
        <w:rPr>
          <w:rFonts w:ascii="宋体" w:hAnsi="宋体" w:cs="仿宋"/>
          <w:b/>
          <w:bCs/>
          <w:sz w:val="24"/>
          <w:highlight w:val="none"/>
        </w:rPr>
      </w:pPr>
    </w:p>
    <w:p>
      <w:pPr>
        <w:keepNext w:val="0"/>
        <w:pageBreakBefore w:val="0"/>
        <w:tabs>
          <w:tab w:val="left" w:pos="830"/>
        </w:tabs>
        <w:kinsoku/>
        <w:wordWrap/>
        <w:overflowPunct/>
        <w:topLinePunct w:val="0"/>
        <w:bidi w:val="0"/>
        <w:spacing w:line="400" w:lineRule="exact"/>
        <w:jc w:val="left"/>
        <w:outlineLvl w:val="1"/>
        <w:rPr>
          <w:rFonts w:hint="eastAsia"/>
          <w:highlight w:val="none"/>
        </w:rPr>
      </w:pPr>
      <w:bookmarkStart w:id="297" w:name="_Toc17379"/>
      <w:r>
        <w:rPr>
          <w:rFonts w:ascii="Times New Roman" w:hAnsi="Times New Roman" w:cs="宋体"/>
          <w:b/>
          <w:bCs/>
          <w:color w:val="000000"/>
          <w:sz w:val="30"/>
          <w:szCs w:val="30"/>
          <w:highlight w:val="none"/>
          <w:lang w:bidi="zh-TW"/>
        </w:rPr>
        <w:t>5</w:t>
      </w:r>
      <w:r>
        <w:rPr>
          <w:rFonts w:hint="eastAsia" w:ascii="Times New Roman" w:hAnsi="Times New Roman" w:cs="宋体"/>
          <w:b/>
          <w:bCs/>
          <w:color w:val="000000"/>
          <w:sz w:val="30"/>
          <w:szCs w:val="30"/>
          <w:highlight w:val="none"/>
          <w:lang w:eastAsia="zh-CN" w:bidi="zh-TW"/>
        </w:rPr>
        <w:t>、</w:t>
      </w:r>
      <w:r>
        <w:rPr>
          <w:rFonts w:hint="eastAsia" w:ascii="Times New Roman" w:hAnsi="Times New Roman" w:cs="宋体"/>
          <w:b/>
          <w:bCs/>
          <w:color w:val="000000"/>
          <w:sz w:val="30"/>
          <w:szCs w:val="30"/>
          <w:highlight w:val="none"/>
          <w:lang w:bidi="zh-TW"/>
        </w:rPr>
        <w:t>高锰酸盐指数在线分析仪</w:t>
      </w:r>
      <w:bookmarkEnd w:id="297"/>
    </w:p>
    <w:tbl>
      <w:tblPr>
        <w:tblStyle w:val="34"/>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39"/>
        <w:gridCol w:w="63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blHeader/>
          <w:jc w:val="center"/>
        </w:trPr>
        <w:tc>
          <w:tcPr>
            <w:tcW w:w="213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项目</w:t>
            </w:r>
          </w:p>
        </w:tc>
        <w:tc>
          <w:tcPr>
            <w:tcW w:w="636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213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测定原理</w:t>
            </w:r>
          </w:p>
        </w:tc>
        <w:tc>
          <w:tcPr>
            <w:tcW w:w="636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高锰酸钾氧化法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213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量程</w:t>
            </w:r>
          </w:p>
        </w:tc>
        <w:tc>
          <w:tcPr>
            <w:tcW w:w="636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0～20mg/L，可调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213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eastAsia="宋体" w:cs="仿宋"/>
                <w:b w:val="0"/>
                <w:bCs w:val="0"/>
                <w:sz w:val="24"/>
                <w:szCs w:val="24"/>
                <w:highlight w:val="none"/>
              </w:rPr>
              <w:t>★</w:t>
            </w:r>
            <w:r>
              <w:rPr>
                <w:rFonts w:hint="eastAsia" w:ascii="宋体" w:hAnsi="宋体" w:cs="仿宋"/>
                <w:sz w:val="24"/>
                <w:szCs w:val="24"/>
                <w:highlight w:val="none"/>
              </w:rPr>
              <w:t>零点漂移</w:t>
            </w:r>
          </w:p>
        </w:tc>
        <w:tc>
          <w:tcPr>
            <w:tcW w:w="636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213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eastAsia="宋体" w:cs="仿宋"/>
                <w:b w:val="0"/>
                <w:bCs w:val="0"/>
                <w:sz w:val="24"/>
                <w:szCs w:val="24"/>
                <w:highlight w:val="none"/>
              </w:rPr>
              <w:t>★</w:t>
            </w:r>
            <w:r>
              <w:rPr>
                <w:rFonts w:hint="eastAsia" w:ascii="宋体" w:hAnsi="宋体" w:cs="仿宋"/>
                <w:sz w:val="24"/>
                <w:szCs w:val="24"/>
                <w:highlight w:val="none"/>
              </w:rPr>
              <w:t>量程漂移</w:t>
            </w:r>
          </w:p>
        </w:tc>
        <w:tc>
          <w:tcPr>
            <w:tcW w:w="636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±2%（</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213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葡萄糖试验</w:t>
            </w:r>
          </w:p>
        </w:tc>
        <w:tc>
          <w:tcPr>
            <w:tcW w:w="636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±5%（测量误差）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213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eastAsia="宋体" w:cs="仿宋"/>
                <w:b w:val="0"/>
                <w:bCs w:val="0"/>
                <w:sz w:val="24"/>
                <w:szCs w:val="24"/>
                <w:highlight w:val="none"/>
              </w:rPr>
              <w:t>★</w:t>
            </w:r>
            <w:r>
              <w:rPr>
                <w:rFonts w:hint="eastAsia" w:ascii="宋体" w:hAnsi="宋体" w:cs="仿宋"/>
                <w:sz w:val="24"/>
                <w:szCs w:val="24"/>
                <w:highlight w:val="none"/>
              </w:rPr>
              <w:t>重复性</w:t>
            </w:r>
          </w:p>
        </w:tc>
        <w:tc>
          <w:tcPr>
            <w:tcW w:w="636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213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检出限</w:t>
            </w:r>
          </w:p>
        </w:tc>
        <w:tc>
          <w:tcPr>
            <w:tcW w:w="636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≤0.03mg/L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213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加标回收率</w:t>
            </w:r>
          </w:p>
        </w:tc>
        <w:tc>
          <w:tcPr>
            <w:tcW w:w="636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98%-102%（</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213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线性相关系数</w:t>
            </w:r>
          </w:p>
        </w:tc>
        <w:tc>
          <w:tcPr>
            <w:tcW w:w="636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≥0.999（</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213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MTBF</w:t>
            </w:r>
          </w:p>
        </w:tc>
        <w:tc>
          <w:tcPr>
            <w:tcW w:w="636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≥720 h/次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jc w:val="center"/>
        </w:trPr>
        <w:tc>
          <w:tcPr>
            <w:tcW w:w="2139"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拓展功能</w:t>
            </w:r>
          </w:p>
        </w:tc>
        <w:tc>
          <w:tcPr>
            <w:tcW w:w="6365"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仪器扩展性好，可实现不同监测参数之间的转换。（</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bl>
    <w:p>
      <w:pPr>
        <w:keepNext w:val="0"/>
        <w:pageBreakBefore w:val="0"/>
        <w:tabs>
          <w:tab w:val="left" w:pos="830"/>
        </w:tabs>
        <w:kinsoku/>
        <w:wordWrap/>
        <w:overflowPunct/>
        <w:topLinePunct w:val="0"/>
        <w:bidi w:val="0"/>
        <w:spacing w:line="400" w:lineRule="exact"/>
        <w:jc w:val="left"/>
        <w:outlineLvl w:val="1"/>
        <w:rPr>
          <w:rFonts w:hint="eastAsia" w:ascii="Times New Roman" w:hAnsi="Times New Roman" w:cs="宋体"/>
          <w:b/>
          <w:bCs/>
          <w:color w:val="000000"/>
          <w:sz w:val="30"/>
          <w:szCs w:val="30"/>
          <w:highlight w:val="none"/>
          <w:lang w:bidi="zh-TW"/>
        </w:rPr>
      </w:pPr>
      <w:bookmarkStart w:id="298" w:name="_Toc1708"/>
      <w:r>
        <w:rPr>
          <w:rFonts w:ascii="Times New Roman" w:hAnsi="Times New Roman" w:cs="宋体"/>
          <w:b/>
          <w:bCs/>
          <w:color w:val="000000"/>
          <w:sz w:val="30"/>
          <w:szCs w:val="30"/>
          <w:highlight w:val="none"/>
          <w:lang w:bidi="zh-TW"/>
        </w:rPr>
        <w:t>6</w:t>
      </w:r>
      <w:r>
        <w:rPr>
          <w:rFonts w:hint="eastAsia" w:ascii="Times New Roman" w:hAnsi="Times New Roman" w:cs="宋体"/>
          <w:b/>
          <w:bCs/>
          <w:color w:val="000000"/>
          <w:sz w:val="30"/>
          <w:szCs w:val="30"/>
          <w:highlight w:val="none"/>
          <w:lang w:eastAsia="zh-CN" w:bidi="zh-TW"/>
        </w:rPr>
        <w:t>、</w:t>
      </w:r>
      <w:r>
        <w:rPr>
          <w:rFonts w:hint="eastAsia" w:ascii="Times New Roman" w:hAnsi="Times New Roman" w:cs="宋体"/>
          <w:b/>
          <w:bCs/>
          <w:color w:val="000000"/>
          <w:sz w:val="30"/>
          <w:szCs w:val="30"/>
          <w:highlight w:val="none"/>
          <w:lang w:bidi="zh-TW"/>
        </w:rPr>
        <w:t>总磷自动分析仪</w:t>
      </w:r>
      <w:bookmarkEnd w:id="298"/>
    </w:p>
    <w:tbl>
      <w:tblPr>
        <w:tblStyle w:val="34"/>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0"/>
        <w:gridCol w:w="63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blHeader/>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b/>
                <w:bCs/>
                <w:sz w:val="24"/>
                <w:szCs w:val="24"/>
                <w:highlight w:val="none"/>
              </w:rPr>
            </w:pPr>
            <w:r>
              <w:rPr>
                <w:rFonts w:hint="eastAsia" w:ascii="宋体" w:hAnsi="宋体" w:cs="仿宋"/>
                <w:b/>
                <w:bCs/>
                <w:sz w:val="24"/>
                <w:szCs w:val="24"/>
                <w:highlight w:val="none"/>
              </w:rPr>
              <w:t>项目</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b/>
                <w:bCs/>
                <w:sz w:val="24"/>
                <w:szCs w:val="24"/>
                <w:highlight w:val="none"/>
              </w:rPr>
            </w:pPr>
            <w:r>
              <w:rPr>
                <w:rFonts w:hint="eastAsia" w:ascii="宋体" w:hAnsi="宋体" w:cs="仿宋"/>
                <w:b/>
                <w:bCs/>
                <w:sz w:val="24"/>
                <w:szCs w:val="24"/>
                <w:highlight w:val="none"/>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测定原理</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钼酸铵分光光度法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量程</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0～2mg/L，可调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eastAsia="宋体" w:cs="仿宋"/>
                <w:b w:val="0"/>
                <w:bCs w:val="0"/>
                <w:sz w:val="24"/>
                <w:szCs w:val="24"/>
                <w:highlight w:val="none"/>
              </w:rPr>
              <w:t>★</w:t>
            </w:r>
            <w:r>
              <w:rPr>
                <w:rFonts w:hint="eastAsia" w:ascii="宋体" w:hAnsi="宋体" w:cs="仿宋"/>
                <w:sz w:val="24"/>
                <w:szCs w:val="24"/>
                <w:highlight w:val="none"/>
              </w:rPr>
              <w:t>零点漂移</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量程漂移</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直线性</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eastAsia="宋体" w:cs="仿宋"/>
                <w:b w:val="0"/>
                <w:bCs w:val="0"/>
                <w:sz w:val="24"/>
                <w:szCs w:val="24"/>
                <w:highlight w:val="none"/>
              </w:rPr>
              <w:t>★</w:t>
            </w:r>
            <w:r>
              <w:rPr>
                <w:rFonts w:hint="eastAsia" w:ascii="宋体" w:hAnsi="宋体" w:cs="仿宋"/>
                <w:sz w:val="24"/>
                <w:szCs w:val="24"/>
                <w:highlight w:val="none"/>
              </w:rPr>
              <w:t>重复性</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±1%（</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检出限</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≤0.01mg/L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加标回收率</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98%~102%（</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线性相关系数</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≥0.999（</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MTBF</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≥720h/次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抗干扰能力</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具备抗浊度、色度干扰功能和一定范围内盐度、硬度的影响功能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sz w:val="24"/>
                <w:szCs w:val="24"/>
                <w:highlight w:val="none"/>
              </w:rPr>
            </w:pPr>
            <w:r>
              <w:rPr>
                <w:rFonts w:hint="eastAsia" w:ascii="宋体" w:hAnsi="宋体" w:cs="仿宋"/>
                <w:sz w:val="24"/>
                <w:szCs w:val="24"/>
                <w:highlight w:val="none"/>
              </w:rPr>
              <w:t>拓展功能</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textAlignment w:val="baseline"/>
              <w:rPr>
                <w:rFonts w:hint="eastAsia" w:ascii="宋体" w:hAnsi="宋体" w:cs="仿宋"/>
                <w:sz w:val="24"/>
                <w:szCs w:val="24"/>
                <w:highlight w:val="none"/>
              </w:rPr>
            </w:pPr>
            <w:r>
              <w:rPr>
                <w:rFonts w:hint="eastAsia" w:ascii="宋体" w:hAnsi="宋体" w:cs="仿宋"/>
                <w:sz w:val="24"/>
                <w:szCs w:val="24"/>
                <w:highlight w:val="none"/>
              </w:rPr>
              <w:t>仪器扩展性好，可实现不同监测参数之间的转换。（</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bl>
    <w:p>
      <w:pPr>
        <w:keepNext w:val="0"/>
        <w:pageBreakBefore w:val="0"/>
        <w:tabs>
          <w:tab w:val="left" w:pos="830"/>
        </w:tabs>
        <w:kinsoku/>
        <w:wordWrap/>
        <w:overflowPunct/>
        <w:topLinePunct w:val="0"/>
        <w:bidi w:val="0"/>
        <w:spacing w:line="400" w:lineRule="exact"/>
        <w:jc w:val="left"/>
        <w:outlineLvl w:val="1"/>
        <w:rPr>
          <w:rFonts w:hint="eastAsia" w:ascii="Times New Roman" w:hAnsi="Times New Roman" w:cs="宋体"/>
          <w:b/>
          <w:bCs/>
          <w:color w:val="000000"/>
          <w:sz w:val="30"/>
          <w:szCs w:val="30"/>
          <w:highlight w:val="none"/>
          <w:lang w:bidi="zh-TW"/>
        </w:rPr>
      </w:pPr>
      <w:bookmarkStart w:id="299" w:name="_Toc814"/>
      <w:r>
        <w:rPr>
          <w:rFonts w:ascii="Times New Roman" w:hAnsi="Times New Roman" w:cs="宋体"/>
          <w:b/>
          <w:bCs/>
          <w:color w:val="000000"/>
          <w:sz w:val="30"/>
          <w:szCs w:val="30"/>
          <w:highlight w:val="none"/>
          <w:lang w:bidi="zh-TW"/>
        </w:rPr>
        <w:t>7</w:t>
      </w:r>
      <w:r>
        <w:rPr>
          <w:rFonts w:hint="eastAsia" w:ascii="Times New Roman" w:hAnsi="Times New Roman" w:cs="宋体"/>
          <w:b/>
          <w:bCs/>
          <w:color w:val="000000"/>
          <w:sz w:val="30"/>
          <w:szCs w:val="30"/>
          <w:highlight w:val="none"/>
          <w:lang w:eastAsia="zh-CN" w:bidi="zh-TW"/>
        </w:rPr>
        <w:t>、</w:t>
      </w:r>
      <w:r>
        <w:rPr>
          <w:rFonts w:hint="eastAsia" w:ascii="Times New Roman" w:hAnsi="Times New Roman" w:cs="宋体"/>
          <w:b/>
          <w:bCs/>
          <w:color w:val="000000"/>
          <w:sz w:val="30"/>
          <w:szCs w:val="30"/>
          <w:highlight w:val="none"/>
          <w:lang w:bidi="zh-TW"/>
        </w:rPr>
        <w:t>总氮在线分析仪</w:t>
      </w:r>
      <w:bookmarkEnd w:id="299"/>
    </w:p>
    <w:tbl>
      <w:tblPr>
        <w:tblStyle w:val="34"/>
        <w:tblW w:w="8504" w:type="dxa"/>
        <w:jc w:val="center"/>
        <w:tblLayout w:type="fixed"/>
        <w:tblCellMar>
          <w:top w:w="0" w:type="dxa"/>
          <w:left w:w="0" w:type="dxa"/>
          <w:bottom w:w="0" w:type="dxa"/>
          <w:right w:w="0" w:type="dxa"/>
        </w:tblCellMar>
      </w:tblPr>
      <w:tblGrid>
        <w:gridCol w:w="2120"/>
        <w:gridCol w:w="6384"/>
      </w:tblGrid>
      <w:tr>
        <w:tblPrEx>
          <w:tblCellMar>
            <w:top w:w="0" w:type="dxa"/>
            <w:left w:w="0" w:type="dxa"/>
            <w:bottom w:w="0" w:type="dxa"/>
            <w:right w:w="0" w:type="dxa"/>
          </w:tblCellMar>
        </w:tblPrEx>
        <w:trPr>
          <w:trHeight w:val="317"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b/>
                <w:bCs/>
                <w:color w:val="000000"/>
                <w:sz w:val="24"/>
                <w:szCs w:val="24"/>
                <w:highlight w:val="none"/>
              </w:rPr>
            </w:pPr>
            <w:r>
              <w:rPr>
                <w:rFonts w:hint="eastAsia" w:ascii="宋体" w:hAnsi="宋体" w:cs="仿宋"/>
                <w:b/>
                <w:bCs/>
                <w:color w:val="000000"/>
                <w:sz w:val="24"/>
                <w:szCs w:val="24"/>
                <w:highlight w:val="none"/>
              </w:rPr>
              <w:t>项目</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left"/>
              <w:textAlignment w:val="baseline"/>
              <w:rPr>
                <w:rFonts w:hint="eastAsia" w:ascii="宋体" w:hAnsi="宋体" w:cs="仿宋"/>
                <w:b/>
                <w:bCs/>
                <w:color w:val="000000"/>
                <w:sz w:val="24"/>
                <w:szCs w:val="24"/>
                <w:highlight w:val="none"/>
              </w:rPr>
            </w:pPr>
            <w:r>
              <w:rPr>
                <w:rFonts w:hint="eastAsia" w:ascii="宋体" w:hAnsi="宋体" w:cs="仿宋"/>
                <w:b/>
                <w:bCs/>
                <w:color w:val="000000"/>
                <w:sz w:val="24"/>
                <w:szCs w:val="24"/>
                <w:highlight w:val="none"/>
              </w:rPr>
              <w:t>指标</w:t>
            </w:r>
          </w:p>
        </w:tc>
      </w:tr>
      <w:tr>
        <w:tblPrEx>
          <w:tblCellMar>
            <w:top w:w="0" w:type="dxa"/>
            <w:left w:w="0" w:type="dxa"/>
            <w:bottom w:w="0" w:type="dxa"/>
            <w:right w:w="0" w:type="dxa"/>
          </w:tblCellMar>
        </w:tblPrEx>
        <w:trPr>
          <w:trHeight w:val="317"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测定原理</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left"/>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过硫酸钾消解-紫外分光光度法</w:t>
            </w:r>
          </w:p>
        </w:tc>
      </w:tr>
      <w:tr>
        <w:tblPrEx>
          <w:tblCellMar>
            <w:top w:w="0" w:type="dxa"/>
            <w:left w:w="0" w:type="dxa"/>
            <w:bottom w:w="0" w:type="dxa"/>
            <w:right w:w="0" w:type="dxa"/>
          </w:tblCellMar>
        </w:tblPrEx>
        <w:trPr>
          <w:trHeight w:val="317"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量程</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left"/>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0～20mg/L，可调</w:t>
            </w:r>
          </w:p>
        </w:tc>
      </w:tr>
      <w:tr>
        <w:tblPrEx>
          <w:tblCellMar>
            <w:top w:w="0" w:type="dxa"/>
            <w:left w:w="0" w:type="dxa"/>
            <w:bottom w:w="0" w:type="dxa"/>
            <w:right w:w="0" w:type="dxa"/>
          </w:tblCellMar>
        </w:tblPrEx>
        <w:trPr>
          <w:trHeight w:val="317"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自动稀释</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left"/>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仪器具有智能稀释技术，可根据水样浓度，自动调整稀释比例</w:t>
            </w:r>
            <w:r>
              <w:rPr>
                <w:rFonts w:hint="eastAsia" w:ascii="宋体" w:hAnsi="宋体" w:cs="仿宋"/>
                <w:sz w:val="24"/>
                <w:szCs w:val="24"/>
                <w:highlight w:val="none"/>
              </w:rPr>
              <w:t>（</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CellMar>
            <w:top w:w="0" w:type="dxa"/>
            <w:left w:w="0" w:type="dxa"/>
            <w:bottom w:w="0" w:type="dxa"/>
            <w:right w:w="0" w:type="dxa"/>
          </w:tblCellMar>
        </w:tblPrEx>
        <w:trPr>
          <w:trHeight w:val="317"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color w:val="000000"/>
                <w:sz w:val="24"/>
                <w:szCs w:val="24"/>
                <w:highlight w:val="none"/>
              </w:rPr>
            </w:pPr>
            <w:r>
              <w:rPr>
                <w:rFonts w:hint="eastAsia" w:ascii="宋体" w:hAnsi="宋体" w:eastAsia="宋体" w:cs="仿宋"/>
                <w:b w:val="0"/>
                <w:bCs w:val="0"/>
                <w:sz w:val="24"/>
                <w:szCs w:val="24"/>
                <w:highlight w:val="none"/>
              </w:rPr>
              <w:t>★</w:t>
            </w:r>
            <w:r>
              <w:rPr>
                <w:rFonts w:hint="eastAsia" w:ascii="宋体" w:hAnsi="宋体" w:cs="仿宋"/>
                <w:color w:val="000000"/>
                <w:sz w:val="24"/>
                <w:szCs w:val="24"/>
                <w:highlight w:val="none"/>
              </w:rPr>
              <w:t>零点漂移</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left"/>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±1%</w:t>
            </w:r>
            <w:r>
              <w:rPr>
                <w:rFonts w:hint="eastAsia" w:ascii="宋体" w:hAnsi="宋体" w:cs="仿宋"/>
                <w:sz w:val="24"/>
                <w:szCs w:val="24"/>
                <w:highlight w:val="none"/>
              </w:rPr>
              <w:t>（</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CellMar>
            <w:top w:w="0" w:type="dxa"/>
            <w:left w:w="0" w:type="dxa"/>
            <w:bottom w:w="0" w:type="dxa"/>
            <w:right w:w="0" w:type="dxa"/>
          </w:tblCellMar>
        </w:tblPrEx>
        <w:trPr>
          <w:trHeight w:val="317"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color w:val="000000"/>
                <w:sz w:val="24"/>
                <w:szCs w:val="24"/>
                <w:highlight w:val="none"/>
              </w:rPr>
            </w:pPr>
            <w:r>
              <w:rPr>
                <w:rFonts w:hint="eastAsia" w:ascii="宋体" w:hAnsi="宋体" w:eastAsia="宋体" w:cs="仿宋"/>
                <w:b w:val="0"/>
                <w:bCs w:val="0"/>
                <w:sz w:val="24"/>
                <w:szCs w:val="24"/>
                <w:highlight w:val="none"/>
              </w:rPr>
              <w:t>★</w:t>
            </w:r>
            <w:r>
              <w:rPr>
                <w:rFonts w:hint="eastAsia" w:ascii="宋体" w:hAnsi="宋体" w:cs="仿宋"/>
                <w:color w:val="000000"/>
                <w:sz w:val="24"/>
                <w:szCs w:val="24"/>
                <w:highlight w:val="none"/>
              </w:rPr>
              <w:t>量程漂移</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left"/>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±1%</w:t>
            </w:r>
            <w:r>
              <w:rPr>
                <w:rFonts w:hint="eastAsia" w:ascii="宋体" w:hAnsi="宋体" w:cs="仿宋"/>
                <w:sz w:val="24"/>
                <w:szCs w:val="24"/>
                <w:highlight w:val="none"/>
              </w:rPr>
              <w:t>（</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r>
        <w:tblPrEx>
          <w:tblCellMar>
            <w:top w:w="0" w:type="dxa"/>
            <w:left w:w="0" w:type="dxa"/>
            <w:bottom w:w="0" w:type="dxa"/>
            <w:right w:w="0" w:type="dxa"/>
          </w:tblCellMar>
        </w:tblPrEx>
        <w:trPr>
          <w:trHeight w:val="317"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直线性</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left"/>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±1%</w:t>
            </w:r>
          </w:p>
        </w:tc>
      </w:tr>
      <w:tr>
        <w:tblPrEx>
          <w:tblCellMar>
            <w:top w:w="0" w:type="dxa"/>
            <w:left w:w="0" w:type="dxa"/>
            <w:bottom w:w="0" w:type="dxa"/>
            <w:right w:w="0" w:type="dxa"/>
          </w:tblCellMar>
        </w:tblPrEx>
        <w:trPr>
          <w:trHeight w:val="317"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重复性</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left"/>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±1%</w:t>
            </w:r>
          </w:p>
        </w:tc>
      </w:tr>
      <w:tr>
        <w:tblPrEx>
          <w:tblCellMar>
            <w:top w:w="0" w:type="dxa"/>
            <w:left w:w="0" w:type="dxa"/>
            <w:bottom w:w="0" w:type="dxa"/>
            <w:right w:w="0" w:type="dxa"/>
          </w:tblCellMar>
        </w:tblPrEx>
        <w:trPr>
          <w:trHeight w:val="317"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检出限</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left"/>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≤0.05mg/L</w:t>
            </w:r>
          </w:p>
        </w:tc>
      </w:tr>
      <w:tr>
        <w:tblPrEx>
          <w:tblCellMar>
            <w:top w:w="0" w:type="dxa"/>
            <w:left w:w="0" w:type="dxa"/>
            <w:bottom w:w="0" w:type="dxa"/>
            <w:right w:w="0" w:type="dxa"/>
          </w:tblCellMar>
        </w:tblPrEx>
        <w:trPr>
          <w:trHeight w:val="317"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MTBF</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left"/>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≥720h/次</w:t>
            </w:r>
          </w:p>
        </w:tc>
      </w:tr>
      <w:tr>
        <w:tblPrEx>
          <w:tblCellMar>
            <w:top w:w="0" w:type="dxa"/>
            <w:left w:w="0" w:type="dxa"/>
            <w:bottom w:w="0" w:type="dxa"/>
            <w:right w:w="0" w:type="dxa"/>
          </w:tblCellMar>
        </w:tblPrEx>
        <w:trPr>
          <w:trHeight w:val="317" w:hRule="atLeast"/>
          <w:jc w:val="center"/>
        </w:trPr>
        <w:tc>
          <w:tcPr>
            <w:tcW w:w="2120"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center"/>
              <w:textAlignment w:val="baseline"/>
              <w:rPr>
                <w:rFonts w:hint="eastAsia" w:ascii="宋体" w:hAnsi="宋体" w:cs="仿宋"/>
                <w:color w:val="000000"/>
                <w:sz w:val="24"/>
                <w:szCs w:val="24"/>
                <w:highlight w:val="none"/>
              </w:rPr>
            </w:pPr>
            <w:r>
              <w:rPr>
                <w:rFonts w:hint="eastAsia" w:ascii="宋体" w:hAnsi="宋体" w:cs="仿宋"/>
                <w:color w:val="000000"/>
                <w:sz w:val="24"/>
                <w:szCs w:val="24"/>
                <w:highlight w:val="none"/>
              </w:rPr>
              <w:t>拓展功能</w:t>
            </w:r>
          </w:p>
        </w:tc>
        <w:tc>
          <w:tcPr>
            <w:tcW w:w="6384" w:type="dxa"/>
            <w:tcBorders>
              <w:top w:val="single" w:color="000000" w:sz="4" w:space="0"/>
              <w:left w:val="single" w:color="000000" w:sz="4" w:space="0"/>
              <w:bottom w:val="single" w:color="000000" w:sz="4" w:space="0"/>
              <w:right w:val="single" w:color="000000" w:sz="4" w:space="0"/>
            </w:tcBorders>
            <w:noWrap w:val="0"/>
            <w:vAlign w:val="center"/>
          </w:tcPr>
          <w:p>
            <w:pPr>
              <w:keepNext w:val="0"/>
              <w:pageBreakBefore w:val="0"/>
              <w:kinsoku/>
              <w:wordWrap/>
              <w:overflowPunct/>
              <w:topLinePunct w:val="0"/>
              <w:bidi w:val="0"/>
              <w:snapToGrid w:val="0"/>
              <w:spacing w:line="400" w:lineRule="exact"/>
              <w:jc w:val="left"/>
              <w:textAlignment w:val="baseline"/>
              <w:rPr>
                <w:rFonts w:hint="eastAsia" w:ascii="宋体" w:hAnsi="宋体" w:cs="仿宋"/>
                <w:color w:val="000000"/>
                <w:sz w:val="24"/>
                <w:szCs w:val="24"/>
                <w:highlight w:val="none"/>
              </w:rPr>
            </w:pPr>
            <w:r>
              <w:rPr>
                <w:rFonts w:hint="eastAsia" w:ascii="宋体" w:hAnsi="宋体" w:cs="仿宋"/>
                <w:sz w:val="24"/>
                <w:szCs w:val="24"/>
                <w:highlight w:val="none"/>
              </w:rPr>
              <w:t>仪器扩展性好，可实现不同监测参数之间的转换。（</w:t>
            </w:r>
            <w:r>
              <w:rPr>
                <w:rFonts w:hint="eastAsia" w:ascii="宋体" w:hAnsi="宋体" w:cs="仿宋"/>
                <w:sz w:val="24"/>
                <w:szCs w:val="24"/>
                <w:highlight w:val="none"/>
                <w:lang w:eastAsia="zh-CN"/>
              </w:rPr>
              <w:t>提供计量部门出具的CMA报告</w:t>
            </w:r>
            <w:r>
              <w:rPr>
                <w:rFonts w:hint="eastAsia" w:ascii="宋体" w:hAnsi="宋体" w:cs="仿宋"/>
                <w:sz w:val="24"/>
                <w:szCs w:val="24"/>
                <w:highlight w:val="none"/>
              </w:rPr>
              <w:t>）</w:t>
            </w:r>
          </w:p>
        </w:tc>
      </w:tr>
    </w:tbl>
    <w:p>
      <w:pPr>
        <w:keepNext w:val="0"/>
        <w:pageBreakBefore w:val="0"/>
        <w:tabs>
          <w:tab w:val="left" w:pos="830"/>
        </w:tabs>
        <w:kinsoku/>
        <w:wordWrap/>
        <w:overflowPunct/>
        <w:topLinePunct w:val="0"/>
        <w:bidi w:val="0"/>
        <w:spacing w:line="400" w:lineRule="exact"/>
        <w:jc w:val="left"/>
        <w:outlineLvl w:val="1"/>
        <w:rPr>
          <w:rFonts w:hint="eastAsia" w:ascii="Times New Roman" w:hAnsi="Times New Roman" w:cs="宋体"/>
          <w:b/>
          <w:bCs/>
          <w:color w:val="000000"/>
          <w:sz w:val="30"/>
          <w:szCs w:val="30"/>
          <w:highlight w:val="none"/>
          <w:lang w:bidi="zh-TW"/>
        </w:rPr>
      </w:pPr>
      <w:bookmarkStart w:id="300" w:name="_Toc11395"/>
      <w:r>
        <w:rPr>
          <w:rFonts w:ascii="Times New Roman" w:hAnsi="Times New Roman" w:cs="宋体"/>
          <w:b/>
          <w:bCs/>
          <w:color w:val="000000"/>
          <w:sz w:val="30"/>
          <w:szCs w:val="30"/>
          <w:highlight w:val="none"/>
          <w:lang w:bidi="zh-TW"/>
        </w:rPr>
        <w:t>8</w:t>
      </w:r>
      <w:r>
        <w:rPr>
          <w:rFonts w:hint="eastAsia" w:ascii="Times New Roman" w:hAnsi="Times New Roman" w:cs="宋体"/>
          <w:b/>
          <w:bCs/>
          <w:color w:val="000000"/>
          <w:sz w:val="30"/>
          <w:szCs w:val="30"/>
          <w:highlight w:val="none"/>
          <w:lang w:bidi="zh-TW"/>
        </w:rPr>
        <w:t>、质控单元</w:t>
      </w:r>
      <w:bookmarkEnd w:id="294"/>
      <w:bookmarkEnd w:id="295"/>
      <w:bookmarkEnd w:id="300"/>
    </w:p>
    <w:p>
      <w:pPr>
        <w:keepNext w:val="0"/>
        <w:pageBreakBefore w:val="0"/>
        <w:tabs>
          <w:tab w:val="left" w:pos="851"/>
        </w:tabs>
        <w:kinsoku/>
        <w:wordWrap/>
        <w:overflowPunct/>
        <w:topLinePunct w:val="0"/>
        <w:bidi w:val="0"/>
        <w:spacing w:line="400" w:lineRule="exact"/>
        <w:ind w:firstLine="480" w:firstLineChars="200"/>
        <w:jc w:val="left"/>
        <w:rPr>
          <w:rFonts w:hint="eastAsia" w:ascii="Times New Roman" w:hAnsi="Times New Roman" w:cs="宋体"/>
          <w:sz w:val="24"/>
          <w:szCs w:val="24"/>
          <w:highlight w:val="none"/>
        </w:rPr>
      </w:pPr>
      <w:r>
        <w:rPr>
          <w:rFonts w:hint="eastAsia" w:ascii="Times New Roman" w:hAnsi="Times New Roman" w:cs="宋体"/>
          <w:sz w:val="24"/>
          <w:szCs w:val="24"/>
          <w:highlight w:val="none"/>
        </w:rPr>
        <w:t>1.为保证水质在线分析仪器数据真实、准确、有效。需为水站提供质控系统单元。以弥补水质在线分析仪对于在线监测数据的校验及过程质量控制。</w:t>
      </w:r>
    </w:p>
    <w:p>
      <w:pPr>
        <w:keepNext w:val="0"/>
        <w:pageBreakBefore w:val="0"/>
        <w:kinsoku/>
        <w:wordWrap/>
        <w:overflowPunct/>
        <w:topLinePunct w:val="0"/>
        <w:bidi w:val="0"/>
        <w:spacing w:line="400" w:lineRule="exact"/>
        <w:ind w:firstLine="480" w:firstLineChars="200"/>
        <w:jc w:val="left"/>
        <w:rPr>
          <w:rFonts w:hint="eastAsia" w:ascii="Times New Roman" w:hAnsi="Times New Roman" w:cs="宋体"/>
          <w:b/>
          <w:bCs/>
          <w:sz w:val="24"/>
          <w:szCs w:val="24"/>
          <w:highlight w:val="none"/>
        </w:rPr>
      </w:pPr>
      <w:r>
        <w:rPr>
          <w:rFonts w:hint="eastAsia" w:ascii="Times New Roman" w:hAnsi="Times New Roman" w:cs="宋体"/>
          <w:sz w:val="24"/>
          <w:szCs w:val="24"/>
          <w:highlight w:val="none"/>
        </w:rPr>
        <w:t>2.主要技术指标：</w:t>
      </w:r>
    </w:p>
    <w:p>
      <w:pPr>
        <w:keepNext w:val="0"/>
        <w:pageBreakBefore w:val="0"/>
        <w:tabs>
          <w:tab w:val="left" w:pos="851"/>
        </w:tabs>
        <w:kinsoku/>
        <w:wordWrap/>
        <w:overflowPunct/>
        <w:topLinePunct w:val="0"/>
        <w:bidi w:val="0"/>
        <w:spacing w:line="400" w:lineRule="exact"/>
        <w:ind w:left="567"/>
        <w:rPr>
          <w:rFonts w:hint="eastAsia" w:ascii="Times New Roman" w:hAnsi="Times New Roman" w:cs="宋体"/>
          <w:sz w:val="24"/>
          <w:szCs w:val="24"/>
          <w:highlight w:val="none"/>
        </w:rPr>
      </w:pPr>
      <w:r>
        <w:rPr>
          <w:rFonts w:hint="eastAsia" w:ascii="Times New Roman" w:hAnsi="Times New Roman" w:cs="宋体"/>
          <w:sz w:val="24"/>
          <w:szCs w:val="24"/>
          <w:highlight w:val="none"/>
        </w:rPr>
        <w:t>2.1  工作温度：5</w:t>
      </w:r>
      <w:r>
        <w:rPr>
          <w:rFonts w:hint="eastAsia" w:ascii="Times New Roman" w:hAnsi="Times New Roman" w:cs="宋体"/>
          <w:szCs w:val="21"/>
          <w:highlight w:val="none"/>
        </w:rPr>
        <w:t>~</w:t>
      </w:r>
      <w:r>
        <w:rPr>
          <w:rFonts w:hint="eastAsia" w:ascii="Times New Roman" w:hAnsi="Times New Roman" w:cs="宋体"/>
          <w:sz w:val="24"/>
          <w:szCs w:val="24"/>
          <w:highlight w:val="none"/>
        </w:rPr>
        <w:t>45℃；</w:t>
      </w:r>
    </w:p>
    <w:p>
      <w:pPr>
        <w:keepNext w:val="0"/>
        <w:pageBreakBefore w:val="0"/>
        <w:tabs>
          <w:tab w:val="left" w:pos="851"/>
        </w:tabs>
        <w:kinsoku/>
        <w:wordWrap/>
        <w:overflowPunct/>
        <w:topLinePunct w:val="0"/>
        <w:bidi w:val="0"/>
        <w:spacing w:line="400" w:lineRule="exact"/>
        <w:ind w:left="567"/>
        <w:rPr>
          <w:rFonts w:hint="eastAsia" w:ascii="Times New Roman" w:hAnsi="Times New Roman" w:cs="宋体"/>
          <w:sz w:val="24"/>
          <w:szCs w:val="24"/>
          <w:highlight w:val="none"/>
        </w:rPr>
      </w:pPr>
      <w:r>
        <w:rPr>
          <w:rFonts w:hint="eastAsia" w:ascii="Times New Roman" w:hAnsi="Times New Roman" w:cs="宋体"/>
          <w:sz w:val="24"/>
          <w:szCs w:val="24"/>
          <w:highlight w:val="none"/>
        </w:rPr>
        <w:t>2.2  供样误差：≤±5%；</w:t>
      </w:r>
    </w:p>
    <w:p>
      <w:pPr>
        <w:keepNext w:val="0"/>
        <w:pageBreakBefore w:val="0"/>
        <w:tabs>
          <w:tab w:val="left" w:pos="851"/>
        </w:tabs>
        <w:kinsoku/>
        <w:wordWrap/>
        <w:overflowPunct/>
        <w:topLinePunct w:val="0"/>
        <w:bidi w:val="0"/>
        <w:spacing w:line="400" w:lineRule="exact"/>
        <w:ind w:left="567"/>
        <w:rPr>
          <w:rFonts w:hint="eastAsia" w:ascii="Times New Roman" w:hAnsi="Times New Roman" w:cs="宋体"/>
          <w:sz w:val="24"/>
          <w:szCs w:val="24"/>
          <w:highlight w:val="none"/>
        </w:rPr>
      </w:pPr>
      <w:r>
        <w:rPr>
          <w:rFonts w:hint="eastAsia" w:ascii="Times New Roman" w:hAnsi="Times New Roman" w:cs="宋体"/>
          <w:sz w:val="24"/>
          <w:szCs w:val="24"/>
          <w:highlight w:val="none"/>
        </w:rPr>
        <w:t>2.3 供样量重复误差：≤±2%；</w:t>
      </w:r>
    </w:p>
    <w:p>
      <w:pPr>
        <w:keepNext w:val="0"/>
        <w:pageBreakBefore w:val="0"/>
        <w:tabs>
          <w:tab w:val="left" w:pos="851"/>
        </w:tabs>
        <w:kinsoku/>
        <w:wordWrap/>
        <w:overflowPunct/>
        <w:topLinePunct w:val="0"/>
        <w:bidi w:val="0"/>
        <w:spacing w:line="400" w:lineRule="exact"/>
        <w:ind w:left="567"/>
        <w:rPr>
          <w:rFonts w:hint="eastAsia" w:ascii="Times New Roman" w:hAnsi="Times New Roman" w:cs="宋体"/>
          <w:sz w:val="24"/>
          <w:szCs w:val="24"/>
          <w:highlight w:val="none"/>
        </w:rPr>
      </w:pPr>
      <w:r>
        <w:rPr>
          <w:rFonts w:hint="eastAsia" w:ascii="Times New Roman" w:hAnsi="Times New Roman" w:cs="宋体"/>
          <w:sz w:val="24"/>
          <w:szCs w:val="24"/>
          <w:highlight w:val="none"/>
        </w:rPr>
        <w:t>2.4加标体积精确度：≤±5%F.S.；</w:t>
      </w:r>
    </w:p>
    <w:p>
      <w:pPr>
        <w:keepNext w:val="0"/>
        <w:pageBreakBefore w:val="0"/>
        <w:tabs>
          <w:tab w:val="left" w:pos="851"/>
        </w:tabs>
        <w:kinsoku/>
        <w:wordWrap/>
        <w:overflowPunct/>
        <w:topLinePunct w:val="0"/>
        <w:bidi w:val="0"/>
        <w:spacing w:line="400" w:lineRule="exact"/>
        <w:ind w:left="567"/>
        <w:rPr>
          <w:rFonts w:hint="eastAsia" w:ascii="Times New Roman" w:hAnsi="Times New Roman" w:cs="宋体"/>
          <w:sz w:val="24"/>
          <w:szCs w:val="24"/>
          <w:highlight w:val="none"/>
        </w:rPr>
      </w:pPr>
      <w:r>
        <w:rPr>
          <w:rFonts w:hint="eastAsia" w:ascii="Times New Roman" w:hAnsi="Times New Roman" w:cs="宋体"/>
          <w:sz w:val="24"/>
          <w:szCs w:val="24"/>
          <w:highlight w:val="none"/>
        </w:rPr>
        <w:t>2.5加标体积重复性：≤±2%；</w:t>
      </w:r>
    </w:p>
    <w:p>
      <w:pPr>
        <w:keepNext w:val="0"/>
        <w:pageBreakBefore w:val="0"/>
        <w:tabs>
          <w:tab w:val="left" w:pos="851"/>
        </w:tabs>
        <w:kinsoku/>
        <w:wordWrap/>
        <w:overflowPunct/>
        <w:topLinePunct w:val="0"/>
        <w:bidi w:val="0"/>
        <w:spacing w:line="400" w:lineRule="exact"/>
        <w:ind w:left="567"/>
        <w:rPr>
          <w:rFonts w:hint="eastAsia" w:ascii="Times New Roman" w:hAnsi="Times New Roman" w:cs="宋体"/>
          <w:sz w:val="24"/>
          <w:szCs w:val="24"/>
          <w:highlight w:val="none"/>
        </w:rPr>
      </w:pPr>
      <w:r>
        <w:rPr>
          <w:rFonts w:hint="eastAsia" w:ascii="Times New Roman" w:hAnsi="Times New Roman" w:cs="宋体"/>
          <w:sz w:val="24"/>
          <w:szCs w:val="24"/>
          <w:highlight w:val="none"/>
        </w:rPr>
        <w:t>2.6通讯接口：RS485；</w:t>
      </w:r>
    </w:p>
    <w:p>
      <w:pPr>
        <w:keepNext w:val="0"/>
        <w:pageBreakBefore w:val="0"/>
        <w:tabs>
          <w:tab w:val="left" w:pos="851"/>
        </w:tabs>
        <w:kinsoku/>
        <w:wordWrap/>
        <w:overflowPunct/>
        <w:topLinePunct w:val="0"/>
        <w:bidi w:val="0"/>
        <w:spacing w:line="400" w:lineRule="exact"/>
        <w:ind w:left="567"/>
        <w:rPr>
          <w:rFonts w:hint="eastAsia" w:ascii="Times New Roman" w:hAnsi="Times New Roman" w:eastAsia="宋体" w:cs="宋体"/>
          <w:sz w:val="24"/>
          <w:szCs w:val="24"/>
          <w:highlight w:val="none"/>
          <w:lang w:eastAsia="zh-CN"/>
        </w:rPr>
      </w:pPr>
      <w:r>
        <w:rPr>
          <w:rFonts w:hint="eastAsia" w:ascii="Times New Roman" w:hAnsi="Times New Roman" w:cs="宋体"/>
          <w:sz w:val="24"/>
          <w:szCs w:val="24"/>
          <w:highlight w:val="none"/>
        </w:rPr>
        <w:t>2.7电源：交流220V±10V，50Hz</w:t>
      </w:r>
      <w:r>
        <w:rPr>
          <w:rFonts w:hint="eastAsia" w:ascii="Times New Roman" w:hAnsi="Times New Roman" w:cs="宋体"/>
          <w:sz w:val="24"/>
          <w:szCs w:val="24"/>
          <w:highlight w:val="none"/>
          <w:lang w:eastAsia="zh-CN"/>
        </w:rPr>
        <w:t>。</w:t>
      </w:r>
    </w:p>
    <w:p>
      <w:pPr>
        <w:keepNext w:val="0"/>
        <w:pageBreakBefore w:val="0"/>
        <w:tabs>
          <w:tab w:val="left" w:pos="830"/>
        </w:tabs>
        <w:kinsoku/>
        <w:wordWrap/>
        <w:overflowPunct/>
        <w:topLinePunct w:val="0"/>
        <w:bidi w:val="0"/>
        <w:spacing w:line="400" w:lineRule="exact"/>
        <w:jc w:val="left"/>
        <w:outlineLvl w:val="1"/>
        <w:rPr>
          <w:rFonts w:hint="eastAsia" w:ascii="Times New Roman" w:hAnsi="Times New Roman" w:cs="宋体"/>
          <w:b/>
          <w:bCs/>
          <w:color w:val="000000"/>
          <w:sz w:val="30"/>
          <w:szCs w:val="30"/>
          <w:highlight w:val="none"/>
          <w:lang w:bidi="zh-TW"/>
        </w:rPr>
      </w:pPr>
      <w:bookmarkStart w:id="301" w:name="_Toc89034114"/>
      <w:bookmarkStart w:id="302" w:name="_Toc19366"/>
      <w:bookmarkStart w:id="303" w:name="_Toc115358595"/>
      <w:r>
        <w:rPr>
          <w:rFonts w:ascii="Times New Roman" w:hAnsi="Times New Roman" w:cs="宋体"/>
          <w:b/>
          <w:bCs/>
          <w:color w:val="000000"/>
          <w:sz w:val="30"/>
          <w:szCs w:val="30"/>
          <w:highlight w:val="none"/>
          <w:lang w:bidi="zh-TW"/>
        </w:rPr>
        <w:t>9</w:t>
      </w:r>
      <w:r>
        <w:rPr>
          <w:rFonts w:hint="eastAsia" w:ascii="Times New Roman" w:hAnsi="Times New Roman" w:cs="宋体"/>
          <w:b/>
          <w:bCs/>
          <w:color w:val="000000"/>
          <w:sz w:val="30"/>
          <w:szCs w:val="30"/>
          <w:highlight w:val="none"/>
          <w:lang w:bidi="zh-TW"/>
        </w:rPr>
        <w:t>、站房建设技术要求</w:t>
      </w:r>
      <w:bookmarkEnd w:id="301"/>
      <w:bookmarkEnd w:id="302"/>
      <w:bookmarkEnd w:id="303"/>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eastAsia="宋体" w:cs="宋体"/>
          <w:sz w:val="24"/>
          <w:szCs w:val="24"/>
          <w:highlight w:val="none"/>
          <w:lang w:eastAsia="zh-CN"/>
        </w:rPr>
      </w:pPr>
      <w:r>
        <w:rPr>
          <w:rFonts w:ascii="Times New Roman" w:hAnsi="Times New Roman" w:cs="宋体"/>
          <w:sz w:val="24"/>
          <w:szCs w:val="24"/>
          <w:highlight w:val="none"/>
        </w:rPr>
        <w:t>1</w:t>
      </w:r>
      <w:r>
        <w:rPr>
          <w:rFonts w:hint="eastAsia" w:ascii="Times New Roman" w:hAnsi="Times New Roman" w:cs="宋体"/>
          <w:sz w:val="24"/>
          <w:szCs w:val="24"/>
          <w:highlight w:val="none"/>
        </w:rPr>
        <w:t>.站房周围应有疏通雨水渠道，具备防雨、防虫、防尘、防渗漏和防电磁波干扰的相应措施</w:t>
      </w:r>
      <w:r>
        <w:rPr>
          <w:rFonts w:hint="eastAsia" w:ascii="Times New Roman" w:hAnsi="Times New Roman" w:cs="宋体"/>
          <w:sz w:val="24"/>
          <w:szCs w:val="24"/>
          <w:highlight w:val="none"/>
          <w:lang w:eastAsia="zh-CN"/>
        </w:rPr>
        <w:t>；</w:t>
      </w:r>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ascii="Times New Roman" w:hAnsi="Times New Roman" w:cs="宋体"/>
          <w:sz w:val="24"/>
          <w:szCs w:val="24"/>
          <w:highlight w:val="none"/>
        </w:rPr>
        <w:t>2</w:t>
      </w:r>
      <w:r>
        <w:rPr>
          <w:rFonts w:hint="eastAsia" w:ascii="Times New Roman" w:hAnsi="Times New Roman" w:cs="宋体"/>
          <w:sz w:val="24"/>
          <w:szCs w:val="24"/>
          <w:highlight w:val="none"/>
        </w:rPr>
        <w:t>.站房内的空调具有来电自启功能；</w:t>
      </w:r>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ascii="Times New Roman" w:hAnsi="Times New Roman" w:cs="宋体"/>
          <w:sz w:val="24"/>
          <w:szCs w:val="24"/>
          <w:highlight w:val="none"/>
        </w:rPr>
        <w:t>3</w:t>
      </w:r>
      <w:r>
        <w:rPr>
          <w:rFonts w:hint="eastAsia" w:ascii="Times New Roman" w:hAnsi="Times New Roman" w:cs="宋体"/>
          <w:sz w:val="24"/>
          <w:szCs w:val="24"/>
          <w:highlight w:val="none"/>
        </w:rPr>
        <w:t>.站房内应设置照明灯，消防装置；</w:t>
      </w:r>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ascii="Times New Roman" w:hAnsi="Times New Roman" w:cs="宋体"/>
          <w:sz w:val="24"/>
          <w:szCs w:val="24"/>
          <w:highlight w:val="none"/>
        </w:rPr>
        <w:t>4</w:t>
      </w:r>
      <w:r>
        <w:rPr>
          <w:rFonts w:hint="eastAsia" w:ascii="Times New Roman" w:hAnsi="Times New Roman" w:cs="宋体"/>
          <w:sz w:val="24"/>
          <w:szCs w:val="24"/>
          <w:highlight w:val="none"/>
        </w:rPr>
        <w:t>.有需要的情况下站房周边应设置防护栏等外观辅助设计，并设置站房铜牌；</w:t>
      </w:r>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ascii="Times New Roman" w:hAnsi="Times New Roman" w:cs="宋体"/>
          <w:sz w:val="24"/>
          <w:szCs w:val="24"/>
          <w:highlight w:val="none"/>
        </w:rPr>
        <w:t>5</w:t>
      </w:r>
      <w:r>
        <w:rPr>
          <w:rFonts w:hint="eastAsia" w:ascii="Times New Roman" w:hAnsi="Times New Roman" w:cs="宋体"/>
          <w:sz w:val="24"/>
          <w:szCs w:val="24"/>
          <w:highlight w:val="none"/>
        </w:rPr>
        <w:t>.穿管与走线：采样管线以及电线电缆的敷设，符合《仪表配管配线设计规定》(HG/T20512)的规定。自动分析器室的接地符合《 仪表系统接地设计规定》(HG/T20513)的规定；</w:t>
      </w:r>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ascii="Times New Roman" w:hAnsi="Times New Roman" w:cs="宋体"/>
          <w:sz w:val="24"/>
          <w:szCs w:val="24"/>
          <w:highlight w:val="none"/>
        </w:rPr>
        <w:t>6</w:t>
      </w:r>
      <w:r>
        <w:rPr>
          <w:rFonts w:hint="eastAsia" w:ascii="Times New Roman" w:hAnsi="Times New Roman" w:cs="宋体"/>
          <w:sz w:val="24"/>
          <w:szCs w:val="24"/>
          <w:highlight w:val="none"/>
        </w:rPr>
        <w:t>.需配备视频监控系统和动力环境监测系统，具体计算要求如下：</w:t>
      </w:r>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eastAsia="宋体" w:cs="宋体"/>
          <w:sz w:val="24"/>
          <w:szCs w:val="24"/>
          <w:highlight w:val="none"/>
          <w:lang w:eastAsia="zh-CN"/>
        </w:rPr>
      </w:pPr>
      <w:r>
        <w:rPr>
          <w:rFonts w:ascii="Times New Roman" w:hAnsi="Times New Roman" w:cs="宋体"/>
          <w:sz w:val="24"/>
          <w:szCs w:val="24"/>
          <w:highlight w:val="none"/>
        </w:rPr>
        <w:t>6</w:t>
      </w:r>
      <w:r>
        <w:rPr>
          <w:rFonts w:hint="eastAsia" w:ascii="Times New Roman" w:hAnsi="Times New Roman" w:cs="宋体"/>
          <w:sz w:val="24"/>
          <w:szCs w:val="24"/>
          <w:highlight w:val="none"/>
        </w:rPr>
        <w:t>.1实现对站房仪器的工作状态、人员的进出情况、取水口和水面情况的监控功能</w:t>
      </w:r>
      <w:r>
        <w:rPr>
          <w:rFonts w:hint="eastAsia" w:ascii="Times New Roman" w:hAnsi="Times New Roman" w:cs="宋体"/>
          <w:sz w:val="24"/>
          <w:szCs w:val="24"/>
          <w:highlight w:val="none"/>
          <w:lang w:eastAsia="zh-CN"/>
        </w:rPr>
        <w:t>；</w:t>
      </w:r>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eastAsia="宋体" w:cs="宋体"/>
          <w:sz w:val="24"/>
          <w:szCs w:val="24"/>
          <w:highlight w:val="none"/>
          <w:lang w:eastAsia="zh-CN"/>
        </w:rPr>
      </w:pPr>
      <w:r>
        <w:rPr>
          <w:rFonts w:ascii="Times New Roman" w:hAnsi="Times New Roman" w:cs="宋体"/>
          <w:sz w:val="24"/>
          <w:szCs w:val="24"/>
          <w:highlight w:val="none"/>
        </w:rPr>
        <w:t>6</w:t>
      </w:r>
      <w:r>
        <w:rPr>
          <w:rFonts w:hint="eastAsia" w:ascii="Times New Roman" w:hAnsi="Times New Roman" w:cs="宋体"/>
          <w:sz w:val="24"/>
          <w:szCs w:val="24"/>
          <w:highlight w:val="none"/>
        </w:rPr>
        <w:t>.2要求视频监控系统为目前主流品牌，支持海康9800平台，摄像头分辨率至少200万像素</w:t>
      </w:r>
      <w:r>
        <w:rPr>
          <w:rFonts w:hint="eastAsia" w:ascii="Times New Roman" w:hAnsi="Times New Roman" w:cs="宋体"/>
          <w:sz w:val="24"/>
          <w:szCs w:val="24"/>
          <w:highlight w:val="none"/>
          <w:lang w:eastAsia="zh-CN"/>
        </w:rPr>
        <w:t>；</w:t>
      </w:r>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eastAsia="宋体" w:cs="宋体"/>
          <w:sz w:val="24"/>
          <w:szCs w:val="24"/>
          <w:highlight w:val="none"/>
          <w:lang w:eastAsia="zh-CN"/>
        </w:rPr>
      </w:pPr>
      <w:r>
        <w:rPr>
          <w:rFonts w:ascii="Times New Roman" w:hAnsi="Times New Roman" w:cs="宋体"/>
          <w:sz w:val="24"/>
          <w:szCs w:val="24"/>
          <w:highlight w:val="none"/>
        </w:rPr>
        <w:t>6</w:t>
      </w:r>
      <w:r>
        <w:rPr>
          <w:rFonts w:hint="eastAsia" w:ascii="Times New Roman" w:hAnsi="Times New Roman" w:cs="宋体"/>
          <w:sz w:val="24"/>
          <w:szCs w:val="24"/>
          <w:highlight w:val="none"/>
        </w:rPr>
        <w:t>.3 每组视频监视设施包括：1套固定摄像机、2套智能云台摄像机、1套视频传输处理设备、1套防护设备和工程配套附材</w:t>
      </w:r>
      <w:r>
        <w:rPr>
          <w:rFonts w:hint="eastAsia" w:ascii="Times New Roman" w:hAnsi="Times New Roman" w:cs="宋体"/>
          <w:sz w:val="24"/>
          <w:szCs w:val="24"/>
          <w:highlight w:val="none"/>
          <w:lang w:eastAsia="zh-CN"/>
        </w:rPr>
        <w:t>；</w:t>
      </w:r>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eastAsia="宋体" w:cs="宋体"/>
          <w:sz w:val="24"/>
          <w:szCs w:val="24"/>
          <w:highlight w:val="none"/>
          <w:lang w:eastAsia="zh-CN"/>
        </w:rPr>
      </w:pPr>
      <w:r>
        <w:rPr>
          <w:rFonts w:ascii="Times New Roman" w:hAnsi="Times New Roman" w:cs="宋体"/>
          <w:sz w:val="24"/>
          <w:szCs w:val="24"/>
          <w:highlight w:val="none"/>
        </w:rPr>
        <w:t>6</w:t>
      </w:r>
      <w:r>
        <w:rPr>
          <w:rFonts w:hint="eastAsia" w:ascii="Times New Roman" w:hAnsi="Times New Roman" w:cs="宋体"/>
          <w:sz w:val="24"/>
          <w:szCs w:val="24"/>
          <w:highlight w:val="none"/>
        </w:rPr>
        <w:t>.4防护设备包括：1套电源防雷器、2套视频信号防雷器、1套控制信号防雷器</w:t>
      </w:r>
      <w:r>
        <w:rPr>
          <w:rFonts w:hint="eastAsia" w:ascii="Times New Roman" w:hAnsi="Times New Roman" w:cs="宋体"/>
          <w:sz w:val="24"/>
          <w:szCs w:val="24"/>
          <w:highlight w:val="none"/>
          <w:lang w:eastAsia="zh-CN"/>
        </w:rPr>
        <w:t>；</w:t>
      </w:r>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ascii="Times New Roman" w:hAnsi="Times New Roman" w:cs="宋体"/>
          <w:sz w:val="24"/>
          <w:szCs w:val="24"/>
          <w:highlight w:val="none"/>
        </w:rPr>
        <w:t>6</w:t>
      </w:r>
      <w:r>
        <w:rPr>
          <w:rFonts w:hint="eastAsia" w:ascii="Times New Roman" w:hAnsi="Times New Roman" w:cs="宋体"/>
          <w:sz w:val="24"/>
          <w:szCs w:val="24"/>
          <w:highlight w:val="none"/>
        </w:rPr>
        <w:t>.5工程配套附材包括：配套线缆（视频线、电源线、控制线）、摄像机安装支架、安装箱，以及管道等保证系统能够正常连接使用的其它附件。</w:t>
      </w:r>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ascii="Times New Roman" w:hAnsi="Times New Roman" w:cs="宋体"/>
          <w:sz w:val="24"/>
          <w:szCs w:val="24"/>
          <w:highlight w:val="none"/>
        </w:rPr>
        <w:t>7</w:t>
      </w:r>
      <w:r>
        <w:rPr>
          <w:rFonts w:hint="eastAsia" w:ascii="Times New Roman" w:hAnsi="Times New Roman" w:cs="宋体"/>
          <w:sz w:val="24"/>
          <w:szCs w:val="24"/>
          <w:highlight w:val="none"/>
        </w:rPr>
        <w:t>.中标人负责站房通电、通水、通网络及相关的政策处理。</w:t>
      </w:r>
    </w:p>
    <w:p>
      <w:pPr>
        <w:keepNext w:val="0"/>
        <w:pageBreakBefore w:val="0"/>
        <w:tabs>
          <w:tab w:val="left" w:pos="851"/>
        </w:tabs>
        <w:kinsoku/>
        <w:wordWrap/>
        <w:overflowPunct/>
        <w:topLinePunct w:val="0"/>
        <w:bidi w:val="0"/>
        <w:spacing w:line="400" w:lineRule="exact"/>
        <w:ind w:firstLine="480" w:firstLineChars="200"/>
        <w:rPr>
          <w:rFonts w:hint="eastAsia" w:ascii="Times New Roman" w:hAnsi="Times New Roman" w:cs="宋体"/>
          <w:sz w:val="24"/>
          <w:szCs w:val="24"/>
          <w:highlight w:val="none"/>
        </w:rPr>
      </w:pPr>
    </w:p>
    <w:p>
      <w:pPr>
        <w:keepNext w:val="0"/>
        <w:pageBreakBefore w:val="0"/>
        <w:tabs>
          <w:tab w:val="left" w:pos="830"/>
        </w:tabs>
        <w:kinsoku/>
        <w:wordWrap/>
        <w:overflowPunct/>
        <w:topLinePunct w:val="0"/>
        <w:bidi w:val="0"/>
        <w:spacing w:line="400" w:lineRule="exact"/>
        <w:jc w:val="left"/>
        <w:outlineLvl w:val="1"/>
        <w:rPr>
          <w:rFonts w:hint="eastAsia" w:ascii="Times New Roman" w:hAnsi="Times New Roman" w:cs="宋体"/>
          <w:b/>
          <w:bCs/>
          <w:color w:val="000000"/>
          <w:sz w:val="30"/>
          <w:szCs w:val="30"/>
          <w:highlight w:val="none"/>
          <w:lang w:bidi="zh-TW"/>
        </w:rPr>
      </w:pPr>
      <w:bookmarkStart w:id="304" w:name="_Toc115358596"/>
      <w:bookmarkStart w:id="305" w:name="_Toc30154"/>
      <w:bookmarkStart w:id="306" w:name="_Toc89034116"/>
      <w:r>
        <w:rPr>
          <w:rFonts w:ascii="Times New Roman" w:hAnsi="Times New Roman" w:cs="宋体"/>
          <w:b/>
          <w:bCs/>
          <w:color w:val="000000"/>
          <w:sz w:val="30"/>
          <w:szCs w:val="30"/>
          <w:highlight w:val="none"/>
          <w:lang w:bidi="zh-TW"/>
        </w:rPr>
        <w:t>10</w:t>
      </w:r>
      <w:r>
        <w:rPr>
          <w:rFonts w:hint="eastAsia" w:ascii="Times New Roman" w:hAnsi="Times New Roman" w:cs="宋体"/>
          <w:b/>
          <w:bCs/>
          <w:color w:val="000000"/>
          <w:sz w:val="30"/>
          <w:szCs w:val="30"/>
          <w:highlight w:val="none"/>
          <w:lang w:bidi="zh-TW"/>
        </w:rPr>
        <w:t>、系统集成</w:t>
      </w:r>
      <w:bookmarkEnd w:id="304"/>
      <w:bookmarkEnd w:id="305"/>
      <w:bookmarkEnd w:id="306"/>
    </w:p>
    <w:p>
      <w:pPr>
        <w:keepNext w:val="0"/>
        <w:pageBreakBefore w:val="0"/>
        <w:tabs>
          <w:tab w:val="left" w:pos="851"/>
        </w:tabs>
        <w:kinsoku/>
        <w:wordWrap/>
        <w:overflowPunct/>
        <w:topLinePunct w:val="0"/>
        <w:bidi w:val="0"/>
        <w:spacing w:line="400" w:lineRule="exact"/>
        <w:ind w:firstLine="480" w:firstLineChars="200"/>
        <w:jc w:val="left"/>
        <w:rPr>
          <w:rFonts w:hint="eastAsia" w:ascii="Times New Roman" w:hAnsi="Times New Roman" w:cs="宋体"/>
          <w:sz w:val="24"/>
          <w:szCs w:val="24"/>
          <w:highlight w:val="none"/>
        </w:rPr>
      </w:pPr>
      <w:r>
        <w:rPr>
          <w:rFonts w:hint="eastAsia" w:ascii="Times New Roman" w:hAnsi="Times New Roman" w:cs="宋体"/>
          <w:sz w:val="24"/>
          <w:szCs w:val="24"/>
          <w:highlight w:val="none"/>
        </w:rPr>
        <w:t>（采水/配水/预处理系统/清洗系统）</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采水单元的功能是在任何情况下确保将采样点的水样引至自动站仪器间内，并满足配水单元和分析仪器的需要；</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采水单元一般包括采水构筑物、采水泵、采水管道、清洗配套装置和保温配套装置；</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取水采用潜水泵或自吸泵，双泵、双管路设计，交替使用。在控制系统中设置自动诊断泵、管路故障及自动切换泵、管路功能，满足实时不间断监测要求；</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采水单元应当具备较长平均无故障工作时间，确保水质自动监测系统的数据捕获率达到相关要求；</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lang w:val="de-DE"/>
        </w:rPr>
      </w:pPr>
      <w:r>
        <w:rPr>
          <w:rFonts w:hint="eastAsia" w:ascii="Times New Roman" w:hAnsi="Times New Roman" w:cs="宋体"/>
          <w:sz w:val="24"/>
          <w:szCs w:val="24"/>
          <w:highlight w:val="none"/>
        </w:rPr>
        <w:t>采水单元需要设计并制作必要的保温、防冻、防压、防淤、防撞、防盗措施，并对采水设备和设施进行必要的固定</w:t>
      </w:r>
      <w:r>
        <w:rPr>
          <w:rFonts w:hint="eastAsia" w:ascii="Times New Roman" w:hAnsi="Times New Roman" w:cs="宋体"/>
          <w:sz w:val="24"/>
          <w:szCs w:val="24"/>
          <w:highlight w:val="none"/>
          <w:lang w:val="de-DE"/>
        </w:rPr>
        <w:t>；</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 xml:space="preserve">采水单元设置采水单元清洗和防藻功能。但是当使用化学清洗时防止对环境造成污染； </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管道采用排空设计，使管道内不存水，以防藻类滋生；</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能自动判断取水系统故障，并发出报警信号；</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采水单元能够在停电时自我保护，再次通电时自动恢复；</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采水系统可采用连续或间歇方式工作，并能够根据监测要求现场或远程设置监测频次</w:t>
      </w:r>
      <w:r>
        <w:rPr>
          <w:rFonts w:hint="eastAsia" w:ascii="Times New Roman" w:hAnsi="Times New Roman" w:cs="宋体"/>
          <w:sz w:val="24"/>
          <w:szCs w:val="24"/>
          <w:highlight w:val="none"/>
          <w:lang w:eastAsia="zh-CN"/>
        </w:rPr>
        <w:t>；</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采水单位各部分均应美观大方、安全牢固、设计合理，尽量减少对河道中杂物的阻碍拦截</w:t>
      </w:r>
      <w:r>
        <w:rPr>
          <w:rFonts w:hint="eastAsia" w:ascii="Times New Roman" w:hAnsi="Times New Roman" w:cs="宋体"/>
          <w:sz w:val="24"/>
          <w:szCs w:val="24"/>
          <w:highlight w:val="none"/>
          <w:lang w:eastAsia="zh-CN"/>
        </w:rPr>
        <w:t>；</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配水单元是将采水单元采集到的样品根据所有分析仪器和设备的用水水质、水压和水量的要求分配到各个分析单元和相应设备，并采取必要的清洗、保障措施以确保系统长周期运转，包括流量和压力调节、预处理及系统清洗等；</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配备流量和压力调节系统：配水单元应当能够通过对流量和压力的监控，满足所选用仪器和设备对样品水流量和压力的具体要求</w:t>
      </w:r>
      <w:r>
        <w:rPr>
          <w:rFonts w:hint="eastAsia" w:ascii="Times New Roman" w:hAnsi="Times New Roman" w:cs="宋体"/>
          <w:sz w:val="24"/>
          <w:szCs w:val="24"/>
          <w:highlight w:val="none"/>
          <w:lang w:eastAsia="zh-CN"/>
        </w:rPr>
        <w:t>。</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预处理系统</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rPr>
        <w:t>14.1配水单元应尽可能满足标准分析方法中对样品的预处理要求，并保证每次分析样品的代表性；</w:t>
      </w:r>
    </w:p>
    <w:p>
      <w:pPr>
        <w:keepNext w:val="0"/>
        <w:pageBreakBefore w:val="0"/>
        <w:kinsoku/>
        <w:wordWrap/>
        <w:overflowPunct/>
        <w:topLinePunct w:val="0"/>
        <w:bidi w:val="0"/>
        <w:spacing w:line="400" w:lineRule="exact"/>
        <w:ind w:firstLine="240" w:firstLineChars="100"/>
        <w:rPr>
          <w:rFonts w:hint="eastAsia" w:ascii="Times New Roman" w:hAnsi="Times New Roman" w:eastAsia="宋体" w:cs="宋体"/>
          <w:sz w:val="24"/>
          <w:szCs w:val="24"/>
          <w:highlight w:val="none"/>
          <w:lang w:eastAsia="zh-CN"/>
        </w:rPr>
      </w:pPr>
      <w:r>
        <w:rPr>
          <w:rFonts w:hint="eastAsia" w:ascii="Times New Roman" w:hAnsi="Times New Roman" w:cs="宋体"/>
          <w:sz w:val="24"/>
          <w:szCs w:val="24"/>
          <w:highlight w:val="none"/>
        </w:rPr>
        <w:t xml:space="preserve"> 14.2为了减少泥沙的影响，需设立沉沙池以减少对测定结果的影响。沉沙池的高度应不低于1米以提高沉沙效率，需具备全方位无死角自动清洗功能，满足在线沉沙进样的需求。（需提供有效的佐证资料说明）特殊情况下，可在不违背标准分析方法的前提下，选择具有精密过滤功能的精密过滤器，过滤系统的清洗维护周期应尽可能长，具备自动运行及定期反清（吹）洗功能；可控制采水时间和自来水的用量</w:t>
      </w:r>
      <w:r>
        <w:rPr>
          <w:rFonts w:hint="eastAsia" w:ascii="Times New Roman" w:hAnsi="Times New Roman" w:cs="宋体"/>
          <w:sz w:val="24"/>
          <w:szCs w:val="24"/>
          <w:highlight w:val="none"/>
          <w:lang w:eastAsia="zh-CN"/>
        </w:rPr>
        <w:t>；</w:t>
      </w:r>
    </w:p>
    <w:p>
      <w:pPr>
        <w:keepNext w:val="0"/>
        <w:pageBreakBefore w:val="0"/>
        <w:kinsoku/>
        <w:wordWrap/>
        <w:overflowPunct/>
        <w:topLinePunct w:val="0"/>
        <w:bidi w:val="0"/>
        <w:spacing w:line="400" w:lineRule="exact"/>
        <w:ind w:firstLine="240" w:firstLineChars="100"/>
        <w:rPr>
          <w:rFonts w:hint="eastAsia" w:ascii="Times New Roman" w:hAnsi="Times New Roman" w:eastAsia="宋体" w:cs="宋体"/>
          <w:sz w:val="24"/>
          <w:szCs w:val="24"/>
          <w:highlight w:val="none"/>
          <w:lang w:eastAsia="zh-CN"/>
        </w:rPr>
      </w:pPr>
      <w:r>
        <w:rPr>
          <w:rFonts w:hint="eastAsia" w:ascii="Times New Roman" w:hAnsi="Times New Roman" w:cs="宋体"/>
          <w:sz w:val="24"/>
          <w:szCs w:val="24"/>
          <w:highlight w:val="none"/>
        </w:rPr>
        <w:t>14.3水质常规五参数测量池需具备对每个探头表面均可自动清洗反吹的功能，同时需采用倾斜式安装设计防止气泡和保证泥沙的顺畅排出。配备足够的活动接口，易拆洗。并有气、样分离设计，保证分析仪器进样的连续性（需提供有效的佐证资料说明）</w:t>
      </w:r>
      <w:r>
        <w:rPr>
          <w:rFonts w:hint="eastAsia" w:ascii="Times New Roman" w:hAnsi="Times New Roman" w:cs="宋体"/>
          <w:sz w:val="24"/>
          <w:szCs w:val="24"/>
          <w:highlight w:val="none"/>
          <w:lang w:eastAsia="zh-CN"/>
        </w:rPr>
        <w:t>；</w:t>
      </w:r>
    </w:p>
    <w:p>
      <w:pPr>
        <w:keepNext w:val="0"/>
        <w:pageBreakBefore w:val="0"/>
        <w:kinsoku/>
        <w:wordWrap/>
        <w:overflowPunct/>
        <w:topLinePunct w:val="0"/>
        <w:bidi w:val="0"/>
        <w:spacing w:line="400" w:lineRule="exact"/>
        <w:rPr>
          <w:rFonts w:hint="eastAsia" w:ascii="Times New Roman" w:hAnsi="Times New Roman" w:cs="宋体"/>
          <w:sz w:val="24"/>
          <w:szCs w:val="24"/>
          <w:highlight w:val="none"/>
        </w:rPr>
      </w:pPr>
      <w:r>
        <w:rPr>
          <w:rFonts w:hint="eastAsia" w:ascii="Times New Roman" w:hAnsi="Times New Roman" w:cs="宋体"/>
          <w:sz w:val="24"/>
          <w:szCs w:val="24"/>
          <w:highlight w:val="none"/>
        </w:rPr>
        <w:t xml:space="preserve">   14.4预处理单元能在系统停电恢复并自动启动后按照采集控制器的控制时序自动启动。</w:t>
      </w:r>
    </w:p>
    <w:p>
      <w:pPr>
        <w:keepNext w:val="0"/>
        <w:pageBreakBefore w:val="0"/>
        <w:numPr>
          <w:ilvl w:val="0"/>
          <w:numId w:val="30"/>
        </w:numPr>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系统清洗及辅助功能</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rPr>
        <w:t>15.1配水单元应当具备比较方便的自动和人工清洗条件和除藻功能。该功能应当能够遍及全部系统管路和相关设备，但不能损害仪器和设备，不能对分析结果构成影响；</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rPr>
        <w:t>15.2配水单元不能对环境造成污染。对分析单元排放的废液应当回收处理；</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rPr>
        <w:t>15.3为保证系统监测项目的扩充需要，应预留出预处理单元与分析设备水路连接的接口。</w:t>
      </w:r>
    </w:p>
    <w:p>
      <w:pPr>
        <w:keepNext w:val="0"/>
        <w:pageBreakBefore w:val="0"/>
        <w:kinsoku/>
        <w:wordWrap/>
        <w:overflowPunct/>
        <w:topLinePunct w:val="0"/>
        <w:bidi w:val="0"/>
        <w:spacing w:line="400" w:lineRule="exact"/>
        <w:rPr>
          <w:rFonts w:hint="eastAsia" w:ascii="Times New Roman" w:hAnsi="Times New Roman" w:eastAsia="宋体" w:cs="宋体"/>
          <w:sz w:val="24"/>
          <w:szCs w:val="24"/>
          <w:highlight w:val="none"/>
        </w:rPr>
      </w:pPr>
      <w:r>
        <w:rPr>
          <w:rFonts w:hint="eastAsia" w:ascii="Times New Roman" w:hAnsi="Times New Roman" w:cs="宋体"/>
          <w:sz w:val="24"/>
          <w:szCs w:val="24"/>
          <w:highlight w:val="none"/>
          <w:lang w:val="en-US" w:eastAsia="zh-CN"/>
        </w:rPr>
        <w:t>16</w:t>
      </w:r>
      <w:r>
        <w:rPr>
          <w:rFonts w:hint="eastAsia" w:ascii="Times New Roman" w:hAnsi="Times New Roman" w:eastAsia="宋体" w:cs="宋体"/>
          <w:sz w:val="24"/>
          <w:szCs w:val="24"/>
          <w:highlight w:val="none"/>
        </w:rPr>
        <w:t>控制单元</w:t>
      </w:r>
    </w:p>
    <w:p>
      <w:pPr>
        <w:keepNext w:val="0"/>
        <w:pageBreakBefore w:val="0"/>
        <w:kinsoku/>
        <w:wordWrap/>
        <w:overflowPunct/>
        <w:topLinePunct w:val="0"/>
        <w:bidi w:val="0"/>
        <w:spacing w:line="400" w:lineRule="exact"/>
        <w:ind w:firstLine="210" w:firstLineChars="100"/>
        <w:rPr>
          <w:rFonts w:hint="eastAsia" w:ascii="Times New Roman" w:hAnsi="Times New Roman" w:cs="宋体"/>
          <w:sz w:val="24"/>
          <w:szCs w:val="24"/>
          <w:highlight w:val="none"/>
        </w:rPr>
      </w:pPr>
      <w:r>
        <w:rPr>
          <w:rFonts w:hint="eastAsia" w:ascii="Times New Roman" w:hAnsi="Times New Roman" w:cs="宋体"/>
          <w:szCs w:val="21"/>
          <w:highlight w:val="none"/>
        </w:rPr>
        <w:t xml:space="preserve"> </w:t>
      </w:r>
      <w:r>
        <w:rPr>
          <w:rFonts w:hint="eastAsia" w:ascii="Times New Roman" w:hAnsi="Times New Roman" w:cs="宋体"/>
          <w:sz w:val="24"/>
          <w:szCs w:val="24"/>
          <w:highlight w:val="none"/>
        </w:rPr>
        <w:t xml:space="preserve"> </w:t>
      </w:r>
      <w:r>
        <w:rPr>
          <w:rFonts w:hint="eastAsia" w:ascii="Times New Roman" w:hAnsi="Times New Roman" w:cs="宋体"/>
          <w:sz w:val="24"/>
          <w:szCs w:val="24"/>
          <w:highlight w:val="none"/>
          <w:lang w:val="en-US" w:eastAsia="zh-CN"/>
        </w:rPr>
        <w:t>16.1</w:t>
      </w:r>
      <w:r>
        <w:rPr>
          <w:rFonts w:hint="eastAsia" w:ascii="Times New Roman" w:hAnsi="Times New Roman" w:cs="宋体"/>
          <w:sz w:val="24"/>
          <w:szCs w:val="24"/>
          <w:highlight w:val="none"/>
        </w:rPr>
        <w:t>由工控机、程序逻辑控制单元、总空气开关、各仪器设备的空气开关、接触器、直流电源、继电器和接线端子等部分组成。为保证系统监测站连续、可靠和安全运行，统一协调各设备及仪表的关系，系统控制单元采用程序逻辑控制系统对监测站各单元按前述的要求进行控制；</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16.2</w:t>
      </w:r>
      <w:r>
        <w:rPr>
          <w:rFonts w:hint="eastAsia" w:ascii="Times New Roman" w:hAnsi="Times New Roman" w:cs="宋体"/>
          <w:sz w:val="24"/>
          <w:szCs w:val="24"/>
          <w:highlight w:val="none"/>
        </w:rPr>
        <w:t>现场控制软件应包含系统管路图及实时状态显示，仪器状态及实时数据显示，数据查询/导出/自动备份功能，参数设置功能，报警信息显示，手工及单一控制功能，系统及仪器历史运行状态显示，操作提示功能，用户管理功能等。系统管路图及实时状态显示应动态显示流程系统运行情况；</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lang w:eastAsia="zh-CN"/>
        </w:rPr>
        <w:t>16.</w:t>
      </w:r>
      <w:r>
        <w:rPr>
          <w:rFonts w:hint="eastAsia" w:ascii="Times New Roman" w:hAnsi="Times New Roman" w:cs="宋体"/>
          <w:sz w:val="24"/>
          <w:szCs w:val="24"/>
          <w:highlight w:val="none"/>
        </w:rPr>
        <w:t>3仪器状态及实时数据显示应实时显示仪器状态运行情况和实时数据；</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lang w:eastAsia="zh-CN"/>
        </w:rPr>
        <w:t>16.</w:t>
      </w:r>
      <w:r>
        <w:rPr>
          <w:rFonts w:hint="eastAsia" w:ascii="Times New Roman" w:hAnsi="Times New Roman" w:cs="宋体"/>
          <w:sz w:val="24"/>
          <w:szCs w:val="24"/>
          <w:highlight w:val="none"/>
        </w:rPr>
        <w:t>4数据查询/导出/自动备份功能应可以查询某个时间段内所有设备的数据。历史数据及设置参数数据每月自动备份。导出功能指按要求导出数据并形成电子表格文件；</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16.5</w:t>
      </w:r>
      <w:r>
        <w:rPr>
          <w:rFonts w:hint="eastAsia" w:ascii="Times New Roman" w:hAnsi="Times New Roman" w:cs="宋体"/>
          <w:sz w:val="24"/>
          <w:szCs w:val="24"/>
          <w:highlight w:val="none"/>
        </w:rPr>
        <w:t>参数设置功能应可以设置采样周期、系统复位、参数报警值、采水时间等参数设置；</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lang w:eastAsia="zh-CN"/>
        </w:rPr>
        <w:t>16.</w:t>
      </w:r>
      <w:r>
        <w:rPr>
          <w:rFonts w:hint="eastAsia" w:ascii="Times New Roman" w:hAnsi="Times New Roman" w:cs="宋体"/>
          <w:sz w:val="24"/>
          <w:szCs w:val="24"/>
          <w:highlight w:val="none"/>
        </w:rPr>
        <w:t>6报警信息显示应对系统运行中的所有故障、超标值进行提示；</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lang w:eastAsia="zh-CN"/>
        </w:rPr>
        <w:t>16.</w:t>
      </w:r>
      <w:r>
        <w:rPr>
          <w:rFonts w:hint="eastAsia" w:ascii="Times New Roman" w:hAnsi="Times New Roman" w:cs="宋体"/>
          <w:sz w:val="24"/>
          <w:szCs w:val="24"/>
          <w:highlight w:val="none"/>
          <w:lang w:val="en-US" w:eastAsia="zh-CN"/>
        </w:rPr>
        <w:t>7</w:t>
      </w:r>
      <w:r>
        <w:rPr>
          <w:rFonts w:hint="eastAsia" w:ascii="Times New Roman" w:hAnsi="Times New Roman" w:cs="宋体"/>
          <w:sz w:val="24"/>
          <w:szCs w:val="24"/>
          <w:highlight w:val="none"/>
        </w:rPr>
        <w:t>手工及单一控制功能应包含自动/手动运行的切换、运行某一流程的手动启动、单一元件（电磁阀、电动球阀、泵等）的调试控制；</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lang w:eastAsia="zh-CN"/>
        </w:rPr>
        <w:t>16.</w:t>
      </w:r>
      <w:r>
        <w:rPr>
          <w:rFonts w:hint="eastAsia" w:ascii="Times New Roman" w:hAnsi="Times New Roman" w:cs="宋体"/>
          <w:sz w:val="24"/>
          <w:szCs w:val="24"/>
          <w:highlight w:val="none"/>
          <w:lang w:val="en-US" w:eastAsia="zh-CN"/>
        </w:rPr>
        <w:t>8</w:t>
      </w:r>
      <w:r>
        <w:rPr>
          <w:rFonts w:hint="eastAsia" w:ascii="Times New Roman" w:hAnsi="Times New Roman" w:cs="宋体"/>
          <w:sz w:val="24"/>
          <w:szCs w:val="24"/>
          <w:highlight w:val="none"/>
        </w:rPr>
        <w:t>系统及仪器历史运行状态显示应动态显示系统及仪器的历史运行状态，包括设置参数更换的历史记录，以便用户了解系统及仪器的历史运行情况，其中应包含异常情况并标注；</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lang w:eastAsia="zh-CN"/>
        </w:rPr>
        <w:t>16.</w:t>
      </w:r>
      <w:r>
        <w:rPr>
          <w:rFonts w:hint="eastAsia" w:ascii="Times New Roman" w:hAnsi="Times New Roman" w:cs="宋体"/>
          <w:sz w:val="24"/>
          <w:szCs w:val="24"/>
          <w:highlight w:val="none"/>
          <w:lang w:val="en-US" w:eastAsia="zh-CN"/>
        </w:rPr>
        <w:t>9</w:t>
      </w:r>
      <w:r>
        <w:rPr>
          <w:rFonts w:hint="eastAsia" w:ascii="Times New Roman" w:hAnsi="Times New Roman" w:cs="宋体"/>
          <w:sz w:val="24"/>
          <w:szCs w:val="24"/>
          <w:highlight w:val="none"/>
        </w:rPr>
        <w:t>操作提示功能是指用户在对现场控制软件进行操作时显示操作响应内容；用户管理功能是指现场控制软件应对操作用户进行操作权限的管理；</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lang w:eastAsia="zh-CN"/>
        </w:rPr>
        <w:t>16.</w:t>
      </w:r>
      <w:r>
        <w:rPr>
          <w:rFonts w:hint="eastAsia" w:ascii="Times New Roman" w:hAnsi="Times New Roman" w:cs="宋体"/>
          <w:sz w:val="24"/>
          <w:szCs w:val="24"/>
          <w:highlight w:val="none"/>
          <w:lang w:val="en-US" w:eastAsia="zh-CN"/>
        </w:rPr>
        <w:t>10</w:t>
      </w:r>
      <w:r>
        <w:rPr>
          <w:rFonts w:hint="eastAsia" w:ascii="Times New Roman" w:hAnsi="Times New Roman" w:cs="宋体"/>
          <w:sz w:val="24"/>
          <w:szCs w:val="24"/>
          <w:highlight w:val="none"/>
        </w:rPr>
        <w:t>具备远程控制设置功能：可远程设置和远程采集监测站仪器设备的工作状态参数，对采样、反吹、清洗、仪器设备的工作状态等进行检测及控制；可远程设置系统的采样周期；可远程设置系统自动清洗、实时通讯、数据处理等功能和各单元设备控制参数；可远程显示现场工作状态、仪器设备故障自动报警、异常值自动报警和参数超标（上、下限）报警、并能将报警信号自动发送至各级监控中心。</w:t>
      </w:r>
    </w:p>
    <w:p>
      <w:pPr>
        <w:keepNext w:val="0"/>
        <w:pageBreakBefore w:val="0"/>
        <w:kinsoku/>
        <w:wordWrap/>
        <w:overflowPunct/>
        <w:topLinePunct w:val="0"/>
        <w:bidi w:val="0"/>
        <w:spacing w:line="400" w:lineRule="exact"/>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17</w:t>
      </w:r>
      <w:r>
        <w:rPr>
          <w:rFonts w:hint="eastAsia" w:ascii="Times New Roman" w:hAnsi="Times New Roman" w:cs="宋体"/>
          <w:sz w:val="24"/>
          <w:szCs w:val="24"/>
          <w:highlight w:val="none"/>
        </w:rPr>
        <w:t>数据采集传输系统</w:t>
      </w:r>
    </w:p>
    <w:p>
      <w:pPr>
        <w:keepNext w:val="0"/>
        <w:pageBreakBefore w:val="0"/>
        <w:kinsoku/>
        <w:wordWrap/>
        <w:overflowPunct/>
        <w:topLinePunct w:val="0"/>
        <w:bidi w:val="0"/>
        <w:spacing w:line="400" w:lineRule="exact"/>
        <w:rPr>
          <w:rFonts w:hint="eastAsia" w:ascii="Times New Roman" w:hAnsi="Times New Roman" w:cs="宋体"/>
          <w:sz w:val="24"/>
          <w:szCs w:val="24"/>
          <w:highlight w:val="none"/>
        </w:rPr>
      </w:pPr>
      <w:r>
        <w:rPr>
          <w:rFonts w:hint="eastAsia" w:ascii="Times New Roman" w:hAnsi="Times New Roman" w:cs="宋体"/>
          <w:sz w:val="24"/>
          <w:szCs w:val="24"/>
          <w:highlight w:val="none"/>
        </w:rPr>
        <w:t xml:space="preserve">    </w:t>
      </w:r>
      <w:r>
        <w:rPr>
          <w:rFonts w:hint="eastAsia" w:ascii="Times New Roman" w:hAnsi="Times New Roman" w:cs="宋体"/>
          <w:sz w:val="24"/>
          <w:szCs w:val="24"/>
          <w:highlight w:val="none"/>
          <w:lang w:val="en-US" w:eastAsia="zh-CN"/>
        </w:rPr>
        <w:t>17.</w:t>
      </w:r>
      <w:r>
        <w:rPr>
          <w:rFonts w:hint="eastAsia" w:ascii="Times New Roman" w:hAnsi="Times New Roman" w:cs="宋体"/>
          <w:sz w:val="24"/>
          <w:szCs w:val="24"/>
          <w:highlight w:val="none"/>
        </w:rPr>
        <w:t>1采用系统软件进行数据的采集、处理与传输，系统软件需具备通用性强，可扩展性强，维护方便的特点。软件应具有良好的可扩充性和维护性。具备强大良好用户界面，现场可动态显示系统的实时状态，实时数据，历史报表和历史报警。可实现改变控制参数，发送控制命令、浏览控制状态等人机交互功能；</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17.</w:t>
      </w:r>
      <w:r>
        <w:rPr>
          <w:rFonts w:hint="eastAsia" w:ascii="Times New Roman" w:hAnsi="Times New Roman" w:cs="宋体"/>
          <w:sz w:val="24"/>
          <w:szCs w:val="24"/>
          <w:highlight w:val="none"/>
        </w:rPr>
        <w:t>2能对历史数据进行查询、统计和数据曲线分析，数据导入、导出方便，并有数据及参数自动备份、恢复功能；实现超标值自动报警；</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17.</w:t>
      </w:r>
      <w:r>
        <w:rPr>
          <w:rFonts w:hint="eastAsia" w:ascii="Times New Roman" w:hAnsi="Times New Roman" w:cs="宋体"/>
          <w:sz w:val="24"/>
          <w:szCs w:val="24"/>
          <w:highlight w:val="none"/>
        </w:rPr>
        <w:t>3现场数据采集设备应至少能保存1年的最小统计单位值（最小统计单位时间不大于小时），并至少可保存3年的小时数据；</w:t>
      </w:r>
    </w:p>
    <w:p>
      <w:pPr>
        <w:keepNext w:val="0"/>
        <w:pageBreakBefore w:val="0"/>
        <w:kinsoku/>
        <w:wordWrap/>
        <w:overflowPunct/>
        <w:topLinePunct w:val="0"/>
        <w:bidi w:val="0"/>
        <w:spacing w:line="400" w:lineRule="exact"/>
        <w:ind w:firstLine="42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17.</w:t>
      </w:r>
      <w:r>
        <w:rPr>
          <w:rFonts w:hint="eastAsia" w:ascii="Times New Roman" w:hAnsi="Times New Roman" w:cs="宋体"/>
          <w:sz w:val="24"/>
          <w:szCs w:val="24"/>
          <w:highlight w:val="none"/>
        </w:rPr>
        <w:t>4通信采用有线方式，需为环保专网传输（裸光纤），具备数据输送给户外LED电子显示屏，高清视频等功能；</w:t>
      </w:r>
    </w:p>
    <w:p>
      <w:pPr>
        <w:keepNext w:val="0"/>
        <w:pageBreakBefore w:val="0"/>
        <w:kinsoku/>
        <w:wordWrap/>
        <w:overflowPunct/>
        <w:topLinePunct w:val="0"/>
        <w:bidi w:val="0"/>
        <w:spacing w:line="400" w:lineRule="exact"/>
        <w:ind w:firstLine="240" w:firstLineChars="10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17.</w:t>
      </w:r>
      <w:r>
        <w:rPr>
          <w:rFonts w:hint="eastAsia" w:ascii="Times New Roman" w:hAnsi="Times New Roman" w:cs="宋体"/>
          <w:sz w:val="24"/>
          <w:szCs w:val="24"/>
          <w:highlight w:val="none"/>
        </w:rPr>
        <w:t>5需具备向省中心监测平台传输数据的功能；</w:t>
      </w:r>
    </w:p>
    <w:p>
      <w:pPr>
        <w:keepNext w:val="0"/>
        <w:pageBreakBefore w:val="0"/>
        <w:kinsoku/>
        <w:wordWrap/>
        <w:overflowPunct/>
        <w:topLinePunct w:val="0"/>
        <w:bidi w:val="0"/>
        <w:spacing w:line="400" w:lineRule="exact"/>
        <w:ind w:firstLine="240" w:firstLineChars="10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17.</w:t>
      </w:r>
      <w:r>
        <w:rPr>
          <w:rFonts w:hint="eastAsia" w:ascii="Times New Roman" w:hAnsi="Times New Roman" w:cs="宋体"/>
          <w:sz w:val="24"/>
          <w:szCs w:val="24"/>
          <w:highlight w:val="none"/>
        </w:rPr>
        <w:t>6数据传输须具备一点多传功能。</w:t>
      </w:r>
    </w:p>
    <w:p>
      <w:pPr>
        <w:keepNext w:val="0"/>
        <w:pageBreakBefore w:val="0"/>
        <w:kinsoku/>
        <w:wordWrap/>
        <w:overflowPunct/>
        <w:topLinePunct w:val="0"/>
        <w:bidi w:val="0"/>
        <w:spacing w:line="400" w:lineRule="exact"/>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18.</w:t>
      </w:r>
      <w:r>
        <w:rPr>
          <w:rFonts w:hint="eastAsia" w:ascii="Times New Roman" w:hAnsi="Times New Roman" w:cs="宋体"/>
          <w:sz w:val="24"/>
          <w:szCs w:val="24"/>
          <w:highlight w:val="none"/>
        </w:rPr>
        <w:t>视频监控系统</w:t>
      </w:r>
    </w:p>
    <w:p>
      <w:pPr>
        <w:keepNext w:val="0"/>
        <w:pageBreakBefore w:val="0"/>
        <w:widowControl/>
        <w:kinsoku/>
        <w:wordWrap/>
        <w:overflowPunct/>
        <w:topLinePunct w:val="0"/>
        <w:bidi w:val="0"/>
        <w:spacing w:line="400" w:lineRule="exact"/>
        <w:ind w:firstLine="512" w:firstLineChars="200"/>
        <w:jc w:val="left"/>
        <w:rPr>
          <w:rFonts w:hint="eastAsia" w:ascii="Times New Roman" w:hAnsi="Times New Roman" w:cs="宋体"/>
          <w:color w:val="FF0000"/>
          <w:spacing w:val="8"/>
          <w:kern w:val="0"/>
          <w:sz w:val="24"/>
          <w:highlight w:val="none"/>
        </w:rPr>
      </w:pPr>
      <w:r>
        <w:rPr>
          <w:rFonts w:hint="eastAsia" w:ascii="Times New Roman" w:hAnsi="Times New Roman" w:cs="宋体"/>
          <w:color w:val="FF0000"/>
          <w:spacing w:val="8"/>
          <w:kern w:val="0"/>
          <w:sz w:val="24"/>
          <w:highlight w:val="none"/>
        </w:rPr>
        <w:t>水站应配置1套视频监控系统，至少包含1台硬盘录像机和3台摄像机，分别监控站房仪表间，站房周边及采水口。具体要求如下：</w:t>
      </w:r>
    </w:p>
    <w:p>
      <w:pPr>
        <w:keepNext w:val="0"/>
        <w:pageBreakBefore w:val="0"/>
        <w:widowControl/>
        <w:kinsoku/>
        <w:wordWrap/>
        <w:overflowPunct/>
        <w:topLinePunct w:val="0"/>
        <w:bidi w:val="0"/>
        <w:spacing w:line="400" w:lineRule="exact"/>
        <w:ind w:firstLine="512" w:firstLineChars="200"/>
        <w:jc w:val="left"/>
        <w:rPr>
          <w:rFonts w:hint="eastAsia" w:ascii="Times New Roman" w:hAnsi="Times New Roman" w:cs="宋体"/>
          <w:spacing w:val="8"/>
          <w:kern w:val="0"/>
          <w:sz w:val="24"/>
          <w:szCs w:val="24"/>
          <w:highlight w:val="none"/>
        </w:rPr>
      </w:pPr>
      <w:r>
        <w:rPr>
          <w:rFonts w:hint="eastAsia" w:ascii="Times New Roman" w:hAnsi="Times New Roman" w:cs="宋体"/>
          <w:spacing w:val="8"/>
          <w:kern w:val="0"/>
          <w:sz w:val="24"/>
          <w:szCs w:val="24"/>
          <w:highlight w:val="none"/>
          <w:lang w:val="en-US" w:eastAsia="zh-CN"/>
        </w:rPr>
        <w:t>18.</w:t>
      </w:r>
      <w:r>
        <w:rPr>
          <w:rFonts w:hint="eastAsia" w:ascii="Times New Roman" w:hAnsi="Times New Roman" w:cs="宋体"/>
          <w:spacing w:val="8"/>
          <w:kern w:val="0"/>
          <w:sz w:val="24"/>
          <w:szCs w:val="24"/>
          <w:highlight w:val="none"/>
        </w:rPr>
        <w:t>1站房仪表间和采水口采用固定摄像机；</w:t>
      </w:r>
    </w:p>
    <w:p>
      <w:pPr>
        <w:keepNext w:val="0"/>
        <w:pageBreakBefore w:val="0"/>
        <w:widowControl/>
        <w:kinsoku/>
        <w:wordWrap/>
        <w:overflowPunct/>
        <w:topLinePunct w:val="0"/>
        <w:bidi w:val="0"/>
        <w:spacing w:line="400" w:lineRule="exact"/>
        <w:ind w:firstLine="512" w:firstLineChars="200"/>
        <w:jc w:val="left"/>
        <w:rPr>
          <w:rFonts w:hint="eastAsia" w:ascii="Times New Roman" w:hAnsi="Times New Roman" w:cs="宋体"/>
          <w:spacing w:val="8"/>
          <w:kern w:val="0"/>
          <w:sz w:val="24"/>
          <w:szCs w:val="24"/>
          <w:highlight w:val="none"/>
        </w:rPr>
      </w:pPr>
      <w:r>
        <w:rPr>
          <w:rFonts w:hint="eastAsia" w:ascii="Times New Roman" w:hAnsi="Times New Roman" w:cs="宋体"/>
          <w:spacing w:val="8"/>
          <w:kern w:val="0"/>
          <w:sz w:val="24"/>
          <w:szCs w:val="24"/>
          <w:highlight w:val="none"/>
          <w:lang w:val="en-US" w:eastAsia="zh-CN"/>
        </w:rPr>
        <w:t>18.</w:t>
      </w:r>
      <w:r>
        <w:rPr>
          <w:rFonts w:hint="eastAsia" w:ascii="Times New Roman" w:hAnsi="Times New Roman" w:cs="宋体"/>
          <w:spacing w:val="8"/>
          <w:kern w:val="0"/>
          <w:sz w:val="24"/>
          <w:szCs w:val="24"/>
          <w:highlight w:val="none"/>
        </w:rPr>
        <w:t>2站房周边环境采用云台摄像机，云台摄像机可水平360度旋转，竖直0～90度旋转，具备云台操作功能，对视角、方位、焦距的调整，实现全方位、多视角、全天候监控；</w:t>
      </w:r>
    </w:p>
    <w:p>
      <w:pPr>
        <w:keepNext w:val="0"/>
        <w:pageBreakBefore w:val="0"/>
        <w:widowControl/>
        <w:kinsoku/>
        <w:wordWrap/>
        <w:overflowPunct/>
        <w:topLinePunct w:val="0"/>
        <w:bidi w:val="0"/>
        <w:spacing w:line="400" w:lineRule="exact"/>
        <w:ind w:firstLine="512" w:firstLineChars="200"/>
        <w:jc w:val="left"/>
        <w:rPr>
          <w:rFonts w:hint="eastAsia" w:ascii="Times New Roman" w:hAnsi="Times New Roman" w:cs="宋体"/>
          <w:spacing w:val="8"/>
          <w:kern w:val="0"/>
          <w:sz w:val="24"/>
          <w:szCs w:val="24"/>
          <w:highlight w:val="none"/>
        </w:rPr>
      </w:pPr>
      <w:r>
        <w:rPr>
          <w:rFonts w:hint="eastAsia" w:ascii="Times New Roman" w:hAnsi="Times New Roman" w:cs="宋体"/>
          <w:spacing w:val="8"/>
          <w:kern w:val="0"/>
          <w:sz w:val="24"/>
          <w:szCs w:val="24"/>
          <w:highlight w:val="none"/>
          <w:lang w:val="en-US" w:eastAsia="zh-CN"/>
        </w:rPr>
        <w:t>18.</w:t>
      </w:r>
      <w:r>
        <w:rPr>
          <w:rFonts w:hint="eastAsia" w:ascii="Times New Roman" w:hAnsi="Times New Roman" w:cs="宋体"/>
          <w:spacing w:val="8"/>
          <w:kern w:val="0"/>
          <w:sz w:val="24"/>
          <w:szCs w:val="24"/>
          <w:highlight w:val="none"/>
        </w:rPr>
        <w:t>3视频信息应实现现场存储功能，存储周期应不低于30日，现场网络条件具备时，采用宽带实现视频信息的实时传输；</w:t>
      </w:r>
    </w:p>
    <w:p>
      <w:pPr>
        <w:keepNext w:val="0"/>
        <w:pageBreakBefore w:val="0"/>
        <w:widowControl/>
        <w:kinsoku/>
        <w:wordWrap/>
        <w:overflowPunct/>
        <w:topLinePunct w:val="0"/>
        <w:bidi w:val="0"/>
        <w:spacing w:line="400" w:lineRule="exact"/>
        <w:ind w:firstLine="512" w:firstLineChars="200"/>
        <w:jc w:val="left"/>
        <w:rPr>
          <w:rFonts w:hint="eastAsia" w:ascii="Times New Roman" w:hAnsi="Times New Roman" w:cs="宋体"/>
          <w:spacing w:val="8"/>
          <w:kern w:val="0"/>
          <w:sz w:val="24"/>
          <w:szCs w:val="24"/>
          <w:highlight w:val="none"/>
        </w:rPr>
      </w:pPr>
      <w:r>
        <w:rPr>
          <w:rFonts w:hint="eastAsia" w:ascii="Times New Roman" w:hAnsi="Times New Roman" w:cs="宋体"/>
          <w:spacing w:val="8"/>
          <w:kern w:val="0"/>
          <w:sz w:val="24"/>
          <w:szCs w:val="24"/>
          <w:highlight w:val="none"/>
          <w:lang w:val="en-US" w:eastAsia="zh-CN"/>
        </w:rPr>
        <w:t>18.</w:t>
      </w:r>
      <w:r>
        <w:rPr>
          <w:rFonts w:hint="eastAsia" w:ascii="Times New Roman" w:hAnsi="Times New Roman" w:cs="宋体"/>
          <w:spacing w:val="8"/>
          <w:kern w:val="0"/>
          <w:sz w:val="24"/>
          <w:szCs w:val="24"/>
          <w:highlight w:val="none"/>
        </w:rPr>
        <w:t>4视频监控系统具备断电自启功能。</w:t>
      </w:r>
    </w:p>
    <w:p>
      <w:pPr>
        <w:keepNext w:val="0"/>
        <w:pageBreakBefore w:val="0"/>
        <w:widowControl/>
        <w:kinsoku/>
        <w:wordWrap/>
        <w:overflowPunct/>
        <w:topLinePunct w:val="0"/>
        <w:bidi w:val="0"/>
        <w:spacing w:line="400" w:lineRule="exact"/>
        <w:ind w:firstLine="512" w:firstLineChars="200"/>
        <w:jc w:val="left"/>
        <w:rPr>
          <w:rFonts w:hint="eastAsia" w:ascii="Times New Roman" w:hAnsi="Times New Roman" w:cs="宋体"/>
          <w:spacing w:val="8"/>
          <w:kern w:val="0"/>
          <w:sz w:val="24"/>
          <w:szCs w:val="24"/>
          <w:highlight w:val="none"/>
        </w:rPr>
      </w:pPr>
      <w:r>
        <w:rPr>
          <w:rFonts w:hint="eastAsia" w:ascii="Times New Roman" w:hAnsi="Times New Roman" w:cs="宋体"/>
          <w:spacing w:val="8"/>
          <w:kern w:val="0"/>
          <w:sz w:val="24"/>
          <w:szCs w:val="24"/>
          <w:highlight w:val="none"/>
        </w:rPr>
        <w:t>4.1视频监控单元功能要求</w:t>
      </w:r>
    </w:p>
    <w:tbl>
      <w:tblPr>
        <w:tblStyle w:val="34"/>
        <w:tblW w:w="9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1746"/>
        <w:gridCol w:w="6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39"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序号</w:t>
            </w:r>
          </w:p>
        </w:tc>
        <w:tc>
          <w:tcPr>
            <w:tcW w:w="1746"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项目</w:t>
            </w:r>
          </w:p>
        </w:tc>
        <w:tc>
          <w:tcPr>
            <w:tcW w:w="6631"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性能指标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39" w:type="dxa"/>
            <w:noWrap w:val="0"/>
            <w:vAlign w:val="center"/>
          </w:tcPr>
          <w:p>
            <w:pPr>
              <w:keepNext w:val="0"/>
              <w:pageBreakBefore w:val="0"/>
              <w:widowControl/>
              <w:kinsoku/>
              <w:wordWrap/>
              <w:overflowPunct/>
              <w:topLinePunct w:val="0"/>
              <w:bidi w:val="0"/>
              <w:spacing w:line="400" w:lineRule="exact"/>
              <w:jc w:val="center"/>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1</w:t>
            </w:r>
          </w:p>
        </w:tc>
        <w:tc>
          <w:tcPr>
            <w:tcW w:w="1746"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实时监控功能</w:t>
            </w:r>
          </w:p>
        </w:tc>
        <w:tc>
          <w:tcPr>
            <w:tcW w:w="6631"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可实现24小时不间断监控，实时获取监控区域内清晰的监控图像。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39" w:type="dxa"/>
            <w:noWrap w:val="0"/>
            <w:vAlign w:val="center"/>
          </w:tcPr>
          <w:p>
            <w:pPr>
              <w:keepNext w:val="0"/>
              <w:pageBreakBefore w:val="0"/>
              <w:widowControl/>
              <w:kinsoku/>
              <w:wordWrap/>
              <w:overflowPunct/>
              <w:topLinePunct w:val="0"/>
              <w:bidi w:val="0"/>
              <w:spacing w:line="400" w:lineRule="exact"/>
              <w:jc w:val="center"/>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2</w:t>
            </w:r>
          </w:p>
        </w:tc>
        <w:tc>
          <w:tcPr>
            <w:tcW w:w="1746"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云台操作功能</w:t>
            </w:r>
          </w:p>
        </w:tc>
        <w:tc>
          <w:tcPr>
            <w:tcW w:w="6631"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可实现全方位、多视角、无盲区、全天候式监控。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9" w:type="dxa"/>
            <w:noWrap w:val="0"/>
            <w:vAlign w:val="center"/>
          </w:tcPr>
          <w:p>
            <w:pPr>
              <w:keepNext w:val="0"/>
              <w:pageBreakBefore w:val="0"/>
              <w:widowControl/>
              <w:kinsoku/>
              <w:wordWrap/>
              <w:overflowPunct/>
              <w:topLinePunct w:val="0"/>
              <w:bidi w:val="0"/>
              <w:spacing w:line="400" w:lineRule="exact"/>
              <w:jc w:val="center"/>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3</w:t>
            </w:r>
          </w:p>
        </w:tc>
        <w:tc>
          <w:tcPr>
            <w:tcW w:w="1746"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录像存储功能</w:t>
            </w:r>
          </w:p>
        </w:tc>
        <w:tc>
          <w:tcPr>
            <w:tcW w:w="6631"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支持前端存储和中心存储两种模式，既可通过前端的视音信号接入视频处理单元存储数据，满足前端存储的需要，供事后调查取证；也可通过部署存储服务器和存储设备，满足大容量多通道并发的中心存储需要。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39" w:type="dxa"/>
            <w:noWrap w:val="0"/>
            <w:vAlign w:val="center"/>
          </w:tcPr>
          <w:p>
            <w:pPr>
              <w:keepNext w:val="0"/>
              <w:pageBreakBefore w:val="0"/>
              <w:widowControl/>
              <w:kinsoku/>
              <w:wordWrap/>
              <w:overflowPunct/>
              <w:topLinePunct w:val="0"/>
              <w:bidi w:val="0"/>
              <w:spacing w:line="400" w:lineRule="exact"/>
              <w:jc w:val="center"/>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4</w:t>
            </w:r>
          </w:p>
        </w:tc>
        <w:tc>
          <w:tcPr>
            <w:tcW w:w="1746"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远程维护功能</w:t>
            </w:r>
          </w:p>
        </w:tc>
        <w:tc>
          <w:tcPr>
            <w:tcW w:w="6631"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可通过平台软件对前端设备进行校时、重启、修正参数、软件升级、远程维护等操作。</w:t>
            </w:r>
          </w:p>
        </w:tc>
      </w:tr>
    </w:tbl>
    <w:p>
      <w:pPr>
        <w:keepNext w:val="0"/>
        <w:pageBreakBefore w:val="0"/>
        <w:kinsoku/>
        <w:wordWrap/>
        <w:overflowPunct/>
        <w:topLinePunct w:val="0"/>
        <w:bidi w:val="0"/>
        <w:spacing w:after="120" w:line="400" w:lineRule="exact"/>
        <w:ind w:firstLine="240" w:firstLineChars="100"/>
        <w:rPr>
          <w:rFonts w:hint="eastAsia" w:ascii="Times New Roman" w:hAnsi="Times New Roman"/>
          <w:sz w:val="24"/>
          <w:szCs w:val="20"/>
          <w:highlight w:val="none"/>
        </w:rPr>
      </w:pPr>
    </w:p>
    <w:p>
      <w:pPr>
        <w:keepNext w:val="0"/>
        <w:pageBreakBefore w:val="0"/>
        <w:widowControl/>
        <w:kinsoku/>
        <w:wordWrap/>
        <w:overflowPunct/>
        <w:topLinePunct w:val="0"/>
        <w:bidi w:val="0"/>
        <w:spacing w:line="400" w:lineRule="exact"/>
        <w:ind w:firstLine="256" w:firstLineChars="100"/>
        <w:jc w:val="left"/>
        <w:rPr>
          <w:rFonts w:hint="eastAsia" w:ascii="Times New Roman" w:hAnsi="Times New Roman" w:cs="宋体"/>
          <w:spacing w:val="8"/>
          <w:kern w:val="0"/>
          <w:sz w:val="24"/>
          <w:szCs w:val="24"/>
          <w:highlight w:val="none"/>
        </w:rPr>
      </w:pPr>
      <w:r>
        <w:rPr>
          <w:rFonts w:hint="eastAsia" w:ascii="Times New Roman" w:hAnsi="Times New Roman" w:cs="宋体"/>
          <w:spacing w:val="8"/>
          <w:kern w:val="0"/>
          <w:sz w:val="24"/>
          <w:szCs w:val="24"/>
          <w:highlight w:val="none"/>
        </w:rPr>
        <w:t>4.2前端视频监控设备布设要求</w:t>
      </w:r>
    </w:p>
    <w:tbl>
      <w:tblPr>
        <w:tblStyle w:val="34"/>
        <w:tblpPr w:leftFromText="180" w:rightFromText="180" w:vertAnchor="text" w:horzAnchor="page" w:tblpX="1536" w:tblpY="65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1695"/>
        <w:gridCol w:w="6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815"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序号</w:t>
            </w:r>
          </w:p>
        </w:tc>
        <w:tc>
          <w:tcPr>
            <w:tcW w:w="1695"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位置</w:t>
            </w:r>
          </w:p>
        </w:tc>
        <w:tc>
          <w:tcPr>
            <w:tcW w:w="6437"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815" w:type="dxa"/>
            <w:noWrap w:val="0"/>
            <w:vAlign w:val="center"/>
          </w:tcPr>
          <w:p>
            <w:pPr>
              <w:keepNext w:val="0"/>
              <w:pageBreakBefore w:val="0"/>
              <w:widowControl/>
              <w:kinsoku/>
              <w:wordWrap/>
              <w:overflowPunct/>
              <w:topLinePunct w:val="0"/>
              <w:bidi w:val="0"/>
              <w:spacing w:line="400" w:lineRule="exact"/>
              <w:jc w:val="center"/>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1</w:t>
            </w:r>
          </w:p>
        </w:tc>
        <w:tc>
          <w:tcPr>
            <w:tcW w:w="1695"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站房外取水口</w:t>
            </w:r>
          </w:p>
        </w:tc>
        <w:tc>
          <w:tcPr>
            <w:tcW w:w="6437"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安装在靠近取水口岸边，并考虑50年一遇的防洪要求，用于监控取水口及站房周边情况。监控设备可水平360度旋转，竖直-5～185度旋转。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815" w:type="dxa"/>
            <w:noWrap w:val="0"/>
            <w:vAlign w:val="center"/>
          </w:tcPr>
          <w:p>
            <w:pPr>
              <w:keepNext w:val="0"/>
              <w:pageBreakBefore w:val="0"/>
              <w:widowControl/>
              <w:kinsoku/>
              <w:wordWrap/>
              <w:overflowPunct/>
              <w:topLinePunct w:val="0"/>
              <w:bidi w:val="0"/>
              <w:spacing w:line="400" w:lineRule="exact"/>
              <w:jc w:val="center"/>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2</w:t>
            </w:r>
          </w:p>
        </w:tc>
        <w:tc>
          <w:tcPr>
            <w:tcW w:w="1695"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站房进门处</w:t>
            </w:r>
          </w:p>
        </w:tc>
        <w:tc>
          <w:tcPr>
            <w:tcW w:w="6437"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安装在站房大门附近墙壁上，用以监控人员进出站房情况。监控设备应配置枪机，固定监控视角。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815" w:type="dxa"/>
            <w:noWrap w:val="0"/>
            <w:vAlign w:val="center"/>
          </w:tcPr>
          <w:p>
            <w:pPr>
              <w:keepNext w:val="0"/>
              <w:pageBreakBefore w:val="0"/>
              <w:widowControl/>
              <w:kinsoku/>
              <w:wordWrap/>
              <w:overflowPunct/>
              <w:topLinePunct w:val="0"/>
              <w:bidi w:val="0"/>
              <w:spacing w:line="400" w:lineRule="exact"/>
              <w:jc w:val="center"/>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3</w:t>
            </w:r>
          </w:p>
        </w:tc>
        <w:tc>
          <w:tcPr>
            <w:tcW w:w="1695"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站房仪表间</w:t>
            </w:r>
          </w:p>
        </w:tc>
        <w:tc>
          <w:tcPr>
            <w:tcW w:w="6437"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安装在集成机柜正面墙壁上，用于监控仪表间内部设备运行情况。监控设备可水平360度旋转，竖直-5～185度旋转。</w:t>
            </w:r>
          </w:p>
        </w:tc>
      </w:tr>
    </w:tbl>
    <w:p>
      <w:pPr>
        <w:keepNext w:val="0"/>
        <w:pageBreakBefore w:val="0"/>
        <w:kinsoku/>
        <w:wordWrap/>
        <w:overflowPunct/>
        <w:topLinePunct w:val="0"/>
        <w:bidi w:val="0"/>
        <w:spacing w:line="400" w:lineRule="exact"/>
        <w:rPr>
          <w:rFonts w:hint="eastAsia" w:ascii="Times New Roman" w:hAnsi="Times New Roman"/>
          <w:sz w:val="24"/>
          <w:szCs w:val="20"/>
          <w:highlight w:val="none"/>
        </w:rPr>
      </w:pPr>
    </w:p>
    <w:p>
      <w:pPr>
        <w:keepNext w:val="0"/>
        <w:pageBreakBefore w:val="0"/>
        <w:widowControl/>
        <w:kinsoku/>
        <w:wordWrap/>
        <w:overflowPunct/>
        <w:topLinePunct w:val="0"/>
        <w:bidi w:val="0"/>
        <w:spacing w:line="400" w:lineRule="exact"/>
        <w:jc w:val="left"/>
        <w:rPr>
          <w:rFonts w:ascii="Times New Roman" w:hAnsi="Times New Roman" w:cs="宋体"/>
          <w:spacing w:val="8"/>
          <w:kern w:val="0"/>
          <w:sz w:val="24"/>
          <w:szCs w:val="24"/>
          <w:highlight w:val="none"/>
        </w:rPr>
      </w:pPr>
    </w:p>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 w:val="24"/>
          <w:szCs w:val="24"/>
          <w:highlight w:val="none"/>
        </w:rPr>
      </w:pPr>
      <w:r>
        <w:rPr>
          <w:rFonts w:hint="eastAsia" w:ascii="Times New Roman" w:hAnsi="Times New Roman" w:cs="宋体"/>
          <w:spacing w:val="8"/>
          <w:kern w:val="0"/>
          <w:sz w:val="24"/>
          <w:szCs w:val="24"/>
          <w:highlight w:val="none"/>
        </w:rPr>
        <w:t>4.3前端视频监控设备技术要求</w:t>
      </w:r>
    </w:p>
    <w:tbl>
      <w:tblPr>
        <w:tblStyle w:val="34"/>
        <w:tblpPr w:leftFromText="180" w:rightFromText="180" w:vertAnchor="text" w:horzAnchor="page" w:tblpX="1557" w:tblpY="268"/>
        <w:tblOverlap w:val="never"/>
        <w:tblW w:w="94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1740"/>
        <w:gridCol w:w="6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135"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序号</w:t>
            </w:r>
          </w:p>
        </w:tc>
        <w:tc>
          <w:tcPr>
            <w:tcW w:w="1740"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设备名称</w:t>
            </w:r>
          </w:p>
        </w:tc>
        <w:tc>
          <w:tcPr>
            <w:tcW w:w="6611"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135" w:type="dxa"/>
            <w:noWrap w:val="0"/>
            <w:vAlign w:val="center"/>
          </w:tcPr>
          <w:p>
            <w:pPr>
              <w:keepNext w:val="0"/>
              <w:pageBreakBefore w:val="0"/>
              <w:widowControl/>
              <w:kinsoku/>
              <w:wordWrap/>
              <w:overflowPunct/>
              <w:topLinePunct w:val="0"/>
              <w:bidi w:val="0"/>
              <w:spacing w:line="400" w:lineRule="exact"/>
              <w:jc w:val="center"/>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1</w:t>
            </w:r>
          </w:p>
        </w:tc>
        <w:tc>
          <w:tcPr>
            <w:tcW w:w="1740"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网络红外球型摄像机</w:t>
            </w:r>
          </w:p>
        </w:tc>
        <w:tc>
          <w:tcPr>
            <w:tcW w:w="6611"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球机带云台，可水平360度旋转，竖直-5～185度旋转；带红外，支持夜间查看。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1135" w:type="dxa"/>
            <w:noWrap w:val="0"/>
            <w:vAlign w:val="center"/>
          </w:tcPr>
          <w:p>
            <w:pPr>
              <w:keepNext w:val="0"/>
              <w:pageBreakBefore w:val="0"/>
              <w:widowControl/>
              <w:kinsoku/>
              <w:wordWrap/>
              <w:overflowPunct/>
              <w:topLinePunct w:val="0"/>
              <w:bidi w:val="0"/>
              <w:spacing w:line="400" w:lineRule="exact"/>
              <w:jc w:val="center"/>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2</w:t>
            </w:r>
          </w:p>
        </w:tc>
        <w:tc>
          <w:tcPr>
            <w:tcW w:w="1740" w:type="dxa"/>
            <w:noWrap w:val="0"/>
            <w:vAlign w:val="center"/>
          </w:tcPr>
          <w:p>
            <w:pPr>
              <w:keepNext w:val="0"/>
              <w:pageBreakBefore w:val="0"/>
              <w:widowControl/>
              <w:kinsoku/>
              <w:wordWrap/>
              <w:overflowPunct/>
              <w:topLinePunct w:val="0"/>
              <w:bidi w:val="0"/>
              <w:spacing w:line="400" w:lineRule="exact"/>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高清网络录像机</w:t>
            </w:r>
          </w:p>
        </w:tc>
        <w:tc>
          <w:tcPr>
            <w:tcW w:w="6611" w:type="dxa"/>
            <w:noWrap w:val="0"/>
            <w:vAlign w:val="center"/>
          </w:tcPr>
          <w:p>
            <w:pPr>
              <w:keepNext w:val="0"/>
              <w:pageBreakBefore w:val="0"/>
              <w:widowControl/>
              <w:kinsoku/>
              <w:wordWrap/>
              <w:overflowPunct/>
              <w:topLinePunct w:val="0"/>
              <w:bidi w:val="0"/>
              <w:spacing w:line="400" w:lineRule="exact"/>
              <w:ind w:firstLine="452" w:firstLineChars="200"/>
              <w:jc w:val="left"/>
              <w:rPr>
                <w:rFonts w:hint="eastAsia" w:ascii="Times New Roman" w:hAnsi="Times New Roman" w:cs="宋体"/>
                <w:spacing w:val="8"/>
                <w:kern w:val="0"/>
                <w:szCs w:val="21"/>
                <w:highlight w:val="none"/>
              </w:rPr>
            </w:pPr>
            <w:r>
              <w:rPr>
                <w:rFonts w:hint="eastAsia" w:ascii="Times New Roman" w:hAnsi="Times New Roman" w:cs="宋体"/>
                <w:spacing w:val="8"/>
                <w:kern w:val="0"/>
                <w:szCs w:val="21"/>
                <w:highlight w:val="none"/>
              </w:rPr>
              <w:t>应选用可接驳符合ONVIF、PSLA、RTSP标准及众多主流厂商的网络摄像机；支持不低于200万像素高清网络视频的预览、存储和回放；支持IPC集中管理，包括IPC参数配置、信息的导入/导出、语音对讲和升级等；支持智能搜索、回放及备份。</w:t>
            </w:r>
          </w:p>
        </w:tc>
      </w:tr>
    </w:tbl>
    <w:p>
      <w:pPr>
        <w:keepNext w:val="0"/>
        <w:pageBreakBefore w:val="0"/>
        <w:widowControl/>
        <w:kinsoku/>
        <w:wordWrap/>
        <w:overflowPunct/>
        <w:topLinePunct w:val="0"/>
        <w:bidi w:val="0"/>
        <w:spacing w:line="400" w:lineRule="exact"/>
        <w:jc w:val="left"/>
        <w:rPr>
          <w:rFonts w:ascii="Times New Roman" w:hAnsi="Times New Roman"/>
          <w:highlight w:val="none"/>
        </w:rPr>
      </w:pPr>
    </w:p>
    <w:p>
      <w:pPr>
        <w:keepNext w:val="0"/>
        <w:pageBreakBefore w:val="0"/>
        <w:widowControl/>
        <w:kinsoku/>
        <w:wordWrap/>
        <w:overflowPunct/>
        <w:topLinePunct w:val="0"/>
        <w:bidi w:val="0"/>
        <w:spacing w:line="400" w:lineRule="exact"/>
        <w:jc w:val="left"/>
        <w:rPr>
          <w:rFonts w:hint="eastAsia" w:ascii="Times New Roman" w:hAnsi="Times New Roman"/>
          <w:highlight w:val="none"/>
        </w:rPr>
      </w:pPr>
      <w:r>
        <w:rPr>
          <w:rFonts w:hint="eastAsia" w:ascii="Times New Roman" w:hAnsi="Times New Roman" w:cs="宋体"/>
          <w:spacing w:val="8"/>
          <w:kern w:val="0"/>
          <w:sz w:val="24"/>
          <w:szCs w:val="24"/>
          <w:highlight w:val="none"/>
          <w:lang w:val="en-US" w:eastAsia="zh-CN"/>
        </w:rPr>
        <w:t>19.</w:t>
      </w:r>
      <w:r>
        <w:rPr>
          <w:rFonts w:hint="eastAsia" w:ascii="Times New Roman" w:hAnsi="Times New Roman" w:cs="宋体"/>
          <w:spacing w:val="8"/>
          <w:kern w:val="0"/>
          <w:sz w:val="24"/>
          <w:szCs w:val="24"/>
          <w:highlight w:val="none"/>
        </w:rPr>
        <w:t>辅助系统</w:t>
      </w:r>
    </w:p>
    <w:p>
      <w:pPr>
        <w:keepNext w:val="0"/>
        <w:pageBreakBefore w:val="0"/>
        <w:kinsoku/>
        <w:wordWrap/>
        <w:overflowPunct/>
        <w:topLinePunct w:val="0"/>
        <w:bidi w:val="0"/>
        <w:spacing w:line="400" w:lineRule="exact"/>
        <w:ind w:firstLine="480" w:firstLineChars="200"/>
        <w:rPr>
          <w:rFonts w:ascii="Times New Roman" w:hAnsi="Times New Roman" w:cs="宋体"/>
          <w:sz w:val="24"/>
          <w:szCs w:val="24"/>
          <w:highlight w:val="none"/>
        </w:rPr>
      </w:pPr>
      <w:r>
        <w:rPr>
          <w:rFonts w:hint="eastAsia" w:ascii="Times New Roman" w:hAnsi="Times New Roman" w:cs="宋体"/>
          <w:sz w:val="24"/>
          <w:szCs w:val="24"/>
          <w:highlight w:val="none"/>
          <w:lang w:val="en-US" w:eastAsia="zh-CN"/>
        </w:rPr>
        <w:t>19.</w:t>
      </w:r>
      <w:r>
        <w:rPr>
          <w:rFonts w:hint="eastAsia" w:ascii="Times New Roman" w:hAnsi="Times New Roman" w:cs="宋体"/>
          <w:sz w:val="24"/>
          <w:szCs w:val="24"/>
          <w:highlight w:val="none"/>
        </w:rPr>
        <w:t>1系统配有稳压电源、UPS 电源，一旦出现过压或欠压情况，稳压电源可保站点用电正常；配备UPS，功率应保证监测房内各自动分析仪在断电时能继续完成本次测量周期，断电后至少能保证仪器完成一个测量周期和数据上传，且待机不少于1h，UPS不间断电源具有正弦波、断电保护、自动恢复、过载保护、故障诊断记录等功能，并采用知名品牌；</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19.</w:t>
      </w:r>
      <w:r>
        <w:rPr>
          <w:rFonts w:ascii="Times New Roman" w:hAnsi="Times New Roman" w:cs="宋体"/>
          <w:sz w:val="24"/>
          <w:szCs w:val="24"/>
          <w:highlight w:val="none"/>
        </w:rPr>
        <w:t>2</w:t>
      </w:r>
      <w:r>
        <w:rPr>
          <w:rFonts w:hint="eastAsia" w:ascii="Times New Roman" w:hAnsi="Times New Roman" w:cs="宋体"/>
          <w:sz w:val="24"/>
          <w:szCs w:val="24"/>
          <w:highlight w:val="none"/>
        </w:rPr>
        <w:t>动力环境系统应具备对地地表水自动站内的温湿度、市电、烟雾、漏水等进行集中监控，实现异常情况的实时报警等功能。系统所监控的指标或智能设备子系统主要包括：动力配电监测、温湿度监测、漏水监测、烟雾监测等并配置相应传感器。系统采用集中管理和监控，在自动站机柜内放置监控主机，对各个环境参数进行集中监测；</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19.</w:t>
      </w:r>
      <w:r>
        <w:rPr>
          <w:rFonts w:ascii="Times New Roman" w:hAnsi="Times New Roman" w:cs="宋体"/>
          <w:sz w:val="24"/>
          <w:szCs w:val="24"/>
          <w:highlight w:val="none"/>
        </w:rPr>
        <w:t>3</w:t>
      </w:r>
      <w:r>
        <w:rPr>
          <w:rFonts w:hint="eastAsia" w:ascii="Times New Roman" w:hAnsi="Times New Roman" w:cs="宋体"/>
          <w:sz w:val="24"/>
          <w:szCs w:val="24"/>
          <w:highlight w:val="none"/>
        </w:rPr>
        <w:t>配置无油静音空气压缩系统；</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19.</w:t>
      </w:r>
      <w:r>
        <w:rPr>
          <w:rFonts w:ascii="Times New Roman" w:hAnsi="Times New Roman" w:cs="宋体"/>
          <w:sz w:val="24"/>
          <w:szCs w:val="24"/>
          <w:highlight w:val="none"/>
        </w:rPr>
        <w:t>4</w:t>
      </w:r>
      <w:r>
        <w:rPr>
          <w:rFonts w:hint="eastAsia" w:ascii="Times New Roman" w:hAnsi="Times New Roman" w:cs="宋体"/>
          <w:sz w:val="24"/>
          <w:szCs w:val="24"/>
          <w:highlight w:val="none"/>
        </w:rPr>
        <w:t>防雷：系统配置全面的防感应雷措施，施工中应严格按照国家相关标准、规范进行设计、施工。相关的规范、标准、要求有：</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《计算机场地安全要求》</w:t>
      </w:r>
      <w:r>
        <w:rPr>
          <w:rFonts w:hint="eastAsia" w:ascii="Times New Roman" w:hAnsi="Times New Roman" w:cs="宋体"/>
          <w:sz w:val="24"/>
          <w:szCs w:val="24"/>
          <w:highlight w:val="none"/>
        </w:rPr>
        <w:tab/>
      </w:r>
      <w:r>
        <w:rPr>
          <w:rFonts w:hint="eastAsia" w:ascii="Times New Roman" w:hAnsi="Times New Roman" w:cs="宋体"/>
          <w:sz w:val="24"/>
          <w:szCs w:val="24"/>
          <w:highlight w:val="none"/>
        </w:rPr>
        <w:tab/>
      </w:r>
      <w:r>
        <w:rPr>
          <w:rFonts w:hint="eastAsia" w:ascii="Times New Roman" w:hAnsi="Times New Roman" w:cs="宋体"/>
          <w:sz w:val="24"/>
          <w:szCs w:val="24"/>
          <w:highlight w:val="none"/>
        </w:rPr>
        <w:t>GB2887-89</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 xml:space="preserve">《电子计算机机房设计规范》 </w:t>
      </w:r>
      <w:r>
        <w:rPr>
          <w:rFonts w:hint="eastAsia" w:ascii="Times New Roman" w:hAnsi="Times New Roman" w:cs="宋体"/>
          <w:sz w:val="24"/>
          <w:szCs w:val="24"/>
          <w:highlight w:val="none"/>
        </w:rPr>
        <w:tab/>
      </w:r>
      <w:r>
        <w:rPr>
          <w:rFonts w:hint="eastAsia" w:ascii="Times New Roman" w:hAnsi="Times New Roman" w:cs="宋体"/>
          <w:sz w:val="24"/>
          <w:szCs w:val="24"/>
          <w:highlight w:val="none"/>
        </w:rPr>
        <w:t>GB50174-93</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《建筑物防雷设计规范》</w:t>
      </w:r>
      <w:r>
        <w:rPr>
          <w:rFonts w:hint="eastAsia" w:ascii="Times New Roman" w:hAnsi="Times New Roman" w:cs="宋体"/>
          <w:sz w:val="24"/>
          <w:szCs w:val="24"/>
          <w:highlight w:val="none"/>
        </w:rPr>
        <w:tab/>
      </w:r>
      <w:r>
        <w:rPr>
          <w:rFonts w:hint="eastAsia" w:ascii="Times New Roman" w:hAnsi="Times New Roman" w:cs="宋体"/>
          <w:sz w:val="24"/>
          <w:szCs w:val="24"/>
          <w:highlight w:val="none"/>
        </w:rPr>
        <w:tab/>
      </w:r>
      <w:r>
        <w:rPr>
          <w:rFonts w:hint="eastAsia" w:ascii="Times New Roman" w:hAnsi="Times New Roman" w:cs="宋体"/>
          <w:sz w:val="24"/>
          <w:szCs w:val="24"/>
          <w:highlight w:val="none"/>
        </w:rPr>
        <w:t>GB50057-94</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19.</w:t>
      </w:r>
      <w:r>
        <w:rPr>
          <w:rFonts w:ascii="Times New Roman" w:hAnsi="Times New Roman" w:cs="宋体"/>
          <w:sz w:val="24"/>
          <w:szCs w:val="24"/>
          <w:highlight w:val="none"/>
        </w:rPr>
        <w:t>5</w:t>
      </w:r>
      <w:r>
        <w:rPr>
          <w:rFonts w:hint="eastAsia" w:ascii="Times New Roman" w:hAnsi="Times New Roman" w:cs="宋体"/>
          <w:sz w:val="24"/>
          <w:szCs w:val="24"/>
          <w:highlight w:val="none"/>
        </w:rPr>
        <w:t>室外防雷（建筑物雷电入侵防护，建筑物必须依据有关标准采取防直击雷的措施）主要是保护室外建筑物免受雷击引起火灾事故及人身安全事故，其防雷系统主要由接闪器、引下线和接地装置构成；</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19.</w:t>
      </w:r>
      <w:r>
        <w:rPr>
          <w:rFonts w:ascii="Times New Roman" w:hAnsi="Times New Roman" w:cs="宋体"/>
          <w:sz w:val="24"/>
          <w:szCs w:val="24"/>
          <w:highlight w:val="none"/>
        </w:rPr>
        <w:t>6</w:t>
      </w:r>
      <w:r>
        <w:rPr>
          <w:rFonts w:hint="eastAsia" w:ascii="Times New Roman" w:hAnsi="Times New Roman" w:cs="宋体"/>
          <w:sz w:val="24"/>
          <w:szCs w:val="24"/>
          <w:highlight w:val="none"/>
        </w:rPr>
        <w:t>室内防雷则是防止雷电和其它形式的过电压侵入设备中造成毁坏，这是外部防雷系统无法保证的，为了实现室内避雷，需要在各种电缆、金属管道以及相关设备上连接避雷及过压保护器，并实行等电位连接。总的原则符合GB50057-94 的要求；</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19.</w:t>
      </w:r>
      <w:r>
        <w:rPr>
          <w:rFonts w:ascii="Times New Roman" w:hAnsi="Times New Roman" w:cs="宋体"/>
          <w:sz w:val="24"/>
          <w:szCs w:val="24"/>
          <w:highlight w:val="none"/>
        </w:rPr>
        <w:t>7</w:t>
      </w:r>
      <w:r>
        <w:rPr>
          <w:rFonts w:hint="eastAsia" w:ascii="Times New Roman" w:hAnsi="Times New Roman" w:cs="宋体"/>
          <w:sz w:val="24"/>
          <w:szCs w:val="24"/>
          <w:highlight w:val="none"/>
        </w:rPr>
        <w:t>防盗：要求配备视频监控设备，实时观察内部与监测站周边环境；其他防盗措施；</w:t>
      </w:r>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lang w:val="en-US" w:eastAsia="zh-CN"/>
        </w:rPr>
        <w:t>19.</w:t>
      </w:r>
      <w:r>
        <w:rPr>
          <w:rFonts w:ascii="Times New Roman" w:hAnsi="Times New Roman" w:cs="宋体"/>
          <w:sz w:val="24"/>
          <w:szCs w:val="24"/>
          <w:highlight w:val="none"/>
        </w:rPr>
        <w:t>8</w:t>
      </w:r>
      <w:r>
        <w:rPr>
          <w:rFonts w:hint="eastAsia" w:ascii="Times New Roman" w:hAnsi="Times New Roman" w:cs="宋体"/>
          <w:sz w:val="24"/>
          <w:szCs w:val="24"/>
          <w:highlight w:val="none"/>
        </w:rPr>
        <w:t>消防：每个水站至少配备手持式灭火器一组（2个）；配备</w:t>
      </w:r>
      <w:r>
        <w:rPr>
          <w:rFonts w:ascii="Times New Roman" w:hAnsi="Times New Roman" w:cs="宋体"/>
          <w:sz w:val="24"/>
          <w:szCs w:val="24"/>
          <w:highlight w:val="none"/>
        </w:rPr>
        <w:t>悬挂式</w:t>
      </w:r>
      <w:r>
        <w:rPr>
          <w:rFonts w:hint="eastAsia" w:ascii="Times New Roman" w:hAnsi="Times New Roman" w:cs="宋体"/>
          <w:sz w:val="24"/>
          <w:szCs w:val="24"/>
          <w:highlight w:val="none"/>
        </w:rPr>
        <w:t>七氟丙烷自动</w:t>
      </w:r>
      <w:r>
        <w:rPr>
          <w:rFonts w:ascii="Times New Roman" w:hAnsi="Times New Roman" w:cs="宋体"/>
          <w:sz w:val="24"/>
          <w:szCs w:val="24"/>
          <w:highlight w:val="none"/>
        </w:rPr>
        <w:t>灭火器1</w:t>
      </w:r>
      <w:r>
        <w:rPr>
          <w:rFonts w:hint="eastAsia" w:ascii="Times New Roman" w:hAnsi="Times New Roman" w:cs="宋体"/>
          <w:sz w:val="24"/>
          <w:szCs w:val="24"/>
          <w:highlight w:val="none"/>
        </w:rPr>
        <w:t>组（至少1个），配置的自动灭火装置，需有国家强制性产品认证证书。自动灭火装置触发可靠，灭火时间短，灭火干粉对人和仪器无损害，体积美观实用，与站房和仪器系统整体协调，自动灭火器在发生火灾时</w:t>
      </w:r>
      <w:r>
        <w:rPr>
          <w:rFonts w:ascii="Times New Roman" w:hAnsi="Times New Roman" w:cs="宋体"/>
          <w:sz w:val="24"/>
          <w:szCs w:val="24"/>
          <w:highlight w:val="none"/>
        </w:rPr>
        <w:t>进行自动灭火操作。</w:t>
      </w:r>
      <w:r>
        <w:rPr>
          <w:rFonts w:hint="eastAsia" w:ascii="Times New Roman" w:hAnsi="Times New Roman" w:cs="宋体"/>
          <w:sz w:val="24"/>
          <w:szCs w:val="24"/>
          <w:highlight w:val="none"/>
        </w:rPr>
        <w:t>设施需放置合理、标识清晰，并参照国家相关规范实施；</w:t>
      </w:r>
    </w:p>
    <w:p>
      <w:pPr>
        <w:keepNext w:val="0"/>
        <w:pageBreakBefore w:val="0"/>
        <w:kinsoku/>
        <w:wordWrap/>
        <w:overflowPunct/>
        <w:topLinePunct w:val="0"/>
        <w:bidi w:val="0"/>
        <w:spacing w:line="400" w:lineRule="exact"/>
        <w:ind w:firstLine="480" w:firstLineChars="200"/>
        <w:rPr>
          <w:rFonts w:hint="eastAsia" w:ascii="Times New Roman" w:hAnsi="Times New Roman" w:eastAsia="宋体" w:cs="宋体"/>
          <w:sz w:val="24"/>
          <w:szCs w:val="24"/>
          <w:highlight w:val="none"/>
          <w:lang w:eastAsia="zh-CN"/>
        </w:rPr>
      </w:pPr>
      <w:r>
        <w:rPr>
          <w:rFonts w:hint="eastAsia" w:ascii="Times New Roman" w:hAnsi="Times New Roman" w:cs="宋体"/>
          <w:sz w:val="24"/>
          <w:szCs w:val="24"/>
          <w:highlight w:val="none"/>
          <w:lang w:val="en-US" w:eastAsia="zh-CN"/>
        </w:rPr>
        <w:t>19.</w:t>
      </w:r>
      <w:r>
        <w:rPr>
          <w:rFonts w:ascii="Times New Roman" w:hAnsi="Times New Roman" w:cs="宋体"/>
          <w:sz w:val="24"/>
          <w:szCs w:val="24"/>
          <w:highlight w:val="none"/>
        </w:rPr>
        <w:t>9</w:t>
      </w:r>
      <w:r>
        <w:rPr>
          <w:rFonts w:hint="eastAsia" w:ascii="Times New Roman" w:hAnsi="Times New Roman" w:cs="宋体"/>
          <w:sz w:val="24"/>
          <w:szCs w:val="24"/>
          <w:highlight w:val="none"/>
        </w:rPr>
        <w:t>保温、温湿度控制：温度控制在8℃～30℃</w:t>
      </w:r>
      <w:r>
        <w:rPr>
          <w:rFonts w:hint="eastAsia" w:ascii="Times New Roman" w:hAnsi="Times New Roman" w:cs="宋体"/>
          <w:sz w:val="24"/>
          <w:szCs w:val="24"/>
          <w:highlight w:val="none"/>
          <w:lang w:eastAsia="zh-CN"/>
        </w:rPr>
        <w:t>。</w:t>
      </w:r>
    </w:p>
    <w:p>
      <w:pPr>
        <w:keepNext w:val="0"/>
        <w:pageBreakBefore w:val="0"/>
        <w:kinsoku/>
        <w:wordWrap/>
        <w:overflowPunct/>
        <w:topLinePunct w:val="0"/>
        <w:bidi w:val="0"/>
        <w:spacing w:line="400" w:lineRule="exact"/>
        <w:ind w:firstLine="480" w:firstLineChars="200"/>
        <w:rPr>
          <w:rFonts w:hint="eastAsia" w:ascii="Times New Roman" w:hAnsi="Times New Roman" w:eastAsia="宋体" w:cs="宋体"/>
          <w:sz w:val="24"/>
          <w:szCs w:val="24"/>
          <w:highlight w:val="none"/>
          <w:lang w:val="en-US" w:eastAsia="zh-CN"/>
        </w:rPr>
      </w:pPr>
    </w:p>
    <w:p>
      <w:pPr>
        <w:pStyle w:val="264"/>
        <w:keepNext w:val="0"/>
        <w:pageBreakBefore w:val="0"/>
        <w:tabs>
          <w:tab w:val="left" w:pos="830"/>
        </w:tabs>
        <w:kinsoku/>
        <w:wordWrap/>
        <w:overflowPunct/>
        <w:topLinePunct w:val="0"/>
        <w:bidi w:val="0"/>
        <w:spacing w:line="400" w:lineRule="exact"/>
        <w:ind w:firstLine="0"/>
        <w:jc w:val="left"/>
        <w:outlineLvl w:val="1"/>
        <w:rPr>
          <w:rFonts w:ascii="Times New Roman" w:hAnsi="Times New Roman"/>
          <w:b/>
          <w:bCs/>
          <w:color w:val="000000"/>
          <w:sz w:val="24"/>
          <w:szCs w:val="24"/>
          <w:highlight w:val="none"/>
          <w:lang w:val="en-US" w:eastAsia="zh-CN"/>
        </w:rPr>
      </w:pPr>
      <w:bookmarkStart w:id="307" w:name="_Toc5611"/>
      <w:bookmarkStart w:id="308" w:name="_Toc115358597"/>
      <w:r>
        <w:rPr>
          <w:rFonts w:ascii="Times New Roman" w:hAnsi="Times New Roman"/>
          <w:b/>
          <w:bCs/>
          <w:color w:val="000000"/>
          <w:sz w:val="24"/>
          <w:szCs w:val="24"/>
          <w:highlight w:val="none"/>
          <w:lang w:val="en-US" w:eastAsia="zh-CN"/>
        </w:rPr>
        <w:t>11</w:t>
      </w:r>
      <w:r>
        <w:rPr>
          <w:rFonts w:hint="eastAsia" w:ascii="Times New Roman" w:hAnsi="Times New Roman"/>
          <w:b/>
          <w:bCs/>
          <w:color w:val="000000"/>
          <w:sz w:val="24"/>
          <w:szCs w:val="24"/>
          <w:highlight w:val="none"/>
          <w:lang w:val="en-US" w:eastAsia="zh-CN"/>
        </w:rPr>
        <w:t>、运行维护技术要求</w:t>
      </w:r>
      <w:bookmarkEnd w:id="307"/>
      <w:bookmarkEnd w:id="308"/>
    </w:p>
    <w:p>
      <w:pPr>
        <w:pStyle w:val="264"/>
        <w:keepNext w:val="0"/>
        <w:pageBreakBefore w:val="0"/>
        <w:tabs>
          <w:tab w:val="left" w:pos="830"/>
        </w:tabs>
        <w:kinsoku/>
        <w:wordWrap/>
        <w:overflowPunct/>
        <w:topLinePunct w:val="0"/>
        <w:bidi w:val="0"/>
        <w:spacing w:line="400" w:lineRule="exact"/>
        <w:ind w:firstLine="0"/>
        <w:jc w:val="left"/>
        <w:rPr>
          <w:rFonts w:hint="eastAsia" w:ascii="Times New Roman" w:hAnsi="Times New Roman"/>
          <w:b w:val="0"/>
          <w:bCs w:val="0"/>
          <w:sz w:val="24"/>
          <w:highlight w:val="none"/>
        </w:rPr>
      </w:pPr>
      <w:r>
        <w:rPr>
          <w:rFonts w:hint="eastAsia" w:ascii="Times New Roman" w:hAnsi="Times New Roman"/>
          <w:b w:val="0"/>
          <w:bCs w:val="0"/>
          <w:sz w:val="24"/>
          <w:highlight w:val="none"/>
        </w:rPr>
        <w:t>水质自动监测站运维要求</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1.运维内容</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中标方应提供本次新建水站运行维护工作，确保监测数据有足够的捕捉率和准确性；工作内容包括监测仪器的巡检保养、检测试剂耗材更换、提供备品备件及更换、仪器维修、检测仪器校验测试、站房保洁、按月提交数据报表、接受环境监测部门考核。运维时间为该项目验收之日起1年时间。（含运维期间的水电费及光纤费用，如遇到站点由上级部门进行事权上收，则运维日期自动终止。）</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2.具体要求</w:t>
      </w:r>
    </w:p>
    <w:p>
      <w:pPr>
        <w:keepNext w:val="0"/>
        <w:pageBreakBefore w:val="0"/>
        <w:kinsoku/>
        <w:wordWrap/>
        <w:overflowPunct/>
        <w:topLinePunct w:val="0"/>
        <w:bidi w:val="0"/>
        <w:spacing w:line="400" w:lineRule="exact"/>
        <w:ind w:firstLine="480" w:firstLineChars="200"/>
        <w:rPr>
          <w:rFonts w:hint="eastAsia" w:ascii="Times New Roman" w:hAnsi="Times New Roman" w:eastAsia="宋体"/>
          <w:sz w:val="24"/>
          <w:szCs w:val="24"/>
          <w:highlight w:val="none"/>
          <w:lang w:eastAsia="zh-CN"/>
        </w:rPr>
      </w:pPr>
      <w:r>
        <w:rPr>
          <w:rFonts w:hint="eastAsia" w:ascii="Times New Roman" w:hAnsi="Times New Roman"/>
          <w:sz w:val="24"/>
          <w:szCs w:val="24"/>
          <w:highlight w:val="none"/>
        </w:rPr>
        <w:t>①投标人为本项目配备的专职运维管理人员须持有经运维培训考核合格证，并且上岗证需在有效期内</w:t>
      </w:r>
      <w:r>
        <w:rPr>
          <w:rFonts w:hint="eastAsia" w:ascii="Times New Roman" w:hAnsi="Times New Roman"/>
          <w:sz w:val="24"/>
          <w:szCs w:val="24"/>
          <w:highlight w:val="none"/>
          <w:lang w:eastAsia="zh-CN"/>
        </w:rPr>
        <w:t>；</w:t>
      </w:r>
    </w:p>
    <w:p>
      <w:pPr>
        <w:keepNext w:val="0"/>
        <w:pageBreakBefore w:val="0"/>
        <w:kinsoku/>
        <w:wordWrap/>
        <w:overflowPunct/>
        <w:topLinePunct w:val="0"/>
        <w:bidi w:val="0"/>
        <w:spacing w:line="400" w:lineRule="exact"/>
        <w:ind w:firstLine="480" w:firstLineChars="200"/>
        <w:rPr>
          <w:rFonts w:hint="eastAsia" w:ascii="Times New Roman" w:hAnsi="Times New Roman" w:eastAsia="宋体"/>
          <w:sz w:val="24"/>
          <w:szCs w:val="24"/>
          <w:highlight w:val="none"/>
          <w:lang w:eastAsia="zh-CN"/>
        </w:rPr>
      </w:pPr>
      <w:r>
        <w:rPr>
          <w:rFonts w:hint="eastAsia" w:ascii="Times New Roman" w:hAnsi="Times New Roman"/>
          <w:sz w:val="24"/>
          <w:szCs w:val="24"/>
          <w:highlight w:val="none"/>
        </w:rPr>
        <w:t>②投标人须按照国家及浙江省相关技术规范要求对运营水站进行管理</w:t>
      </w:r>
      <w:r>
        <w:rPr>
          <w:rFonts w:hint="eastAsia" w:ascii="Times New Roman" w:hAnsi="Times New Roman"/>
          <w:sz w:val="24"/>
          <w:szCs w:val="24"/>
          <w:highlight w:val="none"/>
          <w:lang w:eastAsia="zh-CN"/>
        </w:rPr>
        <w:t>；</w:t>
      </w:r>
    </w:p>
    <w:p>
      <w:pPr>
        <w:keepNext w:val="0"/>
        <w:pageBreakBefore w:val="0"/>
        <w:kinsoku/>
        <w:wordWrap/>
        <w:overflowPunct/>
        <w:topLinePunct w:val="0"/>
        <w:bidi w:val="0"/>
        <w:spacing w:line="400" w:lineRule="exact"/>
        <w:ind w:firstLine="480" w:firstLineChars="200"/>
        <w:rPr>
          <w:rFonts w:hint="eastAsia" w:ascii="Times New Roman" w:hAnsi="Times New Roman" w:eastAsia="宋体"/>
          <w:sz w:val="24"/>
          <w:szCs w:val="24"/>
          <w:highlight w:val="none"/>
          <w:lang w:eastAsia="zh-CN"/>
        </w:rPr>
      </w:pPr>
      <w:r>
        <w:rPr>
          <w:rFonts w:hint="eastAsia" w:ascii="Times New Roman" w:hAnsi="Times New Roman"/>
          <w:sz w:val="24"/>
          <w:szCs w:val="24"/>
          <w:highlight w:val="none"/>
        </w:rPr>
        <w:t>③不论何时，投标人都应承担监测数据的保密责任</w:t>
      </w:r>
      <w:r>
        <w:rPr>
          <w:rFonts w:hint="eastAsia" w:ascii="Times New Roman" w:hAnsi="Times New Roman"/>
          <w:sz w:val="24"/>
          <w:szCs w:val="24"/>
          <w:highlight w:val="none"/>
          <w:lang w:eastAsia="zh-CN"/>
        </w:rPr>
        <w:t>；</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④投标人应在配备2名或以上的运行维护专业技术人员，必须配备专用工具，配备至少2辆专用运维车辆。</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3. 运维管理内容</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（1）提供、配制并定期更换水站仪器所需试剂；</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（2）定期更换水站系统和仪器所需备品备件；</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（3）对水站系统和仪器进行定期检修、保养；</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（4）及时排除水站系统和仪器出现的故障（由于地震、洪水和雷击等不可预防和不可抗拒因素造成的自动站系统及仪器损坏除外）；</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（5）对水站仪器进行定期校准、核查、比对、性能测试，提供并配置质控所需的标准物质；</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（6）配合采购人进行水站质量保证和质量质控工作；</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（7）随时接受采购人不定期的工作考核及质量考核；</w:t>
      </w:r>
    </w:p>
    <w:p>
      <w:pPr>
        <w:keepNext w:val="0"/>
        <w:pageBreakBefore w:val="0"/>
        <w:kinsoku/>
        <w:wordWrap/>
        <w:overflowPunct/>
        <w:topLinePunct w:val="0"/>
        <w:bidi w:val="0"/>
        <w:spacing w:line="400" w:lineRule="exact"/>
        <w:ind w:firstLine="480" w:firstLineChars="200"/>
        <w:rPr>
          <w:rFonts w:hint="eastAsia" w:ascii="Times New Roman" w:hAnsi="Times New Roman" w:eastAsia="宋体"/>
          <w:sz w:val="24"/>
          <w:szCs w:val="24"/>
          <w:highlight w:val="none"/>
          <w:lang w:eastAsia="zh-CN"/>
        </w:rPr>
      </w:pPr>
      <w:r>
        <w:rPr>
          <w:rFonts w:hint="eastAsia" w:ascii="Times New Roman" w:hAnsi="Times New Roman"/>
          <w:sz w:val="24"/>
          <w:szCs w:val="24"/>
          <w:highlight w:val="none"/>
        </w:rPr>
        <w:t>（8）保证站房清洁整齐</w:t>
      </w:r>
      <w:r>
        <w:rPr>
          <w:rFonts w:hint="eastAsia" w:ascii="Times New Roman" w:hAnsi="Times New Roman"/>
          <w:sz w:val="24"/>
          <w:szCs w:val="24"/>
          <w:highlight w:val="none"/>
          <w:lang w:eastAsia="zh-CN"/>
        </w:rPr>
        <w:t>；</w:t>
      </w:r>
    </w:p>
    <w:p>
      <w:pPr>
        <w:keepNext w:val="0"/>
        <w:pageBreakBefore w:val="0"/>
        <w:kinsoku/>
        <w:wordWrap/>
        <w:overflowPunct/>
        <w:topLinePunct w:val="0"/>
        <w:bidi w:val="0"/>
        <w:spacing w:line="400" w:lineRule="exact"/>
        <w:ind w:firstLine="480" w:firstLineChars="200"/>
        <w:rPr>
          <w:rFonts w:hint="eastAsia" w:ascii="Times New Roman" w:hAnsi="Times New Roman"/>
          <w:sz w:val="24"/>
          <w:szCs w:val="24"/>
          <w:highlight w:val="none"/>
        </w:rPr>
      </w:pPr>
      <w:r>
        <w:rPr>
          <w:rFonts w:hint="eastAsia" w:ascii="Times New Roman" w:hAnsi="Times New Roman"/>
          <w:sz w:val="24"/>
          <w:szCs w:val="24"/>
          <w:highlight w:val="none"/>
        </w:rPr>
        <w:t>（9）认真、及时做好各类记录。</w:t>
      </w:r>
    </w:p>
    <w:p>
      <w:pPr>
        <w:pStyle w:val="2"/>
        <w:keepNext w:val="0"/>
        <w:pageBreakBefore w:val="0"/>
        <w:kinsoku/>
        <w:wordWrap/>
        <w:overflowPunct/>
        <w:topLinePunct w:val="0"/>
        <w:bidi w:val="0"/>
        <w:spacing w:line="400" w:lineRule="exact"/>
        <w:rPr>
          <w:highlight w:val="none"/>
        </w:rPr>
      </w:pPr>
    </w:p>
    <w:p>
      <w:pPr>
        <w:pStyle w:val="3"/>
        <w:keepNext w:val="0"/>
        <w:pageBreakBefore w:val="0"/>
        <w:kinsoku/>
        <w:wordWrap/>
        <w:overflowPunct/>
        <w:topLinePunct w:val="0"/>
        <w:bidi w:val="0"/>
        <w:spacing w:line="400" w:lineRule="exact"/>
        <w:ind w:firstLine="210"/>
        <w:rPr>
          <w:rFonts w:hint="eastAsia"/>
          <w:highlight w:val="none"/>
        </w:rPr>
      </w:pPr>
    </w:p>
    <w:p>
      <w:pPr>
        <w:keepNext w:val="0"/>
        <w:pageBreakBefore w:val="0"/>
        <w:tabs>
          <w:tab w:val="left" w:pos="830"/>
        </w:tabs>
        <w:kinsoku/>
        <w:wordWrap/>
        <w:overflowPunct/>
        <w:topLinePunct w:val="0"/>
        <w:bidi w:val="0"/>
        <w:spacing w:line="400" w:lineRule="exact"/>
        <w:jc w:val="left"/>
        <w:outlineLvl w:val="1"/>
        <w:rPr>
          <w:rFonts w:ascii="Times New Roman" w:hAnsi="Times New Roman" w:cs="宋体"/>
          <w:b/>
          <w:bCs/>
          <w:color w:val="000000"/>
          <w:sz w:val="30"/>
          <w:szCs w:val="30"/>
          <w:highlight w:val="none"/>
          <w:lang w:bidi="zh-TW"/>
        </w:rPr>
      </w:pPr>
      <w:bookmarkStart w:id="309" w:name="_Toc31312"/>
      <w:bookmarkStart w:id="310" w:name="_Toc89034117"/>
      <w:bookmarkStart w:id="311" w:name="_Toc115358598"/>
      <w:r>
        <w:rPr>
          <w:rFonts w:ascii="Times New Roman" w:hAnsi="Times New Roman" w:cs="宋体"/>
          <w:b/>
          <w:bCs/>
          <w:color w:val="000000"/>
          <w:sz w:val="30"/>
          <w:szCs w:val="30"/>
          <w:highlight w:val="none"/>
          <w:lang w:bidi="zh-TW"/>
        </w:rPr>
        <w:t>12</w:t>
      </w:r>
      <w:r>
        <w:rPr>
          <w:rFonts w:hint="eastAsia" w:ascii="Times New Roman" w:hAnsi="Times New Roman" w:cs="宋体"/>
          <w:b/>
          <w:bCs/>
          <w:color w:val="000000"/>
          <w:sz w:val="30"/>
          <w:szCs w:val="30"/>
          <w:highlight w:val="none"/>
          <w:lang w:bidi="zh-TW"/>
        </w:rPr>
        <w:t>水站标牌制作规范要求</w:t>
      </w:r>
      <w:bookmarkEnd w:id="309"/>
      <w:bookmarkEnd w:id="310"/>
      <w:bookmarkEnd w:id="311"/>
    </w:p>
    <w:p>
      <w:pPr>
        <w:keepNext w:val="0"/>
        <w:pageBreakBefore w:val="0"/>
        <w:kinsoku/>
        <w:wordWrap/>
        <w:overflowPunct/>
        <w:topLinePunct w:val="0"/>
        <w:bidi w:val="0"/>
        <w:spacing w:line="400" w:lineRule="exact"/>
        <w:ind w:firstLine="480" w:firstLineChars="200"/>
        <w:rPr>
          <w:rFonts w:hint="eastAsia" w:ascii="Times New Roman" w:hAnsi="Times New Roman" w:cs="宋体"/>
          <w:sz w:val="24"/>
          <w:szCs w:val="24"/>
          <w:highlight w:val="none"/>
        </w:rPr>
      </w:pPr>
      <w:r>
        <w:rPr>
          <w:rFonts w:hint="eastAsia" w:ascii="Times New Roman" w:hAnsi="Times New Roman" w:cs="宋体"/>
          <w:sz w:val="24"/>
          <w:szCs w:val="24"/>
          <w:highlight w:val="none"/>
        </w:rPr>
        <w:t>中标人应负责站房标牌建设，技术要符合《国家地表水水质自动监测站文化建设方案（试行）》、浙江省水环境自动监测系统标牌制作规定》（浙环监函〔2021〕35号等通知的要求，相关费用应包含在投标总价中。</w:t>
      </w:r>
      <w:bookmarkEnd w:id="279"/>
      <w:bookmarkEnd w:id="280"/>
      <w:bookmarkEnd w:id="281"/>
      <w:bookmarkEnd w:id="282"/>
    </w:p>
    <w:p>
      <w:pPr>
        <w:keepNext w:val="0"/>
        <w:pageBreakBefore w:val="0"/>
        <w:kinsoku/>
        <w:wordWrap/>
        <w:overflowPunct/>
        <w:topLinePunct w:val="0"/>
        <w:bidi w:val="0"/>
        <w:spacing w:line="400" w:lineRule="exact"/>
        <w:rPr>
          <w:rFonts w:hint="eastAsia" w:ascii="宋体" w:hAnsi="宋体" w:eastAsia="宋体" w:cs="宋体"/>
          <w:b/>
          <w:bCs/>
          <w:kern w:val="2"/>
          <w:sz w:val="22"/>
          <w:szCs w:val="22"/>
          <w:highlight w:val="none"/>
          <w:lang w:val="en-US" w:eastAsia="zh-CN" w:bidi="ar-SA"/>
        </w:rPr>
      </w:pPr>
      <w:r>
        <w:rPr>
          <w:rFonts w:hint="eastAsia" w:ascii="宋体" w:hAnsi="宋体" w:eastAsia="宋体" w:cs="宋体"/>
          <w:b/>
          <w:bCs/>
          <w:kern w:val="2"/>
          <w:sz w:val="22"/>
          <w:szCs w:val="22"/>
          <w:highlight w:val="none"/>
          <w:lang w:val="en-US" w:eastAsia="zh-CN" w:bidi="ar-SA"/>
        </w:rPr>
        <w:br w:type="page"/>
      </w:r>
    </w:p>
    <w:p>
      <w:pPr>
        <w:keepNext w:val="0"/>
        <w:keepLines w:val="0"/>
        <w:pageBreakBefore w:val="0"/>
        <w:kinsoku/>
        <w:wordWrap/>
        <w:overflowPunct/>
        <w:topLinePunct w:val="0"/>
        <w:bidi w:val="0"/>
        <w:spacing w:line="400" w:lineRule="exact"/>
        <w:outlineLvl w:val="2"/>
        <w:rPr>
          <w:rFonts w:hint="default" w:ascii="宋体" w:hAnsi="宋体" w:eastAsia="宋体" w:cs="宋体"/>
          <w:b/>
          <w:bCs/>
          <w:color w:val="000000"/>
          <w:kern w:val="2"/>
          <w:sz w:val="24"/>
          <w:szCs w:val="24"/>
          <w:highlight w:val="none"/>
          <w:lang w:val="en-US" w:eastAsia="zh-CN"/>
        </w:rPr>
      </w:pPr>
      <w:bookmarkStart w:id="312" w:name="_Toc23928"/>
      <w:r>
        <w:rPr>
          <w:rFonts w:hint="eastAsia" w:ascii="宋体" w:hAnsi="宋体" w:eastAsia="宋体" w:cs="宋体"/>
          <w:b/>
          <w:bCs/>
          <w:color w:val="000000"/>
          <w:kern w:val="2"/>
          <w:sz w:val="24"/>
          <w:szCs w:val="24"/>
          <w:highlight w:val="none"/>
          <w:lang w:val="en-US" w:eastAsia="zh-CN"/>
        </w:rPr>
        <w:t>标段四：</w:t>
      </w:r>
      <w:r>
        <w:rPr>
          <w:rFonts w:hint="eastAsia" w:ascii="宋体" w:hAnsi="宋体" w:cs="宋体"/>
          <w:b/>
          <w:bCs/>
          <w:color w:val="000000"/>
          <w:kern w:val="2"/>
          <w:sz w:val="24"/>
          <w:szCs w:val="24"/>
          <w:highlight w:val="none"/>
          <w:lang w:val="en-US" w:eastAsia="zh-CN"/>
        </w:rPr>
        <w:t>平阳县埭头、江屿、小姜垟断面水质自动监测站站房及配套设施建设</w:t>
      </w:r>
      <w:bookmarkEnd w:id="312"/>
    </w:p>
    <w:tbl>
      <w:tblPr>
        <w:tblStyle w:val="34"/>
        <w:tblW w:w="10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074"/>
        <w:gridCol w:w="1806"/>
        <w:gridCol w:w="1095"/>
        <w:gridCol w:w="4562"/>
        <w:gridCol w:w="1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b/>
                <w:bCs/>
                <w:kern w:val="0"/>
                <w:sz w:val="22"/>
                <w:szCs w:val="22"/>
                <w:highlight w:val="none"/>
              </w:rPr>
            </w:pPr>
            <w:r>
              <w:rPr>
                <w:rFonts w:hint="eastAsia" w:ascii="宋体" w:hAnsi="宋体" w:eastAsia="宋体" w:cs="宋体"/>
                <w:b/>
                <w:bCs/>
                <w:kern w:val="0"/>
                <w:sz w:val="22"/>
                <w:szCs w:val="22"/>
                <w:highlight w:val="none"/>
              </w:rPr>
              <w:t>序号</w:t>
            </w:r>
          </w:p>
        </w:tc>
        <w:tc>
          <w:tcPr>
            <w:tcW w:w="1074" w:type="dxa"/>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b/>
                <w:bCs/>
                <w:kern w:val="0"/>
                <w:sz w:val="22"/>
                <w:szCs w:val="22"/>
                <w:highlight w:val="none"/>
              </w:rPr>
            </w:pPr>
            <w:r>
              <w:rPr>
                <w:rFonts w:hint="eastAsia" w:ascii="宋体" w:hAnsi="宋体" w:eastAsia="宋体" w:cs="宋体"/>
                <w:b/>
                <w:bCs/>
                <w:kern w:val="0"/>
                <w:sz w:val="22"/>
                <w:szCs w:val="22"/>
                <w:highlight w:val="none"/>
              </w:rPr>
              <w:t>项目</w:t>
            </w:r>
          </w:p>
        </w:tc>
        <w:tc>
          <w:tcPr>
            <w:tcW w:w="180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b/>
                <w:bCs/>
                <w:kern w:val="0"/>
                <w:sz w:val="22"/>
                <w:szCs w:val="22"/>
                <w:highlight w:val="none"/>
              </w:rPr>
            </w:pPr>
            <w:r>
              <w:rPr>
                <w:rFonts w:hint="eastAsia" w:ascii="宋体" w:hAnsi="宋体" w:eastAsia="宋体" w:cs="宋体"/>
                <w:b/>
                <w:bCs/>
                <w:kern w:val="0"/>
                <w:sz w:val="22"/>
                <w:szCs w:val="22"/>
                <w:highlight w:val="none"/>
              </w:rPr>
              <w:t>建设内容</w:t>
            </w:r>
          </w:p>
        </w:tc>
        <w:tc>
          <w:tcPr>
            <w:tcW w:w="1095"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b/>
                <w:bCs/>
                <w:kern w:val="0"/>
                <w:sz w:val="22"/>
                <w:szCs w:val="22"/>
                <w:highlight w:val="none"/>
              </w:rPr>
            </w:pPr>
            <w:r>
              <w:rPr>
                <w:rFonts w:hint="eastAsia" w:ascii="宋体" w:hAnsi="宋体" w:eastAsia="宋体" w:cs="宋体"/>
                <w:b/>
                <w:bCs/>
                <w:kern w:val="0"/>
                <w:sz w:val="22"/>
                <w:szCs w:val="22"/>
                <w:highlight w:val="none"/>
              </w:rPr>
              <w:t>数量</w:t>
            </w:r>
          </w:p>
        </w:tc>
        <w:tc>
          <w:tcPr>
            <w:tcW w:w="4562"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b/>
                <w:bCs/>
                <w:kern w:val="0"/>
                <w:sz w:val="22"/>
                <w:szCs w:val="22"/>
                <w:highlight w:val="none"/>
              </w:rPr>
            </w:pPr>
            <w:r>
              <w:rPr>
                <w:rFonts w:hint="eastAsia" w:ascii="宋体" w:hAnsi="宋体" w:eastAsia="宋体" w:cs="宋体"/>
                <w:b/>
                <w:bCs/>
                <w:kern w:val="0"/>
                <w:sz w:val="22"/>
                <w:szCs w:val="22"/>
                <w:highlight w:val="none"/>
              </w:rPr>
              <w:t>基本要求</w:t>
            </w:r>
          </w:p>
        </w:tc>
        <w:tc>
          <w:tcPr>
            <w:tcW w:w="1067"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default" w:ascii="宋体" w:hAnsi="宋体" w:eastAsia="宋体" w:cs="宋体"/>
                <w:b/>
                <w:bCs/>
                <w:kern w:val="0"/>
                <w:sz w:val="22"/>
                <w:szCs w:val="22"/>
                <w:highlight w:val="none"/>
                <w:lang w:val="en-US" w:eastAsia="zh-CN"/>
              </w:rPr>
            </w:pPr>
            <w:r>
              <w:rPr>
                <w:rFonts w:hint="eastAsia" w:ascii="宋体" w:hAnsi="宋体" w:eastAsia="宋体" w:cs="宋体"/>
                <w:b/>
                <w:bCs/>
                <w:kern w:val="0"/>
                <w:sz w:val="22"/>
                <w:szCs w:val="22"/>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8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w:t>
            </w:r>
          </w:p>
        </w:tc>
        <w:tc>
          <w:tcPr>
            <w:tcW w:w="1074" w:type="dxa"/>
            <w:vMerge w:val="restart"/>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站房及辅助集成部分</w:t>
            </w:r>
          </w:p>
        </w:tc>
        <w:tc>
          <w:tcPr>
            <w:tcW w:w="180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三通一平</w:t>
            </w:r>
          </w:p>
        </w:tc>
        <w:tc>
          <w:tcPr>
            <w:tcW w:w="1095"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3套</w:t>
            </w:r>
          </w:p>
        </w:tc>
        <w:tc>
          <w:tcPr>
            <w:tcW w:w="4562"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土地平整、通水、通电、路通</w:t>
            </w:r>
          </w:p>
        </w:tc>
        <w:tc>
          <w:tcPr>
            <w:tcW w:w="1067"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68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2</w:t>
            </w:r>
          </w:p>
        </w:tc>
        <w:tc>
          <w:tcPr>
            <w:tcW w:w="1074" w:type="dxa"/>
            <w:vMerge w:val="continue"/>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p>
        </w:tc>
        <w:tc>
          <w:tcPr>
            <w:tcW w:w="180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sz w:val="22"/>
                <w:szCs w:val="22"/>
                <w:highlight w:val="none"/>
              </w:rPr>
              <w:t>站房单元</w:t>
            </w:r>
          </w:p>
        </w:tc>
        <w:tc>
          <w:tcPr>
            <w:tcW w:w="1095"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sz w:val="22"/>
                <w:szCs w:val="22"/>
                <w:highlight w:val="none"/>
              </w:rPr>
              <w:t>3套</w:t>
            </w:r>
          </w:p>
        </w:tc>
        <w:tc>
          <w:tcPr>
            <w:tcW w:w="4562" w:type="dxa"/>
            <w:noWrap/>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小姜垟水站面积不小于40平方米、埭头、江屿水站面积不小于20平方米；含实验台、站房照明、办公桌椅、冰柜、电子人脸识别门禁等，具体详见技术要求。</w:t>
            </w:r>
          </w:p>
          <w:p>
            <w:pPr>
              <w:pStyle w:val="2"/>
              <w:rPr>
                <w:rFonts w:hint="eastAsia"/>
                <w:highlight w:val="none"/>
              </w:rPr>
            </w:pPr>
            <w:r>
              <w:rPr>
                <w:rFonts w:hint="eastAsia" w:ascii="宋体" w:hAnsi="宋体" w:eastAsia="宋体" w:cs="宋体"/>
                <w:kern w:val="0"/>
                <w:sz w:val="22"/>
                <w:szCs w:val="22"/>
                <w:highlight w:val="none"/>
              </w:rPr>
              <w:t>防止雨雪聚积。站房门宽度不小于1.3米，高度不小于2米。站房室内地面到天花板高度不小于2.6m</w:t>
            </w:r>
          </w:p>
        </w:tc>
        <w:tc>
          <w:tcPr>
            <w:tcW w:w="1067" w:type="dxa"/>
            <w:noWrap/>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8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w:t>
            </w:r>
          </w:p>
        </w:tc>
        <w:tc>
          <w:tcPr>
            <w:tcW w:w="1074" w:type="dxa"/>
            <w:vMerge w:val="continue"/>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textAlignment w:val="center"/>
              <w:rPr>
                <w:rFonts w:hint="eastAsia" w:ascii="宋体" w:hAnsi="宋体" w:eastAsia="宋体" w:cs="宋体"/>
                <w:kern w:val="0"/>
                <w:sz w:val="22"/>
                <w:szCs w:val="22"/>
                <w:highlight w:val="none"/>
              </w:rPr>
            </w:pPr>
          </w:p>
        </w:tc>
        <w:tc>
          <w:tcPr>
            <w:tcW w:w="180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textAlignment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采水单元</w:t>
            </w:r>
          </w:p>
        </w:tc>
        <w:tc>
          <w:tcPr>
            <w:tcW w:w="1095"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textAlignment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3套</w:t>
            </w:r>
          </w:p>
        </w:tc>
        <w:tc>
          <w:tcPr>
            <w:tcW w:w="4562"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textAlignment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满足系统供水要求</w:t>
            </w:r>
          </w:p>
        </w:tc>
        <w:tc>
          <w:tcPr>
            <w:tcW w:w="1067"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textAlignment w:val="center"/>
              <w:rPr>
                <w:rFonts w:hint="eastAsia" w:ascii="宋体" w:hAnsi="宋体" w:eastAsia="宋体" w:cs="宋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8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4</w:t>
            </w:r>
          </w:p>
        </w:tc>
        <w:tc>
          <w:tcPr>
            <w:tcW w:w="1074" w:type="dxa"/>
            <w:vMerge w:val="continue"/>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textAlignment w:val="center"/>
              <w:rPr>
                <w:rFonts w:hint="eastAsia" w:ascii="宋体" w:hAnsi="宋体" w:eastAsia="宋体" w:cs="宋体"/>
                <w:kern w:val="0"/>
                <w:sz w:val="22"/>
                <w:szCs w:val="22"/>
                <w:highlight w:val="none"/>
              </w:rPr>
            </w:pPr>
          </w:p>
        </w:tc>
        <w:tc>
          <w:tcPr>
            <w:tcW w:w="180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textAlignment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视频监控</w:t>
            </w:r>
          </w:p>
        </w:tc>
        <w:tc>
          <w:tcPr>
            <w:tcW w:w="1095"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textAlignment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3套</w:t>
            </w:r>
          </w:p>
        </w:tc>
        <w:tc>
          <w:tcPr>
            <w:tcW w:w="4562"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室内监控、大门监控、采水监控、视频存储设备、显示器等</w:t>
            </w:r>
          </w:p>
        </w:tc>
        <w:tc>
          <w:tcPr>
            <w:tcW w:w="1067"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8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5</w:t>
            </w:r>
          </w:p>
        </w:tc>
        <w:tc>
          <w:tcPr>
            <w:tcW w:w="1074" w:type="dxa"/>
            <w:vMerge w:val="continue"/>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p>
        </w:tc>
        <w:tc>
          <w:tcPr>
            <w:tcW w:w="180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消防装置</w:t>
            </w:r>
          </w:p>
        </w:tc>
        <w:tc>
          <w:tcPr>
            <w:tcW w:w="1095"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3套</w:t>
            </w:r>
          </w:p>
        </w:tc>
        <w:tc>
          <w:tcPr>
            <w:tcW w:w="4562"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p>
        </w:tc>
        <w:tc>
          <w:tcPr>
            <w:tcW w:w="1067"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8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6</w:t>
            </w:r>
          </w:p>
        </w:tc>
        <w:tc>
          <w:tcPr>
            <w:tcW w:w="1074" w:type="dxa"/>
            <w:vMerge w:val="continue"/>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p>
        </w:tc>
        <w:tc>
          <w:tcPr>
            <w:tcW w:w="180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空调</w:t>
            </w:r>
          </w:p>
        </w:tc>
        <w:tc>
          <w:tcPr>
            <w:tcW w:w="1095"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4台</w:t>
            </w:r>
          </w:p>
        </w:tc>
        <w:tc>
          <w:tcPr>
            <w:tcW w:w="4562"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功率不小于3P，</w:t>
            </w:r>
            <w:r>
              <w:rPr>
                <w:rFonts w:hint="eastAsia" w:ascii="宋体" w:hAnsi="宋体" w:eastAsia="宋体" w:cs="宋体"/>
                <w:sz w:val="22"/>
                <w:szCs w:val="22"/>
                <w:highlight w:val="none"/>
              </w:rPr>
              <w:t>小姜垟2台，</w:t>
            </w:r>
            <w:r>
              <w:rPr>
                <w:rFonts w:hint="eastAsia" w:ascii="宋体" w:hAnsi="宋体" w:eastAsia="宋体" w:cs="宋体"/>
                <w:kern w:val="0"/>
                <w:sz w:val="22"/>
                <w:szCs w:val="22"/>
                <w:highlight w:val="none"/>
              </w:rPr>
              <w:t>来电自启动</w:t>
            </w:r>
          </w:p>
        </w:tc>
        <w:tc>
          <w:tcPr>
            <w:tcW w:w="1067"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8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7</w:t>
            </w:r>
          </w:p>
        </w:tc>
        <w:tc>
          <w:tcPr>
            <w:tcW w:w="1074" w:type="dxa"/>
            <w:vMerge w:val="continue"/>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p>
        </w:tc>
        <w:tc>
          <w:tcPr>
            <w:tcW w:w="180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防雷建设及报告</w:t>
            </w:r>
          </w:p>
        </w:tc>
        <w:tc>
          <w:tcPr>
            <w:tcW w:w="1095"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3套</w:t>
            </w:r>
          </w:p>
        </w:tc>
        <w:tc>
          <w:tcPr>
            <w:tcW w:w="4562"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满足相关防雷验收规范</w:t>
            </w:r>
          </w:p>
        </w:tc>
        <w:tc>
          <w:tcPr>
            <w:tcW w:w="1067"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8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8</w:t>
            </w:r>
          </w:p>
        </w:tc>
        <w:tc>
          <w:tcPr>
            <w:tcW w:w="1074" w:type="dxa"/>
            <w:vMerge w:val="continue"/>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p>
        </w:tc>
        <w:tc>
          <w:tcPr>
            <w:tcW w:w="180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网络通讯</w:t>
            </w:r>
          </w:p>
        </w:tc>
        <w:tc>
          <w:tcPr>
            <w:tcW w:w="1095"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3套</w:t>
            </w:r>
          </w:p>
        </w:tc>
        <w:tc>
          <w:tcPr>
            <w:tcW w:w="4562"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环保专网，带宽≥20Mb</w:t>
            </w:r>
          </w:p>
        </w:tc>
        <w:tc>
          <w:tcPr>
            <w:tcW w:w="1067"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68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9</w:t>
            </w:r>
          </w:p>
        </w:tc>
        <w:tc>
          <w:tcPr>
            <w:tcW w:w="1074" w:type="dxa"/>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水站</w:t>
            </w:r>
          </w:p>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文化</w:t>
            </w:r>
          </w:p>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建设</w:t>
            </w:r>
          </w:p>
        </w:tc>
        <w:tc>
          <w:tcPr>
            <w:tcW w:w="1806"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文化建设</w:t>
            </w:r>
          </w:p>
        </w:tc>
        <w:tc>
          <w:tcPr>
            <w:tcW w:w="1095"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3套</w:t>
            </w:r>
          </w:p>
        </w:tc>
        <w:tc>
          <w:tcPr>
            <w:tcW w:w="4562"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　符合《国家地表水水质自动监测站文化建设方案（试行）》的通知，含站房箱体式LOGO标牌、水站标志牌、水站简介牌、系统流程图、流域表征图、运维管理体系图</w:t>
            </w:r>
          </w:p>
        </w:tc>
        <w:tc>
          <w:tcPr>
            <w:tcW w:w="1067" w:type="dxa"/>
            <w:noWrap/>
            <w:vAlign w:val="center"/>
          </w:tcPr>
          <w:p>
            <w:pPr>
              <w:keepNext w:val="0"/>
              <w:keepLines w:val="0"/>
              <w:pageBreakBefore w:val="0"/>
              <w:widowControl/>
              <w:kinsoku/>
              <w:wordWrap/>
              <w:overflowPunct/>
              <w:topLinePunct w:val="0"/>
              <w:autoSpaceDE/>
              <w:autoSpaceDN/>
              <w:bidi w:val="0"/>
              <w:adjustRightInd/>
              <w:snapToGrid w:val="0"/>
              <w:spacing w:line="400" w:lineRule="exact"/>
              <w:contextualSpacing/>
              <w:jc w:val="left"/>
              <w:rPr>
                <w:rFonts w:hint="eastAsia" w:ascii="宋体" w:hAnsi="宋体" w:eastAsia="宋体" w:cs="宋体"/>
                <w:kern w:val="0"/>
                <w:sz w:val="22"/>
                <w:szCs w:val="22"/>
                <w:highlight w:val="none"/>
              </w:rPr>
            </w:pPr>
          </w:p>
        </w:tc>
      </w:tr>
    </w:tbl>
    <w:p>
      <w:pPr>
        <w:keepNext w:val="0"/>
        <w:keepLines w:val="0"/>
        <w:pageBreakBefore w:val="0"/>
        <w:widowControl/>
        <w:kinsoku/>
        <w:wordWrap/>
        <w:overflowPunct/>
        <w:topLinePunct w:val="0"/>
        <w:bidi w:val="0"/>
        <w:spacing w:line="400" w:lineRule="exact"/>
        <w:jc w:val="left"/>
        <w:rPr>
          <w:rFonts w:hint="eastAsia" w:ascii="宋体" w:hAnsi="宋体" w:eastAsia="宋体" w:cs="宋体"/>
          <w:b/>
          <w:sz w:val="22"/>
          <w:szCs w:val="22"/>
          <w:highlight w:val="none"/>
        </w:rPr>
      </w:pPr>
    </w:p>
    <w:p>
      <w:pPr>
        <w:keepNext w:val="0"/>
        <w:keepLines w:val="0"/>
        <w:pageBreakBefore w:val="0"/>
        <w:widowControl/>
        <w:kinsoku/>
        <w:wordWrap/>
        <w:overflowPunct/>
        <w:topLinePunct w:val="0"/>
        <w:bidi w:val="0"/>
        <w:spacing w:line="400" w:lineRule="exact"/>
        <w:ind w:right="252" w:rightChars="120"/>
        <w:rPr>
          <w:rFonts w:hint="eastAsia" w:ascii="宋体" w:hAnsi="宋体" w:eastAsia="宋体" w:cs="宋体"/>
          <w:b/>
          <w:sz w:val="28"/>
          <w:szCs w:val="28"/>
          <w:highlight w:val="none"/>
          <w:lang w:eastAsia="zh-CN"/>
        </w:rPr>
      </w:pPr>
      <w:r>
        <w:rPr>
          <w:rFonts w:hint="eastAsia" w:ascii="宋体" w:hAnsi="宋体" w:eastAsia="宋体" w:cs="宋体"/>
          <w:b/>
          <w:sz w:val="28"/>
          <w:szCs w:val="28"/>
          <w:highlight w:val="none"/>
        </w:rPr>
        <w:t>技术</w:t>
      </w:r>
      <w:r>
        <w:rPr>
          <w:rFonts w:hint="eastAsia" w:ascii="宋体" w:hAnsi="宋体" w:eastAsia="宋体" w:cs="宋体"/>
          <w:b/>
          <w:sz w:val="28"/>
          <w:szCs w:val="28"/>
          <w:highlight w:val="none"/>
          <w:lang w:val="en-US" w:eastAsia="zh-CN"/>
        </w:rPr>
        <w:t>参数及</w:t>
      </w:r>
      <w:r>
        <w:rPr>
          <w:rFonts w:hint="eastAsia" w:ascii="宋体" w:hAnsi="宋体" w:eastAsia="宋体" w:cs="宋体"/>
          <w:b/>
          <w:sz w:val="28"/>
          <w:szCs w:val="28"/>
          <w:highlight w:val="none"/>
        </w:rPr>
        <w:t>要求</w:t>
      </w:r>
      <w:r>
        <w:rPr>
          <w:rFonts w:hint="eastAsia" w:ascii="宋体" w:hAnsi="宋体" w:eastAsia="宋体" w:cs="宋体"/>
          <w:b/>
          <w:sz w:val="28"/>
          <w:szCs w:val="28"/>
          <w:highlight w:val="none"/>
          <w:lang w:eastAsia="zh-CN"/>
        </w:rPr>
        <w:t>：</w:t>
      </w:r>
    </w:p>
    <w:p>
      <w:pPr>
        <w:pStyle w:val="264"/>
        <w:keepNext w:val="0"/>
        <w:pageBreakBefore w:val="0"/>
        <w:shd w:val="clear" w:color="auto" w:fill="auto"/>
        <w:tabs>
          <w:tab w:val="left" w:pos="830"/>
        </w:tabs>
        <w:kinsoku/>
        <w:wordWrap/>
        <w:overflowPunct/>
        <w:topLinePunct w:val="0"/>
        <w:bidi w:val="0"/>
        <w:spacing w:line="400" w:lineRule="exact"/>
        <w:ind w:firstLine="0"/>
        <w:jc w:val="left"/>
        <w:outlineLvl w:val="1"/>
        <w:rPr>
          <w:rFonts w:hint="eastAsia" w:ascii="Times New Roman" w:hAnsi="Times New Roman" w:eastAsia="宋体" w:cs="宋体"/>
          <w:b/>
          <w:bCs/>
          <w:color w:val="000000"/>
          <w:sz w:val="24"/>
          <w:szCs w:val="24"/>
          <w:highlight w:val="none"/>
          <w:lang w:val="en-US" w:eastAsia="zh-CN"/>
        </w:rPr>
      </w:pPr>
      <w:bookmarkStart w:id="313" w:name="_Toc9959"/>
      <w:r>
        <w:rPr>
          <w:rFonts w:hint="eastAsia" w:ascii="Times New Roman" w:hAnsi="Times New Roman" w:eastAsia="宋体" w:cs="宋体"/>
          <w:b/>
          <w:bCs/>
          <w:color w:val="000000"/>
          <w:sz w:val="24"/>
          <w:szCs w:val="24"/>
          <w:highlight w:val="none"/>
          <w:lang w:val="en-US" w:eastAsia="zh-CN"/>
        </w:rPr>
        <w:t>（一）基本要求：</w:t>
      </w:r>
      <w:bookmarkEnd w:id="313"/>
    </w:p>
    <w:p>
      <w:pPr>
        <w:keepNext w:val="0"/>
        <w:keepLines w:val="0"/>
        <w:pageBreakBefore w:val="0"/>
        <w:numPr>
          <w:ilvl w:val="0"/>
          <w:numId w:val="31"/>
        </w:numPr>
        <w:kinsoku/>
        <w:wordWrap/>
        <w:overflowPunct/>
        <w:topLinePunct w:val="0"/>
        <w:bidi w:val="0"/>
        <w:spacing w:line="400" w:lineRule="exact"/>
        <w:ind w:left="425" w:leftChars="0" w:hanging="425" w:firstLineChars="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站房主体采用钢架结构，应符合《门式刚架轻型房屋钢结构技术规范》（GB 51022）的要求，可抗50年一遇洪水</w:t>
      </w:r>
      <w:r>
        <w:rPr>
          <w:rFonts w:hint="eastAsia" w:ascii="宋体" w:hAnsi="宋体" w:cs="宋体"/>
          <w:kern w:val="0"/>
          <w:sz w:val="22"/>
          <w:szCs w:val="22"/>
          <w:highlight w:val="none"/>
          <w:lang w:eastAsia="zh-CN"/>
        </w:rPr>
        <w:t>；</w:t>
      </w:r>
    </w:p>
    <w:p>
      <w:pPr>
        <w:keepNext w:val="0"/>
        <w:keepLines w:val="0"/>
        <w:pageBreakBefore w:val="0"/>
        <w:numPr>
          <w:ilvl w:val="0"/>
          <w:numId w:val="31"/>
        </w:numPr>
        <w:kinsoku/>
        <w:wordWrap/>
        <w:overflowPunct/>
        <w:topLinePunct w:val="0"/>
        <w:bidi w:val="0"/>
        <w:spacing w:line="400" w:lineRule="exact"/>
        <w:ind w:left="425" w:leftChars="0" w:hanging="425" w:firstLineChars="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站房应采用混凝土预先浇筑地基，厚度不低于30cm，遇软弱地基时做相应的地基处理</w:t>
      </w:r>
      <w:r>
        <w:rPr>
          <w:rFonts w:hint="eastAsia" w:ascii="宋体" w:hAnsi="宋体" w:cs="宋体"/>
          <w:kern w:val="0"/>
          <w:sz w:val="22"/>
          <w:szCs w:val="22"/>
          <w:highlight w:val="none"/>
          <w:lang w:eastAsia="zh-CN"/>
        </w:rPr>
        <w:t>；</w:t>
      </w:r>
    </w:p>
    <w:p>
      <w:pPr>
        <w:keepNext w:val="0"/>
        <w:keepLines w:val="0"/>
        <w:pageBreakBefore w:val="0"/>
        <w:numPr>
          <w:ilvl w:val="0"/>
          <w:numId w:val="31"/>
        </w:numPr>
        <w:kinsoku/>
        <w:wordWrap/>
        <w:overflowPunct/>
        <w:topLinePunct w:val="0"/>
        <w:bidi w:val="0"/>
        <w:spacing w:line="400" w:lineRule="exact"/>
        <w:ind w:left="425" w:leftChars="0" w:hanging="425" w:firstLineChars="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站房应进行隔热保温处理，保温层厚度不小于7.5cm，采用保温防火材质，窗户为双层密封结构，确保站房内温度控制在25～35℃之间</w:t>
      </w:r>
      <w:r>
        <w:rPr>
          <w:rFonts w:hint="eastAsia" w:ascii="宋体" w:hAnsi="宋体" w:cs="宋体"/>
          <w:kern w:val="0"/>
          <w:sz w:val="22"/>
          <w:szCs w:val="22"/>
          <w:highlight w:val="none"/>
          <w:lang w:eastAsia="zh-CN"/>
        </w:rPr>
        <w:t>；</w:t>
      </w:r>
    </w:p>
    <w:p>
      <w:pPr>
        <w:keepNext w:val="0"/>
        <w:keepLines w:val="0"/>
        <w:pageBreakBefore w:val="0"/>
        <w:numPr>
          <w:ilvl w:val="0"/>
          <w:numId w:val="31"/>
        </w:numPr>
        <w:kinsoku/>
        <w:wordWrap/>
        <w:overflowPunct/>
        <w:topLinePunct w:val="0"/>
        <w:bidi w:val="0"/>
        <w:spacing w:line="400" w:lineRule="exact"/>
        <w:ind w:left="425" w:leftChars="0" w:hanging="425" w:firstLineChars="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站房室内地面铺设乳白色防滑地砖或专用地板胶或防滑花纹板</w:t>
      </w:r>
      <w:r>
        <w:rPr>
          <w:rFonts w:hint="eastAsia" w:ascii="宋体" w:hAnsi="宋体" w:cs="宋体"/>
          <w:kern w:val="0"/>
          <w:sz w:val="22"/>
          <w:szCs w:val="22"/>
          <w:highlight w:val="none"/>
          <w:lang w:eastAsia="zh-CN"/>
        </w:rPr>
        <w:t>；</w:t>
      </w:r>
    </w:p>
    <w:p>
      <w:pPr>
        <w:keepNext w:val="0"/>
        <w:keepLines w:val="0"/>
        <w:pageBreakBefore w:val="0"/>
        <w:numPr>
          <w:ilvl w:val="0"/>
          <w:numId w:val="31"/>
        </w:numPr>
        <w:kinsoku/>
        <w:wordWrap/>
        <w:overflowPunct/>
        <w:topLinePunct w:val="0"/>
        <w:bidi w:val="0"/>
        <w:spacing w:line="400" w:lineRule="exact"/>
        <w:ind w:left="425" w:leftChars="0" w:hanging="425" w:firstLineChars="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外墙装饰采用新型墙面装饰板，顶部装饰采用合成树脂瓦</w:t>
      </w:r>
      <w:r>
        <w:rPr>
          <w:rFonts w:hint="eastAsia" w:ascii="宋体" w:hAnsi="宋体" w:cs="宋体"/>
          <w:kern w:val="0"/>
          <w:sz w:val="22"/>
          <w:szCs w:val="22"/>
          <w:highlight w:val="none"/>
          <w:lang w:eastAsia="zh-CN"/>
        </w:rPr>
        <w:t>；</w:t>
      </w:r>
    </w:p>
    <w:p>
      <w:pPr>
        <w:keepNext w:val="0"/>
        <w:keepLines w:val="0"/>
        <w:pageBreakBefore w:val="0"/>
        <w:numPr>
          <w:ilvl w:val="0"/>
          <w:numId w:val="31"/>
        </w:numPr>
        <w:kinsoku/>
        <w:wordWrap/>
        <w:overflowPunct/>
        <w:topLinePunct w:val="0"/>
        <w:bidi w:val="0"/>
        <w:spacing w:line="400" w:lineRule="exact"/>
        <w:ind w:left="425" w:leftChars="0" w:hanging="425" w:firstLineChars="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站房应有防雷设施，防雷接地装置的选材和安装应参照YD5098标准的相关要求，并提供防雷检测报告</w:t>
      </w:r>
      <w:r>
        <w:rPr>
          <w:rFonts w:hint="eastAsia" w:ascii="宋体" w:hAnsi="宋体" w:cs="宋体"/>
          <w:kern w:val="0"/>
          <w:sz w:val="22"/>
          <w:szCs w:val="22"/>
          <w:highlight w:val="none"/>
          <w:lang w:eastAsia="zh-CN"/>
        </w:rPr>
        <w:t>；</w:t>
      </w:r>
    </w:p>
    <w:p>
      <w:pPr>
        <w:keepNext w:val="0"/>
        <w:keepLines w:val="0"/>
        <w:pageBreakBefore w:val="0"/>
        <w:numPr>
          <w:ilvl w:val="0"/>
          <w:numId w:val="31"/>
        </w:numPr>
        <w:kinsoku/>
        <w:wordWrap/>
        <w:overflowPunct/>
        <w:topLinePunct w:val="0"/>
        <w:bidi w:val="0"/>
        <w:spacing w:line="400" w:lineRule="exact"/>
        <w:ind w:left="425" w:leftChars="0" w:hanging="425" w:firstLineChars="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站房外地面要求平整，周围干净整洁，有利于排水，站房外观建设应充分考虑与周边环境协调，并根据采购人的文化建设要求进行美化</w:t>
      </w:r>
      <w:r>
        <w:rPr>
          <w:rFonts w:hint="eastAsia" w:ascii="宋体" w:hAnsi="宋体" w:cs="宋体"/>
          <w:kern w:val="0"/>
          <w:sz w:val="22"/>
          <w:szCs w:val="22"/>
          <w:highlight w:val="none"/>
          <w:lang w:eastAsia="zh-CN"/>
        </w:rPr>
        <w:t>；</w:t>
      </w:r>
    </w:p>
    <w:p>
      <w:pPr>
        <w:keepNext w:val="0"/>
        <w:keepLines w:val="0"/>
        <w:pageBreakBefore w:val="0"/>
        <w:numPr>
          <w:ilvl w:val="0"/>
          <w:numId w:val="31"/>
        </w:numPr>
        <w:kinsoku/>
        <w:wordWrap/>
        <w:overflowPunct/>
        <w:topLinePunct w:val="0"/>
        <w:bidi w:val="0"/>
        <w:spacing w:line="400" w:lineRule="exact"/>
        <w:ind w:left="425" w:leftChars="0" w:hanging="425" w:firstLineChars="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站房应具有防盗设施，包括防盗门、防盗窗和防护栏，在站房外设置护栏、护网或防护栅栏，设置门锁和相关警示标志</w:t>
      </w:r>
      <w:r>
        <w:rPr>
          <w:rFonts w:hint="eastAsia" w:ascii="宋体" w:hAnsi="宋体" w:cs="宋体"/>
          <w:kern w:val="0"/>
          <w:sz w:val="22"/>
          <w:szCs w:val="22"/>
          <w:highlight w:val="none"/>
          <w:lang w:eastAsia="zh-CN"/>
        </w:rPr>
        <w:t>；</w:t>
      </w:r>
    </w:p>
    <w:p>
      <w:pPr>
        <w:pStyle w:val="177"/>
        <w:keepNext w:val="0"/>
        <w:keepLines w:val="0"/>
        <w:pageBreakBefore w:val="0"/>
        <w:numPr>
          <w:ilvl w:val="0"/>
          <w:numId w:val="31"/>
        </w:numPr>
        <w:kinsoku/>
        <w:wordWrap/>
        <w:overflowPunct/>
        <w:topLinePunct w:val="0"/>
        <w:bidi w:val="0"/>
        <w:spacing w:line="400" w:lineRule="exact"/>
        <w:ind w:left="425" w:leftChars="0" w:hanging="425"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站房地基：基础垫层下的地基土应选用砂土、粉土、黏性土及其他有效料，不得使用过湿土、淤泥、 腐殖土、冻土、膨胀土。站房防水、防潮措施，站房下铺设站房放置基座。站房安置地点应平整，地面需做硬化处理，防止雨水浸泡后地基下陷，站房金属部分需良好接地，安放在公共地面的站房。站房仪器室仪器放置处后面有条件情况下应设有地沟，上置盖板。</w:t>
      </w:r>
    </w:p>
    <w:p>
      <w:pPr>
        <w:pStyle w:val="177"/>
        <w:keepNext w:val="0"/>
        <w:keepLines w:val="0"/>
        <w:pageBreakBefore w:val="0"/>
        <w:kinsoku/>
        <w:wordWrap/>
        <w:overflowPunct/>
        <w:topLinePunct w:val="0"/>
        <w:bidi w:val="0"/>
        <w:spacing w:line="400" w:lineRule="exact"/>
        <w:ind w:firstLine="440" w:firstLineChars="200"/>
        <w:rPr>
          <w:rFonts w:hint="eastAsia" w:ascii="宋体" w:hAnsi="宋体" w:eastAsia="宋体" w:cs="宋体"/>
          <w:color w:val="auto"/>
          <w:sz w:val="22"/>
          <w:szCs w:val="22"/>
          <w:highlight w:val="none"/>
        </w:rPr>
      </w:pPr>
    </w:p>
    <w:p>
      <w:pPr>
        <w:pStyle w:val="264"/>
        <w:keepNext w:val="0"/>
        <w:pageBreakBefore w:val="0"/>
        <w:shd w:val="clear" w:color="auto" w:fill="auto"/>
        <w:tabs>
          <w:tab w:val="left" w:pos="830"/>
        </w:tabs>
        <w:kinsoku/>
        <w:wordWrap/>
        <w:overflowPunct/>
        <w:topLinePunct w:val="0"/>
        <w:bidi w:val="0"/>
        <w:spacing w:line="400" w:lineRule="exact"/>
        <w:ind w:firstLine="0"/>
        <w:jc w:val="left"/>
        <w:outlineLvl w:val="1"/>
        <w:rPr>
          <w:rFonts w:hint="eastAsia" w:ascii="Times New Roman" w:hAnsi="Times New Roman" w:eastAsia="宋体" w:cs="宋体"/>
          <w:b/>
          <w:bCs/>
          <w:color w:val="000000"/>
          <w:sz w:val="24"/>
          <w:szCs w:val="24"/>
          <w:highlight w:val="none"/>
          <w:lang w:val="en-US" w:eastAsia="zh-CN"/>
        </w:rPr>
      </w:pPr>
      <w:bookmarkStart w:id="314" w:name="_Toc17940"/>
      <w:r>
        <w:rPr>
          <w:rFonts w:hint="eastAsia" w:ascii="Times New Roman" w:hAnsi="Times New Roman" w:eastAsia="宋体" w:cs="宋体"/>
          <w:b/>
          <w:bCs/>
          <w:color w:val="000000"/>
          <w:sz w:val="24"/>
          <w:szCs w:val="24"/>
          <w:highlight w:val="none"/>
          <w:lang w:val="en-US" w:eastAsia="zh-CN"/>
        </w:rPr>
        <w:t>（二）配套供电要求</w:t>
      </w:r>
      <w:bookmarkEnd w:id="314"/>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1.供电负荷等级和供电要求按国家《供配电系统设计规范》( GB 50052 )的规定执行</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2.水站供电电源使用220伏特交流电、频率50赫兹，电源容量要按照站房全部用电设备实际用量的1.5 倍计算</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3.电源线引入方式符合国家相关标准。施工参考《建筑电气工程施工质量验收规范》( GB 50303-2002)</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4.电源动力线和通讯线、信号线相互屏蔽，以免产生电磁于扰</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5.配电线路：1）、站房外部应配有主供电线路接口，站房内部分照明系统、空调系统和监测设备系统共三路。主供电线路最低应能承载10千瓦负荷，主电源线为BVR塑铜线（不小于10平方）；插座（20cm高处）及空调分支线最低应能承载3千瓦负荷，供电线为BVR塑铜线（不小于2.5平方）；照明分支最低应能承载1千瓦负荷，供电线为BVR塑铜线（不小于1.5平方）； 监测系统插座（1.50米高处）及分支线由外部稳压电源或不间断电源供电，最低应能承载6千瓦负荷，供电线为BVR塑铜线（不小于6平方）,便于监测系统及不间断电源使用。供电线路配电时需要兼顾三相平衡，供电线路需要穿管，并按有关电气行业标准进行安装和联接。2）、站房内配置具过载保护开关</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6.室内照明：室内照明不少于2个，瓦数不小于40W或同等亮度其他灯具，每个灯均由单独开关控制</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7.电源插座：除水站设备自用插座外，预留不少于8个多功能电源插座，插座符合相关标准</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8.电源箱：安装防漏电保护配电箱，配电箱内设总、分控开关</w:t>
      </w:r>
      <w:r>
        <w:rPr>
          <w:rFonts w:hint="eastAsia" w:ascii="宋体" w:hAnsi="宋体" w:cs="宋体"/>
          <w:kern w:val="0"/>
          <w:sz w:val="22"/>
          <w:szCs w:val="22"/>
          <w:highlight w:val="none"/>
          <w:lang w:eastAsia="zh-CN"/>
        </w:rPr>
        <w:t>。</w:t>
      </w:r>
    </w:p>
    <w:p>
      <w:pPr>
        <w:pStyle w:val="264"/>
        <w:keepNext w:val="0"/>
        <w:pageBreakBefore w:val="0"/>
        <w:shd w:val="clear" w:color="auto" w:fill="auto"/>
        <w:tabs>
          <w:tab w:val="left" w:pos="830"/>
        </w:tabs>
        <w:kinsoku/>
        <w:wordWrap/>
        <w:overflowPunct/>
        <w:topLinePunct w:val="0"/>
        <w:bidi w:val="0"/>
        <w:spacing w:line="400" w:lineRule="exact"/>
        <w:ind w:firstLine="0"/>
        <w:jc w:val="left"/>
        <w:outlineLvl w:val="1"/>
        <w:rPr>
          <w:rFonts w:hint="eastAsia" w:ascii="Times New Roman" w:hAnsi="Times New Roman" w:eastAsia="宋体" w:cs="宋体"/>
          <w:b/>
          <w:bCs/>
          <w:color w:val="000000"/>
          <w:sz w:val="24"/>
          <w:szCs w:val="24"/>
          <w:highlight w:val="none"/>
          <w:lang w:val="en-US" w:eastAsia="zh-CN"/>
        </w:rPr>
      </w:pPr>
      <w:bookmarkStart w:id="315" w:name="_Toc14735"/>
      <w:r>
        <w:rPr>
          <w:rFonts w:hint="eastAsia" w:ascii="Times New Roman" w:hAnsi="Times New Roman" w:eastAsia="宋体" w:cs="宋体"/>
          <w:b/>
          <w:bCs/>
          <w:color w:val="000000"/>
          <w:sz w:val="24"/>
          <w:szCs w:val="24"/>
          <w:highlight w:val="none"/>
          <w:lang w:val="en-US" w:eastAsia="zh-CN"/>
        </w:rPr>
        <w:t>（三）给排水要求</w:t>
      </w:r>
      <w:bookmarkEnd w:id="315"/>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1.给水系统：站房应根据仪器等对水质、水压和水量的要求设置给水系统，配水表壹块</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2.排水系统：站房的总排水必须排入水站采水点的下游</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3.各类试剂废水单独收集装置。</w:t>
      </w:r>
    </w:p>
    <w:p>
      <w:pPr>
        <w:pStyle w:val="264"/>
        <w:keepNext w:val="0"/>
        <w:pageBreakBefore w:val="0"/>
        <w:shd w:val="clear" w:color="auto" w:fill="auto"/>
        <w:tabs>
          <w:tab w:val="left" w:pos="830"/>
        </w:tabs>
        <w:kinsoku/>
        <w:wordWrap/>
        <w:overflowPunct/>
        <w:topLinePunct w:val="0"/>
        <w:bidi w:val="0"/>
        <w:spacing w:line="400" w:lineRule="exact"/>
        <w:ind w:firstLine="0"/>
        <w:jc w:val="left"/>
        <w:outlineLvl w:val="1"/>
        <w:rPr>
          <w:rFonts w:hint="eastAsia" w:ascii="Times New Roman" w:hAnsi="Times New Roman" w:eastAsia="宋体" w:cs="宋体"/>
          <w:b/>
          <w:bCs/>
          <w:color w:val="000000"/>
          <w:sz w:val="24"/>
          <w:szCs w:val="24"/>
          <w:highlight w:val="none"/>
          <w:lang w:val="en-US" w:eastAsia="zh-CN"/>
        </w:rPr>
      </w:pPr>
      <w:bookmarkStart w:id="316" w:name="_Toc25034"/>
      <w:r>
        <w:rPr>
          <w:rFonts w:hint="eastAsia" w:ascii="Times New Roman" w:hAnsi="Times New Roman" w:eastAsia="宋体" w:cs="宋体"/>
          <w:b/>
          <w:bCs/>
          <w:color w:val="000000"/>
          <w:sz w:val="24"/>
          <w:szCs w:val="24"/>
          <w:highlight w:val="none"/>
          <w:lang w:val="en-US" w:eastAsia="zh-CN"/>
        </w:rPr>
        <w:t>（四）通讯要求</w:t>
      </w:r>
      <w:bookmarkEnd w:id="316"/>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站房网络通讯建设应以光纤有线网络传输为主（带宽≥20Mb），满足数据传输要求及视频远程查看要求。</w:t>
      </w:r>
    </w:p>
    <w:p>
      <w:pPr>
        <w:pStyle w:val="264"/>
        <w:keepNext w:val="0"/>
        <w:pageBreakBefore w:val="0"/>
        <w:shd w:val="clear" w:color="auto" w:fill="auto"/>
        <w:tabs>
          <w:tab w:val="left" w:pos="830"/>
        </w:tabs>
        <w:kinsoku/>
        <w:wordWrap/>
        <w:overflowPunct/>
        <w:topLinePunct w:val="0"/>
        <w:bidi w:val="0"/>
        <w:spacing w:line="400" w:lineRule="exact"/>
        <w:ind w:firstLine="0"/>
        <w:jc w:val="left"/>
        <w:outlineLvl w:val="1"/>
        <w:rPr>
          <w:rFonts w:hint="eastAsia" w:ascii="Times New Roman" w:hAnsi="Times New Roman" w:eastAsia="宋体" w:cs="宋体"/>
          <w:b/>
          <w:bCs/>
          <w:color w:val="000000"/>
          <w:sz w:val="24"/>
          <w:szCs w:val="24"/>
          <w:highlight w:val="none"/>
          <w:lang w:val="en-US" w:eastAsia="zh-CN"/>
        </w:rPr>
      </w:pPr>
      <w:bookmarkStart w:id="317" w:name="_Toc16390"/>
      <w:r>
        <w:rPr>
          <w:rFonts w:hint="eastAsia" w:ascii="Times New Roman" w:hAnsi="Times New Roman" w:eastAsia="宋体" w:cs="宋体"/>
          <w:b/>
          <w:bCs/>
          <w:color w:val="000000"/>
          <w:sz w:val="24"/>
          <w:szCs w:val="24"/>
          <w:highlight w:val="none"/>
          <w:lang w:val="en-US" w:eastAsia="zh-CN"/>
        </w:rPr>
        <w:t>（五）防雷要求</w:t>
      </w:r>
      <w:bookmarkEnd w:id="317"/>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所有接地电阻应小于4Ω，并出具防雷报告。</w:t>
      </w:r>
    </w:p>
    <w:p>
      <w:pPr>
        <w:pStyle w:val="264"/>
        <w:keepNext w:val="0"/>
        <w:pageBreakBefore w:val="0"/>
        <w:shd w:val="clear" w:color="auto" w:fill="auto"/>
        <w:tabs>
          <w:tab w:val="left" w:pos="830"/>
        </w:tabs>
        <w:kinsoku/>
        <w:wordWrap/>
        <w:overflowPunct/>
        <w:topLinePunct w:val="0"/>
        <w:bidi w:val="0"/>
        <w:spacing w:line="400" w:lineRule="exact"/>
        <w:ind w:firstLine="0"/>
        <w:jc w:val="left"/>
        <w:outlineLvl w:val="1"/>
        <w:rPr>
          <w:rFonts w:hint="eastAsia" w:ascii="Times New Roman" w:hAnsi="Times New Roman" w:eastAsia="宋体" w:cs="宋体"/>
          <w:b/>
          <w:bCs/>
          <w:color w:val="000000"/>
          <w:sz w:val="24"/>
          <w:szCs w:val="24"/>
          <w:highlight w:val="none"/>
          <w:lang w:val="en-US" w:eastAsia="zh-CN"/>
        </w:rPr>
      </w:pPr>
      <w:bookmarkStart w:id="318" w:name="_Toc17335"/>
      <w:r>
        <w:rPr>
          <w:rFonts w:hint="eastAsia" w:ascii="Times New Roman" w:hAnsi="Times New Roman" w:eastAsia="宋体" w:cs="宋体"/>
          <w:b/>
          <w:bCs/>
          <w:color w:val="000000"/>
          <w:sz w:val="24"/>
          <w:szCs w:val="24"/>
          <w:highlight w:val="none"/>
          <w:lang w:val="en-US" w:eastAsia="zh-CN"/>
        </w:rPr>
        <w:t>（六）安防要求</w:t>
      </w:r>
      <w:bookmarkEnd w:id="318"/>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1. 站房设火灾自动灭火装置及手提式灭火装置，灭火材料应对人和仪器无损害，美观实用，与站房和仪器系统整体协调</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2.站房内配置感烟探测器，采用感烟、感温两种探测器组合。配置悬挂式自动灭火器、手提干粉灭火器（均不小于3KG）</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3站房内使用的材料需为防火阻燃材料</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4.站房应设置防盗措施，门窗加装防盗网，安装门禁装置（可联网）。</w:t>
      </w:r>
    </w:p>
    <w:p>
      <w:pPr>
        <w:pStyle w:val="264"/>
        <w:keepNext w:val="0"/>
        <w:pageBreakBefore w:val="0"/>
        <w:shd w:val="clear" w:color="auto" w:fill="auto"/>
        <w:tabs>
          <w:tab w:val="left" w:pos="830"/>
        </w:tabs>
        <w:kinsoku/>
        <w:wordWrap/>
        <w:overflowPunct/>
        <w:topLinePunct w:val="0"/>
        <w:bidi w:val="0"/>
        <w:spacing w:line="400" w:lineRule="exact"/>
        <w:ind w:firstLine="0"/>
        <w:jc w:val="left"/>
        <w:outlineLvl w:val="1"/>
        <w:rPr>
          <w:rFonts w:hint="eastAsia" w:ascii="Times New Roman" w:hAnsi="Times New Roman" w:eastAsia="宋体" w:cs="宋体"/>
          <w:b/>
          <w:bCs/>
          <w:color w:val="000000"/>
          <w:sz w:val="24"/>
          <w:szCs w:val="24"/>
          <w:highlight w:val="none"/>
          <w:lang w:val="en-US" w:eastAsia="zh-CN"/>
        </w:rPr>
      </w:pPr>
      <w:bookmarkStart w:id="319" w:name="_Toc13290"/>
      <w:r>
        <w:rPr>
          <w:rFonts w:hint="eastAsia" w:ascii="Times New Roman" w:hAnsi="Times New Roman" w:eastAsia="宋体" w:cs="宋体"/>
          <w:b/>
          <w:bCs/>
          <w:color w:val="000000"/>
          <w:sz w:val="24"/>
          <w:szCs w:val="24"/>
          <w:highlight w:val="none"/>
          <w:lang w:val="en-US" w:eastAsia="zh-CN"/>
        </w:rPr>
        <w:t>（七）内部要求</w:t>
      </w:r>
      <w:bookmarkEnd w:id="319"/>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1.地面防水、防滑，在室内所需位置设置地漏</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2.排风扇：安装排风扇</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3.站房室内地面：室内地面应铺设防水、防滑地面砖，并在室内所需位置设置地漏</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4.实验台与工作椅：配有防酸碱化学实验台 1 套（1.5-2 米），台上可以放置实验室对比仪器（实验台处预留多功能插座），备有上下水、洗涤台。配置一套办公桌椅及资料柜</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5.冷藏柜不小于120L</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6.空调：功率不小于3匹品牌空调1台，须具有来电自启动功能</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7.水、电、网络：完成水、电、网络接入站房所需的其他配套工作。</w:t>
      </w:r>
    </w:p>
    <w:p>
      <w:pPr>
        <w:pStyle w:val="264"/>
        <w:keepNext w:val="0"/>
        <w:pageBreakBefore w:val="0"/>
        <w:shd w:val="clear" w:color="auto" w:fill="auto"/>
        <w:tabs>
          <w:tab w:val="left" w:pos="830"/>
        </w:tabs>
        <w:kinsoku/>
        <w:wordWrap/>
        <w:overflowPunct/>
        <w:topLinePunct w:val="0"/>
        <w:bidi w:val="0"/>
        <w:spacing w:line="400" w:lineRule="exact"/>
        <w:ind w:firstLine="0"/>
        <w:jc w:val="left"/>
        <w:outlineLvl w:val="1"/>
        <w:rPr>
          <w:rFonts w:hint="eastAsia" w:ascii="Times New Roman" w:hAnsi="Times New Roman" w:eastAsia="宋体" w:cs="宋体"/>
          <w:b/>
          <w:bCs/>
          <w:color w:val="000000"/>
          <w:sz w:val="24"/>
          <w:szCs w:val="24"/>
          <w:highlight w:val="none"/>
          <w:lang w:val="en-US" w:eastAsia="zh-CN"/>
        </w:rPr>
      </w:pPr>
      <w:bookmarkStart w:id="320" w:name="_Toc11819"/>
      <w:r>
        <w:rPr>
          <w:rFonts w:hint="eastAsia" w:ascii="Times New Roman" w:hAnsi="Times New Roman" w:eastAsia="宋体" w:cs="宋体"/>
          <w:b/>
          <w:bCs/>
          <w:color w:val="000000"/>
          <w:sz w:val="24"/>
          <w:szCs w:val="24"/>
          <w:highlight w:val="none"/>
          <w:lang w:val="en-US" w:eastAsia="zh-CN"/>
        </w:rPr>
        <w:t>（八）采水系统技术要求</w:t>
      </w:r>
      <w:bookmarkEnd w:id="320"/>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1.采水单元的功能是在任何情况下确保将采样点的水样引至自动站仪器间内，并满足配水单元和分析仪器的需要；</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2.采水单元一般包括采水构筑物、采水泵、采水管道、清洗配套装置和保温配套装置；</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3.取水采用潜水泵或自吸泵，双泵、双管路设计，交替使用。在控制系统中设置自动诊断泵、管路故障及自动切换泵、管路功能，满足实时不间断监测要求；</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4.采水单元应当具备较长平均无故障工作时间，确保水质自动监测系统的数据捕获率达到相关要求；</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5.采水单元需要设计并制作必要的保温、防冻、防压、防淤、防撞、防盗措施，并对采水设备和设施进行必要的固定；</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 xml:space="preserve">6.采水单元设置采水单元清洗和防藻功能。但是当使用化学清洗时防止对环境造成污染； </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7.管道采用排空设计，使管道内不存水，以防藻类孳生；</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8.能自动判断取水系统故障，并发出报警信号；</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9.采水单元能够在停电时自我保护，再次通电时自动恢复；</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10.采水系统可采用连续或间歇方式工作，并能够根据监测要求现场或远程设置监测频次。</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11.采水单位各部分均应美观大方、安全牢固、设计合理，尽量减少对河道中杂物的阻碍拦截。</w:t>
      </w:r>
    </w:p>
    <w:p>
      <w:pPr>
        <w:pStyle w:val="264"/>
        <w:keepNext w:val="0"/>
        <w:pageBreakBefore w:val="0"/>
        <w:shd w:val="clear" w:color="auto" w:fill="auto"/>
        <w:tabs>
          <w:tab w:val="left" w:pos="830"/>
        </w:tabs>
        <w:kinsoku/>
        <w:wordWrap/>
        <w:overflowPunct/>
        <w:topLinePunct w:val="0"/>
        <w:bidi w:val="0"/>
        <w:spacing w:line="400" w:lineRule="exact"/>
        <w:ind w:firstLine="0"/>
        <w:jc w:val="left"/>
        <w:outlineLvl w:val="1"/>
        <w:rPr>
          <w:rFonts w:hint="eastAsia" w:ascii="Times New Roman" w:hAnsi="Times New Roman" w:eastAsia="宋体" w:cs="宋体"/>
          <w:b/>
          <w:bCs/>
          <w:color w:val="000000"/>
          <w:sz w:val="24"/>
          <w:szCs w:val="24"/>
          <w:highlight w:val="none"/>
          <w:lang w:val="en-US" w:eastAsia="zh-CN"/>
        </w:rPr>
      </w:pPr>
      <w:bookmarkStart w:id="321" w:name="_Toc26828"/>
      <w:r>
        <w:rPr>
          <w:rFonts w:hint="eastAsia" w:ascii="Times New Roman" w:hAnsi="Times New Roman" w:eastAsia="宋体" w:cs="宋体"/>
          <w:b/>
          <w:bCs/>
          <w:color w:val="000000"/>
          <w:sz w:val="24"/>
          <w:szCs w:val="24"/>
          <w:highlight w:val="none"/>
          <w:lang w:val="en-US" w:eastAsia="zh-CN"/>
        </w:rPr>
        <w:t>（九）视频监控技术要求</w:t>
      </w:r>
      <w:bookmarkEnd w:id="321"/>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视频监控单元由前端系统、传输网络和监控平台三部分组成，可远程监视水质自动监测站内设备（采水单元、自动监测分析仪器、供电系统、数据采集及传输系统等）的整体运行情况，观察取水工程（取样水泵、浮台等）工作状况，水站周边的水位、流量等水文情况，同时也可观察水站院落、站房、供电线路等周边环境。其中，前端系统主要对监控区域现场视音频、环境信息、报警信息等进行采集、编码、储存及上传，并通过客户端平台预置的规则进行自动化联动；传输网络主要用于前端与平台、平台之间的通信，确保前端系统的视音频、环境信息、报警信息可实时稳定上传至监控中心；监控平台主要用于对监控设备的控制和满足用户查看环境信息、视音频资料。至少包含1台硬盘录像机和3台摄像机，分别监控站房仪表间，站房周边及采水口。中标人监控系统软件可以无缝接入国家、浙江省水质自动监控平台、温州市、平阳县等环境质量在线监测系统平台。</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（1）视频监控单元功能要求</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①实时监控功能：可实现24小时不间断监控，实时获取监控区域内清晰的监控图像</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②云台操作功能：可实现全方位、多视角、无盲区、全天候式监控</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③录像存储功能：支持前端存储和中心存储两种模式，既可通过前端的视音信号接入视频处理单元存储数据，满足前端存储的需要，供事后调查取证；也可通过部署存储服务器和存储设备，满足大容量多通道并发的中心存储需要。视频信息应实现现场存储功能，存储周期应不低于30日，现场网络条件具备时，采用宽带实现视频信息的实时传输；</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④语音监听功能</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⑤远程维护功能：可通过平台软件对前端设备进行校时、重启、修正参数、软件升级、远程维护等操作。</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（2）前端视频监控设备布设要求</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①站房外取水口：安装在靠近取水口岸边并考虑50年一遇的防洪要求，用于监控取水口及站房周边情况。监控设备可水平360度旋转，竖直-5～185度旋转</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②站房进门处：安装在站房大门附近墙壁上，用以监控人员进出站房情况。监控设备应配置枪机，固定监控视角</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③站房仪表间：安装在集成机柜正面墙壁上，用于监控仪表间内部设备运行情况。监控设备可水平360度旋转，竖直-5～185度旋转。</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（3）前端视频监控设备技术要求</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①网络红外球型摄像机：球机带云台，可水平360度旋转，竖直-5～185度旋转；带红外，支持夜间查看</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rPr>
        <w:t>②高清网络录像机：应选用可接驳符合ONVIF、PSLA、RTSP标准及众多主流厂商的网络摄像机；支持不低于200万像素高清网络视频的预览、存储和回放；支持IPC集中管理，包括IPC参数配置、信息的导入/导出、语音对讲和升级等；支持智能搜索、回放及备份</w:t>
      </w:r>
      <w:r>
        <w:rPr>
          <w:rFonts w:hint="eastAsia" w:ascii="宋体" w:hAnsi="宋体" w:cs="宋体"/>
          <w:kern w:val="0"/>
          <w:sz w:val="22"/>
          <w:szCs w:val="22"/>
          <w:highlight w:val="none"/>
          <w:lang w:eastAsia="zh-CN"/>
        </w:rPr>
        <w:t>；</w:t>
      </w:r>
    </w:p>
    <w:p>
      <w:pPr>
        <w:keepNext w:val="0"/>
        <w:keepLines w:val="0"/>
        <w:pageBreakBefore w:val="0"/>
        <w:kinsoku/>
        <w:wordWrap/>
        <w:overflowPunct/>
        <w:topLinePunct w:val="0"/>
        <w:bidi w:val="0"/>
        <w:spacing w:line="400" w:lineRule="exact"/>
        <w:ind w:firstLine="440" w:firstLineChars="200"/>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③视频监控系统具备断电自启功能。</w:t>
      </w:r>
    </w:p>
    <w:p>
      <w:pPr>
        <w:keepNext w:val="0"/>
        <w:keepLines w:val="0"/>
        <w:pageBreakBefore w:val="0"/>
        <w:kinsoku/>
        <w:wordWrap/>
        <w:overflowPunct/>
        <w:topLinePunct w:val="0"/>
        <w:bidi w:val="0"/>
        <w:spacing w:line="400" w:lineRule="exact"/>
        <w:rPr>
          <w:rFonts w:hint="eastAsia" w:ascii="宋体" w:hAnsi="宋体" w:eastAsia="宋体" w:cs="宋体"/>
          <w:b/>
          <w:bCs/>
          <w:kern w:val="0"/>
          <w:sz w:val="22"/>
          <w:szCs w:val="22"/>
          <w:highlight w:val="none"/>
        </w:rPr>
      </w:pPr>
      <w:r>
        <w:rPr>
          <w:rFonts w:hint="eastAsia" w:ascii="宋体" w:hAnsi="宋体" w:eastAsia="宋体" w:cs="宋体"/>
          <w:b/>
          <w:bCs/>
          <w:kern w:val="0"/>
          <w:sz w:val="22"/>
          <w:szCs w:val="22"/>
          <w:highlight w:val="none"/>
        </w:rPr>
        <w:t>相关技术参数：</w:t>
      </w:r>
    </w:p>
    <w:tbl>
      <w:tblPr>
        <w:tblStyle w:val="34"/>
        <w:tblW w:w="94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
        <w:gridCol w:w="2216"/>
        <w:gridCol w:w="6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restart"/>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固定网络摄像机技术参数</w:t>
            </w: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图像传感器</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1/3英寸CMOS，200万像素；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ind w:firstLine="422"/>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分辨率</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1920*1080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同步系统</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内同步</w:t>
            </w:r>
          </w:p>
        </w:tc>
      </w:tr>
      <w:tr>
        <w:tblPrEx>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快门速度（CCD光圈）</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PAL：1/50～1/100000秒，NTSC：1/60～1/100000秒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信噪比</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≥50dB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最低照度</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彩色最低照度0.3Lux(F1.2,50IRE,AGC ON)，</w:t>
            </w:r>
          </w:p>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黑白最低照度</w:t>
            </w:r>
            <w:r>
              <w:rPr>
                <w:rFonts w:hint="eastAsia" w:ascii="宋体" w:hAnsi="宋体" w:cs="宋体"/>
                <w:kern w:val="0"/>
                <w:sz w:val="22"/>
                <w:szCs w:val="22"/>
                <w:highlight w:val="none"/>
                <w:lang w:eastAsia="zh-CN"/>
              </w:rPr>
              <w:t>：</w:t>
            </w:r>
            <w:r>
              <w:rPr>
                <w:rFonts w:hint="eastAsia" w:ascii="宋体" w:hAnsi="宋体" w:eastAsia="宋体" w:cs="宋体"/>
                <w:kern w:val="0"/>
                <w:sz w:val="22"/>
                <w:szCs w:val="22"/>
                <w:highlight w:val="none"/>
              </w:rPr>
              <w:t>0.005Lux(F1.2,50IRE,AGC ON), 红外开启0Lux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日夜切换</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自动彩转黑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红外照射距离</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室内≥30米，室外≥50米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镜头配置</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标配4mm镜头，6/mm镜头可选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红外灯</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24颗φ5红外灯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白平衡</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自动白平衡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背光补偿</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自动背光补偿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网络性能及标准化</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支持网络协议：</w:t>
            </w:r>
          </w:p>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IPv4/IPv6,HTTP,HTTPS,802.1x,Qos,FTP,SMTP,UPnP,SNMP,DNS,DDNS,NTP,RTSP,RTP,TCP/IP,DHCP,PPPoE</w:t>
            </w:r>
          </w:p>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应用编程接口</w:t>
            </w:r>
            <w:r>
              <w:rPr>
                <w:rFonts w:hint="eastAsia" w:ascii="宋体" w:hAnsi="宋体" w:cs="宋体"/>
                <w:kern w:val="0"/>
                <w:sz w:val="22"/>
                <w:szCs w:val="22"/>
                <w:highlight w:val="none"/>
                <w:lang w:eastAsia="zh-CN"/>
              </w:rPr>
              <w:t>：</w:t>
            </w:r>
            <w:r>
              <w:rPr>
                <w:rFonts w:hint="eastAsia" w:ascii="宋体" w:hAnsi="宋体" w:eastAsia="宋体" w:cs="宋体"/>
                <w:kern w:val="0"/>
                <w:sz w:val="22"/>
                <w:szCs w:val="22"/>
                <w:highlight w:val="none"/>
              </w:rPr>
              <w:t xml:space="preserve"> </w:t>
            </w:r>
          </w:p>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支持软件集成的开放式API，支持标准协议(ONVIF、PSIA、CGI)、支持第三方管理平台接入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防护等级</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IP66(室外球)TVS 4000V 防雷、防浪涌、防突波，符合GB/T17626.5 四级标准。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软件定义能力</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支持算法软件热升级，过程中视频画面不丢失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智能分析</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支持对在同一局域网内的两台其他摄像机进行算力共享，并对接入摄像机的视频流进行智能分析，智能分析算法可依据场景自定义选择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ind w:firstLine="422"/>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图像诊断</w:t>
            </w:r>
          </w:p>
        </w:tc>
        <w:tc>
          <w:tcPr>
            <w:tcW w:w="6214" w:type="dxa"/>
            <w:noWrap/>
          </w:tcPr>
          <w:p>
            <w:pPr>
              <w:keepNext w:val="0"/>
              <w:keepLines w:val="0"/>
              <w:pageBreakBefore w:val="0"/>
              <w:widowControl/>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具有图像质量诊断功能，支持诊断雪花、偏色、画面冻结、增益失衡、摄像机抖动、条纹噪声、场景变更、虚焦检测设置选项；提供权威第三方检测报告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986" w:type="dxa"/>
            <w:vMerge w:val="restart"/>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球型网络摄像机技术参数</w:t>
            </w: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图像传感器</w:t>
            </w:r>
          </w:p>
        </w:tc>
        <w:tc>
          <w:tcPr>
            <w:tcW w:w="6214" w:type="dxa"/>
            <w:noWrap/>
          </w:tcPr>
          <w:p>
            <w:pPr>
              <w:keepNext w:val="0"/>
              <w:keepLines w:val="0"/>
              <w:pageBreakBefore w:val="0"/>
              <w:widowControl/>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1/3英寸CMOS，200万像素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ind w:firstLine="422"/>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视频解析度</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≥1000TVL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主码流分辨率及帧率</w:t>
            </w:r>
          </w:p>
        </w:tc>
        <w:tc>
          <w:tcPr>
            <w:tcW w:w="6214" w:type="dxa"/>
            <w:noWrap/>
          </w:tcPr>
          <w:p>
            <w:pPr>
              <w:keepNext w:val="0"/>
              <w:keepLines w:val="0"/>
              <w:pageBreakBefore w:val="0"/>
              <w:kinsoku/>
              <w:wordWrap/>
              <w:overflowPunct/>
              <w:topLinePunct w:val="0"/>
              <w:bidi w:val="0"/>
              <w:spacing w:line="400" w:lineRule="exact"/>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50Hz</w:t>
            </w:r>
            <w:r>
              <w:rPr>
                <w:rFonts w:hint="eastAsia" w:ascii="宋体" w:hAnsi="宋体" w:cs="宋体"/>
                <w:kern w:val="0"/>
                <w:sz w:val="22"/>
                <w:szCs w:val="22"/>
                <w:highlight w:val="none"/>
                <w:lang w:eastAsia="zh-CN"/>
              </w:rPr>
              <w:t>：</w:t>
            </w:r>
            <w:r>
              <w:rPr>
                <w:rFonts w:hint="eastAsia" w:ascii="宋体" w:hAnsi="宋体" w:eastAsia="宋体" w:cs="宋体"/>
                <w:kern w:val="0"/>
                <w:sz w:val="22"/>
                <w:szCs w:val="22"/>
                <w:highlight w:val="none"/>
              </w:rPr>
              <w:t>25fps(1920×1080)、25fps(1280×720)60Hz</w:t>
            </w:r>
            <w:r>
              <w:rPr>
                <w:rFonts w:hint="eastAsia" w:ascii="宋体" w:hAnsi="宋体" w:cs="宋体"/>
                <w:kern w:val="0"/>
                <w:sz w:val="22"/>
                <w:szCs w:val="22"/>
                <w:highlight w:val="none"/>
                <w:lang w:eastAsia="zh-CN"/>
              </w:rPr>
              <w:t>：</w:t>
            </w:r>
            <w:r>
              <w:rPr>
                <w:rFonts w:hint="eastAsia" w:ascii="宋体" w:hAnsi="宋体" w:eastAsia="宋体" w:cs="宋体"/>
                <w:kern w:val="0"/>
                <w:sz w:val="22"/>
                <w:szCs w:val="22"/>
                <w:highlight w:val="none"/>
              </w:rPr>
              <w:t>30fps(1920×1080)、30fps(1280×720）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最大图像尺寸</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1920×1080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最低照度</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彩色：0.05Lux @ (F1.6，AGC ON),</w:t>
            </w:r>
          </w:p>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黑白：0.01Lux @(F1.6，AGC ON) ,0 Lux with IR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信噪比</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≥50dB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白平衡</w:t>
            </w:r>
          </w:p>
        </w:tc>
        <w:tc>
          <w:tcPr>
            <w:tcW w:w="6214" w:type="dxa"/>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自动白平衡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背光补偿</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支持自动背光补偿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红外照射距离</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≥100m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水平旋转</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360°旋转，旋转速度0.1°-160°/s可设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垂直旋转</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 xml:space="preserve"> 90°翻转，旋转速度0.1°-120°/s,可设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网络性能及标准化</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支持网络协议：</w:t>
            </w:r>
          </w:p>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IPv4/IPv6,HTTP,HTTPS,802.1x,Qos,FTP,SMTP,UPnP,SNMP,DNS,DDNS,NTP,RTSP,RTP,TCP/IP,DHCP,PPPoE</w:t>
            </w:r>
          </w:p>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应用编程接口</w:t>
            </w:r>
            <w:r>
              <w:rPr>
                <w:rFonts w:hint="eastAsia" w:ascii="宋体" w:hAnsi="宋体" w:cs="宋体"/>
                <w:kern w:val="0"/>
                <w:sz w:val="22"/>
                <w:szCs w:val="22"/>
                <w:highlight w:val="none"/>
                <w:lang w:eastAsia="zh-CN"/>
              </w:rPr>
              <w:t>：</w:t>
            </w:r>
            <w:r>
              <w:rPr>
                <w:rFonts w:hint="eastAsia" w:ascii="宋体" w:hAnsi="宋体" w:eastAsia="宋体" w:cs="宋体"/>
                <w:kern w:val="0"/>
                <w:sz w:val="22"/>
                <w:szCs w:val="22"/>
                <w:highlight w:val="none"/>
              </w:rPr>
              <w:t xml:space="preserve"> </w:t>
            </w:r>
          </w:p>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支持软件集成的开放式API，支持标准协议(ONVIF、PSIA、CGI)、支持第三方管理平台接入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用户权限</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 xml:space="preserve"> 最多32个用户，分3级</w:t>
            </w:r>
            <w:r>
              <w:rPr>
                <w:rFonts w:hint="eastAsia" w:ascii="宋体" w:hAnsi="宋体" w:cs="宋体"/>
                <w:kern w:val="0"/>
                <w:sz w:val="22"/>
                <w:szCs w:val="22"/>
                <w:highlight w:val="none"/>
                <w:lang w:eastAsia="zh-CN"/>
              </w:rPr>
              <w:t>：</w:t>
            </w:r>
            <w:r>
              <w:rPr>
                <w:rFonts w:hint="eastAsia" w:ascii="宋体" w:hAnsi="宋体" w:eastAsia="宋体" w:cs="宋体"/>
                <w:kern w:val="0"/>
                <w:sz w:val="22"/>
                <w:szCs w:val="22"/>
                <w:highlight w:val="none"/>
              </w:rPr>
              <w:t>管理员、操作员和普通用户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Merge w:val="continue"/>
            <w:noWrap/>
            <w:vAlign w:val="center"/>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p>
        </w:tc>
        <w:tc>
          <w:tcPr>
            <w:tcW w:w="2216" w:type="dxa"/>
            <w:noWrap/>
            <w:vAlign w:val="center"/>
          </w:tcPr>
          <w:p>
            <w:pPr>
              <w:keepNext w:val="0"/>
              <w:keepLines w:val="0"/>
              <w:pageBreakBefore w:val="0"/>
              <w:kinsoku/>
              <w:wordWrap/>
              <w:overflowPunct/>
              <w:topLinePunct w:val="0"/>
              <w:bidi w:val="0"/>
              <w:spacing w:line="400" w:lineRule="exact"/>
              <w:jc w:val="center"/>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防护等级</w:t>
            </w:r>
          </w:p>
        </w:tc>
        <w:tc>
          <w:tcPr>
            <w:tcW w:w="6214" w:type="dxa"/>
            <w:noWrap/>
          </w:tcPr>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IP66(室外球)TVS 4000V 防雷、防浪涌、防突波，符合GB/T17626.5 四级标准。</w:t>
            </w:r>
          </w:p>
        </w:tc>
      </w:tr>
    </w:tbl>
    <w:p>
      <w:pPr>
        <w:keepNext w:val="0"/>
        <w:keepLines w:val="0"/>
        <w:pageBreakBefore w:val="0"/>
        <w:kinsoku/>
        <w:wordWrap/>
        <w:overflowPunct/>
        <w:topLinePunct w:val="0"/>
        <w:bidi w:val="0"/>
        <w:spacing w:line="400" w:lineRule="exact"/>
        <w:rPr>
          <w:rFonts w:hint="eastAsia" w:ascii="宋体" w:hAnsi="宋体" w:eastAsia="宋体" w:cs="宋体"/>
          <w:kern w:val="0"/>
          <w:sz w:val="22"/>
          <w:szCs w:val="22"/>
          <w:highlight w:val="none"/>
        </w:rPr>
      </w:pPr>
    </w:p>
    <w:p>
      <w:pPr>
        <w:pStyle w:val="264"/>
        <w:keepNext w:val="0"/>
        <w:pageBreakBefore w:val="0"/>
        <w:shd w:val="clear" w:color="auto" w:fill="auto"/>
        <w:tabs>
          <w:tab w:val="left" w:pos="830"/>
        </w:tabs>
        <w:kinsoku/>
        <w:wordWrap/>
        <w:overflowPunct/>
        <w:topLinePunct w:val="0"/>
        <w:bidi w:val="0"/>
        <w:spacing w:line="400" w:lineRule="exact"/>
        <w:ind w:firstLine="0"/>
        <w:jc w:val="left"/>
        <w:outlineLvl w:val="1"/>
        <w:rPr>
          <w:rFonts w:hint="eastAsia" w:ascii="Times New Roman" w:hAnsi="Times New Roman" w:eastAsia="宋体" w:cs="宋体"/>
          <w:b/>
          <w:bCs/>
          <w:color w:val="000000"/>
          <w:sz w:val="24"/>
          <w:szCs w:val="24"/>
          <w:highlight w:val="none"/>
          <w:lang w:val="en-US" w:eastAsia="zh-CN"/>
        </w:rPr>
      </w:pPr>
      <w:bookmarkStart w:id="322" w:name="_Toc24304"/>
      <w:r>
        <w:rPr>
          <w:rFonts w:hint="eastAsia" w:ascii="Times New Roman" w:hAnsi="Times New Roman" w:eastAsia="宋体" w:cs="宋体"/>
          <w:b/>
          <w:bCs/>
          <w:color w:val="000000"/>
          <w:sz w:val="24"/>
          <w:szCs w:val="24"/>
          <w:highlight w:val="none"/>
          <w:lang w:val="en-US" w:eastAsia="zh-CN"/>
        </w:rPr>
        <w:t>（十）水站文化建设要求</w:t>
      </w:r>
      <w:bookmarkEnd w:id="322"/>
    </w:p>
    <w:p>
      <w:pPr>
        <w:keepNext w:val="0"/>
        <w:keepLines w:val="0"/>
        <w:pageBreakBefore w:val="0"/>
        <w:kinsoku/>
        <w:wordWrap/>
        <w:overflowPunct/>
        <w:topLinePunct w:val="0"/>
        <w:bidi w:val="0"/>
        <w:spacing w:line="400" w:lineRule="exact"/>
        <w:ind w:firstLine="440" w:firstLineChars="200"/>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技术要符合《国家地表水水质自动监测站文化建设方案（试行）》、浙江省水环境自动监测系统标牌制作规定》（浙环监函〔2021〕35号等通知的要求。</w:t>
      </w:r>
    </w:p>
    <w:p>
      <w:pPr>
        <w:keepNext w:val="0"/>
        <w:keepLines w:val="0"/>
        <w:pageBreakBefore w:val="0"/>
        <w:widowControl/>
        <w:kinsoku/>
        <w:wordWrap/>
        <w:overflowPunct/>
        <w:topLinePunct w:val="0"/>
        <w:bidi w:val="0"/>
        <w:spacing w:line="400" w:lineRule="exact"/>
        <w:jc w:val="left"/>
        <w:rPr>
          <w:rFonts w:hint="eastAsia" w:ascii="宋体" w:hAnsi="宋体" w:eastAsia="宋体" w:cs="宋体"/>
          <w:sz w:val="22"/>
          <w:szCs w:val="22"/>
          <w:highlight w:val="none"/>
        </w:rPr>
      </w:pPr>
    </w:p>
    <w:p>
      <w:pPr>
        <w:keepNext w:val="0"/>
        <w:keepLines w:val="0"/>
        <w:pageBreakBefore w:val="0"/>
        <w:kinsoku/>
        <w:wordWrap/>
        <w:overflowPunct/>
        <w:topLinePunct w:val="0"/>
        <w:bidi w:val="0"/>
        <w:spacing w:line="400" w:lineRule="exact"/>
        <w:rPr>
          <w:rFonts w:hint="eastAsia" w:ascii="宋体" w:hAnsi="宋体" w:eastAsia="宋体" w:cs="宋体"/>
          <w:sz w:val="22"/>
          <w:szCs w:val="22"/>
          <w:highlight w:val="none"/>
        </w:rPr>
      </w:pPr>
    </w:p>
    <w:p>
      <w:pPr>
        <w:pStyle w:val="262"/>
        <w:spacing w:beforeLines="0" w:afterLines="0" w:line="440" w:lineRule="exact"/>
        <w:rPr>
          <w:sz w:val="32"/>
          <w:szCs w:val="32"/>
          <w:highlight w:val="none"/>
        </w:rPr>
      </w:pPr>
      <w:bookmarkStart w:id="323" w:name="_Toc18597"/>
      <w:bookmarkStart w:id="324" w:name="_Toc25566"/>
      <w:r>
        <w:rPr>
          <w:rFonts w:hint="eastAsia"/>
          <w:sz w:val="32"/>
          <w:szCs w:val="32"/>
          <w:highlight w:val="none"/>
        </w:rPr>
        <w:t>三、商务条款</w:t>
      </w:r>
      <w:bookmarkEnd w:id="323"/>
      <w:bookmarkEnd w:id="324"/>
    </w:p>
    <w:p>
      <w:pPr>
        <w:autoSpaceDE w:val="0"/>
        <w:autoSpaceDN w:val="0"/>
        <w:adjustRightInd w:val="0"/>
        <w:snapToGrid w:val="0"/>
        <w:spacing w:line="420" w:lineRule="exact"/>
        <w:ind w:firstLine="440" w:firstLineChars="200"/>
        <w:textAlignment w:val="bottom"/>
        <w:rPr>
          <w:rFonts w:ascii="宋体" w:hAnsi="宋体"/>
          <w:sz w:val="22"/>
          <w:szCs w:val="22"/>
          <w:highlight w:val="none"/>
        </w:rPr>
      </w:pPr>
      <w:r>
        <w:rPr>
          <w:rFonts w:hint="eastAsia" w:ascii="宋体" w:hAnsi="宋体"/>
          <w:sz w:val="22"/>
          <w:szCs w:val="22"/>
          <w:highlight w:val="none"/>
        </w:rPr>
        <w:t>1、</w:t>
      </w:r>
      <w:r>
        <w:rPr>
          <w:rFonts w:hint="eastAsia" w:ascii="宋体" w:hAnsi="宋体"/>
          <w:sz w:val="22"/>
          <w:szCs w:val="22"/>
          <w:highlight w:val="none"/>
          <w:lang w:val="en-US" w:eastAsia="zh-CN"/>
        </w:rPr>
        <w:t>免费</w:t>
      </w:r>
      <w:r>
        <w:rPr>
          <w:rFonts w:hint="eastAsia" w:ascii="宋体" w:hAnsi="宋体"/>
          <w:sz w:val="22"/>
          <w:szCs w:val="22"/>
          <w:highlight w:val="none"/>
        </w:rPr>
        <w:t>质保期</w:t>
      </w:r>
    </w:p>
    <w:p>
      <w:pPr>
        <w:snapToGrid w:val="0"/>
        <w:spacing w:line="420" w:lineRule="exact"/>
        <w:ind w:firstLine="440" w:firstLineChars="200"/>
        <w:rPr>
          <w:rFonts w:ascii="宋体" w:hAnsi="宋体"/>
          <w:sz w:val="22"/>
          <w:szCs w:val="22"/>
          <w:highlight w:val="none"/>
        </w:rPr>
      </w:pPr>
      <w:r>
        <w:rPr>
          <w:rFonts w:hint="eastAsia" w:ascii="宋体" w:hAnsi="宋体"/>
          <w:sz w:val="22"/>
          <w:szCs w:val="22"/>
          <w:highlight w:val="none"/>
        </w:rPr>
        <w:t>1.1本项目</w:t>
      </w:r>
      <w:r>
        <w:rPr>
          <w:rFonts w:hint="eastAsia" w:ascii="宋体" w:hAnsi="宋体"/>
          <w:b/>
          <w:bCs/>
          <w:sz w:val="22"/>
          <w:szCs w:val="22"/>
          <w:highlight w:val="none"/>
        </w:rPr>
        <w:t>免费质保期为</w:t>
      </w:r>
      <w:r>
        <w:rPr>
          <w:rFonts w:hint="eastAsia" w:ascii="宋体" w:hAnsi="宋体"/>
          <w:b/>
          <w:bCs/>
          <w:sz w:val="22"/>
          <w:szCs w:val="22"/>
          <w:highlight w:val="none"/>
          <w:lang w:val="en-US" w:eastAsia="zh-CN"/>
        </w:rPr>
        <w:t>3</w:t>
      </w:r>
      <w:r>
        <w:rPr>
          <w:rFonts w:hint="eastAsia" w:ascii="宋体" w:hAnsi="宋体"/>
          <w:b/>
          <w:bCs/>
          <w:sz w:val="22"/>
          <w:szCs w:val="22"/>
          <w:highlight w:val="none"/>
        </w:rPr>
        <w:t>年</w:t>
      </w:r>
      <w:r>
        <w:rPr>
          <w:rFonts w:hint="eastAsia" w:ascii="宋体" w:hAnsi="宋体"/>
          <w:sz w:val="22"/>
          <w:szCs w:val="22"/>
          <w:highlight w:val="none"/>
        </w:rPr>
        <w:t>（采购内容中有特殊说明的除外，产品上标明或乙方承诺的质量保证期超过以上规定期限的，以标明或承诺的最高质量保证期为准），质保期从竣工验收合格之日起算。</w:t>
      </w:r>
    </w:p>
    <w:p>
      <w:pPr>
        <w:snapToGrid w:val="0"/>
        <w:spacing w:line="420" w:lineRule="exact"/>
        <w:ind w:firstLine="440" w:firstLineChars="200"/>
        <w:rPr>
          <w:rFonts w:ascii="宋体" w:hAnsi="宋体"/>
          <w:sz w:val="22"/>
          <w:szCs w:val="22"/>
          <w:highlight w:val="none"/>
        </w:rPr>
      </w:pPr>
      <w:r>
        <w:rPr>
          <w:rFonts w:hint="eastAsia" w:ascii="宋体" w:hAnsi="宋体"/>
          <w:sz w:val="22"/>
          <w:szCs w:val="22"/>
          <w:highlight w:val="none"/>
        </w:rPr>
        <w:t>1.2质保期内提供免费上门维护、修复服务。为保证设备持续运行，中标人应保证相关设备备品备件的长期供应。</w:t>
      </w:r>
    </w:p>
    <w:p>
      <w:pPr>
        <w:snapToGrid w:val="0"/>
        <w:spacing w:line="420" w:lineRule="exact"/>
        <w:ind w:firstLine="440" w:firstLineChars="200"/>
        <w:rPr>
          <w:rFonts w:ascii="宋体" w:hAnsi="宋体"/>
          <w:sz w:val="22"/>
          <w:szCs w:val="22"/>
          <w:highlight w:val="none"/>
        </w:rPr>
      </w:pPr>
      <w:r>
        <w:rPr>
          <w:rFonts w:hint="eastAsia" w:ascii="宋体" w:hAnsi="宋体"/>
          <w:sz w:val="22"/>
          <w:szCs w:val="22"/>
          <w:highlight w:val="none"/>
        </w:rPr>
        <w:t>1.3质保期内因设备本身缺陷造成各种故障应由中标人免费技术服务和维修。</w:t>
      </w:r>
    </w:p>
    <w:p>
      <w:pPr>
        <w:snapToGrid w:val="0"/>
        <w:spacing w:line="420" w:lineRule="exact"/>
        <w:ind w:firstLine="440" w:firstLineChars="200"/>
        <w:rPr>
          <w:rFonts w:ascii="宋体" w:hAnsi="宋体"/>
          <w:sz w:val="22"/>
          <w:szCs w:val="22"/>
          <w:highlight w:val="none"/>
        </w:rPr>
      </w:pPr>
      <w:r>
        <w:rPr>
          <w:rFonts w:hint="eastAsia" w:ascii="宋体" w:hAnsi="宋体"/>
          <w:sz w:val="22"/>
          <w:szCs w:val="22"/>
          <w:highlight w:val="none"/>
        </w:rPr>
        <w:t>1.4投标人在投标文件中说明质保期内提供的服务计划及培训计划。投标人必须提供项目中所有设备及设备配套软件的使用培训，提供免费技术服务。投标人提供培训场所与设备进行本地化培训，培训内容应包括产品使用，维护管理等，并提供培训手册。</w:t>
      </w:r>
    </w:p>
    <w:p>
      <w:pPr>
        <w:snapToGrid w:val="0"/>
        <w:spacing w:line="420" w:lineRule="exact"/>
        <w:ind w:firstLine="440" w:firstLineChars="200"/>
        <w:rPr>
          <w:rFonts w:ascii="宋体" w:hAnsi="宋体"/>
          <w:sz w:val="22"/>
          <w:szCs w:val="22"/>
          <w:highlight w:val="none"/>
        </w:rPr>
      </w:pPr>
      <w:r>
        <w:rPr>
          <w:rFonts w:hint="eastAsia" w:ascii="宋体" w:hAnsi="宋体"/>
          <w:sz w:val="22"/>
          <w:szCs w:val="22"/>
          <w:highlight w:val="none"/>
        </w:rPr>
        <w:t>1.5投标所投的产品必须符合平台接入标准，如不满足接入标准所产生的费用由中标人负责，采购人不追加任何额外费用。因此，投标人须自行考虑相关风险。</w:t>
      </w:r>
    </w:p>
    <w:p>
      <w:pPr>
        <w:spacing w:line="440" w:lineRule="exact"/>
        <w:ind w:firstLine="440" w:firstLineChars="200"/>
        <w:rPr>
          <w:rFonts w:ascii="宋体" w:hAnsi="宋体"/>
          <w:sz w:val="22"/>
          <w:szCs w:val="22"/>
          <w:highlight w:val="none"/>
        </w:rPr>
      </w:pPr>
      <w:bookmarkStart w:id="325" w:name="_Hlk102590334"/>
      <w:r>
        <w:rPr>
          <w:rFonts w:ascii="宋体" w:hAnsi="宋体"/>
          <w:sz w:val="22"/>
          <w:szCs w:val="22"/>
          <w:highlight w:val="none"/>
        </w:rPr>
        <w:t>1.6</w:t>
      </w:r>
      <w:r>
        <w:rPr>
          <w:rFonts w:hint="eastAsia" w:ascii="宋体" w:hAnsi="宋体"/>
          <w:sz w:val="22"/>
          <w:szCs w:val="22"/>
          <w:highlight w:val="none"/>
        </w:rPr>
        <w:t>质保期间，涉及网络安全加固的工作，中标人须无偿协助采购人完成且要通过网络安全管理部门的审查。</w:t>
      </w:r>
    </w:p>
    <w:p>
      <w:pPr>
        <w:spacing w:line="440" w:lineRule="exact"/>
        <w:ind w:firstLine="440" w:firstLineChars="200"/>
        <w:rPr>
          <w:rFonts w:ascii="宋体" w:hAnsi="宋体"/>
          <w:sz w:val="22"/>
          <w:szCs w:val="22"/>
          <w:highlight w:val="none"/>
        </w:rPr>
      </w:pPr>
      <w:r>
        <w:rPr>
          <w:rFonts w:ascii="宋体" w:hAnsi="宋体"/>
          <w:sz w:val="22"/>
          <w:szCs w:val="22"/>
          <w:highlight w:val="none"/>
        </w:rPr>
        <w:t>1.7</w:t>
      </w:r>
      <w:r>
        <w:rPr>
          <w:rFonts w:hint="eastAsia" w:ascii="宋体" w:hAnsi="宋体"/>
          <w:sz w:val="22"/>
          <w:szCs w:val="22"/>
          <w:highlight w:val="none"/>
        </w:rPr>
        <w:t>质保期间，有关《中华人民共和国数据安全法》对加强数据安全保护的要求，中标人应协助采购人完成加强数据安全保护的工作。</w:t>
      </w:r>
    </w:p>
    <w:p>
      <w:pPr>
        <w:spacing w:line="440" w:lineRule="exact"/>
        <w:ind w:firstLine="440" w:firstLineChars="200"/>
        <w:rPr>
          <w:rFonts w:ascii="宋体" w:hAnsi="宋体"/>
          <w:sz w:val="22"/>
          <w:szCs w:val="22"/>
          <w:highlight w:val="none"/>
        </w:rPr>
      </w:pPr>
      <w:r>
        <w:rPr>
          <w:rFonts w:ascii="宋体" w:hAnsi="宋体"/>
          <w:sz w:val="22"/>
          <w:szCs w:val="22"/>
          <w:highlight w:val="none"/>
        </w:rPr>
        <w:t>1.8</w:t>
      </w:r>
      <w:r>
        <w:rPr>
          <w:rFonts w:hint="eastAsia" w:ascii="宋体" w:hAnsi="宋体"/>
          <w:sz w:val="22"/>
          <w:szCs w:val="22"/>
          <w:highlight w:val="none"/>
        </w:rPr>
        <w:t>在整个产品生命周期内，如软件自身或系统组件发现高危漏洞或者数据安全隐患，中标人应提供相应的漏洞解决方案，并进行漏洞修复。</w:t>
      </w:r>
    </w:p>
    <w:bookmarkEnd w:id="325"/>
    <w:p>
      <w:pPr>
        <w:autoSpaceDE w:val="0"/>
        <w:autoSpaceDN w:val="0"/>
        <w:adjustRightInd w:val="0"/>
        <w:snapToGrid w:val="0"/>
        <w:spacing w:line="420" w:lineRule="exact"/>
        <w:ind w:firstLine="440" w:firstLineChars="200"/>
        <w:textAlignment w:val="bottom"/>
        <w:rPr>
          <w:rFonts w:ascii="宋体" w:hAnsi="宋体"/>
          <w:sz w:val="22"/>
          <w:szCs w:val="22"/>
          <w:highlight w:val="none"/>
        </w:rPr>
      </w:pPr>
      <w:r>
        <w:rPr>
          <w:rFonts w:hint="eastAsia" w:ascii="宋体" w:hAnsi="宋体"/>
          <w:sz w:val="22"/>
          <w:szCs w:val="22"/>
          <w:highlight w:val="none"/>
        </w:rPr>
        <w:t>2、付款方式</w:t>
      </w:r>
    </w:p>
    <w:p>
      <w:pPr>
        <w:numPr>
          <w:ilvl w:val="0"/>
          <w:numId w:val="32"/>
        </w:numPr>
        <w:tabs>
          <w:tab w:val="left" w:pos="450"/>
          <w:tab w:val="left" w:pos="540"/>
          <w:tab w:val="left" w:pos="992"/>
        </w:tabs>
        <w:spacing w:line="440" w:lineRule="atLeast"/>
        <w:rPr>
          <w:rFonts w:ascii="宋体" w:hAnsi="宋体"/>
          <w:b/>
          <w:sz w:val="22"/>
          <w:szCs w:val="22"/>
          <w:highlight w:val="none"/>
          <w:u w:val="single"/>
        </w:rPr>
      </w:pPr>
      <w:r>
        <w:rPr>
          <w:rFonts w:hint="eastAsia" w:ascii="宋体" w:hAnsi="宋体"/>
          <w:b/>
          <w:sz w:val="22"/>
          <w:szCs w:val="22"/>
          <w:highlight w:val="none"/>
          <w:u w:val="single"/>
        </w:rPr>
        <w:t>合同生效以及具备实施条件后</w:t>
      </w:r>
      <w:r>
        <w:rPr>
          <w:rFonts w:hint="eastAsia" w:ascii="宋体" w:hAnsi="宋体"/>
          <w:b/>
          <w:sz w:val="22"/>
          <w:szCs w:val="22"/>
          <w:highlight w:val="none"/>
          <w:u w:val="single"/>
          <w:lang w:val="en-US" w:eastAsia="zh-CN"/>
        </w:rPr>
        <w:t>7</w:t>
      </w:r>
      <w:r>
        <w:rPr>
          <w:rFonts w:hint="eastAsia" w:ascii="宋体" w:hAnsi="宋体"/>
          <w:b/>
          <w:sz w:val="22"/>
          <w:szCs w:val="22"/>
          <w:highlight w:val="none"/>
          <w:u w:val="single"/>
        </w:rPr>
        <w:t>日内买方支付合同总额</w:t>
      </w:r>
      <w:r>
        <w:rPr>
          <w:rFonts w:hint="eastAsia" w:ascii="宋体" w:hAnsi="宋体"/>
          <w:b/>
          <w:sz w:val="22"/>
          <w:szCs w:val="22"/>
          <w:highlight w:val="none"/>
          <w:u w:val="single"/>
          <w:lang w:val="en-US" w:eastAsia="zh-CN"/>
        </w:rPr>
        <w:t>3</w:t>
      </w:r>
      <w:r>
        <w:rPr>
          <w:rFonts w:hint="eastAsia" w:ascii="宋体" w:hAnsi="宋体"/>
          <w:b/>
          <w:sz w:val="22"/>
          <w:szCs w:val="22"/>
          <w:highlight w:val="none"/>
          <w:u w:val="single"/>
        </w:rPr>
        <w:t>0%的预付款；</w:t>
      </w:r>
    </w:p>
    <w:p>
      <w:pPr>
        <w:numPr>
          <w:ilvl w:val="0"/>
          <w:numId w:val="32"/>
        </w:numPr>
        <w:tabs>
          <w:tab w:val="left" w:pos="450"/>
          <w:tab w:val="left" w:pos="540"/>
          <w:tab w:val="left" w:pos="992"/>
        </w:tabs>
        <w:spacing w:line="440" w:lineRule="atLeast"/>
        <w:rPr>
          <w:rFonts w:ascii="宋体" w:hAnsi="宋体"/>
          <w:b/>
          <w:sz w:val="22"/>
          <w:szCs w:val="22"/>
          <w:highlight w:val="none"/>
          <w:u w:val="single"/>
        </w:rPr>
      </w:pPr>
      <w:r>
        <w:rPr>
          <w:rFonts w:hint="eastAsia" w:ascii="宋体" w:hAnsi="宋体"/>
          <w:b/>
          <w:sz w:val="22"/>
          <w:szCs w:val="22"/>
          <w:highlight w:val="none"/>
          <w:u w:val="single"/>
        </w:rPr>
        <w:t>所有产品供应齐全且完成安装、调试、验收合格后，付至合同总价款的100%。</w:t>
      </w:r>
    </w:p>
    <w:p>
      <w:pPr>
        <w:numPr>
          <w:ilvl w:val="0"/>
          <w:numId w:val="0"/>
        </w:numPr>
        <w:tabs>
          <w:tab w:val="left" w:pos="450"/>
          <w:tab w:val="left" w:pos="540"/>
          <w:tab w:val="left" w:pos="992"/>
        </w:tabs>
        <w:spacing w:line="440" w:lineRule="atLeast"/>
        <w:ind w:left="450" w:leftChars="0"/>
        <w:rPr>
          <w:rFonts w:hint="eastAsia" w:ascii="宋体" w:hAnsi="宋体" w:eastAsia="宋体"/>
          <w:b/>
          <w:sz w:val="22"/>
          <w:szCs w:val="22"/>
          <w:highlight w:val="none"/>
          <w:u w:val="single"/>
          <w:lang w:val="en-US" w:eastAsia="zh-CN"/>
        </w:rPr>
      </w:pPr>
      <w:r>
        <w:rPr>
          <w:rFonts w:hint="eastAsia" w:ascii="宋体" w:hAnsi="宋体"/>
          <w:b/>
          <w:bCs/>
          <w:sz w:val="22"/>
          <w:szCs w:val="22"/>
          <w:highlight w:val="none"/>
          <w:u w:val="single"/>
          <w:lang w:val="zh-CN"/>
        </w:rPr>
        <w:t>备注：</w:t>
      </w:r>
      <w:r>
        <w:rPr>
          <w:rFonts w:hint="eastAsia" w:ascii="宋体" w:hAnsi="宋体"/>
          <w:b/>
          <w:sz w:val="22"/>
          <w:szCs w:val="22"/>
          <w:highlight w:val="none"/>
          <w:u w:val="single"/>
        </w:rPr>
        <w:t>1、签订合同时，中标人明确表示无需预付款或者主动要求降低预付款比例的，合同中可另行约定。2、甲方对于满足合同约定支付条件的，自收到发票后7个工作日内将资金支付到合同约定的乙方账户。3、</w:t>
      </w:r>
      <w:r>
        <w:rPr>
          <w:rFonts w:hint="eastAsia" w:ascii="宋体" w:hAnsi="宋体"/>
          <w:b/>
          <w:bCs/>
          <w:sz w:val="22"/>
          <w:szCs w:val="22"/>
          <w:highlight w:val="none"/>
          <w:u w:val="single"/>
          <w:lang w:val="zh-CN"/>
        </w:rPr>
        <w:t>以上合同款的具体支付时间以审核及支付时间为准</w:t>
      </w:r>
      <w:r>
        <w:rPr>
          <w:rFonts w:hint="eastAsia" w:ascii="宋体" w:hAnsi="宋体" w:eastAsia="宋体"/>
          <w:b/>
          <w:sz w:val="22"/>
          <w:szCs w:val="22"/>
          <w:highlight w:val="none"/>
          <w:u w:val="single"/>
          <w:lang w:eastAsia="zh-CN"/>
        </w:rPr>
        <w:t>。</w:t>
      </w:r>
    </w:p>
    <w:p>
      <w:pPr>
        <w:autoSpaceDE w:val="0"/>
        <w:autoSpaceDN w:val="0"/>
        <w:adjustRightInd w:val="0"/>
        <w:spacing w:line="420" w:lineRule="exact"/>
        <w:ind w:firstLine="440" w:firstLineChars="200"/>
        <w:textAlignment w:val="bottom"/>
        <w:rPr>
          <w:rFonts w:ascii="宋体" w:hAnsi="宋体"/>
          <w:sz w:val="22"/>
          <w:szCs w:val="22"/>
          <w:highlight w:val="none"/>
        </w:rPr>
      </w:pPr>
      <w:r>
        <w:rPr>
          <w:rFonts w:ascii="宋体" w:hAnsi="宋体"/>
          <w:sz w:val="22"/>
          <w:szCs w:val="22"/>
          <w:highlight w:val="none"/>
        </w:rPr>
        <w:t>3</w:t>
      </w:r>
      <w:r>
        <w:rPr>
          <w:rFonts w:hint="eastAsia" w:ascii="宋体" w:hAnsi="宋体"/>
          <w:sz w:val="22"/>
          <w:szCs w:val="22"/>
          <w:highlight w:val="none"/>
        </w:rPr>
        <w:t>、随机资料</w:t>
      </w:r>
    </w:p>
    <w:p>
      <w:pPr>
        <w:widowControl/>
        <w:autoSpaceDE w:val="0"/>
        <w:autoSpaceDN w:val="0"/>
        <w:adjustRightInd w:val="0"/>
        <w:spacing w:line="420" w:lineRule="exact"/>
        <w:ind w:firstLine="440" w:firstLineChars="200"/>
        <w:textAlignment w:val="bottom"/>
        <w:rPr>
          <w:rFonts w:ascii="宋体" w:hAnsi="宋体"/>
          <w:sz w:val="22"/>
          <w:szCs w:val="22"/>
          <w:highlight w:val="none"/>
        </w:rPr>
      </w:pPr>
      <w:r>
        <w:rPr>
          <w:rFonts w:hint="eastAsia" w:ascii="宋体" w:hAnsi="宋体"/>
          <w:sz w:val="22"/>
          <w:szCs w:val="22"/>
          <w:highlight w:val="none"/>
        </w:rPr>
        <w:t>产品须提供产品合格证、质量保证书，产品的安装、说明书、维修保养手册等技术文件。</w:t>
      </w:r>
    </w:p>
    <w:p>
      <w:pPr>
        <w:snapToGrid w:val="0"/>
        <w:spacing w:line="420" w:lineRule="exact"/>
        <w:ind w:firstLine="440" w:firstLineChars="200"/>
        <w:rPr>
          <w:rFonts w:ascii="宋体" w:hAnsi="宋体"/>
          <w:sz w:val="22"/>
          <w:szCs w:val="22"/>
          <w:highlight w:val="none"/>
        </w:rPr>
      </w:pPr>
      <w:r>
        <w:rPr>
          <w:rFonts w:ascii="宋体" w:hAnsi="宋体"/>
          <w:sz w:val="22"/>
          <w:szCs w:val="22"/>
          <w:highlight w:val="none"/>
        </w:rPr>
        <w:t>4</w:t>
      </w:r>
      <w:r>
        <w:rPr>
          <w:rFonts w:hint="eastAsia" w:ascii="宋体" w:hAnsi="宋体"/>
          <w:sz w:val="22"/>
          <w:szCs w:val="22"/>
          <w:highlight w:val="none"/>
        </w:rPr>
        <w:t>、安装施工：需中标人提供技术人员安装施工</w:t>
      </w:r>
    </w:p>
    <w:p>
      <w:pPr>
        <w:widowControl/>
        <w:autoSpaceDE w:val="0"/>
        <w:autoSpaceDN w:val="0"/>
        <w:adjustRightInd w:val="0"/>
        <w:snapToGrid w:val="0"/>
        <w:spacing w:line="420" w:lineRule="exact"/>
        <w:ind w:firstLine="440" w:firstLineChars="200"/>
        <w:textAlignment w:val="bottom"/>
        <w:rPr>
          <w:rFonts w:ascii="宋体" w:hAnsi="宋体"/>
          <w:sz w:val="22"/>
          <w:szCs w:val="22"/>
          <w:highlight w:val="none"/>
        </w:rPr>
      </w:pPr>
      <w:r>
        <w:rPr>
          <w:rFonts w:ascii="宋体" w:hAnsi="宋体"/>
          <w:sz w:val="22"/>
          <w:szCs w:val="22"/>
          <w:highlight w:val="none"/>
        </w:rPr>
        <w:t>4</w:t>
      </w:r>
      <w:r>
        <w:rPr>
          <w:rFonts w:hint="eastAsia" w:ascii="宋体" w:hAnsi="宋体"/>
          <w:sz w:val="22"/>
          <w:szCs w:val="22"/>
          <w:highlight w:val="none"/>
        </w:rPr>
        <w:t>.1安装施工地点：按采购单位要求。</w:t>
      </w:r>
    </w:p>
    <w:p>
      <w:pPr>
        <w:widowControl/>
        <w:autoSpaceDE w:val="0"/>
        <w:autoSpaceDN w:val="0"/>
        <w:adjustRightInd w:val="0"/>
        <w:snapToGrid w:val="0"/>
        <w:spacing w:line="420" w:lineRule="exact"/>
        <w:ind w:firstLine="440" w:firstLineChars="200"/>
        <w:textAlignment w:val="bottom"/>
        <w:rPr>
          <w:rFonts w:ascii="宋体" w:hAnsi="宋体"/>
          <w:sz w:val="22"/>
          <w:szCs w:val="22"/>
          <w:highlight w:val="none"/>
        </w:rPr>
      </w:pPr>
      <w:r>
        <w:rPr>
          <w:rFonts w:ascii="宋体" w:hAnsi="宋体"/>
          <w:sz w:val="22"/>
          <w:szCs w:val="22"/>
          <w:highlight w:val="none"/>
        </w:rPr>
        <w:t>4</w:t>
      </w:r>
      <w:r>
        <w:rPr>
          <w:rFonts w:hint="eastAsia" w:ascii="宋体" w:hAnsi="宋体"/>
          <w:sz w:val="22"/>
          <w:szCs w:val="22"/>
          <w:highlight w:val="none"/>
        </w:rPr>
        <w:t>.2安装施工标准：符合我国国家有关技术规范要求和技术标准。</w:t>
      </w:r>
    </w:p>
    <w:p>
      <w:pPr>
        <w:widowControl/>
        <w:autoSpaceDE w:val="0"/>
        <w:autoSpaceDN w:val="0"/>
        <w:adjustRightInd w:val="0"/>
        <w:snapToGrid w:val="0"/>
        <w:spacing w:line="420" w:lineRule="exact"/>
        <w:ind w:firstLine="440" w:firstLineChars="200"/>
        <w:textAlignment w:val="bottom"/>
        <w:rPr>
          <w:rFonts w:ascii="宋体" w:hAnsi="宋体"/>
          <w:sz w:val="22"/>
          <w:szCs w:val="22"/>
          <w:highlight w:val="none"/>
        </w:rPr>
      </w:pPr>
      <w:r>
        <w:rPr>
          <w:rFonts w:ascii="宋体" w:hAnsi="宋体"/>
          <w:sz w:val="22"/>
          <w:szCs w:val="22"/>
          <w:highlight w:val="none"/>
        </w:rPr>
        <w:t>4</w:t>
      </w:r>
      <w:r>
        <w:rPr>
          <w:rFonts w:hint="eastAsia" w:ascii="宋体" w:hAnsi="宋体"/>
          <w:sz w:val="22"/>
          <w:szCs w:val="22"/>
          <w:highlight w:val="none"/>
        </w:rPr>
        <w:t>.3安装施工过程中发生的所有费用由中标人负责。</w:t>
      </w:r>
    </w:p>
    <w:p>
      <w:pPr>
        <w:snapToGrid w:val="0"/>
        <w:spacing w:line="420" w:lineRule="exact"/>
        <w:ind w:firstLine="440" w:firstLineChars="200"/>
        <w:rPr>
          <w:rFonts w:ascii="宋体" w:hAnsi="宋体"/>
          <w:sz w:val="22"/>
          <w:szCs w:val="22"/>
          <w:highlight w:val="none"/>
        </w:rPr>
      </w:pPr>
      <w:r>
        <w:rPr>
          <w:rFonts w:hint="eastAsia" w:ascii="宋体" w:hAnsi="宋体"/>
          <w:sz w:val="22"/>
          <w:szCs w:val="22"/>
          <w:highlight w:val="none"/>
        </w:rPr>
        <w:t>投标人应在投标文件中提供其安装施工过程中使用单位需配合的内容。</w:t>
      </w:r>
    </w:p>
    <w:p>
      <w:pPr>
        <w:snapToGrid w:val="0"/>
        <w:spacing w:line="420" w:lineRule="exact"/>
        <w:ind w:firstLine="440" w:firstLineChars="200"/>
        <w:rPr>
          <w:rFonts w:ascii="宋体" w:hAnsi="宋体"/>
          <w:sz w:val="22"/>
          <w:szCs w:val="22"/>
          <w:highlight w:val="none"/>
        </w:rPr>
      </w:pPr>
      <w:r>
        <w:rPr>
          <w:rFonts w:ascii="宋体" w:hAnsi="宋体"/>
          <w:sz w:val="22"/>
          <w:szCs w:val="22"/>
          <w:highlight w:val="none"/>
        </w:rPr>
        <w:t>5</w:t>
      </w:r>
      <w:r>
        <w:rPr>
          <w:rFonts w:hint="eastAsia" w:ascii="宋体" w:hAnsi="宋体"/>
          <w:sz w:val="22"/>
          <w:szCs w:val="22"/>
          <w:highlight w:val="none"/>
        </w:rPr>
        <w:t>、交货时间</w:t>
      </w:r>
    </w:p>
    <w:p>
      <w:pPr>
        <w:snapToGrid w:val="0"/>
        <w:spacing w:line="420" w:lineRule="exact"/>
        <w:ind w:firstLine="442" w:firstLineChars="200"/>
        <w:rPr>
          <w:rFonts w:hint="eastAsia" w:ascii="宋体" w:hAnsi="宋体" w:eastAsia="宋体"/>
          <w:b/>
          <w:bCs/>
          <w:sz w:val="22"/>
          <w:szCs w:val="22"/>
          <w:highlight w:val="none"/>
          <w:lang w:val="en-US" w:eastAsia="zh-CN"/>
        </w:rPr>
      </w:pPr>
      <w:r>
        <w:rPr>
          <w:rFonts w:hint="eastAsia" w:ascii="宋体" w:hAnsi="宋体"/>
          <w:b/>
          <w:bCs/>
          <w:sz w:val="22"/>
          <w:szCs w:val="22"/>
          <w:highlight w:val="none"/>
          <w:u w:val="single"/>
          <w:lang w:val="en-US" w:eastAsia="zh-CN"/>
        </w:rPr>
        <w:t>合同签订后接到采购人通知6</w:t>
      </w:r>
      <w:r>
        <w:rPr>
          <w:rFonts w:ascii="宋体" w:hAnsi="宋体"/>
          <w:b/>
          <w:bCs/>
          <w:sz w:val="22"/>
          <w:szCs w:val="22"/>
          <w:highlight w:val="none"/>
          <w:u w:val="single"/>
        </w:rPr>
        <w:t>0</w:t>
      </w:r>
      <w:r>
        <w:rPr>
          <w:rFonts w:hint="eastAsia" w:ascii="宋体" w:hAnsi="宋体"/>
          <w:b/>
          <w:bCs/>
          <w:sz w:val="22"/>
          <w:szCs w:val="22"/>
          <w:highlight w:val="none"/>
          <w:u w:val="single"/>
        </w:rPr>
        <w:t>日历天内</w:t>
      </w:r>
      <w:r>
        <w:rPr>
          <w:rFonts w:hint="eastAsia" w:ascii="宋体" w:hAnsi="宋体"/>
          <w:b/>
          <w:bCs/>
          <w:sz w:val="22"/>
          <w:szCs w:val="22"/>
          <w:highlight w:val="none"/>
        </w:rPr>
        <w:t>完成供货、安装</w:t>
      </w:r>
      <w:r>
        <w:rPr>
          <w:rFonts w:hint="eastAsia" w:ascii="宋体" w:hAnsi="宋体"/>
          <w:b/>
          <w:bCs/>
          <w:sz w:val="22"/>
          <w:szCs w:val="22"/>
          <w:highlight w:val="none"/>
          <w:lang w:eastAsia="zh-CN"/>
        </w:rPr>
        <w:t>、</w:t>
      </w:r>
      <w:r>
        <w:rPr>
          <w:rFonts w:hint="eastAsia" w:ascii="宋体" w:hAnsi="宋体"/>
          <w:b/>
          <w:bCs/>
          <w:sz w:val="22"/>
          <w:szCs w:val="22"/>
          <w:highlight w:val="none"/>
          <w:lang w:val="en-US" w:eastAsia="zh-CN"/>
        </w:rPr>
        <w:t>调试并进入试运行阶段，全部工期在6个月内完成并验收</w:t>
      </w:r>
      <w:r>
        <w:rPr>
          <w:rFonts w:hint="eastAsia" w:ascii="宋体" w:hAnsi="宋体"/>
          <w:b/>
          <w:bCs/>
          <w:sz w:val="22"/>
          <w:szCs w:val="22"/>
          <w:highlight w:val="none"/>
        </w:rPr>
        <w:t>。</w:t>
      </w:r>
    </w:p>
    <w:p>
      <w:pPr>
        <w:pStyle w:val="2"/>
        <w:ind w:firstLine="422" w:firstLineChars="200"/>
        <w:rPr>
          <w:rFonts w:hint="default" w:eastAsia="宋体,Verdana,Arial"/>
          <w:highlight w:val="none"/>
          <w:lang w:val="en-US" w:eastAsia="zh-CN"/>
        </w:rPr>
      </w:pPr>
      <w:r>
        <w:rPr>
          <w:rFonts w:hint="eastAsia"/>
          <w:b/>
          <w:bCs/>
          <w:highlight w:val="none"/>
          <w:u w:val="single"/>
          <w:lang w:val="en-US" w:eastAsia="zh-CN"/>
        </w:rPr>
        <w:t>注：在工期规定内未完工或验收及整改后不合格的采购人有权解除合同，并且中标供应商需赔偿采购人的一切损失。</w:t>
      </w:r>
    </w:p>
    <w:p>
      <w:pPr>
        <w:pStyle w:val="262"/>
        <w:spacing w:beforeLines="0" w:afterLines="0" w:line="440" w:lineRule="exact"/>
        <w:rPr>
          <w:rFonts w:hint="eastAsia" w:eastAsia="宋体"/>
          <w:sz w:val="32"/>
          <w:szCs w:val="32"/>
          <w:highlight w:val="none"/>
        </w:rPr>
      </w:pPr>
      <w:bookmarkStart w:id="326" w:name="_Toc333"/>
      <w:bookmarkStart w:id="327" w:name="_Toc19801899"/>
      <w:bookmarkStart w:id="328" w:name="_Toc100419459"/>
      <w:bookmarkStart w:id="329" w:name="_Toc21177"/>
      <w:r>
        <w:rPr>
          <w:rFonts w:hint="eastAsia" w:eastAsia="宋体"/>
          <w:sz w:val="32"/>
          <w:szCs w:val="32"/>
          <w:highlight w:val="none"/>
        </w:rPr>
        <w:t>四、测试及项目验收</w:t>
      </w:r>
      <w:bookmarkEnd w:id="326"/>
      <w:bookmarkEnd w:id="327"/>
      <w:bookmarkEnd w:id="328"/>
      <w:bookmarkEnd w:id="329"/>
    </w:p>
    <w:p>
      <w:pPr>
        <w:spacing w:line="440" w:lineRule="exact"/>
        <w:ind w:firstLine="440" w:firstLineChars="200"/>
        <w:rPr>
          <w:rFonts w:ascii="宋体" w:hAnsi="宋体" w:cs="宋体"/>
          <w:sz w:val="22"/>
          <w:szCs w:val="22"/>
          <w:highlight w:val="none"/>
        </w:rPr>
      </w:pPr>
      <w:r>
        <w:rPr>
          <w:rFonts w:hint="eastAsia" w:ascii="宋体" w:hAnsi="宋体" w:cs="宋体"/>
          <w:sz w:val="22"/>
          <w:szCs w:val="22"/>
          <w:highlight w:val="none"/>
          <w:lang w:val="en-US" w:eastAsia="zh-CN"/>
        </w:rPr>
        <w:t>1</w:t>
      </w:r>
      <w:r>
        <w:rPr>
          <w:rFonts w:hint="eastAsia" w:ascii="宋体" w:hAnsi="宋体" w:cs="宋体"/>
          <w:sz w:val="22"/>
          <w:szCs w:val="22"/>
          <w:highlight w:val="none"/>
        </w:rPr>
        <w:t>、中标人应按有关要求供货，并提供货物质量检验证明文件、测试方法和验收标准。提供的质量检验证明文件、测试方法和验收标准经采购人认可后与合同一起作为项目验收标准的组成。</w:t>
      </w:r>
    </w:p>
    <w:p>
      <w:pPr>
        <w:spacing w:line="440" w:lineRule="exact"/>
        <w:ind w:firstLine="440" w:firstLineChars="200"/>
        <w:rPr>
          <w:rFonts w:ascii="宋体" w:hAnsi="宋体" w:cs="宋体"/>
          <w:sz w:val="22"/>
          <w:szCs w:val="22"/>
          <w:highlight w:val="none"/>
        </w:rPr>
      </w:pPr>
      <w:r>
        <w:rPr>
          <w:rFonts w:hint="eastAsia" w:ascii="宋体" w:hAnsi="宋体" w:cs="宋体"/>
          <w:sz w:val="22"/>
          <w:szCs w:val="22"/>
          <w:highlight w:val="none"/>
          <w:lang w:val="en-US" w:eastAsia="zh-CN"/>
        </w:rPr>
        <w:t>2</w:t>
      </w:r>
      <w:r>
        <w:rPr>
          <w:rFonts w:hint="eastAsia" w:ascii="宋体" w:hAnsi="宋体" w:cs="宋体"/>
          <w:sz w:val="22"/>
          <w:szCs w:val="22"/>
          <w:highlight w:val="none"/>
        </w:rPr>
        <w:t>、中标人将所有货物运抵安装地点后，由采购人按照装箱列表单、招标文件要求、投标文件等进行现场开箱初验。</w:t>
      </w:r>
    </w:p>
    <w:p>
      <w:pPr>
        <w:spacing w:line="440" w:lineRule="exact"/>
        <w:ind w:firstLine="440" w:firstLineChars="200"/>
        <w:rPr>
          <w:rFonts w:hint="eastAsia" w:ascii="宋体" w:hAnsi="宋体" w:eastAsia="宋体" w:cs="宋体"/>
          <w:sz w:val="22"/>
          <w:szCs w:val="22"/>
          <w:highlight w:val="none"/>
          <w:lang w:eastAsia="zh-CN"/>
        </w:rPr>
      </w:pPr>
      <w:r>
        <w:rPr>
          <w:rFonts w:hint="eastAsia" w:ascii="宋体" w:hAnsi="宋体" w:cs="宋体"/>
          <w:sz w:val="22"/>
          <w:szCs w:val="22"/>
          <w:highlight w:val="none"/>
          <w:lang w:val="en-US" w:eastAsia="zh-CN"/>
        </w:rPr>
        <w:t>3</w:t>
      </w:r>
      <w:r>
        <w:rPr>
          <w:rFonts w:hint="eastAsia" w:ascii="宋体" w:hAnsi="宋体" w:cs="宋体"/>
          <w:sz w:val="22"/>
          <w:szCs w:val="22"/>
          <w:highlight w:val="none"/>
        </w:rPr>
        <w:t>、本项目履约验收</w:t>
      </w:r>
      <w:r>
        <w:rPr>
          <w:rFonts w:hint="eastAsia" w:ascii="宋体" w:hAnsi="宋体" w:cs="宋体"/>
          <w:sz w:val="22"/>
          <w:szCs w:val="22"/>
          <w:highlight w:val="none"/>
          <w:lang w:val="en-US" w:eastAsia="zh-CN"/>
        </w:rPr>
        <w:t>参考</w:t>
      </w:r>
      <w:r>
        <w:rPr>
          <w:rFonts w:hint="eastAsia" w:ascii="宋体" w:hAnsi="宋体" w:cs="宋体"/>
          <w:sz w:val="22"/>
          <w:szCs w:val="22"/>
          <w:highlight w:val="none"/>
        </w:rPr>
        <w:t>《温州市政府采购履约验收办法》(温财采[2020]6号)相关规定，采用简易程序验收</w:t>
      </w:r>
      <w:r>
        <w:rPr>
          <w:rFonts w:hint="eastAsia" w:ascii="宋体" w:hAnsi="宋体" w:cs="宋体"/>
          <w:sz w:val="22"/>
          <w:szCs w:val="22"/>
          <w:highlight w:val="none"/>
          <w:lang w:eastAsia="zh-CN"/>
        </w:rPr>
        <w:t>。</w:t>
      </w:r>
    </w:p>
    <w:p>
      <w:pPr>
        <w:spacing w:line="440" w:lineRule="exact"/>
        <w:ind w:firstLine="440" w:firstLineChars="200"/>
        <w:rPr>
          <w:rFonts w:ascii="宋体" w:hAnsi="宋体" w:cs="宋体"/>
          <w:sz w:val="22"/>
          <w:szCs w:val="22"/>
          <w:highlight w:val="none"/>
        </w:rPr>
      </w:pPr>
      <w:r>
        <w:rPr>
          <w:rFonts w:hint="eastAsia" w:ascii="宋体" w:hAnsi="宋体" w:cs="宋体"/>
          <w:sz w:val="22"/>
          <w:szCs w:val="22"/>
          <w:highlight w:val="none"/>
        </w:rPr>
        <w:t>本项目全部完工并经采购人组织最终验收合格后，双方签署验收单或验收报告。</w:t>
      </w:r>
    </w:p>
    <w:p>
      <w:pPr>
        <w:pStyle w:val="3"/>
        <w:ind w:firstLine="210"/>
        <w:rPr>
          <w:highlight w:val="none"/>
        </w:rPr>
      </w:pPr>
    </w:p>
    <w:p>
      <w:pPr>
        <w:pStyle w:val="262"/>
        <w:spacing w:beforeLines="0" w:afterLines="0" w:line="440" w:lineRule="exact"/>
        <w:rPr>
          <w:rFonts w:hint="eastAsia" w:eastAsia="宋体"/>
          <w:sz w:val="32"/>
          <w:szCs w:val="32"/>
          <w:highlight w:val="none"/>
        </w:rPr>
      </w:pPr>
      <w:bookmarkStart w:id="330" w:name="_Toc10937"/>
      <w:bookmarkStart w:id="331" w:name="_Toc12842"/>
      <w:r>
        <w:rPr>
          <w:rFonts w:hint="eastAsia" w:eastAsia="宋体"/>
          <w:sz w:val="32"/>
          <w:szCs w:val="32"/>
          <w:highlight w:val="none"/>
        </w:rPr>
        <w:t>五、工作范围</w:t>
      </w:r>
      <w:bookmarkEnd w:id="330"/>
      <w:bookmarkEnd w:id="331"/>
    </w:p>
    <w:p>
      <w:pPr>
        <w:adjustRightInd w:val="0"/>
        <w:snapToGrid w:val="0"/>
        <w:spacing w:line="420" w:lineRule="exact"/>
        <w:ind w:firstLine="440" w:firstLineChars="200"/>
        <w:rPr>
          <w:rFonts w:ascii="宋体" w:hAnsi="宋体"/>
          <w:sz w:val="22"/>
          <w:szCs w:val="22"/>
          <w:highlight w:val="none"/>
        </w:rPr>
      </w:pPr>
      <w:r>
        <w:rPr>
          <w:rFonts w:hint="eastAsia" w:ascii="宋体" w:hAnsi="宋体"/>
          <w:sz w:val="22"/>
          <w:szCs w:val="22"/>
          <w:highlight w:val="none"/>
        </w:rPr>
        <w:t>根据招标文件，各投标人须按国家有关标准及规范完成下列工作：</w:t>
      </w:r>
    </w:p>
    <w:p>
      <w:pPr>
        <w:adjustRightInd w:val="0"/>
        <w:snapToGrid w:val="0"/>
        <w:spacing w:line="420" w:lineRule="exact"/>
        <w:ind w:firstLine="431" w:firstLineChars="196"/>
        <w:rPr>
          <w:rFonts w:ascii="宋体" w:hAnsi="宋体"/>
          <w:sz w:val="22"/>
          <w:szCs w:val="22"/>
          <w:highlight w:val="none"/>
        </w:rPr>
      </w:pPr>
      <w:r>
        <w:rPr>
          <w:rFonts w:hint="eastAsia" w:ascii="宋体" w:hAnsi="宋体"/>
          <w:sz w:val="22"/>
          <w:szCs w:val="22"/>
          <w:highlight w:val="none"/>
        </w:rPr>
        <w:t>1.提供完整成套的设备；</w:t>
      </w:r>
    </w:p>
    <w:p>
      <w:pPr>
        <w:adjustRightInd w:val="0"/>
        <w:snapToGrid w:val="0"/>
        <w:spacing w:line="420" w:lineRule="exact"/>
        <w:ind w:firstLine="431" w:firstLineChars="196"/>
        <w:rPr>
          <w:rFonts w:ascii="宋体" w:hAnsi="宋体"/>
          <w:sz w:val="22"/>
          <w:szCs w:val="22"/>
          <w:highlight w:val="none"/>
        </w:rPr>
      </w:pPr>
      <w:r>
        <w:rPr>
          <w:rFonts w:hint="eastAsia" w:ascii="宋体" w:hAnsi="宋体"/>
          <w:sz w:val="22"/>
          <w:szCs w:val="22"/>
          <w:highlight w:val="none"/>
        </w:rPr>
        <w:t>2.产品及相关附件的供货、运输、装卸、就位、安装、调试、检验、通过验收；</w:t>
      </w:r>
    </w:p>
    <w:p>
      <w:pPr>
        <w:adjustRightInd w:val="0"/>
        <w:snapToGrid w:val="0"/>
        <w:spacing w:line="420" w:lineRule="exact"/>
        <w:ind w:firstLine="431" w:firstLineChars="196"/>
        <w:rPr>
          <w:rFonts w:hint="eastAsia" w:ascii="宋体" w:hAnsi="宋体" w:eastAsia="宋体"/>
          <w:sz w:val="22"/>
          <w:szCs w:val="22"/>
          <w:highlight w:val="none"/>
          <w:lang w:eastAsia="zh-CN"/>
        </w:rPr>
      </w:pPr>
      <w:r>
        <w:rPr>
          <w:rFonts w:hint="eastAsia" w:ascii="宋体" w:hAnsi="宋体"/>
          <w:sz w:val="22"/>
          <w:szCs w:val="22"/>
          <w:highlight w:val="none"/>
        </w:rPr>
        <w:t>3.系统软硬件升级，整个系统的集成，各个相关单位的接入；完成各项调试、检验、测试工作，并在采购人的配合下通过的验收；提供各种数据资料；直至通过验收。包括所涉及的软硬件系统调整、配置和调试、维护</w:t>
      </w:r>
      <w:r>
        <w:rPr>
          <w:rFonts w:hint="eastAsia" w:ascii="宋体" w:hAnsi="宋体"/>
          <w:sz w:val="22"/>
          <w:szCs w:val="22"/>
          <w:highlight w:val="none"/>
          <w:lang w:eastAsia="zh-CN"/>
        </w:rPr>
        <w:t>；</w:t>
      </w:r>
    </w:p>
    <w:p>
      <w:pPr>
        <w:adjustRightInd w:val="0"/>
        <w:snapToGrid w:val="0"/>
        <w:spacing w:line="420" w:lineRule="exact"/>
        <w:ind w:firstLine="431" w:firstLineChars="196"/>
        <w:rPr>
          <w:rFonts w:ascii="宋体" w:hAnsi="宋体"/>
          <w:sz w:val="22"/>
          <w:szCs w:val="22"/>
          <w:highlight w:val="none"/>
        </w:rPr>
      </w:pPr>
      <w:r>
        <w:rPr>
          <w:rFonts w:hint="eastAsia" w:ascii="宋体" w:hAnsi="宋体"/>
          <w:sz w:val="22"/>
          <w:szCs w:val="22"/>
          <w:highlight w:val="none"/>
        </w:rPr>
        <w:t>4.质保期内维保及维修及质保期后设计使用范围内的维修；</w:t>
      </w:r>
    </w:p>
    <w:p>
      <w:pPr>
        <w:spacing w:line="420" w:lineRule="exact"/>
        <w:ind w:firstLine="440" w:firstLineChars="200"/>
        <w:rPr>
          <w:rFonts w:hint="eastAsia" w:ascii="宋体" w:hAnsi="宋体" w:eastAsia="宋体"/>
          <w:sz w:val="22"/>
          <w:szCs w:val="22"/>
          <w:highlight w:val="none"/>
          <w:lang w:eastAsia="zh-CN"/>
        </w:rPr>
      </w:pPr>
      <w:r>
        <w:rPr>
          <w:rFonts w:hint="eastAsia" w:ascii="宋体" w:hAnsi="宋体"/>
          <w:sz w:val="22"/>
          <w:szCs w:val="22"/>
          <w:highlight w:val="none"/>
        </w:rPr>
        <w:t>5.售后服务的措施及承诺</w:t>
      </w:r>
      <w:r>
        <w:rPr>
          <w:rFonts w:hint="eastAsia" w:ascii="宋体" w:hAnsi="宋体"/>
          <w:sz w:val="22"/>
          <w:szCs w:val="22"/>
          <w:highlight w:val="none"/>
          <w:lang w:eastAsia="zh-CN"/>
        </w:rPr>
        <w:t>；</w:t>
      </w:r>
    </w:p>
    <w:p>
      <w:pPr>
        <w:spacing w:line="420" w:lineRule="exact"/>
        <w:ind w:firstLine="440" w:firstLineChars="200"/>
        <w:rPr>
          <w:rFonts w:ascii="宋体" w:hAnsi="宋体"/>
          <w:sz w:val="22"/>
          <w:szCs w:val="22"/>
          <w:highlight w:val="none"/>
        </w:rPr>
      </w:pPr>
      <w:r>
        <w:rPr>
          <w:rFonts w:hint="eastAsia" w:ascii="宋体" w:hAnsi="宋体"/>
          <w:sz w:val="22"/>
          <w:szCs w:val="22"/>
          <w:highlight w:val="none"/>
        </w:rPr>
        <w:t>6.对最终使用单位的操作人员及维修人员进行技术培训。</w:t>
      </w:r>
    </w:p>
    <w:p>
      <w:pPr>
        <w:spacing w:line="420" w:lineRule="exact"/>
        <w:ind w:firstLine="440" w:firstLineChars="200"/>
        <w:rPr>
          <w:rFonts w:ascii="宋体" w:hAnsi="宋体"/>
          <w:sz w:val="22"/>
          <w:szCs w:val="22"/>
          <w:highlight w:val="none"/>
        </w:rPr>
      </w:pPr>
      <w:r>
        <w:rPr>
          <w:rFonts w:hint="eastAsia" w:ascii="宋体" w:hAnsi="宋体"/>
          <w:sz w:val="22"/>
          <w:szCs w:val="22"/>
          <w:highlight w:val="none"/>
          <w:lang w:val="en-US" w:eastAsia="zh-CN"/>
        </w:rPr>
        <w:t>注：</w:t>
      </w:r>
      <w:r>
        <w:rPr>
          <w:rFonts w:hint="eastAsia" w:ascii="宋体" w:hAnsi="宋体"/>
          <w:sz w:val="22"/>
          <w:szCs w:val="22"/>
          <w:highlight w:val="none"/>
        </w:rPr>
        <w:t>以上工作内容的费用均包含在投标报价中。</w:t>
      </w:r>
    </w:p>
    <w:p>
      <w:pPr>
        <w:spacing w:line="440" w:lineRule="exact"/>
        <w:ind w:firstLine="442" w:firstLineChars="200"/>
        <w:rPr>
          <w:rFonts w:ascii="宋体" w:hAnsi="宋体"/>
          <w:b/>
          <w:bCs/>
          <w:sz w:val="22"/>
          <w:szCs w:val="22"/>
          <w:highlight w:val="none"/>
        </w:rPr>
        <w:sectPr>
          <w:pgSz w:w="11907" w:h="16839"/>
          <w:pgMar w:top="1134" w:right="1134" w:bottom="1134" w:left="1134" w:header="851" w:footer="992" w:gutter="0"/>
          <w:cols w:space="720" w:num="1"/>
        </w:sectPr>
      </w:pPr>
    </w:p>
    <w:p>
      <w:pPr>
        <w:rPr>
          <w:rFonts w:hint="eastAsia" w:ascii="宋体" w:hAnsi="宋体" w:eastAsia="宋体" w:cs="Arial Unicode MS"/>
          <w:sz w:val="36"/>
          <w:szCs w:val="36"/>
          <w:highlight w:val="none"/>
        </w:rPr>
      </w:pPr>
    </w:p>
    <w:p>
      <w:pPr>
        <w:pStyle w:val="5"/>
        <w:tabs>
          <w:tab w:val="left" w:pos="1703"/>
          <w:tab w:val="center" w:pos="4819"/>
        </w:tabs>
        <w:spacing w:before="240" w:beforeLines="100"/>
        <w:rPr>
          <w:rFonts w:hint="eastAsia" w:ascii="宋体" w:hAnsi="宋体" w:eastAsia="宋体"/>
          <w:sz w:val="36"/>
          <w:szCs w:val="36"/>
          <w:highlight w:val="none"/>
        </w:rPr>
      </w:pPr>
      <w:bookmarkStart w:id="332" w:name="_Toc24831"/>
      <w:r>
        <w:rPr>
          <w:rFonts w:hint="eastAsia" w:ascii="宋体" w:hAnsi="宋体" w:eastAsia="宋体" w:cs="Arial Unicode MS"/>
          <w:sz w:val="36"/>
          <w:szCs w:val="36"/>
          <w:highlight w:val="none"/>
        </w:rPr>
        <w:t xml:space="preserve">第五部分   </w:t>
      </w:r>
      <w:r>
        <w:rPr>
          <w:rFonts w:hint="eastAsia" w:ascii="宋体" w:hAnsi="宋体" w:eastAsia="宋体"/>
          <w:sz w:val="36"/>
          <w:szCs w:val="36"/>
          <w:highlight w:val="none"/>
        </w:rPr>
        <w:t>评标原则及办法</w:t>
      </w:r>
      <w:bookmarkEnd w:id="332"/>
    </w:p>
    <w:p>
      <w:pPr>
        <w:pStyle w:val="2"/>
        <w:spacing w:after="0" w:line="360" w:lineRule="auto"/>
        <w:rPr>
          <w:rFonts w:ascii="宋体" w:hAnsi="宋体" w:eastAsia="宋体"/>
          <w:b/>
          <w:sz w:val="22"/>
          <w:szCs w:val="22"/>
          <w:highlight w:val="none"/>
        </w:rPr>
      </w:pPr>
      <w:bookmarkStart w:id="333" w:name="_Toc221356961"/>
      <w:bookmarkStart w:id="334" w:name="_Toc221356898"/>
      <w:r>
        <w:rPr>
          <w:rFonts w:hint="eastAsia" w:ascii="宋体" w:hAnsi="宋体" w:eastAsia="宋体"/>
          <w:b/>
          <w:sz w:val="22"/>
          <w:szCs w:val="22"/>
          <w:highlight w:val="none"/>
        </w:rPr>
        <w:t>一. 总  则</w:t>
      </w:r>
      <w:bookmarkEnd w:id="333"/>
      <w:bookmarkEnd w:id="334"/>
    </w:p>
    <w:p>
      <w:pPr>
        <w:spacing w:line="360" w:lineRule="auto"/>
        <w:ind w:left="439" w:leftChars="209"/>
        <w:rPr>
          <w:rFonts w:ascii="宋体" w:hAnsi="宋体"/>
          <w:sz w:val="22"/>
          <w:szCs w:val="22"/>
          <w:highlight w:val="none"/>
        </w:rPr>
      </w:pPr>
      <w:r>
        <w:rPr>
          <w:rFonts w:hint="eastAsia" w:ascii="宋体" w:hAnsi="宋体"/>
          <w:sz w:val="22"/>
          <w:szCs w:val="22"/>
          <w:highlight w:val="none"/>
        </w:rPr>
        <w:t>评标工作遵循公平、公正、科学、择优原则和诚实、信誉、效率的服务原则，本着科学、严谨的态度，认真进行评标，最大限度的保护当事人权益，严格按照招标文件的商务、技术要求，对投标文件进行综合评定，推荐中标候选人，并编写评标报告。对非中标单位，评标委员会不作任何落标解释。投标人不得以任何方式干扰招投标工作的进行，一经发现其投标文件将被拒绝。</w:t>
      </w:r>
    </w:p>
    <w:p>
      <w:pPr>
        <w:pStyle w:val="2"/>
        <w:spacing w:after="0" w:line="360" w:lineRule="auto"/>
        <w:rPr>
          <w:rFonts w:ascii="宋体" w:hAnsi="宋体" w:eastAsia="宋体"/>
          <w:b/>
          <w:sz w:val="22"/>
          <w:szCs w:val="22"/>
          <w:highlight w:val="none"/>
        </w:rPr>
      </w:pPr>
      <w:bookmarkStart w:id="335" w:name="_Toc221356962"/>
      <w:bookmarkStart w:id="336" w:name="_Toc221356899"/>
      <w:r>
        <w:rPr>
          <w:rFonts w:hint="eastAsia" w:ascii="宋体" w:hAnsi="宋体" w:eastAsia="宋体"/>
          <w:b/>
          <w:sz w:val="22"/>
          <w:szCs w:val="22"/>
          <w:highlight w:val="none"/>
        </w:rPr>
        <w:t>二、评标组织</w:t>
      </w:r>
      <w:bookmarkEnd w:id="335"/>
      <w:bookmarkEnd w:id="336"/>
    </w:p>
    <w:p>
      <w:pPr>
        <w:spacing w:line="360" w:lineRule="auto"/>
        <w:ind w:left="439" w:leftChars="209"/>
        <w:rPr>
          <w:rFonts w:ascii="宋体" w:hAnsi="宋体"/>
          <w:sz w:val="22"/>
          <w:szCs w:val="22"/>
          <w:highlight w:val="none"/>
        </w:rPr>
      </w:pPr>
      <w:r>
        <w:rPr>
          <w:rFonts w:hint="eastAsia" w:ascii="宋体" w:hAnsi="宋体"/>
          <w:sz w:val="22"/>
          <w:szCs w:val="22"/>
          <w:highlight w:val="none"/>
        </w:rPr>
        <w:t>评标工作由</w:t>
      </w:r>
      <w:r>
        <w:rPr>
          <w:rFonts w:hint="eastAsia" w:ascii="宋体" w:hAnsi="宋体"/>
          <w:sz w:val="22"/>
          <w:szCs w:val="22"/>
          <w:highlight w:val="none"/>
          <w:lang w:eastAsia="zh-CN"/>
        </w:rPr>
        <w:t>甲方</w:t>
      </w:r>
      <w:r>
        <w:rPr>
          <w:rFonts w:hint="eastAsia" w:ascii="宋体" w:hAnsi="宋体"/>
          <w:sz w:val="22"/>
          <w:szCs w:val="22"/>
          <w:highlight w:val="none"/>
        </w:rPr>
        <w:t>依法组建的评标委员会负责，评标全过程由有关部门指导监督。全体评委应认真审阅招标文件，了解评委应履行或遵守的职责、义务和评标纪律,</w:t>
      </w:r>
      <w:r>
        <w:rPr>
          <w:rFonts w:ascii="宋体" w:hAnsi="宋体"/>
          <w:sz w:val="22"/>
          <w:szCs w:val="22"/>
          <w:highlight w:val="none"/>
        </w:rPr>
        <w:t xml:space="preserve"> 依法独立履行有关职责</w:t>
      </w:r>
      <w:r>
        <w:rPr>
          <w:rFonts w:hint="eastAsia" w:ascii="宋体" w:hAnsi="宋体"/>
          <w:sz w:val="22"/>
          <w:szCs w:val="22"/>
          <w:highlight w:val="none"/>
        </w:rPr>
        <w:t>。</w:t>
      </w:r>
    </w:p>
    <w:p>
      <w:pPr>
        <w:pStyle w:val="2"/>
        <w:spacing w:after="0" w:line="360" w:lineRule="auto"/>
        <w:rPr>
          <w:rFonts w:ascii="宋体" w:hAnsi="宋体" w:eastAsia="宋体"/>
          <w:b/>
          <w:sz w:val="22"/>
          <w:szCs w:val="22"/>
          <w:highlight w:val="none"/>
        </w:rPr>
      </w:pPr>
      <w:bookmarkStart w:id="337" w:name="_Toc221356901"/>
      <w:bookmarkStart w:id="338" w:name="_Toc221356964"/>
      <w:r>
        <w:rPr>
          <w:rFonts w:hint="eastAsia" w:ascii="宋体" w:hAnsi="宋体" w:eastAsia="宋体"/>
          <w:b/>
          <w:sz w:val="22"/>
          <w:szCs w:val="22"/>
          <w:highlight w:val="none"/>
        </w:rPr>
        <w:t>三、评标办法</w:t>
      </w:r>
      <w:bookmarkEnd w:id="337"/>
      <w:bookmarkEnd w:id="338"/>
    </w:p>
    <w:p>
      <w:pPr>
        <w:spacing w:line="360" w:lineRule="auto"/>
        <w:ind w:left="439" w:leftChars="209"/>
        <w:rPr>
          <w:rFonts w:ascii="宋体" w:hAnsi="宋体"/>
          <w:sz w:val="22"/>
          <w:highlight w:val="none"/>
        </w:rPr>
      </w:pPr>
      <w:bookmarkStart w:id="339" w:name="_Toc221356965"/>
      <w:bookmarkStart w:id="340" w:name="_Toc221356902"/>
      <w:r>
        <w:rPr>
          <w:rFonts w:hint="eastAsia" w:ascii="宋体" w:hAnsi="宋体" w:cs="宋体"/>
          <w:sz w:val="22"/>
          <w:szCs w:val="22"/>
          <w:highlight w:val="none"/>
        </w:rPr>
        <w:t>本项目采用百分制综合评分法，即投标供应商最大限度地满足采购文件实质性要求的基础上，按照采购文件的各项因素进行综合评审后，以综合得分最高、次高的投标供应商作为第一和第二排序的中标候选人的评标方法。</w:t>
      </w:r>
      <w:r>
        <w:rPr>
          <w:rFonts w:ascii="宋体" w:hAnsi="宋体"/>
          <w:sz w:val="22"/>
          <w:highlight w:val="none"/>
        </w:rPr>
        <w:t>根据</w:t>
      </w:r>
      <w:r>
        <w:rPr>
          <w:rFonts w:hint="eastAsia" w:ascii="宋体" w:hAnsi="宋体"/>
          <w:sz w:val="22"/>
          <w:highlight w:val="none"/>
        </w:rPr>
        <w:t>采购</w:t>
      </w:r>
      <w:r>
        <w:rPr>
          <w:rFonts w:ascii="宋体" w:hAnsi="宋体"/>
          <w:sz w:val="22"/>
          <w:highlight w:val="none"/>
        </w:rPr>
        <w:t>要求，总分设定为100分；其中商务技术</w:t>
      </w:r>
      <w:r>
        <w:rPr>
          <w:rFonts w:hint="eastAsia" w:ascii="宋体" w:hAnsi="宋体"/>
          <w:sz w:val="22"/>
          <w:highlight w:val="none"/>
        </w:rPr>
        <w:t>文件</w:t>
      </w:r>
      <w:r>
        <w:rPr>
          <w:rFonts w:hint="eastAsia" w:ascii="宋体" w:hAnsi="宋体"/>
          <w:sz w:val="22"/>
          <w:highlight w:val="none"/>
          <w:lang w:val="en-US" w:eastAsia="zh-CN"/>
        </w:rPr>
        <w:t>70</w:t>
      </w:r>
      <w:r>
        <w:rPr>
          <w:rFonts w:ascii="宋体" w:hAnsi="宋体"/>
          <w:sz w:val="22"/>
          <w:highlight w:val="none"/>
        </w:rPr>
        <w:t>分（技术权值</w:t>
      </w:r>
      <w:r>
        <w:rPr>
          <w:rFonts w:hint="eastAsia" w:ascii="宋体" w:hAnsi="宋体"/>
          <w:sz w:val="22"/>
          <w:highlight w:val="none"/>
          <w:lang w:val="en-US" w:eastAsia="zh-CN"/>
        </w:rPr>
        <w:t>7</w:t>
      </w:r>
      <w:r>
        <w:rPr>
          <w:rFonts w:hint="eastAsia" w:ascii="宋体" w:hAnsi="宋体"/>
          <w:sz w:val="22"/>
          <w:highlight w:val="none"/>
        </w:rPr>
        <w:t>0</w:t>
      </w:r>
      <w:r>
        <w:rPr>
          <w:rFonts w:ascii="宋体" w:hAnsi="宋体"/>
          <w:sz w:val="22"/>
          <w:highlight w:val="none"/>
        </w:rPr>
        <w:t>%），报价</w:t>
      </w:r>
      <w:r>
        <w:rPr>
          <w:rFonts w:hint="eastAsia" w:ascii="宋体" w:hAnsi="宋体"/>
          <w:sz w:val="22"/>
          <w:highlight w:val="none"/>
        </w:rPr>
        <w:t>文件</w:t>
      </w:r>
      <w:r>
        <w:rPr>
          <w:rFonts w:hint="eastAsia" w:ascii="宋体" w:hAnsi="宋体"/>
          <w:sz w:val="22"/>
          <w:highlight w:val="none"/>
          <w:lang w:val="en-US" w:eastAsia="zh-CN"/>
        </w:rPr>
        <w:t>3</w:t>
      </w:r>
      <w:r>
        <w:rPr>
          <w:rFonts w:hint="eastAsia" w:ascii="宋体" w:hAnsi="宋体"/>
          <w:sz w:val="22"/>
          <w:highlight w:val="none"/>
        </w:rPr>
        <w:t>0</w:t>
      </w:r>
      <w:r>
        <w:rPr>
          <w:rFonts w:ascii="宋体" w:hAnsi="宋体"/>
          <w:sz w:val="22"/>
          <w:highlight w:val="none"/>
        </w:rPr>
        <w:t>分（价格权值</w:t>
      </w:r>
      <w:r>
        <w:rPr>
          <w:rFonts w:hint="eastAsia" w:ascii="宋体" w:hAnsi="宋体"/>
          <w:sz w:val="22"/>
          <w:highlight w:val="none"/>
          <w:lang w:val="en-US" w:eastAsia="zh-CN"/>
        </w:rPr>
        <w:t>30</w:t>
      </w:r>
      <w:r>
        <w:rPr>
          <w:rFonts w:ascii="宋体" w:hAnsi="宋体"/>
          <w:sz w:val="22"/>
          <w:highlight w:val="none"/>
        </w:rPr>
        <w:t>%）</w:t>
      </w:r>
      <w:r>
        <w:rPr>
          <w:rFonts w:hint="eastAsia" w:ascii="宋体" w:hAnsi="宋体"/>
          <w:sz w:val="22"/>
          <w:highlight w:val="none"/>
        </w:rPr>
        <w:t>。</w:t>
      </w:r>
    </w:p>
    <w:p>
      <w:pPr>
        <w:pStyle w:val="2"/>
        <w:spacing w:after="0" w:line="360" w:lineRule="auto"/>
        <w:rPr>
          <w:rFonts w:ascii="宋体" w:hAnsi="宋体" w:eastAsia="宋体"/>
          <w:b/>
          <w:sz w:val="22"/>
          <w:szCs w:val="22"/>
          <w:highlight w:val="none"/>
        </w:rPr>
      </w:pPr>
      <w:r>
        <w:rPr>
          <w:rFonts w:hint="eastAsia" w:ascii="宋体" w:hAnsi="宋体" w:eastAsia="宋体"/>
          <w:b/>
          <w:sz w:val="22"/>
          <w:szCs w:val="22"/>
          <w:highlight w:val="none"/>
        </w:rPr>
        <w:t>四、</w:t>
      </w:r>
      <w:bookmarkEnd w:id="339"/>
      <w:bookmarkEnd w:id="340"/>
      <w:r>
        <w:rPr>
          <w:rFonts w:hint="eastAsia" w:ascii="宋体" w:hAnsi="宋体" w:eastAsia="宋体"/>
          <w:b/>
          <w:sz w:val="22"/>
          <w:szCs w:val="22"/>
          <w:highlight w:val="none"/>
        </w:rPr>
        <w:t>评标内容及标准（标段一~标段</w:t>
      </w:r>
      <w:r>
        <w:rPr>
          <w:rFonts w:hint="eastAsia" w:ascii="宋体" w:hAnsi="宋体" w:eastAsia="宋体"/>
          <w:b/>
          <w:sz w:val="22"/>
          <w:szCs w:val="22"/>
          <w:highlight w:val="none"/>
          <w:lang w:val="en-US" w:eastAsia="zh-CN"/>
        </w:rPr>
        <w:t>四</w:t>
      </w:r>
      <w:r>
        <w:rPr>
          <w:rFonts w:hint="eastAsia" w:ascii="宋体" w:hAnsi="宋体" w:eastAsia="宋体"/>
          <w:b/>
          <w:sz w:val="22"/>
          <w:szCs w:val="22"/>
          <w:highlight w:val="none"/>
        </w:rPr>
        <w:t>）</w:t>
      </w:r>
    </w:p>
    <w:p>
      <w:pPr>
        <w:spacing w:line="360" w:lineRule="auto"/>
        <w:rPr>
          <w:rFonts w:ascii="宋体" w:hAnsi="宋体"/>
          <w:sz w:val="22"/>
          <w:szCs w:val="22"/>
          <w:highlight w:val="none"/>
        </w:rPr>
      </w:pPr>
      <w:r>
        <w:rPr>
          <w:rFonts w:hint="eastAsia" w:ascii="宋体" w:hAnsi="宋体"/>
          <w:sz w:val="22"/>
          <w:szCs w:val="22"/>
          <w:highlight w:val="none"/>
        </w:rPr>
        <w:t>1、 商务技术分的评定（</w:t>
      </w:r>
      <w:r>
        <w:rPr>
          <w:rFonts w:hint="eastAsia" w:ascii="宋体" w:hAnsi="宋体"/>
          <w:sz w:val="22"/>
          <w:szCs w:val="22"/>
          <w:highlight w:val="none"/>
          <w:lang w:val="en-US" w:eastAsia="zh-CN"/>
        </w:rPr>
        <w:t>7</w:t>
      </w:r>
      <w:r>
        <w:rPr>
          <w:rFonts w:hint="eastAsia" w:ascii="宋体" w:hAnsi="宋体"/>
          <w:sz w:val="22"/>
          <w:szCs w:val="22"/>
          <w:highlight w:val="none"/>
        </w:rPr>
        <w:t>0分）</w:t>
      </w:r>
    </w:p>
    <w:p>
      <w:pPr>
        <w:spacing w:line="360" w:lineRule="auto"/>
        <w:ind w:left="439" w:leftChars="209"/>
        <w:rPr>
          <w:rFonts w:hint="eastAsia" w:ascii="宋体" w:hAnsi="宋体"/>
          <w:sz w:val="22"/>
          <w:szCs w:val="22"/>
          <w:highlight w:val="none"/>
        </w:rPr>
      </w:pPr>
      <w:r>
        <w:rPr>
          <w:rFonts w:hint="eastAsia" w:ascii="宋体" w:hAnsi="宋体"/>
          <w:sz w:val="22"/>
          <w:szCs w:val="22"/>
          <w:highlight w:val="none"/>
        </w:rPr>
        <w:t>各评委成员按下列评分项目进行评定，每人一张评分计算表，由评标委员会成员各自评定打分并记实名。如任何一张表的一项评分内容分值超过规定的范围，则该张表无效。各评标委员会成员对各投标人的各项评分内容评分的合计分数的算术平均值为各投标人商务技术分得分（小数点后按四舍五入保留2位）</w:t>
      </w:r>
    </w:p>
    <w:p>
      <w:pPr>
        <w:pStyle w:val="32"/>
        <w:ind w:left="0" w:leftChars="0" w:firstLine="0" w:firstLineChars="0"/>
        <w:rPr>
          <w:rFonts w:hint="eastAsia" w:ascii="宋体" w:hAnsi="宋体"/>
          <w:b/>
          <w:bCs/>
          <w:sz w:val="22"/>
          <w:szCs w:val="22"/>
          <w:highlight w:val="none"/>
          <w:lang w:val="en-US" w:eastAsia="zh-CN"/>
        </w:rPr>
      </w:pPr>
      <w:r>
        <w:rPr>
          <w:rFonts w:hint="eastAsia" w:ascii="宋体" w:hAnsi="宋体"/>
          <w:b/>
          <w:bCs/>
          <w:sz w:val="22"/>
          <w:szCs w:val="22"/>
          <w:highlight w:val="none"/>
          <w:lang w:val="en-US" w:eastAsia="zh-CN"/>
        </w:rPr>
        <w:t>标段一</w:t>
      </w:r>
    </w:p>
    <w:tbl>
      <w:tblPr>
        <w:tblStyle w:val="34"/>
        <w:tblW w:w="10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560"/>
        <w:gridCol w:w="992"/>
        <w:gridCol w:w="6384"/>
        <w:gridCol w:w="991"/>
        <w:gridCol w:w="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序号</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评分内容</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分值</w:t>
            </w:r>
          </w:p>
        </w:tc>
        <w:tc>
          <w:tcPr>
            <w:tcW w:w="6384"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评分要点及说明</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投标人综合情况</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rPr>
              <w:t>分</w:t>
            </w:r>
          </w:p>
        </w:tc>
        <w:tc>
          <w:tcPr>
            <w:tcW w:w="6384" w:type="dxa"/>
            <w:vAlign w:val="center"/>
          </w:tcPr>
          <w:p>
            <w:pPr>
              <w:widowControl/>
              <w:rPr>
                <w:rFonts w:ascii="宋体" w:hAnsi="宋体"/>
                <w:color w:val="000000"/>
                <w:sz w:val="22"/>
                <w:szCs w:val="22"/>
                <w:highlight w:val="none"/>
              </w:rPr>
            </w:pPr>
            <w:r>
              <w:rPr>
                <w:rFonts w:hint="eastAsia"/>
                <w:highlight w:val="none"/>
              </w:rPr>
              <w:t>1</w:t>
            </w:r>
            <w:r>
              <w:rPr>
                <w:rFonts w:hint="eastAsia" w:ascii="宋体" w:hAnsi="宋体"/>
                <w:color w:val="000000"/>
                <w:sz w:val="22"/>
                <w:szCs w:val="22"/>
                <w:highlight w:val="none"/>
              </w:rPr>
              <w:t>、</w:t>
            </w:r>
            <w:r>
              <w:rPr>
                <w:rFonts w:ascii="宋体" w:hAnsi="宋体"/>
                <w:color w:val="000000"/>
                <w:sz w:val="22"/>
                <w:szCs w:val="22"/>
                <w:highlight w:val="none"/>
              </w:rPr>
              <w:t>投标人</w:t>
            </w:r>
            <w:r>
              <w:rPr>
                <w:rFonts w:hint="eastAsia" w:ascii="宋体" w:hAnsi="宋体"/>
                <w:color w:val="000000"/>
                <w:sz w:val="22"/>
                <w:szCs w:val="22"/>
                <w:highlight w:val="none"/>
              </w:rPr>
              <w:t>具有有效的职业健康安全管理体系认证证书得</w:t>
            </w:r>
            <w:r>
              <w:rPr>
                <w:rFonts w:hint="eastAsia" w:ascii="宋体" w:hAnsi="宋体"/>
                <w:color w:val="000000"/>
                <w:sz w:val="22"/>
                <w:szCs w:val="22"/>
                <w:highlight w:val="none"/>
                <w:lang w:val="en-US" w:eastAsia="zh-CN"/>
              </w:rPr>
              <w:t>1</w:t>
            </w:r>
            <w:r>
              <w:rPr>
                <w:rFonts w:hint="eastAsia" w:ascii="宋体" w:hAnsi="宋体"/>
                <w:color w:val="000000"/>
                <w:sz w:val="22"/>
                <w:szCs w:val="22"/>
                <w:highlight w:val="none"/>
              </w:rPr>
              <w:t>分；</w:t>
            </w:r>
          </w:p>
          <w:p>
            <w:pPr>
              <w:widowControl/>
              <w:rPr>
                <w:rFonts w:ascii="宋体" w:hAnsi="宋体"/>
                <w:color w:val="000000"/>
                <w:sz w:val="22"/>
                <w:szCs w:val="22"/>
                <w:highlight w:val="none"/>
              </w:rPr>
            </w:pPr>
            <w:r>
              <w:rPr>
                <w:rFonts w:hint="eastAsia" w:ascii="宋体" w:hAnsi="宋体"/>
                <w:color w:val="000000"/>
                <w:sz w:val="22"/>
                <w:szCs w:val="22"/>
                <w:highlight w:val="none"/>
              </w:rPr>
              <w:t>2、</w:t>
            </w:r>
            <w:r>
              <w:rPr>
                <w:rFonts w:ascii="宋体" w:hAnsi="宋体"/>
                <w:color w:val="000000"/>
                <w:sz w:val="22"/>
                <w:szCs w:val="22"/>
                <w:highlight w:val="none"/>
              </w:rPr>
              <w:t>投标人</w:t>
            </w:r>
            <w:r>
              <w:rPr>
                <w:rFonts w:hint="eastAsia" w:ascii="宋体" w:hAnsi="宋体"/>
                <w:color w:val="000000"/>
                <w:sz w:val="22"/>
                <w:szCs w:val="22"/>
                <w:highlight w:val="none"/>
              </w:rPr>
              <w:t>具有有效的环境管理体系认证证书得</w:t>
            </w:r>
            <w:r>
              <w:rPr>
                <w:rFonts w:hint="eastAsia" w:ascii="宋体" w:hAnsi="宋体"/>
                <w:color w:val="000000"/>
                <w:sz w:val="22"/>
                <w:szCs w:val="22"/>
                <w:highlight w:val="none"/>
                <w:lang w:val="en-US" w:eastAsia="zh-CN"/>
              </w:rPr>
              <w:t>1</w:t>
            </w:r>
            <w:r>
              <w:rPr>
                <w:rFonts w:hint="eastAsia" w:ascii="宋体" w:hAnsi="宋体"/>
                <w:color w:val="000000"/>
                <w:sz w:val="22"/>
                <w:szCs w:val="22"/>
                <w:highlight w:val="none"/>
              </w:rPr>
              <w:t>分；</w:t>
            </w:r>
          </w:p>
          <w:p>
            <w:pPr>
              <w:widowControl/>
              <w:rPr>
                <w:rFonts w:hint="eastAsia" w:ascii="宋体" w:hAnsi="宋体"/>
                <w:color w:val="000000"/>
                <w:sz w:val="22"/>
                <w:szCs w:val="22"/>
                <w:highlight w:val="none"/>
              </w:rPr>
            </w:pPr>
            <w:r>
              <w:rPr>
                <w:rFonts w:hint="eastAsia" w:ascii="宋体" w:hAnsi="宋体"/>
                <w:color w:val="000000"/>
                <w:sz w:val="22"/>
                <w:szCs w:val="22"/>
                <w:highlight w:val="none"/>
              </w:rPr>
              <w:t>3、投标人具有有效的质量管理体系认证得</w:t>
            </w:r>
            <w:r>
              <w:rPr>
                <w:rFonts w:hint="eastAsia" w:ascii="宋体" w:hAnsi="宋体"/>
                <w:color w:val="000000"/>
                <w:sz w:val="22"/>
                <w:szCs w:val="22"/>
                <w:highlight w:val="none"/>
                <w:lang w:val="en-US" w:eastAsia="zh-CN"/>
              </w:rPr>
              <w:t>1</w:t>
            </w:r>
            <w:r>
              <w:rPr>
                <w:rFonts w:hint="eastAsia" w:ascii="宋体" w:hAnsi="宋体"/>
                <w:color w:val="000000"/>
                <w:sz w:val="22"/>
                <w:szCs w:val="22"/>
                <w:highlight w:val="none"/>
              </w:rPr>
              <w:t>分；</w:t>
            </w:r>
          </w:p>
          <w:p>
            <w:pPr>
              <w:widowControl/>
              <w:rPr>
                <w:rFonts w:hint="eastAsia" w:ascii="宋体" w:hAnsi="宋体"/>
                <w:color w:val="000000"/>
                <w:sz w:val="22"/>
                <w:szCs w:val="22"/>
                <w:highlight w:val="none"/>
              </w:rPr>
            </w:pPr>
            <w:r>
              <w:rPr>
                <w:rFonts w:hint="eastAsia" w:ascii="宋体" w:hAnsi="宋体"/>
                <w:b/>
                <w:bCs/>
                <w:color w:val="000000"/>
                <w:sz w:val="22"/>
                <w:szCs w:val="22"/>
                <w:highlight w:val="none"/>
              </w:rPr>
              <w:t>（以上证书认证范围应包含</w:t>
            </w:r>
            <w:r>
              <w:rPr>
                <w:rFonts w:ascii="宋体" w:hAnsi="宋体"/>
                <w:b/>
                <w:bCs/>
                <w:color w:val="000000"/>
                <w:sz w:val="22"/>
                <w:szCs w:val="22"/>
                <w:highlight w:val="none"/>
              </w:rPr>
              <w:t>空气自动监测站</w:t>
            </w:r>
            <w:r>
              <w:rPr>
                <w:rFonts w:hint="eastAsia" w:ascii="宋体" w:hAnsi="宋体"/>
                <w:b/>
                <w:bCs/>
                <w:color w:val="000000"/>
                <w:sz w:val="22"/>
                <w:szCs w:val="22"/>
                <w:highlight w:val="none"/>
              </w:rPr>
              <w:t>安装，否则不得分）</w:t>
            </w:r>
          </w:p>
          <w:p>
            <w:pPr>
              <w:widowControl/>
              <w:rPr>
                <w:rFonts w:hint="eastAsia" w:ascii="宋体" w:hAnsi="宋体"/>
                <w:color w:val="000000"/>
                <w:sz w:val="22"/>
                <w:szCs w:val="22"/>
                <w:highlight w:val="none"/>
              </w:rPr>
            </w:pPr>
            <w:r>
              <w:rPr>
                <w:rFonts w:hint="eastAsia" w:ascii="宋体" w:hAnsi="宋体"/>
                <w:color w:val="000000"/>
                <w:sz w:val="22"/>
                <w:szCs w:val="22"/>
                <w:highlight w:val="none"/>
              </w:rPr>
              <w:t>4、投标人具有有效信息安全管理体系认证证书得</w:t>
            </w:r>
            <w:r>
              <w:rPr>
                <w:rFonts w:hint="eastAsia" w:ascii="宋体" w:hAnsi="宋体"/>
                <w:color w:val="000000"/>
                <w:sz w:val="22"/>
                <w:szCs w:val="22"/>
                <w:highlight w:val="none"/>
                <w:lang w:val="en-US" w:eastAsia="zh-CN"/>
              </w:rPr>
              <w:t>1</w:t>
            </w:r>
            <w:r>
              <w:rPr>
                <w:rFonts w:hint="eastAsia" w:ascii="宋体" w:hAnsi="宋体"/>
                <w:color w:val="000000"/>
                <w:sz w:val="22"/>
                <w:szCs w:val="22"/>
                <w:highlight w:val="none"/>
              </w:rPr>
              <w:t>分；</w:t>
            </w:r>
          </w:p>
          <w:p>
            <w:pPr>
              <w:rPr>
                <w:rFonts w:hint="eastAsia" w:ascii="宋体" w:hAnsi="宋体"/>
                <w:color w:val="000000"/>
                <w:sz w:val="22"/>
                <w:szCs w:val="22"/>
                <w:highlight w:val="none"/>
              </w:rPr>
            </w:pPr>
            <w:r>
              <w:rPr>
                <w:rFonts w:hint="eastAsia" w:ascii="宋体" w:hAnsi="宋体"/>
                <w:color w:val="000000"/>
                <w:sz w:val="22"/>
                <w:szCs w:val="22"/>
                <w:highlight w:val="none"/>
                <w:lang w:val="en-US" w:eastAsia="zh-CN"/>
              </w:rPr>
              <w:t>5</w:t>
            </w:r>
            <w:r>
              <w:rPr>
                <w:rFonts w:hint="eastAsia" w:ascii="宋体" w:hAnsi="宋体"/>
                <w:color w:val="000000"/>
                <w:sz w:val="22"/>
                <w:szCs w:val="22"/>
                <w:highlight w:val="none"/>
              </w:rPr>
              <w:t>、投标人具有有效信息技术服务管理体系认证证书得</w:t>
            </w:r>
            <w:r>
              <w:rPr>
                <w:rFonts w:hint="eastAsia" w:ascii="宋体" w:hAnsi="宋体"/>
                <w:color w:val="000000"/>
                <w:sz w:val="22"/>
                <w:szCs w:val="22"/>
                <w:highlight w:val="none"/>
                <w:lang w:val="en-US" w:eastAsia="zh-CN"/>
              </w:rPr>
              <w:t>1</w:t>
            </w:r>
            <w:r>
              <w:rPr>
                <w:rFonts w:hint="eastAsia" w:ascii="宋体" w:hAnsi="宋体"/>
                <w:color w:val="000000"/>
                <w:sz w:val="22"/>
                <w:szCs w:val="22"/>
                <w:highlight w:val="none"/>
              </w:rPr>
              <w:t>分；</w:t>
            </w:r>
          </w:p>
          <w:p>
            <w:pPr>
              <w:rPr>
                <w:rFonts w:hint="eastAsia" w:ascii="宋体" w:hAnsi="宋体" w:eastAsia="宋体" w:cs="宋体"/>
                <w:sz w:val="22"/>
                <w:szCs w:val="22"/>
                <w:highlight w:val="none"/>
              </w:rPr>
            </w:pPr>
            <w:r>
              <w:rPr>
                <w:rFonts w:hint="eastAsia" w:ascii="宋体" w:hAnsi="宋体" w:eastAsia="宋体" w:cs="宋体"/>
                <w:b/>
                <w:bCs/>
                <w:sz w:val="22"/>
                <w:szCs w:val="22"/>
                <w:highlight w:val="none"/>
              </w:rPr>
              <w:t>注：提供有效期内的证书和国家相关认证认可平台查询系统内查询到相关证书信息的截图证明，否则不予认可。</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根据投标人</w:t>
            </w:r>
            <w:r>
              <w:rPr>
                <w:rFonts w:hint="eastAsia" w:ascii="宋体" w:hAnsi="宋体"/>
                <w:sz w:val="22"/>
                <w:szCs w:val="22"/>
                <w:highlight w:val="none"/>
              </w:rPr>
              <w:t>与</w:t>
            </w:r>
            <w:r>
              <w:rPr>
                <w:rFonts w:hint="eastAsia" w:ascii="宋体" w:hAnsi="宋体"/>
                <w:sz w:val="22"/>
                <w:szCs w:val="22"/>
                <w:highlight w:val="none"/>
                <w:lang w:val="en-US" w:eastAsia="zh-CN"/>
              </w:rPr>
              <w:t>本项目</w:t>
            </w:r>
            <w:r>
              <w:rPr>
                <w:rFonts w:hint="eastAsia" w:ascii="宋体" w:hAnsi="宋体"/>
                <w:sz w:val="22"/>
                <w:szCs w:val="22"/>
                <w:highlight w:val="none"/>
              </w:rPr>
              <w:t>履约能力相关的</w:t>
            </w:r>
            <w:r>
              <w:rPr>
                <w:rFonts w:hint="eastAsia" w:ascii="宋体" w:hAnsi="宋体" w:eastAsia="宋体" w:cs="宋体"/>
                <w:sz w:val="22"/>
                <w:szCs w:val="22"/>
                <w:highlight w:val="none"/>
              </w:rPr>
              <w:t>技术力量、荣誉、信誉等情况（涉及企业规模的除外），提供相关证明材料，由评委综合打分，</w:t>
            </w:r>
            <w:r>
              <w:rPr>
                <w:rFonts w:hint="eastAsia" w:ascii="宋体" w:hAnsi="宋体" w:cs="宋体"/>
                <w:sz w:val="22"/>
                <w:szCs w:val="22"/>
                <w:highlight w:val="none"/>
                <w:lang w:eastAsia="zh-CN"/>
              </w:rPr>
              <w:t>其中A档3-2.1分，B档2-1.1分，C档1-0分。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2</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投标人业绩</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0-3分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投标人20</w:t>
            </w:r>
            <w:r>
              <w:rPr>
                <w:rFonts w:hint="eastAsia" w:ascii="宋体" w:hAnsi="宋体" w:eastAsia="宋体" w:cs="宋体"/>
                <w:sz w:val="22"/>
                <w:szCs w:val="22"/>
                <w:highlight w:val="none"/>
                <w:lang w:val="en-US" w:eastAsia="zh-CN"/>
              </w:rPr>
              <w:t>20</w:t>
            </w:r>
            <w:r>
              <w:rPr>
                <w:rFonts w:hint="eastAsia" w:ascii="宋体" w:hAnsi="宋体" w:eastAsia="宋体" w:cs="宋体"/>
                <w:sz w:val="22"/>
                <w:szCs w:val="22"/>
                <w:highlight w:val="none"/>
              </w:rPr>
              <w:t>年1月1日以来</w:t>
            </w:r>
            <w:r>
              <w:rPr>
                <w:rFonts w:hint="eastAsia" w:ascii="宋体" w:hAnsi="宋体" w:eastAsia="宋体" w:cs="宋体"/>
                <w:color w:val="000000"/>
                <w:kern w:val="0"/>
                <w:sz w:val="22"/>
                <w:szCs w:val="22"/>
                <w:highlight w:val="none"/>
                <w:lang w:bidi="ar"/>
              </w:rPr>
              <w:t>类似项目</w:t>
            </w:r>
            <w:r>
              <w:rPr>
                <w:rFonts w:hint="eastAsia" w:ascii="宋体" w:hAnsi="宋体" w:eastAsia="宋体" w:cs="宋体"/>
                <w:color w:val="000000"/>
                <w:kern w:val="0"/>
                <w:sz w:val="22"/>
                <w:szCs w:val="22"/>
                <w:highlight w:val="none"/>
                <w:lang w:val="en-US" w:eastAsia="zh-CN" w:bidi="ar"/>
              </w:rPr>
              <w:t>业绩的</w:t>
            </w:r>
            <w:r>
              <w:rPr>
                <w:rFonts w:hint="eastAsia" w:ascii="宋体" w:hAnsi="宋体" w:eastAsia="宋体" w:cs="宋体"/>
                <w:sz w:val="22"/>
                <w:szCs w:val="22"/>
                <w:highlight w:val="none"/>
              </w:rPr>
              <w:t>，每提供1个有效业绩得1分，最高得3分。</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注：</w:t>
            </w:r>
            <w:r>
              <w:rPr>
                <w:rFonts w:hint="eastAsia" w:ascii="新宋体" w:hAnsi="新宋体" w:eastAsia="新宋体" w:cs="新宋体"/>
                <w:color w:val="auto"/>
                <w:kern w:val="0"/>
                <w:sz w:val="22"/>
                <w:szCs w:val="22"/>
                <w:highlight w:val="none"/>
                <w:lang w:val="en-US" w:eastAsia="zh-CN" w:bidi="ar"/>
              </w:rPr>
              <w:t>提供中标通知书和合同（缺一不可），否则不予得分</w:t>
            </w:r>
            <w:r>
              <w:rPr>
                <w:rFonts w:hint="eastAsia" w:ascii="宋体" w:hAnsi="宋体" w:eastAsia="宋体" w:cs="宋体"/>
                <w:sz w:val="22"/>
                <w:szCs w:val="22"/>
                <w:highlight w:val="none"/>
              </w:rPr>
              <w:t>。</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90" w:hRule="atLeast"/>
          <w:jc w:val="center"/>
        </w:trPr>
        <w:tc>
          <w:tcPr>
            <w:tcW w:w="562" w:type="dxa"/>
            <w:vMerge w:val="restart"/>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3</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投标产品的性能与需求</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25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投标产品的基本功能、技术指标与需求的吻合程度和偏差情况，是否能够满足招标文件要求，由评委根据投标人提供的“采购需求偏离表”进行打分，全部满足要求的得</w:t>
            </w:r>
            <w:r>
              <w:rPr>
                <w:rFonts w:hint="eastAsia" w:ascii="宋体" w:hAnsi="宋体" w:cs="宋体"/>
                <w:sz w:val="22"/>
                <w:szCs w:val="22"/>
                <w:highlight w:val="none"/>
                <w:lang w:val="en-US" w:eastAsia="zh-CN"/>
              </w:rPr>
              <w:t>25</w:t>
            </w:r>
            <w:r>
              <w:rPr>
                <w:rFonts w:hint="eastAsia" w:ascii="宋体" w:hAnsi="宋体" w:eastAsia="宋体" w:cs="宋体"/>
                <w:sz w:val="22"/>
                <w:szCs w:val="22"/>
                <w:highlight w:val="none"/>
              </w:rPr>
              <w:t>分；一般技术参数负偏离每项扣</w:t>
            </w:r>
            <w:r>
              <w:rPr>
                <w:rFonts w:hint="eastAsia" w:ascii="宋体" w:hAnsi="宋体" w:cs="宋体"/>
                <w:sz w:val="22"/>
                <w:szCs w:val="22"/>
                <w:highlight w:val="none"/>
                <w:lang w:val="en-US" w:eastAsia="zh-CN"/>
              </w:rPr>
              <w:t>1</w:t>
            </w:r>
            <w:r>
              <w:rPr>
                <w:rFonts w:hint="eastAsia" w:ascii="宋体" w:hAnsi="宋体" w:eastAsia="宋体" w:cs="宋体"/>
                <w:sz w:val="22"/>
                <w:szCs w:val="22"/>
                <w:highlight w:val="none"/>
              </w:rPr>
              <w:t>分，标注“★”的重要条款、功能条款负偏离每项扣</w:t>
            </w:r>
            <w:r>
              <w:rPr>
                <w:rFonts w:hint="eastAsia" w:ascii="宋体" w:hAnsi="宋体" w:cs="宋体"/>
                <w:sz w:val="22"/>
                <w:szCs w:val="22"/>
                <w:highlight w:val="none"/>
                <w:lang w:val="en-US" w:eastAsia="zh-CN"/>
              </w:rPr>
              <w:t>2</w:t>
            </w:r>
            <w:r>
              <w:rPr>
                <w:rFonts w:hint="eastAsia" w:ascii="宋体" w:hAnsi="宋体" w:eastAsia="宋体" w:cs="宋体"/>
                <w:sz w:val="22"/>
                <w:szCs w:val="22"/>
                <w:highlight w:val="none"/>
              </w:rPr>
              <w:t>分，扣完为止。</w:t>
            </w:r>
          </w:p>
          <w:p>
            <w:pP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供应商需在“采购需求偏离表”对技术参数逐条响应，若发现造假将按照政府采购法追责。</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3</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投标产品的先进性、可靠性，结合投标产品的知名度、销售量、稳定性、使用现况和用户反馈情况等情况，由评委综合打分，</w:t>
            </w:r>
            <w:r>
              <w:rPr>
                <w:rFonts w:hint="eastAsia" w:ascii="宋体" w:hAnsi="宋体" w:cs="宋体"/>
                <w:sz w:val="22"/>
                <w:szCs w:val="22"/>
                <w:highlight w:val="none"/>
                <w:lang w:eastAsia="zh-CN"/>
              </w:rPr>
              <w:t>其中A档3-2.1分，B档2-1.1分，C档1-0分。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421" w:hRule="atLeast"/>
          <w:jc w:val="center"/>
        </w:trPr>
        <w:tc>
          <w:tcPr>
            <w:tcW w:w="562" w:type="dxa"/>
            <w:vMerge w:val="restart"/>
            <w:vAlign w:val="center"/>
          </w:tcPr>
          <w:p>
            <w:pPr>
              <w:jc w:val="center"/>
              <w:rPr>
                <w:rFonts w:hint="eastAsia"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4</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拟派项目团队情况</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4</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lang w:eastAsia="zh-CN"/>
              </w:rPr>
            </w:pPr>
            <w:r>
              <w:rPr>
                <w:rFonts w:hint="eastAsia" w:ascii="宋体" w:hAnsi="宋体" w:eastAsia="宋体" w:cs="宋体"/>
                <w:color w:val="000000"/>
                <w:kern w:val="0"/>
                <w:sz w:val="22"/>
                <w:szCs w:val="22"/>
                <w:highlight w:val="none"/>
                <w:lang w:val="en-US" w:eastAsia="zh-CN" w:bidi="ar"/>
              </w:rPr>
              <w:t>1、</w:t>
            </w:r>
            <w:r>
              <w:rPr>
                <w:rFonts w:hint="eastAsia" w:ascii="宋体" w:hAnsi="宋体" w:eastAsia="宋体" w:cs="宋体"/>
                <w:color w:val="000000"/>
                <w:kern w:val="0"/>
                <w:sz w:val="22"/>
                <w:szCs w:val="22"/>
                <w:highlight w:val="none"/>
                <w:lang w:bidi="ar"/>
              </w:rPr>
              <w:t>项目负责人具有环境监测领域专业中级及以上职称</w:t>
            </w:r>
            <w:r>
              <w:rPr>
                <w:rFonts w:hint="eastAsia" w:ascii="宋体" w:hAnsi="宋体" w:eastAsia="宋体" w:cs="宋体"/>
                <w:sz w:val="22"/>
                <w:szCs w:val="22"/>
                <w:highlight w:val="none"/>
                <w:lang w:val="en-US" w:eastAsia="zh-CN"/>
              </w:rPr>
              <w:t>的得2分</w:t>
            </w:r>
            <w:r>
              <w:rPr>
                <w:rFonts w:hint="eastAsia"/>
                <w:highlight w:val="none"/>
                <w:lang w:eastAsia="zh-CN"/>
              </w:rPr>
              <w:t>；</w:t>
            </w:r>
          </w:p>
          <w:p>
            <w:pPr>
              <w:rPr>
                <w:rFonts w:hint="eastAsia" w:ascii="宋体" w:hAnsi="宋体" w:eastAsia="宋体" w:cs="宋体"/>
                <w:sz w:val="22"/>
                <w:szCs w:val="22"/>
                <w:highlight w:val="none"/>
              </w:rPr>
            </w:pPr>
            <w:r>
              <w:rPr>
                <w:rFonts w:hint="eastAsia" w:ascii="宋体" w:hAnsi="宋体" w:eastAsia="宋体" w:cs="宋体"/>
                <w:color w:val="000000"/>
                <w:kern w:val="0"/>
                <w:sz w:val="22"/>
                <w:szCs w:val="22"/>
                <w:highlight w:val="none"/>
                <w:lang w:val="en-US" w:eastAsia="zh-CN" w:bidi="ar"/>
              </w:rPr>
              <w:t>2、项目负责人负责过空气自动监测站运维</w:t>
            </w:r>
            <w:r>
              <w:rPr>
                <w:rFonts w:hint="eastAsia" w:ascii="宋体" w:hAnsi="宋体" w:eastAsia="宋体" w:cs="宋体"/>
                <w:sz w:val="22"/>
                <w:szCs w:val="22"/>
                <w:highlight w:val="none"/>
                <w:lang w:val="en-US" w:eastAsia="zh-CN"/>
              </w:rPr>
              <w:t>项目的得2分</w:t>
            </w:r>
            <w:r>
              <w:rPr>
                <w:rFonts w:hint="eastAsia" w:ascii="宋体" w:hAnsi="宋体" w:eastAsia="宋体" w:cs="宋体"/>
                <w:sz w:val="22"/>
                <w:szCs w:val="22"/>
                <w:highlight w:val="none"/>
              </w:rPr>
              <w:t>。（提供项目合同及担任项目负责人证明</w:t>
            </w:r>
            <w:r>
              <w:rPr>
                <w:rFonts w:hint="eastAsia" w:ascii="宋体" w:hAnsi="宋体" w:eastAsia="宋体" w:cs="宋体"/>
                <w:sz w:val="22"/>
                <w:szCs w:val="22"/>
                <w:highlight w:val="none"/>
                <w:lang w:eastAsia="zh-CN"/>
              </w:rPr>
              <w:t>，</w:t>
            </w:r>
            <w:r>
              <w:rPr>
                <w:rFonts w:hint="eastAsia" w:ascii="新宋体" w:hAnsi="新宋体" w:eastAsia="新宋体" w:cs="新宋体"/>
                <w:color w:val="auto"/>
                <w:kern w:val="0"/>
                <w:sz w:val="22"/>
                <w:szCs w:val="22"/>
                <w:highlight w:val="none"/>
                <w:lang w:val="en-US" w:eastAsia="zh-CN" w:bidi="ar"/>
              </w:rPr>
              <w:t>否则不得分</w:t>
            </w:r>
            <w:r>
              <w:rPr>
                <w:rFonts w:hint="eastAsia" w:ascii="宋体" w:hAnsi="宋体" w:eastAsia="宋体" w:cs="宋体"/>
                <w:sz w:val="22"/>
                <w:szCs w:val="22"/>
                <w:highlight w:val="none"/>
              </w:rPr>
              <w:t>）</w:t>
            </w:r>
          </w:p>
          <w:p>
            <w:pPr>
              <w:rPr>
                <w:rFonts w:hint="eastAsia" w:ascii="宋体" w:hAnsi="宋体" w:eastAsia="宋体" w:cs="宋体"/>
                <w:sz w:val="22"/>
                <w:szCs w:val="22"/>
                <w:highlight w:val="none"/>
              </w:rPr>
            </w:pPr>
            <w:r>
              <w:rPr>
                <w:rFonts w:hint="eastAsia" w:ascii="宋体" w:hAnsi="宋体" w:eastAsia="宋体" w:cs="宋体"/>
                <w:b/>
                <w:bCs/>
                <w:sz w:val="22"/>
                <w:szCs w:val="22"/>
                <w:highlight w:val="none"/>
              </w:rPr>
              <w:t>注：人员必须为投标单位正式员工，提供人员</w:t>
            </w:r>
            <w:r>
              <w:rPr>
                <w:rFonts w:hint="eastAsia" w:ascii="宋体" w:hAnsi="宋体" w:cs="宋体"/>
                <w:b/>
                <w:bCs/>
                <w:sz w:val="22"/>
                <w:szCs w:val="22"/>
                <w:highlight w:val="none"/>
                <w:lang w:val="en-US" w:eastAsia="zh-CN"/>
              </w:rPr>
              <w:t>近</w:t>
            </w:r>
            <w:r>
              <w:rPr>
                <w:rFonts w:hint="eastAsia" w:ascii="宋体" w:hAnsi="宋体" w:eastAsia="宋体" w:cs="宋体"/>
                <w:b/>
                <w:bCs/>
                <w:sz w:val="22"/>
                <w:szCs w:val="22"/>
                <w:highlight w:val="none"/>
              </w:rPr>
              <w:t>3个月及以上的社保缴纳证明。</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418"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4</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kern w:val="0"/>
                <w:sz w:val="22"/>
                <w:szCs w:val="22"/>
                <w:highlight w:val="none"/>
                <w:lang w:eastAsia="zh-CN"/>
              </w:rPr>
            </w:pPr>
            <w:r>
              <w:rPr>
                <w:rFonts w:hint="eastAsia" w:ascii="宋体" w:hAnsi="宋体"/>
                <w:sz w:val="22"/>
                <w:szCs w:val="22"/>
                <w:highlight w:val="none"/>
              </w:rPr>
              <w:t>项目组</w:t>
            </w:r>
            <w:r>
              <w:rPr>
                <w:rFonts w:hint="eastAsia" w:ascii="宋体" w:hAnsi="宋体"/>
                <w:sz w:val="22"/>
                <w:szCs w:val="22"/>
                <w:highlight w:val="none"/>
                <w:lang w:val="en-US" w:eastAsia="zh-CN"/>
              </w:rPr>
              <w:t>其它</w:t>
            </w:r>
            <w:r>
              <w:rPr>
                <w:rFonts w:hint="eastAsia" w:ascii="宋体" w:hAnsi="宋体"/>
                <w:sz w:val="22"/>
                <w:szCs w:val="22"/>
                <w:highlight w:val="none"/>
              </w:rPr>
              <w:t>人员（项目负责人除外）</w:t>
            </w:r>
            <w:r>
              <w:rPr>
                <w:rFonts w:hint="eastAsia" w:ascii="宋体" w:hAnsi="宋体"/>
                <w:sz w:val="22"/>
                <w:szCs w:val="22"/>
                <w:highlight w:val="none"/>
                <w:lang w:eastAsia="zh-CN"/>
              </w:rPr>
              <w:t>具有</w:t>
            </w:r>
            <w:r>
              <w:rPr>
                <w:rFonts w:hint="eastAsia" w:ascii="宋体" w:hAnsi="宋体"/>
                <w:sz w:val="22"/>
                <w:szCs w:val="22"/>
                <w:highlight w:val="none"/>
              </w:rPr>
              <w:t>环境监测主管部门或环境监测协会颁发的大气环境自动监测系统运维上岗证每</w:t>
            </w:r>
            <w:r>
              <w:rPr>
                <w:rFonts w:hint="eastAsia" w:ascii="宋体" w:hAnsi="宋体"/>
                <w:sz w:val="22"/>
                <w:szCs w:val="22"/>
                <w:highlight w:val="none"/>
                <w:lang w:val="en-US" w:eastAsia="zh-CN"/>
              </w:rPr>
              <w:t>提供1</w:t>
            </w:r>
            <w:r>
              <w:rPr>
                <w:rFonts w:hint="eastAsia" w:ascii="宋体" w:hAnsi="宋体"/>
                <w:sz w:val="22"/>
                <w:szCs w:val="22"/>
                <w:highlight w:val="none"/>
              </w:rPr>
              <w:t>人得</w:t>
            </w:r>
            <w:r>
              <w:rPr>
                <w:rFonts w:hint="eastAsia" w:ascii="宋体" w:hAnsi="宋体"/>
                <w:sz w:val="22"/>
                <w:szCs w:val="22"/>
                <w:highlight w:val="none"/>
                <w:lang w:val="en-US" w:eastAsia="zh-CN"/>
              </w:rPr>
              <w:t>2</w:t>
            </w:r>
            <w:r>
              <w:rPr>
                <w:rFonts w:hint="eastAsia" w:ascii="宋体" w:hAnsi="宋体"/>
                <w:sz w:val="22"/>
                <w:szCs w:val="22"/>
                <w:highlight w:val="none"/>
              </w:rPr>
              <w:t>分，最高得</w:t>
            </w:r>
            <w:r>
              <w:rPr>
                <w:rFonts w:hint="eastAsia" w:ascii="宋体" w:hAnsi="宋体"/>
                <w:sz w:val="22"/>
                <w:szCs w:val="22"/>
                <w:highlight w:val="none"/>
                <w:lang w:val="en-US" w:eastAsia="zh-CN"/>
              </w:rPr>
              <w:t>4</w:t>
            </w:r>
            <w:r>
              <w:rPr>
                <w:rFonts w:hint="eastAsia" w:ascii="宋体" w:hAnsi="宋体"/>
                <w:sz w:val="22"/>
                <w:szCs w:val="22"/>
                <w:highlight w:val="none"/>
              </w:rPr>
              <w:t>分。</w:t>
            </w:r>
          </w:p>
          <w:p>
            <w:pPr>
              <w:rPr>
                <w:rFonts w:hint="eastAsia" w:ascii="宋体" w:hAnsi="宋体" w:eastAsia="宋体" w:cs="宋体"/>
                <w:sz w:val="22"/>
                <w:szCs w:val="22"/>
                <w:highlight w:val="none"/>
              </w:rPr>
            </w:pPr>
            <w:r>
              <w:rPr>
                <w:rFonts w:hint="eastAsia" w:ascii="宋体" w:hAnsi="宋体" w:eastAsia="宋体" w:cs="宋体"/>
                <w:b/>
                <w:bCs/>
                <w:sz w:val="22"/>
                <w:szCs w:val="22"/>
                <w:highlight w:val="none"/>
              </w:rPr>
              <w:t>注：人员必须为投标单位正式员工，提供人员</w:t>
            </w:r>
            <w:r>
              <w:rPr>
                <w:rFonts w:hint="eastAsia" w:ascii="宋体" w:hAnsi="宋体" w:cs="宋体"/>
                <w:b/>
                <w:bCs/>
                <w:sz w:val="22"/>
                <w:szCs w:val="22"/>
                <w:highlight w:val="none"/>
                <w:lang w:val="en-US" w:eastAsia="zh-CN"/>
              </w:rPr>
              <w:t>近</w:t>
            </w:r>
            <w:r>
              <w:rPr>
                <w:rFonts w:hint="eastAsia" w:ascii="宋体" w:hAnsi="宋体" w:eastAsia="宋体" w:cs="宋体"/>
                <w:b/>
                <w:bCs/>
                <w:sz w:val="22"/>
                <w:szCs w:val="22"/>
                <w:highlight w:val="none"/>
              </w:rPr>
              <w:t>3个月及以上的社保缴纳证明。</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90" w:hRule="atLeast"/>
          <w:jc w:val="center"/>
        </w:trPr>
        <w:tc>
          <w:tcPr>
            <w:tcW w:w="562" w:type="dxa"/>
            <w:vAlign w:val="center"/>
          </w:tcPr>
          <w:p>
            <w:pPr>
              <w:jc w:val="center"/>
              <w:rPr>
                <w:rFonts w:hint="eastAsia"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5</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建设方案</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6</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根据投标人提供的建设方案的合理、完整、可行性，是否能够满足本项目招标文件的需求和采购人的实际应用需要，由评委综合评分，</w:t>
            </w:r>
            <w:r>
              <w:rPr>
                <w:rFonts w:hint="eastAsia" w:ascii="宋体" w:hAnsi="宋体" w:cs="宋体"/>
                <w:sz w:val="22"/>
                <w:szCs w:val="22"/>
                <w:highlight w:val="none"/>
                <w:lang w:eastAsia="zh-CN"/>
              </w:rPr>
              <w:t>其中A档</w:t>
            </w:r>
            <w:r>
              <w:rPr>
                <w:rFonts w:hint="eastAsia" w:ascii="宋体" w:hAnsi="宋体" w:cs="宋体"/>
                <w:sz w:val="22"/>
                <w:szCs w:val="22"/>
                <w:highlight w:val="none"/>
                <w:lang w:val="en-US" w:eastAsia="zh-CN"/>
              </w:rPr>
              <w:t>6</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4</w:t>
            </w:r>
            <w:r>
              <w:rPr>
                <w:rFonts w:hint="eastAsia" w:ascii="宋体" w:hAnsi="宋体" w:cs="宋体"/>
                <w:sz w:val="22"/>
                <w:szCs w:val="22"/>
                <w:highlight w:val="none"/>
                <w:lang w:eastAsia="zh-CN"/>
              </w:rPr>
              <w:t>.1分，B档</w:t>
            </w:r>
            <w:r>
              <w:rPr>
                <w:rFonts w:hint="eastAsia" w:ascii="宋体" w:hAnsi="宋体" w:cs="宋体"/>
                <w:sz w:val="22"/>
                <w:szCs w:val="22"/>
                <w:highlight w:val="none"/>
                <w:lang w:val="en-US" w:eastAsia="zh-CN"/>
              </w:rPr>
              <w:t>4</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2</w:t>
            </w:r>
            <w:r>
              <w:rPr>
                <w:rFonts w:hint="eastAsia" w:ascii="宋体" w:hAnsi="宋体" w:cs="宋体"/>
                <w:sz w:val="22"/>
                <w:szCs w:val="22"/>
                <w:highlight w:val="none"/>
                <w:lang w:eastAsia="zh-CN"/>
              </w:rPr>
              <w:t>.1分，C档</w:t>
            </w:r>
            <w:r>
              <w:rPr>
                <w:rFonts w:hint="eastAsia" w:ascii="宋体" w:hAnsi="宋体" w:cs="宋体"/>
                <w:sz w:val="22"/>
                <w:szCs w:val="22"/>
                <w:highlight w:val="none"/>
                <w:lang w:val="en-US" w:eastAsia="zh-CN"/>
              </w:rPr>
              <w:t>2</w:t>
            </w:r>
            <w:r>
              <w:rPr>
                <w:rFonts w:hint="eastAsia" w:ascii="宋体" w:hAnsi="宋体" w:cs="宋体"/>
                <w:sz w:val="22"/>
                <w:szCs w:val="22"/>
                <w:highlight w:val="none"/>
                <w:lang w:eastAsia="zh-CN"/>
              </w:rPr>
              <w:t>-0分。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022" w:hRule="atLeast"/>
          <w:jc w:val="center"/>
        </w:trPr>
        <w:tc>
          <w:tcPr>
            <w:tcW w:w="56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6</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color w:val="auto"/>
                <w:sz w:val="21"/>
                <w:szCs w:val="21"/>
                <w:highlight w:val="none"/>
                <w:lang w:val="en-US" w:eastAsia="zh-CN"/>
              </w:rPr>
              <w:t>运维</w:t>
            </w:r>
            <w:r>
              <w:rPr>
                <w:rFonts w:hint="eastAsia" w:ascii="宋体" w:hAnsi="宋体" w:eastAsia="宋体" w:cs="宋体"/>
                <w:color w:val="auto"/>
                <w:sz w:val="21"/>
                <w:szCs w:val="21"/>
                <w:highlight w:val="none"/>
                <w:lang w:val="zh-CN"/>
              </w:rPr>
              <w:t>方案</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根据投标人提供的</w:t>
            </w:r>
            <w:r>
              <w:rPr>
                <w:rFonts w:hint="eastAsia" w:ascii="宋体" w:hAnsi="宋体" w:eastAsia="宋体" w:cs="宋体"/>
                <w:color w:val="auto"/>
                <w:sz w:val="21"/>
                <w:szCs w:val="21"/>
                <w:highlight w:val="none"/>
                <w:lang w:val="en-US" w:eastAsia="zh-CN"/>
              </w:rPr>
              <w:t>运维</w:t>
            </w:r>
            <w:r>
              <w:rPr>
                <w:rFonts w:hint="eastAsia" w:ascii="宋体" w:hAnsi="宋体" w:eastAsia="宋体" w:cs="宋体"/>
                <w:color w:val="auto"/>
                <w:sz w:val="21"/>
                <w:szCs w:val="21"/>
                <w:highlight w:val="none"/>
                <w:lang w:val="zh-CN"/>
              </w:rPr>
              <w:t>方案</w:t>
            </w:r>
            <w:r>
              <w:rPr>
                <w:rFonts w:hint="eastAsia" w:ascii="宋体" w:hAnsi="宋体" w:eastAsia="宋体" w:cs="宋体"/>
                <w:sz w:val="22"/>
                <w:szCs w:val="22"/>
                <w:highlight w:val="none"/>
              </w:rPr>
              <w:t>的合理、完整、可行性，是否能够满足本项目招标文件的需求和采购人的实际应用需要，由评委综合评分，</w:t>
            </w:r>
            <w:r>
              <w:rPr>
                <w:rFonts w:hint="eastAsia" w:ascii="宋体" w:hAnsi="宋体" w:cs="宋体"/>
                <w:sz w:val="22"/>
                <w:szCs w:val="22"/>
                <w:highlight w:val="none"/>
                <w:lang w:eastAsia="zh-CN"/>
              </w:rPr>
              <w:t>其中A档3-2.1分，B档2-1.1分，C档1-0分。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7</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实施组织计划</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根据投标人提出的项目实施计划、</w:t>
            </w:r>
            <w:r>
              <w:rPr>
                <w:rFonts w:hint="eastAsia" w:ascii="宋体" w:hAnsi="宋体" w:eastAsia="宋体" w:cs="宋体"/>
                <w:sz w:val="22"/>
                <w:szCs w:val="22"/>
                <w:highlight w:val="none"/>
                <w:lang w:eastAsia="zh-CN"/>
              </w:rPr>
              <w:t>施工进度保证措施、</w:t>
            </w:r>
            <w:r>
              <w:rPr>
                <w:rFonts w:hint="eastAsia" w:ascii="宋体" w:hAnsi="宋体" w:eastAsia="宋体" w:cs="宋体"/>
                <w:sz w:val="22"/>
                <w:szCs w:val="22"/>
                <w:highlight w:val="none"/>
              </w:rPr>
              <w:t>安全保证措施、质量保证措施和环境保证措施等，由评委综合打分，</w:t>
            </w:r>
            <w:r>
              <w:rPr>
                <w:rFonts w:hint="eastAsia" w:ascii="宋体" w:hAnsi="宋体" w:cs="宋体"/>
                <w:sz w:val="22"/>
                <w:szCs w:val="22"/>
                <w:highlight w:val="none"/>
                <w:lang w:eastAsia="zh-CN"/>
              </w:rPr>
              <w:t>其中A档</w:t>
            </w:r>
            <w:r>
              <w:rPr>
                <w:rFonts w:hint="eastAsia" w:ascii="宋体" w:hAnsi="宋体" w:cs="宋体"/>
                <w:sz w:val="22"/>
                <w:szCs w:val="22"/>
                <w:highlight w:val="none"/>
                <w:lang w:val="en-US" w:eastAsia="zh-CN"/>
              </w:rPr>
              <w:t>5</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.1分，B档</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3</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根据投标人提供项目施工、安装和调试、测试、调优、验收方案是否具体、详细、可行，有利于项目实施的情况，由评委综合打分，</w:t>
            </w:r>
            <w:r>
              <w:rPr>
                <w:rFonts w:hint="eastAsia" w:ascii="宋体" w:hAnsi="宋体" w:cs="宋体"/>
                <w:sz w:val="22"/>
                <w:szCs w:val="22"/>
                <w:highlight w:val="none"/>
                <w:lang w:eastAsia="zh-CN"/>
              </w:rPr>
              <w:t>其中A档3-2.1分，B档2-1.1分，C档1-0分。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restart"/>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8</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售后及维修服务能力</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投标人对本项目设置维修队伍的配备等情况合理性以及对本项目售后服务承诺的范围和完善程度(包括服务网点，</w:t>
            </w:r>
            <w:r>
              <w:rPr>
                <w:rFonts w:hint="eastAsia" w:ascii="宋体" w:hAnsi="宋体" w:cs="宋体"/>
                <w:sz w:val="22"/>
                <w:szCs w:val="22"/>
                <w:highlight w:val="none"/>
                <w:lang w:val="en-US" w:eastAsia="zh-CN"/>
              </w:rPr>
              <w:t>保修年限，</w:t>
            </w:r>
            <w:r>
              <w:rPr>
                <w:rFonts w:hint="eastAsia" w:ascii="宋体" w:hAnsi="宋体" w:eastAsia="宋体" w:cs="宋体"/>
                <w:sz w:val="22"/>
                <w:szCs w:val="22"/>
                <w:highlight w:val="none"/>
              </w:rPr>
              <w:t>保修部件范围，保修、服务标准，</w:t>
            </w:r>
            <w:r>
              <w:rPr>
                <w:rFonts w:hint="eastAsia" w:ascii="宋体" w:hAnsi="宋体"/>
                <w:sz w:val="22"/>
                <w:szCs w:val="22"/>
                <w:highlight w:val="none"/>
              </w:rPr>
              <w:t>培训计划</w:t>
            </w:r>
            <w:r>
              <w:rPr>
                <w:rFonts w:hint="eastAsia" w:ascii="宋体" w:hAnsi="宋体"/>
                <w:sz w:val="22"/>
                <w:szCs w:val="22"/>
                <w:highlight w:val="none"/>
                <w:lang w:eastAsia="zh-CN"/>
              </w:rPr>
              <w:t>，</w:t>
            </w:r>
            <w:r>
              <w:rPr>
                <w:rFonts w:hint="eastAsia" w:ascii="宋体" w:hAnsi="宋体" w:eastAsia="宋体" w:cs="宋体"/>
                <w:sz w:val="22"/>
                <w:szCs w:val="22"/>
                <w:highlight w:val="none"/>
              </w:rPr>
              <w:t>故障响应修复时间方式及保障措施等)，由评委综合打分，</w:t>
            </w:r>
            <w:r>
              <w:rPr>
                <w:rFonts w:ascii="宋体" w:hAnsi="宋体"/>
                <w:sz w:val="22"/>
                <w:szCs w:val="22"/>
                <w:highlight w:val="none"/>
              </w:rPr>
              <w:t>其中A档3-2.1分，B档2-1.1分，C档1-0分</w:t>
            </w:r>
            <w:r>
              <w:rPr>
                <w:rFonts w:hint="eastAsia" w:ascii="宋体" w:hAnsi="宋体" w:eastAsia="宋体" w:cs="宋体"/>
                <w:sz w:val="22"/>
                <w:szCs w:val="22"/>
                <w:highlight w:val="none"/>
              </w:rPr>
              <w:t>。</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668"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cs="宋体"/>
                <w:color w:val="auto"/>
                <w:kern w:val="0"/>
                <w:szCs w:val="21"/>
                <w:highlight w:val="none"/>
                <w:lang w:val="en-US" w:eastAsia="zh-CN"/>
              </w:rPr>
              <w:t>投标人提供</w:t>
            </w:r>
            <w:r>
              <w:rPr>
                <w:rFonts w:hint="eastAsia" w:ascii="宋体" w:hAnsi="宋体" w:cs="宋体"/>
                <w:color w:val="auto"/>
                <w:kern w:val="0"/>
                <w:szCs w:val="21"/>
                <w:highlight w:val="none"/>
              </w:rPr>
              <w:t>主要设备（SO</w:t>
            </w:r>
            <w:r>
              <w:rPr>
                <w:rFonts w:hint="eastAsia" w:ascii="宋体" w:hAnsi="宋体" w:cs="宋体"/>
                <w:color w:val="auto"/>
                <w:kern w:val="0"/>
                <w:szCs w:val="21"/>
                <w:highlight w:val="none"/>
                <w:vertAlign w:val="subscript"/>
              </w:rPr>
              <w:t>2</w:t>
            </w:r>
            <w:r>
              <w:rPr>
                <w:rFonts w:hint="eastAsia" w:ascii="宋体" w:hAnsi="宋体" w:cs="宋体"/>
                <w:color w:val="auto"/>
                <w:kern w:val="0"/>
                <w:szCs w:val="21"/>
                <w:highlight w:val="none"/>
              </w:rPr>
              <w:t>、NOx、O</w:t>
            </w:r>
            <w:r>
              <w:rPr>
                <w:rFonts w:hint="eastAsia" w:ascii="宋体" w:hAnsi="宋体" w:cs="宋体"/>
                <w:color w:val="auto"/>
                <w:kern w:val="0"/>
                <w:szCs w:val="21"/>
                <w:highlight w:val="none"/>
                <w:vertAlign w:val="subscript"/>
              </w:rPr>
              <w:t>3</w:t>
            </w:r>
            <w:r>
              <w:rPr>
                <w:rFonts w:hint="eastAsia" w:ascii="宋体" w:hAnsi="宋体" w:cs="宋体"/>
                <w:color w:val="auto"/>
                <w:kern w:val="0"/>
                <w:szCs w:val="21"/>
                <w:highlight w:val="none"/>
              </w:rPr>
              <w:t>、CO、PM</w:t>
            </w:r>
            <w:r>
              <w:rPr>
                <w:rFonts w:hint="eastAsia" w:ascii="宋体" w:hAnsi="宋体" w:cs="宋体"/>
                <w:color w:val="auto"/>
                <w:kern w:val="0"/>
                <w:szCs w:val="21"/>
                <w:highlight w:val="none"/>
                <w:vertAlign w:val="subscript"/>
              </w:rPr>
              <w:t>2.5</w:t>
            </w:r>
            <w:r>
              <w:rPr>
                <w:rFonts w:hint="eastAsia" w:ascii="宋体" w:hAnsi="宋体" w:cs="宋体"/>
                <w:color w:val="auto"/>
                <w:kern w:val="0"/>
                <w:szCs w:val="21"/>
                <w:highlight w:val="none"/>
              </w:rPr>
              <w:t>、PM</w:t>
            </w:r>
            <w:r>
              <w:rPr>
                <w:rFonts w:hint="eastAsia" w:ascii="宋体" w:hAnsi="宋体" w:cs="宋体"/>
                <w:color w:val="auto"/>
                <w:kern w:val="0"/>
                <w:szCs w:val="21"/>
                <w:highlight w:val="none"/>
                <w:vertAlign w:val="subscript"/>
              </w:rPr>
              <w:t>10</w:t>
            </w:r>
            <w:r>
              <w:rPr>
                <w:rFonts w:hint="eastAsia" w:ascii="宋体" w:hAnsi="宋体" w:cs="宋体"/>
                <w:color w:val="auto"/>
                <w:szCs w:val="21"/>
                <w:highlight w:val="none"/>
                <w:vertAlign w:val="subscript"/>
              </w:rPr>
              <w:t xml:space="preserve"> </w:t>
            </w:r>
            <w:r>
              <w:rPr>
                <w:rFonts w:hint="eastAsia" w:ascii="宋体" w:hAnsi="宋体" w:cs="宋体"/>
                <w:color w:val="auto"/>
                <w:kern w:val="0"/>
                <w:szCs w:val="21"/>
                <w:highlight w:val="none"/>
              </w:rPr>
              <w:t>）的原厂</w:t>
            </w:r>
            <w:r>
              <w:rPr>
                <w:rFonts w:hint="eastAsia" w:ascii="宋体" w:hAnsi="宋体" w:cs="宋体"/>
                <w:color w:val="auto"/>
                <w:kern w:val="0"/>
                <w:szCs w:val="21"/>
                <w:highlight w:val="none"/>
                <w:lang w:val="en-US" w:eastAsia="zh-CN"/>
              </w:rPr>
              <w:t>技术</w:t>
            </w:r>
            <w:r>
              <w:rPr>
                <w:rFonts w:hint="eastAsia" w:ascii="宋体" w:hAnsi="宋体" w:cs="宋体"/>
                <w:color w:val="auto"/>
                <w:kern w:val="0"/>
                <w:szCs w:val="21"/>
                <w:highlight w:val="none"/>
              </w:rPr>
              <w:t>服务承诺书，</w:t>
            </w:r>
            <w:r>
              <w:rPr>
                <w:rFonts w:hint="eastAsia" w:ascii="宋体" w:hAnsi="宋体" w:cs="宋体"/>
                <w:color w:val="auto"/>
                <w:kern w:val="0"/>
                <w:szCs w:val="21"/>
                <w:highlight w:val="none"/>
                <w:lang w:val="en-US" w:eastAsia="zh-CN"/>
              </w:rPr>
              <w:t>每提供一个得0.5分，最高得3分</w:t>
            </w:r>
            <w:r>
              <w:rPr>
                <w:rFonts w:hint="eastAsia" w:ascii="宋体" w:hAnsi="宋体" w:cs="宋体"/>
                <w:color w:val="auto"/>
                <w:kern w:val="0"/>
                <w:szCs w:val="21"/>
                <w:highlight w:val="none"/>
              </w:rPr>
              <w:t>。</w:t>
            </w:r>
          </w:p>
        </w:tc>
        <w:tc>
          <w:tcPr>
            <w:tcW w:w="991" w:type="dxa"/>
            <w:vAlign w:val="center"/>
          </w:tcPr>
          <w:p>
            <w:pPr>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10503" w:type="dxa"/>
            <w:gridSpan w:val="6"/>
            <w:tcBorders>
              <w:bottom w:val="single" w:color="auto" w:sz="4" w:space="0"/>
            </w:tcBorders>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说明：</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1</w:t>
            </w:r>
            <w:r>
              <w:rPr>
                <w:rFonts w:hint="eastAsia" w:ascii="宋体" w:hAnsi="宋体" w:eastAsia="宋体" w:cs="宋体"/>
                <w:sz w:val="22"/>
                <w:szCs w:val="22"/>
                <w:highlight w:val="none"/>
              </w:rPr>
              <w:t>）商务技术评分标准中，A档一般以提供完善、高质量、超出预期的方案/措施为划分标准，其内容详尽、科学、操作性强且具有高可信度，能够达到甚至超出采购需求；B档一般以提供基本满足招标文件要求的方案/措施为划分标准，其内容较为细致和科学，操作性和可信度一般，能够基本满足采购需求；C档一般以提供简要或不太完善的方案/措施为划分标准，内容细致度、可操作性和科学性较差，可信度较低，无法有效达到采购需求。</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2</w:t>
            </w:r>
            <w:r>
              <w:rPr>
                <w:rFonts w:hint="eastAsia" w:ascii="宋体" w:hAnsi="宋体" w:eastAsia="宋体" w:cs="宋体"/>
                <w:sz w:val="22"/>
                <w:szCs w:val="22"/>
                <w:highlight w:val="none"/>
              </w:rPr>
              <w:t>）商务技术文件未提供评分项目内容的，该项按零分处理，且不受最低分值限制。</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3</w:t>
            </w:r>
            <w:r>
              <w:rPr>
                <w:rFonts w:hint="eastAsia" w:ascii="宋体" w:hAnsi="宋体" w:eastAsia="宋体" w:cs="宋体"/>
                <w:sz w:val="22"/>
                <w:szCs w:val="22"/>
                <w:highlight w:val="none"/>
              </w:rPr>
              <w:t>）商务技术文件中提供的证明材料无法辨认的，按未提供处理。</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4</w:t>
            </w:r>
            <w:r>
              <w:rPr>
                <w:rFonts w:hint="eastAsia" w:ascii="宋体" w:hAnsi="宋体" w:eastAsia="宋体" w:cs="宋体"/>
                <w:sz w:val="22"/>
                <w:szCs w:val="22"/>
                <w:highlight w:val="none"/>
              </w:rPr>
              <w:t>）投标人需根据招标文件的要求进行制作，内容简洁明了，编排合理有序，与采购内容无关或不符合招标文件要求的资料不要编入商务技术文件，建议页码控制在350页以下。</w:t>
            </w:r>
          </w:p>
        </w:tc>
      </w:tr>
    </w:tbl>
    <w:p>
      <w:pPr>
        <w:pStyle w:val="32"/>
        <w:ind w:left="0" w:leftChars="0" w:firstLine="0" w:firstLineChars="0"/>
        <w:rPr>
          <w:rFonts w:hint="eastAsia" w:ascii="宋体" w:hAnsi="宋体"/>
          <w:b/>
          <w:bCs/>
          <w:sz w:val="22"/>
          <w:szCs w:val="22"/>
          <w:highlight w:val="none"/>
          <w:lang w:val="en-US" w:eastAsia="zh-CN"/>
        </w:rPr>
      </w:pPr>
      <w:r>
        <w:rPr>
          <w:rFonts w:hint="eastAsia" w:ascii="宋体" w:hAnsi="宋体"/>
          <w:b/>
          <w:bCs/>
          <w:sz w:val="22"/>
          <w:szCs w:val="22"/>
          <w:highlight w:val="none"/>
          <w:lang w:val="en-US" w:eastAsia="zh-CN"/>
        </w:rPr>
        <w:t>标段二</w:t>
      </w:r>
    </w:p>
    <w:tbl>
      <w:tblPr>
        <w:tblStyle w:val="34"/>
        <w:tblW w:w="10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560"/>
        <w:gridCol w:w="992"/>
        <w:gridCol w:w="6384"/>
        <w:gridCol w:w="991"/>
        <w:gridCol w:w="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序号</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评分内容</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分值</w:t>
            </w:r>
          </w:p>
        </w:tc>
        <w:tc>
          <w:tcPr>
            <w:tcW w:w="6384"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评分要点及说明</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投标人综合情况</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6</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投标人</w:t>
            </w:r>
            <w:r>
              <w:rPr>
                <w:rFonts w:hint="eastAsia" w:ascii="宋体" w:hAnsi="宋体" w:eastAsia="宋体" w:cs="宋体"/>
                <w:sz w:val="22"/>
                <w:szCs w:val="22"/>
                <w:highlight w:val="none"/>
              </w:rPr>
              <w:t>具有质量管理体系认证、环境管理体系认证、职业健康安全管理体系认证、</w:t>
            </w:r>
            <w:r>
              <w:rPr>
                <w:rFonts w:hint="eastAsia" w:ascii="宋体" w:hAnsi="宋体" w:eastAsia="宋体" w:cs="宋体"/>
                <w:sz w:val="22"/>
                <w:szCs w:val="22"/>
                <w:highlight w:val="none"/>
                <w:lang w:val="en-US" w:eastAsia="zh-CN"/>
              </w:rPr>
              <w:t>信息安全管理体系认证</w:t>
            </w:r>
            <w:r>
              <w:rPr>
                <w:rFonts w:hint="eastAsia" w:ascii="宋体" w:hAnsi="宋体" w:cs="宋体"/>
                <w:sz w:val="22"/>
                <w:szCs w:val="22"/>
                <w:highlight w:val="none"/>
                <w:lang w:val="en-US" w:eastAsia="zh-CN"/>
              </w:rPr>
              <w:t>、</w:t>
            </w:r>
            <w:r>
              <w:rPr>
                <w:rFonts w:hint="eastAsia" w:ascii="宋体" w:hAnsi="宋体"/>
                <w:color w:val="000000"/>
                <w:sz w:val="22"/>
                <w:szCs w:val="22"/>
                <w:highlight w:val="none"/>
              </w:rPr>
              <w:t>信息技术服务管理体系认证</w:t>
            </w:r>
            <w:r>
              <w:rPr>
                <w:rFonts w:hint="eastAsia" w:ascii="宋体" w:hAnsi="宋体"/>
                <w:color w:val="000000"/>
                <w:sz w:val="22"/>
                <w:szCs w:val="22"/>
                <w:highlight w:val="none"/>
                <w:lang w:eastAsia="zh-CN"/>
              </w:rPr>
              <w:t>、</w:t>
            </w:r>
            <w:r>
              <w:rPr>
                <w:rFonts w:hint="eastAsia" w:hAnsi="宋体" w:eastAsia="宋体" w:cs="黑体"/>
                <w:b w:val="0"/>
                <w:color w:val="auto"/>
                <w:sz w:val="22"/>
                <w:szCs w:val="22"/>
                <w:highlight w:val="none"/>
                <w:lang w:val="en-US" w:eastAsia="zh-CN"/>
              </w:rPr>
              <w:t>国家高新技术企业证书</w:t>
            </w:r>
            <w:r>
              <w:rPr>
                <w:rFonts w:hint="eastAsia" w:ascii="宋体" w:hAnsi="宋体" w:eastAsia="宋体" w:cs="宋体"/>
                <w:sz w:val="22"/>
                <w:szCs w:val="22"/>
                <w:highlight w:val="none"/>
              </w:rPr>
              <w:t>，每提供1个有效证书得</w:t>
            </w:r>
            <w:r>
              <w:rPr>
                <w:rFonts w:hint="eastAsia" w:ascii="宋体" w:hAnsi="宋体" w:eastAsia="宋体" w:cs="宋体"/>
                <w:sz w:val="22"/>
                <w:szCs w:val="22"/>
                <w:highlight w:val="none"/>
                <w:lang w:val="en-US" w:eastAsia="zh-CN"/>
              </w:rPr>
              <w:t>1</w:t>
            </w:r>
            <w:r>
              <w:rPr>
                <w:rFonts w:hint="eastAsia" w:ascii="宋体" w:hAnsi="宋体" w:eastAsia="宋体" w:cs="宋体"/>
                <w:sz w:val="22"/>
                <w:szCs w:val="22"/>
                <w:highlight w:val="none"/>
              </w:rPr>
              <w:t>分，最高得</w:t>
            </w:r>
            <w:r>
              <w:rPr>
                <w:rFonts w:hint="eastAsia" w:ascii="宋体" w:hAnsi="宋体" w:cs="宋体"/>
                <w:sz w:val="22"/>
                <w:szCs w:val="22"/>
                <w:highlight w:val="none"/>
                <w:lang w:val="en-US" w:eastAsia="zh-CN"/>
              </w:rPr>
              <w:t>6</w:t>
            </w:r>
            <w:r>
              <w:rPr>
                <w:rFonts w:hint="eastAsia" w:ascii="宋体" w:hAnsi="宋体" w:eastAsia="宋体" w:cs="宋体"/>
                <w:sz w:val="22"/>
                <w:szCs w:val="22"/>
                <w:highlight w:val="none"/>
              </w:rPr>
              <w:t>分。</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注：提供有效期内的证书和国家相关认证认可平台查询系统内查询到相关证书信息的截图证明，否则不予认可。</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0-2分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投标人通过自动监控系统（气）运营服务能力评价，一级得2分，二级</w:t>
            </w:r>
            <w:r>
              <w:rPr>
                <w:rFonts w:hint="eastAsia" w:ascii="宋体" w:hAnsi="宋体" w:cs="宋体"/>
                <w:sz w:val="22"/>
                <w:szCs w:val="22"/>
                <w:highlight w:val="none"/>
                <w:lang w:val="en-US" w:eastAsia="zh-CN"/>
              </w:rPr>
              <w:t>得</w:t>
            </w:r>
            <w:r>
              <w:rPr>
                <w:rFonts w:hint="eastAsia" w:ascii="宋体" w:hAnsi="宋体" w:eastAsia="宋体" w:cs="宋体"/>
                <w:sz w:val="22"/>
                <w:szCs w:val="22"/>
                <w:highlight w:val="none"/>
                <w:lang w:val="en-US" w:eastAsia="zh-CN"/>
              </w:rPr>
              <w:t>1分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根据投标人</w:t>
            </w:r>
            <w:r>
              <w:rPr>
                <w:rFonts w:hint="eastAsia" w:ascii="宋体" w:hAnsi="宋体"/>
                <w:sz w:val="22"/>
                <w:szCs w:val="22"/>
                <w:highlight w:val="none"/>
              </w:rPr>
              <w:t>与</w:t>
            </w:r>
            <w:r>
              <w:rPr>
                <w:rFonts w:hint="eastAsia" w:ascii="宋体" w:hAnsi="宋体"/>
                <w:sz w:val="22"/>
                <w:szCs w:val="22"/>
                <w:highlight w:val="none"/>
                <w:lang w:val="en-US" w:eastAsia="zh-CN"/>
              </w:rPr>
              <w:t>本项目</w:t>
            </w:r>
            <w:r>
              <w:rPr>
                <w:rFonts w:hint="eastAsia" w:ascii="宋体" w:hAnsi="宋体"/>
                <w:sz w:val="22"/>
                <w:szCs w:val="22"/>
                <w:highlight w:val="none"/>
              </w:rPr>
              <w:t>履约能力相关的</w:t>
            </w:r>
            <w:r>
              <w:rPr>
                <w:rFonts w:hint="eastAsia" w:ascii="宋体" w:hAnsi="宋体" w:eastAsia="宋体" w:cs="宋体"/>
                <w:sz w:val="22"/>
                <w:szCs w:val="22"/>
                <w:highlight w:val="none"/>
              </w:rPr>
              <w:t>技术力量、荣誉、信誉等情况（涉及企业规模的除外），提供相关证明材料，由评委综合打分，</w:t>
            </w:r>
            <w:r>
              <w:rPr>
                <w:rFonts w:hint="eastAsia" w:ascii="宋体" w:hAnsi="宋体" w:cs="宋体"/>
                <w:sz w:val="22"/>
                <w:szCs w:val="22"/>
                <w:highlight w:val="none"/>
                <w:lang w:eastAsia="zh-CN"/>
              </w:rPr>
              <w:t>其中A档3-2.1分，B档2-1.1分，C档1-0分。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2</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投标人业绩</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0-3分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投标人20</w:t>
            </w:r>
            <w:r>
              <w:rPr>
                <w:rFonts w:hint="eastAsia" w:ascii="宋体" w:hAnsi="宋体" w:eastAsia="宋体" w:cs="宋体"/>
                <w:sz w:val="22"/>
                <w:szCs w:val="22"/>
                <w:highlight w:val="none"/>
                <w:lang w:val="en-US" w:eastAsia="zh-CN"/>
              </w:rPr>
              <w:t>20</w:t>
            </w:r>
            <w:r>
              <w:rPr>
                <w:rFonts w:hint="eastAsia" w:ascii="宋体" w:hAnsi="宋体" w:eastAsia="宋体" w:cs="宋体"/>
                <w:sz w:val="22"/>
                <w:szCs w:val="22"/>
                <w:highlight w:val="none"/>
              </w:rPr>
              <w:t>年1月1日以来</w:t>
            </w:r>
            <w:r>
              <w:rPr>
                <w:rFonts w:hint="eastAsia" w:ascii="宋体" w:hAnsi="宋体" w:eastAsia="宋体" w:cs="宋体"/>
                <w:color w:val="000000"/>
                <w:kern w:val="0"/>
                <w:sz w:val="22"/>
                <w:szCs w:val="22"/>
                <w:highlight w:val="none"/>
                <w:lang w:bidi="ar"/>
              </w:rPr>
              <w:t>类似项目</w:t>
            </w:r>
            <w:r>
              <w:rPr>
                <w:rFonts w:hint="eastAsia" w:ascii="宋体" w:hAnsi="宋体" w:eastAsia="宋体" w:cs="宋体"/>
                <w:color w:val="000000"/>
                <w:kern w:val="0"/>
                <w:sz w:val="22"/>
                <w:szCs w:val="22"/>
                <w:highlight w:val="none"/>
                <w:lang w:val="en-US" w:eastAsia="zh-CN" w:bidi="ar"/>
              </w:rPr>
              <w:t>业绩的</w:t>
            </w:r>
            <w:r>
              <w:rPr>
                <w:rFonts w:hint="eastAsia" w:ascii="宋体" w:hAnsi="宋体" w:eastAsia="宋体" w:cs="宋体"/>
                <w:sz w:val="22"/>
                <w:szCs w:val="22"/>
                <w:highlight w:val="none"/>
              </w:rPr>
              <w:t>，每提供1个有效业绩得1分，最高得3分。</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注：</w:t>
            </w:r>
            <w:r>
              <w:rPr>
                <w:rFonts w:hint="eastAsia" w:ascii="新宋体" w:hAnsi="新宋体" w:eastAsia="新宋体" w:cs="新宋体"/>
                <w:color w:val="auto"/>
                <w:kern w:val="0"/>
                <w:sz w:val="22"/>
                <w:szCs w:val="22"/>
                <w:highlight w:val="none"/>
                <w:lang w:val="en-US" w:eastAsia="zh-CN" w:bidi="ar"/>
              </w:rPr>
              <w:t>提供中标通知书和合同（缺一不可），否则不予得分</w:t>
            </w:r>
            <w:r>
              <w:rPr>
                <w:rFonts w:hint="eastAsia" w:ascii="宋体" w:hAnsi="宋体" w:eastAsia="宋体" w:cs="宋体"/>
                <w:sz w:val="22"/>
                <w:szCs w:val="22"/>
                <w:highlight w:val="none"/>
              </w:rPr>
              <w:t>。</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90" w:hRule="atLeast"/>
          <w:jc w:val="center"/>
        </w:trPr>
        <w:tc>
          <w:tcPr>
            <w:tcW w:w="562" w:type="dxa"/>
            <w:vMerge w:val="restart"/>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3</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投标产品的性能与需求</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25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投标产品的基本功能、技术指标与需求的吻合程度和偏差情况，是否能够满足招标文件要求，由评委根据投标人提供的“采购需求偏离表”进行打分，全部满足要求的得</w:t>
            </w:r>
            <w:r>
              <w:rPr>
                <w:rFonts w:hint="eastAsia" w:ascii="宋体" w:hAnsi="宋体" w:cs="宋体"/>
                <w:sz w:val="22"/>
                <w:szCs w:val="22"/>
                <w:highlight w:val="none"/>
                <w:lang w:val="en-US" w:eastAsia="zh-CN"/>
              </w:rPr>
              <w:t>25</w:t>
            </w:r>
            <w:r>
              <w:rPr>
                <w:rFonts w:hint="eastAsia" w:ascii="宋体" w:hAnsi="宋体" w:eastAsia="宋体" w:cs="宋体"/>
                <w:sz w:val="22"/>
                <w:szCs w:val="22"/>
                <w:highlight w:val="none"/>
              </w:rPr>
              <w:t>分；一般技术参数负偏离每项扣</w:t>
            </w:r>
            <w:r>
              <w:rPr>
                <w:rFonts w:hint="eastAsia" w:ascii="宋体" w:hAnsi="宋体" w:cs="宋体"/>
                <w:sz w:val="22"/>
                <w:szCs w:val="22"/>
                <w:highlight w:val="none"/>
                <w:lang w:val="en-US" w:eastAsia="zh-CN"/>
              </w:rPr>
              <w:t>1</w:t>
            </w:r>
            <w:r>
              <w:rPr>
                <w:rFonts w:hint="eastAsia" w:ascii="宋体" w:hAnsi="宋体" w:eastAsia="宋体" w:cs="宋体"/>
                <w:sz w:val="22"/>
                <w:szCs w:val="22"/>
                <w:highlight w:val="none"/>
              </w:rPr>
              <w:t>分，标注“★”的重要条款、功能条款负偏离每项扣</w:t>
            </w:r>
            <w:r>
              <w:rPr>
                <w:rFonts w:hint="eastAsia" w:ascii="宋体" w:hAnsi="宋体" w:cs="宋体"/>
                <w:sz w:val="22"/>
                <w:szCs w:val="22"/>
                <w:highlight w:val="none"/>
                <w:lang w:val="en-US" w:eastAsia="zh-CN"/>
              </w:rPr>
              <w:t>2</w:t>
            </w:r>
            <w:r>
              <w:rPr>
                <w:rFonts w:hint="eastAsia" w:ascii="宋体" w:hAnsi="宋体" w:eastAsia="宋体" w:cs="宋体"/>
                <w:sz w:val="22"/>
                <w:szCs w:val="22"/>
                <w:highlight w:val="none"/>
              </w:rPr>
              <w:t>分，扣完为止。</w:t>
            </w:r>
          </w:p>
          <w:p>
            <w:pP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供应商需在“采购需求偏离表”对技术参数逐条响应，若发现造假将按照政府采购法追责。</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3</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投标产品的先进性、可靠性，结合投标产品的知名度、销售量、稳定性、使用现况和用户反馈情况等情况，由评委综合打分，</w:t>
            </w:r>
            <w:r>
              <w:rPr>
                <w:rFonts w:hint="eastAsia" w:ascii="宋体" w:hAnsi="宋体" w:cs="宋体"/>
                <w:sz w:val="22"/>
                <w:szCs w:val="22"/>
                <w:highlight w:val="none"/>
                <w:lang w:eastAsia="zh-CN"/>
              </w:rPr>
              <w:t>其中A档3-2.1分，B档2-1.1分，C档1-0分。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421" w:hRule="atLeast"/>
          <w:jc w:val="center"/>
        </w:trPr>
        <w:tc>
          <w:tcPr>
            <w:tcW w:w="562" w:type="dxa"/>
            <w:vMerge w:val="restart"/>
            <w:vAlign w:val="center"/>
          </w:tcPr>
          <w:p>
            <w:pPr>
              <w:jc w:val="center"/>
              <w:rPr>
                <w:rFonts w:hint="eastAsia"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4</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团队</w:t>
            </w:r>
            <w:r>
              <w:rPr>
                <w:rFonts w:hint="eastAsia" w:ascii="宋体" w:hAnsi="宋体" w:cs="宋体"/>
                <w:sz w:val="22"/>
                <w:szCs w:val="22"/>
                <w:highlight w:val="none"/>
                <w:lang w:val="en-US" w:eastAsia="zh-CN"/>
              </w:rPr>
              <w:t>及车车辆</w:t>
            </w:r>
            <w:r>
              <w:rPr>
                <w:rFonts w:hint="eastAsia" w:ascii="宋体" w:hAnsi="宋体" w:eastAsia="宋体" w:cs="宋体"/>
                <w:sz w:val="22"/>
                <w:szCs w:val="22"/>
                <w:highlight w:val="none"/>
              </w:rPr>
              <w:t>情况</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lang w:eastAsia="zh-CN"/>
              </w:rPr>
            </w:pPr>
            <w:r>
              <w:rPr>
                <w:rFonts w:hint="eastAsia" w:ascii="宋体" w:hAnsi="宋体" w:eastAsia="宋体" w:cs="宋体"/>
                <w:color w:val="000000"/>
                <w:kern w:val="0"/>
                <w:sz w:val="22"/>
                <w:szCs w:val="22"/>
                <w:highlight w:val="none"/>
                <w:lang w:bidi="ar"/>
              </w:rPr>
              <w:t>项目负责人具有</w:t>
            </w:r>
            <w:r>
              <w:rPr>
                <w:rFonts w:hint="eastAsia" w:ascii="宋体" w:hAnsi="宋体" w:eastAsia="宋体"/>
                <w:bCs/>
                <w:kern w:val="2"/>
                <w:sz w:val="22"/>
                <w:highlight w:val="none"/>
              </w:rPr>
              <w:t>中级及以上环境类职称</w:t>
            </w:r>
            <w:r>
              <w:rPr>
                <w:rFonts w:hint="eastAsia" w:ascii="宋体" w:hAnsi="宋体" w:eastAsia="宋体"/>
                <w:bCs/>
                <w:kern w:val="2"/>
                <w:sz w:val="22"/>
                <w:highlight w:val="none"/>
                <w:lang w:eastAsia="zh-CN"/>
              </w:rPr>
              <w:t>、</w:t>
            </w:r>
            <w:r>
              <w:rPr>
                <w:rFonts w:hint="eastAsia" w:ascii="宋体" w:hAnsi="宋体" w:eastAsia="宋体"/>
                <w:bCs/>
                <w:kern w:val="2"/>
                <w:sz w:val="22"/>
                <w:highlight w:val="none"/>
              </w:rPr>
              <w:t>环境监测中心颁发的空气质量监测系统运维上岗证</w:t>
            </w:r>
            <w:r>
              <w:rPr>
                <w:rFonts w:hint="eastAsia" w:ascii="宋体" w:hAnsi="宋体" w:eastAsia="宋体"/>
                <w:bCs/>
                <w:kern w:val="2"/>
                <w:sz w:val="22"/>
                <w:highlight w:val="none"/>
                <w:lang w:eastAsia="zh-CN"/>
              </w:rPr>
              <w:t>、</w:t>
            </w:r>
            <w:r>
              <w:rPr>
                <w:rFonts w:hint="eastAsia" w:ascii="宋体" w:hAnsi="宋体" w:eastAsia="宋体"/>
                <w:bCs/>
                <w:kern w:val="2"/>
                <w:sz w:val="22"/>
                <w:highlight w:val="none"/>
              </w:rPr>
              <w:t>环境监测协会颁发的空气质量监测系统运维上岗证</w:t>
            </w:r>
            <w:r>
              <w:rPr>
                <w:rFonts w:hint="eastAsia" w:ascii="宋体" w:hAnsi="宋体" w:eastAsia="宋体"/>
                <w:bCs/>
                <w:kern w:val="2"/>
                <w:sz w:val="22"/>
                <w:highlight w:val="none"/>
                <w:lang w:eastAsia="zh-CN"/>
              </w:rPr>
              <w:t>，</w:t>
            </w:r>
            <w:r>
              <w:rPr>
                <w:rFonts w:hint="eastAsia" w:ascii="宋体" w:hAnsi="宋体" w:eastAsia="宋体" w:cs="宋体"/>
                <w:sz w:val="22"/>
                <w:szCs w:val="22"/>
                <w:highlight w:val="none"/>
              </w:rPr>
              <w:t>每提供1个有效证书得</w:t>
            </w:r>
            <w:r>
              <w:rPr>
                <w:rFonts w:hint="eastAsia" w:ascii="宋体" w:hAnsi="宋体" w:eastAsia="宋体" w:cs="宋体"/>
                <w:sz w:val="22"/>
                <w:szCs w:val="22"/>
                <w:highlight w:val="none"/>
                <w:lang w:val="en-US" w:eastAsia="zh-CN"/>
              </w:rPr>
              <w:t>1</w:t>
            </w:r>
            <w:r>
              <w:rPr>
                <w:rFonts w:hint="eastAsia" w:ascii="宋体" w:hAnsi="宋体" w:eastAsia="宋体" w:cs="宋体"/>
                <w:sz w:val="22"/>
                <w:szCs w:val="22"/>
                <w:highlight w:val="none"/>
              </w:rPr>
              <w:t>分，最高得</w:t>
            </w:r>
            <w:r>
              <w:rPr>
                <w:rFonts w:hint="eastAsia" w:ascii="宋体" w:hAnsi="宋体" w:cs="宋体"/>
                <w:sz w:val="22"/>
                <w:szCs w:val="22"/>
                <w:highlight w:val="none"/>
                <w:lang w:val="en-US" w:eastAsia="zh-CN"/>
              </w:rPr>
              <w:t>3</w:t>
            </w:r>
            <w:r>
              <w:rPr>
                <w:rFonts w:hint="eastAsia" w:ascii="宋体" w:hAnsi="宋体" w:eastAsia="宋体" w:cs="宋体"/>
                <w:sz w:val="22"/>
                <w:szCs w:val="22"/>
                <w:highlight w:val="none"/>
              </w:rPr>
              <w:t>分。</w:t>
            </w:r>
          </w:p>
          <w:p>
            <w:pPr>
              <w:rPr>
                <w:rFonts w:hint="eastAsia" w:ascii="宋体" w:hAnsi="宋体" w:eastAsia="宋体" w:cs="宋体"/>
                <w:sz w:val="22"/>
                <w:szCs w:val="22"/>
                <w:highlight w:val="none"/>
              </w:rPr>
            </w:pPr>
            <w:r>
              <w:rPr>
                <w:rFonts w:hint="eastAsia" w:ascii="宋体" w:hAnsi="宋体" w:eastAsia="宋体" w:cs="宋体"/>
                <w:b/>
                <w:bCs/>
                <w:sz w:val="22"/>
                <w:szCs w:val="22"/>
                <w:highlight w:val="none"/>
              </w:rPr>
              <w:t>注：人员必须为投标单位正式员工，提供人员</w:t>
            </w:r>
            <w:r>
              <w:rPr>
                <w:rFonts w:hint="eastAsia" w:ascii="宋体" w:hAnsi="宋体" w:cs="宋体"/>
                <w:b/>
                <w:bCs/>
                <w:sz w:val="22"/>
                <w:szCs w:val="22"/>
                <w:highlight w:val="none"/>
                <w:lang w:val="en-US" w:eastAsia="zh-CN"/>
              </w:rPr>
              <w:t>近</w:t>
            </w:r>
            <w:r>
              <w:rPr>
                <w:rFonts w:hint="eastAsia" w:ascii="宋体" w:hAnsi="宋体" w:eastAsia="宋体" w:cs="宋体"/>
                <w:b/>
                <w:bCs/>
                <w:sz w:val="22"/>
                <w:szCs w:val="22"/>
                <w:highlight w:val="none"/>
              </w:rPr>
              <w:t>3个月及以上的社保缴纳证明。</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421" w:hRule="atLeast"/>
          <w:jc w:val="center"/>
        </w:trPr>
        <w:tc>
          <w:tcPr>
            <w:tcW w:w="562" w:type="dxa"/>
            <w:vMerge w:val="continue"/>
            <w:vAlign w:val="center"/>
          </w:tcPr>
          <w:p>
            <w:pPr>
              <w:jc w:val="center"/>
              <w:rPr>
                <w:rFonts w:hint="eastAsia" w:ascii="宋体" w:hAnsi="宋体" w:cs="宋体"/>
                <w:sz w:val="22"/>
                <w:szCs w:val="22"/>
                <w:highlight w:val="none"/>
                <w:lang w:val="en-US" w:eastAsia="zh-CN"/>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2</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kern w:val="0"/>
                <w:sz w:val="22"/>
                <w:szCs w:val="22"/>
                <w:highlight w:val="none"/>
                <w:lang w:eastAsia="zh-CN"/>
              </w:rPr>
            </w:pPr>
            <w:r>
              <w:rPr>
                <w:rFonts w:hint="eastAsia" w:ascii="宋体" w:hAnsi="宋体"/>
                <w:sz w:val="22"/>
                <w:szCs w:val="22"/>
                <w:highlight w:val="none"/>
              </w:rPr>
              <w:t>项目组</w:t>
            </w:r>
            <w:r>
              <w:rPr>
                <w:rFonts w:hint="eastAsia" w:ascii="宋体" w:hAnsi="宋体"/>
                <w:sz w:val="22"/>
                <w:szCs w:val="22"/>
                <w:highlight w:val="none"/>
                <w:lang w:val="en-US" w:eastAsia="zh-CN"/>
              </w:rPr>
              <w:t>其它</w:t>
            </w:r>
            <w:r>
              <w:rPr>
                <w:rFonts w:hint="eastAsia" w:ascii="宋体" w:hAnsi="宋体"/>
                <w:sz w:val="22"/>
                <w:szCs w:val="22"/>
                <w:highlight w:val="none"/>
              </w:rPr>
              <w:t>人员（项目负责人除外）</w:t>
            </w:r>
            <w:r>
              <w:rPr>
                <w:rFonts w:hint="eastAsia" w:ascii="宋体" w:hAnsi="宋体"/>
                <w:sz w:val="22"/>
                <w:szCs w:val="22"/>
                <w:highlight w:val="none"/>
                <w:lang w:val="en-US" w:eastAsia="zh-CN"/>
              </w:rPr>
              <w:t>具有</w:t>
            </w:r>
            <w:r>
              <w:rPr>
                <w:rFonts w:hint="eastAsia" w:ascii="宋体" w:hAnsi="宋体" w:eastAsia="宋体"/>
                <w:bCs/>
                <w:kern w:val="2"/>
                <w:sz w:val="22"/>
                <w:highlight w:val="none"/>
              </w:rPr>
              <w:t>环境环境监测协会颁发的空气质量监测系统运维上岗证</w:t>
            </w:r>
            <w:r>
              <w:rPr>
                <w:rFonts w:hint="eastAsia" w:ascii="宋体" w:hAnsi="宋体" w:eastAsia="宋体"/>
                <w:bCs/>
                <w:kern w:val="2"/>
                <w:sz w:val="22"/>
                <w:highlight w:val="none"/>
                <w:lang w:eastAsia="zh-CN"/>
              </w:rPr>
              <w:t>，</w:t>
            </w:r>
            <w:r>
              <w:rPr>
                <w:rFonts w:hint="eastAsia" w:ascii="宋体" w:hAnsi="宋体"/>
                <w:sz w:val="22"/>
                <w:szCs w:val="22"/>
                <w:highlight w:val="none"/>
              </w:rPr>
              <w:t>每</w:t>
            </w:r>
            <w:r>
              <w:rPr>
                <w:rFonts w:hint="eastAsia" w:ascii="宋体" w:hAnsi="宋体"/>
                <w:sz w:val="22"/>
                <w:szCs w:val="22"/>
                <w:highlight w:val="none"/>
                <w:lang w:val="en-US" w:eastAsia="zh-CN"/>
              </w:rPr>
              <w:t>提供1</w:t>
            </w:r>
            <w:r>
              <w:rPr>
                <w:rFonts w:hint="eastAsia" w:ascii="宋体" w:hAnsi="宋体"/>
                <w:sz w:val="22"/>
                <w:szCs w:val="22"/>
                <w:highlight w:val="none"/>
              </w:rPr>
              <w:t>人得</w:t>
            </w:r>
            <w:r>
              <w:rPr>
                <w:rFonts w:hint="eastAsia" w:ascii="宋体" w:hAnsi="宋体"/>
                <w:sz w:val="22"/>
                <w:szCs w:val="22"/>
                <w:highlight w:val="none"/>
                <w:lang w:val="en-US" w:eastAsia="zh-CN"/>
              </w:rPr>
              <w:t>1</w:t>
            </w:r>
            <w:r>
              <w:rPr>
                <w:rFonts w:hint="eastAsia" w:ascii="宋体" w:hAnsi="宋体"/>
                <w:sz w:val="22"/>
                <w:szCs w:val="22"/>
                <w:highlight w:val="none"/>
              </w:rPr>
              <w:t>分，最高得</w:t>
            </w:r>
            <w:r>
              <w:rPr>
                <w:rFonts w:hint="eastAsia" w:ascii="宋体" w:hAnsi="宋体"/>
                <w:sz w:val="22"/>
                <w:szCs w:val="22"/>
                <w:highlight w:val="none"/>
                <w:lang w:val="en-US" w:eastAsia="zh-CN"/>
              </w:rPr>
              <w:t>2</w:t>
            </w:r>
            <w:r>
              <w:rPr>
                <w:rFonts w:hint="eastAsia" w:ascii="宋体" w:hAnsi="宋体"/>
                <w:sz w:val="22"/>
                <w:szCs w:val="22"/>
                <w:highlight w:val="none"/>
              </w:rPr>
              <w:t>分。</w:t>
            </w:r>
          </w:p>
          <w:p>
            <w:pPr>
              <w:rPr>
                <w:rFonts w:hint="eastAsia" w:ascii="宋体" w:hAnsi="宋体" w:eastAsia="宋体" w:cs="宋体"/>
                <w:sz w:val="22"/>
                <w:szCs w:val="22"/>
                <w:highlight w:val="none"/>
              </w:rPr>
            </w:pPr>
            <w:r>
              <w:rPr>
                <w:rFonts w:hint="eastAsia" w:ascii="宋体" w:hAnsi="宋体" w:eastAsia="宋体" w:cs="宋体"/>
                <w:b/>
                <w:bCs/>
                <w:sz w:val="22"/>
                <w:szCs w:val="22"/>
                <w:highlight w:val="none"/>
              </w:rPr>
              <w:t>注：人员必须为投标单位正式员工，提供人员</w:t>
            </w:r>
            <w:r>
              <w:rPr>
                <w:rFonts w:hint="eastAsia" w:ascii="宋体" w:hAnsi="宋体" w:cs="宋体"/>
                <w:b/>
                <w:bCs/>
                <w:sz w:val="22"/>
                <w:szCs w:val="22"/>
                <w:highlight w:val="none"/>
                <w:lang w:val="en-US" w:eastAsia="zh-CN"/>
              </w:rPr>
              <w:t>近</w:t>
            </w:r>
            <w:r>
              <w:rPr>
                <w:rFonts w:hint="eastAsia" w:ascii="宋体" w:hAnsi="宋体" w:eastAsia="宋体" w:cs="宋体"/>
                <w:b/>
                <w:bCs/>
                <w:sz w:val="22"/>
                <w:szCs w:val="22"/>
                <w:highlight w:val="none"/>
              </w:rPr>
              <w:t>3个月及以上的社保缴纳证明。</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167"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0-2分</w:t>
            </w:r>
          </w:p>
        </w:tc>
        <w:tc>
          <w:tcPr>
            <w:tcW w:w="6384" w:type="dxa"/>
            <w:vAlign w:val="center"/>
          </w:tcPr>
          <w:p>
            <w:pPr>
              <w:rPr>
                <w:rFonts w:hint="eastAsia" w:ascii="宋体" w:hAnsi="宋体" w:eastAsia="宋体"/>
                <w:sz w:val="22"/>
                <w:szCs w:val="22"/>
                <w:highlight w:val="none"/>
                <w:lang w:val="en-US" w:eastAsia="zh-CN"/>
              </w:rPr>
            </w:pPr>
            <w:r>
              <w:rPr>
                <w:rFonts w:hint="eastAsia" w:ascii="宋体" w:hAnsi="宋体" w:eastAsia="宋体"/>
                <w:sz w:val="22"/>
                <w:szCs w:val="22"/>
                <w:highlight w:val="none"/>
                <w:lang w:val="en-US" w:eastAsia="zh-CN"/>
              </w:rPr>
              <w:t>根据投标人针对本项目配备的专用车辆，每提供一辆的得1分，最高得2分。</w:t>
            </w:r>
          </w:p>
          <w:p>
            <w:pPr>
              <w:rPr>
                <w:rFonts w:hint="default"/>
                <w:highlight w:val="none"/>
                <w:lang w:val="en-US"/>
              </w:rPr>
            </w:pPr>
            <w:r>
              <w:rPr>
                <w:rFonts w:hint="eastAsia" w:ascii="宋体" w:hAnsi="宋体" w:eastAsia="宋体"/>
                <w:b/>
                <w:bCs/>
                <w:sz w:val="22"/>
                <w:szCs w:val="22"/>
                <w:highlight w:val="none"/>
                <w:lang w:val="en-US" w:eastAsia="zh-CN"/>
              </w:rPr>
              <w:t>注：自有车辆的提供行驶证，租赁的需提供租赁合同，否则不予得分。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058" w:hRule="atLeast"/>
          <w:jc w:val="center"/>
        </w:trPr>
        <w:tc>
          <w:tcPr>
            <w:tcW w:w="562" w:type="dxa"/>
            <w:vAlign w:val="center"/>
          </w:tcPr>
          <w:p>
            <w:pPr>
              <w:jc w:val="center"/>
              <w:rPr>
                <w:rFonts w:hint="eastAsia"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5</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建设方案</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根据投标人提供的建设方案的合理、完整、可行性，是否能够满足本项目招标文件的需求和采购人的实际应用需要，由评委综合评分，</w:t>
            </w:r>
            <w:r>
              <w:rPr>
                <w:rFonts w:hint="eastAsia" w:ascii="宋体" w:hAnsi="宋体" w:cs="宋体"/>
                <w:sz w:val="22"/>
                <w:szCs w:val="22"/>
                <w:highlight w:val="none"/>
                <w:lang w:eastAsia="zh-CN"/>
              </w:rPr>
              <w:t>其中A档</w:t>
            </w:r>
            <w:r>
              <w:rPr>
                <w:rFonts w:hint="eastAsia" w:ascii="宋体" w:hAnsi="宋体" w:cs="宋体"/>
                <w:sz w:val="22"/>
                <w:szCs w:val="22"/>
                <w:highlight w:val="none"/>
                <w:lang w:val="en-US" w:eastAsia="zh-CN"/>
              </w:rPr>
              <w:t>5</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4</w:t>
            </w:r>
            <w:r>
              <w:rPr>
                <w:rFonts w:hint="eastAsia" w:ascii="宋体" w:hAnsi="宋体" w:cs="宋体"/>
                <w:sz w:val="22"/>
                <w:szCs w:val="22"/>
                <w:highlight w:val="none"/>
                <w:lang w:eastAsia="zh-CN"/>
              </w:rPr>
              <w:t>.1分，B档</w:t>
            </w:r>
            <w:r>
              <w:rPr>
                <w:rFonts w:hint="eastAsia" w:ascii="宋体" w:hAnsi="宋体" w:cs="宋体"/>
                <w:sz w:val="22"/>
                <w:szCs w:val="22"/>
                <w:highlight w:val="none"/>
                <w:lang w:val="en-US" w:eastAsia="zh-CN"/>
              </w:rPr>
              <w:t>4</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2</w:t>
            </w:r>
            <w:r>
              <w:rPr>
                <w:rFonts w:hint="eastAsia" w:ascii="宋体" w:hAnsi="宋体" w:cs="宋体"/>
                <w:sz w:val="22"/>
                <w:szCs w:val="22"/>
                <w:highlight w:val="none"/>
                <w:lang w:eastAsia="zh-CN"/>
              </w:rPr>
              <w:t>.1分，C档</w:t>
            </w:r>
            <w:r>
              <w:rPr>
                <w:rFonts w:hint="eastAsia" w:ascii="宋体" w:hAnsi="宋体" w:cs="宋体"/>
                <w:sz w:val="22"/>
                <w:szCs w:val="22"/>
                <w:highlight w:val="none"/>
                <w:lang w:val="en-US" w:eastAsia="zh-CN"/>
              </w:rPr>
              <w:t>2</w:t>
            </w:r>
            <w:r>
              <w:rPr>
                <w:rFonts w:hint="eastAsia" w:ascii="宋体" w:hAnsi="宋体" w:cs="宋体"/>
                <w:sz w:val="22"/>
                <w:szCs w:val="22"/>
                <w:highlight w:val="none"/>
                <w:lang w:eastAsia="zh-CN"/>
              </w:rPr>
              <w:t>-0分。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restart"/>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6</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实施组织计划</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根据投标人提出的项目实施计划、</w:t>
            </w:r>
            <w:r>
              <w:rPr>
                <w:rFonts w:hint="eastAsia" w:ascii="宋体" w:hAnsi="宋体" w:eastAsia="宋体" w:cs="宋体"/>
                <w:sz w:val="22"/>
                <w:szCs w:val="22"/>
                <w:highlight w:val="none"/>
                <w:lang w:eastAsia="zh-CN"/>
              </w:rPr>
              <w:t>施工进度保证措施、</w:t>
            </w:r>
            <w:r>
              <w:rPr>
                <w:rFonts w:hint="eastAsia" w:ascii="宋体" w:hAnsi="宋体" w:eastAsia="宋体" w:cs="宋体"/>
                <w:sz w:val="22"/>
                <w:szCs w:val="22"/>
                <w:highlight w:val="none"/>
              </w:rPr>
              <w:t>安全保证措施、质量保证措施和环境保证措施等，由评委综合打分，</w:t>
            </w:r>
            <w:r>
              <w:rPr>
                <w:rFonts w:hint="eastAsia" w:ascii="宋体" w:hAnsi="宋体" w:cs="宋体"/>
                <w:sz w:val="22"/>
                <w:szCs w:val="22"/>
                <w:highlight w:val="none"/>
                <w:lang w:eastAsia="zh-CN"/>
              </w:rPr>
              <w:t>其中A档</w:t>
            </w:r>
            <w:r>
              <w:rPr>
                <w:rFonts w:hint="eastAsia" w:ascii="宋体" w:hAnsi="宋体" w:cs="宋体"/>
                <w:sz w:val="22"/>
                <w:szCs w:val="22"/>
                <w:highlight w:val="none"/>
                <w:lang w:val="en-US" w:eastAsia="zh-CN"/>
              </w:rPr>
              <w:t>5</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.1分，B档</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4</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根据投标人提供项目施工、安装和调试、测试、调优、验收方案是否具体、详细、可行，有利于项目实施的情况，由评委综合打分，</w:t>
            </w:r>
            <w:r>
              <w:rPr>
                <w:rFonts w:hint="eastAsia" w:ascii="宋体" w:hAnsi="宋体" w:cs="宋体"/>
                <w:sz w:val="22"/>
                <w:szCs w:val="22"/>
                <w:highlight w:val="none"/>
                <w:lang w:eastAsia="zh-CN"/>
              </w:rPr>
              <w:t>其中A档</w:t>
            </w:r>
            <w:r>
              <w:rPr>
                <w:rFonts w:hint="eastAsia" w:ascii="宋体" w:hAnsi="宋体" w:cs="宋体"/>
                <w:sz w:val="22"/>
                <w:szCs w:val="22"/>
                <w:highlight w:val="none"/>
                <w:lang w:val="en-US" w:eastAsia="zh-CN"/>
              </w:rPr>
              <w:t>4</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.1分，B档</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restart"/>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7</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售后及维修服务能力</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4</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投标人对本项目设置维修队伍的配备等情况合理性以及对本项目售后服务承诺的范围和完善程度(包括服务网点，</w:t>
            </w:r>
            <w:r>
              <w:rPr>
                <w:rFonts w:hint="eastAsia" w:ascii="宋体" w:hAnsi="宋体" w:cs="宋体"/>
                <w:sz w:val="22"/>
                <w:szCs w:val="22"/>
                <w:highlight w:val="none"/>
                <w:lang w:val="en-US" w:eastAsia="zh-CN"/>
              </w:rPr>
              <w:t>保修年限，</w:t>
            </w:r>
            <w:r>
              <w:rPr>
                <w:rFonts w:hint="eastAsia" w:ascii="宋体" w:hAnsi="宋体" w:eastAsia="宋体" w:cs="宋体"/>
                <w:sz w:val="22"/>
                <w:szCs w:val="22"/>
                <w:highlight w:val="none"/>
              </w:rPr>
              <w:t>保修部件范围，保修、服务标准，</w:t>
            </w:r>
            <w:r>
              <w:rPr>
                <w:rFonts w:hint="eastAsia" w:ascii="宋体" w:hAnsi="宋体"/>
                <w:sz w:val="22"/>
                <w:szCs w:val="22"/>
                <w:highlight w:val="none"/>
              </w:rPr>
              <w:t>培训计划</w:t>
            </w:r>
            <w:r>
              <w:rPr>
                <w:rFonts w:hint="eastAsia" w:ascii="宋体" w:hAnsi="宋体"/>
                <w:sz w:val="22"/>
                <w:szCs w:val="22"/>
                <w:highlight w:val="none"/>
                <w:lang w:eastAsia="zh-CN"/>
              </w:rPr>
              <w:t>，</w:t>
            </w:r>
            <w:r>
              <w:rPr>
                <w:rFonts w:hint="eastAsia" w:ascii="宋体" w:hAnsi="宋体" w:eastAsia="宋体" w:cs="宋体"/>
                <w:sz w:val="22"/>
                <w:szCs w:val="22"/>
                <w:highlight w:val="none"/>
              </w:rPr>
              <w:t>故障响应修复时间方式及保障措施等)，由评委综合打分，</w:t>
            </w:r>
            <w:r>
              <w:rPr>
                <w:rFonts w:hint="eastAsia" w:ascii="宋体" w:hAnsi="宋体" w:cs="宋体"/>
                <w:sz w:val="22"/>
                <w:szCs w:val="22"/>
                <w:highlight w:val="none"/>
                <w:lang w:eastAsia="zh-CN"/>
              </w:rPr>
              <w:t>其中A档</w:t>
            </w:r>
            <w:r>
              <w:rPr>
                <w:rFonts w:hint="eastAsia" w:ascii="宋体" w:hAnsi="宋体" w:cs="宋体"/>
                <w:sz w:val="22"/>
                <w:szCs w:val="22"/>
                <w:highlight w:val="none"/>
                <w:lang w:val="en-US" w:eastAsia="zh-CN"/>
              </w:rPr>
              <w:t>4</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.1分，B档</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0-3分</w:t>
            </w:r>
          </w:p>
        </w:tc>
        <w:tc>
          <w:tcPr>
            <w:tcW w:w="6384" w:type="dxa"/>
            <w:vAlign w:val="center"/>
          </w:tcPr>
          <w:p>
            <w:pPr>
              <w:rPr>
                <w:rFonts w:hint="eastAsia" w:ascii="宋体" w:hAnsi="宋体" w:eastAsia="宋体" w:cs="宋体"/>
                <w:sz w:val="22"/>
                <w:szCs w:val="22"/>
                <w:highlight w:val="none"/>
              </w:rPr>
            </w:pPr>
            <w:r>
              <w:rPr>
                <w:rFonts w:hint="eastAsia" w:hAnsi="宋体" w:eastAsia="宋体" w:cs="黑体"/>
                <w:b w:val="0"/>
                <w:color w:val="auto"/>
                <w:sz w:val="22"/>
                <w:szCs w:val="22"/>
                <w:highlight w:val="none"/>
                <w:lang w:val="en-US" w:eastAsia="zh-CN"/>
              </w:rPr>
              <w:t>根据投标产品（</w:t>
            </w:r>
            <w:r>
              <w:rPr>
                <w:rFonts w:hAnsi="宋体" w:eastAsia="宋体" w:cs="黑体"/>
                <w:b w:val="0"/>
                <w:color w:val="auto"/>
                <w:sz w:val="22"/>
                <w:szCs w:val="22"/>
                <w:highlight w:val="none"/>
                <w:lang w:val="en-US" w:eastAsia="zh-CN"/>
              </w:rPr>
              <w:t>VOC</w:t>
            </w:r>
            <w:r>
              <w:rPr>
                <w:rFonts w:hint="eastAsia" w:hAnsi="宋体" w:eastAsia="宋体" w:cs="黑体"/>
                <w:b w:val="0"/>
                <w:color w:val="auto"/>
                <w:sz w:val="22"/>
                <w:szCs w:val="22"/>
                <w:highlight w:val="none"/>
                <w:lang w:val="en-US" w:eastAsia="zh-CN"/>
              </w:rPr>
              <w:t>s在线监测系统）投标人或制造商设置配气中心的便利性进，</w:t>
            </w:r>
            <w:r>
              <w:rPr>
                <w:rFonts w:hint="eastAsia" w:ascii="宋体" w:hAnsi="宋体" w:eastAsia="宋体" w:cs="宋体"/>
                <w:sz w:val="22"/>
                <w:szCs w:val="22"/>
                <w:highlight w:val="none"/>
              </w:rPr>
              <w:t>由评委综合打分，</w:t>
            </w:r>
            <w:r>
              <w:rPr>
                <w:rFonts w:hint="eastAsia" w:ascii="宋体" w:hAnsi="宋体" w:cs="宋体"/>
                <w:sz w:val="22"/>
                <w:szCs w:val="22"/>
                <w:highlight w:val="none"/>
                <w:lang w:eastAsia="zh-CN"/>
              </w:rPr>
              <w:t>其中A档3-2.1分，B档2-1.1分，C档1-0分。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10503" w:type="dxa"/>
            <w:gridSpan w:val="6"/>
            <w:tcBorders>
              <w:bottom w:val="single" w:color="auto" w:sz="4" w:space="0"/>
            </w:tcBorders>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说明：</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1</w:t>
            </w:r>
            <w:r>
              <w:rPr>
                <w:rFonts w:hint="eastAsia" w:ascii="宋体" w:hAnsi="宋体" w:eastAsia="宋体" w:cs="宋体"/>
                <w:sz w:val="22"/>
                <w:szCs w:val="22"/>
                <w:highlight w:val="none"/>
              </w:rPr>
              <w:t>）商务技术评分标准中，A档一般以提供完善、高质量、超出预期的方案/措施为划分标准，其内容详尽、科学、操作性强且具有高可信度，能够达到甚至超出采购需求；B档一般以提供基本满足招标文件要求的方案/措施为划分标准，其内容较为细致和科学，操作性和可信度一般，能够基本满足采购需求；C档一般以提供简要或不太完善的方案/措施为划分标准，内容细致度、可操作性和科学性较差，可信度较低，无法有效达到采购需求。</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2</w:t>
            </w:r>
            <w:r>
              <w:rPr>
                <w:rFonts w:hint="eastAsia" w:ascii="宋体" w:hAnsi="宋体" w:eastAsia="宋体" w:cs="宋体"/>
                <w:sz w:val="22"/>
                <w:szCs w:val="22"/>
                <w:highlight w:val="none"/>
              </w:rPr>
              <w:t>）商务技术文件未提供评分项目内容的，该项按零分处理，且不受最低分值限制。</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3</w:t>
            </w:r>
            <w:r>
              <w:rPr>
                <w:rFonts w:hint="eastAsia" w:ascii="宋体" w:hAnsi="宋体" w:eastAsia="宋体" w:cs="宋体"/>
                <w:sz w:val="22"/>
                <w:szCs w:val="22"/>
                <w:highlight w:val="none"/>
              </w:rPr>
              <w:t>）商务技术文件中提供的证明材料无法辨认的，按未提供处理。</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4</w:t>
            </w:r>
            <w:r>
              <w:rPr>
                <w:rFonts w:hint="eastAsia" w:ascii="宋体" w:hAnsi="宋体" w:eastAsia="宋体" w:cs="宋体"/>
                <w:sz w:val="22"/>
                <w:szCs w:val="22"/>
                <w:highlight w:val="none"/>
              </w:rPr>
              <w:t>）投标人需根据招标文件的要求进行制作，内容简洁明了，编排合理有序，与采购内容无关或不符合招标文件要求的资料不要编入商务技术文件，建议页码控制在350页以下。</w:t>
            </w:r>
          </w:p>
        </w:tc>
      </w:tr>
    </w:tbl>
    <w:p>
      <w:pPr>
        <w:pStyle w:val="32"/>
        <w:ind w:left="0" w:leftChars="0" w:firstLine="0" w:firstLineChars="0"/>
        <w:rPr>
          <w:rFonts w:hint="eastAsia" w:ascii="宋体" w:hAnsi="宋体"/>
          <w:b/>
          <w:bCs/>
          <w:sz w:val="22"/>
          <w:szCs w:val="22"/>
          <w:highlight w:val="none"/>
          <w:lang w:val="en-US" w:eastAsia="zh-CN"/>
        </w:rPr>
      </w:pPr>
    </w:p>
    <w:p>
      <w:pPr>
        <w:pStyle w:val="32"/>
        <w:ind w:left="0" w:leftChars="0" w:firstLine="0" w:firstLineChars="0"/>
        <w:rPr>
          <w:rFonts w:hint="eastAsia" w:ascii="宋体" w:hAnsi="宋体"/>
          <w:b/>
          <w:bCs/>
          <w:sz w:val="22"/>
          <w:szCs w:val="22"/>
          <w:highlight w:val="none"/>
          <w:lang w:val="en-US" w:eastAsia="zh-CN"/>
        </w:rPr>
      </w:pPr>
      <w:r>
        <w:rPr>
          <w:rFonts w:hint="eastAsia" w:ascii="宋体" w:hAnsi="宋体"/>
          <w:b/>
          <w:bCs/>
          <w:sz w:val="22"/>
          <w:szCs w:val="22"/>
          <w:highlight w:val="none"/>
          <w:lang w:val="en-US" w:eastAsia="zh-CN"/>
        </w:rPr>
        <w:t>标段三</w:t>
      </w:r>
    </w:p>
    <w:tbl>
      <w:tblPr>
        <w:tblStyle w:val="34"/>
        <w:tblW w:w="10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560"/>
        <w:gridCol w:w="992"/>
        <w:gridCol w:w="6384"/>
        <w:gridCol w:w="991"/>
        <w:gridCol w:w="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序号</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评分内容</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分值</w:t>
            </w:r>
          </w:p>
        </w:tc>
        <w:tc>
          <w:tcPr>
            <w:tcW w:w="6384"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评分要点及说明</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投标人综合情况</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投标人</w:t>
            </w:r>
            <w:r>
              <w:rPr>
                <w:rFonts w:hint="eastAsia" w:ascii="宋体" w:hAnsi="宋体" w:eastAsia="宋体" w:cs="宋体"/>
                <w:sz w:val="22"/>
                <w:szCs w:val="22"/>
                <w:highlight w:val="none"/>
              </w:rPr>
              <w:t>具有质量管理体系认证、环境管理体系认证、职业健康安全管理体系认证、</w:t>
            </w:r>
            <w:r>
              <w:rPr>
                <w:rFonts w:hint="eastAsia" w:ascii="宋体" w:hAnsi="宋体" w:eastAsia="宋体" w:cs="宋体"/>
                <w:sz w:val="22"/>
                <w:szCs w:val="22"/>
                <w:highlight w:val="none"/>
                <w:lang w:val="en-US" w:eastAsia="zh-CN"/>
              </w:rPr>
              <w:t>信息安全管理体系认证</w:t>
            </w:r>
            <w:r>
              <w:rPr>
                <w:rFonts w:hint="eastAsia" w:ascii="宋体" w:hAnsi="宋体" w:cs="宋体"/>
                <w:sz w:val="22"/>
                <w:szCs w:val="22"/>
                <w:highlight w:val="none"/>
                <w:lang w:val="en-US" w:eastAsia="zh-CN"/>
              </w:rPr>
              <w:t>、</w:t>
            </w:r>
            <w:r>
              <w:rPr>
                <w:rFonts w:hint="eastAsia" w:ascii="宋体" w:hAnsi="宋体"/>
                <w:color w:val="000000"/>
                <w:sz w:val="22"/>
                <w:szCs w:val="22"/>
                <w:highlight w:val="none"/>
              </w:rPr>
              <w:t>信息技术服务管理体系认证</w:t>
            </w:r>
            <w:r>
              <w:rPr>
                <w:rFonts w:hint="eastAsia" w:ascii="宋体" w:hAnsi="宋体" w:eastAsia="宋体" w:cs="宋体"/>
                <w:sz w:val="22"/>
                <w:szCs w:val="22"/>
                <w:highlight w:val="none"/>
              </w:rPr>
              <w:t>，每提供1个有效证书得</w:t>
            </w:r>
            <w:r>
              <w:rPr>
                <w:rFonts w:hint="eastAsia" w:ascii="宋体" w:hAnsi="宋体" w:eastAsia="宋体" w:cs="宋体"/>
                <w:sz w:val="22"/>
                <w:szCs w:val="22"/>
                <w:highlight w:val="none"/>
                <w:lang w:val="en-US" w:eastAsia="zh-CN"/>
              </w:rPr>
              <w:t>1</w:t>
            </w:r>
            <w:r>
              <w:rPr>
                <w:rFonts w:hint="eastAsia" w:ascii="宋体" w:hAnsi="宋体" w:eastAsia="宋体" w:cs="宋体"/>
                <w:sz w:val="22"/>
                <w:szCs w:val="22"/>
                <w:highlight w:val="none"/>
              </w:rPr>
              <w:t>分，最高得</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rPr>
              <w:t>分。</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注：提供有效期内的证书和国家相关认证认可平台查询系统内查询到相关证书信息的截图证明，否则不予认可。</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0-3分</w:t>
            </w:r>
          </w:p>
        </w:tc>
        <w:tc>
          <w:tcPr>
            <w:tcW w:w="6384" w:type="dxa"/>
            <w:vAlign w:val="center"/>
          </w:tcPr>
          <w:p>
            <w:pPr>
              <w:rPr>
                <w:rFonts w:hint="default"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投标人（或其全资子公司）具有计量认证资质的实验室，检测能力范围需包含五参数、氨氮、总磷、总氮、高锰酸盐指数指标得3分。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32"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0-3分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投标人提供近五年内在全国所有环境监测服务活动中未受到环保主管部门通报批评、行政处罚以及刑事犯罪的承诺书得3分，未提供不得分。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2</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投标人业绩</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0-3分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投标人20</w:t>
            </w:r>
            <w:r>
              <w:rPr>
                <w:rFonts w:hint="eastAsia" w:ascii="宋体" w:hAnsi="宋体" w:eastAsia="宋体" w:cs="宋体"/>
                <w:sz w:val="22"/>
                <w:szCs w:val="22"/>
                <w:highlight w:val="none"/>
                <w:lang w:val="en-US" w:eastAsia="zh-CN"/>
              </w:rPr>
              <w:t>20</w:t>
            </w:r>
            <w:r>
              <w:rPr>
                <w:rFonts w:hint="eastAsia" w:ascii="宋体" w:hAnsi="宋体" w:eastAsia="宋体" w:cs="宋体"/>
                <w:sz w:val="22"/>
                <w:szCs w:val="22"/>
                <w:highlight w:val="none"/>
              </w:rPr>
              <w:t>年1月1日以来</w:t>
            </w:r>
            <w:r>
              <w:rPr>
                <w:rFonts w:hint="eastAsia" w:ascii="宋体" w:hAnsi="宋体" w:eastAsia="宋体" w:cs="宋体"/>
                <w:color w:val="000000"/>
                <w:kern w:val="0"/>
                <w:sz w:val="22"/>
                <w:szCs w:val="22"/>
                <w:highlight w:val="none"/>
                <w:lang w:bidi="ar"/>
              </w:rPr>
              <w:t>类似项目</w:t>
            </w:r>
            <w:r>
              <w:rPr>
                <w:rFonts w:hint="eastAsia" w:ascii="宋体" w:hAnsi="宋体" w:eastAsia="宋体" w:cs="宋体"/>
                <w:color w:val="000000"/>
                <w:kern w:val="0"/>
                <w:sz w:val="22"/>
                <w:szCs w:val="22"/>
                <w:highlight w:val="none"/>
                <w:lang w:val="en-US" w:eastAsia="zh-CN" w:bidi="ar"/>
              </w:rPr>
              <w:t>业绩的</w:t>
            </w:r>
            <w:r>
              <w:rPr>
                <w:rFonts w:hint="eastAsia" w:ascii="宋体" w:hAnsi="宋体" w:eastAsia="宋体" w:cs="宋体"/>
                <w:sz w:val="22"/>
                <w:szCs w:val="22"/>
                <w:highlight w:val="none"/>
              </w:rPr>
              <w:t>，每提供1个有效业绩得1分，最高得3分。</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注：</w:t>
            </w:r>
            <w:r>
              <w:rPr>
                <w:rFonts w:hint="eastAsia" w:ascii="新宋体" w:hAnsi="新宋体" w:eastAsia="新宋体" w:cs="新宋体"/>
                <w:color w:val="auto"/>
                <w:kern w:val="0"/>
                <w:sz w:val="22"/>
                <w:szCs w:val="22"/>
                <w:highlight w:val="none"/>
                <w:lang w:val="en-US" w:eastAsia="zh-CN" w:bidi="ar"/>
              </w:rPr>
              <w:t>提供中标通知书和合同（缺一不可），否则不予得分</w:t>
            </w:r>
            <w:r>
              <w:rPr>
                <w:rFonts w:hint="eastAsia" w:ascii="宋体" w:hAnsi="宋体" w:eastAsia="宋体" w:cs="宋体"/>
                <w:sz w:val="22"/>
                <w:szCs w:val="22"/>
                <w:highlight w:val="none"/>
              </w:rPr>
              <w:t>。</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90" w:hRule="atLeast"/>
          <w:jc w:val="center"/>
        </w:trPr>
        <w:tc>
          <w:tcPr>
            <w:tcW w:w="562" w:type="dxa"/>
            <w:vMerge w:val="restart"/>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3</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投标产品的性能与需求</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15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投标产品的基本功能、技术指标与需求的吻合程度和偏差情况，是否能够满足招标文件要求，由评委根据投标人提供的“采购需求偏离表”进行打分，全部满足要求的得</w:t>
            </w:r>
            <w:r>
              <w:rPr>
                <w:rFonts w:hint="eastAsia" w:ascii="宋体" w:hAnsi="宋体" w:cs="宋体"/>
                <w:sz w:val="22"/>
                <w:szCs w:val="22"/>
                <w:highlight w:val="none"/>
                <w:lang w:val="en-US" w:eastAsia="zh-CN"/>
              </w:rPr>
              <w:t>15</w:t>
            </w:r>
            <w:r>
              <w:rPr>
                <w:rFonts w:hint="eastAsia" w:ascii="宋体" w:hAnsi="宋体" w:eastAsia="宋体" w:cs="宋体"/>
                <w:sz w:val="22"/>
                <w:szCs w:val="22"/>
                <w:highlight w:val="none"/>
              </w:rPr>
              <w:t>分；一般技术参数负偏离每项扣1分，标注“★”的重要条款、功能条款负偏离每项扣2分，扣完为止。</w:t>
            </w:r>
          </w:p>
          <w:p>
            <w:pP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供应商需在“采购需求偏离表”对技术参数逐条响应，若发现造假将按照政府采购法追责。</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90" w:hRule="atLeast"/>
          <w:jc w:val="center"/>
        </w:trPr>
        <w:tc>
          <w:tcPr>
            <w:tcW w:w="562" w:type="dxa"/>
            <w:vMerge w:val="continue"/>
            <w:vAlign w:val="center"/>
          </w:tcPr>
          <w:p>
            <w:pPr>
              <w:jc w:val="center"/>
              <w:rPr>
                <w:rFonts w:hint="eastAsia" w:ascii="宋体" w:hAnsi="宋体" w:eastAsia="宋体" w:cs="宋体"/>
                <w:sz w:val="22"/>
                <w:szCs w:val="22"/>
                <w:highlight w:val="none"/>
                <w:lang w:val="en-US" w:eastAsia="zh-CN"/>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0-4分</w:t>
            </w:r>
          </w:p>
        </w:tc>
        <w:tc>
          <w:tcPr>
            <w:tcW w:w="6384" w:type="dxa"/>
            <w:vAlign w:val="center"/>
          </w:tcPr>
          <w:p>
            <w:pPr>
              <w:jc w:val="left"/>
              <w:rPr>
                <w:rFonts w:ascii="Times New Roman" w:hAnsi="Times New Roman"/>
                <w:szCs w:val="21"/>
                <w:highlight w:val="none"/>
              </w:rPr>
            </w:pPr>
            <w:r>
              <w:rPr>
                <w:rFonts w:hint="eastAsia" w:ascii="Times New Roman" w:hAnsi="Times New Roman"/>
                <w:szCs w:val="21"/>
                <w:highlight w:val="none"/>
              </w:rPr>
              <w:t>高锰酸盐指数、氨氮、总磷、总氮自动分析仪具有以下功能的，每款仪器得</w:t>
            </w:r>
            <w:r>
              <w:rPr>
                <w:rFonts w:ascii="Times New Roman" w:hAnsi="Times New Roman"/>
                <w:szCs w:val="21"/>
                <w:highlight w:val="none"/>
              </w:rPr>
              <w:t>1</w:t>
            </w:r>
            <w:r>
              <w:rPr>
                <w:rFonts w:hint="eastAsia" w:ascii="Times New Roman" w:hAnsi="Times New Roman"/>
                <w:szCs w:val="21"/>
                <w:highlight w:val="none"/>
              </w:rPr>
              <w:t>分（功能缺项不得分），共</w:t>
            </w:r>
            <w:r>
              <w:rPr>
                <w:rFonts w:ascii="Times New Roman" w:hAnsi="Times New Roman"/>
                <w:szCs w:val="21"/>
                <w:highlight w:val="none"/>
              </w:rPr>
              <w:t>4</w:t>
            </w:r>
            <w:r>
              <w:rPr>
                <w:rFonts w:hint="eastAsia" w:ascii="Times New Roman" w:hAnsi="Times New Roman"/>
                <w:szCs w:val="21"/>
                <w:highlight w:val="none"/>
              </w:rPr>
              <w:t>分：</w:t>
            </w:r>
          </w:p>
          <w:p>
            <w:pPr>
              <w:ind w:left="100" w:firstLine="210" w:firstLineChars="100"/>
              <w:jc w:val="left"/>
              <w:rPr>
                <w:rFonts w:ascii="Times New Roman" w:hAnsi="Times New Roman"/>
                <w:szCs w:val="21"/>
                <w:highlight w:val="none"/>
              </w:rPr>
            </w:pPr>
            <w:r>
              <w:rPr>
                <w:rFonts w:hint="eastAsia" w:ascii="Times New Roman" w:hAnsi="Times New Roman"/>
                <w:szCs w:val="21"/>
                <w:highlight w:val="none"/>
              </w:rPr>
              <w:t>1）仪器量程具有智能稀释技术，可根据水样浓度，自动调整稀释比例；</w:t>
            </w:r>
          </w:p>
          <w:p>
            <w:pPr>
              <w:ind w:left="100" w:firstLine="210" w:firstLineChars="100"/>
              <w:jc w:val="left"/>
              <w:rPr>
                <w:rFonts w:ascii="Times New Roman" w:hAnsi="Times New Roman"/>
                <w:szCs w:val="21"/>
                <w:highlight w:val="none"/>
              </w:rPr>
            </w:pPr>
            <w:r>
              <w:rPr>
                <w:rFonts w:hint="eastAsia" w:ascii="Times New Roman" w:hAnsi="Times New Roman"/>
                <w:szCs w:val="21"/>
                <w:highlight w:val="none"/>
              </w:rPr>
              <w:t>2）仪器具有缺试剂及漏夜报警功能。</w:t>
            </w:r>
          </w:p>
          <w:p>
            <w:pPr>
              <w:rPr>
                <w:rFonts w:hint="eastAsia" w:ascii="宋体" w:hAnsi="宋体" w:eastAsia="宋体" w:cs="宋体"/>
                <w:b/>
                <w:bCs/>
                <w:sz w:val="22"/>
                <w:szCs w:val="22"/>
                <w:highlight w:val="none"/>
              </w:rPr>
            </w:pPr>
            <w:r>
              <w:rPr>
                <w:rFonts w:hint="eastAsia" w:ascii="Times New Roman" w:hAnsi="Times New Roman"/>
                <w:szCs w:val="21"/>
                <w:highlight w:val="none"/>
                <w:lang w:val="en-US" w:eastAsia="zh-CN"/>
              </w:rPr>
              <w:t>注：</w:t>
            </w:r>
            <w:r>
              <w:rPr>
                <w:rFonts w:hint="eastAsia" w:ascii="Times New Roman" w:hAnsi="Times New Roman"/>
                <w:szCs w:val="21"/>
                <w:highlight w:val="none"/>
              </w:rPr>
              <w:t>提供计量机构出具的C</w:t>
            </w:r>
            <w:r>
              <w:rPr>
                <w:rFonts w:ascii="Times New Roman" w:hAnsi="Times New Roman"/>
                <w:szCs w:val="21"/>
                <w:highlight w:val="none"/>
              </w:rPr>
              <w:t>MA</w:t>
            </w:r>
            <w:r>
              <w:rPr>
                <w:rFonts w:hint="eastAsia" w:ascii="Times New Roman" w:hAnsi="Times New Roman"/>
                <w:szCs w:val="21"/>
                <w:highlight w:val="none"/>
              </w:rPr>
              <w:t>报告未提供的不得分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90" w:hRule="atLeast"/>
          <w:jc w:val="center"/>
        </w:trPr>
        <w:tc>
          <w:tcPr>
            <w:tcW w:w="562" w:type="dxa"/>
            <w:vMerge w:val="continue"/>
            <w:vAlign w:val="center"/>
          </w:tcPr>
          <w:p>
            <w:pPr>
              <w:jc w:val="center"/>
              <w:rPr>
                <w:rFonts w:hint="eastAsia" w:ascii="宋体" w:hAnsi="宋体" w:eastAsia="宋体" w:cs="宋体"/>
                <w:sz w:val="22"/>
                <w:szCs w:val="22"/>
                <w:highlight w:val="none"/>
                <w:lang w:val="en-US" w:eastAsia="zh-CN"/>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1</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所投设备的制造商符合《环保装备制造行业（环境监测仪器）规范条件》的得1分，否则不得分。</w:t>
            </w:r>
          </w:p>
          <w:p>
            <w:pPr>
              <w:rPr>
                <w:rFonts w:hint="eastAsia" w:ascii="宋体" w:hAnsi="宋体" w:eastAsia="宋体" w:cs="宋体"/>
                <w:b/>
                <w:bCs/>
                <w:sz w:val="22"/>
                <w:szCs w:val="22"/>
                <w:highlight w:val="none"/>
              </w:rPr>
            </w:pPr>
            <w:r>
              <w:rPr>
                <w:rFonts w:hint="eastAsia" w:ascii="宋体" w:hAnsi="宋体" w:eastAsia="宋体" w:cs="宋体"/>
                <w:b/>
                <w:bCs/>
                <w:sz w:val="22"/>
                <w:szCs w:val="22"/>
                <w:highlight w:val="none"/>
                <w:lang w:val="en-US" w:eastAsia="zh-CN"/>
              </w:rPr>
              <w:t>注：提供有效的证明文件</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分</w:t>
            </w:r>
          </w:p>
        </w:tc>
        <w:tc>
          <w:tcPr>
            <w:tcW w:w="6384" w:type="dxa"/>
            <w:vAlign w:val="center"/>
          </w:tcPr>
          <w:p>
            <w:pPr>
              <w:rPr>
                <w:rFonts w:hint="default"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投标人提供的水质五参数分析仪、氨氮自动分析仪、高锰酸盐指数自动分析仪、总氮自动分析仪、总磷自动分析仪为同一品牌得2分。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Align w:val="center"/>
          </w:tcPr>
          <w:p>
            <w:pPr>
              <w:jc w:val="center"/>
              <w:rPr>
                <w:rFonts w:hint="eastAsia" w:ascii="宋体" w:hAnsi="宋体" w:eastAsia="宋体" w:cs="宋体"/>
                <w:sz w:val="22"/>
                <w:szCs w:val="22"/>
                <w:highlight w:val="none"/>
              </w:rPr>
            </w:pPr>
            <w:r>
              <w:rPr>
                <w:rFonts w:hint="eastAsia" w:ascii="宋体" w:hAnsi="宋体" w:cs="宋体"/>
                <w:sz w:val="22"/>
                <w:szCs w:val="22"/>
                <w:highlight w:val="none"/>
                <w:lang w:val="en-US" w:eastAsia="zh-CN"/>
              </w:rPr>
              <w:t>4</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适用性检测</w:t>
            </w:r>
          </w:p>
        </w:tc>
        <w:tc>
          <w:tcPr>
            <w:tcW w:w="992" w:type="dxa"/>
            <w:vAlign w:val="center"/>
          </w:tcPr>
          <w:p>
            <w:pPr>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0-5分</w:t>
            </w:r>
          </w:p>
        </w:tc>
        <w:tc>
          <w:tcPr>
            <w:tcW w:w="6384" w:type="dxa"/>
            <w:vAlign w:val="center"/>
          </w:tcPr>
          <w:p>
            <w:pP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投标人提供的五参数、氨氮、高锰酸盐指数、总氮、总磷自动分析仪均通过环境监测仪器质量监督检验中心的适用性检测，有1个仪器没有检测合格</w:t>
            </w:r>
            <w:r>
              <w:rPr>
                <w:rFonts w:hint="eastAsia" w:ascii="宋体" w:hAnsi="宋体" w:eastAsia="宋体" w:cs="宋体"/>
                <w:sz w:val="22"/>
                <w:szCs w:val="22"/>
                <w:highlight w:val="none"/>
                <w:lang w:val="en-US" w:eastAsia="zh-CN"/>
              </w:rPr>
              <w:t>报告的，得3分；有2个仪器没有检测合格报告的，得1分，2个以上仪器没有检测合格报告的不得分，最高得5分。</w:t>
            </w:r>
          </w:p>
          <w:p>
            <w:pPr>
              <w:rPr>
                <w:rFonts w:hint="eastAsia" w:ascii="宋体" w:hAnsi="宋体" w:eastAsia="宋体" w:cs="宋体"/>
                <w:sz w:val="22"/>
                <w:szCs w:val="22"/>
                <w:highlight w:val="none"/>
                <w:lang w:val="en-US" w:eastAsia="zh-CN"/>
              </w:rPr>
            </w:pPr>
            <w:r>
              <w:rPr>
                <w:rFonts w:hint="eastAsia" w:ascii="宋体" w:hAnsi="宋体" w:eastAsia="宋体" w:cs="宋体"/>
                <w:b/>
                <w:bCs/>
                <w:sz w:val="22"/>
                <w:szCs w:val="22"/>
                <w:highlight w:val="none"/>
                <w:lang w:val="en-US" w:eastAsia="zh-CN"/>
              </w:rPr>
              <w:t>注：提供有效的证明文件</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180" w:hRule="atLeast"/>
          <w:jc w:val="center"/>
        </w:trPr>
        <w:tc>
          <w:tcPr>
            <w:tcW w:w="562" w:type="dxa"/>
            <w:vMerge w:val="restart"/>
            <w:vAlign w:val="center"/>
          </w:tcPr>
          <w:p>
            <w:pPr>
              <w:jc w:val="center"/>
              <w:rPr>
                <w:rFonts w:hint="eastAsia"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5</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拟派项目团队</w:t>
            </w:r>
            <w:r>
              <w:rPr>
                <w:rFonts w:hint="eastAsia" w:ascii="宋体" w:hAnsi="宋体" w:cs="宋体"/>
                <w:sz w:val="22"/>
                <w:szCs w:val="22"/>
                <w:highlight w:val="none"/>
                <w:lang w:val="en-US" w:eastAsia="zh-CN"/>
              </w:rPr>
              <w:t>及车车辆</w:t>
            </w:r>
            <w:r>
              <w:rPr>
                <w:rFonts w:hint="eastAsia" w:ascii="宋体" w:hAnsi="宋体" w:eastAsia="宋体" w:cs="宋体"/>
                <w:sz w:val="22"/>
                <w:szCs w:val="22"/>
                <w:highlight w:val="none"/>
              </w:rPr>
              <w:t>情况</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2</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1、</w:t>
            </w:r>
            <w:r>
              <w:rPr>
                <w:rFonts w:hint="eastAsia" w:ascii="宋体" w:hAnsi="宋体" w:eastAsia="宋体" w:cs="宋体"/>
                <w:sz w:val="22"/>
                <w:szCs w:val="22"/>
                <w:highlight w:val="none"/>
              </w:rPr>
              <w:t>项目负责人具有环保专业高级工程师及以上职称</w:t>
            </w:r>
            <w:r>
              <w:rPr>
                <w:rFonts w:hint="eastAsia" w:ascii="宋体" w:hAnsi="宋体" w:eastAsia="宋体" w:cs="宋体"/>
                <w:sz w:val="22"/>
                <w:szCs w:val="22"/>
                <w:highlight w:val="none"/>
                <w:lang w:eastAsia="zh-CN"/>
              </w:rPr>
              <w:t>、持有注册环保工程师证书</w:t>
            </w:r>
            <w:r>
              <w:rPr>
                <w:rFonts w:hint="eastAsia" w:ascii="宋体" w:hAnsi="宋体" w:eastAsia="宋体" w:cs="宋体"/>
                <w:sz w:val="22"/>
                <w:szCs w:val="22"/>
                <w:highlight w:val="none"/>
                <w:lang w:val="en-US" w:eastAsia="zh-CN"/>
              </w:rPr>
              <w:t>，</w:t>
            </w:r>
            <w:r>
              <w:rPr>
                <w:rFonts w:hint="eastAsia" w:ascii="宋体" w:hAnsi="宋体" w:eastAsia="宋体" w:cs="宋体"/>
                <w:sz w:val="22"/>
                <w:szCs w:val="22"/>
                <w:highlight w:val="none"/>
              </w:rPr>
              <w:t>每提供1个得1分，最高得</w:t>
            </w: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分</w:t>
            </w:r>
            <w:r>
              <w:rPr>
                <w:rFonts w:hint="eastAsia" w:ascii="宋体" w:hAnsi="宋体" w:eastAsia="宋体" w:cs="宋体"/>
                <w:sz w:val="22"/>
                <w:szCs w:val="22"/>
                <w:highlight w:val="none"/>
                <w:lang w:eastAsia="zh-CN"/>
              </w:rPr>
              <w:t>；</w:t>
            </w:r>
          </w:p>
          <w:p>
            <w:pPr>
              <w:rPr>
                <w:rFonts w:hint="eastAsia" w:ascii="宋体" w:hAnsi="宋体" w:eastAsia="宋体" w:cs="宋体"/>
                <w:sz w:val="22"/>
                <w:szCs w:val="22"/>
                <w:highlight w:val="none"/>
              </w:rPr>
            </w:pPr>
            <w:r>
              <w:rPr>
                <w:rFonts w:hint="eastAsia" w:ascii="宋体" w:hAnsi="宋体" w:eastAsia="宋体" w:cs="宋体"/>
                <w:b/>
                <w:bCs/>
                <w:sz w:val="22"/>
                <w:szCs w:val="22"/>
                <w:highlight w:val="none"/>
              </w:rPr>
              <w:t>注：人员必须为投标单位正式员工，提供人员</w:t>
            </w:r>
            <w:r>
              <w:rPr>
                <w:rFonts w:hint="eastAsia" w:ascii="宋体" w:hAnsi="宋体" w:eastAsia="宋体" w:cs="宋体"/>
                <w:b/>
                <w:bCs/>
                <w:sz w:val="22"/>
                <w:szCs w:val="22"/>
                <w:highlight w:val="none"/>
                <w:lang w:val="en-US" w:eastAsia="zh-CN"/>
              </w:rPr>
              <w:t>近</w:t>
            </w:r>
            <w:r>
              <w:rPr>
                <w:rFonts w:hint="eastAsia" w:ascii="宋体" w:hAnsi="宋体" w:eastAsia="宋体" w:cs="宋体"/>
                <w:b/>
                <w:bCs/>
                <w:sz w:val="22"/>
                <w:szCs w:val="22"/>
                <w:highlight w:val="none"/>
              </w:rPr>
              <w:t>3个月及以上的社保缴纳证明。</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207" w:hRule="atLeast"/>
          <w:jc w:val="center"/>
        </w:trPr>
        <w:tc>
          <w:tcPr>
            <w:tcW w:w="562" w:type="dxa"/>
            <w:vMerge w:val="continue"/>
            <w:vAlign w:val="center"/>
          </w:tcPr>
          <w:p>
            <w:pPr>
              <w:jc w:val="center"/>
              <w:rPr>
                <w:rFonts w:hint="eastAsia" w:ascii="宋体" w:hAnsi="宋体" w:cs="宋体"/>
                <w:sz w:val="22"/>
                <w:szCs w:val="22"/>
                <w:highlight w:val="none"/>
                <w:lang w:val="en-US" w:eastAsia="zh-CN"/>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kern w:val="0"/>
                <w:sz w:val="22"/>
                <w:szCs w:val="22"/>
                <w:highlight w:val="none"/>
                <w:lang w:eastAsia="zh-CN"/>
              </w:rPr>
            </w:pPr>
            <w:r>
              <w:rPr>
                <w:rFonts w:hint="eastAsia" w:ascii="宋体" w:hAnsi="宋体"/>
                <w:sz w:val="22"/>
                <w:szCs w:val="22"/>
                <w:highlight w:val="none"/>
              </w:rPr>
              <w:t>项目组</w:t>
            </w:r>
            <w:r>
              <w:rPr>
                <w:rFonts w:hint="eastAsia" w:ascii="宋体" w:hAnsi="宋体"/>
                <w:sz w:val="22"/>
                <w:szCs w:val="22"/>
                <w:highlight w:val="none"/>
                <w:lang w:val="en-US" w:eastAsia="zh-CN"/>
              </w:rPr>
              <w:t>其它</w:t>
            </w:r>
            <w:r>
              <w:rPr>
                <w:rFonts w:hint="eastAsia" w:ascii="宋体" w:hAnsi="宋体"/>
                <w:sz w:val="22"/>
                <w:szCs w:val="22"/>
                <w:highlight w:val="none"/>
              </w:rPr>
              <w:t>人员（项目负责人除外）</w:t>
            </w:r>
            <w:r>
              <w:rPr>
                <w:rFonts w:hint="eastAsia" w:ascii="宋体" w:hAnsi="宋体"/>
                <w:sz w:val="22"/>
                <w:szCs w:val="22"/>
                <w:highlight w:val="none"/>
                <w:lang w:eastAsia="zh-CN"/>
              </w:rPr>
              <w:t>具有</w:t>
            </w:r>
            <w:r>
              <w:rPr>
                <w:rFonts w:hint="eastAsia"/>
                <w:szCs w:val="21"/>
                <w:highlight w:val="none"/>
              </w:rPr>
              <w:t>环保专业工程师及以上职称证书</w:t>
            </w:r>
            <w:r>
              <w:rPr>
                <w:rFonts w:hint="eastAsia"/>
                <w:szCs w:val="21"/>
                <w:highlight w:val="none"/>
                <w:lang w:val="en-US" w:eastAsia="zh-CN"/>
              </w:rPr>
              <w:t>的</w:t>
            </w:r>
            <w:r>
              <w:rPr>
                <w:rFonts w:hint="eastAsia" w:ascii="宋体" w:hAnsi="宋体"/>
                <w:sz w:val="22"/>
                <w:szCs w:val="22"/>
                <w:highlight w:val="none"/>
              </w:rPr>
              <w:t>每</w:t>
            </w:r>
            <w:r>
              <w:rPr>
                <w:rFonts w:hint="eastAsia" w:ascii="宋体" w:hAnsi="宋体"/>
                <w:sz w:val="22"/>
                <w:szCs w:val="22"/>
                <w:highlight w:val="none"/>
                <w:lang w:val="en-US" w:eastAsia="zh-CN"/>
              </w:rPr>
              <w:t>提供1</w:t>
            </w:r>
            <w:r>
              <w:rPr>
                <w:rFonts w:hint="eastAsia" w:ascii="宋体" w:hAnsi="宋体"/>
                <w:sz w:val="22"/>
                <w:szCs w:val="22"/>
                <w:highlight w:val="none"/>
              </w:rPr>
              <w:t>人得</w:t>
            </w:r>
            <w:r>
              <w:rPr>
                <w:rFonts w:hint="eastAsia" w:ascii="宋体" w:hAnsi="宋体"/>
                <w:sz w:val="22"/>
                <w:szCs w:val="22"/>
                <w:highlight w:val="none"/>
                <w:lang w:val="en-US" w:eastAsia="zh-CN"/>
              </w:rPr>
              <w:t>1</w:t>
            </w:r>
            <w:r>
              <w:rPr>
                <w:rFonts w:hint="eastAsia" w:ascii="宋体" w:hAnsi="宋体"/>
                <w:sz w:val="22"/>
                <w:szCs w:val="22"/>
                <w:highlight w:val="none"/>
              </w:rPr>
              <w:t>分，最高得</w:t>
            </w:r>
            <w:r>
              <w:rPr>
                <w:rFonts w:hint="eastAsia" w:ascii="宋体" w:hAnsi="宋体"/>
                <w:sz w:val="22"/>
                <w:szCs w:val="22"/>
                <w:highlight w:val="none"/>
                <w:lang w:val="en-US" w:eastAsia="zh-CN"/>
              </w:rPr>
              <w:t>2</w:t>
            </w:r>
            <w:r>
              <w:rPr>
                <w:rFonts w:hint="eastAsia" w:ascii="宋体" w:hAnsi="宋体"/>
                <w:sz w:val="22"/>
                <w:szCs w:val="22"/>
                <w:highlight w:val="none"/>
              </w:rPr>
              <w:t>分。</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注：以上人员必须为投标单位正式员工，提供人员缴纳3个月及以上的社保证明。</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167" w:hRule="atLeast"/>
          <w:jc w:val="center"/>
        </w:trPr>
        <w:tc>
          <w:tcPr>
            <w:tcW w:w="562" w:type="dxa"/>
            <w:vMerge w:val="continue"/>
            <w:vAlign w:val="center"/>
          </w:tcPr>
          <w:p>
            <w:pPr>
              <w:jc w:val="center"/>
              <w:rPr>
                <w:rFonts w:hint="eastAsia" w:ascii="宋体" w:hAnsi="宋体" w:cs="宋体"/>
                <w:sz w:val="22"/>
                <w:szCs w:val="22"/>
                <w:highlight w:val="none"/>
                <w:lang w:val="en-US" w:eastAsia="zh-CN"/>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sz w:val="22"/>
                <w:szCs w:val="22"/>
                <w:highlight w:val="none"/>
              </w:rPr>
            </w:pPr>
            <w:r>
              <w:rPr>
                <w:rFonts w:hint="eastAsia" w:ascii="宋体" w:hAnsi="宋体" w:eastAsia="宋体"/>
                <w:sz w:val="22"/>
                <w:szCs w:val="22"/>
                <w:highlight w:val="none"/>
              </w:rPr>
              <w:t>0-</w:t>
            </w:r>
            <w:r>
              <w:rPr>
                <w:rFonts w:hint="eastAsia" w:ascii="宋体" w:hAnsi="宋体" w:eastAsia="宋体"/>
                <w:sz w:val="22"/>
                <w:szCs w:val="22"/>
                <w:highlight w:val="none"/>
                <w:lang w:val="en-US" w:eastAsia="zh-CN"/>
              </w:rPr>
              <w:t>2</w:t>
            </w:r>
            <w:r>
              <w:rPr>
                <w:rFonts w:hint="eastAsia" w:ascii="宋体" w:hAnsi="宋体" w:eastAsia="宋体"/>
                <w:sz w:val="22"/>
                <w:szCs w:val="22"/>
                <w:highlight w:val="none"/>
              </w:rPr>
              <w:t>分</w:t>
            </w:r>
          </w:p>
        </w:tc>
        <w:tc>
          <w:tcPr>
            <w:tcW w:w="6384" w:type="dxa"/>
            <w:vAlign w:val="center"/>
          </w:tcPr>
          <w:p>
            <w:pPr>
              <w:rPr>
                <w:rFonts w:hint="eastAsia" w:ascii="宋体" w:hAnsi="宋体" w:eastAsia="宋体"/>
                <w:sz w:val="22"/>
                <w:szCs w:val="22"/>
                <w:highlight w:val="none"/>
                <w:lang w:eastAsia="zh-CN"/>
              </w:rPr>
            </w:pPr>
            <w:r>
              <w:rPr>
                <w:rFonts w:hint="eastAsia" w:ascii="宋体" w:hAnsi="宋体" w:eastAsia="宋体"/>
                <w:sz w:val="22"/>
                <w:szCs w:val="22"/>
                <w:highlight w:val="none"/>
              </w:rPr>
              <w:t>项目组</w:t>
            </w:r>
            <w:r>
              <w:rPr>
                <w:rFonts w:hint="eastAsia" w:ascii="宋体" w:hAnsi="宋体" w:eastAsia="宋体"/>
                <w:sz w:val="22"/>
                <w:szCs w:val="22"/>
                <w:highlight w:val="none"/>
                <w:lang w:val="en-US" w:eastAsia="zh-CN"/>
              </w:rPr>
              <w:t>其它</w:t>
            </w:r>
            <w:r>
              <w:rPr>
                <w:rFonts w:hint="eastAsia" w:ascii="宋体" w:hAnsi="宋体" w:eastAsia="宋体"/>
                <w:sz w:val="22"/>
                <w:szCs w:val="22"/>
                <w:highlight w:val="none"/>
              </w:rPr>
              <w:t>人员（项目负责人除外）具有水质自动监测站运维上岗证的每</w:t>
            </w:r>
            <w:r>
              <w:rPr>
                <w:rFonts w:hint="eastAsia" w:ascii="宋体" w:hAnsi="宋体" w:eastAsia="宋体"/>
                <w:sz w:val="22"/>
                <w:szCs w:val="22"/>
                <w:highlight w:val="none"/>
                <w:lang w:val="en-US" w:eastAsia="zh-CN"/>
              </w:rPr>
              <w:t>提供1</w:t>
            </w:r>
            <w:r>
              <w:rPr>
                <w:rFonts w:hint="eastAsia" w:ascii="宋体" w:hAnsi="宋体" w:eastAsia="宋体"/>
                <w:sz w:val="22"/>
                <w:szCs w:val="22"/>
                <w:highlight w:val="none"/>
              </w:rPr>
              <w:t>人得</w:t>
            </w:r>
            <w:r>
              <w:rPr>
                <w:rFonts w:hint="eastAsia" w:ascii="宋体" w:hAnsi="宋体" w:eastAsia="宋体"/>
                <w:sz w:val="22"/>
                <w:szCs w:val="22"/>
                <w:highlight w:val="none"/>
                <w:lang w:val="en-US" w:eastAsia="zh-CN"/>
              </w:rPr>
              <w:t>1</w:t>
            </w:r>
            <w:r>
              <w:rPr>
                <w:rFonts w:hint="eastAsia" w:ascii="宋体" w:hAnsi="宋体" w:eastAsia="宋体"/>
                <w:sz w:val="22"/>
                <w:szCs w:val="22"/>
                <w:highlight w:val="none"/>
              </w:rPr>
              <w:t>分，最高得</w:t>
            </w:r>
            <w:r>
              <w:rPr>
                <w:rFonts w:hint="eastAsia" w:ascii="宋体" w:hAnsi="宋体" w:eastAsia="宋体"/>
                <w:sz w:val="22"/>
                <w:szCs w:val="22"/>
                <w:highlight w:val="none"/>
                <w:lang w:val="en-US" w:eastAsia="zh-CN"/>
              </w:rPr>
              <w:t>2</w:t>
            </w:r>
            <w:r>
              <w:rPr>
                <w:rFonts w:hint="eastAsia" w:ascii="宋体" w:hAnsi="宋体" w:eastAsia="宋体"/>
                <w:sz w:val="22"/>
                <w:szCs w:val="22"/>
                <w:highlight w:val="none"/>
              </w:rPr>
              <w:t>分</w:t>
            </w:r>
            <w:r>
              <w:rPr>
                <w:rFonts w:hint="eastAsia" w:ascii="宋体" w:hAnsi="宋体" w:eastAsia="宋体"/>
                <w:sz w:val="22"/>
                <w:szCs w:val="22"/>
                <w:highlight w:val="none"/>
                <w:lang w:eastAsia="zh-CN"/>
              </w:rPr>
              <w:t>。</w:t>
            </w:r>
          </w:p>
          <w:p>
            <w:pPr>
              <w:rPr>
                <w:rFonts w:hint="eastAsia" w:ascii="宋体" w:hAnsi="宋体" w:eastAsia="宋体"/>
                <w:sz w:val="22"/>
                <w:szCs w:val="22"/>
                <w:highlight w:val="none"/>
                <w:lang w:eastAsia="zh-CN"/>
              </w:rPr>
            </w:pPr>
            <w:r>
              <w:rPr>
                <w:rFonts w:hint="eastAsia" w:ascii="宋体" w:hAnsi="宋体" w:eastAsia="宋体"/>
                <w:b/>
                <w:bCs/>
                <w:sz w:val="22"/>
                <w:szCs w:val="22"/>
                <w:highlight w:val="none"/>
              </w:rPr>
              <w:t>注：以上人员必须为投标单位正式员工，提供人员缴纳3个月及以上的社保证明。</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058" w:hRule="atLeast"/>
          <w:jc w:val="center"/>
        </w:trPr>
        <w:tc>
          <w:tcPr>
            <w:tcW w:w="562" w:type="dxa"/>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6</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建设方案</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根据投标人提供的建设方案</w:t>
            </w:r>
            <w:r>
              <w:rPr>
                <w:rFonts w:hint="eastAsia" w:ascii="宋体" w:hAnsi="宋体" w:eastAsia="宋体" w:cs="宋体"/>
                <w:sz w:val="22"/>
                <w:szCs w:val="22"/>
                <w:highlight w:val="none"/>
                <w:lang w:eastAsia="zh-CN"/>
              </w:rPr>
              <w:t>，</w:t>
            </w:r>
            <w:r>
              <w:rPr>
                <w:rFonts w:hint="eastAsia"/>
                <w:szCs w:val="21"/>
                <w:highlight w:val="none"/>
              </w:rPr>
              <w:t>包含站房设计方案（含三通一平、通电通网通水、地面平整、系统集成和联网方案</w:t>
            </w:r>
            <w:r>
              <w:rPr>
                <w:rFonts w:hint="eastAsia" w:ascii="宋体" w:hAnsi="宋体" w:eastAsia="宋体" w:cs="宋体"/>
                <w:sz w:val="22"/>
                <w:szCs w:val="22"/>
                <w:highlight w:val="none"/>
              </w:rPr>
              <w:t>的合理、完整、可行性，是否能够满足本项目招标文件的需求和采购人的实际应用需要，由评委综合评分，</w:t>
            </w:r>
            <w:r>
              <w:rPr>
                <w:rFonts w:hint="eastAsia" w:ascii="宋体" w:hAnsi="宋体" w:cs="宋体"/>
                <w:sz w:val="22"/>
                <w:szCs w:val="22"/>
                <w:highlight w:val="none"/>
                <w:lang w:eastAsia="zh-CN"/>
              </w:rPr>
              <w:t>其中A档</w:t>
            </w:r>
            <w:r>
              <w:rPr>
                <w:rFonts w:hint="eastAsia" w:ascii="宋体" w:hAnsi="宋体" w:cs="宋体"/>
                <w:sz w:val="22"/>
                <w:szCs w:val="22"/>
                <w:highlight w:val="none"/>
                <w:lang w:val="en-US" w:eastAsia="zh-CN"/>
              </w:rPr>
              <w:t>5</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.1分，B档</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022" w:hRule="atLeast"/>
          <w:jc w:val="center"/>
        </w:trPr>
        <w:tc>
          <w:tcPr>
            <w:tcW w:w="56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7</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color w:val="auto"/>
                <w:sz w:val="21"/>
                <w:szCs w:val="21"/>
                <w:highlight w:val="none"/>
                <w:lang w:val="en-US" w:eastAsia="zh-CN"/>
              </w:rPr>
              <w:t>运维</w:t>
            </w:r>
            <w:r>
              <w:rPr>
                <w:rFonts w:hint="eastAsia" w:ascii="宋体" w:hAnsi="宋体" w:eastAsia="宋体" w:cs="宋体"/>
                <w:color w:val="auto"/>
                <w:sz w:val="21"/>
                <w:szCs w:val="21"/>
                <w:highlight w:val="none"/>
                <w:lang w:val="zh-CN"/>
              </w:rPr>
              <w:t>方案</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szCs w:val="21"/>
                <w:highlight w:val="none"/>
              </w:rPr>
              <w:t>仪器设备和水质等情况提供水质自动监测站运行维护方案。运维方案对运维目标、运维内容（包括但不限于远程监控，巡检、维护的内容与频次，零部件的清洁与更换，校准等）、质量控制要求、记录表格的填写等</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lang w:val="en-US" w:eastAsia="zh-CN"/>
              </w:rPr>
              <w:t>是否</w:t>
            </w:r>
            <w:r>
              <w:rPr>
                <w:rFonts w:hint="eastAsia" w:ascii="宋体" w:hAnsi="宋体" w:eastAsia="宋体" w:cs="宋体"/>
                <w:sz w:val="22"/>
                <w:szCs w:val="22"/>
                <w:highlight w:val="none"/>
              </w:rPr>
              <w:t>合理、完整、可行性，是否能够满足本项目招标文件的需求和采购人的实际应用需要，由评委综合打分，</w:t>
            </w:r>
            <w:r>
              <w:rPr>
                <w:rFonts w:hint="eastAsia" w:ascii="宋体" w:hAnsi="宋体" w:cs="宋体"/>
                <w:sz w:val="22"/>
                <w:szCs w:val="22"/>
                <w:highlight w:val="none"/>
                <w:lang w:eastAsia="zh-CN"/>
              </w:rPr>
              <w:t>其中A档</w:t>
            </w:r>
            <w:r>
              <w:rPr>
                <w:rFonts w:hint="eastAsia" w:ascii="宋体" w:hAnsi="宋体" w:cs="宋体"/>
                <w:sz w:val="22"/>
                <w:szCs w:val="22"/>
                <w:highlight w:val="none"/>
                <w:lang w:val="en-US" w:eastAsia="zh-CN"/>
              </w:rPr>
              <w:t>5</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.1分，B档</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8</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实施组织计划</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根据投标人提出的项目实施计划、</w:t>
            </w:r>
            <w:r>
              <w:rPr>
                <w:rFonts w:hint="eastAsia" w:ascii="宋体" w:hAnsi="宋体" w:eastAsia="宋体" w:cs="宋体"/>
                <w:sz w:val="22"/>
                <w:szCs w:val="22"/>
                <w:highlight w:val="none"/>
                <w:lang w:eastAsia="zh-CN"/>
              </w:rPr>
              <w:t>施工进度保证措施、</w:t>
            </w:r>
            <w:r>
              <w:rPr>
                <w:rFonts w:hint="eastAsia" w:ascii="宋体" w:hAnsi="宋体" w:eastAsia="宋体" w:cs="宋体"/>
                <w:sz w:val="22"/>
                <w:szCs w:val="22"/>
                <w:highlight w:val="none"/>
              </w:rPr>
              <w:t>安全保证措施、质量保证措施和环境保证措施等，由评委综合打分，</w:t>
            </w:r>
            <w:r>
              <w:rPr>
                <w:rFonts w:hint="eastAsia" w:ascii="宋体" w:hAnsi="宋体" w:cs="宋体"/>
                <w:sz w:val="22"/>
                <w:szCs w:val="22"/>
                <w:highlight w:val="none"/>
                <w:lang w:eastAsia="zh-CN"/>
              </w:rPr>
              <w:t>其中A档</w:t>
            </w:r>
            <w:r>
              <w:rPr>
                <w:rFonts w:hint="eastAsia" w:ascii="宋体" w:hAnsi="宋体" w:cs="宋体"/>
                <w:sz w:val="22"/>
                <w:szCs w:val="22"/>
                <w:highlight w:val="none"/>
                <w:lang w:val="en-US" w:eastAsia="zh-CN"/>
              </w:rPr>
              <w:t>5</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.1分，B档</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3</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根据投标人提供项目施工、安装和调试、测试、调优、验收方案是否具体、详细、可行，有利于项目实施的情况，由评委综合打分，</w:t>
            </w:r>
            <w:r>
              <w:rPr>
                <w:rFonts w:hint="eastAsia" w:ascii="宋体" w:hAnsi="宋体" w:cs="宋体"/>
                <w:sz w:val="22"/>
                <w:szCs w:val="22"/>
                <w:highlight w:val="none"/>
                <w:lang w:eastAsia="zh-CN"/>
              </w:rPr>
              <w:t>其中A档3-2.1分，B档2-1.1分，C档1-0分。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9</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售后及维修服务能力</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投标人对本项目设置维修队伍的配备等情况合理性以及对本项目售后服务承诺的范围和完善程度(包括服务网点，保修部件范围，保修、服务标准，故障响应修复时间方式及保障措施等)，由评委综合打分，</w:t>
            </w:r>
            <w:r>
              <w:rPr>
                <w:rFonts w:hint="eastAsia" w:ascii="宋体" w:hAnsi="宋体" w:cs="宋体"/>
                <w:sz w:val="22"/>
                <w:szCs w:val="22"/>
                <w:highlight w:val="none"/>
                <w:lang w:eastAsia="zh-CN"/>
              </w:rPr>
              <w:t>其中A档</w:t>
            </w:r>
            <w:r>
              <w:rPr>
                <w:rFonts w:hint="eastAsia" w:ascii="宋体" w:hAnsi="宋体" w:cs="宋体"/>
                <w:sz w:val="22"/>
                <w:szCs w:val="22"/>
                <w:highlight w:val="none"/>
                <w:lang w:val="en-US" w:eastAsia="zh-CN"/>
              </w:rPr>
              <w:t>5</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.1分，B档</w:t>
            </w:r>
            <w:r>
              <w:rPr>
                <w:rFonts w:hint="eastAsia" w:ascii="宋体" w:hAnsi="宋体" w:cs="宋体"/>
                <w:sz w:val="22"/>
                <w:szCs w:val="22"/>
                <w:highlight w:val="none"/>
                <w:lang w:val="en-US" w:eastAsia="zh-CN"/>
              </w:rPr>
              <w:t>3</w:t>
            </w:r>
            <w:r>
              <w:rPr>
                <w:rFonts w:hint="eastAsia" w:ascii="宋体" w:hAnsi="宋体" w:cs="宋体"/>
                <w:sz w:val="22"/>
                <w:szCs w:val="22"/>
                <w:highlight w:val="none"/>
                <w:lang w:eastAsia="zh-CN"/>
              </w:rPr>
              <w:t>-1.1分，C档1-0分。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10503" w:type="dxa"/>
            <w:gridSpan w:val="6"/>
            <w:tcBorders>
              <w:bottom w:val="single" w:color="auto" w:sz="4" w:space="0"/>
            </w:tcBorders>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说明：</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1</w:t>
            </w:r>
            <w:r>
              <w:rPr>
                <w:rFonts w:hint="eastAsia" w:ascii="宋体" w:hAnsi="宋体" w:eastAsia="宋体" w:cs="宋体"/>
                <w:sz w:val="22"/>
                <w:szCs w:val="22"/>
                <w:highlight w:val="none"/>
              </w:rPr>
              <w:t>）商务技术评分标准中，A档一般以提供完善、高质量、超出预期的方案/措施为划分标准，其内容详尽、科学、操作性强且具有高可信度，能够达到甚至超出采购需求；B档一般以提供基本满足招标文件要求的方案/措施为划分标准，其内容较为细致和科学，操作性和可信度一般，能够基本满足采购需求；C档一般以提供简要或不太完善的方案/措施为划分标准，内容细致度、可操作性和科学性较差，可信度较低，无法有效达到采购需求。</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2</w:t>
            </w:r>
            <w:r>
              <w:rPr>
                <w:rFonts w:hint="eastAsia" w:ascii="宋体" w:hAnsi="宋体" w:eastAsia="宋体" w:cs="宋体"/>
                <w:sz w:val="22"/>
                <w:szCs w:val="22"/>
                <w:highlight w:val="none"/>
              </w:rPr>
              <w:t>）商务技术文件未提供评分项目内容的，该项按零分处理，且不受最低分值限制。</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3</w:t>
            </w:r>
            <w:r>
              <w:rPr>
                <w:rFonts w:hint="eastAsia" w:ascii="宋体" w:hAnsi="宋体" w:eastAsia="宋体" w:cs="宋体"/>
                <w:sz w:val="22"/>
                <w:szCs w:val="22"/>
                <w:highlight w:val="none"/>
              </w:rPr>
              <w:t>）商务技术文件中提供的证明材料无法辨认的，按未提供处理。</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4</w:t>
            </w:r>
            <w:r>
              <w:rPr>
                <w:rFonts w:hint="eastAsia" w:ascii="宋体" w:hAnsi="宋体" w:eastAsia="宋体" w:cs="宋体"/>
                <w:sz w:val="22"/>
                <w:szCs w:val="22"/>
                <w:highlight w:val="none"/>
              </w:rPr>
              <w:t>）投标人需根据招标文件的要求进行制作，内容简洁明了，编排合理有序，与采购内容无关或不符合招标文件要求的资料不要编入商务技术文件，建议页码控制在350页以下。</w:t>
            </w:r>
          </w:p>
        </w:tc>
      </w:tr>
    </w:tbl>
    <w:p>
      <w:pPr>
        <w:pStyle w:val="32"/>
        <w:ind w:left="0" w:leftChars="0" w:firstLine="0" w:firstLineChars="0"/>
        <w:rPr>
          <w:rFonts w:hint="eastAsia" w:ascii="宋体" w:hAnsi="宋体"/>
          <w:b/>
          <w:bCs/>
          <w:sz w:val="22"/>
          <w:szCs w:val="22"/>
          <w:highlight w:val="none"/>
          <w:lang w:val="en-US" w:eastAsia="zh-CN"/>
        </w:rPr>
      </w:pPr>
    </w:p>
    <w:p>
      <w:pPr>
        <w:pStyle w:val="32"/>
        <w:ind w:left="0" w:leftChars="0" w:firstLine="0" w:firstLineChars="0"/>
        <w:rPr>
          <w:rFonts w:hint="eastAsia" w:ascii="宋体" w:hAnsi="宋体"/>
          <w:b/>
          <w:bCs/>
          <w:sz w:val="22"/>
          <w:szCs w:val="22"/>
          <w:highlight w:val="none"/>
          <w:lang w:val="en-US" w:eastAsia="zh-CN"/>
        </w:rPr>
      </w:pPr>
      <w:r>
        <w:rPr>
          <w:rFonts w:hint="eastAsia" w:ascii="宋体" w:hAnsi="宋体"/>
          <w:b/>
          <w:bCs/>
          <w:sz w:val="22"/>
          <w:szCs w:val="22"/>
          <w:highlight w:val="none"/>
          <w:lang w:val="en-US" w:eastAsia="zh-CN"/>
        </w:rPr>
        <w:t>标段四</w:t>
      </w:r>
    </w:p>
    <w:tbl>
      <w:tblPr>
        <w:tblStyle w:val="34"/>
        <w:tblW w:w="10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560"/>
        <w:gridCol w:w="992"/>
        <w:gridCol w:w="6384"/>
        <w:gridCol w:w="991"/>
        <w:gridCol w:w="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序号</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评分内容</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分值</w:t>
            </w:r>
          </w:p>
        </w:tc>
        <w:tc>
          <w:tcPr>
            <w:tcW w:w="6384"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评分要点及说明</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投标人综合情况</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w:t>
            </w:r>
            <w:r>
              <w:rPr>
                <w:rFonts w:hint="eastAsia" w:ascii="宋体" w:hAnsi="宋体"/>
                <w:sz w:val="22"/>
                <w:szCs w:val="22"/>
                <w:highlight w:val="none"/>
              </w:rPr>
              <w:t>与</w:t>
            </w:r>
            <w:r>
              <w:rPr>
                <w:rFonts w:hint="eastAsia" w:ascii="宋体" w:hAnsi="宋体"/>
                <w:sz w:val="22"/>
                <w:szCs w:val="22"/>
                <w:highlight w:val="none"/>
                <w:lang w:val="en-US" w:eastAsia="zh-CN"/>
              </w:rPr>
              <w:t>本项目</w:t>
            </w:r>
            <w:r>
              <w:rPr>
                <w:rFonts w:hint="eastAsia" w:ascii="宋体" w:hAnsi="宋体"/>
                <w:sz w:val="22"/>
                <w:szCs w:val="22"/>
                <w:highlight w:val="none"/>
              </w:rPr>
              <w:t>履约能力相关的</w:t>
            </w:r>
            <w:r>
              <w:rPr>
                <w:rFonts w:hint="eastAsia" w:ascii="宋体" w:hAnsi="宋体" w:eastAsia="宋体" w:cs="宋体"/>
                <w:sz w:val="22"/>
                <w:szCs w:val="22"/>
                <w:highlight w:val="none"/>
              </w:rPr>
              <w:t>技术力量、荣誉、信誉等情况（涉及企业规模的除外），提供相关证明材料，由评委综合打分，</w:t>
            </w:r>
            <w:r>
              <w:rPr>
                <w:rFonts w:hint="eastAsia" w:ascii="宋体" w:hAnsi="宋体" w:cs="宋体"/>
                <w:sz w:val="22"/>
                <w:szCs w:val="22"/>
                <w:highlight w:val="none"/>
                <w:lang w:eastAsia="zh-CN"/>
              </w:rPr>
              <w:t>其中A档3-2.1分，B档2-1.1分，C档1-0分。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91" w:hRule="atLeast"/>
          <w:jc w:val="center"/>
        </w:trPr>
        <w:tc>
          <w:tcPr>
            <w:tcW w:w="56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2</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投标人业绩</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0-3分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投标人20</w:t>
            </w:r>
            <w:r>
              <w:rPr>
                <w:rFonts w:hint="eastAsia" w:ascii="宋体" w:hAnsi="宋体" w:eastAsia="宋体" w:cs="宋体"/>
                <w:sz w:val="22"/>
                <w:szCs w:val="22"/>
                <w:highlight w:val="none"/>
                <w:lang w:val="en-US" w:eastAsia="zh-CN"/>
              </w:rPr>
              <w:t>20</w:t>
            </w:r>
            <w:r>
              <w:rPr>
                <w:rFonts w:hint="eastAsia" w:ascii="宋体" w:hAnsi="宋体" w:eastAsia="宋体" w:cs="宋体"/>
                <w:sz w:val="22"/>
                <w:szCs w:val="22"/>
                <w:highlight w:val="none"/>
              </w:rPr>
              <w:t>年1月1日以来</w:t>
            </w:r>
            <w:r>
              <w:rPr>
                <w:rFonts w:hint="eastAsia" w:ascii="宋体" w:hAnsi="宋体" w:eastAsia="宋体" w:cs="宋体"/>
                <w:color w:val="000000"/>
                <w:kern w:val="0"/>
                <w:sz w:val="22"/>
                <w:szCs w:val="22"/>
                <w:highlight w:val="none"/>
                <w:lang w:bidi="ar"/>
              </w:rPr>
              <w:t>类似项目</w:t>
            </w:r>
            <w:r>
              <w:rPr>
                <w:rFonts w:hint="eastAsia" w:ascii="宋体" w:hAnsi="宋体" w:eastAsia="宋体" w:cs="宋体"/>
                <w:color w:val="000000"/>
                <w:kern w:val="0"/>
                <w:sz w:val="22"/>
                <w:szCs w:val="22"/>
                <w:highlight w:val="none"/>
                <w:lang w:val="en-US" w:eastAsia="zh-CN" w:bidi="ar"/>
              </w:rPr>
              <w:t>业绩的</w:t>
            </w:r>
            <w:r>
              <w:rPr>
                <w:rFonts w:hint="eastAsia" w:ascii="宋体" w:hAnsi="宋体" w:eastAsia="宋体" w:cs="宋体"/>
                <w:sz w:val="22"/>
                <w:szCs w:val="22"/>
                <w:highlight w:val="none"/>
              </w:rPr>
              <w:t>，每提供1个有效业绩得1分，最高得3分。</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注：</w:t>
            </w:r>
            <w:r>
              <w:rPr>
                <w:rFonts w:hint="eastAsia" w:ascii="宋体" w:hAnsi="宋体" w:eastAsia="宋体" w:cs="宋体"/>
                <w:sz w:val="22"/>
                <w:szCs w:val="22"/>
                <w:highlight w:val="none"/>
                <w:lang w:val="en-US" w:eastAsia="zh-CN"/>
              </w:rPr>
              <w:t>提供</w:t>
            </w:r>
            <w:r>
              <w:rPr>
                <w:rFonts w:hint="eastAsia" w:ascii="新宋体" w:hAnsi="新宋体" w:eastAsia="新宋体" w:cs="新宋体"/>
                <w:color w:val="auto"/>
                <w:kern w:val="0"/>
                <w:sz w:val="22"/>
                <w:szCs w:val="22"/>
                <w:highlight w:val="none"/>
                <w:lang w:val="en-US" w:eastAsia="zh-CN" w:bidi="ar"/>
              </w:rPr>
              <w:t>合同，否则不予得分</w:t>
            </w:r>
            <w:r>
              <w:rPr>
                <w:rFonts w:hint="eastAsia" w:ascii="宋体" w:hAnsi="宋体" w:eastAsia="宋体" w:cs="宋体"/>
                <w:sz w:val="22"/>
                <w:szCs w:val="22"/>
                <w:highlight w:val="none"/>
              </w:rPr>
              <w:t>。</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90" w:hRule="atLeast"/>
          <w:jc w:val="center"/>
        </w:trPr>
        <w:tc>
          <w:tcPr>
            <w:tcW w:w="562" w:type="dxa"/>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3</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投标产品的性能与需求</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15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投标产品的基本功能、技术指标与需求的吻合程度和偏差情况，是否能够满足招标文件要求，由评委根据投标人提供的“采购需求偏离表”进行打分，全部满足要求的得</w:t>
            </w:r>
            <w:r>
              <w:rPr>
                <w:rFonts w:hint="eastAsia" w:ascii="宋体" w:hAnsi="宋体" w:cs="宋体"/>
                <w:sz w:val="22"/>
                <w:szCs w:val="22"/>
                <w:highlight w:val="none"/>
                <w:lang w:val="en-US" w:eastAsia="zh-CN"/>
              </w:rPr>
              <w:t>15</w:t>
            </w:r>
            <w:r>
              <w:rPr>
                <w:rFonts w:hint="eastAsia" w:ascii="宋体" w:hAnsi="宋体" w:eastAsia="宋体" w:cs="宋体"/>
                <w:sz w:val="22"/>
                <w:szCs w:val="22"/>
                <w:highlight w:val="none"/>
              </w:rPr>
              <w:t>分；一般技术参数负偏离每项扣</w:t>
            </w:r>
            <w:r>
              <w:rPr>
                <w:rFonts w:hint="eastAsia" w:ascii="宋体" w:hAnsi="宋体" w:cs="宋体"/>
                <w:sz w:val="22"/>
                <w:szCs w:val="22"/>
                <w:highlight w:val="none"/>
                <w:lang w:val="en-US" w:eastAsia="zh-CN"/>
              </w:rPr>
              <w:t>0.5</w:t>
            </w:r>
            <w:r>
              <w:rPr>
                <w:rFonts w:hint="eastAsia" w:ascii="宋体" w:hAnsi="宋体" w:eastAsia="宋体" w:cs="宋体"/>
                <w:sz w:val="22"/>
                <w:szCs w:val="22"/>
                <w:highlight w:val="none"/>
              </w:rPr>
              <w:t>分，扣完为止。</w:t>
            </w:r>
          </w:p>
          <w:p>
            <w:pP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供应商需在“采购需求偏离表”对技术参数逐条响应，若发现造假将按照政府采购法追责。</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90" w:hRule="atLeast"/>
          <w:jc w:val="center"/>
        </w:trPr>
        <w:tc>
          <w:tcPr>
            <w:tcW w:w="562" w:type="dxa"/>
            <w:vMerge w:val="restart"/>
            <w:vAlign w:val="center"/>
          </w:tcPr>
          <w:p>
            <w:pPr>
              <w:jc w:val="center"/>
              <w:rPr>
                <w:rFonts w:hint="eastAsia"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4</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cs="宋体"/>
                <w:color w:val="000000"/>
                <w:kern w:val="0"/>
                <w:sz w:val="22"/>
                <w:szCs w:val="22"/>
                <w:highlight w:val="none"/>
              </w:rPr>
              <w:t>项目理解及建议</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楷体"/>
                <w:snapToGrid w:val="0"/>
                <w:color w:val="000000"/>
                <w:sz w:val="22"/>
                <w:szCs w:val="22"/>
                <w:highlight w:val="none"/>
                <w:lang w:val="en-US" w:eastAsia="zh-CN"/>
              </w:rPr>
              <w:t>0-</w:t>
            </w:r>
            <w:r>
              <w:rPr>
                <w:rFonts w:hint="eastAsia" w:ascii="宋体" w:hAnsi="宋体" w:cs="楷体"/>
                <w:snapToGrid w:val="0"/>
                <w:color w:val="000000"/>
                <w:sz w:val="22"/>
                <w:szCs w:val="22"/>
                <w:highlight w:val="none"/>
                <w:lang w:val="en-US" w:eastAsia="zh-CN"/>
              </w:rPr>
              <w:t>5</w:t>
            </w:r>
            <w:r>
              <w:rPr>
                <w:rFonts w:hint="eastAsia" w:ascii="宋体" w:hAnsi="宋体" w:eastAsia="宋体" w:cs="楷体"/>
                <w:snapToGrid w:val="0"/>
                <w:color w:val="000000"/>
                <w:sz w:val="22"/>
                <w:szCs w:val="22"/>
                <w:highlight w:val="none"/>
                <w:lang w:val="en-US" w:eastAsia="zh-CN"/>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楷体"/>
                <w:snapToGrid w:val="0"/>
                <w:color w:val="000000"/>
                <w:sz w:val="22"/>
                <w:szCs w:val="22"/>
                <w:highlight w:val="none"/>
                <w:lang w:val="en-US" w:eastAsia="zh-CN"/>
              </w:rPr>
              <w:t>投标人对本项目的</w:t>
            </w:r>
            <w:r>
              <w:rPr>
                <w:rFonts w:hint="eastAsia" w:ascii="宋体" w:hAnsi="宋体" w:eastAsia="宋体" w:cs="楷体"/>
                <w:snapToGrid w:val="0"/>
                <w:color w:val="000000"/>
                <w:sz w:val="22"/>
                <w:szCs w:val="22"/>
                <w:highlight w:val="none"/>
              </w:rPr>
              <w:t>重点、难点</w:t>
            </w:r>
            <w:r>
              <w:rPr>
                <w:rFonts w:hint="eastAsia" w:ascii="宋体" w:hAnsi="宋体" w:eastAsia="宋体" w:cs="楷体"/>
                <w:snapToGrid w:val="0"/>
                <w:color w:val="000000"/>
                <w:sz w:val="22"/>
                <w:szCs w:val="22"/>
                <w:highlight w:val="none"/>
                <w:lang w:val="en-US" w:eastAsia="zh-CN"/>
              </w:rPr>
              <w:t>等情况的理解程度</w:t>
            </w:r>
            <w:r>
              <w:rPr>
                <w:rFonts w:hint="eastAsia" w:ascii="宋体" w:hAnsi="宋体" w:eastAsia="宋体" w:cs="楷体"/>
                <w:snapToGrid w:val="0"/>
                <w:color w:val="000000"/>
                <w:sz w:val="22"/>
                <w:szCs w:val="22"/>
                <w:highlight w:val="none"/>
              </w:rPr>
              <w:t>，由评委进行综合打分，</w:t>
            </w:r>
            <w:r>
              <w:rPr>
                <w:rFonts w:hint="eastAsia" w:ascii="宋体" w:hAnsi="宋体" w:cs="楷体"/>
                <w:snapToGrid w:val="0"/>
                <w:color w:val="000000"/>
                <w:sz w:val="22"/>
                <w:szCs w:val="22"/>
                <w:highlight w:val="none"/>
              </w:rPr>
              <w:t>其中A档</w:t>
            </w:r>
            <w:r>
              <w:rPr>
                <w:rFonts w:hint="eastAsia" w:ascii="宋体" w:hAnsi="宋体" w:cs="楷体"/>
                <w:snapToGrid w:val="0"/>
                <w:color w:val="000000"/>
                <w:sz w:val="22"/>
                <w:szCs w:val="22"/>
                <w:highlight w:val="none"/>
                <w:lang w:val="en-US" w:eastAsia="zh-CN"/>
              </w:rPr>
              <w:t>5</w:t>
            </w:r>
            <w:r>
              <w:rPr>
                <w:rFonts w:hint="eastAsia" w:ascii="宋体" w:hAnsi="宋体" w:cs="楷体"/>
                <w:snapToGrid w:val="0"/>
                <w:color w:val="000000"/>
                <w:sz w:val="22"/>
                <w:szCs w:val="22"/>
                <w:highlight w:val="none"/>
              </w:rPr>
              <w:t>-</w:t>
            </w:r>
            <w:r>
              <w:rPr>
                <w:rFonts w:hint="eastAsia" w:ascii="宋体" w:hAnsi="宋体" w:cs="楷体"/>
                <w:snapToGrid w:val="0"/>
                <w:color w:val="000000"/>
                <w:sz w:val="22"/>
                <w:szCs w:val="22"/>
                <w:highlight w:val="none"/>
                <w:lang w:val="en-US" w:eastAsia="zh-CN"/>
              </w:rPr>
              <w:t>3</w:t>
            </w:r>
            <w:r>
              <w:rPr>
                <w:rFonts w:hint="eastAsia" w:ascii="宋体" w:hAnsi="宋体" w:cs="楷体"/>
                <w:snapToGrid w:val="0"/>
                <w:color w:val="000000"/>
                <w:sz w:val="22"/>
                <w:szCs w:val="22"/>
                <w:highlight w:val="none"/>
              </w:rPr>
              <w:t>.1分，B档</w:t>
            </w:r>
            <w:r>
              <w:rPr>
                <w:rFonts w:hint="eastAsia" w:ascii="宋体" w:hAnsi="宋体" w:cs="楷体"/>
                <w:snapToGrid w:val="0"/>
                <w:color w:val="000000"/>
                <w:sz w:val="22"/>
                <w:szCs w:val="22"/>
                <w:highlight w:val="none"/>
                <w:lang w:val="en-US" w:eastAsia="zh-CN"/>
              </w:rPr>
              <w:t>3</w:t>
            </w:r>
            <w:r>
              <w:rPr>
                <w:rFonts w:hint="eastAsia" w:ascii="宋体" w:hAnsi="宋体" w:cs="楷体"/>
                <w:snapToGrid w:val="0"/>
                <w:color w:val="000000"/>
                <w:sz w:val="22"/>
                <w:szCs w:val="22"/>
                <w:highlight w:val="none"/>
              </w:rPr>
              <w:t>-</w:t>
            </w:r>
            <w:r>
              <w:rPr>
                <w:rFonts w:hint="eastAsia" w:ascii="宋体" w:hAnsi="宋体" w:cs="楷体"/>
                <w:snapToGrid w:val="0"/>
                <w:color w:val="000000"/>
                <w:sz w:val="22"/>
                <w:szCs w:val="22"/>
                <w:highlight w:val="none"/>
                <w:lang w:val="en-US" w:eastAsia="zh-CN"/>
              </w:rPr>
              <w:t>1</w:t>
            </w:r>
            <w:r>
              <w:rPr>
                <w:rFonts w:hint="eastAsia" w:ascii="宋体" w:hAnsi="宋体" w:cs="楷体"/>
                <w:snapToGrid w:val="0"/>
                <w:color w:val="000000"/>
                <w:sz w:val="22"/>
                <w:szCs w:val="22"/>
                <w:highlight w:val="none"/>
              </w:rPr>
              <w:t>.1分，C档</w:t>
            </w:r>
            <w:r>
              <w:rPr>
                <w:rFonts w:hint="eastAsia" w:ascii="宋体" w:hAnsi="宋体" w:cs="楷体"/>
                <w:snapToGrid w:val="0"/>
                <w:color w:val="000000"/>
                <w:sz w:val="22"/>
                <w:szCs w:val="22"/>
                <w:highlight w:val="none"/>
                <w:lang w:val="en-US" w:eastAsia="zh-CN"/>
              </w:rPr>
              <w:t>1</w:t>
            </w:r>
            <w:r>
              <w:rPr>
                <w:rFonts w:hint="eastAsia" w:ascii="宋体" w:hAnsi="宋体" w:cs="楷体"/>
                <w:snapToGrid w:val="0"/>
                <w:color w:val="000000"/>
                <w:sz w:val="22"/>
                <w:szCs w:val="22"/>
                <w:highlight w:val="none"/>
              </w:rPr>
              <w:t>-0分。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193" w:hRule="atLeast"/>
          <w:jc w:val="center"/>
        </w:trPr>
        <w:tc>
          <w:tcPr>
            <w:tcW w:w="562" w:type="dxa"/>
            <w:vMerge w:val="continue"/>
            <w:vAlign w:val="center"/>
          </w:tcPr>
          <w:p>
            <w:pPr>
              <w:jc w:val="center"/>
              <w:rPr>
                <w:rFonts w:hint="eastAsia" w:ascii="宋体" w:hAnsi="宋体" w:cs="宋体"/>
                <w:sz w:val="22"/>
                <w:szCs w:val="22"/>
                <w:highlight w:val="none"/>
                <w:lang w:val="en-US" w:eastAsia="zh-CN"/>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楷体"/>
                <w:snapToGrid w:val="0"/>
                <w:color w:val="000000"/>
                <w:sz w:val="22"/>
                <w:szCs w:val="22"/>
                <w:highlight w:val="none"/>
                <w:lang w:val="en-US" w:eastAsia="zh-CN"/>
              </w:rPr>
              <w:t>0-</w:t>
            </w:r>
            <w:r>
              <w:rPr>
                <w:rFonts w:hint="eastAsia" w:ascii="宋体" w:hAnsi="宋体" w:cs="楷体"/>
                <w:snapToGrid w:val="0"/>
                <w:color w:val="000000"/>
                <w:sz w:val="22"/>
                <w:szCs w:val="22"/>
                <w:highlight w:val="none"/>
                <w:lang w:val="en-US" w:eastAsia="zh-CN"/>
              </w:rPr>
              <w:t>5</w:t>
            </w:r>
            <w:r>
              <w:rPr>
                <w:rFonts w:hint="eastAsia" w:ascii="宋体" w:hAnsi="宋体" w:eastAsia="宋体" w:cs="楷体"/>
                <w:snapToGrid w:val="0"/>
                <w:color w:val="000000"/>
                <w:sz w:val="22"/>
                <w:szCs w:val="22"/>
                <w:highlight w:val="none"/>
                <w:lang w:val="en-US" w:eastAsia="zh-CN"/>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楷体"/>
                <w:snapToGrid w:val="0"/>
                <w:color w:val="000000"/>
                <w:sz w:val="22"/>
                <w:szCs w:val="22"/>
                <w:highlight w:val="none"/>
                <w:lang w:val="en-US" w:eastAsia="zh-CN"/>
              </w:rPr>
              <w:t>投标人</w:t>
            </w:r>
            <w:r>
              <w:rPr>
                <w:rFonts w:hint="eastAsia" w:ascii="宋体" w:hAnsi="宋体" w:eastAsia="宋体" w:cs="楷体"/>
                <w:snapToGrid w:val="0"/>
                <w:color w:val="000000"/>
                <w:sz w:val="22"/>
                <w:szCs w:val="22"/>
                <w:highlight w:val="none"/>
              </w:rPr>
              <w:t>对本项目的合理化建议：条理较清晰较严谨，内容无前后矛盾，有突出重点、难点且作出分析，可行性较高，方案符合需求等，由评委进行综合打分</w:t>
            </w:r>
            <w:r>
              <w:rPr>
                <w:rFonts w:hint="eastAsia" w:ascii="宋体" w:hAnsi="宋体" w:eastAsia="宋体" w:cs="楷体"/>
                <w:snapToGrid w:val="0"/>
                <w:color w:val="000000"/>
                <w:sz w:val="22"/>
                <w:szCs w:val="22"/>
                <w:highlight w:val="none"/>
                <w:lang w:eastAsia="zh-CN"/>
              </w:rPr>
              <w:t>，</w:t>
            </w:r>
            <w:r>
              <w:rPr>
                <w:rFonts w:hint="eastAsia" w:ascii="宋体" w:hAnsi="宋体" w:cs="楷体"/>
                <w:snapToGrid w:val="0"/>
                <w:color w:val="000000"/>
                <w:sz w:val="22"/>
                <w:szCs w:val="22"/>
                <w:highlight w:val="none"/>
              </w:rPr>
              <w:t>其中A档</w:t>
            </w:r>
            <w:r>
              <w:rPr>
                <w:rFonts w:hint="eastAsia" w:ascii="宋体" w:hAnsi="宋体" w:cs="楷体"/>
                <w:snapToGrid w:val="0"/>
                <w:color w:val="000000"/>
                <w:sz w:val="22"/>
                <w:szCs w:val="22"/>
                <w:highlight w:val="none"/>
                <w:lang w:val="en-US" w:eastAsia="zh-CN"/>
              </w:rPr>
              <w:t>5</w:t>
            </w:r>
            <w:r>
              <w:rPr>
                <w:rFonts w:hint="eastAsia" w:ascii="宋体" w:hAnsi="宋体" w:cs="楷体"/>
                <w:snapToGrid w:val="0"/>
                <w:color w:val="000000"/>
                <w:sz w:val="22"/>
                <w:szCs w:val="22"/>
                <w:highlight w:val="none"/>
              </w:rPr>
              <w:t>-</w:t>
            </w:r>
            <w:r>
              <w:rPr>
                <w:rFonts w:hint="eastAsia" w:ascii="宋体" w:hAnsi="宋体" w:cs="楷体"/>
                <w:snapToGrid w:val="0"/>
                <w:color w:val="000000"/>
                <w:sz w:val="22"/>
                <w:szCs w:val="22"/>
                <w:highlight w:val="none"/>
                <w:lang w:val="en-US" w:eastAsia="zh-CN"/>
              </w:rPr>
              <w:t>3</w:t>
            </w:r>
            <w:r>
              <w:rPr>
                <w:rFonts w:hint="eastAsia" w:ascii="宋体" w:hAnsi="宋体" w:cs="楷体"/>
                <w:snapToGrid w:val="0"/>
                <w:color w:val="000000"/>
                <w:sz w:val="22"/>
                <w:szCs w:val="22"/>
                <w:highlight w:val="none"/>
              </w:rPr>
              <w:t>.1分，B档</w:t>
            </w:r>
            <w:r>
              <w:rPr>
                <w:rFonts w:hint="eastAsia" w:ascii="宋体" w:hAnsi="宋体" w:cs="楷体"/>
                <w:snapToGrid w:val="0"/>
                <w:color w:val="000000"/>
                <w:sz w:val="22"/>
                <w:szCs w:val="22"/>
                <w:highlight w:val="none"/>
                <w:lang w:val="en-US" w:eastAsia="zh-CN"/>
              </w:rPr>
              <w:t>3</w:t>
            </w:r>
            <w:r>
              <w:rPr>
                <w:rFonts w:hint="eastAsia" w:ascii="宋体" w:hAnsi="宋体" w:cs="楷体"/>
                <w:snapToGrid w:val="0"/>
                <w:color w:val="000000"/>
                <w:sz w:val="22"/>
                <w:szCs w:val="22"/>
                <w:highlight w:val="none"/>
              </w:rPr>
              <w:t>-</w:t>
            </w:r>
            <w:r>
              <w:rPr>
                <w:rFonts w:hint="eastAsia" w:ascii="宋体" w:hAnsi="宋体" w:cs="楷体"/>
                <w:snapToGrid w:val="0"/>
                <w:color w:val="000000"/>
                <w:sz w:val="22"/>
                <w:szCs w:val="22"/>
                <w:highlight w:val="none"/>
                <w:lang w:val="en-US" w:eastAsia="zh-CN"/>
              </w:rPr>
              <w:t>1</w:t>
            </w:r>
            <w:r>
              <w:rPr>
                <w:rFonts w:hint="eastAsia" w:ascii="宋体" w:hAnsi="宋体" w:cs="楷体"/>
                <w:snapToGrid w:val="0"/>
                <w:color w:val="000000"/>
                <w:sz w:val="22"/>
                <w:szCs w:val="22"/>
                <w:highlight w:val="none"/>
              </w:rPr>
              <w:t>.1分，C档</w:t>
            </w:r>
            <w:r>
              <w:rPr>
                <w:rFonts w:hint="eastAsia" w:ascii="宋体" w:hAnsi="宋体" w:cs="楷体"/>
                <w:snapToGrid w:val="0"/>
                <w:color w:val="000000"/>
                <w:sz w:val="22"/>
                <w:szCs w:val="22"/>
                <w:highlight w:val="none"/>
                <w:lang w:val="en-US" w:eastAsia="zh-CN"/>
              </w:rPr>
              <w:t>1</w:t>
            </w:r>
            <w:r>
              <w:rPr>
                <w:rFonts w:hint="eastAsia" w:ascii="宋体" w:hAnsi="宋体" w:cs="楷体"/>
                <w:snapToGrid w:val="0"/>
                <w:color w:val="000000"/>
                <w:sz w:val="22"/>
                <w:szCs w:val="22"/>
                <w:highlight w:val="none"/>
              </w:rPr>
              <w:t>-0分。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058" w:hRule="atLeast"/>
          <w:jc w:val="center"/>
        </w:trPr>
        <w:tc>
          <w:tcPr>
            <w:tcW w:w="562" w:type="dxa"/>
            <w:vMerge w:val="restart"/>
            <w:vAlign w:val="center"/>
          </w:tcPr>
          <w:p>
            <w:pPr>
              <w:jc w:val="center"/>
              <w:rPr>
                <w:rFonts w:hint="eastAsia"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5</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建设方案</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投标人需针对技术要求并结合</w:t>
            </w:r>
            <w:r>
              <w:rPr>
                <w:rFonts w:hint="eastAsia" w:ascii="宋体" w:hAnsi="宋体" w:eastAsia="宋体" w:cs="宋体"/>
                <w:sz w:val="22"/>
                <w:szCs w:val="22"/>
                <w:highlight w:val="none"/>
                <w:lang w:val="en-US" w:eastAsia="zh-CN"/>
              </w:rPr>
              <w:t>实际</w:t>
            </w:r>
            <w:r>
              <w:rPr>
                <w:rFonts w:hint="eastAsia" w:ascii="宋体" w:hAnsi="宋体" w:eastAsia="宋体" w:cs="宋体"/>
                <w:sz w:val="22"/>
                <w:szCs w:val="22"/>
                <w:highlight w:val="none"/>
              </w:rPr>
              <w:t>需求等情况提供站房设计方案（含三通一平、通电通网通水、地面平整）</w:t>
            </w:r>
            <w:r>
              <w:rPr>
                <w:rFonts w:hint="eastAsia" w:ascii="宋体" w:hAnsi="宋体" w:eastAsia="宋体" w:cs="宋体"/>
                <w:sz w:val="22"/>
                <w:szCs w:val="22"/>
                <w:highlight w:val="none"/>
                <w:lang w:val="en-US" w:eastAsia="zh-CN"/>
              </w:rPr>
              <w:t>等，</w:t>
            </w:r>
            <w:r>
              <w:rPr>
                <w:rFonts w:hint="eastAsia" w:ascii="宋体" w:hAnsi="宋体" w:cs="宋体"/>
                <w:sz w:val="22"/>
                <w:szCs w:val="22"/>
                <w:highlight w:val="none"/>
                <w:lang w:val="en-US" w:eastAsia="zh-CN"/>
              </w:rPr>
              <w:t>是</w:t>
            </w:r>
            <w:r>
              <w:rPr>
                <w:rFonts w:hint="eastAsia" w:ascii="宋体" w:hAnsi="宋体" w:eastAsia="宋体" w:cs="宋体"/>
                <w:sz w:val="22"/>
                <w:szCs w:val="22"/>
                <w:highlight w:val="none"/>
              </w:rPr>
              <w:t>否能够满足本项目招标文件的需求和采购人的实际应用需要，</w:t>
            </w:r>
            <w:r>
              <w:rPr>
                <w:rFonts w:hint="eastAsia" w:ascii="宋体" w:hAnsi="宋体" w:eastAsia="宋体" w:cs="楷体"/>
                <w:snapToGrid w:val="0"/>
                <w:color w:val="000000"/>
                <w:sz w:val="22"/>
                <w:szCs w:val="22"/>
                <w:highlight w:val="none"/>
              </w:rPr>
              <w:t>由评委进行综合打分</w:t>
            </w:r>
            <w:r>
              <w:rPr>
                <w:rFonts w:hint="eastAsia" w:ascii="宋体" w:hAnsi="宋体" w:eastAsia="宋体" w:cs="楷体"/>
                <w:snapToGrid w:val="0"/>
                <w:color w:val="000000"/>
                <w:sz w:val="22"/>
                <w:szCs w:val="22"/>
                <w:highlight w:val="none"/>
                <w:lang w:eastAsia="zh-CN"/>
              </w:rPr>
              <w:t>，</w:t>
            </w:r>
            <w:r>
              <w:rPr>
                <w:rFonts w:hint="eastAsia" w:ascii="宋体" w:hAnsi="宋体" w:cs="楷体"/>
                <w:snapToGrid w:val="0"/>
                <w:color w:val="000000"/>
                <w:sz w:val="22"/>
                <w:szCs w:val="22"/>
                <w:highlight w:val="none"/>
              </w:rPr>
              <w:t>其中A档</w:t>
            </w:r>
            <w:r>
              <w:rPr>
                <w:rFonts w:hint="eastAsia" w:ascii="宋体" w:hAnsi="宋体" w:cs="楷体"/>
                <w:snapToGrid w:val="0"/>
                <w:color w:val="000000"/>
                <w:sz w:val="22"/>
                <w:szCs w:val="22"/>
                <w:highlight w:val="none"/>
                <w:lang w:val="en-US" w:eastAsia="zh-CN"/>
              </w:rPr>
              <w:t>6</w:t>
            </w:r>
            <w:r>
              <w:rPr>
                <w:rFonts w:hint="eastAsia" w:ascii="宋体" w:hAnsi="宋体" w:cs="楷体"/>
                <w:snapToGrid w:val="0"/>
                <w:color w:val="000000"/>
                <w:sz w:val="22"/>
                <w:szCs w:val="22"/>
                <w:highlight w:val="none"/>
              </w:rPr>
              <w:t>-4.1分，B档4-2.1分，C档2-0分。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058" w:hRule="atLeast"/>
          <w:jc w:val="center"/>
        </w:trPr>
        <w:tc>
          <w:tcPr>
            <w:tcW w:w="562" w:type="dxa"/>
            <w:vMerge w:val="continue"/>
            <w:vAlign w:val="center"/>
          </w:tcPr>
          <w:p>
            <w:pPr>
              <w:jc w:val="center"/>
              <w:rPr>
                <w:rFonts w:hint="eastAsia" w:ascii="宋体" w:hAnsi="宋体" w:cs="宋体"/>
                <w:sz w:val="22"/>
                <w:szCs w:val="22"/>
                <w:highlight w:val="none"/>
                <w:lang w:val="en-US" w:eastAsia="zh-CN"/>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根据投标人提供的</w:t>
            </w:r>
            <w:r>
              <w:rPr>
                <w:rFonts w:hint="eastAsia" w:ascii="宋体" w:hAnsi="宋体" w:eastAsia="宋体" w:cs="宋体"/>
                <w:color w:val="000000"/>
                <w:szCs w:val="21"/>
                <w:highlight w:val="none"/>
              </w:rPr>
              <w:t>站房</w:t>
            </w:r>
            <w:r>
              <w:rPr>
                <w:rFonts w:hint="eastAsia" w:ascii="宋体" w:hAnsi="宋体" w:eastAsia="宋体" w:cs="宋体"/>
                <w:sz w:val="22"/>
                <w:szCs w:val="22"/>
                <w:highlight w:val="none"/>
              </w:rPr>
              <w:t>建设方案的合理、完整、可行性，是否能够满足本项目招标文件的需求和采购人的实际应用需要，</w:t>
            </w:r>
            <w:r>
              <w:rPr>
                <w:rFonts w:hint="eastAsia" w:ascii="宋体" w:hAnsi="宋体" w:eastAsia="宋体" w:cs="楷体"/>
                <w:snapToGrid w:val="0"/>
                <w:color w:val="000000"/>
                <w:sz w:val="22"/>
                <w:szCs w:val="22"/>
                <w:highlight w:val="none"/>
              </w:rPr>
              <w:t>由评委进行综合打分</w:t>
            </w:r>
            <w:r>
              <w:rPr>
                <w:rFonts w:hint="eastAsia" w:ascii="宋体" w:hAnsi="宋体" w:eastAsia="宋体" w:cs="楷体"/>
                <w:snapToGrid w:val="0"/>
                <w:color w:val="000000"/>
                <w:sz w:val="22"/>
                <w:szCs w:val="22"/>
                <w:highlight w:val="none"/>
                <w:lang w:eastAsia="zh-CN"/>
              </w:rPr>
              <w:t>，</w:t>
            </w:r>
            <w:r>
              <w:rPr>
                <w:rFonts w:hint="eastAsia" w:ascii="宋体" w:hAnsi="宋体" w:cs="楷体"/>
                <w:snapToGrid w:val="0"/>
                <w:color w:val="000000"/>
                <w:sz w:val="22"/>
                <w:szCs w:val="22"/>
                <w:highlight w:val="none"/>
              </w:rPr>
              <w:t>其中A档</w:t>
            </w:r>
            <w:r>
              <w:rPr>
                <w:rFonts w:hint="eastAsia" w:ascii="宋体" w:hAnsi="宋体" w:cs="楷体"/>
                <w:snapToGrid w:val="0"/>
                <w:color w:val="000000"/>
                <w:sz w:val="22"/>
                <w:szCs w:val="22"/>
                <w:highlight w:val="none"/>
                <w:lang w:val="en-US" w:eastAsia="zh-CN"/>
              </w:rPr>
              <w:t>6</w:t>
            </w:r>
            <w:r>
              <w:rPr>
                <w:rFonts w:hint="eastAsia" w:ascii="宋体" w:hAnsi="宋体" w:cs="楷体"/>
                <w:snapToGrid w:val="0"/>
                <w:color w:val="000000"/>
                <w:sz w:val="22"/>
                <w:szCs w:val="22"/>
                <w:highlight w:val="none"/>
              </w:rPr>
              <w:t>-4.1分，B档4-2.1分，C档2-0分。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058" w:hRule="atLeast"/>
          <w:jc w:val="center"/>
        </w:trPr>
        <w:tc>
          <w:tcPr>
            <w:tcW w:w="562" w:type="dxa"/>
            <w:vMerge w:val="continue"/>
            <w:vAlign w:val="center"/>
          </w:tcPr>
          <w:p>
            <w:pPr>
              <w:jc w:val="center"/>
              <w:rPr>
                <w:rFonts w:hint="eastAsia" w:ascii="宋体" w:hAnsi="宋体" w:cs="宋体"/>
                <w:sz w:val="22"/>
                <w:szCs w:val="22"/>
                <w:highlight w:val="none"/>
                <w:lang w:val="en-US" w:eastAsia="zh-CN"/>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根据投标人提供的站房设计场景图，突出主题，内容条块清晰，布局合理</w:t>
            </w:r>
            <w:r>
              <w:rPr>
                <w:rFonts w:hint="eastAsia" w:ascii="宋体" w:hAnsi="宋体" w:cs="宋体"/>
                <w:sz w:val="22"/>
                <w:szCs w:val="22"/>
                <w:highlight w:val="none"/>
                <w:lang w:eastAsia="zh-CN"/>
              </w:rPr>
              <w:t>，</w:t>
            </w:r>
            <w:r>
              <w:rPr>
                <w:rFonts w:hint="eastAsia" w:ascii="宋体" w:hAnsi="宋体" w:eastAsia="宋体" w:cs="宋体"/>
                <w:sz w:val="22"/>
                <w:szCs w:val="22"/>
                <w:highlight w:val="none"/>
              </w:rPr>
              <w:t>是否能够满足本项目招标文件的需求和采购人的实际应用需要，</w:t>
            </w:r>
            <w:r>
              <w:rPr>
                <w:rFonts w:hint="eastAsia" w:ascii="宋体" w:hAnsi="宋体" w:eastAsia="宋体" w:cs="楷体"/>
                <w:snapToGrid w:val="0"/>
                <w:color w:val="000000"/>
                <w:sz w:val="22"/>
                <w:szCs w:val="22"/>
                <w:highlight w:val="none"/>
              </w:rPr>
              <w:t>由评委进行综合打分</w:t>
            </w:r>
            <w:r>
              <w:rPr>
                <w:rFonts w:hint="eastAsia" w:ascii="宋体" w:hAnsi="宋体" w:eastAsia="宋体" w:cs="楷体"/>
                <w:snapToGrid w:val="0"/>
                <w:color w:val="000000"/>
                <w:sz w:val="22"/>
                <w:szCs w:val="22"/>
                <w:highlight w:val="none"/>
                <w:lang w:eastAsia="zh-CN"/>
              </w:rPr>
              <w:t>，</w:t>
            </w:r>
            <w:r>
              <w:rPr>
                <w:rFonts w:hint="eastAsia" w:ascii="宋体" w:hAnsi="宋体" w:cs="楷体"/>
                <w:snapToGrid w:val="0"/>
                <w:color w:val="000000"/>
                <w:sz w:val="22"/>
                <w:szCs w:val="22"/>
                <w:highlight w:val="none"/>
              </w:rPr>
              <w:t>其中A档</w:t>
            </w:r>
            <w:r>
              <w:rPr>
                <w:rFonts w:hint="eastAsia" w:ascii="宋体" w:hAnsi="宋体" w:cs="楷体"/>
                <w:snapToGrid w:val="0"/>
                <w:color w:val="000000"/>
                <w:sz w:val="22"/>
                <w:szCs w:val="22"/>
                <w:highlight w:val="none"/>
                <w:lang w:val="en-US" w:eastAsia="zh-CN"/>
              </w:rPr>
              <w:t>6</w:t>
            </w:r>
            <w:r>
              <w:rPr>
                <w:rFonts w:hint="eastAsia" w:ascii="宋体" w:hAnsi="宋体" w:cs="楷体"/>
                <w:snapToGrid w:val="0"/>
                <w:color w:val="000000"/>
                <w:sz w:val="22"/>
                <w:szCs w:val="22"/>
                <w:highlight w:val="none"/>
              </w:rPr>
              <w:t>-4.1分，B档4-2.1分，C档2-0分。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restart"/>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6</w:t>
            </w:r>
          </w:p>
        </w:tc>
        <w:tc>
          <w:tcPr>
            <w:tcW w:w="1560" w:type="dxa"/>
            <w:vMerge w:val="restart"/>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实施组织计划</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根据投标人提出的项目实施计划、</w:t>
            </w:r>
            <w:r>
              <w:rPr>
                <w:rFonts w:hint="eastAsia" w:ascii="宋体" w:hAnsi="宋体" w:eastAsia="宋体" w:cs="宋体"/>
                <w:sz w:val="22"/>
                <w:szCs w:val="22"/>
                <w:highlight w:val="none"/>
                <w:lang w:eastAsia="zh-CN"/>
              </w:rPr>
              <w:t>施工进度保证措施、</w:t>
            </w:r>
            <w:r>
              <w:rPr>
                <w:rFonts w:hint="eastAsia" w:ascii="宋体" w:hAnsi="宋体" w:eastAsia="宋体" w:cs="宋体"/>
                <w:sz w:val="22"/>
                <w:szCs w:val="22"/>
                <w:highlight w:val="none"/>
              </w:rPr>
              <w:t>安全保证措施、质量保证措施和环境保证措施等，</w:t>
            </w:r>
            <w:r>
              <w:rPr>
                <w:rFonts w:hint="eastAsia" w:ascii="宋体" w:hAnsi="宋体" w:eastAsia="宋体" w:cs="楷体"/>
                <w:snapToGrid w:val="0"/>
                <w:color w:val="000000"/>
                <w:sz w:val="22"/>
                <w:szCs w:val="22"/>
                <w:highlight w:val="none"/>
              </w:rPr>
              <w:t>由评委进行综合打分</w:t>
            </w:r>
            <w:r>
              <w:rPr>
                <w:rFonts w:hint="eastAsia" w:ascii="宋体" w:hAnsi="宋体" w:eastAsia="宋体" w:cs="楷体"/>
                <w:snapToGrid w:val="0"/>
                <w:color w:val="000000"/>
                <w:sz w:val="22"/>
                <w:szCs w:val="22"/>
                <w:highlight w:val="none"/>
                <w:lang w:eastAsia="zh-CN"/>
              </w:rPr>
              <w:t>，</w:t>
            </w:r>
            <w:r>
              <w:rPr>
                <w:rFonts w:hint="eastAsia" w:ascii="宋体" w:hAnsi="宋体" w:cs="楷体"/>
                <w:snapToGrid w:val="0"/>
                <w:color w:val="000000"/>
                <w:sz w:val="22"/>
                <w:szCs w:val="22"/>
                <w:highlight w:val="none"/>
              </w:rPr>
              <w:t>其中A档</w:t>
            </w:r>
            <w:r>
              <w:rPr>
                <w:rFonts w:hint="eastAsia" w:ascii="宋体" w:hAnsi="宋体" w:cs="楷体"/>
                <w:snapToGrid w:val="0"/>
                <w:color w:val="000000"/>
                <w:sz w:val="22"/>
                <w:szCs w:val="22"/>
                <w:highlight w:val="none"/>
                <w:lang w:val="en-US" w:eastAsia="zh-CN"/>
              </w:rPr>
              <w:t>5</w:t>
            </w:r>
            <w:r>
              <w:rPr>
                <w:rFonts w:hint="eastAsia" w:ascii="宋体" w:hAnsi="宋体" w:cs="楷体"/>
                <w:snapToGrid w:val="0"/>
                <w:color w:val="000000"/>
                <w:sz w:val="22"/>
                <w:szCs w:val="22"/>
                <w:highlight w:val="none"/>
              </w:rPr>
              <w:t>-4.1分，B档4-2.1分，C档2-0分。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Merge w:val="continue"/>
            <w:vAlign w:val="center"/>
          </w:tcPr>
          <w:p>
            <w:pPr>
              <w:jc w:val="center"/>
              <w:rPr>
                <w:rFonts w:hint="eastAsia" w:ascii="宋体" w:hAnsi="宋体" w:eastAsia="宋体" w:cs="宋体"/>
                <w:sz w:val="22"/>
                <w:szCs w:val="22"/>
                <w:highlight w:val="none"/>
              </w:rPr>
            </w:pPr>
          </w:p>
        </w:tc>
        <w:tc>
          <w:tcPr>
            <w:tcW w:w="1560" w:type="dxa"/>
            <w:vMerge w:val="continue"/>
            <w:vAlign w:val="center"/>
          </w:tcPr>
          <w:p>
            <w:pPr>
              <w:jc w:val="center"/>
              <w:rPr>
                <w:rFonts w:hint="eastAsia" w:ascii="宋体" w:hAnsi="宋体" w:eastAsia="宋体" w:cs="宋体"/>
                <w:sz w:val="22"/>
                <w:szCs w:val="22"/>
                <w:highlight w:val="none"/>
              </w:rPr>
            </w:pP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根据投标人提供项目施工、安装和调试、测试、调优、验收方案是否具体、详细、可行，有利于项目实施的情况，由评委综合打分，</w:t>
            </w:r>
            <w:r>
              <w:rPr>
                <w:rFonts w:hint="eastAsia" w:ascii="宋体" w:hAnsi="宋体" w:cs="楷体"/>
                <w:snapToGrid w:val="0"/>
                <w:color w:val="000000"/>
                <w:sz w:val="22"/>
                <w:szCs w:val="22"/>
                <w:highlight w:val="none"/>
              </w:rPr>
              <w:t>其中A档5-4.1分，B档4-2.1分，C档2-0分。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7</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售后及维修服务能力</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投标人对本项目设置维修队伍的配备等情况合理性以及对本项目售后服务承诺的范围和完善程度(包括服务网点，保修部件范围，保修</w:t>
            </w:r>
            <w:r>
              <w:rPr>
                <w:rFonts w:hint="eastAsia" w:ascii="宋体" w:hAnsi="宋体" w:cs="宋体"/>
                <w:sz w:val="22"/>
                <w:szCs w:val="22"/>
                <w:highlight w:val="none"/>
                <w:lang w:eastAsia="zh-CN"/>
              </w:rPr>
              <w:t>，</w:t>
            </w:r>
            <w:r>
              <w:rPr>
                <w:rFonts w:hint="eastAsia" w:ascii="宋体" w:hAnsi="宋体" w:eastAsia="宋体" w:cs="宋体"/>
                <w:sz w:val="22"/>
                <w:szCs w:val="22"/>
                <w:highlight w:val="none"/>
              </w:rPr>
              <w:t>服务标准，</w:t>
            </w:r>
            <w:r>
              <w:rPr>
                <w:rFonts w:hint="eastAsia" w:ascii="宋体" w:hAnsi="宋体" w:cs="宋体"/>
                <w:sz w:val="22"/>
                <w:szCs w:val="22"/>
                <w:highlight w:val="none"/>
                <w:lang w:val="en-US" w:eastAsia="zh-CN"/>
              </w:rPr>
              <w:t>培训计划，</w:t>
            </w:r>
            <w:r>
              <w:rPr>
                <w:rFonts w:hint="eastAsia" w:ascii="宋体" w:hAnsi="宋体" w:eastAsia="宋体" w:cs="宋体"/>
                <w:sz w:val="22"/>
                <w:szCs w:val="22"/>
                <w:highlight w:val="none"/>
              </w:rPr>
              <w:t>故障响应修复时间方式及保障措施等)，由评委综合打分，</w:t>
            </w:r>
            <w:r>
              <w:rPr>
                <w:rFonts w:hint="eastAsia" w:ascii="宋体" w:hAnsi="宋体" w:cs="楷体"/>
                <w:snapToGrid w:val="0"/>
                <w:color w:val="000000"/>
                <w:sz w:val="22"/>
                <w:szCs w:val="22"/>
                <w:highlight w:val="none"/>
              </w:rPr>
              <w:t>其中A档</w:t>
            </w:r>
            <w:r>
              <w:rPr>
                <w:rFonts w:hint="eastAsia" w:ascii="宋体" w:hAnsi="宋体" w:cs="楷体"/>
                <w:snapToGrid w:val="0"/>
                <w:color w:val="000000"/>
                <w:sz w:val="22"/>
                <w:szCs w:val="22"/>
                <w:highlight w:val="none"/>
                <w:lang w:val="en-US" w:eastAsia="zh-CN"/>
              </w:rPr>
              <w:t>6</w:t>
            </w:r>
            <w:r>
              <w:rPr>
                <w:rFonts w:hint="eastAsia" w:ascii="宋体" w:hAnsi="宋体" w:cs="楷体"/>
                <w:snapToGrid w:val="0"/>
                <w:color w:val="000000"/>
                <w:sz w:val="22"/>
                <w:szCs w:val="22"/>
                <w:highlight w:val="none"/>
              </w:rPr>
              <w:t>-4.1分，B档4-2.1分，C档2-0分。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882" w:hRule="atLeast"/>
          <w:jc w:val="center"/>
        </w:trPr>
        <w:tc>
          <w:tcPr>
            <w:tcW w:w="562" w:type="dxa"/>
            <w:vAlign w:val="center"/>
          </w:tcPr>
          <w:p>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8</w:t>
            </w:r>
          </w:p>
        </w:tc>
        <w:tc>
          <w:tcPr>
            <w:tcW w:w="1560" w:type="dxa"/>
            <w:vAlign w:val="center"/>
          </w:tcPr>
          <w:p>
            <w:pPr>
              <w:jc w:val="center"/>
              <w:rPr>
                <w:rFonts w:hint="eastAsia" w:ascii="宋体" w:hAnsi="宋体" w:eastAsia="宋体" w:cs="宋体"/>
                <w:sz w:val="22"/>
                <w:szCs w:val="22"/>
                <w:highlight w:val="none"/>
              </w:rPr>
            </w:pPr>
            <w:r>
              <w:rPr>
                <w:rFonts w:hint="eastAsia" w:ascii="宋体" w:hAnsi="宋体" w:eastAsia="宋体" w:cs="宋体"/>
                <w:kern w:val="0"/>
                <w:szCs w:val="21"/>
                <w:highlight w:val="none"/>
                <w:lang w:bidi="ar"/>
              </w:rPr>
              <w:t>紧急情况措施</w:t>
            </w:r>
          </w:p>
        </w:tc>
        <w:tc>
          <w:tcPr>
            <w:tcW w:w="992"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0-</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rPr>
              <w:t>分</w:t>
            </w:r>
          </w:p>
        </w:tc>
        <w:tc>
          <w:tcPr>
            <w:tcW w:w="6384" w:type="dxa"/>
            <w:vAlign w:val="center"/>
          </w:tcPr>
          <w:p>
            <w:pP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投标人对本项目紧急情况的处理措施、预案以及抵抗风险的措施；成品保护和工程保修工作的管理措施</w:t>
            </w:r>
            <w:r>
              <w:rPr>
                <w:rFonts w:hint="eastAsia" w:ascii="宋体" w:hAnsi="宋体" w:eastAsia="宋体" w:cs="宋体"/>
                <w:sz w:val="22"/>
                <w:szCs w:val="22"/>
                <w:highlight w:val="none"/>
                <w:lang w:val="en-US" w:eastAsia="zh-CN"/>
              </w:rPr>
              <w:t>等，</w:t>
            </w:r>
            <w:r>
              <w:rPr>
                <w:rFonts w:hint="eastAsia" w:ascii="宋体" w:hAnsi="宋体" w:eastAsia="宋体" w:cs="宋体"/>
                <w:sz w:val="22"/>
                <w:szCs w:val="22"/>
                <w:highlight w:val="none"/>
              </w:rPr>
              <w:t>由评委综合打分，</w:t>
            </w:r>
            <w:r>
              <w:rPr>
                <w:rFonts w:hint="eastAsia" w:ascii="宋体" w:hAnsi="宋体" w:cs="楷体"/>
                <w:snapToGrid w:val="0"/>
                <w:color w:val="000000"/>
                <w:sz w:val="22"/>
                <w:szCs w:val="22"/>
                <w:highlight w:val="none"/>
              </w:rPr>
              <w:t>其中A档</w:t>
            </w:r>
            <w:r>
              <w:rPr>
                <w:rFonts w:hint="eastAsia" w:ascii="宋体" w:hAnsi="宋体" w:cs="楷体"/>
                <w:snapToGrid w:val="0"/>
                <w:color w:val="000000"/>
                <w:sz w:val="22"/>
                <w:szCs w:val="22"/>
                <w:highlight w:val="none"/>
                <w:lang w:val="en-US" w:eastAsia="zh-CN"/>
              </w:rPr>
              <w:t>5</w:t>
            </w:r>
            <w:r>
              <w:rPr>
                <w:rFonts w:hint="eastAsia" w:ascii="宋体" w:hAnsi="宋体" w:cs="楷体"/>
                <w:snapToGrid w:val="0"/>
                <w:color w:val="000000"/>
                <w:sz w:val="22"/>
                <w:szCs w:val="22"/>
                <w:highlight w:val="none"/>
              </w:rPr>
              <w:t>-</w:t>
            </w:r>
            <w:r>
              <w:rPr>
                <w:rFonts w:hint="eastAsia" w:ascii="宋体" w:hAnsi="宋体" w:cs="楷体"/>
                <w:snapToGrid w:val="0"/>
                <w:color w:val="000000"/>
                <w:sz w:val="22"/>
                <w:szCs w:val="22"/>
                <w:highlight w:val="none"/>
                <w:lang w:val="en-US" w:eastAsia="zh-CN"/>
              </w:rPr>
              <w:t>3</w:t>
            </w:r>
            <w:r>
              <w:rPr>
                <w:rFonts w:hint="eastAsia" w:ascii="宋体" w:hAnsi="宋体" w:cs="楷体"/>
                <w:snapToGrid w:val="0"/>
                <w:color w:val="000000"/>
                <w:sz w:val="22"/>
                <w:szCs w:val="22"/>
                <w:highlight w:val="none"/>
              </w:rPr>
              <w:t>.1分，B档</w:t>
            </w:r>
            <w:r>
              <w:rPr>
                <w:rFonts w:hint="eastAsia" w:ascii="宋体" w:hAnsi="宋体" w:cs="楷体"/>
                <w:snapToGrid w:val="0"/>
                <w:color w:val="000000"/>
                <w:sz w:val="22"/>
                <w:szCs w:val="22"/>
                <w:highlight w:val="none"/>
                <w:lang w:val="en-US" w:eastAsia="zh-CN"/>
              </w:rPr>
              <w:t>3</w:t>
            </w:r>
            <w:r>
              <w:rPr>
                <w:rFonts w:hint="eastAsia" w:ascii="宋体" w:hAnsi="宋体" w:cs="楷体"/>
                <w:snapToGrid w:val="0"/>
                <w:color w:val="000000"/>
                <w:sz w:val="22"/>
                <w:szCs w:val="22"/>
                <w:highlight w:val="none"/>
              </w:rPr>
              <w:t>-</w:t>
            </w:r>
            <w:r>
              <w:rPr>
                <w:rFonts w:hint="eastAsia" w:ascii="宋体" w:hAnsi="宋体" w:cs="楷体"/>
                <w:snapToGrid w:val="0"/>
                <w:color w:val="000000"/>
                <w:sz w:val="22"/>
                <w:szCs w:val="22"/>
                <w:highlight w:val="none"/>
                <w:lang w:val="en-US" w:eastAsia="zh-CN"/>
              </w:rPr>
              <w:t>1</w:t>
            </w:r>
            <w:r>
              <w:rPr>
                <w:rFonts w:hint="eastAsia" w:ascii="宋体" w:hAnsi="宋体" w:cs="楷体"/>
                <w:snapToGrid w:val="0"/>
                <w:color w:val="000000"/>
                <w:sz w:val="22"/>
                <w:szCs w:val="22"/>
                <w:highlight w:val="none"/>
              </w:rPr>
              <w:t>.1分，C档</w:t>
            </w:r>
            <w:r>
              <w:rPr>
                <w:rFonts w:hint="eastAsia" w:ascii="宋体" w:hAnsi="宋体" w:cs="楷体"/>
                <w:snapToGrid w:val="0"/>
                <w:color w:val="000000"/>
                <w:sz w:val="22"/>
                <w:szCs w:val="22"/>
                <w:highlight w:val="none"/>
                <w:lang w:val="en-US" w:eastAsia="zh-CN"/>
              </w:rPr>
              <w:t>1</w:t>
            </w:r>
            <w:r>
              <w:rPr>
                <w:rFonts w:hint="eastAsia" w:ascii="宋体" w:hAnsi="宋体" w:cs="楷体"/>
                <w:snapToGrid w:val="0"/>
                <w:color w:val="000000"/>
                <w:sz w:val="22"/>
                <w:szCs w:val="22"/>
                <w:highlight w:val="none"/>
              </w:rPr>
              <w:t>-0分。</w:t>
            </w:r>
          </w:p>
        </w:tc>
        <w:tc>
          <w:tcPr>
            <w:tcW w:w="991" w:type="dxa"/>
            <w:vAlign w:val="center"/>
          </w:tcPr>
          <w:p>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主观分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10503" w:type="dxa"/>
            <w:gridSpan w:val="6"/>
            <w:tcBorders>
              <w:bottom w:val="single" w:color="auto" w:sz="4" w:space="0"/>
            </w:tcBorders>
          </w:tcPr>
          <w:p>
            <w:pPr>
              <w:rPr>
                <w:rFonts w:hint="eastAsia" w:ascii="宋体" w:hAnsi="宋体" w:eastAsia="宋体" w:cs="宋体"/>
                <w:sz w:val="22"/>
                <w:szCs w:val="22"/>
                <w:highlight w:val="none"/>
              </w:rPr>
            </w:pPr>
            <w:r>
              <w:rPr>
                <w:rFonts w:hint="eastAsia" w:ascii="宋体" w:hAnsi="宋体" w:eastAsia="宋体" w:cs="宋体"/>
                <w:sz w:val="22"/>
                <w:szCs w:val="22"/>
                <w:highlight w:val="none"/>
              </w:rPr>
              <w:t>说明：</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1</w:t>
            </w:r>
            <w:r>
              <w:rPr>
                <w:rFonts w:hint="eastAsia" w:ascii="宋体" w:hAnsi="宋体" w:eastAsia="宋体" w:cs="宋体"/>
                <w:sz w:val="22"/>
                <w:szCs w:val="22"/>
                <w:highlight w:val="none"/>
              </w:rPr>
              <w:t>）商务技术评分标准中，A档一般以提供完善、高质量、超出预期的方案/措施为划分标准，其内容详尽、科学、操作性强且具有高可信度，能够达到甚至超出采购需求；B档一般以提供基本满足招标文件要求的方案/措施为划分标准，其内容较为细致和科学，操作性和可信度一般，能够基本满足采购需求；C档一般以提供简要或不太完善的方案/措施为划分标准，内容细致度、可操作性和科学性较差，可信度较低，无法有效达到采购需求。</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2</w:t>
            </w:r>
            <w:r>
              <w:rPr>
                <w:rFonts w:hint="eastAsia" w:ascii="宋体" w:hAnsi="宋体" w:eastAsia="宋体" w:cs="宋体"/>
                <w:sz w:val="22"/>
                <w:szCs w:val="22"/>
                <w:highlight w:val="none"/>
              </w:rPr>
              <w:t>）商务技术文件未提供评分项目内容的，该项按零分处理，且不受最低分值限制。</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3</w:t>
            </w:r>
            <w:r>
              <w:rPr>
                <w:rFonts w:hint="eastAsia" w:ascii="宋体" w:hAnsi="宋体" w:eastAsia="宋体" w:cs="宋体"/>
                <w:sz w:val="22"/>
                <w:szCs w:val="22"/>
                <w:highlight w:val="none"/>
              </w:rPr>
              <w:t>）商务技术文件中提供的证明材料无法辨认的，按未提供处理。</w:t>
            </w:r>
          </w:p>
          <w:p>
            <w:pPr>
              <w:rPr>
                <w:rFonts w:hint="eastAsia" w:ascii="宋体" w:hAnsi="宋体" w:eastAsia="宋体" w:cs="宋体"/>
                <w:sz w:val="22"/>
                <w:szCs w:val="22"/>
                <w:highlight w:val="none"/>
              </w:rPr>
            </w:pPr>
            <w:r>
              <w:rPr>
                <w:rFonts w:hint="eastAsia" w:ascii="宋体" w:hAnsi="宋体" w:eastAsia="宋体" w:cs="宋体"/>
                <w:sz w:val="22"/>
                <w:szCs w:val="22"/>
                <w:highlight w:val="none"/>
              </w:rPr>
              <w:t>（</w:t>
            </w:r>
            <w:r>
              <w:rPr>
                <w:rFonts w:hint="eastAsia" w:ascii="宋体" w:hAnsi="宋体" w:cs="宋体"/>
                <w:sz w:val="22"/>
                <w:szCs w:val="22"/>
                <w:highlight w:val="none"/>
                <w:lang w:val="en-US" w:eastAsia="zh-CN"/>
              </w:rPr>
              <w:t>4</w:t>
            </w:r>
            <w:r>
              <w:rPr>
                <w:rFonts w:hint="eastAsia" w:ascii="宋体" w:hAnsi="宋体" w:eastAsia="宋体" w:cs="宋体"/>
                <w:sz w:val="22"/>
                <w:szCs w:val="22"/>
                <w:highlight w:val="none"/>
              </w:rPr>
              <w:t>）投标人需根据招标文件的要求进行制作，内容简洁明了，编排合理有序，与采购内容无关或不符合招标文件要求的资料不要编入商务技术文件，建议页码控制在350页以下。</w:t>
            </w:r>
          </w:p>
        </w:tc>
      </w:tr>
    </w:tbl>
    <w:p>
      <w:pPr>
        <w:pStyle w:val="32"/>
        <w:ind w:left="0" w:leftChars="0" w:firstLine="0" w:firstLineChars="0"/>
        <w:rPr>
          <w:rFonts w:hint="eastAsia" w:ascii="宋体" w:hAnsi="宋体"/>
          <w:b/>
          <w:bCs/>
          <w:sz w:val="22"/>
          <w:szCs w:val="22"/>
          <w:highlight w:val="none"/>
          <w:lang w:val="en-US" w:eastAsia="zh-CN"/>
        </w:rPr>
      </w:pPr>
    </w:p>
    <w:p>
      <w:pPr>
        <w:spacing w:line="360" w:lineRule="auto"/>
        <w:rPr>
          <w:rFonts w:ascii="宋体" w:hAnsi="宋体"/>
          <w:sz w:val="22"/>
          <w:szCs w:val="22"/>
          <w:highlight w:val="none"/>
        </w:rPr>
      </w:pPr>
      <w:r>
        <w:rPr>
          <w:rFonts w:hint="eastAsia" w:ascii="宋体" w:hAnsi="宋体"/>
          <w:sz w:val="22"/>
          <w:szCs w:val="22"/>
          <w:highlight w:val="none"/>
        </w:rPr>
        <w:t>2、</w:t>
      </w:r>
      <w:r>
        <w:rPr>
          <w:rFonts w:hint="eastAsia" w:ascii="宋体" w:hAnsi="宋体"/>
          <w:sz w:val="22"/>
          <w:szCs w:val="22"/>
          <w:highlight w:val="none"/>
          <w:lang w:eastAsia="zh-CN"/>
        </w:rPr>
        <w:t>商务评分</w:t>
      </w:r>
      <w:r>
        <w:rPr>
          <w:rFonts w:hint="eastAsia" w:ascii="宋体" w:hAnsi="宋体"/>
          <w:sz w:val="22"/>
          <w:szCs w:val="22"/>
          <w:highlight w:val="none"/>
        </w:rPr>
        <w:t>（</w:t>
      </w:r>
      <w:r>
        <w:rPr>
          <w:rFonts w:hint="eastAsia" w:ascii="宋体" w:hAnsi="宋体"/>
          <w:sz w:val="22"/>
          <w:szCs w:val="22"/>
          <w:highlight w:val="none"/>
          <w:lang w:val="en-US" w:eastAsia="zh-CN"/>
        </w:rPr>
        <w:t>3</w:t>
      </w:r>
      <w:r>
        <w:rPr>
          <w:rFonts w:hint="eastAsia" w:ascii="宋体" w:hAnsi="宋体"/>
          <w:sz w:val="22"/>
          <w:szCs w:val="22"/>
          <w:highlight w:val="none"/>
        </w:rPr>
        <w:t>0分）：</w:t>
      </w:r>
    </w:p>
    <w:p>
      <w:pPr>
        <w:pStyle w:val="2"/>
        <w:spacing w:after="0" w:line="360" w:lineRule="auto"/>
        <w:ind w:firstLine="440" w:firstLineChars="200"/>
        <w:rPr>
          <w:rFonts w:ascii="宋体" w:hAnsi="宋体" w:eastAsia="宋体"/>
          <w:sz w:val="22"/>
          <w:szCs w:val="22"/>
          <w:highlight w:val="none"/>
        </w:rPr>
      </w:pPr>
      <w:r>
        <w:rPr>
          <w:rFonts w:hint="eastAsia" w:ascii="宋体" w:hAnsi="宋体" w:eastAsia="宋体" w:cs="宋体"/>
          <w:sz w:val="22"/>
          <w:szCs w:val="22"/>
          <w:highlight w:val="none"/>
        </w:rPr>
        <w:t>满足采购文件要求且投标报价最低的投标报价为评标基准价，其余投标供应商投标报价与该基准价对比，计算出商务分得分（四舍五入后保留小数</w:t>
      </w:r>
      <w:r>
        <w:rPr>
          <w:rFonts w:ascii="宋体" w:hAnsi="宋体" w:eastAsia="宋体" w:cs="宋体"/>
          <w:sz w:val="22"/>
          <w:szCs w:val="22"/>
          <w:highlight w:val="none"/>
        </w:rPr>
        <w:t>2</w:t>
      </w:r>
      <w:r>
        <w:rPr>
          <w:rFonts w:hint="eastAsia" w:ascii="宋体" w:hAnsi="宋体" w:eastAsia="宋体" w:cs="宋体"/>
          <w:sz w:val="22"/>
          <w:szCs w:val="22"/>
          <w:highlight w:val="none"/>
        </w:rPr>
        <w:t>位）：</w:t>
      </w:r>
    </w:p>
    <w:p>
      <w:pPr>
        <w:pStyle w:val="2"/>
        <w:spacing w:after="0" w:line="360" w:lineRule="auto"/>
        <w:ind w:firstLine="440" w:firstLineChars="200"/>
        <w:rPr>
          <w:rFonts w:ascii="宋体" w:hAnsi="宋体" w:eastAsia="宋体"/>
          <w:sz w:val="22"/>
          <w:szCs w:val="22"/>
          <w:highlight w:val="none"/>
        </w:rPr>
      </w:pPr>
      <w:r>
        <w:rPr>
          <w:rFonts w:ascii="宋体" w:hAnsi="宋体" w:eastAsia="宋体" w:cs="宋体"/>
          <w:sz w:val="22"/>
          <w:szCs w:val="22"/>
          <w:highlight w:val="none"/>
        </w:rPr>
        <w:t>1</w:t>
      </w:r>
      <w:r>
        <w:rPr>
          <w:rFonts w:hint="eastAsia" w:ascii="宋体" w:hAnsi="宋体" w:eastAsia="宋体" w:cs="宋体"/>
          <w:sz w:val="22"/>
          <w:szCs w:val="22"/>
          <w:highlight w:val="none"/>
        </w:rPr>
        <w:t>）有效投标供应商的投标报价等于评标基准价时其商务分为满分；</w:t>
      </w:r>
    </w:p>
    <w:p>
      <w:pPr>
        <w:pStyle w:val="2"/>
        <w:spacing w:after="0" w:line="360" w:lineRule="auto"/>
        <w:ind w:firstLine="440" w:firstLineChars="200"/>
        <w:rPr>
          <w:rFonts w:ascii="宋体" w:hAnsi="宋体" w:eastAsia="宋体"/>
          <w:sz w:val="22"/>
          <w:szCs w:val="22"/>
          <w:highlight w:val="none"/>
        </w:rPr>
      </w:pPr>
      <w:r>
        <w:rPr>
          <w:rFonts w:ascii="宋体" w:hAnsi="宋体" w:eastAsia="宋体" w:cs="宋体"/>
          <w:sz w:val="22"/>
          <w:szCs w:val="22"/>
          <w:highlight w:val="none"/>
        </w:rPr>
        <w:t>2</w:t>
      </w:r>
      <w:r>
        <w:rPr>
          <w:rFonts w:hint="eastAsia" w:ascii="宋体" w:hAnsi="宋体" w:eastAsia="宋体" w:cs="宋体"/>
          <w:sz w:val="22"/>
          <w:szCs w:val="22"/>
          <w:highlight w:val="none"/>
        </w:rPr>
        <w:t>）其他投标供应商的商务分按以下公式计算：</w:t>
      </w:r>
    </w:p>
    <w:p>
      <w:pPr>
        <w:pStyle w:val="2"/>
        <w:spacing w:after="0" w:line="360" w:lineRule="auto"/>
        <w:ind w:firstLine="440" w:firstLineChars="200"/>
        <w:rPr>
          <w:rFonts w:hint="eastAsia" w:ascii="宋体" w:hAnsi="宋体" w:eastAsia="宋体"/>
          <w:sz w:val="22"/>
          <w:szCs w:val="22"/>
          <w:highlight w:val="none"/>
        </w:rPr>
      </w:pPr>
      <w:r>
        <w:rPr>
          <w:rFonts w:hint="eastAsia" w:ascii="宋体" w:hAnsi="宋体" w:eastAsia="宋体" w:cs="宋体"/>
          <w:sz w:val="22"/>
          <w:szCs w:val="22"/>
          <w:highlight w:val="none"/>
        </w:rPr>
        <w:t>商务分得分</w:t>
      </w:r>
      <w:r>
        <w:rPr>
          <w:rFonts w:ascii="宋体" w:hAnsi="宋体" w:eastAsia="宋体" w:cs="宋体"/>
          <w:sz w:val="22"/>
          <w:szCs w:val="22"/>
          <w:highlight w:val="none"/>
        </w:rPr>
        <w:t>=</w:t>
      </w:r>
      <w:r>
        <w:rPr>
          <w:rFonts w:hint="eastAsia" w:ascii="宋体" w:hAnsi="宋体" w:eastAsia="宋体" w:cs="宋体"/>
          <w:sz w:val="22"/>
          <w:szCs w:val="22"/>
          <w:highlight w:val="none"/>
        </w:rPr>
        <w:t>（评标基准价</w:t>
      </w:r>
      <w:r>
        <w:rPr>
          <w:rFonts w:ascii="宋体" w:hAnsi="宋体" w:eastAsia="宋体" w:cs="宋体"/>
          <w:sz w:val="22"/>
          <w:szCs w:val="22"/>
          <w:highlight w:val="none"/>
        </w:rPr>
        <w:t>/</w:t>
      </w:r>
      <w:r>
        <w:rPr>
          <w:rFonts w:hint="eastAsia" w:ascii="宋体" w:hAnsi="宋体" w:eastAsia="宋体" w:cs="宋体"/>
          <w:sz w:val="22"/>
          <w:szCs w:val="22"/>
          <w:highlight w:val="none"/>
        </w:rPr>
        <w:t>投标供应商投标报价）×</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rPr>
        <w:t>0</w:t>
      </w:r>
      <w:r>
        <w:rPr>
          <w:rFonts w:ascii="宋体" w:hAnsi="宋体" w:eastAsia="宋体" w:cs="宋体"/>
          <w:sz w:val="22"/>
          <w:szCs w:val="22"/>
          <w:highlight w:val="none"/>
        </w:rPr>
        <w:t>%</w:t>
      </w:r>
      <w:r>
        <w:rPr>
          <w:rFonts w:hint="eastAsia" w:ascii="宋体" w:hAnsi="宋体" w:eastAsia="宋体" w:cs="宋体"/>
          <w:sz w:val="22"/>
          <w:szCs w:val="22"/>
          <w:highlight w:val="none"/>
        </w:rPr>
        <w:t>×</w:t>
      </w:r>
      <w:r>
        <w:rPr>
          <w:rFonts w:ascii="宋体" w:hAnsi="宋体" w:eastAsia="宋体" w:cs="宋体"/>
          <w:sz w:val="22"/>
          <w:szCs w:val="22"/>
          <w:highlight w:val="none"/>
        </w:rPr>
        <w:t>100</w:t>
      </w:r>
      <w:r>
        <w:rPr>
          <w:rFonts w:hint="eastAsia" w:ascii="宋体" w:hAnsi="宋体" w:eastAsia="宋体" w:cs="宋体"/>
          <w:sz w:val="22"/>
          <w:szCs w:val="22"/>
          <w:highlight w:val="none"/>
        </w:rPr>
        <w:t>。</w:t>
      </w:r>
    </w:p>
    <w:p>
      <w:pPr>
        <w:spacing w:line="360" w:lineRule="auto"/>
        <w:rPr>
          <w:rFonts w:ascii="宋体" w:hAnsi="宋体"/>
          <w:sz w:val="22"/>
          <w:szCs w:val="22"/>
          <w:highlight w:val="none"/>
        </w:rPr>
      </w:pPr>
      <w:r>
        <w:rPr>
          <w:rFonts w:ascii="宋体" w:hAnsi="宋体" w:eastAsia="宋体" w:cs="宋体"/>
          <w:sz w:val="22"/>
          <w:szCs w:val="22"/>
          <w:highlight w:val="none"/>
        </w:rPr>
        <w:t>3</w:t>
      </w:r>
      <w:r>
        <w:rPr>
          <w:rFonts w:hint="eastAsia" w:ascii="宋体" w:hAnsi="宋体" w:eastAsia="宋体" w:cs="宋体"/>
          <w:sz w:val="22"/>
          <w:szCs w:val="22"/>
          <w:highlight w:val="none"/>
        </w:rPr>
        <w:t>、</w:t>
      </w:r>
      <w:r>
        <w:rPr>
          <w:rFonts w:ascii="宋体" w:hAnsi="宋体" w:eastAsia="宋体" w:cs="宋体"/>
          <w:sz w:val="22"/>
          <w:szCs w:val="22"/>
          <w:highlight w:val="none"/>
        </w:rPr>
        <w:t xml:space="preserve"> </w:t>
      </w:r>
      <w:r>
        <w:rPr>
          <w:rFonts w:hint="eastAsia" w:ascii="宋体" w:hAnsi="宋体" w:eastAsia="宋体" w:cs="宋体"/>
          <w:sz w:val="22"/>
          <w:szCs w:val="22"/>
          <w:highlight w:val="none"/>
        </w:rPr>
        <w:t>有效投标供应商的综合得分为技术资信分和商务（报价）分的总和</w:t>
      </w:r>
      <w:r>
        <w:rPr>
          <w:rFonts w:hint="eastAsia" w:ascii="宋体" w:hAnsi="宋体"/>
          <w:sz w:val="22"/>
          <w:szCs w:val="22"/>
          <w:highlight w:val="none"/>
        </w:rPr>
        <w:t>。</w:t>
      </w:r>
    </w:p>
    <w:p>
      <w:pPr>
        <w:pStyle w:val="2"/>
        <w:spacing w:after="0" w:line="360" w:lineRule="auto"/>
        <w:rPr>
          <w:rFonts w:ascii="宋体" w:hAnsi="宋体" w:eastAsia="宋体"/>
          <w:sz w:val="22"/>
          <w:szCs w:val="22"/>
          <w:highlight w:val="none"/>
        </w:rPr>
      </w:pPr>
      <w:r>
        <w:rPr>
          <w:rFonts w:hint="eastAsia" w:ascii="宋体" w:hAnsi="宋体" w:eastAsia="宋体"/>
          <w:sz w:val="22"/>
          <w:szCs w:val="22"/>
          <w:highlight w:val="none"/>
        </w:rPr>
        <w:t>4、</w:t>
      </w:r>
      <w:r>
        <w:rPr>
          <w:rFonts w:hint="eastAsia" w:ascii="宋体" w:hAnsi="宋体" w:eastAsia="宋体" w:cs="宋体"/>
          <w:sz w:val="22"/>
          <w:szCs w:val="22"/>
          <w:highlight w:val="none"/>
        </w:rPr>
        <w:t>评标委员会按综合得分高低顺序排列，综合得分前两名投标供应商依次作为该项目第一中标候选人和第二中标候选人向采购人推荐，并提交评标报告。综合得分相同的，按投标报价由低到高顺序排列；综合得分且投标报价相同的，抽签决定</w:t>
      </w:r>
      <w:r>
        <w:rPr>
          <w:rFonts w:hint="eastAsia" w:ascii="宋体" w:hAnsi="宋体" w:eastAsia="宋体"/>
          <w:sz w:val="22"/>
          <w:szCs w:val="22"/>
          <w:highlight w:val="none"/>
        </w:rPr>
        <w:t>。</w:t>
      </w:r>
    </w:p>
    <w:p>
      <w:pPr>
        <w:pStyle w:val="2"/>
        <w:spacing w:after="0" w:line="360" w:lineRule="auto"/>
        <w:rPr>
          <w:rFonts w:ascii="宋体" w:hAnsi="宋体" w:eastAsia="宋体"/>
          <w:b/>
          <w:sz w:val="22"/>
          <w:szCs w:val="22"/>
          <w:highlight w:val="none"/>
        </w:rPr>
      </w:pPr>
      <w:r>
        <w:rPr>
          <w:rFonts w:hint="eastAsia" w:ascii="宋体" w:hAnsi="宋体" w:eastAsia="宋体"/>
          <w:b/>
          <w:sz w:val="22"/>
          <w:szCs w:val="22"/>
          <w:highlight w:val="none"/>
        </w:rPr>
        <w:t>五、定标办法</w:t>
      </w:r>
    </w:p>
    <w:p>
      <w:pPr>
        <w:spacing w:line="360" w:lineRule="auto"/>
        <w:ind w:left="439" w:leftChars="209"/>
        <w:rPr>
          <w:rFonts w:hint="eastAsia" w:ascii="宋体" w:hAnsi="宋体"/>
          <w:sz w:val="22"/>
          <w:highlight w:val="none"/>
        </w:rPr>
      </w:pPr>
      <w:r>
        <w:rPr>
          <w:rFonts w:hint="eastAsia" w:ascii="宋体" w:hAnsi="宋体"/>
          <w:sz w:val="22"/>
          <w:highlight w:val="none"/>
        </w:rPr>
        <w:t>本次采购由评标委员会推荐中标候选人，</w:t>
      </w:r>
      <w:r>
        <w:rPr>
          <w:rFonts w:hint="eastAsia" w:ascii="宋体" w:hAnsi="宋体"/>
          <w:sz w:val="22"/>
          <w:highlight w:val="none"/>
          <w:lang w:eastAsia="zh-CN"/>
        </w:rPr>
        <w:t>甲方</w:t>
      </w:r>
      <w:r>
        <w:rPr>
          <w:rFonts w:hint="eastAsia" w:ascii="宋体" w:hAnsi="宋体"/>
          <w:sz w:val="22"/>
          <w:highlight w:val="none"/>
        </w:rPr>
        <w:t>根据评标委员会的推荐结果进行最终确认。</w:t>
      </w:r>
    </w:p>
    <w:p>
      <w:pPr>
        <w:spacing w:line="360" w:lineRule="auto"/>
        <w:ind w:left="439" w:leftChars="209"/>
        <w:rPr>
          <w:rFonts w:ascii="宋体" w:hAnsi="宋体"/>
          <w:sz w:val="22"/>
          <w:highlight w:val="none"/>
        </w:rPr>
      </w:pPr>
      <w:r>
        <w:rPr>
          <w:rFonts w:hint="eastAsia" w:ascii="宋体" w:hAnsi="宋体" w:eastAsia="宋体" w:cs="宋体"/>
          <w:sz w:val="22"/>
          <w:szCs w:val="22"/>
          <w:highlight w:val="none"/>
        </w:rPr>
        <w:t>▲</w:t>
      </w:r>
      <w:r>
        <w:rPr>
          <w:rFonts w:hint="eastAsia" w:ascii="宋体" w:hAnsi="宋体" w:eastAsia="宋体" w:cs="宋体"/>
          <w:b/>
          <w:bCs/>
          <w:sz w:val="22"/>
          <w:szCs w:val="22"/>
          <w:highlight w:val="none"/>
          <w:u w:val="single"/>
        </w:rPr>
        <w:t>本项目</w:t>
      </w:r>
      <w:r>
        <w:rPr>
          <w:rFonts w:hint="eastAsia" w:ascii="宋体" w:hAnsi="宋体" w:cs="宋体"/>
          <w:b/>
          <w:bCs/>
          <w:sz w:val="22"/>
          <w:szCs w:val="22"/>
          <w:highlight w:val="none"/>
          <w:u w:val="single"/>
          <w:lang w:val="en-US" w:eastAsia="zh-CN"/>
        </w:rPr>
        <w:t>各标段</w:t>
      </w:r>
      <w:r>
        <w:rPr>
          <w:rFonts w:hint="eastAsia" w:ascii="宋体" w:hAnsi="宋体" w:eastAsia="宋体" w:cs="宋体"/>
          <w:b/>
          <w:bCs/>
          <w:sz w:val="22"/>
          <w:szCs w:val="22"/>
          <w:highlight w:val="none"/>
          <w:u w:val="single"/>
        </w:rPr>
        <w:t>取</w:t>
      </w:r>
      <w:r>
        <w:rPr>
          <w:rFonts w:hint="eastAsia" w:ascii="宋体" w:hAnsi="宋体" w:cs="宋体"/>
          <w:b/>
          <w:bCs/>
          <w:sz w:val="22"/>
          <w:szCs w:val="22"/>
          <w:highlight w:val="none"/>
          <w:u w:val="single"/>
          <w:lang w:val="en-US" w:eastAsia="zh-CN"/>
        </w:rPr>
        <w:t>一</w:t>
      </w:r>
      <w:r>
        <w:rPr>
          <w:rFonts w:hint="eastAsia" w:ascii="宋体" w:hAnsi="宋体" w:eastAsia="宋体" w:cs="宋体"/>
          <w:b/>
          <w:bCs/>
          <w:sz w:val="22"/>
          <w:szCs w:val="22"/>
          <w:highlight w:val="none"/>
          <w:u w:val="single"/>
        </w:rPr>
        <w:t>家</w:t>
      </w:r>
      <w:r>
        <w:rPr>
          <w:rFonts w:hint="eastAsia" w:ascii="宋体" w:hAnsi="宋体" w:cs="宋体"/>
          <w:b/>
          <w:bCs/>
          <w:sz w:val="22"/>
          <w:szCs w:val="22"/>
          <w:highlight w:val="none"/>
          <w:u w:val="single"/>
          <w:lang w:val="en-US" w:eastAsia="zh-CN"/>
        </w:rPr>
        <w:t>单位作为</w:t>
      </w:r>
      <w:r>
        <w:rPr>
          <w:rFonts w:hint="eastAsia" w:ascii="宋体" w:hAnsi="宋体" w:eastAsia="宋体" w:cs="宋体"/>
          <w:b/>
          <w:bCs/>
          <w:sz w:val="22"/>
          <w:szCs w:val="22"/>
          <w:highlight w:val="none"/>
          <w:u w:val="single"/>
        </w:rPr>
        <w:t>中标供应商</w:t>
      </w:r>
      <w:r>
        <w:rPr>
          <w:rFonts w:hint="eastAsia" w:ascii="宋体" w:hAnsi="宋体" w:eastAsia="宋体" w:cs="宋体"/>
          <w:sz w:val="22"/>
          <w:szCs w:val="22"/>
          <w:highlight w:val="none"/>
        </w:rPr>
        <w:t>。如中标供应商放弃中标、或因不可抗力提出不能履行合同；或者采购文件规定应当提交履约保证金而在规定的期限内未能提交的；或未能在规定时间内与</w:t>
      </w:r>
      <w:r>
        <w:rPr>
          <w:rFonts w:hint="eastAsia" w:ascii="宋体" w:hAnsi="宋体" w:cs="宋体"/>
          <w:sz w:val="22"/>
          <w:szCs w:val="22"/>
          <w:highlight w:val="none"/>
          <w:lang w:eastAsia="zh-CN"/>
        </w:rPr>
        <w:t>甲方</w:t>
      </w:r>
      <w:r>
        <w:rPr>
          <w:rFonts w:hint="eastAsia" w:ascii="宋体" w:hAnsi="宋体" w:eastAsia="宋体" w:cs="宋体"/>
          <w:sz w:val="22"/>
          <w:szCs w:val="22"/>
          <w:highlight w:val="none"/>
        </w:rPr>
        <w:t>签订合同的；或者经质疑，</w:t>
      </w:r>
      <w:r>
        <w:rPr>
          <w:rFonts w:hint="eastAsia" w:ascii="宋体" w:hAnsi="宋体" w:cs="宋体"/>
          <w:sz w:val="22"/>
          <w:szCs w:val="22"/>
          <w:highlight w:val="none"/>
          <w:lang w:eastAsia="zh-CN"/>
        </w:rPr>
        <w:t>甲方</w:t>
      </w:r>
      <w:r>
        <w:rPr>
          <w:rFonts w:hint="eastAsia" w:ascii="宋体" w:hAnsi="宋体" w:eastAsia="宋体" w:cs="宋体"/>
          <w:sz w:val="22"/>
          <w:szCs w:val="22"/>
          <w:highlight w:val="none"/>
        </w:rPr>
        <w:t>审查后，确因排名第一</w:t>
      </w:r>
      <w:r>
        <w:rPr>
          <w:rFonts w:hint="eastAsia" w:ascii="宋体" w:hAnsi="宋体" w:cs="宋体"/>
          <w:sz w:val="22"/>
          <w:szCs w:val="22"/>
          <w:highlight w:val="none"/>
          <w:lang w:val="en-US" w:eastAsia="zh-CN"/>
        </w:rPr>
        <w:t>或第二</w:t>
      </w:r>
      <w:r>
        <w:rPr>
          <w:rFonts w:hint="eastAsia" w:ascii="宋体" w:hAnsi="宋体" w:eastAsia="宋体" w:cs="宋体"/>
          <w:sz w:val="22"/>
          <w:szCs w:val="22"/>
          <w:highlight w:val="none"/>
        </w:rPr>
        <w:t>的候选人在本次采购活动中存在违法违规行为或其他原因使质疑成立的，</w:t>
      </w:r>
      <w:r>
        <w:rPr>
          <w:rFonts w:hint="eastAsia" w:ascii="宋体" w:hAnsi="宋体" w:cs="宋体"/>
          <w:sz w:val="22"/>
          <w:szCs w:val="22"/>
          <w:highlight w:val="none"/>
          <w:lang w:eastAsia="zh-CN"/>
        </w:rPr>
        <w:t>甲方</w:t>
      </w:r>
      <w:r>
        <w:rPr>
          <w:rFonts w:hint="eastAsia" w:ascii="宋体" w:hAnsi="宋体" w:eastAsia="宋体" w:cs="宋体"/>
          <w:sz w:val="22"/>
          <w:szCs w:val="22"/>
          <w:highlight w:val="none"/>
        </w:rPr>
        <w:t>可以视具体情况确定是否由排名第</w:t>
      </w:r>
      <w:r>
        <w:rPr>
          <w:rFonts w:hint="eastAsia" w:ascii="宋体" w:hAnsi="宋体" w:cs="宋体"/>
          <w:sz w:val="22"/>
          <w:szCs w:val="22"/>
          <w:highlight w:val="none"/>
          <w:lang w:val="en-US" w:eastAsia="zh-CN"/>
        </w:rPr>
        <w:t>三</w:t>
      </w:r>
      <w:r>
        <w:rPr>
          <w:rFonts w:hint="eastAsia" w:ascii="宋体" w:hAnsi="宋体" w:eastAsia="宋体" w:cs="宋体"/>
          <w:sz w:val="22"/>
          <w:szCs w:val="22"/>
          <w:highlight w:val="none"/>
        </w:rPr>
        <w:t>的中标候选人为中标供应商</w:t>
      </w:r>
      <w:r>
        <w:rPr>
          <w:rFonts w:hint="eastAsia" w:ascii="宋体" w:hAnsi="宋体" w:eastAsia="宋体" w:cs="宋体"/>
          <w:sz w:val="22"/>
          <w:szCs w:val="22"/>
          <w:highlight w:val="none"/>
          <w:lang w:eastAsia="zh-CN"/>
        </w:rPr>
        <w:t>。</w:t>
      </w:r>
      <w:r>
        <w:rPr>
          <w:rFonts w:ascii="宋体" w:hAnsi="宋体"/>
          <w:sz w:val="22"/>
          <w:highlight w:val="none"/>
        </w:rPr>
        <w:t>如</w:t>
      </w:r>
      <w:r>
        <w:rPr>
          <w:rFonts w:hint="eastAsia" w:ascii="宋体" w:hAnsi="宋体"/>
          <w:sz w:val="22"/>
          <w:highlight w:val="none"/>
        </w:rPr>
        <w:t>全部</w:t>
      </w:r>
      <w:r>
        <w:rPr>
          <w:rFonts w:ascii="宋体" w:hAnsi="宋体"/>
          <w:sz w:val="22"/>
          <w:highlight w:val="none"/>
        </w:rPr>
        <w:t>中标候选人因前款规定的同样原因不能签订合同的</w:t>
      </w:r>
      <w:r>
        <w:rPr>
          <w:rFonts w:hint="eastAsia" w:ascii="宋体" w:hAnsi="宋体"/>
          <w:sz w:val="22"/>
          <w:highlight w:val="none"/>
          <w:lang w:eastAsia="zh-CN"/>
        </w:rPr>
        <w:t>，</w:t>
      </w:r>
      <w:r>
        <w:rPr>
          <w:rFonts w:ascii="宋体" w:hAnsi="宋体"/>
          <w:sz w:val="22"/>
          <w:highlight w:val="none"/>
        </w:rPr>
        <w:t>本次</w:t>
      </w:r>
      <w:r>
        <w:rPr>
          <w:rFonts w:hint="eastAsia" w:ascii="宋体" w:hAnsi="宋体"/>
          <w:sz w:val="22"/>
          <w:highlight w:val="none"/>
          <w:lang w:val="en-US" w:eastAsia="zh-CN"/>
        </w:rPr>
        <w:t>招标</w:t>
      </w:r>
      <w:r>
        <w:rPr>
          <w:rFonts w:ascii="宋体" w:hAnsi="宋体"/>
          <w:sz w:val="22"/>
          <w:highlight w:val="none"/>
        </w:rPr>
        <w:t>失败，重新组织</w:t>
      </w:r>
      <w:r>
        <w:rPr>
          <w:rFonts w:hint="eastAsia" w:ascii="宋体" w:hAnsi="宋体"/>
          <w:sz w:val="22"/>
          <w:highlight w:val="none"/>
          <w:lang w:eastAsia="zh-CN"/>
        </w:rPr>
        <w:t>招标</w:t>
      </w:r>
      <w:r>
        <w:rPr>
          <w:rFonts w:ascii="宋体" w:hAnsi="宋体"/>
          <w:sz w:val="22"/>
          <w:highlight w:val="none"/>
        </w:rPr>
        <w:t>。</w:t>
      </w:r>
    </w:p>
    <w:p>
      <w:pPr>
        <w:pStyle w:val="2"/>
        <w:spacing w:after="0" w:line="360" w:lineRule="auto"/>
        <w:rPr>
          <w:rFonts w:ascii="宋体" w:hAnsi="宋体" w:eastAsia="宋体"/>
          <w:b/>
          <w:sz w:val="22"/>
          <w:szCs w:val="22"/>
          <w:highlight w:val="none"/>
        </w:rPr>
      </w:pPr>
      <w:bookmarkStart w:id="341" w:name="_Toc221356968"/>
      <w:bookmarkStart w:id="342" w:name="_Toc221356905"/>
      <w:r>
        <w:rPr>
          <w:rFonts w:hint="eastAsia" w:ascii="宋体" w:hAnsi="宋体" w:eastAsia="宋体"/>
          <w:b/>
          <w:sz w:val="22"/>
          <w:szCs w:val="22"/>
          <w:highlight w:val="none"/>
        </w:rPr>
        <w:t>六、投标人义务</w:t>
      </w:r>
      <w:bookmarkEnd w:id="341"/>
      <w:bookmarkEnd w:id="342"/>
    </w:p>
    <w:p>
      <w:pPr>
        <w:spacing w:line="360" w:lineRule="auto"/>
        <w:ind w:left="439" w:leftChars="209"/>
        <w:rPr>
          <w:rFonts w:hint="eastAsia" w:eastAsia="宋体"/>
          <w:highlight w:val="none"/>
          <w:lang w:eastAsia="zh-CN"/>
        </w:rPr>
      </w:pPr>
      <w:r>
        <w:rPr>
          <w:rFonts w:hint="eastAsia" w:ascii="宋体" w:hAnsi="宋体"/>
          <w:sz w:val="22"/>
          <w:highlight w:val="none"/>
        </w:rPr>
        <w:t>投标人应随时接受评标委员会的询标，解答包括有关的商务、技术问题等。评标结束，所有评标资料存招标</w:t>
      </w:r>
      <w:r>
        <w:rPr>
          <w:rFonts w:hint="eastAsia" w:ascii="宋体" w:hAnsi="宋体"/>
          <w:sz w:val="22"/>
          <w:highlight w:val="none"/>
          <w:lang w:eastAsia="zh-CN"/>
        </w:rPr>
        <w:t>招标</w:t>
      </w:r>
      <w:r>
        <w:rPr>
          <w:rFonts w:hint="eastAsia" w:ascii="宋体" w:hAnsi="宋体"/>
          <w:sz w:val="22"/>
          <w:highlight w:val="none"/>
        </w:rPr>
        <w:t>单位备查</w:t>
      </w:r>
      <w:r>
        <w:rPr>
          <w:rFonts w:hint="eastAsia" w:ascii="宋体" w:hAnsi="宋体"/>
          <w:sz w:val="22"/>
          <w:highlight w:val="none"/>
          <w:lang w:eastAsia="zh-CN"/>
        </w:rPr>
        <w:t>。</w:t>
      </w:r>
    </w:p>
    <w:sectPr>
      <w:headerReference r:id="rId6" w:type="first"/>
      <w:headerReference r:id="rId5" w:type="default"/>
      <w:footerReference r:id="rId7" w:type="default"/>
      <w:pgSz w:w="11906" w:h="16838"/>
      <w:pgMar w:top="1134" w:right="1134" w:bottom="1134" w:left="1134" w:header="851" w:footer="851"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宋体,Verdana,Arial">
    <w:altName w:val="宋体"/>
    <w:panose1 w:val="00000000000000000000"/>
    <w:charset w:val="86"/>
    <w:family w:val="roman"/>
    <w:pitch w:val="default"/>
    <w:sig w:usb0="00000000" w:usb1="00000000" w:usb2="00000010" w:usb3="00000000" w:csb0="00040000" w:csb1="00000000"/>
  </w:font>
  <w:font w:name="Calibri Light">
    <w:panose1 w:val="020F0302020204030204"/>
    <w:charset w:val="00"/>
    <w:family w:val="swiss"/>
    <w:pitch w:val="default"/>
    <w:sig w:usb0="E4002EFF" w:usb1="C200247B" w:usb2="00000009" w:usb3="00000000" w:csb0="200001FF" w:csb1="00000000"/>
  </w:font>
  <w:font w:name="Univers LT Std 57 Cn">
    <w:altName w:val="Arial"/>
    <w:panose1 w:val="00000000000000000000"/>
    <w:charset w:val="00"/>
    <w:family w:val="swiss"/>
    <w:pitch w:val="default"/>
    <w:sig w:usb0="00000000" w:usb1="00000000" w:usb2="00000000" w:usb3="00000000" w:csb0="00000001" w:csb1="00000000"/>
  </w:font>
  <w:font w:name="MingLiU">
    <w:altName w:val="PMingLiU-ExtB"/>
    <w:panose1 w:val="02010609000101010101"/>
    <w:charset w:val="88"/>
    <w:family w:val="modern"/>
    <w:pitch w:val="default"/>
    <w:sig w:usb0="00000000" w:usb1="00000000" w:usb2="00000010" w:usb3="00000000" w:csb0="00100000" w:csb1="00000000"/>
  </w:font>
  <w:font w:name="仿宋_GB2312">
    <w:altName w:val="仿宋"/>
    <w:panose1 w:val="00000000000000000000"/>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
    <w:altName w:val="Times New Roman"/>
    <w:panose1 w:val="00000000000000000000"/>
    <w:charset w:val="00"/>
    <w:family w:val="auto"/>
    <w:pitch w:val="default"/>
    <w:sig w:usb0="00000000" w:usb1="00000000" w:usb2="00000000" w:usb3="00000000" w:csb0="00000001" w:csb1="00000000"/>
  </w:font>
  <w:font w:name="楷体_GB2312">
    <w:altName w:val="楷体"/>
    <w:panose1 w:val="00000000000000000000"/>
    <w:charset w:val="86"/>
    <w:family w:val="modern"/>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1"/>
      </w:pBdr>
      <w:tabs>
        <w:tab w:val="center" w:pos="4819"/>
        <w:tab w:val="right" w:pos="9498"/>
        <w:tab w:val="clear" w:pos="4153"/>
        <w:tab w:val="clear" w:pos="8306"/>
      </w:tabs>
      <w:rPr>
        <w:rFonts w:hint="eastAsia" w:ascii="楷体" w:hAnsi="楷体" w:eastAsia="楷体"/>
        <w:lang w:eastAsia="zh-CN"/>
      </w:rPr>
    </w:pPr>
    <w:r>
      <w:tab/>
    </w:r>
    <w:r>
      <w:rPr>
        <w:rFonts w:ascii="楷体" w:hAnsi="楷体" w:eastAsia="楷体"/>
      </w:rPr>
      <w:fldChar w:fldCharType="begin"/>
    </w:r>
    <w:r>
      <w:rPr>
        <w:rFonts w:ascii="楷体" w:hAnsi="楷体" w:eastAsia="楷体"/>
      </w:rPr>
      <w:instrText xml:space="preserve">PAGE   \* MERGEFORMAT</w:instrText>
    </w:r>
    <w:r>
      <w:rPr>
        <w:rFonts w:ascii="楷体" w:hAnsi="楷体" w:eastAsia="楷体"/>
      </w:rPr>
      <w:fldChar w:fldCharType="separate"/>
    </w:r>
    <w:r>
      <w:rPr>
        <w:rFonts w:ascii="楷体" w:hAnsi="楷体" w:eastAsia="楷体"/>
      </w:rPr>
      <w:t>43</w:t>
    </w:r>
    <w:r>
      <w:rPr>
        <w:rFonts w:ascii="楷体" w:hAnsi="楷体" w:eastAsia="楷体"/>
      </w:rPr>
      <w:fldChar w:fldCharType="end"/>
    </w:r>
    <w:r>
      <w:rPr>
        <w:rFonts w:ascii="楷体" w:hAnsi="楷体" w:eastAsia="楷体"/>
      </w:rPr>
      <w:tab/>
    </w:r>
    <w:r>
      <w:rPr>
        <w:rFonts w:hint="eastAsia" w:ascii="楷体" w:hAnsi="楷体" w:eastAsia="楷体"/>
        <w:lang w:eastAsia="zh-CN"/>
      </w:rPr>
      <w:t>温州众晨项目管理有限公司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1"/>
      </w:pBdr>
      <w:tabs>
        <w:tab w:val="center" w:pos="4678"/>
        <w:tab w:val="right" w:pos="9638"/>
        <w:tab w:val="clear" w:pos="4153"/>
        <w:tab w:val="clear" w:pos="8306"/>
      </w:tabs>
      <w:rPr>
        <w:rFonts w:hint="eastAsia" w:eastAsia="宋体"/>
        <w:lang w:eastAsia="zh-CN"/>
      </w:rPr>
    </w:pPr>
    <w:r>
      <w:tab/>
    </w:r>
    <w:r>
      <w:fldChar w:fldCharType="begin"/>
    </w:r>
    <w:r>
      <w:instrText xml:space="preserve">PAGE   \* MERGEFORMAT</w:instrText>
    </w:r>
    <w:r>
      <w:fldChar w:fldCharType="separate"/>
    </w:r>
    <w:r>
      <w:t>44</w:t>
    </w:r>
    <w:r>
      <w:fldChar w:fldCharType="end"/>
    </w:r>
    <w:r>
      <w:tab/>
    </w:r>
    <w:r>
      <w:rPr>
        <w:rFonts w:hint="eastAsia" w:ascii="楷体_GB2312" w:eastAsia="楷体_GB2312"/>
        <w:lang w:eastAsia="zh-CN"/>
      </w:rPr>
      <w:t>温州众晨项目管理有限公司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1"/>
      </w:pBdr>
      <w:tabs>
        <w:tab w:val="center" w:pos="4819"/>
        <w:tab w:val="right" w:pos="9498"/>
        <w:tab w:val="clear" w:pos="4153"/>
        <w:tab w:val="clear" w:pos="8306"/>
      </w:tabs>
      <w:rPr>
        <w:rFonts w:hint="eastAsia" w:ascii="楷体" w:hAnsi="楷体" w:eastAsia="楷体"/>
        <w:lang w:eastAsia="zh-CN"/>
      </w:rPr>
    </w:pPr>
    <w:r>
      <w:tab/>
    </w:r>
    <w:r>
      <w:rPr>
        <w:rFonts w:ascii="楷体" w:hAnsi="楷体" w:eastAsia="楷体"/>
      </w:rPr>
      <w:fldChar w:fldCharType="begin"/>
    </w:r>
    <w:r>
      <w:rPr>
        <w:rFonts w:ascii="楷体" w:hAnsi="楷体" w:eastAsia="楷体"/>
      </w:rPr>
      <w:instrText xml:space="preserve">PAGE   \* MERGEFORMAT</w:instrText>
    </w:r>
    <w:r>
      <w:rPr>
        <w:rFonts w:ascii="楷体" w:hAnsi="楷体" w:eastAsia="楷体"/>
      </w:rPr>
      <w:fldChar w:fldCharType="separate"/>
    </w:r>
    <w:r>
      <w:rPr>
        <w:rFonts w:ascii="楷体" w:hAnsi="楷体" w:eastAsia="楷体"/>
      </w:rPr>
      <w:t>43</w:t>
    </w:r>
    <w:r>
      <w:rPr>
        <w:rFonts w:ascii="楷体" w:hAnsi="楷体" w:eastAsia="楷体"/>
      </w:rPr>
      <w:fldChar w:fldCharType="end"/>
    </w:r>
    <w:r>
      <w:rPr>
        <w:rFonts w:ascii="楷体" w:hAnsi="楷体" w:eastAsia="楷体"/>
      </w:rPr>
      <w:tab/>
    </w:r>
    <w:r>
      <w:rPr>
        <w:rFonts w:hint="eastAsia" w:ascii="楷体" w:hAnsi="楷体" w:eastAsia="楷体"/>
        <w:lang w:eastAsia="zh-CN"/>
      </w:rPr>
      <w:t>温州众晨项目管理有限公司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both"/>
      <w:rPr>
        <w:rFonts w:ascii="楷体_GB2312" w:eastAsia="楷体_GB2312"/>
      </w:rPr>
    </w:pPr>
    <w:r>
      <w:rPr>
        <w:rFonts w:hint="eastAsia" w:ascii="楷体_GB2312" w:eastAsia="楷体_GB2312"/>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both"/>
      <w:rPr>
        <w:lang w:val="en-US"/>
      </w:rPr>
    </w:pPr>
    <w:r>
      <w:rPr>
        <w:rFonts w:hint="eastAsia" w:ascii="楷体" w:hAnsi="楷体" w:eastAsia="楷体"/>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chineseCountingThousand"/>
      <w:suff w:val="nothing"/>
      <w:lvlText w:val="第%1章"/>
      <w:lvlJc w:val="left"/>
      <w:pPr>
        <w:ind w:left="0" w:firstLine="0"/>
      </w:pPr>
      <w:rPr>
        <w:rFonts w:hint="default" w:ascii="Times New Roman" w:hAnsi="Times New Roman" w:eastAsia="黑体"/>
        <w:b/>
        <w:i w:val="0"/>
        <w:sz w:val="32"/>
        <w:szCs w:val="32"/>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0000000B"/>
    <w:multiLevelType w:val="multilevel"/>
    <w:tmpl w:val="0000000B"/>
    <w:lvl w:ilvl="0" w:tentative="0">
      <w:start w:val="1"/>
      <w:numFmt w:val="decimal"/>
      <w:lvlText w:val="%1)"/>
      <w:lvlJc w:val="left"/>
      <w:pPr>
        <w:tabs>
          <w:tab w:val="left" w:pos="780"/>
        </w:tabs>
        <w:ind w:left="7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C"/>
    <w:multiLevelType w:val="multilevel"/>
    <w:tmpl w:val="0000000C"/>
    <w:lvl w:ilvl="0" w:tentative="0">
      <w:start w:val="1"/>
      <w:numFmt w:val="decimal"/>
      <w:lvlText w:val="（%1）"/>
      <w:lvlJc w:val="left"/>
      <w:pPr>
        <w:tabs>
          <w:tab w:val="left" w:pos="1200"/>
        </w:tabs>
        <w:ind w:left="1200" w:hanging="7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3">
    <w:nsid w:val="00000015"/>
    <w:multiLevelType w:val="multilevel"/>
    <w:tmpl w:val="00000015"/>
    <w:lvl w:ilvl="0" w:tentative="0">
      <w:start w:val="1"/>
      <w:numFmt w:val="decimal"/>
      <w:lvlText w:val="%1)"/>
      <w:lvlJc w:val="left"/>
      <w:pPr>
        <w:tabs>
          <w:tab w:val="left" w:pos="780"/>
        </w:tabs>
        <w:ind w:left="7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8"/>
    <w:multiLevelType w:val="multilevel"/>
    <w:tmpl w:val="00000018"/>
    <w:lvl w:ilvl="0" w:tentative="0">
      <w:start w:val="1"/>
      <w:numFmt w:val="decimal"/>
      <w:lvlText w:val="%1)"/>
      <w:lvlJc w:val="left"/>
      <w:pPr>
        <w:tabs>
          <w:tab w:val="left" w:pos="420"/>
        </w:tabs>
        <w:ind w:left="420" w:hanging="420"/>
      </w:pPr>
      <w:rPr>
        <w:rFonts w:hint="eastAsia"/>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2B"/>
    <w:multiLevelType w:val="multilevel"/>
    <w:tmpl w:val="0000002B"/>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D04ED0"/>
    <w:multiLevelType w:val="multilevel"/>
    <w:tmpl w:val="00D04ED0"/>
    <w:lvl w:ilvl="0" w:tentative="0">
      <w:start w:val="1"/>
      <w:numFmt w:val="decimal"/>
      <w:lvlText w:val="%1)"/>
      <w:lvlJc w:val="left"/>
      <w:pPr>
        <w:tabs>
          <w:tab w:val="left" w:pos="420"/>
        </w:tabs>
        <w:ind w:left="420" w:hanging="420"/>
      </w:pPr>
      <w:rPr>
        <w:rFonts w:hint="eastAsia"/>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1D621D3"/>
    <w:multiLevelType w:val="multilevel"/>
    <w:tmpl w:val="01D621D3"/>
    <w:lvl w:ilvl="0" w:tentative="0">
      <w:start w:val="1"/>
      <w:numFmt w:val="decimal"/>
      <w:lvlText w:val="%1）"/>
      <w:lvlJc w:val="left"/>
      <w:pPr>
        <w:ind w:left="887" w:hanging="360"/>
      </w:pPr>
      <w:rPr>
        <w:rFonts w:hint="default"/>
      </w:rPr>
    </w:lvl>
    <w:lvl w:ilvl="1" w:tentative="0">
      <w:start w:val="1"/>
      <w:numFmt w:val="lowerLetter"/>
      <w:lvlText w:val="%2)"/>
      <w:lvlJc w:val="left"/>
      <w:pPr>
        <w:ind w:left="1367" w:hanging="420"/>
      </w:pPr>
    </w:lvl>
    <w:lvl w:ilvl="2" w:tentative="0">
      <w:start w:val="1"/>
      <w:numFmt w:val="lowerRoman"/>
      <w:lvlText w:val="%3."/>
      <w:lvlJc w:val="right"/>
      <w:pPr>
        <w:ind w:left="1787" w:hanging="420"/>
      </w:pPr>
    </w:lvl>
    <w:lvl w:ilvl="3" w:tentative="0">
      <w:start w:val="1"/>
      <w:numFmt w:val="decimal"/>
      <w:lvlText w:val="%4."/>
      <w:lvlJc w:val="left"/>
      <w:pPr>
        <w:ind w:left="2207" w:hanging="420"/>
      </w:pPr>
    </w:lvl>
    <w:lvl w:ilvl="4" w:tentative="0">
      <w:start w:val="1"/>
      <w:numFmt w:val="lowerLetter"/>
      <w:lvlText w:val="%5)"/>
      <w:lvlJc w:val="left"/>
      <w:pPr>
        <w:ind w:left="2627" w:hanging="420"/>
      </w:pPr>
    </w:lvl>
    <w:lvl w:ilvl="5" w:tentative="0">
      <w:start w:val="1"/>
      <w:numFmt w:val="lowerRoman"/>
      <w:lvlText w:val="%6."/>
      <w:lvlJc w:val="right"/>
      <w:pPr>
        <w:ind w:left="3047" w:hanging="420"/>
      </w:pPr>
    </w:lvl>
    <w:lvl w:ilvl="6" w:tentative="0">
      <w:start w:val="1"/>
      <w:numFmt w:val="decimal"/>
      <w:lvlText w:val="%7."/>
      <w:lvlJc w:val="left"/>
      <w:pPr>
        <w:ind w:left="3467" w:hanging="420"/>
      </w:pPr>
    </w:lvl>
    <w:lvl w:ilvl="7" w:tentative="0">
      <w:start w:val="1"/>
      <w:numFmt w:val="lowerLetter"/>
      <w:lvlText w:val="%8)"/>
      <w:lvlJc w:val="left"/>
      <w:pPr>
        <w:ind w:left="3887" w:hanging="420"/>
      </w:pPr>
    </w:lvl>
    <w:lvl w:ilvl="8" w:tentative="0">
      <w:start w:val="1"/>
      <w:numFmt w:val="lowerRoman"/>
      <w:lvlText w:val="%9."/>
      <w:lvlJc w:val="right"/>
      <w:pPr>
        <w:ind w:left="4307" w:hanging="420"/>
      </w:pPr>
    </w:lvl>
  </w:abstractNum>
  <w:abstractNum w:abstractNumId="8">
    <w:nsid w:val="0BAB472B"/>
    <w:multiLevelType w:val="multilevel"/>
    <w:tmpl w:val="0BAB472B"/>
    <w:lvl w:ilvl="0" w:tentative="0">
      <w:start w:val="1"/>
      <w:numFmt w:val="decimal"/>
      <w:lvlText w:val="%1)"/>
      <w:lvlJc w:val="left"/>
      <w:pPr>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15434DED"/>
    <w:multiLevelType w:val="multilevel"/>
    <w:tmpl w:val="15434DED"/>
    <w:lvl w:ilvl="0" w:tentative="0">
      <w:start w:val="1"/>
      <w:numFmt w:val="decimal"/>
      <w:lvlText w:val="%1."/>
      <w:lvlJc w:val="left"/>
      <w:pPr>
        <w:ind w:left="170" w:hanging="57"/>
      </w:pPr>
      <w:rPr>
        <w:rFonts w:hint="eastAsia" w:ascii="宋体" w:hAnsi="宋体" w:eastAsia="宋体"/>
        <w:sz w:val="2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16D34A53"/>
    <w:multiLevelType w:val="multilevel"/>
    <w:tmpl w:val="16D34A53"/>
    <w:lvl w:ilvl="0" w:tentative="0">
      <w:start w:val="1"/>
      <w:numFmt w:val="decimal"/>
      <w:lvlText w:val="%1)"/>
      <w:lvlJc w:val="left"/>
      <w:pPr>
        <w:tabs>
          <w:tab w:val="left" w:pos="420"/>
        </w:tabs>
        <w:ind w:left="420" w:hanging="420"/>
      </w:pPr>
      <w:rPr>
        <w:rFonts w:hint="eastAsia"/>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9D53E24"/>
    <w:multiLevelType w:val="multilevel"/>
    <w:tmpl w:val="19D53E24"/>
    <w:lvl w:ilvl="0" w:tentative="0">
      <w:start w:val="1"/>
      <w:numFmt w:val="decimal"/>
      <w:lvlText w:val="%1)"/>
      <w:lvlJc w:val="left"/>
      <w:pPr>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2">
    <w:nsid w:val="19DD6FE2"/>
    <w:multiLevelType w:val="multilevel"/>
    <w:tmpl w:val="19DD6FE2"/>
    <w:lvl w:ilvl="0" w:tentative="0">
      <w:start w:val="1"/>
      <w:numFmt w:val="japaneseCounting"/>
      <w:lvlText w:val="（%1）"/>
      <w:lvlJc w:val="left"/>
      <w:pPr>
        <w:ind w:left="1079" w:hanging="720"/>
      </w:pPr>
      <w:rPr>
        <w:rFonts w:hint="default"/>
        <w:lang w:val="en-US"/>
      </w:rPr>
    </w:lvl>
    <w:lvl w:ilvl="1" w:tentative="0">
      <w:start w:val="1"/>
      <w:numFmt w:val="japaneseCounting"/>
      <w:lvlText w:val="（%2）"/>
      <w:lvlJc w:val="left"/>
      <w:pPr>
        <w:ind w:left="1499" w:hanging="720"/>
      </w:pPr>
      <w:rPr>
        <w:rFonts w:hint="default"/>
      </w:rPr>
    </w:lvl>
    <w:lvl w:ilvl="2" w:tentative="0">
      <w:start w:val="1"/>
      <w:numFmt w:val="lowerRoman"/>
      <w:lvlText w:val="%3."/>
      <w:lvlJc w:val="right"/>
      <w:pPr>
        <w:ind w:left="1619" w:hanging="420"/>
      </w:pPr>
    </w:lvl>
    <w:lvl w:ilvl="3" w:tentative="0">
      <w:start w:val="1"/>
      <w:numFmt w:val="decimal"/>
      <w:lvlText w:val="%4."/>
      <w:lvlJc w:val="left"/>
      <w:pPr>
        <w:ind w:left="2039" w:hanging="420"/>
      </w:pPr>
    </w:lvl>
    <w:lvl w:ilvl="4" w:tentative="0">
      <w:start w:val="1"/>
      <w:numFmt w:val="lowerLetter"/>
      <w:lvlText w:val="%5)"/>
      <w:lvlJc w:val="left"/>
      <w:pPr>
        <w:ind w:left="2459" w:hanging="420"/>
      </w:pPr>
    </w:lvl>
    <w:lvl w:ilvl="5" w:tentative="0">
      <w:start w:val="1"/>
      <w:numFmt w:val="lowerRoman"/>
      <w:lvlText w:val="%6."/>
      <w:lvlJc w:val="right"/>
      <w:pPr>
        <w:ind w:left="2879" w:hanging="420"/>
      </w:pPr>
    </w:lvl>
    <w:lvl w:ilvl="6" w:tentative="0">
      <w:start w:val="1"/>
      <w:numFmt w:val="decimal"/>
      <w:lvlText w:val="%7."/>
      <w:lvlJc w:val="left"/>
      <w:pPr>
        <w:ind w:left="3299" w:hanging="420"/>
      </w:pPr>
    </w:lvl>
    <w:lvl w:ilvl="7" w:tentative="0">
      <w:start w:val="1"/>
      <w:numFmt w:val="lowerLetter"/>
      <w:lvlText w:val="%8)"/>
      <w:lvlJc w:val="left"/>
      <w:pPr>
        <w:ind w:left="3719" w:hanging="420"/>
      </w:pPr>
    </w:lvl>
    <w:lvl w:ilvl="8" w:tentative="0">
      <w:start w:val="1"/>
      <w:numFmt w:val="lowerRoman"/>
      <w:lvlText w:val="%9."/>
      <w:lvlJc w:val="right"/>
      <w:pPr>
        <w:ind w:left="4139" w:hanging="420"/>
      </w:pPr>
    </w:lvl>
  </w:abstractNum>
  <w:abstractNum w:abstractNumId="13">
    <w:nsid w:val="20D1378C"/>
    <w:multiLevelType w:val="multilevel"/>
    <w:tmpl w:val="20D1378C"/>
    <w:lvl w:ilvl="0" w:tentative="0">
      <w:start w:val="1"/>
      <w:numFmt w:val="decimalEnclosedCircle"/>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24602FF9"/>
    <w:multiLevelType w:val="multilevel"/>
    <w:tmpl w:val="24602FF9"/>
    <w:lvl w:ilvl="0" w:tentative="0">
      <w:start w:val="1"/>
      <w:numFmt w:val="decimalEnclosedCircle"/>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25530E96"/>
    <w:multiLevelType w:val="multilevel"/>
    <w:tmpl w:val="25530E96"/>
    <w:lvl w:ilvl="0" w:tentative="0">
      <w:start w:val="1"/>
      <w:numFmt w:val="decimalEnclosedCircle"/>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277D2EDD"/>
    <w:multiLevelType w:val="multilevel"/>
    <w:tmpl w:val="277D2EDD"/>
    <w:lvl w:ilvl="0" w:tentative="0">
      <w:start w:val="1"/>
      <w:numFmt w:val="decimal"/>
      <w:lvlText w:val="%1."/>
      <w:lvlJc w:val="left"/>
      <w:pPr>
        <w:tabs>
          <w:tab w:val="left" w:pos="635"/>
        </w:tabs>
        <w:ind w:left="567" w:hanging="567"/>
      </w:pPr>
      <w:rPr>
        <w:rFonts w:hint="eastAsia" w:ascii="宋体" w:hAnsi="宋体" w:eastAsia="宋体"/>
        <w:b w:val="0"/>
        <w:sz w:val="22"/>
        <w:szCs w:val="22"/>
      </w:rPr>
    </w:lvl>
    <w:lvl w:ilvl="1" w:tentative="0">
      <w:start w:val="1"/>
      <w:numFmt w:val="decimal"/>
      <w:lvlText w:val="%1.%2"/>
      <w:lvlJc w:val="left"/>
      <w:pPr>
        <w:tabs>
          <w:tab w:val="left" w:pos="567"/>
        </w:tabs>
        <w:ind w:left="567" w:hanging="567"/>
      </w:pPr>
      <w:rPr>
        <w:rFonts w:hint="eastAsia" w:ascii="宋体" w:hAnsi="宋体" w:eastAsia="宋体"/>
        <w:b w:val="0"/>
      </w:rPr>
    </w:lvl>
    <w:lvl w:ilvl="2" w:tentative="0">
      <w:start w:val="1"/>
      <w:numFmt w:val="decimal"/>
      <w:lvlText w:val="%1.%2.%3."/>
      <w:lvlJc w:val="left"/>
      <w:pPr>
        <w:tabs>
          <w:tab w:val="left" w:pos="709"/>
        </w:tabs>
        <w:ind w:left="709" w:hanging="709"/>
      </w:pPr>
      <w:rPr>
        <w:rFonts w:hint="eastAsia" w:ascii="宋体" w:hAnsi="宋体" w:eastAsia="宋体"/>
        <w:sz w:val="22"/>
        <w:szCs w:val="22"/>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7">
    <w:nsid w:val="2D525B6B"/>
    <w:multiLevelType w:val="multilevel"/>
    <w:tmpl w:val="2D525B6B"/>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38183502"/>
    <w:multiLevelType w:val="multilevel"/>
    <w:tmpl w:val="38183502"/>
    <w:lvl w:ilvl="0" w:tentative="0">
      <w:start w:val="1"/>
      <w:numFmt w:val="decimal"/>
      <w:lvlText w:val="%1)"/>
      <w:lvlJc w:val="left"/>
      <w:pPr>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9">
    <w:nsid w:val="3BA13F56"/>
    <w:multiLevelType w:val="multilevel"/>
    <w:tmpl w:val="3BA13F56"/>
    <w:lvl w:ilvl="0" w:tentative="0">
      <w:start w:val="1"/>
      <w:numFmt w:val="decimal"/>
      <w:lvlText w:val="%1)"/>
      <w:lvlJc w:val="left"/>
      <w:pPr>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0">
    <w:nsid w:val="3D3E2518"/>
    <w:multiLevelType w:val="multilevel"/>
    <w:tmpl w:val="3D3E2518"/>
    <w:lvl w:ilvl="0" w:tentative="0">
      <w:start w:val="1"/>
      <w:numFmt w:val="decimal"/>
      <w:lvlText w:val="%1)"/>
      <w:lvlJc w:val="left"/>
      <w:pPr>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1">
    <w:nsid w:val="4CCF6BB0"/>
    <w:multiLevelType w:val="multilevel"/>
    <w:tmpl w:val="4CCF6BB0"/>
    <w:lvl w:ilvl="0" w:tentative="0">
      <w:start w:val="1"/>
      <w:numFmt w:val="decimalEnclosedCircle"/>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2">
    <w:nsid w:val="4E7D5079"/>
    <w:multiLevelType w:val="multilevel"/>
    <w:tmpl w:val="4E7D5079"/>
    <w:lvl w:ilvl="0" w:tentative="0">
      <w:start w:val="1"/>
      <w:numFmt w:val="decimalEnclosedCircle"/>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3">
    <w:nsid w:val="4FCC0637"/>
    <w:multiLevelType w:val="multilevel"/>
    <w:tmpl w:val="4FCC0637"/>
    <w:lvl w:ilvl="0" w:tentative="0">
      <w:start w:val="1"/>
      <w:numFmt w:val="decimal"/>
      <w:lvlText w:val="（%1）"/>
      <w:lvlJc w:val="left"/>
      <w:pPr>
        <w:ind w:left="1050" w:hanging="600"/>
      </w:pPr>
      <w:rPr>
        <w:rFonts w:hint="default"/>
      </w:rPr>
    </w:lvl>
    <w:lvl w:ilvl="1" w:tentative="0">
      <w:start w:val="1"/>
      <w:numFmt w:val="lowerLetter"/>
      <w:lvlText w:val="%2)"/>
      <w:lvlJc w:val="left"/>
      <w:pPr>
        <w:ind w:left="1290" w:hanging="420"/>
      </w:pPr>
    </w:lvl>
    <w:lvl w:ilvl="2" w:tentative="0">
      <w:start w:val="1"/>
      <w:numFmt w:val="lowerRoman"/>
      <w:lvlText w:val="%3."/>
      <w:lvlJc w:val="right"/>
      <w:pPr>
        <w:ind w:left="1710" w:hanging="420"/>
      </w:pPr>
    </w:lvl>
    <w:lvl w:ilvl="3" w:tentative="0">
      <w:start w:val="1"/>
      <w:numFmt w:val="decimal"/>
      <w:lvlText w:val="%4."/>
      <w:lvlJc w:val="left"/>
      <w:pPr>
        <w:ind w:left="2130" w:hanging="420"/>
      </w:pPr>
    </w:lvl>
    <w:lvl w:ilvl="4" w:tentative="0">
      <w:start w:val="1"/>
      <w:numFmt w:val="lowerLetter"/>
      <w:lvlText w:val="%5)"/>
      <w:lvlJc w:val="left"/>
      <w:pPr>
        <w:ind w:left="2550" w:hanging="420"/>
      </w:pPr>
    </w:lvl>
    <w:lvl w:ilvl="5" w:tentative="0">
      <w:start w:val="1"/>
      <w:numFmt w:val="lowerRoman"/>
      <w:lvlText w:val="%6."/>
      <w:lvlJc w:val="right"/>
      <w:pPr>
        <w:ind w:left="2970" w:hanging="420"/>
      </w:pPr>
    </w:lvl>
    <w:lvl w:ilvl="6" w:tentative="0">
      <w:start w:val="1"/>
      <w:numFmt w:val="decimal"/>
      <w:lvlText w:val="%7."/>
      <w:lvlJc w:val="left"/>
      <w:pPr>
        <w:ind w:left="3390" w:hanging="420"/>
      </w:pPr>
    </w:lvl>
    <w:lvl w:ilvl="7" w:tentative="0">
      <w:start w:val="1"/>
      <w:numFmt w:val="lowerLetter"/>
      <w:lvlText w:val="%8)"/>
      <w:lvlJc w:val="left"/>
      <w:pPr>
        <w:ind w:left="3810" w:hanging="420"/>
      </w:pPr>
    </w:lvl>
    <w:lvl w:ilvl="8" w:tentative="0">
      <w:start w:val="1"/>
      <w:numFmt w:val="lowerRoman"/>
      <w:lvlText w:val="%9."/>
      <w:lvlJc w:val="right"/>
      <w:pPr>
        <w:ind w:left="4230" w:hanging="420"/>
      </w:pPr>
    </w:lvl>
  </w:abstractNum>
  <w:abstractNum w:abstractNumId="24">
    <w:nsid w:val="52D578D7"/>
    <w:multiLevelType w:val="multilevel"/>
    <w:tmpl w:val="52D578D7"/>
    <w:lvl w:ilvl="0" w:tentative="0">
      <w:start w:val="1"/>
      <w:numFmt w:val="decimal"/>
      <w:lvlText w:val="%1)"/>
      <w:lvlJc w:val="left"/>
      <w:pPr>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5">
    <w:nsid w:val="54F403B5"/>
    <w:multiLevelType w:val="singleLevel"/>
    <w:tmpl w:val="54F403B5"/>
    <w:lvl w:ilvl="0" w:tentative="0">
      <w:start w:val="1"/>
      <w:numFmt w:val="chineseCounting"/>
      <w:suff w:val="nothing"/>
      <w:lvlText w:val="%1、"/>
      <w:lvlJc w:val="left"/>
    </w:lvl>
  </w:abstractNum>
  <w:abstractNum w:abstractNumId="26">
    <w:nsid w:val="557FD3DA"/>
    <w:multiLevelType w:val="singleLevel"/>
    <w:tmpl w:val="557FD3DA"/>
    <w:lvl w:ilvl="0" w:tentative="0">
      <w:start w:val="3"/>
      <w:numFmt w:val="chineseCounting"/>
      <w:suff w:val="nothing"/>
      <w:lvlText w:val="%1、"/>
      <w:lvlJc w:val="left"/>
    </w:lvl>
  </w:abstractNum>
  <w:abstractNum w:abstractNumId="27">
    <w:nsid w:val="5B18B12F"/>
    <w:multiLevelType w:val="singleLevel"/>
    <w:tmpl w:val="5B18B12F"/>
    <w:lvl w:ilvl="0" w:tentative="0">
      <w:start w:val="1"/>
      <w:numFmt w:val="decimal"/>
      <w:suff w:val="nothing"/>
      <w:lvlText w:val="%1．"/>
      <w:lvlJc w:val="left"/>
      <w:pPr>
        <w:ind w:left="0" w:firstLine="400"/>
      </w:pPr>
      <w:rPr>
        <w:rFonts w:hint="default"/>
      </w:rPr>
    </w:lvl>
  </w:abstractNum>
  <w:abstractNum w:abstractNumId="28">
    <w:nsid w:val="72516D77"/>
    <w:multiLevelType w:val="multilevel"/>
    <w:tmpl w:val="72516D77"/>
    <w:lvl w:ilvl="0" w:tentative="0">
      <w:start w:val="1"/>
      <w:numFmt w:val="decimal"/>
      <w:lvlText w:val="%1"/>
      <w:lvlJc w:val="center"/>
      <w:pPr>
        <w:ind w:left="227" w:hanging="29"/>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76365342"/>
    <w:multiLevelType w:val="multilevel"/>
    <w:tmpl w:val="76365342"/>
    <w:lvl w:ilvl="0" w:tentative="0">
      <w:start w:val="1"/>
      <w:numFmt w:val="decimal"/>
      <w:lvlText w:val="%1)"/>
      <w:lvlJc w:val="left"/>
      <w:pPr>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30">
    <w:nsid w:val="7CE402D8"/>
    <w:multiLevelType w:val="multilevel"/>
    <w:tmpl w:val="7CE402D8"/>
    <w:lvl w:ilvl="0" w:tentative="0">
      <w:start w:val="1"/>
      <w:numFmt w:val="decimalEnclosedCircle"/>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1">
    <w:nsid w:val="7D5BE889"/>
    <w:multiLevelType w:val="singleLevel"/>
    <w:tmpl w:val="7D5BE889"/>
    <w:lvl w:ilvl="0" w:tentative="0">
      <w:start w:val="1"/>
      <w:numFmt w:val="decimal"/>
      <w:lvlText w:val="(%1)"/>
      <w:lvlJc w:val="left"/>
      <w:pPr>
        <w:ind w:left="425" w:hanging="425"/>
      </w:pPr>
      <w:rPr>
        <w:rFonts w:hint="default"/>
      </w:rPr>
    </w:lvl>
  </w:abstractNum>
  <w:num w:numId="1">
    <w:abstractNumId w:val="28"/>
  </w:num>
  <w:num w:numId="2">
    <w:abstractNumId w:val="16"/>
  </w:num>
  <w:num w:numId="3">
    <w:abstractNumId w:val="1"/>
  </w:num>
  <w:num w:numId="4">
    <w:abstractNumId w:val="3"/>
  </w:num>
  <w:num w:numId="5">
    <w:abstractNumId w:val="5"/>
  </w:num>
  <w:num w:numId="6">
    <w:abstractNumId w:val="9"/>
  </w:num>
  <w:num w:numId="7">
    <w:abstractNumId w:val="17"/>
  </w:num>
  <w:num w:numId="8">
    <w:abstractNumId w:val="7"/>
  </w:num>
  <w:num w:numId="9">
    <w:abstractNumId w:val="4"/>
  </w:num>
  <w:num w:numId="10">
    <w:abstractNumId w:val="15"/>
  </w:num>
  <w:num w:numId="11">
    <w:abstractNumId w:val="21"/>
  </w:num>
  <w:num w:numId="12">
    <w:abstractNumId w:val="6"/>
  </w:num>
  <w:num w:numId="13">
    <w:abstractNumId w:val="30"/>
  </w:num>
  <w:num w:numId="14">
    <w:abstractNumId w:val="10"/>
  </w:num>
  <w:num w:numId="15">
    <w:abstractNumId w:val="22"/>
  </w:num>
  <w:num w:numId="16">
    <w:abstractNumId w:val="13"/>
  </w:num>
  <w:num w:numId="17">
    <w:abstractNumId w:val="14"/>
  </w:num>
  <w:num w:numId="18">
    <w:abstractNumId w:val="2"/>
  </w:num>
  <w:num w:numId="19">
    <w:abstractNumId w:val="12"/>
  </w:num>
  <w:num w:numId="20">
    <w:abstractNumId w:val="25"/>
  </w:num>
  <w:num w:numId="21">
    <w:abstractNumId w:val="26"/>
  </w:num>
  <w:num w:numId="22">
    <w:abstractNumId w:val="29"/>
  </w:num>
  <w:num w:numId="23">
    <w:abstractNumId w:val="24"/>
  </w:num>
  <w:num w:numId="24">
    <w:abstractNumId w:val="11"/>
  </w:num>
  <w:num w:numId="25">
    <w:abstractNumId w:val="8"/>
  </w:num>
  <w:num w:numId="26">
    <w:abstractNumId w:val="18"/>
  </w:num>
  <w:num w:numId="27">
    <w:abstractNumId w:val="20"/>
  </w:num>
  <w:num w:numId="28">
    <w:abstractNumId w:val="19"/>
  </w:num>
  <w:num w:numId="29">
    <w:abstractNumId w:val="0"/>
  </w:num>
  <w:num w:numId="30">
    <w:abstractNumId w:val="27"/>
  </w:num>
  <w:num w:numId="31">
    <w:abstractNumId w:val="31"/>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dit="trackedChanges"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kMGY2NGY4MjEzMTdkZjEzNmExMzg3ZjhjNTlkZDkifQ=="/>
  </w:docVars>
  <w:rsids>
    <w:rsidRoot w:val="00172A27"/>
    <w:rsid w:val="00001124"/>
    <w:rsid w:val="000042BF"/>
    <w:rsid w:val="000049A1"/>
    <w:rsid w:val="00005104"/>
    <w:rsid w:val="00005D60"/>
    <w:rsid w:val="00006724"/>
    <w:rsid w:val="00006B06"/>
    <w:rsid w:val="000070F5"/>
    <w:rsid w:val="00007145"/>
    <w:rsid w:val="0000724D"/>
    <w:rsid w:val="00007289"/>
    <w:rsid w:val="000076BE"/>
    <w:rsid w:val="00007A5D"/>
    <w:rsid w:val="00007A6A"/>
    <w:rsid w:val="00007C6F"/>
    <w:rsid w:val="00007F41"/>
    <w:rsid w:val="00007F7C"/>
    <w:rsid w:val="0001030D"/>
    <w:rsid w:val="000107C7"/>
    <w:rsid w:val="00010969"/>
    <w:rsid w:val="00012D56"/>
    <w:rsid w:val="00013B2D"/>
    <w:rsid w:val="000146E5"/>
    <w:rsid w:val="000148F4"/>
    <w:rsid w:val="000153CE"/>
    <w:rsid w:val="00015D0C"/>
    <w:rsid w:val="00020E30"/>
    <w:rsid w:val="00021819"/>
    <w:rsid w:val="00022303"/>
    <w:rsid w:val="000224E6"/>
    <w:rsid w:val="00022796"/>
    <w:rsid w:val="00022AA6"/>
    <w:rsid w:val="00022C7E"/>
    <w:rsid w:val="00023C28"/>
    <w:rsid w:val="0002477A"/>
    <w:rsid w:val="00024F37"/>
    <w:rsid w:val="0002526B"/>
    <w:rsid w:val="00025316"/>
    <w:rsid w:val="00026153"/>
    <w:rsid w:val="00026B79"/>
    <w:rsid w:val="00027336"/>
    <w:rsid w:val="00030DCE"/>
    <w:rsid w:val="00032F0C"/>
    <w:rsid w:val="000351E0"/>
    <w:rsid w:val="00035934"/>
    <w:rsid w:val="0003594B"/>
    <w:rsid w:val="00037DC2"/>
    <w:rsid w:val="000405BD"/>
    <w:rsid w:val="00040B81"/>
    <w:rsid w:val="0004202D"/>
    <w:rsid w:val="0004330E"/>
    <w:rsid w:val="00043521"/>
    <w:rsid w:val="00043AFE"/>
    <w:rsid w:val="00043D10"/>
    <w:rsid w:val="00043E85"/>
    <w:rsid w:val="00044C3D"/>
    <w:rsid w:val="00045734"/>
    <w:rsid w:val="00045735"/>
    <w:rsid w:val="00045B72"/>
    <w:rsid w:val="00046908"/>
    <w:rsid w:val="00046CB1"/>
    <w:rsid w:val="000500D2"/>
    <w:rsid w:val="000507E7"/>
    <w:rsid w:val="00051196"/>
    <w:rsid w:val="00051991"/>
    <w:rsid w:val="00051C45"/>
    <w:rsid w:val="0005242B"/>
    <w:rsid w:val="00052673"/>
    <w:rsid w:val="00052B69"/>
    <w:rsid w:val="000532CE"/>
    <w:rsid w:val="0005433D"/>
    <w:rsid w:val="00055022"/>
    <w:rsid w:val="000550C8"/>
    <w:rsid w:val="0005568D"/>
    <w:rsid w:val="0005737E"/>
    <w:rsid w:val="00060E2D"/>
    <w:rsid w:val="00064D68"/>
    <w:rsid w:val="000668DD"/>
    <w:rsid w:val="00067019"/>
    <w:rsid w:val="000679DA"/>
    <w:rsid w:val="00067C95"/>
    <w:rsid w:val="000718F4"/>
    <w:rsid w:val="00072730"/>
    <w:rsid w:val="00074563"/>
    <w:rsid w:val="00074E9C"/>
    <w:rsid w:val="0007533B"/>
    <w:rsid w:val="00076600"/>
    <w:rsid w:val="000771D9"/>
    <w:rsid w:val="00080787"/>
    <w:rsid w:val="0008093E"/>
    <w:rsid w:val="00081DDB"/>
    <w:rsid w:val="00081FF1"/>
    <w:rsid w:val="000835C9"/>
    <w:rsid w:val="00083887"/>
    <w:rsid w:val="0008437B"/>
    <w:rsid w:val="0008455B"/>
    <w:rsid w:val="00084A22"/>
    <w:rsid w:val="0008788F"/>
    <w:rsid w:val="00090B70"/>
    <w:rsid w:val="00091ECB"/>
    <w:rsid w:val="000920E5"/>
    <w:rsid w:val="00092D47"/>
    <w:rsid w:val="00093061"/>
    <w:rsid w:val="000931E3"/>
    <w:rsid w:val="000937CA"/>
    <w:rsid w:val="00094D9C"/>
    <w:rsid w:val="00095AD0"/>
    <w:rsid w:val="00096370"/>
    <w:rsid w:val="00097075"/>
    <w:rsid w:val="0009731A"/>
    <w:rsid w:val="00097BAE"/>
    <w:rsid w:val="000A0A70"/>
    <w:rsid w:val="000A2CE0"/>
    <w:rsid w:val="000A3AD6"/>
    <w:rsid w:val="000A3B32"/>
    <w:rsid w:val="000A4CC3"/>
    <w:rsid w:val="000A51C7"/>
    <w:rsid w:val="000A5608"/>
    <w:rsid w:val="000A61C1"/>
    <w:rsid w:val="000A6350"/>
    <w:rsid w:val="000A63F8"/>
    <w:rsid w:val="000A74B2"/>
    <w:rsid w:val="000A7537"/>
    <w:rsid w:val="000A7CB9"/>
    <w:rsid w:val="000A7F78"/>
    <w:rsid w:val="000B1989"/>
    <w:rsid w:val="000B22E1"/>
    <w:rsid w:val="000B30F8"/>
    <w:rsid w:val="000B3A52"/>
    <w:rsid w:val="000B3C01"/>
    <w:rsid w:val="000B40A2"/>
    <w:rsid w:val="000B5103"/>
    <w:rsid w:val="000B51E2"/>
    <w:rsid w:val="000B52AE"/>
    <w:rsid w:val="000B561F"/>
    <w:rsid w:val="000B5A9D"/>
    <w:rsid w:val="000B6D79"/>
    <w:rsid w:val="000C011B"/>
    <w:rsid w:val="000C16F2"/>
    <w:rsid w:val="000C2AE8"/>
    <w:rsid w:val="000C3B9F"/>
    <w:rsid w:val="000C3CB1"/>
    <w:rsid w:val="000C48E4"/>
    <w:rsid w:val="000C4A9A"/>
    <w:rsid w:val="000C4B4C"/>
    <w:rsid w:val="000C4F32"/>
    <w:rsid w:val="000C507D"/>
    <w:rsid w:val="000C5357"/>
    <w:rsid w:val="000C5540"/>
    <w:rsid w:val="000C5E99"/>
    <w:rsid w:val="000C6BA3"/>
    <w:rsid w:val="000C764C"/>
    <w:rsid w:val="000C777C"/>
    <w:rsid w:val="000C7DE6"/>
    <w:rsid w:val="000D05F0"/>
    <w:rsid w:val="000D0FE5"/>
    <w:rsid w:val="000D2173"/>
    <w:rsid w:val="000D4B96"/>
    <w:rsid w:val="000D580A"/>
    <w:rsid w:val="000D5DA2"/>
    <w:rsid w:val="000D6CD7"/>
    <w:rsid w:val="000D72D7"/>
    <w:rsid w:val="000E1CEF"/>
    <w:rsid w:val="000E2314"/>
    <w:rsid w:val="000E3AED"/>
    <w:rsid w:val="000E49DF"/>
    <w:rsid w:val="000E50C0"/>
    <w:rsid w:val="000E5AA1"/>
    <w:rsid w:val="000E6A51"/>
    <w:rsid w:val="000F01FD"/>
    <w:rsid w:val="000F06F3"/>
    <w:rsid w:val="000F07E4"/>
    <w:rsid w:val="000F1996"/>
    <w:rsid w:val="000F1A29"/>
    <w:rsid w:val="000F1ABB"/>
    <w:rsid w:val="000F239F"/>
    <w:rsid w:val="000F398A"/>
    <w:rsid w:val="000F4602"/>
    <w:rsid w:val="000F4BD6"/>
    <w:rsid w:val="000F5188"/>
    <w:rsid w:val="000F5595"/>
    <w:rsid w:val="000F5E68"/>
    <w:rsid w:val="000F6DBD"/>
    <w:rsid w:val="000F7F4C"/>
    <w:rsid w:val="00101064"/>
    <w:rsid w:val="0010137B"/>
    <w:rsid w:val="00101546"/>
    <w:rsid w:val="00101E1A"/>
    <w:rsid w:val="00102CC3"/>
    <w:rsid w:val="00105130"/>
    <w:rsid w:val="00105E7C"/>
    <w:rsid w:val="00106006"/>
    <w:rsid w:val="001063B4"/>
    <w:rsid w:val="001064BD"/>
    <w:rsid w:val="0010687D"/>
    <w:rsid w:val="001077AD"/>
    <w:rsid w:val="0011050B"/>
    <w:rsid w:val="001106F2"/>
    <w:rsid w:val="00110F19"/>
    <w:rsid w:val="00111A7E"/>
    <w:rsid w:val="00111C99"/>
    <w:rsid w:val="00111F74"/>
    <w:rsid w:val="001120D8"/>
    <w:rsid w:val="001128B7"/>
    <w:rsid w:val="001144EE"/>
    <w:rsid w:val="00114DC3"/>
    <w:rsid w:val="00114E3F"/>
    <w:rsid w:val="00114FBB"/>
    <w:rsid w:val="001154B9"/>
    <w:rsid w:val="00121E3B"/>
    <w:rsid w:val="0012209B"/>
    <w:rsid w:val="00122B40"/>
    <w:rsid w:val="00122E27"/>
    <w:rsid w:val="00122F46"/>
    <w:rsid w:val="0012389D"/>
    <w:rsid w:val="001257CB"/>
    <w:rsid w:val="001259D6"/>
    <w:rsid w:val="001259D7"/>
    <w:rsid w:val="001267A2"/>
    <w:rsid w:val="00126F89"/>
    <w:rsid w:val="001301C9"/>
    <w:rsid w:val="001343E7"/>
    <w:rsid w:val="00134CD5"/>
    <w:rsid w:val="00135D56"/>
    <w:rsid w:val="001364F1"/>
    <w:rsid w:val="0013685F"/>
    <w:rsid w:val="0013724A"/>
    <w:rsid w:val="00140639"/>
    <w:rsid w:val="00141B23"/>
    <w:rsid w:val="00142F8B"/>
    <w:rsid w:val="00144668"/>
    <w:rsid w:val="00145333"/>
    <w:rsid w:val="001454C1"/>
    <w:rsid w:val="00145860"/>
    <w:rsid w:val="00145B02"/>
    <w:rsid w:val="00146823"/>
    <w:rsid w:val="00146922"/>
    <w:rsid w:val="00146A3E"/>
    <w:rsid w:val="00146D21"/>
    <w:rsid w:val="0015071E"/>
    <w:rsid w:val="00150CFD"/>
    <w:rsid w:val="0015198D"/>
    <w:rsid w:val="00151D6E"/>
    <w:rsid w:val="00152AB8"/>
    <w:rsid w:val="00152F33"/>
    <w:rsid w:val="001535BD"/>
    <w:rsid w:val="0015384C"/>
    <w:rsid w:val="00153BDB"/>
    <w:rsid w:val="0015497A"/>
    <w:rsid w:val="00157795"/>
    <w:rsid w:val="001578BA"/>
    <w:rsid w:val="0016034D"/>
    <w:rsid w:val="001604EC"/>
    <w:rsid w:val="0016075D"/>
    <w:rsid w:val="00160F4C"/>
    <w:rsid w:val="001614F4"/>
    <w:rsid w:val="001619BF"/>
    <w:rsid w:val="00161D28"/>
    <w:rsid w:val="00161DE1"/>
    <w:rsid w:val="0016314E"/>
    <w:rsid w:val="0016320B"/>
    <w:rsid w:val="00163D02"/>
    <w:rsid w:val="00163DC6"/>
    <w:rsid w:val="00163EA5"/>
    <w:rsid w:val="001662AE"/>
    <w:rsid w:val="00166C17"/>
    <w:rsid w:val="00167678"/>
    <w:rsid w:val="001707CB"/>
    <w:rsid w:val="00170982"/>
    <w:rsid w:val="00170D81"/>
    <w:rsid w:val="00170F38"/>
    <w:rsid w:val="00171F6F"/>
    <w:rsid w:val="0017210A"/>
    <w:rsid w:val="0017223E"/>
    <w:rsid w:val="00172A27"/>
    <w:rsid w:val="00172B78"/>
    <w:rsid w:val="00172D36"/>
    <w:rsid w:val="00173016"/>
    <w:rsid w:val="00173D31"/>
    <w:rsid w:val="00175BC6"/>
    <w:rsid w:val="00175C3B"/>
    <w:rsid w:val="001767B2"/>
    <w:rsid w:val="00177581"/>
    <w:rsid w:val="00177CD3"/>
    <w:rsid w:val="001800E4"/>
    <w:rsid w:val="0018099E"/>
    <w:rsid w:val="0018184A"/>
    <w:rsid w:val="00181F67"/>
    <w:rsid w:val="00182930"/>
    <w:rsid w:val="001830F6"/>
    <w:rsid w:val="00183325"/>
    <w:rsid w:val="00183B11"/>
    <w:rsid w:val="001845E5"/>
    <w:rsid w:val="00184737"/>
    <w:rsid w:val="00185299"/>
    <w:rsid w:val="00185C38"/>
    <w:rsid w:val="00186FA2"/>
    <w:rsid w:val="00191615"/>
    <w:rsid w:val="001920EA"/>
    <w:rsid w:val="00192829"/>
    <w:rsid w:val="0019374B"/>
    <w:rsid w:val="00193D9E"/>
    <w:rsid w:val="00193E97"/>
    <w:rsid w:val="001941A3"/>
    <w:rsid w:val="001958E5"/>
    <w:rsid w:val="00195F03"/>
    <w:rsid w:val="00196279"/>
    <w:rsid w:val="001964FD"/>
    <w:rsid w:val="0019773D"/>
    <w:rsid w:val="001A04C3"/>
    <w:rsid w:val="001A11C7"/>
    <w:rsid w:val="001A14E1"/>
    <w:rsid w:val="001A17DB"/>
    <w:rsid w:val="001A1BC8"/>
    <w:rsid w:val="001A24D7"/>
    <w:rsid w:val="001A2878"/>
    <w:rsid w:val="001A2B6E"/>
    <w:rsid w:val="001A3EEE"/>
    <w:rsid w:val="001A40E9"/>
    <w:rsid w:val="001A436A"/>
    <w:rsid w:val="001A5F30"/>
    <w:rsid w:val="001A6564"/>
    <w:rsid w:val="001A77FC"/>
    <w:rsid w:val="001A7F20"/>
    <w:rsid w:val="001B3B2F"/>
    <w:rsid w:val="001B4108"/>
    <w:rsid w:val="001B418C"/>
    <w:rsid w:val="001B583C"/>
    <w:rsid w:val="001B58F2"/>
    <w:rsid w:val="001B6B88"/>
    <w:rsid w:val="001B78B4"/>
    <w:rsid w:val="001B7C4B"/>
    <w:rsid w:val="001B7D08"/>
    <w:rsid w:val="001C075D"/>
    <w:rsid w:val="001C0783"/>
    <w:rsid w:val="001C0BA1"/>
    <w:rsid w:val="001C18BD"/>
    <w:rsid w:val="001C1901"/>
    <w:rsid w:val="001C4A1E"/>
    <w:rsid w:val="001C549F"/>
    <w:rsid w:val="001C5789"/>
    <w:rsid w:val="001C5D7D"/>
    <w:rsid w:val="001C63F6"/>
    <w:rsid w:val="001C6DA0"/>
    <w:rsid w:val="001C6E60"/>
    <w:rsid w:val="001C6FF7"/>
    <w:rsid w:val="001C7476"/>
    <w:rsid w:val="001C7537"/>
    <w:rsid w:val="001C77C9"/>
    <w:rsid w:val="001D0021"/>
    <w:rsid w:val="001D1528"/>
    <w:rsid w:val="001D2D09"/>
    <w:rsid w:val="001D3220"/>
    <w:rsid w:val="001D33EE"/>
    <w:rsid w:val="001D347A"/>
    <w:rsid w:val="001D3F50"/>
    <w:rsid w:val="001D4D13"/>
    <w:rsid w:val="001D4D9F"/>
    <w:rsid w:val="001D5A6D"/>
    <w:rsid w:val="001D5D78"/>
    <w:rsid w:val="001D638D"/>
    <w:rsid w:val="001D71ED"/>
    <w:rsid w:val="001D7317"/>
    <w:rsid w:val="001E02BE"/>
    <w:rsid w:val="001E040C"/>
    <w:rsid w:val="001E208D"/>
    <w:rsid w:val="001E2CDF"/>
    <w:rsid w:val="001E2F2B"/>
    <w:rsid w:val="001E3511"/>
    <w:rsid w:val="001E35A6"/>
    <w:rsid w:val="001E41FE"/>
    <w:rsid w:val="001E584B"/>
    <w:rsid w:val="001E66BC"/>
    <w:rsid w:val="001E76AE"/>
    <w:rsid w:val="001F0375"/>
    <w:rsid w:val="001F1795"/>
    <w:rsid w:val="001F1E93"/>
    <w:rsid w:val="001F237D"/>
    <w:rsid w:val="001F403A"/>
    <w:rsid w:val="001F53EE"/>
    <w:rsid w:val="001F655D"/>
    <w:rsid w:val="001F68AE"/>
    <w:rsid w:val="001F6B2F"/>
    <w:rsid w:val="00200873"/>
    <w:rsid w:val="00200A1C"/>
    <w:rsid w:val="0020173A"/>
    <w:rsid w:val="00201EF8"/>
    <w:rsid w:val="002023C5"/>
    <w:rsid w:val="00202584"/>
    <w:rsid w:val="0020327D"/>
    <w:rsid w:val="00204CCB"/>
    <w:rsid w:val="00205096"/>
    <w:rsid w:val="00206327"/>
    <w:rsid w:val="002069F1"/>
    <w:rsid w:val="00206B3F"/>
    <w:rsid w:val="00206FE5"/>
    <w:rsid w:val="00210089"/>
    <w:rsid w:val="00210139"/>
    <w:rsid w:val="00210D6F"/>
    <w:rsid w:val="00210F19"/>
    <w:rsid w:val="002124E5"/>
    <w:rsid w:val="002125CF"/>
    <w:rsid w:val="00213202"/>
    <w:rsid w:val="00213A6D"/>
    <w:rsid w:val="00213CBC"/>
    <w:rsid w:val="0021415F"/>
    <w:rsid w:val="002141E1"/>
    <w:rsid w:val="002164C3"/>
    <w:rsid w:val="00216F08"/>
    <w:rsid w:val="00217250"/>
    <w:rsid w:val="00217CE4"/>
    <w:rsid w:val="00217E22"/>
    <w:rsid w:val="00220AEA"/>
    <w:rsid w:val="00220D1A"/>
    <w:rsid w:val="00221159"/>
    <w:rsid w:val="0022140B"/>
    <w:rsid w:val="0022164D"/>
    <w:rsid w:val="00221C25"/>
    <w:rsid w:val="0022297F"/>
    <w:rsid w:val="002231A9"/>
    <w:rsid w:val="002235CE"/>
    <w:rsid w:val="00224C9C"/>
    <w:rsid w:val="00225873"/>
    <w:rsid w:val="0022637E"/>
    <w:rsid w:val="00226629"/>
    <w:rsid w:val="00227BD3"/>
    <w:rsid w:val="00227D9E"/>
    <w:rsid w:val="00230999"/>
    <w:rsid w:val="00231911"/>
    <w:rsid w:val="00231D2E"/>
    <w:rsid w:val="00232999"/>
    <w:rsid w:val="002355D1"/>
    <w:rsid w:val="00235704"/>
    <w:rsid w:val="002365FB"/>
    <w:rsid w:val="002369B1"/>
    <w:rsid w:val="00237061"/>
    <w:rsid w:val="00237263"/>
    <w:rsid w:val="002372A1"/>
    <w:rsid w:val="00237E0B"/>
    <w:rsid w:val="00240BB5"/>
    <w:rsid w:val="00241C53"/>
    <w:rsid w:val="002430D3"/>
    <w:rsid w:val="002433EA"/>
    <w:rsid w:val="00243F0A"/>
    <w:rsid w:val="002440A6"/>
    <w:rsid w:val="002453A1"/>
    <w:rsid w:val="002458DB"/>
    <w:rsid w:val="0024666C"/>
    <w:rsid w:val="00246E25"/>
    <w:rsid w:val="00250519"/>
    <w:rsid w:val="002506CA"/>
    <w:rsid w:val="002519F4"/>
    <w:rsid w:val="00251BE8"/>
    <w:rsid w:val="00251CCD"/>
    <w:rsid w:val="002535AF"/>
    <w:rsid w:val="002537A3"/>
    <w:rsid w:val="0025464F"/>
    <w:rsid w:val="00254A6D"/>
    <w:rsid w:val="0025538D"/>
    <w:rsid w:val="00255670"/>
    <w:rsid w:val="00255CB9"/>
    <w:rsid w:val="0026027F"/>
    <w:rsid w:val="002603F3"/>
    <w:rsid w:val="002608E7"/>
    <w:rsid w:val="0026115D"/>
    <w:rsid w:val="00262C0A"/>
    <w:rsid w:val="002633ED"/>
    <w:rsid w:val="002636A7"/>
    <w:rsid w:val="00263EEB"/>
    <w:rsid w:val="00264E01"/>
    <w:rsid w:val="0026576D"/>
    <w:rsid w:val="0026611D"/>
    <w:rsid w:val="0026696D"/>
    <w:rsid w:val="0026754A"/>
    <w:rsid w:val="00270496"/>
    <w:rsid w:val="00271296"/>
    <w:rsid w:val="0027189D"/>
    <w:rsid w:val="0027219A"/>
    <w:rsid w:val="00272922"/>
    <w:rsid w:val="00273F8A"/>
    <w:rsid w:val="00275952"/>
    <w:rsid w:val="0027764A"/>
    <w:rsid w:val="002807EB"/>
    <w:rsid w:val="00280E12"/>
    <w:rsid w:val="00281102"/>
    <w:rsid w:val="0028196D"/>
    <w:rsid w:val="00281B78"/>
    <w:rsid w:val="00281D68"/>
    <w:rsid w:val="002823C3"/>
    <w:rsid w:val="00282450"/>
    <w:rsid w:val="00282BE6"/>
    <w:rsid w:val="00282CC8"/>
    <w:rsid w:val="00282DA8"/>
    <w:rsid w:val="0028317A"/>
    <w:rsid w:val="00283E72"/>
    <w:rsid w:val="002842D9"/>
    <w:rsid w:val="00284427"/>
    <w:rsid w:val="00285126"/>
    <w:rsid w:val="00286869"/>
    <w:rsid w:val="00290232"/>
    <w:rsid w:val="002905E5"/>
    <w:rsid w:val="00290EE2"/>
    <w:rsid w:val="002914EB"/>
    <w:rsid w:val="00291679"/>
    <w:rsid w:val="00292B02"/>
    <w:rsid w:val="00293348"/>
    <w:rsid w:val="002941A9"/>
    <w:rsid w:val="0029444D"/>
    <w:rsid w:val="002947DC"/>
    <w:rsid w:val="00295BFE"/>
    <w:rsid w:val="0029685E"/>
    <w:rsid w:val="002972D6"/>
    <w:rsid w:val="00297A51"/>
    <w:rsid w:val="002A034A"/>
    <w:rsid w:val="002A0520"/>
    <w:rsid w:val="002A11AC"/>
    <w:rsid w:val="002A128C"/>
    <w:rsid w:val="002A1823"/>
    <w:rsid w:val="002A1F9B"/>
    <w:rsid w:val="002A24FF"/>
    <w:rsid w:val="002A3872"/>
    <w:rsid w:val="002A402B"/>
    <w:rsid w:val="002A4AC9"/>
    <w:rsid w:val="002A4E2A"/>
    <w:rsid w:val="002A558A"/>
    <w:rsid w:val="002A5988"/>
    <w:rsid w:val="002A77CE"/>
    <w:rsid w:val="002B11B6"/>
    <w:rsid w:val="002B3646"/>
    <w:rsid w:val="002B5CF4"/>
    <w:rsid w:val="002B5DD1"/>
    <w:rsid w:val="002B679E"/>
    <w:rsid w:val="002C015C"/>
    <w:rsid w:val="002C06BD"/>
    <w:rsid w:val="002C0976"/>
    <w:rsid w:val="002C0CF4"/>
    <w:rsid w:val="002C2A47"/>
    <w:rsid w:val="002C2E03"/>
    <w:rsid w:val="002C2E10"/>
    <w:rsid w:val="002C3677"/>
    <w:rsid w:val="002C3C8D"/>
    <w:rsid w:val="002C3D13"/>
    <w:rsid w:val="002C482E"/>
    <w:rsid w:val="002C5761"/>
    <w:rsid w:val="002C6073"/>
    <w:rsid w:val="002C6124"/>
    <w:rsid w:val="002C650F"/>
    <w:rsid w:val="002C6E55"/>
    <w:rsid w:val="002C7E5F"/>
    <w:rsid w:val="002D05DA"/>
    <w:rsid w:val="002D0D95"/>
    <w:rsid w:val="002D0F29"/>
    <w:rsid w:val="002D1041"/>
    <w:rsid w:val="002D10C4"/>
    <w:rsid w:val="002D1A1E"/>
    <w:rsid w:val="002D2669"/>
    <w:rsid w:val="002D2B46"/>
    <w:rsid w:val="002D50B6"/>
    <w:rsid w:val="002D5174"/>
    <w:rsid w:val="002D54EB"/>
    <w:rsid w:val="002D56FD"/>
    <w:rsid w:val="002D5E20"/>
    <w:rsid w:val="002D6F0F"/>
    <w:rsid w:val="002D7CD7"/>
    <w:rsid w:val="002E062C"/>
    <w:rsid w:val="002E2FC3"/>
    <w:rsid w:val="002E3275"/>
    <w:rsid w:val="002E3EEA"/>
    <w:rsid w:val="002E460F"/>
    <w:rsid w:val="002E5D50"/>
    <w:rsid w:val="002E5FE0"/>
    <w:rsid w:val="002E6184"/>
    <w:rsid w:val="002E64BA"/>
    <w:rsid w:val="002E68FC"/>
    <w:rsid w:val="002E6B67"/>
    <w:rsid w:val="002E71EE"/>
    <w:rsid w:val="002E75B7"/>
    <w:rsid w:val="002E77D8"/>
    <w:rsid w:val="002F1107"/>
    <w:rsid w:val="002F136F"/>
    <w:rsid w:val="002F17F7"/>
    <w:rsid w:val="002F210E"/>
    <w:rsid w:val="002F47E5"/>
    <w:rsid w:val="002F4AA7"/>
    <w:rsid w:val="002F5B25"/>
    <w:rsid w:val="002F6728"/>
    <w:rsid w:val="002F786B"/>
    <w:rsid w:val="003005C0"/>
    <w:rsid w:val="003006E6"/>
    <w:rsid w:val="0030121B"/>
    <w:rsid w:val="00302C8B"/>
    <w:rsid w:val="00304A4B"/>
    <w:rsid w:val="00304E9F"/>
    <w:rsid w:val="0030504E"/>
    <w:rsid w:val="003053AE"/>
    <w:rsid w:val="00305462"/>
    <w:rsid w:val="00305C5D"/>
    <w:rsid w:val="00306B19"/>
    <w:rsid w:val="0030789A"/>
    <w:rsid w:val="00307AA9"/>
    <w:rsid w:val="00307B07"/>
    <w:rsid w:val="00310049"/>
    <w:rsid w:val="0031008C"/>
    <w:rsid w:val="00310462"/>
    <w:rsid w:val="00310584"/>
    <w:rsid w:val="003111A8"/>
    <w:rsid w:val="0031314A"/>
    <w:rsid w:val="00314064"/>
    <w:rsid w:val="003143BB"/>
    <w:rsid w:val="0031568C"/>
    <w:rsid w:val="003159CD"/>
    <w:rsid w:val="003164B4"/>
    <w:rsid w:val="0031681D"/>
    <w:rsid w:val="003210EF"/>
    <w:rsid w:val="00321670"/>
    <w:rsid w:val="0032188D"/>
    <w:rsid w:val="00322A23"/>
    <w:rsid w:val="00324C17"/>
    <w:rsid w:val="003258DF"/>
    <w:rsid w:val="00325BEA"/>
    <w:rsid w:val="003302C8"/>
    <w:rsid w:val="00331F2E"/>
    <w:rsid w:val="00332216"/>
    <w:rsid w:val="00333302"/>
    <w:rsid w:val="003342B0"/>
    <w:rsid w:val="00334E7E"/>
    <w:rsid w:val="00336B1C"/>
    <w:rsid w:val="00337CA3"/>
    <w:rsid w:val="00340A01"/>
    <w:rsid w:val="00341BCA"/>
    <w:rsid w:val="00342009"/>
    <w:rsid w:val="00342360"/>
    <w:rsid w:val="00342EAE"/>
    <w:rsid w:val="0034312A"/>
    <w:rsid w:val="003437D1"/>
    <w:rsid w:val="00343864"/>
    <w:rsid w:val="00343E11"/>
    <w:rsid w:val="003444E9"/>
    <w:rsid w:val="00344D53"/>
    <w:rsid w:val="00344DB7"/>
    <w:rsid w:val="00344E68"/>
    <w:rsid w:val="003478AA"/>
    <w:rsid w:val="00347E5B"/>
    <w:rsid w:val="0035100F"/>
    <w:rsid w:val="0035118E"/>
    <w:rsid w:val="0035169F"/>
    <w:rsid w:val="00352CF9"/>
    <w:rsid w:val="00352F45"/>
    <w:rsid w:val="003532F7"/>
    <w:rsid w:val="003535C0"/>
    <w:rsid w:val="0035370F"/>
    <w:rsid w:val="00354921"/>
    <w:rsid w:val="00354CBC"/>
    <w:rsid w:val="003565B0"/>
    <w:rsid w:val="00356CBD"/>
    <w:rsid w:val="00356CE3"/>
    <w:rsid w:val="00356F08"/>
    <w:rsid w:val="00360711"/>
    <w:rsid w:val="00362C31"/>
    <w:rsid w:val="003634D7"/>
    <w:rsid w:val="00363B38"/>
    <w:rsid w:val="0036415D"/>
    <w:rsid w:val="00364BCF"/>
    <w:rsid w:val="00365566"/>
    <w:rsid w:val="003658D8"/>
    <w:rsid w:val="0036599E"/>
    <w:rsid w:val="00365DC5"/>
    <w:rsid w:val="00367005"/>
    <w:rsid w:val="00370212"/>
    <w:rsid w:val="00370D45"/>
    <w:rsid w:val="00370E3E"/>
    <w:rsid w:val="00371214"/>
    <w:rsid w:val="0037148D"/>
    <w:rsid w:val="003715EE"/>
    <w:rsid w:val="0037282B"/>
    <w:rsid w:val="00374061"/>
    <w:rsid w:val="00374A29"/>
    <w:rsid w:val="00374B15"/>
    <w:rsid w:val="003758B5"/>
    <w:rsid w:val="00375C1D"/>
    <w:rsid w:val="0037600F"/>
    <w:rsid w:val="00377419"/>
    <w:rsid w:val="003775DE"/>
    <w:rsid w:val="0038058B"/>
    <w:rsid w:val="003809EB"/>
    <w:rsid w:val="00380B59"/>
    <w:rsid w:val="003810AF"/>
    <w:rsid w:val="00381DE8"/>
    <w:rsid w:val="00383575"/>
    <w:rsid w:val="003845B1"/>
    <w:rsid w:val="00385A92"/>
    <w:rsid w:val="00386216"/>
    <w:rsid w:val="0039118D"/>
    <w:rsid w:val="003919F9"/>
    <w:rsid w:val="003942FA"/>
    <w:rsid w:val="00394875"/>
    <w:rsid w:val="0039508D"/>
    <w:rsid w:val="0039513C"/>
    <w:rsid w:val="00396B5B"/>
    <w:rsid w:val="00397A2C"/>
    <w:rsid w:val="00397A3E"/>
    <w:rsid w:val="003A1DC8"/>
    <w:rsid w:val="003A26A9"/>
    <w:rsid w:val="003A39EB"/>
    <w:rsid w:val="003A4B44"/>
    <w:rsid w:val="003A5625"/>
    <w:rsid w:val="003A5782"/>
    <w:rsid w:val="003A5A5E"/>
    <w:rsid w:val="003A5F2A"/>
    <w:rsid w:val="003A664C"/>
    <w:rsid w:val="003A69B0"/>
    <w:rsid w:val="003A6F04"/>
    <w:rsid w:val="003B0265"/>
    <w:rsid w:val="003B08F3"/>
    <w:rsid w:val="003B0D14"/>
    <w:rsid w:val="003B1E8A"/>
    <w:rsid w:val="003B263C"/>
    <w:rsid w:val="003B3722"/>
    <w:rsid w:val="003B4079"/>
    <w:rsid w:val="003B4711"/>
    <w:rsid w:val="003B5E80"/>
    <w:rsid w:val="003B7E6C"/>
    <w:rsid w:val="003C1521"/>
    <w:rsid w:val="003C160B"/>
    <w:rsid w:val="003C2FF5"/>
    <w:rsid w:val="003C3305"/>
    <w:rsid w:val="003C356A"/>
    <w:rsid w:val="003C3B52"/>
    <w:rsid w:val="003C4074"/>
    <w:rsid w:val="003C58C0"/>
    <w:rsid w:val="003C5E1B"/>
    <w:rsid w:val="003C5ED2"/>
    <w:rsid w:val="003C607A"/>
    <w:rsid w:val="003C656F"/>
    <w:rsid w:val="003C6ED0"/>
    <w:rsid w:val="003C6F0C"/>
    <w:rsid w:val="003C7231"/>
    <w:rsid w:val="003C7541"/>
    <w:rsid w:val="003D075B"/>
    <w:rsid w:val="003D10FA"/>
    <w:rsid w:val="003D11F8"/>
    <w:rsid w:val="003D13DD"/>
    <w:rsid w:val="003D1441"/>
    <w:rsid w:val="003D1E5F"/>
    <w:rsid w:val="003D35BB"/>
    <w:rsid w:val="003D3869"/>
    <w:rsid w:val="003D40BF"/>
    <w:rsid w:val="003D4B05"/>
    <w:rsid w:val="003D60D1"/>
    <w:rsid w:val="003D66F0"/>
    <w:rsid w:val="003D6A46"/>
    <w:rsid w:val="003E07A3"/>
    <w:rsid w:val="003E0E79"/>
    <w:rsid w:val="003E1697"/>
    <w:rsid w:val="003E1ADA"/>
    <w:rsid w:val="003E1C7A"/>
    <w:rsid w:val="003E35DA"/>
    <w:rsid w:val="003E3CF6"/>
    <w:rsid w:val="003E63EF"/>
    <w:rsid w:val="003E6D37"/>
    <w:rsid w:val="003E750F"/>
    <w:rsid w:val="003E7707"/>
    <w:rsid w:val="003E785B"/>
    <w:rsid w:val="003E7B31"/>
    <w:rsid w:val="003E7BD4"/>
    <w:rsid w:val="003F0B9E"/>
    <w:rsid w:val="003F0CF5"/>
    <w:rsid w:val="003F1FFA"/>
    <w:rsid w:val="003F2150"/>
    <w:rsid w:val="003F219E"/>
    <w:rsid w:val="003F2F84"/>
    <w:rsid w:val="003F38A6"/>
    <w:rsid w:val="003F564C"/>
    <w:rsid w:val="003F772C"/>
    <w:rsid w:val="003F7B5A"/>
    <w:rsid w:val="00401078"/>
    <w:rsid w:val="004017C2"/>
    <w:rsid w:val="00401C4C"/>
    <w:rsid w:val="004022AB"/>
    <w:rsid w:val="0040273E"/>
    <w:rsid w:val="00402A9D"/>
    <w:rsid w:val="00403B11"/>
    <w:rsid w:val="00403B52"/>
    <w:rsid w:val="00403D68"/>
    <w:rsid w:val="00404AF3"/>
    <w:rsid w:val="00404E23"/>
    <w:rsid w:val="00405689"/>
    <w:rsid w:val="00406DD7"/>
    <w:rsid w:val="004075D6"/>
    <w:rsid w:val="00411A55"/>
    <w:rsid w:val="00413D90"/>
    <w:rsid w:val="00414488"/>
    <w:rsid w:val="00414735"/>
    <w:rsid w:val="00414B29"/>
    <w:rsid w:val="004150DB"/>
    <w:rsid w:val="0041537D"/>
    <w:rsid w:val="004154E6"/>
    <w:rsid w:val="00415A94"/>
    <w:rsid w:val="004165C7"/>
    <w:rsid w:val="00416778"/>
    <w:rsid w:val="0041763B"/>
    <w:rsid w:val="00417DF5"/>
    <w:rsid w:val="004204F9"/>
    <w:rsid w:val="00420A28"/>
    <w:rsid w:val="00421DE4"/>
    <w:rsid w:val="004228CD"/>
    <w:rsid w:val="00422CDF"/>
    <w:rsid w:val="00422FCD"/>
    <w:rsid w:val="00423A40"/>
    <w:rsid w:val="00423BB5"/>
    <w:rsid w:val="00423C2C"/>
    <w:rsid w:val="0042479B"/>
    <w:rsid w:val="00425228"/>
    <w:rsid w:val="004252D5"/>
    <w:rsid w:val="00425570"/>
    <w:rsid w:val="00425607"/>
    <w:rsid w:val="00426DA5"/>
    <w:rsid w:val="00427C2B"/>
    <w:rsid w:val="00430BDF"/>
    <w:rsid w:val="004311F6"/>
    <w:rsid w:val="00431B51"/>
    <w:rsid w:val="00431EB0"/>
    <w:rsid w:val="00431EE6"/>
    <w:rsid w:val="00433643"/>
    <w:rsid w:val="0043445D"/>
    <w:rsid w:val="004347EB"/>
    <w:rsid w:val="004348D0"/>
    <w:rsid w:val="00435215"/>
    <w:rsid w:val="00435846"/>
    <w:rsid w:val="00436232"/>
    <w:rsid w:val="00436E82"/>
    <w:rsid w:val="00437B6D"/>
    <w:rsid w:val="00440904"/>
    <w:rsid w:val="00441471"/>
    <w:rsid w:val="00441822"/>
    <w:rsid w:val="0044296C"/>
    <w:rsid w:val="00442B6F"/>
    <w:rsid w:val="004433A1"/>
    <w:rsid w:val="004441EC"/>
    <w:rsid w:val="00444769"/>
    <w:rsid w:val="00444EE7"/>
    <w:rsid w:val="0044585D"/>
    <w:rsid w:val="00446CD3"/>
    <w:rsid w:val="00446FCB"/>
    <w:rsid w:val="00447109"/>
    <w:rsid w:val="00447914"/>
    <w:rsid w:val="00451C15"/>
    <w:rsid w:val="004523B6"/>
    <w:rsid w:val="0045274E"/>
    <w:rsid w:val="004557A3"/>
    <w:rsid w:val="004561AA"/>
    <w:rsid w:val="0045712D"/>
    <w:rsid w:val="00457808"/>
    <w:rsid w:val="00461354"/>
    <w:rsid w:val="00461CE4"/>
    <w:rsid w:val="004620CE"/>
    <w:rsid w:val="00462186"/>
    <w:rsid w:val="0046309F"/>
    <w:rsid w:val="00464351"/>
    <w:rsid w:val="0046498E"/>
    <w:rsid w:val="00465A71"/>
    <w:rsid w:val="004673CC"/>
    <w:rsid w:val="0047058D"/>
    <w:rsid w:val="004707E5"/>
    <w:rsid w:val="00470FC5"/>
    <w:rsid w:val="00471D1C"/>
    <w:rsid w:val="004724F2"/>
    <w:rsid w:val="00472B79"/>
    <w:rsid w:val="00472D8D"/>
    <w:rsid w:val="0047368D"/>
    <w:rsid w:val="004738FF"/>
    <w:rsid w:val="00473AB0"/>
    <w:rsid w:val="00473B82"/>
    <w:rsid w:val="00474DB4"/>
    <w:rsid w:val="00476DEE"/>
    <w:rsid w:val="00477574"/>
    <w:rsid w:val="00477613"/>
    <w:rsid w:val="004778BE"/>
    <w:rsid w:val="00477ABA"/>
    <w:rsid w:val="00481077"/>
    <w:rsid w:val="00481E28"/>
    <w:rsid w:val="00484ACC"/>
    <w:rsid w:val="00485F42"/>
    <w:rsid w:val="00485F76"/>
    <w:rsid w:val="00487451"/>
    <w:rsid w:val="00490498"/>
    <w:rsid w:val="00490A15"/>
    <w:rsid w:val="00491A5B"/>
    <w:rsid w:val="0049208D"/>
    <w:rsid w:val="0049212F"/>
    <w:rsid w:val="00493E69"/>
    <w:rsid w:val="00495A11"/>
    <w:rsid w:val="004965BD"/>
    <w:rsid w:val="00496C60"/>
    <w:rsid w:val="00496CF3"/>
    <w:rsid w:val="004A030B"/>
    <w:rsid w:val="004A11F7"/>
    <w:rsid w:val="004A3359"/>
    <w:rsid w:val="004A3654"/>
    <w:rsid w:val="004A3ADF"/>
    <w:rsid w:val="004A40C4"/>
    <w:rsid w:val="004A5485"/>
    <w:rsid w:val="004A5652"/>
    <w:rsid w:val="004A58B0"/>
    <w:rsid w:val="004A623A"/>
    <w:rsid w:val="004B0FFD"/>
    <w:rsid w:val="004B11DB"/>
    <w:rsid w:val="004B15D4"/>
    <w:rsid w:val="004B17FF"/>
    <w:rsid w:val="004B1ECD"/>
    <w:rsid w:val="004B1F09"/>
    <w:rsid w:val="004B7F66"/>
    <w:rsid w:val="004C05DB"/>
    <w:rsid w:val="004C075A"/>
    <w:rsid w:val="004C1BDA"/>
    <w:rsid w:val="004C23B9"/>
    <w:rsid w:val="004C2678"/>
    <w:rsid w:val="004C34A8"/>
    <w:rsid w:val="004C5284"/>
    <w:rsid w:val="004C559A"/>
    <w:rsid w:val="004C5B07"/>
    <w:rsid w:val="004C6008"/>
    <w:rsid w:val="004C671F"/>
    <w:rsid w:val="004C73C3"/>
    <w:rsid w:val="004C7EF2"/>
    <w:rsid w:val="004D0D87"/>
    <w:rsid w:val="004D1340"/>
    <w:rsid w:val="004D1B08"/>
    <w:rsid w:val="004D25BF"/>
    <w:rsid w:val="004D2BE8"/>
    <w:rsid w:val="004D36E9"/>
    <w:rsid w:val="004D3704"/>
    <w:rsid w:val="004D3D5A"/>
    <w:rsid w:val="004D435B"/>
    <w:rsid w:val="004D50D9"/>
    <w:rsid w:val="004D5145"/>
    <w:rsid w:val="004D5D87"/>
    <w:rsid w:val="004D698A"/>
    <w:rsid w:val="004D6BF6"/>
    <w:rsid w:val="004D6EA4"/>
    <w:rsid w:val="004D7453"/>
    <w:rsid w:val="004D74AF"/>
    <w:rsid w:val="004D77AB"/>
    <w:rsid w:val="004D7A3C"/>
    <w:rsid w:val="004E07A8"/>
    <w:rsid w:val="004E10F8"/>
    <w:rsid w:val="004E262B"/>
    <w:rsid w:val="004E2C63"/>
    <w:rsid w:val="004E3113"/>
    <w:rsid w:val="004E62D0"/>
    <w:rsid w:val="004E72A8"/>
    <w:rsid w:val="004E77DB"/>
    <w:rsid w:val="004E7CAB"/>
    <w:rsid w:val="004E7DF4"/>
    <w:rsid w:val="004F060C"/>
    <w:rsid w:val="004F1F3B"/>
    <w:rsid w:val="004F2408"/>
    <w:rsid w:val="004F2A17"/>
    <w:rsid w:val="004F2C74"/>
    <w:rsid w:val="004F33E4"/>
    <w:rsid w:val="004F4EBE"/>
    <w:rsid w:val="004F50F3"/>
    <w:rsid w:val="004F6776"/>
    <w:rsid w:val="004F71F8"/>
    <w:rsid w:val="004F7404"/>
    <w:rsid w:val="00500E72"/>
    <w:rsid w:val="00501A1A"/>
    <w:rsid w:val="00503434"/>
    <w:rsid w:val="00503B6A"/>
    <w:rsid w:val="00504176"/>
    <w:rsid w:val="00504B06"/>
    <w:rsid w:val="00505029"/>
    <w:rsid w:val="005050E5"/>
    <w:rsid w:val="00505252"/>
    <w:rsid w:val="0050640C"/>
    <w:rsid w:val="00506CCC"/>
    <w:rsid w:val="00512B8D"/>
    <w:rsid w:val="00513397"/>
    <w:rsid w:val="00513922"/>
    <w:rsid w:val="00513AA0"/>
    <w:rsid w:val="00514840"/>
    <w:rsid w:val="00516716"/>
    <w:rsid w:val="0051723E"/>
    <w:rsid w:val="005172EC"/>
    <w:rsid w:val="005175C5"/>
    <w:rsid w:val="00517681"/>
    <w:rsid w:val="00517CC8"/>
    <w:rsid w:val="0052123A"/>
    <w:rsid w:val="005212B8"/>
    <w:rsid w:val="0052165F"/>
    <w:rsid w:val="005226A7"/>
    <w:rsid w:val="00524492"/>
    <w:rsid w:val="005269B1"/>
    <w:rsid w:val="00527C3B"/>
    <w:rsid w:val="00527D42"/>
    <w:rsid w:val="00530863"/>
    <w:rsid w:val="00530D16"/>
    <w:rsid w:val="00532095"/>
    <w:rsid w:val="00532849"/>
    <w:rsid w:val="00532AFC"/>
    <w:rsid w:val="00534288"/>
    <w:rsid w:val="005347EC"/>
    <w:rsid w:val="00534B4A"/>
    <w:rsid w:val="0053514A"/>
    <w:rsid w:val="005356EC"/>
    <w:rsid w:val="00535725"/>
    <w:rsid w:val="00536A03"/>
    <w:rsid w:val="00536A30"/>
    <w:rsid w:val="00541483"/>
    <w:rsid w:val="00542D3B"/>
    <w:rsid w:val="00543E5D"/>
    <w:rsid w:val="00544A0B"/>
    <w:rsid w:val="00544D1B"/>
    <w:rsid w:val="00546512"/>
    <w:rsid w:val="005467C7"/>
    <w:rsid w:val="005468C9"/>
    <w:rsid w:val="00546915"/>
    <w:rsid w:val="00546B91"/>
    <w:rsid w:val="00546C98"/>
    <w:rsid w:val="00547136"/>
    <w:rsid w:val="0054731B"/>
    <w:rsid w:val="00547AAB"/>
    <w:rsid w:val="00547E5F"/>
    <w:rsid w:val="0055022E"/>
    <w:rsid w:val="0055070A"/>
    <w:rsid w:val="00551A9B"/>
    <w:rsid w:val="00551BC2"/>
    <w:rsid w:val="00552EBD"/>
    <w:rsid w:val="0055321F"/>
    <w:rsid w:val="0055337C"/>
    <w:rsid w:val="005538B1"/>
    <w:rsid w:val="005539CD"/>
    <w:rsid w:val="00554062"/>
    <w:rsid w:val="005541C0"/>
    <w:rsid w:val="0055427D"/>
    <w:rsid w:val="005544CD"/>
    <w:rsid w:val="0055503F"/>
    <w:rsid w:val="005561C4"/>
    <w:rsid w:val="00556299"/>
    <w:rsid w:val="00557393"/>
    <w:rsid w:val="00557629"/>
    <w:rsid w:val="00557CC2"/>
    <w:rsid w:val="0056082F"/>
    <w:rsid w:val="005609F1"/>
    <w:rsid w:val="00562A68"/>
    <w:rsid w:val="00564AA0"/>
    <w:rsid w:val="00566060"/>
    <w:rsid w:val="005670A8"/>
    <w:rsid w:val="005677A0"/>
    <w:rsid w:val="00567DF0"/>
    <w:rsid w:val="0057169B"/>
    <w:rsid w:val="005726EC"/>
    <w:rsid w:val="005728D9"/>
    <w:rsid w:val="00572BB3"/>
    <w:rsid w:val="00572E25"/>
    <w:rsid w:val="005744E2"/>
    <w:rsid w:val="00575715"/>
    <w:rsid w:val="00575AAE"/>
    <w:rsid w:val="0057609A"/>
    <w:rsid w:val="005766F4"/>
    <w:rsid w:val="00576902"/>
    <w:rsid w:val="00576CF7"/>
    <w:rsid w:val="00577162"/>
    <w:rsid w:val="00577DD6"/>
    <w:rsid w:val="0058014B"/>
    <w:rsid w:val="005805A8"/>
    <w:rsid w:val="00580B39"/>
    <w:rsid w:val="00580BE7"/>
    <w:rsid w:val="0058188C"/>
    <w:rsid w:val="00582C03"/>
    <w:rsid w:val="00582F92"/>
    <w:rsid w:val="0058341A"/>
    <w:rsid w:val="005864AD"/>
    <w:rsid w:val="005871DC"/>
    <w:rsid w:val="0059001F"/>
    <w:rsid w:val="00590418"/>
    <w:rsid w:val="00590F3C"/>
    <w:rsid w:val="005914BF"/>
    <w:rsid w:val="00592857"/>
    <w:rsid w:val="00592AEE"/>
    <w:rsid w:val="005932E6"/>
    <w:rsid w:val="005934B3"/>
    <w:rsid w:val="005934C2"/>
    <w:rsid w:val="00594A55"/>
    <w:rsid w:val="00594C2D"/>
    <w:rsid w:val="00594EA5"/>
    <w:rsid w:val="0059636C"/>
    <w:rsid w:val="00596593"/>
    <w:rsid w:val="00596F47"/>
    <w:rsid w:val="005A0A0A"/>
    <w:rsid w:val="005A0C51"/>
    <w:rsid w:val="005A0D2E"/>
    <w:rsid w:val="005A1EF0"/>
    <w:rsid w:val="005A23F8"/>
    <w:rsid w:val="005A2555"/>
    <w:rsid w:val="005A26FA"/>
    <w:rsid w:val="005A390D"/>
    <w:rsid w:val="005A39B5"/>
    <w:rsid w:val="005A3C84"/>
    <w:rsid w:val="005A3F96"/>
    <w:rsid w:val="005A4015"/>
    <w:rsid w:val="005A53EB"/>
    <w:rsid w:val="005A5BFE"/>
    <w:rsid w:val="005A72FD"/>
    <w:rsid w:val="005A778D"/>
    <w:rsid w:val="005B0491"/>
    <w:rsid w:val="005B1347"/>
    <w:rsid w:val="005B1553"/>
    <w:rsid w:val="005B2175"/>
    <w:rsid w:val="005B2406"/>
    <w:rsid w:val="005B2733"/>
    <w:rsid w:val="005B3461"/>
    <w:rsid w:val="005B3747"/>
    <w:rsid w:val="005B571C"/>
    <w:rsid w:val="005B5DB5"/>
    <w:rsid w:val="005B7A15"/>
    <w:rsid w:val="005C0A0C"/>
    <w:rsid w:val="005C0A65"/>
    <w:rsid w:val="005C121A"/>
    <w:rsid w:val="005C1F28"/>
    <w:rsid w:val="005C2108"/>
    <w:rsid w:val="005C236C"/>
    <w:rsid w:val="005C2E94"/>
    <w:rsid w:val="005C3037"/>
    <w:rsid w:val="005C31F0"/>
    <w:rsid w:val="005C32D0"/>
    <w:rsid w:val="005C53B6"/>
    <w:rsid w:val="005C59B1"/>
    <w:rsid w:val="005C61C8"/>
    <w:rsid w:val="005C6211"/>
    <w:rsid w:val="005C68B0"/>
    <w:rsid w:val="005C7CA9"/>
    <w:rsid w:val="005D006D"/>
    <w:rsid w:val="005D0110"/>
    <w:rsid w:val="005D0639"/>
    <w:rsid w:val="005D1878"/>
    <w:rsid w:val="005D3C24"/>
    <w:rsid w:val="005D3C39"/>
    <w:rsid w:val="005D4247"/>
    <w:rsid w:val="005D49AE"/>
    <w:rsid w:val="005D51C8"/>
    <w:rsid w:val="005D6CFB"/>
    <w:rsid w:val="005D7D4A"/>
    <w:rsid w:val="005E067C"/>
    <w:rsid w:val="005E2720"/>
    <w:rsid w:val="005E29D1"/>
    <w:rsid w:val="005E3A22"/>
    <w:rsid w:val="005E4D87"/>
    <w:rsid w:val="005E5EC6"/>
    <w:rsid w:val="005F19AA"/>
    <w:rsid w:val="005F24FC"/>
    <w:rsid w:val="005F2C23"/>
    <w:rsid w:val="005F5819"/>
    <w:rsid w:val="005F5FF6"/>
    <w:rsid w:val="005F764A"/>
    <w:rsid w:val="00600131"/>
    <w:rsid w:val="006001B0"/>
    <w:rsid w:val="00600C29"/>
    <w:rsid w:val="006017E7"/>
    <w:rsid w:val="00601DA9"/>
    <w:rsid w:val="006036B7"/>
    <w:rsid w:val="00603EF2"/>
    <w:rsid w:val="0060457B"/>
    <w:rsid w:val="0060464B"/>
    <w:rsid w:val="00605362"/>
    <w:rsid w:val="00606C6A"/>
    <w:rsid w:val="00606DE0"/>
    <w:rsid w:val="00606F66"/>
    <w:rsid w:val="00607CD2"/>
    <w:rsid w:val="0061283F"/>
    <w:rsid w:val="00614BDD"/>
    <w:rsid w:val="00615566"/>
    <w:rsid w:val="00615B0F"/>
    <w:rsid w:val="00616389"/>
    <w:rsid w:val="00616CD8"/>
    <w:rsid w:val="00620000"/>
    <w:rsid w:val="00620473"/>
    <w:rsid w:val="00620A14"/>
    <w:rsid w:val="00622197"/>
    <w:rsid w:val="00622E86"/>
    <w:rsid w:val="00623017"/>
    <w:rsid w:val="006233F8"/>
    <w:rsid w:val="0062496A"/>
    <w:rsid w:val="006258C8"/>
    <w:rsid w:val="006269A0"/>
    <w:rsid w:val="00626ADA"/>
    <w:rsid w:val="00626D92"/>
    <w:rsid w:val="00627D64"/>
    <w:rsid w:val="00630A82"/>
    <w:rsid w:val="0063175A"/>
    <w:rsid w:val="00632428"/>
    <w:rsid w:val="00634299"/>
    <w:rsid w:val="006357B4"/>
    <w:rsid w:val="0063597A"/>
    <w:rsid w:val="00636402"/>
    <w:rsid w:val="00636DE6"/>
    <w:rsid w:val="006372CA"/>
    <w:rsid w:val="006373A3"/>
    <w:rsid w:val="006406F4"/>
    <w:rsid w:val="0064091D"/>
    <w:rsid w:val="006409F8"/>
    <w:rsid w:val="00642C59"/>
    <w:rsid w:val="00642E31"/>
    <w:rsid w:val="006457AF"/>
    <w:rsid w:val="006463CA"/>
    <w:rsid w:val="00646639"/>
    <w:rsid w:val="00647816"/>
    <w:rsid w:val="00647834"/>
    <w:rsid w:val="006501BA"/>
    <w:rsid w:val="00650396"/>
    <w:rsid w:val="00650693"/>
    <w:rsid w:val="00650737"/>
    <w:rsid w:val="006521F4"/>
    <w:rsid w:val="006546CA"/>
    <w:rsid w:val="00656283"/>
    <w:rsid w:val="006563A7"/>
    <w:rsid w:val="00656B67"/>
    <w:rsid w:val="00657F8B"/>
    <w:rsid w:val="006610B7"/>
    <w:rsid w:val="006610C8"/>
    <w:rsid w:val="006623CB"/>
    <w:rsid w:val="00662B1D"/>
    <w:rsid w:val="006633E1"/>
    <w:rsid w:val="006636E6"/>
    <w:rsid w:val="00663D3B"/>
    <w:rsid w:val="00664891"/>
    <w:rsid w:val="00665029"/>
    <w:rsid w:val="0066527C"/>
    <w:rsid w:val="006665F2"/>
    <w:rsid w:val="00666C03"/>
    <w:rsid w:val="006671B9"/>
    <w:rsid w:val="00667ADD"/>
    <w:rsid w:val="0067050B"/>
    <w:rsid w:val="006711C3"/>
    <w:rsid w:val="006713D9"/>
    <w:rsid w:val="00671F2C"/>
    <w:rsid w:val="00672554"/>
    <w:rsid w:val="00673463"/>
    <w:rsid w:val="00674B1E"/>
    <w:rsid w:val="006751B0"/>
    <w:rsid w:val="00675F81"/>
    <w:rsid w:val="00676A53"/>
    <w:rsid w:val="00681055"/>
    <w:rsid w:val="006821C6"/>
    <w:rsid w:val="00682538"/>
    <w:rsid w:val="00682E49"/>
    <w:rsid w:val="00683187"/>
    <w:rsid w:val="0068398B"/>
    <w:rsid w:val="00683BD8"/>
    <w:rsid w:val="0068542D"/>
    <w:rsid w:val="00685DBF"/>
    <w:rsid w:val="00686AB1"/>
    <w:rsid w:val="00686B3D"/>
    <w:rsid w:val="00686F13"/>
    <w:rsid w:val="00687153"/>
    <w:rsid w:val="00687B89"/>
    <w:rsid w:val="00687C75"/>
    <w:rsid w:val="00690461"/>
    <w:rsid w:val="006908B9"/>
    <w:rsid w:val="0069341B"/>
    <w:rsid w:val="006934C4"/>
    <w:rsid w:val="00695780"/>
    <w:rsid w:val="00695BCA"/>
    <w:rsid w:val="00696029"/>
    <w:rsid w:val="00696133"/>
    <w:rsid w:val="006967A4"/>
    <w:rsid w:val="006A07B1"/>
    <w:rsid w:val="006A0BE1"/>
    <w:rsid w:val="006A1D93"/>
    <w:rsid w:val="006A31BA"/>
    <w:rsid w:val="006A32C9"/>
    <w:rsid w:val="006A3413"/>
    <w:rsid w:val="006A3568"/>
    <w:rsid w:val="006A3B82"/>
    <w:rsid w:val="006A3BC7"/>
    <w:rsid w:val="006A3F9E"/>
    <w:rsid w:val="006A3FBB"/>
    <w:rsid w:val="006A4542"/>
    <w:rsid w:val="006A7C8E"/>
    <w:rsid w:val="006A7D48"/>
    <w:rsid w:val="006A7F9F"/>
    <w:rsid w:val="006B05A6"/>
    <w:rsid w:val="006B2623"/>
    <w:rsid w:val="006B3E3D"/>
    <w:rsid w:val="006B5D77"/>
    <w:rsid w:val="006B5F85"/>
    <w:rsid w:val="006B604F"/>
    <w:rsid w:val="006B6C18"/>
    <w:rsid w:val="006C1928"/>
    <w:rsid w:val="006C19E2"/>
    <w:rsid w:val="006C1ACF"/>
    <w:rsid w:val="006C20BB"/>
    <w:rsid w:val="006C21CB"/>
    <w:rsid w:val="006C2743"/>
    <w:rsid w:val="006C315B"/>
    <w:rsid w:val="006C332F"/>
    <w:rsid w:val="006C43AE"/>
    <w:rsid w:val="006C48C4"/>
    <w:rsid w:val="006C5562"/>
    <w:rsid w:val="006C5EEF"/>
    <w:rsid w:val="006C7B79"/>
    <w:rsid w:val="006D0E47"/>
    <w:rsid w:val="006D2389"/>
    <w:rsid w:val="006D292D"/>
    <w:rsid w:val="006D35A9"/>
    <w:rsid w:val="006D38AB"/>
    <w:rsid w:val="006D3B40"/>
    <w:rsid w:val="006D4E77"/>
    <w:rsid w:val="006D4EF6"/>
    <w:rsid w:val="006D4F2F"/>
    <w:rsid w:val="006D75C1"/>
    <w:rsid w:val="006E12F6"/>
    <w:rsid w:val="006E1C94"/>
    <w:rsid w:val="006E6ADC"/>
    <w:rsid w:val="006F086B"/>
    <w:rsid w:val="006F096A"/>
    <w:rsid w:val="006F09D1"/>
    <w:rsid w:val="006F0ACC"/>
    <w:rsid w:val="006F225C"/>
    <w:rsid w:val="006F244B"/>
    <w:rsid w:val="006F2DE3"/>
    <w:rsid w:val="006F35AE"/>
    <w:rsid w:val="006F3B35"/>
    <w:rsid w:val="006F5211"/>
    <w:rsid w:val="006F5C07"/>
    <w:rsid w:val="006F6265"/>
    <w:rsid w:val="006F6A85"/>
    <w:rsid w:val="006F7037"/>
    <w:rsid w:val="006F7568"/>
    <w:rsid w:val="006F76ED"/>
    <w:rsid w:val="006F7D6F"/>
    <w:rsid w:val="0070226D"/>
    <w:rsid w:val="007030C4"/>
    <w:rsid w:val="007036DB"/>
    <w:rsid w:val="007038F3"/>
    <w:rsid w:val="007043A9"/>
    <w:rsid w:val="00706343"/>
    <w:rsid w:val="00706D26"/>
    <w:rsid w:val="00706F20"/>
    <w:rsid w:val="00706F42"/>
    <w:rsid w:val="00707650"/>
    <w:rsid w:val="0071133A"/>
    <w:rsid w:val="007113C3"/>
    <w:rsid w:val="0071195E"/>
    <w:rsid w:val="00711B35"/>
    <w:rsid w:val="007127D3"/>
    <w:rsid w:val="0071293F"/>
    <w:rsid w:val="00713250"/>
    <w:rsid w:val="0071388D"/>
    <w:rsid w:val="0071411E"/>
    <w:rsid w:val="007148B1"/>
    <w:rsid w:val="00714D51"/>
    <w:rsid w:val="00715195"/>
    <w:rsid w:val="0071618E"/>
    <w:rsid w:val="00716375"/>
    <w:rsid w:val="00717328"/>
    <w:rsid w:val="00720932"/>
    <w:rsid w:val="00721344"/>
    <w:rsid w:val="00722011"/>
    <w:rsid w:val="00723657"/>
    <w:rsid w:val="00723A23"/>
    <w:rsid w:val="00724788"/>
    <w:rsid w:val="007250DF"/>
    <w:rsid w:val="00725C93"/>
    <w:rsid w:val="0072624B"/>
    <w:rsid w:val="00726743"/>
    <w:rsid w:val="00730ED5"/>
    <w:rsid w:val="00731884"/>
    <w:rsid w:val="00731ED8"/>
    <w:rsid w:val="00734974"/>
    <w:rsid w:val="00734EBD"/>
    <w:rsid w:val="00735780"/>
    <w:rsid w:val="0074039E"/>
    <w:rsid w:val="00741043"/>
    <w:rsid w:val="00741502"/>
    <w:rsid w:val="00741A85"/>
    <w:rsid w:val="00741DC4"/>
    <w:rsid w:val="00742078"/>
    <w:rsid w:val="007420D5"/>
    <w:rsid w:val="007422F1"/>
    <w:rsid w:val="007425A1"/>
    <w:rsid w:val="0074398A"/>
    <w:rsid w:val="00743C7A"/>
    <w:rsid w:val="00745054"/>
    <w:rsid w:val="007460B5"/>
    <w:rsid w:val="00746186"/>
    <w:rsid w:val="007464CA"/>
    <w:rsid w:val="007507C6"/>
    <w:rsid w:val="00750962"/>
    <w:rsid w:val="00750DA6"/>
    <w:rsid w:val="00751128"/>
    <w:rsid w:val="00752D35"/>
    <w:rsid w:val="00752D6D"/>
    <w:rsid w:val="0075357E"/>
    <w:rsid w:val="00753A61"/>
    <w:rsid w:val="007543DA"/>
    <w:rsid w:val="0075459A"/>
    <w:rsid w:val="00755747"/>
    <w:rsid w:val="00755CF5"/>
    <w:rsid w:val="00756599"/>
    <w:rsid w:val="0075675D"/>
    <w:rsid w:val="007567B0"/>
    <w:rsid w:val="00756FD6"/>
    <w:rsid w:val="00757330"/>
    <w:rsid w:val="007620A5"/>
    <w:rsid w:val="00762A09"/>
    <w:rsid w:val="0076329F"/>
    <w:rsid w:val="007646A9"/>
    <w:rsid w:val="00764740"/>
    <w:rsid w:val="0076557C"/>
    <w:rsid w:val="00766347"/>
    <w:rsid w:val="00766FBC"/>
    <w:rsid w:val="00767049"/>
    <w:rsid w:val="007670DE"/>
    <w:rsid w:val="00767AE0"/>
    <w:rsid w:val="00767F97"/>
    <w:rsid w:val="00770507"/>
    <w:rsid w:val="007705E0"/>
    <w:rsid w:val="00771F0C"/>
    <w:rsid w:val="007728E1"/>
    <w:rsid w:val="00773725"/>
    <w:rsid w:val="007750C9"/>
    <w:rsid w:val="00775329"/>
    <w:rsid w:val="00775926"/>
    <w:rsid w:val="00775977"/>
    <w:rsid w:val="00777E1D"/>
    <w:rsid w:val="00780A89"/>
    <w:rsid w:val="00780DDE"/>
    <w:rsid w:val="00781B42"/>
    <w:rsid w:val="0078294E"/>
    <w:rsid w:val="00783E14"/>
    <w:rsid w:val="00783E40"/>
    <w:rsid w:val="0078595B"/>
    <w:rsid w:val="00785B25"/>
    <w:rsid w:val="0078644B"/>
    <w:rsid w:val="0078676D"/>
    <w:rsid w:val="007877A7"/>
    <w:rsid w:val="00787E35"/>
    <w:rsid w:val="0079038D"/>
    <w:rsid w:val="00790BD4"/>
    <w:rsid w:val="00792E5E"/>
    <w:rsid w:val="00793493"/>
    <w:rsid w:val="00793A2F"/>
    <w:rsid w:val="00793CEE"/>
    <w:rsid w:val="00793FCA"/>
    <w:rsid w:val="007942A7"/>
    <w:rsid w:val="007944C1"/>
    <w:rsid w:val="007949E1"/>
    <w:rsid w:val="00794D74"/>
    <w:rsid w:val="00796D1F"/>
    <w:rsid w:val="00797116"/>
    <w:rsid w:val="007A0985"/>
    <w:rsid w:val="007A0FA2"/>
    <w:rsid w:val="007A23D2"/>
    <w:rsid w:val="007A2996"/>
    <w:rsid w:val="007A2EE3"/>
    <w:rsid w:val="007A306D"/>
    <w:rsid w:val="007A36FF"/>
    <w:rsid w:val="007A3D93"/>
    <w:rsid w:val="007A424F"/>
    <w:rsid w:val="007A5142"/>
    <w:rsid w:val="007A6900"/>
    <w:rsid w:val="007B06E1"/>
    <w:rsid w:val="007B0EA4"/>
    <w:rsid w:val="007B1508"/>
    <w:rsid w:val="007B1513"/>
    <w:rsid w:val="007B1EA9"/>
    <w:rsid w:val="007B2625"/>
    <w:rsid w:val="007B2674"/>
    <w:rsid w:val="007B49DF"/>
    <w:rsid w:val="007B4B8F"/>
    <w:rsid w:val="007B4DD2"/>
    <w:rsid w:val="007B5339"/>
    <w:rsid w:val="007B5C50"/>
    <w:rsid w:val="007B5F59"/>
    <w:rsid w:val="007B689D"/>
    <w:rsid w:val="007B716F"/>
    <w:rsid w:val="007B769A"/>
    <w:rsid w:val="007C0220"/>
    <w:rsid w:val="007C1691"/>
    <w:rsid w:val="007C22CA"/>
    <w:rsid w:val="007C3148"/>
    <w:rsid w:val="007C3793"/>
    <w:rsid w:val="007C4192"/>
    <w:rsid w:val="007C41B5"/>
    <w:rsid w:val="007C42FC"/>
    <w:rsid w:val="007C492F"/>
    <w:rsid w:val="007C4AD6"/>
    <w:rsid w:val="007C5199"/>
    <w:rsid w:val="007C5751"/>
    <w:rsid w:val="007C6A08"/>
    <w:rsid w:val="007C7865"/>
    <w:rsid w:val="007C7D0E"/>
    <w:rsid w:val="007C7D55"/>
    <w:rsid w:val="007D0445"/>
    <w:rsid w:val="007D0470"/>
    <w:rsid w:val="007D1538"/>
    <w:rsid w:val="007D34D0"/>
    <w:rsid w:val="007D367D"/>
    <w:rsid w:val="007D372A"/>
    <w:rsid w:val="007D3812"/>
    <w:rsid w:val="007D44BF"/>
    <w:rsid w:val="007D4908"/>
    <w:rsid w:val="007D493D"/>
    <w:rsid w:val="007D4A2E"/>
    <w:rsid w:val="007D505A"/>
    <w:rsid w:val="007D541F"/>
    <w:rsid w:val="007D675F"/>
    <w:rsid w:val="007D74E8"/>
    <w:rsid w:val="007D77D0"/>
    <w:rsid w:val="007D7B9B"/>
    <w:rsid w:val="007E17C2"/>
    <w:rsid w:val="007E1A2D"/>
    <w:rsid w:val="007E1F1C"/>
    <w:rsid w:val="007E35C1"/>
    <w:rsid w:val="007E44AF"/>
    <w:rsid w:val="007E5C0D"/>
    <w:rsid w:val="007E6337"/>
    <w:rsid w:val="007E6750"/>
    <w:rsid w:val="007E68CB"/>
    <w:rsid w:val="007E6996"/>
    <w:rsid w:val="007E7E66"/>
    <w:rsid w:val="007F074B"/>
    <w:rsid w:val="007F1223"/>
    <w:rsid w:val="007F19EA"/>
    <w:rsid w:val="007F1C5D"/>
    <w:rsid w:val="007F2C54"/>
    <w:rsid w:val="007F35A7"/>
    <w:rsid w:val="007F4200"/>
    <w:rsid w:val="007F499C"/>
    <w:rsid w:val="007F5030"/>
    <w:rsid w:val="007F5830"/>
    <w:rsid w:val="007F65B2"/>
    <w:rsid w:val="007F74F4"/>
    <w:rsid w:val="008002F9"/>
    <w:rsid w:val="0080055C"/>
    <w:rsid w:val="00801F1D"/>
    <w:rsid w:val="00802437"/>
    <w:rsid w:val="008030AD"/>
    <w:rsid w:val="008038D8"/>
    <w:rsid w:val="008040A1"/>
    <w:rsid w:val="00804107"/>
    <w:rsid w:val="00804783"/>
    <w:rsid w:val="00805496"/>
    <w:rsid w:val="00806323"/>
    <w:rsid w:val="008065E4"/>
    <w:rsid w:val="00806B49"/>
    <w:rsid w:val="00807594"/>
    <w:rsid w:val="008076D8"/>
    <w:rsid w:val="00807B7E"/>
    <w:rsid w:val="00810923"/>
    <w:rsid w:val="00811E9B"/>
    <w:rsid w:val="008124DC"/>
    <w:rsid w:val="008129E8"/>
    <w:rsid w:val="00812F24"/>
    <w:rsid w:val="00813828"/>
    <w:rsid w:val="008142B3"/>
    <w:rsid w:val="00814489"/>
    <w:rsid w:val="0081468E"/>
    <w:rsid w:val="0081480C"/>
    <w:rsid w:val="00814B65"/>
    <w:rsid w:val="00814D5A"/>
    <w:rsid w:val="00815A9B"/>
    <w:rsid w:val="00816170"/>
    <w:rsid w:val="00816469"/>
    <w:rsid w:val="00816762"/>
    <w:rsid w:val="00817513"/>
    <w:rsid w:val="00821477"/>
    <w:rsid w:val="00821C35"/>
    <w:rsid w:val="00821F94"/>
    <w:rsid w:val="0082213A"/>
    <w:rsid w:val="008225A7"/>
    <w:rsid w:val="00823121"/>
    <w:rsid w:val="008234AA"/>
    <w:rsid w:val="00823F0A"/>
    <w:rsid w:val="00825BE3"/>
    <w:rsid w:val="00826623"/>
    <w:rsid w:val="00826896"/>
    <w:rsid w:val="008278C0"/>
    <w:rsid w:val="00830FB2"/>
    <w:rsid w:val="00831B25"/>
    <w:rsid w:val="00832253"/>
    <w:rsid w:val="00832E83"/>
    <w:rsid w:val="0083326E"/>
    <w:rsid w:val="0083362C"/>
    <w:rsid w:val="00833F90"/>
    <w:rsid w:val="00834683"/>
    <w:rsid w:val="008346D1"/>
    <w:rsid w:val="00834782"/>
    <w:rsid w:val="008347B3"/>
    <w:rsid w:val="00835502"/>
    <w:rsid w:val="008375B7"/>
    <w:rsid w:val="00840BF7"/>
    <w:rsid w:val="00840F85"/>
    <w:rsid w:val="00841BD6"/>
    <w:rsid w:val="00841D9C"/>
    <w:rsid w:val="00841F7B"/>
    <w:rsid w:val="0084346C"/>
    <w:rsid w:val="00843DA9"/>
    <w:rsid w:val="008448BD"/>
    <w:rsid w:val="008453DD"/>
    <w:rsid w:val="00845E0D"/>
    <w:rsid w:val="00846C49"/>
    <w:rsid w:val="00846C98"/>
    <w:rsid w:val="00847282"/>
    <w:rsid w:val="00850043"/>
    <w:rsid w:val="00851E2C"/>
    <w:rsid w:val="0085272C"/>
    <w:rsid w:val="00852D59"/>
    <w:rsid w:val="00852D97"/>
    <w:rsid w:val="0085462B"/>
    <w:rsid w:val="00855370"/>
    <w:rsid w:val="0085547B"/>
    <w:rsid w:val="008556D2"/>
    <w:rsid w:val="00855F25"/>
    <w:rsid w:val="00857A69"/>
    <w:rsid w:val="00860122"/>
    <w:rsid w:val="00860667"/>
    <w:rsid w:val="008606B2"/>
    <w:rsid w:val="0086144C"/>
    <w:rsid w:val="00861BF3"/>
    <w:rsid w:val="00861D7E"/>
    <w:rsid w:val="00862634"/>
    <w:rsid w:val="008657A6"/>
    <w:rsid w:val="008657E8"/>
    <w:rsid w:val="0086582E"/>
    <w:rsid w:val="008663DE"/>
    <w:rsid w:val="00866ED5"/>
    <w:rsid w:val="00867584"/>
    <w:rsid w:val="00867886"/>
    <w:rsid w:val="00867B45"/>
    <w:rsid w:val="0087184F"/>
    <w:rsid w:val="00872BFE"/>
    <w:rsid w:val="0087387B"/>
    <w:rsid w:val="00873A56"/>
    <w:rsid w:val="00873D10"/>
    <w:rsid w:val="00875F00"/>
    <w:rsid w:val="0088151D"/>
    <w:rsid w:val="00881723"/>
    <w:rsid w:val="00881D4D"/>
    <w:rsid w:val="00881E2C"/>
    <w:rsid w:val="00881FAD"/>
    <w:rsid w:val="008826B4"/>
    <w:rsid w:val="00882B62"/>
    <w:rsid w:val="00882E6D"/>
    <w:rsid w:val="0088695F"/>
    <w:rsid w:val="00890394"/>
    <w:rsid w:val="008905B7"/>
    <w:rsid w:val="008916F1"/>
    <w:rsid w:val="00891F1B"/>
    <w:rsid w:val="00892223"/>
    <w:rsid w:val="00892472"/>
    <w:rsid w:val="008929AE"/>
    <w:rsid w:val="00893AB6"/>
    <w:rsid w:val="00894399"/>
    <w:rsid w:val="0089579C"/>
    <w:rsid w:val="008959C2"/>
    <w:rsid w:val="00895DDB"/>
    <w:rsid w:val="0089684F"/>
    <w:rsid w:val="00896F4C"/>
    <w:rsid w:val="00897369"/>
    <w:rsid w:val="00897EE4"/>
    <w:rsid w:val="008A05AD"/>
    <w:rsid w:val="008A13C2"/>
    <w:rsid w:val="008A1CB6"/>
    <w:rsid w:val="008A3032"/>
    <w:rsid w:val="008A3BEE"/>
    <w:rsid w:val="008A3F4B"/>
    <w:rsid w:val="008A4265"/>
    <w:rsid w:val="008A4803"/>
    <w:rsid w:val="008A4A78"/>
    <w:rsid w:val="008A53B1"/>
    <w:rsid w:val="008A5557"/>
    <w:rsid w:val="008A5CCD"/>
    <w:rsid w:val="008A644C"/>
    <w:rsid w:val="008A6987"/>
    <w:rsid w:val="008A770B"/>
    <w:rsid w:val="008A78EB"/>
    <w:rsid w:val="008B03EB"/>
    <w:rsid w:val="008B10FD"/>
    <w:rsid w:val="008B15C5"/>
    <w:rsid w:val="008B1795"/>
    <w:rsid w:val="008B1F00"/>
    <w:rsid w:val="008B238C"/>
    <w:rsid w:val="008B2DF0"/>
    <w:rsid w:val="008B30AB"/>
    <w:rsid w:val="008B3A0C"/>
    <w:rsid w:val="008B419E"/>
    <w:rsid w:val="008B52B5"/>
    <w:rsid w:val="008B5495"/>
    <w:rsid w:val="008B65D6"/>
    <w:rsid w:val="008B6E03"/>
    <w:rsid w:val="008B730A"/>
    <w:rsid w:val="008B7691"/>
    <w:rsid w:val="008B7ABC"/>
    <w:rsid w:val="008B7B34"/>
    <w:rsid w:val="008B7F82"/>
    <w:rsid w:val="008C0504"/>
    <w:rsid w:val="008C07B5"/>
    <w:rsid w:val="008C0C2F"/>
    <w:rsid w:val="008C0FA4"/>
    <w:rsid w:val="008C2828"/>
    <w:rsid w:val="008C40A7"/>
    <w:rsid w:val="008C57E6"/>
    <w:rsid w:val="008C6462"/>
    <w:rsid w:val="008C68EE"/>
    <w:rsid w:val="008C6F46"/>
    <w:rsid w:val="008C760D"/>
    <w:rsid w:val="008D0F30"/>
    <w:rsid w:val="008D10F0"/>
    <w:rsid w:val="008D2851"/>
    <w:rsid w:val="008D2B25"/>
    <w:rsid w:val="008D3F26"/>
    <w:rsid w:val="008D43B9"/>
    <w:rsid w:val="008D5218"/>
    <w:rsid w:val="008D569F"/>
    <w:rsid w:val="008D594D"/>
    <w:rsid w:val="008D5DDE"/>
    <w:rsid w:val="008D6626"/>
    <w:rsid w:val="008D6708"/>
    <w:rsid w:val="008D7884"/>
    <w:rsid w:val="008E0FF7"/>
    <w:rsid w:val="008E1F79"/>
    <w:rsid w:val="008E1F8A"/>
    <w:rsid w:val="008E2403"/>
    <w:rsid w:val="008E2976"/>
    <w:rsid w:val="008E3C20"/>
    <w:rsid w:val="008E5713"/>
    <w:rsid w:val="008E5A08"/>
    <w:rsid w:val="008E6383"/>
    <w:rsid w:val="008E6919"/>
    <w:rsid w:val="008E69AD"/>
    <w:rsid w:val="008E6E13"/>
    <w:rsid w:val="008F1438"/>
    <w:rsid w:val="008F2712"/>
    <w:rsid w:val="008F32B9"/>
    <w:rsid w:val="008F3648"/>
    <w:rsid w:val="008F3743"/>
    <w:rsid w:val="008F3B1A"/>
    <w:rsid w:val="008F3ED5"/>
    <w:rsid w:val="008F425B"/>
    <w:rsid w:val="008F48DA"/>
    <w:rsid w:val="008F4C2F"/>
    <w:rsid w:val="008F5228"/>
    <w:rsid w:val="008F5467"/>
    <w:rsid w:val="008F5EB9"/>
    <w:rsid w:val="008F7EDE"/>
    <w:rsid w:val="00900A03"/>
    <w:rsid w:val="00901F48"/>
    <w:rsid w:val="00903242"/>
    <w:rsid w:val="0090395A"/>
    <w:rsid w:val="00903E7C"/>
    <w:rsid w:val="00904118"/>
    <w:rsid w:val="0090468D"/>
    <w:rsid w:val="00904E0E"/>
    <w:rsid w:val="00906310"/>
    <w:rsid w:val="00907533"/>
    <w:rsid w:val="0090756A"/>
    <w:rsid w:val="00907C14"/>
    <w:rsid w:val="00907E91"/>
    <w:rsid w:val="00907EDD"/>
    <w:rsid w:val="0091036F"/>
    <w:rsid w:val="009115FA"/>
    <w:rsid w:val="009117F7"/>
    <w:rsid w:val="0091228B"/>
    <w:rsid w:val="00912A9A"/>
    <w:rsid w:val="00912EB7"/>
    <w:rsid w:val="00912F6A"/>
    <w:rsid w:val="00915277"/>
    <w:rsid w:val="009154FF"/>
    <w:rsid w:val="00916080"/>
    <w:rsid w:val="009162D4"/>
    <w:rsid w:val="00917453"/>
    <w:rsid w:val="009201B7"/>
    <w:rsid w:val="009212BC"/>
    <w:rsid w:val="009213B7"/>
    <w:rsid w:val="009226A3"/>
    <w:rsid w:val="0092298E"/>
    <w:rsid w:val="0092307A"/>
    <w:rsid w:val="00923670"/>
    <w:rsid w:val="00925064"/>
    <w:rsid w:val="009254E4"/>
    <w:rsid w:val="009256BB"/>
    <w:rsid w:val="00927882"/>
    <w:rsid w:val="00931233"/>
    <w:rsid w:val="00931D92"/>
    <w:rsid w:val="009327FF"/>
    <w:rsid w:val="009328D8"/>
    <w:rsid w:val="00932D1A"/>
    <w:rsid w:val="00934089"/>
    <w:rsid w:val="009350E6"/>
    <w:rsid w:val="00935F71"/>
    <w:rsid w:val="0093628B"/>
    <w:rsid w:val="00936EA2"/>
    <w:rsid w:val="009378DB"/>
    <w:rsid w:val="00940AE3"/>
    <w:rsid w:val="00940DE6"/>
    <w:rsid w:val="00941338"/>
    <w:rsid w:val="00941FCA"/>
    <w:rsid w:val="0094207D"/>
    <w:rsid w:val="009426A3"/>
    <w:rsid w:val="00942B27"/>
    <w:rsid w:val="00942C5F"/>
    <w:rsid w:val="00942D61"/>
    <w:rsid w:val="00944A75"/>
    <w:rsid w:val="009452AB"/>
    <w:rsid w:val="009476E1"/>
    <w:rsid w:val="00947914"/>
    <w:rsid w:val="00951F10"/>
    <w:rsid w:val="009523F9"/>
    <w:rsid w:val="00952ADD"/>
    <w:rsid w:val="009532FB"/>
    <w:rsid w:val="009539AF"/>
    <w:rsid w:val="009543D6"/>
    <w:rsid w:val="00954C13"/>
    <w:rsid w:val="0095534B"/>
    <w:rsid w:val="00955693"/>
    <w:rsid w:val="0095572F"/>
    <w:rsid w:val="00955A22"/>
    <w:rsid w:val="00955AC0"/>
    <w:rsid w:val="009600FD"/>
    <w:rsid w:val="00960EBE"/>
    <w:rsid w:val="009611DF"/>
    <w:rsid w:val="00961309"/>
    <w:rsid w:val="009616E9"/>
    <w:rsid w:val="009619E8"/>
    <w:rsid w:val="00962074"/>
    <w:rsid w:val="00963708"/>
    <w:rsid w:val="009640AC"/>
    <w:rsid w:val="00964294"/>
    <w:rsid w:val="009645A0"/>
    <w:rsid w:val="00964799"/>
    <w:rsid w:val="00964A9F"/>
    <w:rsid w:val="00964CED"/>
    <w:rsid w:val="00965504"/>
    <w:rsid w:val="009658AE"/>
    <w:rsid w:val="00966F2B"/>
    <w:rsid w:val="009678A0"/>
    <w:rsid w:val="0097008A"/>
    <w:rsid w:val="009703DE"/>
    <w:rsid w:val="00970CC1"/>
    <w:rsid w:val="00970DE0"/>
    <w:rsid w:val="0097142E"/>
    <w:rsid w:val="00971C8A"/>
    <w:rsid w:val="009743EE"/>
    <w:rsid w:val="0097695B"/>
    <w:rsid w:val="0097785F"/>
    <w:rsid w:val="00981492"/>
    <w:rsid w:val="009815AD"/>
    <w:rsid w:val="00981893"/>
    <w:rsid w:val="00981F84"/>
    <w:rsid w:val="009820D6"/>
    <w:rsid w:val="00982E9D"/>
    <w:rsid w:val="009830A6"/>
    <w:rsid w:val="0098343F"/>
    <w:rsid w:val="009839C3"/>
    <w:rsid w:val="0098448B"/>
    <w:rsid w:val="009848FC"/>
    <w:rsid w:val="00984EEF"/>
    <w:rsid w:val="0098515C"/>
    <w:rsid w:val="009859ED"/>
    <w:rsid w:val="009863FA"/>
    <w:rsid w:val="0098659F"/>
    <w:rsid w:val="00987B5C"/>
    <w:rsid w:val="00987F1A"/>
    <w:rsid w:val="00990D79"/>
    <w:rsid w:val="00992349"/>
    <w:rsid w:val="0099305A"/>
    <w:rsid w:val="00994A19"/>
    <w:rsid w:val="00994DE5"/>
    <w:rsid w:val="00995D95"/>
    <w:rsid w:val="00995EF7"/>
    <w:rsid w:val="00996B1F"/>
    <w:rsid w:val="0099741B"/>
    <w:rsid w:val="009A0946"/>
    <w:rsid w:val="009A0A93"/>
    <w:rsid w:val="009A1102"/>
    <w:rsid w:val="009A1F88"/>
    <w:rsid w:val="009A2932"/>
    <w:rsid w:val="009A2B90"/>
    <w:rsid w:val="009A2B9E"/>
    <w:rsid w:val="009A2F80"/>
    <w:rsid w:val="009A3D29"/>
    <w:rsid w:val="009A525A"/>
    <w:rsid w:val="009A7556"/>
    <w:rsid w:val="009A766A"/>
    <w:rsid w:val="009B067F"/>
    <w:rsid w:val="009B41AF"/>
    <w:rsid w:val="009B41C2"/>
    <w:rsid w:val="009B4586"/>
    <w:rsid w:val="009B45C2"/>
    <w:rsid w:val="009B49FA"/>
    <w:rsid w:val="009B66A8"/>
    <w:rsid w:val="009B6AB0"/>
    <w:rsid w:val="009B7D1C"/>
    <w:rsid w:val="009C0F8C"/>
    <w:rsid w:val="009C1091"/>
    <w:rsid w:val="009C3D48"/>
    <w:rsid w:val="009C3D8D"/>
    <w:rsid w:val="009C4CBB"/>
    <w:rsid w:val="009C5F12"/>
    <w:rsid w:val="009C63C8"/>
    <w:rsid w:val="009C64FC"/>
    <w:rsid w:val="009C7380"/>
    <w:rsid w:val="009D0901"/>
    <w:rsid w:val="009D0A7E"/>
    <w:rsid w:val="009D0FE2"/>
    <w:rsid w:val="009D125C"/>
    <w:rsid w:val="009D13DF"/>
    <w:rsid w:val="009D16ED"/>
    <w:rsid w:val="009D1916"/>
    <w:rsid w:val="009D2FF0"/>
    <w:rsid w:val="009D3218"/>
    <w:rsid w:val="009D35C0"/>
    <w:rsid w:val="009D476E"/>
    <w:rsid w:val="009D4772"/>
    <w:rsid w:val="009D58B9"/>
    <w:rsid w:val="009D5909"/>
    <w:rsid w:val="009D67D8"/>
    <w:rsid w:val="009D691D"/>
    <w:rsid w:val="009D7FDD"/>
    <w:rsid w:val="009E19E5"/>
    <w:rsid w:val="009E21F9"/>
    <w:rsid w:val="009E2B31"/>
    <w:rsid w:val="009E3386"/>
    <w:rsid w:val="009E3962"/>
    <w:rsid w:val="009E39E9"/>
    <w:rsid w:val="009E65A1"/>
    <w:rsid w:val="009E7BDE"/>
    <w:rsid w:val="009E7F0C"/>
    <w:rsid w:val="009E7F81"/>
    <w:rsid w:val="009F0F36"/>
    <w:rsid w:val="009F3C29"/>
    <w:rsid w:val="009F3CE9"/>
    <w:rsid w:val="009F3FB0"/>
    <w:rsid w:val="009F45CD"/>
    <w:rsid w:val="009F49BB"/>
    <w:rsid w:val="009F560A"/>
    <w:rsid w:val="009F5AA9"/>
    <w:rsid w:val="009F5FAF"/>
    <w:rsid w:val="009F6B8E"/>
    <w:rsid w:val="00A02297"/>
    <w:rsid w:val="00A034FF"/>
    <w:rsid w:val="00A03BEE"/>
    <w:rsid w:val="00A04172"/>
    <w:rsid w:val="00A05741"/>
    <w:rsid w:val="00A062DA"/>
    <w:rsid w:val="00A06B24"/>
    <w:rsid w:val="00A113C8"/>
    <w:rsid w:val="00A11C2B"/>
    <w:rsid w:val="00A129DD"/>
    <w:rsid w:val="00A12CB6"/>
    <w:rsid w:val="00A13315"/>
    <w:rsid w:val="00A13A2B"/>
    <w:rsid w:val="00A14658"/>
    <w:rsid w:val="00A14872"/>
    <w:rsid w:val="00A14FE8"/>
    <w:rsid w:val="00A151D6"/>
    <w:rsid w:val="00A15FC6"/>
    <w:rsid w:val="00A1625F"/>
    <w:rsid w:val="00A177D6"/>
    <w:rsid w:val="00A201A8"/>
    <w:rsid w:val="00A20F13"/>
    <w:rsid w:val="00A21101"/>
    <w:rsid w:val="00A21D1D"/>
    <w:rsid w:val="00A21F98"/>
    <w:rsid w:val="00A24CEF"/>
    <w:rsid w:val="00A24F3E"/>
    <w:rsid w:val="00A25B15"/>
    <w:rsid w:val="00A30BFA"/>
    <w:rsid w:val="00A33D1C"/>
    <w:rsid w:val="00A347A1"/>
    <w:rsid w:val="00A354D5"/>
    <w:rsid w:val="00A35659"/>
    <w:rsid w:val="00A35972"/>
    <w:rsid w:val="00A35E06"/>
    <w:rsid w:val="00A35F78"/>
    <w:rsid w:val="00A360DF"/>
    <w:rsid w:val="00A36AA5"/>
    <w:rsid w:val="00A372FF"/>
    <w:rsid w:val="00A4047A"/>
    <w:rsid w:val="00A424B9"/>
    <w:rsid w:val="00A42746"/>
    <w:rsid w:val="00A43294"/>
    <w:rsid w:val="00A448B7"/>
    <w:rsid w:val="00A44A1E"/>
    <w:rsid w:val="00A45460"/>
    <w:rsid w:val="00A45D96"/>
    <w:rsid w:val="00A4626F"/>
    <w:rsid w:val="00A463F7"/>
    <w:rsid w:val="00A46FF6"/>
    <w:rsid w:val="00A52132"/>
    <w:rsid w:val="00A527DB"/>
    <w:rsid w:val="00A52AAD"/>
    <w:rsid w:val="00A53072"/>
    <w:rsid w:val="00A54620"/>
    <w:rsid w:val="00A54745"/>
    <w:rsid w:val="00A5484F"/>
    <w:rsid w:val="00A56686"/>
    <w:rsid w:val="00A56728"/>
    <w:rsid w:val="00A56857"/>
    <w:rsid w:val="00A56A4E"/>
    <w:rsid w:val="00A6084F"/>
    <w:rsid w:val="00A615BC"/>
    <w:rsid w:val="00A61EAD"/>
    <w:rsid w:val="00A6277C"/>
    <w:rsid w:val="00A6292B"/>
    <w:rsid w:val="00A62F32"/>
    <w:rsid w:val="00A642C0"/>
    <w:rsid w:val="00A64C04"/>
    <w:rsid w:val="00A6583D"/>
    <w:rsid w:val="00A661B4"/>
    <w:rsid w:val="00A67058"/>
    <w:rsid w:val="00A670CE"/>
    <w:rsid w:val="00A71977"/>
    <w:rsid w:val="00A719AC"/>
    <w:rsid w:val="00A71A6E"/>
    <w:rsid w:val="00A73F33"/>
    <w:rsid w:val="00A74183"/>
    <w:rsid w:val="00A75881"/>
    <w:rsid w:val="00A767B7"/>
    <w:rsid w:val="00A77359"/>
    <w:rsid w:val="00A77E36"/>
    <w:rsid w:val="00A80BC4"/>
    <w:rsid w:val="00A80FD3"/>
    <w:rsid w:val="00A81441"/>
    <w:rsid w:val="00A82137"/>
    <w:rsid w:val="00A82E16"/>
    <w:rsid w:val="00A83512"/>
    <w:rsid w:val="00A83914"/>
    <w:rsid w:val="00A83ECF"/>
    <w:rsid w:val="00A8608B"/>
    <w:rsid w:val="00A8666C"/>
    <w:rsid w:val="00A86734"/>
    <w:rsid w:val="00A90220"/>
    <w:rsid w:val="00A90E19"/>
    <w:rsid w:val="00A9251E"/>
    <w:rsid w:val="00A93B9B"/>
    <w:rsid w:val="00A951B9"/>
    <w:rsid w:val="00A953E3"/>
    <w:rsid w:val="00A95426"/>
    <w:rsid w:val="00A95B4D"/>
    <w:rsid w:val="00A9699E"/>
    <w:rsid w:val="00A96C09"/>
    <w:rsid w:val="00A97C83"/>
    <w:rsid w:val="00AA02E3"/>
    <w:rsid w:val="00AA070D"/>
    <w:rsid w:val="00AA0830"/>
    <w:rsid w:val="00AA194B"/>
    <w:rsid w:val="00AA1A9F"/>
    <w:rsid w:val="00AA4971"/>
    <w:rsid w:val="00AA5D4C"/>
    <w:rsid w:val="00AA6988"/>
    <w:rsid w:val="00AA732C"/>
    <w:rsid w:val="00AA7761"/>
    <w:rsid w:val="00AB2174"/>
    <w:rsid w:val="00AB338F"/>
    <w:rsid w:val="00AB46A8"/>
    <w:rsid w:val="00AB47CB"/>
    <w:rsid w:val="00AB514F"/>
    <w:rsid w:val="00AB536E"/>
    <w:rsid w:val="00AB56DB"/>
    <w:rsid w:val="00AB7028"/>
    <w:rsid w:val="00AB7489"/>
    <w:rsid w:val="00AB7E78"/>
    <w:rsid w:val="00AC0E4C"/>
    <w:rsid w:val="00AC22A9"/>
    <w:rsid w:val="00AC3437"/>
    <w:rsid w:val="00AC41F2"/>
    <w:rsid w:val="00AC437E"/>
    <w:rsid w:val="00AC45C1"/>
    <w:rsid w:val="00AC516C"/>
    <w:rsid w:val="00AC5277"/>
    <w:rsid w:val="00AC54B4"/>
    <w:rsid w:val="00AC576D"/>
    <w:rsid w:val="00AC57A1"/>
    <w:rsid w:val="00AC5B86"/>
    <w:rsid w:val="00AC64AF"/>
    <w:rsid w:val="00AC6FF1"/>
    <w:rsid w:val="00AC7240"/>
    <w:rsid w:val="00AD1474"/>
    <w:rsid w:val="00AD22AD"/>
    <w:rsid w:val="00AD2A6E"/>
    <w:rsid w:val="00AD380C"/>
    <w:rsid w:val="00AD3BA1"/>
    <w:rsid w:val="00AD43C3"/>
    <w:rsid w:val="00AD4608"/>
    <w:rsid w:val="00AD4EFE"/>
    <w:rsid w:val="00AD535D"/>
    <w:rsid w:val="00AD7447"/>
    <w:rsid w:val="00AD778A"/>
    <w:rsid w:val="00AE0193"/>
    <w:rsid w:val="00AE024A"/>
    <w:rsid w:val="00AE0718"/>
    <w:rsid w:val="00AE0958"/>
    <w:rsid w:val="00AE0CE0"/>
    <w:rsid w:val="00AE1BB2"/>
    <w:rsid w:val="00AE1E7D"/>
    <w:rsid w:val="00AE3517"/>
    <w:rsid w:val="00AE3C70"/>
    <w:rsid w:val="00AE4FB0"/>
    <w:rsid w:val="00AE54C8"/>
    <w:rsid w:val="00AE576D"/>
    <w:rsid w:val="00AE6763"/>
    <w:rsid w:val="00AE6FF5"/>
    <w:rsid w:val="00AE749E"/>
    <w:rsid w:val="00AF00BB"/>
    <w:rsid w:val="00AF039C"/>
    <w:rsid w:val="00AF134E"/>
    <w:rsid w:val="00AF1B4D"/>
    <w:rsid w:val="00AF259D"/>
    <w:rsid w:val="00AF3133"/>
    <w:rsid w:val="00AF36C5"/>
    <w:rsid w:val="00AF38AD"/>
    <w:rsid w:val="00AF437D"/>
    <w:rsid w:val="00AF4DA0"/>
    <w:rsid w:val="00AF4E7B"/>
    <w:rsid w:val="00AF66B2"/>
    <w:rsid w:val="00AF6EAA"/>
    <w:rsid w:val="00B00221"/>
    <w:rsid w:val="00B00BDA"/>
    <w:rsid w:val="00B00EE4"/>
    <w:rsid w:val="00B0106C"/>
    <w:rsid w:val="00B010B3"/>
    <w:rsid w:val="00B02120"/>
    <w:rsid w:val="00B02EDB"/>
    <w:rsid w:val="00B03B2D"/>
    <w:rsid w:val="00B03DD0"/>
    <w:rsid w:val="00B04064"/>
    <w:rsid w:val="00B05AC8"/>
    <w:rsid w:val="00B06320"/>
    <w:rsid w:val="00B07C79"/>
    <w:rsid w:val="00B1000A"/>
    <w:rsid w:val="00B11247"/>
    <w:rsid w:val="00B11BB2"/>
    <w:rsid w:val="00B11EE7"/>
    <w:rsid w:val="00B12220"/>
    <w:rsid w:val="00B133BE"/>
    <w:rsid w:val="00B13AC0"/>
    <w:rsid w:val="00B14727"/>
    <w:rsid w:val="00B15A3F"/>
    <w:rsid w:val="00B17189"/>
    <w:rsid w:val="00B22B97"/>
    <w:rsid w:val="00B23907"/>
    <w:rsid w:val="00B23E21"/>
    <w:rsid w:val="00B244D7"/>
    <w:rsid w:val="00B24C81"/>
    <w:rsid w:val="00B25780"/>
    <w:rsid w:val="00B2581E"/>
    <w:rsid w:val="00B26536"/>
    <w:rsid w:val="00B26DD1"/>
    <w:rsid w:val="00B303FB"/>
    <w:rsid w:val="00B30CAB"/>
    <w:rsid w:val="00B320BC"/>
    <w:rsid w:val="00B32B0E"/>
    <w:rsid w:val="00B32C5C"/>
    <w:rsid w:val="00B33C39"/>
    <w:rsid w:val="00B34988"/>
    <w:rsid w:val="00B3656E"/>
    <w:rsid w:val="00B365A8"/>
    <w:rsid w:val="00B3715B"/>
    <w:rsid w:val="00B3722C"/>
    <w:rsid w:val="00B372B6"/>
    <w:rsid w:val="00B411AB"/>
    <w:rsid w:val="00B41CC1"/>
    <w:rsid w:val="00B42BD9"/>
    <w:rsid w:val="00B43132"/>
    <w:rsid w:val="00B43238"/>
    <w:rsid w:val="00B442B2"/>
    <w:rsid w:val="00B44B3A"/>
    <w:rsid w:val="00B44D86"/>
    <w:rsid w:val="00B45AE1"/>
    <w:rsid w:val="00B46A92"/>
    <w:rsid w:val="00B50E44"/>
    <w:rsid w:val="00B52BC4"/>
    <w:rsid w:val="00B52E82"/>
    <w:rsid w:val="00B537D2"/>
    <w:rsid w:val="00B5466D"/>
    <w:rsid w:val="00B54E61"/>
    <w:rsid w:val="00B5548B"/>
    <w:rsid w:val="00B554F9"/>
    <w:rsid w:val="00B570F0"/>
    <w:rsid w:val="00B579B9"/>
    <w:rsid w:val="00B60B97"/>
    <w:rsid w:val="00B61300"/>
    <w:rsid w:val="00B618BE"/>
    <w:rsid w:val="00B61EE2"/>
    <w:rsid w:val="00B62553"/>
    <w:rsid w:val="00B63CDD"/>
    <w:rsid w:val="00B64422"/>
    <w:rsid w:val="00B64BCB"/>
    <w:rsid w:val="00B652DC"/>
    <w:rsid w:val="00B658B8"/>
    <w:rsid w:val="00B6781D"/>
    <w:rsid w:val="00B67BE1"/>
    <w:rsid w:val="00B71DF0"/>
    <w:rsid w:val="00B721ED"/>
    <w:rsid w:val="00B75BC1"/>
    <w:rsid w:val="00B75D04"/>
    <w:rsid w:val="00B762A1"/>
    <w:rsid w:val="00B76D80"/>
    <w:rsid w:val="00B76F1E"/>
    <w:rsid w:val="00B775FF"/>
    <w:rsid w:val="00B77810"/>
    <w:rsid w:val="00B77E1E"/>
    <w:rsid w:val="00B802B9"/>
    <w:rsid w:val="00B81B89"/>
    <w:rsid w:val="00B81FAB"/>
    <w:rsid w:val="00B82161"/>
    <w:rsid w:val="00B82AEC"/>
    <w:rsid w:val="00B82CD5"/>
    <w:rsid w:val="00B83A5A"/>
    <w:rsid w:val="00B83CE1"/>
    <w:rsid w:val="00B840A1"/>
    <w:rsid w:val="00B8492E"/>
    <w:rsid w:val="00B84A81"/>
    <w:rsid w:val="00B858FF"/>
    <w:rsid w:val="00B86A52"/>
    <w:rsid w:val="00B87AAA"/>
    <w:rsid w:val="00B9045B"/>
    <w:rsid w:val="00B905C8"/>
    <w:rsid w:val="00B91729"/>
    <w:rsid w:val="00B91776"/>
    <w:rsid w:val="00B92A30"/>
    <w:rsid w:val="00B92C15"/>
    <w:rsid w:val="00B92C76"/>
    <w:rsid w:val="00B92CE3"/>
    <w:rsid w:val="00B9310B"/>
    <w:rsid w:val="00B9359B"/>
    <w:rsid w:val="00B94113"/>
    <w:rsid w:val="00B94909"/>
    <w:rsid w:val="00B94921"/>
    <w:rsid w:val="00B94ADA"/>
    <w:rsid w:val="00B9605A"/>
    <w:rsid w:val="00BA0A2D"/>
    <w:rsid w:val="00BA0DB4"/>
    <w:rsid w:val="00BA0DFB"/>
    <w:rsid w:val="00BA14A2"/>
    <w:rsid w:val="00BA275F"/>
    <w:rsid w:val="00BA295D"/>
    <w:rsid w:val="00BA2F4F"/>
    <w:rsid w:val="00BA3522"/>
    <w:rsid w:val="00BA4CA8"/>
    <w:rsid w:val="00BA4DEE"/>
    <w:rsid w:val="00BA56E5"/>
    <w:rsid w:val="00BA602D"/>
    <w:rsid w:val="00BA626D"/>
    <w:rsid w:val="00BA6A6F"/>
    <w:rsid w:val="00BB07A4"/>
    <w:rsid w:val="00BB0E71"/>
    <w:rsid w:val="00BB10FA"/>
    <w:rsid w:val="00BB1315"/>
    <w:rsid w:val="00BB1BCD"/>
    <w:rsid w:val="00BB2353"/>
    <w:rsid w:val="00BB2A30"/>
    <w:rsid w:val="00BB2AE6"/>
    <w:rsid w:val="00BB3611"/>
    <w:rsid w:val="00BB3876"/>
    <w:rsid w:val="00BB3914"/>
    <w:rsid w:val="00BB3E66"/>
    <w:rsid w:val="00BB4F25"/>
    <w:rsid w:val="00BB74EE"/>
    <w:rsid w:val="00BB7C26"/>
    <w:rsid w:val="00BC047C"/>
    <w:rsid w:val="00BC0920"/>
    <w:rsid w:val="00BC10A7"/>
    <w:rsid w:val="00BC164E"/>
    <w:rsid w:val="00BC2EB1"/>
    <w:rsid w:val="00BC3212"/>
    <w:rsid w:val="00BC40AB"/>
    <w:rsid w:val="00BC47AA"/>
    <w:rsid w:val="00BC5562"/>
    <w:rsid w:val="00BC6112"/>
    <w:rsid w:val="00BC65B5"/>
    <w:rsid w:val="00BC6CC8"/>
    <w:rsid w:val="00BC7FD1"/>
    <w:rsid w:val="00BD0989"/>
    <w:rsid w:val="00BD139D"/>
    <w:rsid w:val="00BD1932"/>
    <w:rsid w:val="00BD23BA"/>
    <w:rsid w:val="00BD266E"/>
    <w:rsid w:val="00BD3DFE"/>
    <w:rsid w:val="00BD4096"/>
    <w:rsid w:val="00BD42BD"/>
    <w:rsid w:val="00BD46DC"/>
    <w:rsid w:val="00BD52D0"/>
    <w:rsid w:val="00BD567D"/>
    <w:rsid w:val="00BD5ACB"/>
    <w:rsid w:val="00BD60D3"/>
    <w:rsid w:val="00BD7C3A"/>
    <w:rsid w:val="00BE03D4"/>
    <w:rsid w:val="00BE0A5B"/>
    <w:rsid w:val="00BE0C94"/>
    <w:rsid w:val="00BE0F01"/>
    <w:rsid w:val="00BE10BB"/>
    <w:rsid w:val="00BE1263"/>
    <w:rsid w:val="00BE128C"/>
    <w:rsid w:val="00BE1433"/>
    <w:rsid w:val="00BE2351"/>
    <w:rsid w:val="00BE2790"/>
    <w:rsid w:val="00BE2D47"/>
    <w:rsid w:val="00BE30CD"/>
    <w:rsid w:val="00BE4830"/>
    <w:rsid w:val="00BE5AE0"/>
    <w:rsid w:val="00BE733F"/>
    <w:rsid w:val="00BF0084"/>
    <w:rsid w:val="00BF012F"/>
    <w:rsid w:val="00BF0D07"/>
    <w:rsid w:val="00BF2EEA"/>
    <w:rsid w:val="00BF3886"/>
    <w:rsid w:val="00BF42F8"/>
    <w:rsid w:val="00BF4666"/>
    <w:rsid w:val="00BF5285"/>
    <w:rsid w:val="00BF6328"/>
    <w:rsid w:val="00BF7200"/>
    <w:rsid w:val="00BF77A5"/>
    <w:rsid w:val="00BF7861"/>
    <w:rsid w:val="00BF7EC5"/>
    <w:rsid w:val="00C002EA"/>
    <w:rsid w:val="00C00B25"/>
    <w:rsid w:val="00C00B8D"/>
    <w:rsid w:val="00C01B35"/>
    <w:rsid w:val="00C03386"/>
    <w:rsid w:val="00C037EF"/>
    <w:rsid w:val="00C03CEB"/>
    <w:rsid w:val="00C041FF"/>
    <w:rsid w:val="00C0450E"/>
    <w:rsid w:val="00C04B53"/>
    <w:rsid w:val="00C04EEB"/>
    <w:rsid w:val="00C051FA"/>
    <w:rsid w:val="00C0584C"/>
    <w:rsid w:val="00C058F0"/>
    <w:rsid w:val="00C05BCE"/>
    <w:rsid w:val="00C06338"/>
    <w:rsid w:val="00C067DC"/>
    <w:rsid w:val="00C077A7"/>
    <w:rsid w:val="00C1021A"/>
    <w:rsid w:val="00C105E3"/>
    <w:rsid w:val="00C108CB"/>
    <w:rsid w:val="00C11D63"/>
    <w:rsid w:val="00C14022"/>
    <w:rsid w:val="00C17010"/>
    <w:rsid w:val="00C17E1A"/>
    <w:rsid w:val="00C221DD"/>
    <w:rsid w:val="00C2292B"/>
    <w:rsid w:val="00C22B3B"/>
    <w:rsid w:val="00C235F6"/>
    <w:rsid w:val="00C24000"/>
    <w:rsid w:val="00C2464E"/>
    <w:rsid w:val="00C24E58"/>
    <w:rsid w:val="00C25A53"/>
    <w:rsid w:val="00C25ABD"/>
    <w:rsid w:val="00C25EE3"/>
    <w:rsid w:val="00C2743A"/>
    <w:rsid w:val="00C3001D"/>
    <w:rsid w:val="00C3050D"/>
    <w:rsid w:val="00C31203"/>
    <w:rsid w:val="00C31BFE"/>
    <w:rsid w:val="00C33219"/>
    <w:rsid w:val="00C333E8"/>
    <w:rsid w:val="00C33DB3"/>
    <w:rsid w:val="00C33DE6"/>
    <w:rsid w:val="00C33E5D"/>
    <w:rsid w:val="00C365BE"/>
    <w:rsid w:val="00C3674F"/>
    <w:rsid w:val="00C40559"/>
    <w:rsid w:val="00C4299A"/>
    <w:rsid w:val="00C42D34"/>
    <w:rsid w:val="00C45BEF"/>
    <w:rsid w:val="00C45DD6"/>
    <w:rsid w:val="00C46C1B"/>
    <w:rsid w:val="00C46CE5"/>
    <w:rsid w:val="00C46DCA"/>
    <w:rsid w:val="00C5158F"/>
    <w:rsid w:val="00C519A9"/>
    <w:rsid w:val="00C52D4A"/>
    <w:rsid w:val="00C52E0F"/>
    <w:rsid w:val="00C54370"/>
    <w:rsid w:val="00C5468F"/>
    <w:rsid w:val="00C550ED"/>
    <w:rsid w:val="00C5536F"/>
    <w:rsid w:val="00C553E5"/>
    <w:rsid w:val="00C55FCC"/>
    <w:rsid w:val="00C566CA"/>
    <w:rsid w:val="00C57627"/>
    <w:rsid w:val="00C57CBF"/>
    <w:rsid w:val="00C603A8"/>
    <w:rsid w:val="00C603BB"/>
    <w:rsid w:val="00C61E15"/>
    <w:rsid w:val="00C622AE"/>
    <w:rsid w:val="00C62443"/>
    <w:rsid w:val="00C636D4"/>
    <w:rsid w:val="00C64927"/>
    <w:rsid w:val="00C64E96"/>
    <w:rsid w:val="00C64EDF"/>
    <w:rsid w:val="00C653AD"/>
    <w:rsid w:val="00C65816"/>
    <w:rsid w:val="00C6650B"/>
    <w:rsid w:val="00C66553"/>
    <w:rsid w:val="00C67470"/>
    <w:rsid w:val="00C67E72"/>
    <w:rsid w:val="00C71AFB"/>
    <w:rsid w:val="00C74327"/>
    <w:rsid w:val="00C75220"/>
    <w:rsid w:val="00C772A6"/>
    <w:rsid w:val="00C77AFA"/>
    <w:rsid w:val="00C77BBD"/>
    <w:rsid w:val="00C77C60"/>
    <w:rsid w:val="00C805C5"/>
    <w:rsid w:val="00C81BBB"/>
    <w:rsid w:val="00C82CF4"/>
    <w:rsid w:val="00C8369B"/>
    <w:rsid w:val="00C8399C"/>
    <w:rsid w:val="00C84169"/>
    <w:rsid w:val="00C86062"/>
    <w:rsid w:val="00C86546"/>
    <w:rsid w:val="00C8667C"/>
    <w:rsid w:val="00C9016E"/>
    <w:rsid w:val="00C9071A"/>
    <w:rsid w:val="00C90A51"/>
    <w:rsid w:val="00C92329"/>
    <w:rsid w:val="00C92512"/>
    <w:rsid w:val="00C93249"/>
    <w:rsid w:val="00C9355D"/>
    <w:rsid w:val="00C9378B"/>
    <w:rsid w:val="00C93C24"/>
    <w:rsid w:val="00C94F81"/>
    <w:rsid w:val="00C9587D"/>
    <w:rsid w:val="00C95BF7"/>
    <w:rsid w:val="00C96091"/>
    <w:rsid w:val="00C966BC"/>
    <w:rsid w:val="00C97336"/>
    <w:rsid w:val="00C97741"/>
    <w:rsid w:val="00C97913"/>
    <w:rsid w:val="00C97BF2"/>
    <w:rsid w:val="00CA06ED"/>
    <w:rsid w:val="00CA08B8"/>
    <w:rsid w:val="00CA0F20"/>
    <w:rsid w:val="00CA11F5"/>
    <w:rsid w:val="00CA1548"/>
    <w:rsid w:val="00CA2AC0"/>
    <w:rsid w:val="00CA2D57"/>
    <w:rsid w:val="00CA3F9D"/>
    <w:rsid w:val="00CA45DC"/>
    <w:rsid w:val="00CA49DB"/>
    <w:rsid w:val="00CA4CB4"/>
    <w:rsid w:val="00CA5D67"/>
    <w:rsid w:val="00CA6970"/>
    <w:rsid w:val="00CA714A"/>
    <w:rsid w:val="00CA714F"/>
    <w:rsid w:val="00CA7449"/>
    <w:rsid w:val="00CA7E50"/>
    <w:rsid w:val="00CB0F45"/>
    <w:rsid w:val="00CB2DA1"/>
    <w:rsid w:val="00CB31BF"/>
    <w:rsid w:val="00CB365E"/>
    <w:rsid w:val="00CB39C3"/>
    <w:rsid w:val="00CB59CB"/>
    <w:rsid w:val="00CB67CA"/>
    <w:rsid w:val="00CB6D0E"/>
    <w:rsid w:val="00CB6E5E"/>
    <w:rsid w:val="00CB7557"/>
    <w:rsid w:val="00CC016F"/>
    <w:rsid w:val="00CC0E2E"/>
    <w:rsid w:val="00CC1BB5"/>
    <w:rsid w:val="00CC2034"/>
    <w:rsid w:val="00CC2A3B"/>
    <w:rsid w:val="00CC33B5"/>
    <w:rsid w:val="00CC4945"/>
    <w:rsid w:val="00CC494B"/>
    <w:rsid w:val="00CC4E30"/>
    <w:rsid w:val="00CC5618"/>
    <w:rsid w:val="00CC663A"/>
    <w:rsid w:val="00CC72E6"/>
    <w:rsid w:val="00CC78A8"/>
    <w:rsid w:val="00CD0240"/>
    <w:rsid w:val="00CD0C90"/>
    <w:rsid w:val="00CD162E"/>
    <w:rsid w:val="00CD1CAE"/>
    <w:rsid w:val="00CD2499"/>
    <w:rsid w:val="00CD299E"/>
    <w:rsid w:val="00CD4B1C"/>
    <w:rsid w:val="00CD576B"/>
    <w:rsid w:val="00CD6959"/>
    <w:rsid w:val="00CD6A90"/>
    <w:rsid w:val="00CD7E04"/>
    <w:rsid w:val="00CE056F"/>
    <w:rsid w:val="00CE093E"/>
    <w:rsid w:val="00CE0949"/>
    <w:rsid w:val="00CE1438"/>
    <w:rsid w:val="00CE1D2E"/>
    <w:rsid w:val="00CE2419"/>
    <w:rsid w:val="00CE263D"/>
    <w:rsid w:val="00CE37FC"/>
    <w:rsid w:val="00CE4658"/>
    <w:rsid w:val="00CE58DC"/>
    <w:rsid w:val="00CE619D"/>
    <w:rsid w:val="00CE63AB"/>
    <w:rsid w:val="00CE6963"/>
    <w:rsid w:val="00CE7287"/>
    <w:rsid w:val="00CE756D"/>
    <w:rsid w:val="00CF177E"/>
    <w:rsid w:val="00CF20AC"/>
    <w:rsid w:val="00CF23EA"/>
    <w:rsid w:val="00CF2D88"/>
    <w:rsid w:val="00CF43DF"/>
    <w:rsid w:val="00CF5087"/>
    <w:rsid w:val="00CF69F8"/>
    <w:rsid w:val="00CF6BFB"/>
    <w:rsid w:val="00CF7094"/>
    <w:rsid w:val="00CF7958"/>
    <w:rsid w:val="00D001B3"/>
    <w:rsid w:val="00D007B0"/>
    <w:rsid w:val="00D00FF6"/>
    <w:rsid w:val="00D01208"/>
    <w:rsid w:val="00D01CA9"/>
    <w:rsid w:val="00D022CA"/>
    <w:rsid w:val="00D03069"/>
    <w:rsid w:val="00D0344C"/>
    <w:rsid w:val="00D038C9"/>
    <w:rsid w:val="00D038FA"/>
    <w:rsid w:val="00D03C9B"/>
    <w:rsid w:val="00D05207"/>
    <w:rsid w:val="00D0551D"/>
    <w:rsid w:val="00D06B97"/>
    <w:rsid w:val="00D06E25"/>
    <w:rsid w:val="00D10C28"/>
    <w:rsid w:val="00D1120E"/>
    <w:rsid w:val="00D123AC"/>
    <w:rsid w:val="00D12576"/>
    <w:rsid w:val="00D135D9"/>
    <w:rsid w:val="00D15E73"/>
    <w:rsid w:val="00D17AAE"/>
    <w:rsid w:val="00D20539"/>
    <w:rsid w:val="00D21262"/>
    <w:rsid w:val="00D21D2B"/>
    <w:rsid w:val="00D223D0"/>
    <w:rsid w:val="00D239A2"/>
    <w:rsid w:val="00D2481E"/>
    <w:rsid w:val="00D24826"/>
    <w:rsid w:val="00D26700"/>
    <w:rsid w:val="00D2787B"/>
    <w:rsid w:val="00D30062"/>
    <w:rsid w:val="00D3099B"/>
    <w:rsid w:val="00D30A5C"/>
    <w:rsid w:val="00D30BDE"/>
    <w:rsid w:val="00D32D93"/>
    <w:rsid w:val="00D337D2"/>
    <w:rsid w:val="00D339B8"/>
    <w:rsid w:val="00D33BB8"/>
    <w:rsid w:val="00D35A5E"/>
    <w:rsid w:val="00D36DB4"/>
    <w:rsid w:val="00D371AA"/>
    <w:rsid w:val="00D37DD3"/>
    <w:rsid w:val="00D41240"/>
    <w:rsid w:val="00D4233C"/>
    <w:rsid w:val="00D45075"/>
    <w:rsid w:val="00D4522F"/>
    <w:rsid w:val="00D464B9"/>
    <w:rsid w:val="00D4673A"/>
    <w:rsid w:val="00D473BB"/>
    <w:rsid w:val="00D47E7E"/>
    <w:rsid w:val="00D507C6"/>
    <w:rsid w:val="00D50AB3"/>
    <w:rsid w:val="00D50F94"/>
    <w:rsid w:val="00D5197E"/>
    <w:rsid w:val="00D5277F"/>
    <w:rsid w:val="00D53468"/>
    <w:rsid w:val="00D53E23"/>
    <w:rsid w:val="00D544AD"/>
    <w:rsid w:val="00D55903"/>
    <w:rsid w:val="00D55CCF"/>
    <w:rsid w:val="00D57D10"/>
    <w:rsid w:val="00D57E4D"/>
    <w:rsid w:val="00D57F2B"/>
    <w:rsid w:val="00D60610"/>
    <w:rsid w:val="00D60DCD"/>
    <w:rsid w:val="00D6215C"/>
    <w:rsid w:val="00D6303B"/>
    <w:rsid w:val="00D63225"/>
    <w:rsid w:val="00D63F80"/>
    <w:rsid w:val="00D64C07"/>
    <w:rsid w:val="00D65204"/>
    <w:rsid w:val="00D656FA"/>
    <w:rsid w:val="00D65F5E"/>
    <w:rsid w:val="00D66E68"/>
    <w:rsid w:val="00D67016"/>
    <w:rsid w:val="00D678B7"/>
    <w:rsid w:val="00D67C5A"/>
    <w:rsid w:val="00D7057B"/>
    <w:rsid w:val="00D7105F"/>
    <w:rsid w:val="00D730F5"/>
    <w:rsid w:val="00D73C40"/>
    <w:rsid w:val="00D73E12"/>
    <w:rsid w:val="00D744B5"/>
    <w:rsid w:val="00D746F6"/>
    <w:rsid w:val="00D777E3"/>
    <w:rsid w:val="00D77D84"/>
    <w:rsid w:val="00D80065"/>
    <w:rsid w:val="00D808F7"/>
    <w:rsid w:val="00D81725"/>
    <w:rsid w:val="00D82242"/>
    <w:rsid w:val="00D82B9C"/>
    <w:rsid w:val="00D83AAC"/>
    <w:rsid w:val="00D83EAA"/>
    <w:rsid w:val="00D858E8"/>
    <w:rsid w:val="00D86D05"/>
    <w:rsid w:val="00D86D51"/>
    <w:rsid w:val="00D87437"/>
    <w:rsid w:val="00D87B97"/>
    <w:rsid w:val="00D91FDB"/>
    <w:rsid w:val="00D935B5"/>
    <w:rsid w:val="00D935C4"/>
    <w:rsid w:val="00D94947"/>
    <w:rsid w:val="00D952AB"/>
    <w:rsid w:val="00D95EE9"/>
    <w:rsid w:val="00D96018"/>
    <w:rsid w:val="00D9716E"/>
    <w:rsid w:val="00D9754F"/>
    <w:rsid w:val="00D97CF9"/>
    <w:rsid w:val="00DA16A6"/>
    <w:rsid w:val="00DA1BCC"/>
    <w:rsid w:val="00DA22E9"/>
    <w:rsid w:val="00DA2C1D"/>
    <w:rsid w:val="00DA4308"/>
    <w:rsid w:val="00DA5AD0"/>
    <w:rsid w:val="00DA6161"/>
    <w:rsid w:val="00DA6428"/>
    <w:rsid w:val="00DA66B3"/>
    <w:rsid w:val="00DA6D46"/>
    <w:rsid w:val="00DA7820"/>
    <w:rsid w:val="00DB04FB"/>
    <w:rsid w:val="00DB10D4"/>
    <w:rsid w:val="00DB1C60"/>
    <w:rsid w:val="00DB1E58"/>
    <w:rsid w:val="00DB2D69"/>
    <w:rsid w:val="00DB2FD7"/>
    <w:rsid w:val="00DB38F8"/>
    <w:rsid w:val="00DB3CE0"/>
    <w:rsid w:val="00DB3D30"/>
    <w:rsid w:val="00DB4195"/>
    <w:rsid w:val="00DB54F0"/>
    <w:rsid w:val="00DB5FDA"/>
    <w:rsid w:val="00DB68EA"/>
    <w:rsid w:val="00DB713A"/>
    <w:rsid w:val="00DB75E3"/>
    <w:rsid w:val="00DB7964"/>
    <w:rsid w:val="00DB7FC0"/>
    <w:rsid w:val="00DC0C16"/>
    <w:rsid w:val="00DC14EA"/>
    <w:rsid w:val="00DC1BCA"/>
    <w:rsid w:val="00DC1D56"/>
    <w:rsid w:val="00DC245A"/>
    <w:rsid w:val="00DC4AEE"/>
    <w:rsid w:val="00DC6799"/>
    <w:rsid w:val="00DC69F1"/>
    <w:rsid w:val="00DC6A07"/>
    <w:rsid w:val="00DC7E1C"/>
    <w:rsid w:val="00DD0470"/>
    <w:rsid w:val="00DD06FF"/>
    <w:rsid w:val="00DD0709"/>
    <w:rsid w:val="00DD262C"/>
    <w:rsid w:val="00DD29E2"/>
    <w:rsid w:val="00DD3DCE"/>
    <w:rsid w:val="00DD5F8C"/>
    <w:rsid w:val="00DD6D76"/>
    <w:rsid w:val="00DD709C"/>
    <w:rsid w:val="00DD7380"/>
    <w:rsid w:val="00DD78AD"/>
    <w:rsid w:val="00DE0166"/>
    <w:rsid w:val="00DE0708"/>
    <w:rsid w:val="00DE0D31"/>
    <w:rsid w:val="00DE1DE5"/>
    <w:rsid w:val="00DE27BB"/>
    <w:rsid w:val="00DE2F29"/>
    <w:rsid w:val="00DE35CE"/>
    <w:rsid w:val="00DE394B"/>
    <w:rsid w:val="00DE4B45"/>
    <w:rsid w:val="00DE5027"/>
    <w:rsid w:val="00DE572B"/>
    <w:rsid w:val="00DE59F2"/>
    <w:rsid w:val="00DE5A95"/>
    <w:rsid w:val="00DE5AAB"/>
    <w:rsid w:val="00DE6007"/>
    <w:rsid w:val="00DE635A"/>
    <w:rsid w:val="00DE742C"/>
    <w:rsid w:val="00DF07E1"/>
    <w:rsid w:val="00DF135B"/>
    <w:rsid w:val="00DF168A"/>
    <w:rsid w:val="00DF1A9D"/>
    <w:rsid w:val="00DF1F88"/>
    <w:rsid w:val="00DF25BE"/>
    <w:rsid w:val="00DF2779"/>
    <w:rsid w:val="00DF3BCE"/>
    <w:rsid w:val="00DF4233"/>
    <w:rsid w:val="00DF4EB6"/>
    <w:rsid w:val="00DF6B63"/>
    <w:rsid w:val="00DF7420"/>
    <w:rsid w:val="00DF7839"/>
    <w:rsid w:val="00DF7947"/>
    <w:rsid w:val="00DF7BCA"/>
    <w:rsid w:val="00E01762"/>
    <w:rsid w:val="00E01799"/>
    <w:rsid w:val="00E01B67"/>
    <w:rsid w:val="00E021BB"/>
    <w:rsid w:val="00E03104"/>
    <w:rsid w:val="00E0337F"/>
    <w:rsid w:val="00E03496"/>
    <w:rsid w:val="00E036B3"/>
    <w:rsid w:val="00E03897"/>
    <w:rsid w:val="00E0399A"/>
    <w:rsid w:val="00E03DCF"/>
    <w:rsid w:val="00E040D4"/>
    <w:rsid w:val="00E05252"/>
    <w:rsid w:val="00E055B2"/>
    <w:rsid w:val="00E0681A"/>
    <w:rsid w:val="00E07153"/>
    <w:rsid w:val="00E109C4"/>
    <w:rsid w:val="00E10E83"/>
    <w:rsid w:val="00E11B58"/>
    <w:rsid w:val="00E11D82"/>
    <w:rsid w:val="00E11EEF"/>
    <w:rsid w:val="00E12505"/>
    <w:rsid w:val="00E128BB"/>
    <w:rsid w:val="00E139BC"/>
    <w:rsid w:val="00E13EBB"/>
    <w:rsid w:val="00E14A87"/>
    <w:rsid w:val="00E1502E"/>
    <w:rsid w:val="00E16049"/>
    <w:rsid w:val="00E16DFE"/>
    <w:rsid w:val="00E17848"/>
    <w:rsid w:val="00E17C2E"/>
    <w:rsid w:val="00E2262D"/>
    <w:rsid w:val="00E2381E"/>
    <w:rsid w:val="00E243F9"/>
    <w:rsid w:val="00E24591"/>
    <w:rsid w:val="00E24912"/>
    <w:rsid w:val="00E256C0"/>
    <w:rsid w:val="00E27401"/>
    <w:rsid w:val="00E2762D"/>
    <w:rsid w:val="00E27B1D"/>
    <w:rsid w:val="00E31DCE"/>
    <w:rsid w:val="00E3251A"/>
    <w:rsid w:val="00E32526"/>
    <w:rsid w:val="00E328D1"/>
    <w:rsid w:val="00E33CC9"/>
    <w:rsid w:val="00E3487F"/>
    <w:rsid w:val="00E34BC6"/>
    <w:rsid w:val="00E40B9A"/>
    <w:rsid w:val="00E418C2"/>
    <w:rsid w:val="00E43537"/>
    <w:rsid w:val="00E44076"/>
    <w:rsid w:val="00E4484D"/>
    <w:rsid w:val="00E44D4D"/>
    <w:rsid w:val="00E4585A"/>
    <w:rsid w:val="00E468CD"/>
    <w:rsid w:val="00E475C0"/>
    <w:rsid w:val="00E47F54"/>
    <w:rsid w:val="00E504DD"/>
    <w:rsid w:val="00E511D7"/>
    <w:rsid w:val="00E51330"/>
    <w:rsid w:val="00E51521"/>
    <w:rsid w:val="00E527B6"/>
    <w:rsid w:val="00E53781"/>
    <w:rsid w:val="00E53932"/>
    <w:rsid w:val="00E53AC6"/>
    <w:rsid w:val="00E5431F"/>
    <w:rsid w:val="00E548FE"/>
    <w:rsid w:val="00E54B75"/>
    <w:rsid w:val="00E54C88"/>
    <w:rsid w:val="00E555BE"/>
    <w:rsid w:val="00E56343"/>
    <w:rsid w:val="00E56B74"/>
    <w:rsid w:val="00E56C1E"/>
    <w:rsid w:val="00E56EDE"/>
    <w:rsid w:val="00E6001C"/>
    <w:rsid w:val="00E60914"/>
    <w:rsid w:val="00E60B81"/>
    <w:rsid w:val="00E62B3D"/>
    <w:rsid w:val="00E6398A"/>
    <w:rsid w:val="00E6484A"/>
    <w:rsid w:val="00E64F3A"/>
    <w:rsid w:val="00E651C2"/>
    <w:rsid w:val="00E655A6"/>
    <w:rsid w:val="00E66159"/>
    <w:rsid w:val="00E67E3D"/>
    <w:rsid w:val="00E702BA"/>
    <w:rsid w:val="00E71817"/>
    <w:rsid w:val="00E729AD"/>
    <w:rsid w:val="00E735D4"/>
    <w:rsid w:val="00E73823"/>
    <w:rsid w:val="00E73DA6"/>
    <w:rsid w:val="00E75287"/>
    <w:rsid w:val="00E7679C"/>
    <w:rsid w:val="00E76820"/>
    <w:rsid w:val="00E77550"/>
    <w:rsid w:val="00E77902"/>
    <w:rsid w:val="00E77938"/>
    <w:rsid w:val="00E77C16"/>
    <w:rsid w:val="00E80584"/>
    <w:rsid w:val="00E816DD"/>
    <w:rsid w:val="00E8203E"/>
    <w:rsid w:val="00E82588"/>
    <w:rsid w:val="00E82D29"/>
    <w:rsid w:val="00E830ED"/>
    <w:rsid w:val="00E83F2E"/>
    <w:rsid w:val="00E8425F"/>
    <w:rsid w:val="00E84B35"/>
    <w:rsid w:val="00E8512E"/>
    <w:rsid w:val="00E85237"/>
    <w:rsid w:val="00E85648"/>
    <w:rsid w:val="00E85B8F"/>
    <w:rsid w:val="00E8642B"/>
    <w:rsid w:val="00E8714A"/>
    <w:rsid w:val="00E87244"/>
    <w:rsid w:val="00E93868"/>
    <w:rsid w:val="00E93AFC"/>
    <w:rsid w:val="00E944E9"/>
    <w:rsid w:val="00E946D6"/>
    <w:rsid w:val="00E950FC"/>
    <w:rsid w:val="00E955A0"/>
    <w:rsid w:val="00E95CBE"/>
    <w:rsid w:val="00E95F82"/>
    <w:rsid w:val="00E964B4"/>
    <w:rsid w:val="00EA019D"/>
    <w:rsid w:val="00EA0861"/>
    <w:rsid w:val="00EA12B4"/>
    <w:rsid w:val="00EA1ED0"/>
    <w:rsid w:val="00EA24FA"/>
    <w:rsid w:val="00EA318A"/>
    <w:rsid w:val="00EA3FE0"/>
    <w:rsid w:val="00EA4BFC"/>
    <w:rsid w:val="00EA5485"/>
    <w:rsid w:val="00EA55E1"/>
    <w:rsid w:val="00EA5E1E"/>
    <w:rsid w:val="00EA61CA"/>
    <w:rsid w:val="00EA629F"/>
    <w:rsid w:val="00EA66DA"/>
    <w:rsid w:val="00EA685C"/>
    <w:rsid w:val="00EA7FF7"/>
    <w:rsid w:val="00EB018F"/>
    <w:rsid w:val="00EB0EDE"/>
    <w:rsid w:val="00EB16B5"/>
    <w:rsid w:val="00EB1FA2"/>
    <w:rsid w:val="00EB260D"/>
    <w:rsid w:val="00EB4408"/>
    <w:rsid w:val="00EB4AF2"/>
    <w:rsid w:val="00EB4C01"/>
    <w:rsid w:val="00EB5258"/>
    <w:rsid w:val="00EB5B84"/>
    <w:rsid w:val="00EB68CE"/>
    <w:rsid w:val="00EB6AA8"/>
    <w:rsid w:val="00EB7D09"/>
    <w:rsid w:val="00EC010D"/>
    <w:rsid w:val="00EC183B"/>
    <w:rsid w:val="00EC2982"/>
    <w:rsid w:val="00EC2B2F"/>
    <w:rsid w:val="00EC2B7D"/>
    <w:rsid w:val="00EC2DD3"/>
    <w:rsid w:val="00EC30E0"/>
    <w:rsid w:val="00EC3BB2"/>
    <w:rsid w:val="00EC6629"/>
    <w:rsid w:val="00EC694B"/>
    <w:rsid w:val="00EC71DD"/>
    <w:rsid w:val="00ED1090"/>
    <w:rsid w:val="00ED25CC"/>
    <w:rsid w:val="00ED2E9C"/>
    <w:rsid w:val="00ED2E9F"/>
    <w:rsid w:val="00ED2F85"/>
    <w:rsid w:val="00ED3FCA"/>
    <w:rsid w:val="00ED4589"/>
    <w:rsid w:val="00ED4C3B"/>
    <w:rsid w:val="00ED4CBC"/>
    <w:rsid w:val="00ED508E"/>
    <w:rsid w:val="00ED52F1"/>
    <w:rsid w:val="00ED6506"/>
    <w:rsid w:val="00ED73EC"/>
    <w:rsid w:val="00EE0C2C"/>
    <w:rsid w:val="00EE10CD"/>
    <w:rsid w:val="00EE16DD"/>
    <w:rsid w:val="00EE320A"/>
    <w:rsid w:val="00EE33F9"/>
    <w:rsid w:val="00EE3AAF"/>
    <w:rsid w:val="00EE43EF"/>
    <w:rsid w:val="00EE7069"/>
    <w:rsid w:val="00EE770B"/>
    <w:rsid w:val="00EE7768"/>
    <w:rsid w:val="00EF0170"/>
    <w:rsid w:val="00EF09D3"/>
    <w:rsid w:val="00EF0C36"/>
    <w:rsid w:val="00EF3033"/>
    <w:rsid w:val="00EF38CF"/>
    <w:rsid w:val="00EF38FD"/>
    <w:rsid w:val="00EF4B1E"/>
    <w:rsid w:val="00EF4C9B"/>
    <w:rsid w:val="00EF4CA7"/>
    <w:rsid w:val="00EF4D1B"/>
    <w:rsid w:val="00EF619A"/>
    <w:rsid w:val="00EF6E04"/>
    <w:rsid w:val="00EF7018"/>
    <w:rsid w:val="00EF707D"/>
    <w:rsid w:val="00EF72A4"/>
    <w:rsid w:val="00EF79A2"/>
    <w:rsid w:val="00F00041"/>
    <w:rsid w:val="00F0054F"/>
    <w:rsid w:val="00F00615"/>
    <w:rsid w:val="00F00755"/>
    <w:rsid w:val="00F00EBD"/>
    <w:rsid w:val="00F01095"/>
    <w:rsid w:val="00F0109D"/>
    <w:rsid w:val="00F01418"/>
    <w:rsid w:val="00F05900"/>
    <w:rsid w:val="00F069B2"/>
    <w:rsid w:val="00F07E4D"/>
    <w:rsid w:val="00F10AF7"/>
    <w:rsid w:val="00F10C37"/>
    <w:rsid w:val="00F11FBB"/>
    <w:rsid w:val="00F12C2E"/>
    <w:rsid w:val="00F12C39"/>
    <w:rsid w:val="00F14136"/>
    <w:rsid w:val="00F14869"/>
    <w:rsid w:val="00F14CCF"/>
    <w:rsid w:val="00F14CE1"/>
    <w:rsid w:val="00F17303"/>
    <w:rsid w:val="00F173E6"/>
    <w:rsid w:val="00F20052"/>
    <w:rsid w:val="00F21600"/>
    <w:rsid w:val="00F22890"/>
    <w:rsid w:val="00F22F3C"/>
    <w:rsid w:val="00F23089"/>
    <w:rsid w:val="00F2460F"/>
    <w:rsid w:val="00F24E6E"/>
    <w:rsid w:val="00F250B8"/>
    <w:rsid w:val="00F26D6A"/>
    <w:rsid w:val="00F275D3"/>
    <w:rsid w:val="00F27F47"/>
    <w:rsid w:val="00F301BF"/>
    <w:rsid w:val="00F308D8"/>
    <w:rsid w:val="00F3157F"/>
    <w:rsid w:val="00F31946"/>
    <w:rsid w:val="00F36081"/>
    <w:rsid w:val="00F37D96"/>
    <w:rsid w:val="00F40A76"/>
    <w:rsid w:val="00F411FE"/>
    <w:rsid w:val="00F423DA"/>
    <w:rsid w:val="00F428AC"/>
    <w:rsid w:val="00F431A0"/>
    <w:rsid w:val="00F436F7"/>
    <w:rsid w:val="00F43794"/>
    <w:rsid w:val="00F44B27"/>
    <w:rsid w:val="00F44E91"/>
    <w:rsid w:val="00F4522B"/>
    <w:rsid w:val="00F45AC3"/>
    <w:rsid w:val="00F4621E"/>
    <w:rsid w:val="00F471A1"/>
    <w:rsid w:val="00F5083D"/>
    <w:rsid w:val="00F51208"/>
    <w:rsid w:val="00F5171B"/>
    <w:rsid w:val="00F525C0"/>
    <w:rsid w:val="00F52DF3"/>
    <w:rsid w:val="00F532CA"/>
    <w:rsid w:val="00F537DB"/>
    <w:rsid w:val="00F53C42"/>
    <w:rsid w:val="00F545C2"/>
    <w:rsid w:val="00F556CF"/>
    <w:rsid w:val="00F558A8"/>
    <w:rsid w:val="00F55C38"/>
    <w:rsid w:val="00F55EBF"/>
    <w:rsid w:val="00F57411"/>
    <w:rsid w:val="00F5749C"/>
    <w:rsid w:val="00F57B7A"/>
    <w:rsid w:val="00F602F1"/>
    <w:rsid w:val="00F604FE"/>
    <w:rsid w:val="00F6070B"/>
    <w:rsid w:val="00F60A90"/>
    <w:rsid w:val="00F6251B"/>
    <w:rsid w:val="00F62B36"/>
    <w:rsid w:val="00F632FC"/>
    <w:rsid w:val="00F6484E"/>
    <w:rsid w:val="00F655A9"/>
    <w:rsid w:val="00F65BEB"/>
    <w:rsid w:val="00F67219"/>
    <w:rsid w:val="00F675D7"/>
    <w:rsid w:val="00F700F0"/>
    <w:rsid w:val="00F70721"/>
    <w:rsid w:val="00F70A98"/>
    <w:rsid w:val="00F71CC9"/>
    <w:rsid w:val="00F7214D"/>
    <w:rsid w:val="00F72E94"/>
    <w:rsid w:val="00F7382B"/>
    <w:rsid w:val="00F73CEC"/>
    <w:rsid w:val="00F757CF"/>
    <w:rsid w:val="00F75809"/>
    <w:rsid w:val="00F75DF2"/>
    <w:rsid w:val="00F76554"/>
    <w:rsid w:val="00F76834"/>
    <w:rsid w:val="00F76B0C"/>
    <w:rsid w:val="00F77D79"/>
    <w:rsid w:val="00F77F6C"/>
    <w:rsid w:val="00F8058C"/>
    <w:rsid w:val="00F80A8C"/>
    <w:rsid w:val="00F810B4"/>
    <w:rsid w:val="00F811B8"/>
    <w:rsid w:val="00F81C57"/>
    <w:rsid w:val="00F822B6"/>
    <w:rsid w:val="00F82C5B"/>
    <w:rsid w:val="00F83A38"/>
    <w:rsid w:val="00F83E81"/>
    <w:rsid w:val="00F844FC"/>
    <w:rsid w:val="00F84525"/>
    <w:rsid w:val="00F84F5C"/>
    <w:rsid w:val="00F851BC"/>
    <w:rsid w:val="00F85386"/>
    <w:rsid w:val="00F85919"/>
    <w:rsid w:val="00F85F12"/>
    <w:rsid w:val="00F8642A"/>
    <w:rsid w:val="00F86878"/>
    <w:rsid w:val="00F87FE2"/>
    <w:rsid w:val="00F90A67"/>
    <w:rsid w:val="00F927E8"/>
    <w:rsid w:val="00F933C6"/>
    <w:rsid w:val="00F93E22"/>
    <w:rsid w:val="00F95B75"/>
    <w:rsid w:val="00F95BDC"/>
    <w:rsid w:val="00F96791"/>
    <w:rsid w:val="00F96B5B"/>
    <w:rsid w:val="00F9708E"/>
    <w:rsid w:val="00F97A59"/>
    <w:rsid w:val="00FA0D33"/>
    <w:rsid w:val="00FA21C6"/>
    <w:rsid w:val="00FA24DA"/>
    <w:rsid w:val="00FA3806"/>
    <w:rsid w:val="00FA40E4"/>
    <w:rsid w:val="00FA4141"/>
    <w:rsid w:val="00FA414D"/>
    <w:rsid w:val="00FA5705"/>
    <w:rsid w:val="00FA622F"/>
    <w:rsid w:val="00FA6880"/>
    <w:rsid w:val="00FA6AA8"/>
    <w:rsid w:val="00FA727F"/>
    <w:rsid w:val="00FB0868"/>
    <w:rsid w:val="00FB1137"/>
    <w:rsid w:val="00FB15A1"/>
    <w:rsid w:val="00FB2369"/>
    <w:rsid w:val="00FB3385"/>
    <w:rsid w:val="00FB367F"/>
    <w:rsid w:val="00FB50AE"/>
    <w:rsid w:val="00FB5CA5"/>
    <w:rsid w:val="00FB5DD8"/>
    <w:rsid w:val="00FB5FDE"/>
    <w:rsid w:val="00FC03CC"/>
    <w:rsid w:val="00FC1029"/>
    <w:rsid w:val="00FC12C1"/>
    <w:rsid w:val="00FC2956"/>
    <w:rsid w:val="00FC34BE"/>
    <w:rsid w:val="00FC3983"/>
    <w:rsid w:val="00FC4815"/>
    <w:rsid w:val="00FC4E1A"/>
    <w:rsid w:val="00FC6CEB"/>
    <w:rsid w:val="00FC6E5E"/>
    <w:rsid w:val="00FD000F"/>
    <w:rsid w:val="00FD00F1"/>
    <w:rsid w:val="00FD0A8C"/>
    <w:rsid w:val="00FD11BE"/>
    <w:rsid w:val="00FD1FF0"/>
    <w:rsid w:val="00FD2700"/>
    <w:rsid w:val="00FD3A11"/>
    <w:rsid w:val="00FD3FEA"/>
    <w:rsid w:val="00FD4330"/>
    <w:rsid w:val="00FD48FC"/>
    <w:rsid w:val="00FD53CC"/>
    <w:rsid w:val="00FD54A8"/>
    <w:rsid w:val="00FD606C"/>
    <w:rsid w:val="00FD622E"/>
    <w:rsid w:val="00FD6940"/>
    <w:rsid w:val="00FD707E"/>
    <w:rsid w:val="00FD7220"/>
    <w:rsid w:val="00FE08FE"/>
    <w:rsid w:val="00FE203D"/>
    <w:rsid w:val="00FE4438"/>
    <w:rsid w:val="00FE5F5E"/>
    <w:rsid w:val="00FE6AC1"/>
    <w:rsid w:val="00FE72D3"/>
    <w:rsid w:val="00FF0C8E"/>
    <w:rsid w:val="00FF2B22"/>
    <w:rsid w:val="00FF2DBC"/>
    <w:rsid w:val="00FF3BD5"/>
    <w:rsid w:val="00FF3CFA"/>
    <w:rsid w:val="00FF6515"/>
    <w:rsid w:val="00FF75C2"/>
    <w:rsid w:val="01425A8E"/>
    <w:rsid w:val="014D28C9"/>
    <w:rsid w:val="01E7687A"/>
    <w:rsid w:val="0273010D"/>
    <w:rsid w:val="027F1432"/>
    <w:rsid w:val="02890D3B"/>
    <w:rsid w:val="029A4DDE"/>
    <w:rsid w:val="02C87D97"/>
    <w:rsid w:val="02DC4FE0"/>
    <w:rsid w:val="02FE36A5"/>
    <w:rsid w:val="031B2171"/>
    <w:rsid w:val="0345124A"/>
    <w:rsid w:val="036D701D"/>
    <w:rsid w:val="039612C3"/>
    <w:rsid w:val="03D41080"/>
    <w:rsid w:val="03F460DD"/>
    <w:rsid w:val="040973CE"/>
    <w:rsid w:val="046046C1"/>
    <w:rsid w:val="04604F31"/>
    <w:rsid w:val="04654FE6"/>
    <w:rsid w:val="04830CEC"/>
    <w:rsid w:val="049916D3"/>
    <w:rsid w:val="051072C3"/>
    <w:rsid w:val="05134388"/>
    <w:rsid w:val="05283431"/>
    <w:rsid w:val="053E2C54"/>
    <w:rsid w:val="055A60E3"/>
    <w:rsid w:val="05995860"/>
    <w:rsid w:val="05B747B5"/>
    <w:rsid w:val="05BE2460"/>
    <w:rsid w:val="05BF78F3"/>
    <w:rsid w:val="05EA06E6"/>
    <w:rsid w:val="064E3A38"/>
    <w:rsid w:val="067C74F1"/>
    <w:rsid w:val="06893D94"/>
    <w:rsid w:val="07200A96"/>
    <w:rsid w:val="073B6DE4"/>
    <w:rsid w:val="074B4581"/>
    <w:rsid w:val="07753E52"/>
    <w:rsid w:val="077D0401"/>
    <w:rsid w:val="07F7358F"/>
    <w:rsid w:val="08107F71"/>
    <w:rsid w:val="084F39C1"/>
    <w:rsid w:val="08AF5387"/>
    <w:rsid w:val="08BD20E2"/>
    <w:rsid w:val="08CD563E"/>
    <w:rsid w:val="0925473D"/>
    <w:rsid w:val="096A51B2"/>
    <w:rsid w:val="098767C7"/>
    <w:rsid w:val="09DB123D"/>
    <w:rsid w:val="09DF284A"/>
    <w:rsid w:val="09E75EDE"/>
    <w:rsid w:val="0A031800"/>
    <w:rsid w:val="0A1E7B92"/>
    <w:rsid w:val="0A541D36"/>
    <w:rsid w:val="0A544CC8"/>
    <w:rsid w:val="0AA64715"/>
    <w:rsid w:val="0AC736EC"/>
    <w:rsid w:val="0ADA341F"/>
    <w:rsid w:val="0AF73ED1"/>
    <w:rsid w:val="0B1C4BEC"/>
    <w:rsid w:val="0B2367D5"/>
    <w:rsid w:val="0B440899"/>
    <w:rsid w:val="0BCC5FED"/>
    <w:rsid w:val="0C191D98"/>
    <w:rsid w:val="0CA64CFB"/>
    <w:rsid w:val="0CF339BC"/>
    <w:rsid w:val="0D437B86"/>
    <w:rsid w:val="0DB51BC8"/>
    <w:rsid w:val="0DD04B7B"/>
    <w:rsid w:val="0E2337F1"/>
    <w:rsid w:val="0E7B24CA"/>
    <w:rsid w:val="0E981675"/>
    <w:rsid w:val="0EBB0657"/>
    <w:rsid w:val="0EC3241C"/>
    <w:rsid w:val="0EE3661B"/>
    <w:rsid w:val="0EE6463C"/>
    <w:rsid w:val="0EF04BEC"/>
    <w:rsid w:val="10196955"/>
    <w:rsid w:val="10215458"/>
    <w:rsid w:val="108B6BC6"/>
    <w:rsid w:val="10B4026F"/>
    <w:rsid w:val="10BB2850"/>
    <w:rsid w:val="10D604CD"/>
    <w:rsid w:val="10EA0134"/>
    <w:rsid w:val="10F66AD9"/>
    <w:rsid w:val="10FD43F6"/>
    <w:rsid w:val="11006C26"/>
    <w:rsid w:val="11203406"/>
    <w:rsid w:val="116964A2"/>
    <w:rsid w:val="118606C0"/>
    <w:rsid w:val="11877B38"/>
    <w:rsid w:val="11E0528E"/>
    <w:rsid w:val="124C3245"/>
    <w:rsid w:val="12CF3334"/>
    <w:rsid w:val="1376180B"/>
    <w:rsid w:val="13D2309B"/>
    <w:rsid w:val="13DA5A2E"/>
    <w:rsid w:val="13E217EE"/>
    <w:rsid w:val="141C0605"/>
    <w:rsid w:val="14473FAF"/>
    <w:rsid w:val="146B54FE"/>
    <w:rsid w:val="14D013EF"/>
    <w:rsid w:val="14D812E7"/>
    <w:rsid w:val="14F04815"/>
    <w:rsid w:val="154871D8"/>
    <w:rsid w:val="1565296A"/>
    <w:rsid w:val="159F7BB9"/>
    <w:rsid w:val="15B03422"/>
    <w:rsid w:val="15F83E6B"/>
    <w:rsid w:val="162B2427"/>
    <w:rsid w:val="165C7696"/>
    <w:rsid w:val="16AC7CE9"/>
    <w:rsid w:val="16CC7B79"/>
    <w:rsid w:val="16D056D6"/>
    <w:rsid w:val="177F76C0"/>
    <w:rsid w:val="17932FC3"/>
    <w:rsid w:val="17994B59"/>
    <w:rsid w:val="17A93B2E"/>
    <w:rsid w:val="180B10BC"/>
    <w:rsid w:val="18225867"/>
    <w:rsid w:val="18584266"/>
    <w:rsid w:val="18927F88"/>
    <w:rsid w:val="18C75F97"/>
    <w:rsid w:val="18D55226"/>
    <w:rsid w:val="18EB281E"/>
    <w:rsid w:val="18FD56A8"/>
    <w:rsid w:val="194303E2"/>
    <w:rsid w:val="19D83220"/>
    <w:rsid w:val="1A5C6953"/>
    <w:rsid w:val="1B5149B6"/>
    <w:rsid w:val="1BB47375"/>
    <w:rsid w:val="1BBB7566"/>
    <w:rsid w:val="1BBC447B"/>
    <w:rsid w:val="1C151F43"/>
    <w:rsid w:val="1C8B31DC"/>
    <w:rsid w:val="1C954CD6"/>
    <w:rsid w:val="1CAE40BF"/>
    <w:rsid w:val="1CB23AF6"/>
    <w:rsid w:val="1CBD5968"/>
    <w:rsid w:val="1D351180"/>
    <w:rsid w:val="1D3B73E7"/>
    <w:rsid w:val="1D89463E"/>
    <w:rsid w:val="1DBE6589"/>
    <w:rsid w:val="1DC43C61"/>
    <w:rsid w:val="1E14059F"/>
    <w:rsid w:val="1E144E18"/>
    <w:rsid w:val="1E691F94"/>
    <w:rsid w:val="1E9D6D8E"/>
    <w:rsid w:val="1F332CA6"/>
    <w:rsid w:val="1FAA574E"/>
    <w:rsid w:val="1FD26341"/>
    <w:rsid w:val="208D07B9"/>
    <w:rsid w:val="20D9605D"/>
    <w:rsid w:val="210063D6"/>
    <w:rsid w:val="210A16BF"/>
    <w:rsid w:val="21103C9E"/>
    <w:rsid w:val="21322302"/>
    <w:rsid w:val="21404409"/>
    <w:rsid w:val="21781BB8"/>
    <w:rsid w:val="21B74211"/>
    <w:rsid w:val="220849D9"/>
    <w:rsid w:val="22413873"/>
    <w:rsid w:val="224A172C"/>
    <w:rsid w:val="22603815"/>
    <w:rsid w:val="228F0EE1"/>
    <w:rsid w:val="23485551"/>
    <w:rsid w:val="23892862"/>
    <w:rsid w:val="238D008A"/>
    <w:rsid w:val="2390786E"/>
    <w:rsid w:val="23CB414A"/>
    <w:rsid w:val="23D5432C"/>
    <w:rsid w:val="240655DE"/>
    <w:rsid w:val="24701BFE"/>
    <w:rsid w:val="24C6047B"/>
    <w:rsid w:val="252E1EC1"/>
    <w:rsid w:val="257F647C"/>
    <w:rsid w:val="258C4BD0"/>
    <w:rsid w:val="25FB2085"/>
    <w:rsid w:val="26012632"/>
    <w:rsid w:val="263934FE"/>
    <w:rsid w:val="26473182"/>
    <w:rsid w:val="26761230"/>
    <w:rsid w:val="268564DD"/>
    <w:rsid w:val="26871BC2"/>
    <w:rsid w:val="268A78EE"/>
    <w:rsid w:val="26BF6963"/>
    <w:rsid w:val="26ED3325"/>
    <w:rsid w:val="272A2024"/>
    <w:rsid w:val="27513007"/>
    <w:rsid w:val="27AB1CB6"/>
    <w:rsid w:val="283D06F2"/>
    <w:rsid w:val="283F20E2"/>
    <w:rsid w:val="2853435A"/>
    <w:rsid w:val="28627BF8"/>
    <w:rsid w:val="28E57F77"/>
    <w:rsid w:val="28ED5C5A"/>
    <w:rsid w:val="29146FF1"/>
    <w:rsid w:val="298C1931"/>
    <w:rsid w:val="2991410B"/>
    <w:rsid w:val="29CB1FF6"/>
    <w:rsid w:val="29E21671"/>
    <w:rsid w:val="29F713EA"/>
    <w:rsid w:val="2A03746F"/>
    <w:rsid w:val="2A1F6415"/>
    <w:rsid w:val="2A26675B"/>
    <w:rsid w:val="2A562671"/>
    <w:rsid w:val="2AC119E6"/>
    <w:rsid w:val="2ACC4C3E"/>
    <w:rsid w:val="2AD14CC4"/>
    <w:rsid w:val="2B442C52"/>
    <w:rsid w:val="2B4A7B50"/>
    <w:rsid w:val="2B6E4781"/>
    <w:rsid w:val="2B707A83"/>
    <w:rsid w:val="2B9F58A1"/>
    <w:rsid w:val="2BA01329"/>
    <w:rsid w:val="2BAC00C7"/>
    <w:rsid w:val="2BF11B1C"/>
    <w:rsid w:val="2C586A88"/>
    <w:rsid w:val="2C635C28"/>
    <w:rsid w:val="2CF20075"/>
    <w:rsid w:val="2CF77A09"/>
    <w:rsid w:val="2D2B0F66"/>
    <w:rsid w:val="2D537BB5"/>
    <w:rsid w:val="2D572256"/>
    <w:rsid w:val="2D7D6B55"/>
    <w:rsid w:val="2DB651C2"/>
    <w:rsid w:val="2DCB6A78"/>
    <w:rsid w:val="2E1548FC"/>
    <w:rsid w:val="2E350512"/>
    <w:rsid w:val="2E5C4F30"/>
    <w:rsid w:val="2E8F3DE9"/>
    <w:rsid w:val="2EAB46CF"/>
    <w:rsid w:val="2EC56DAD"/>
    <w:rsid w:val="2ED741E5"/>
    <w:rsid w:val="2EE10169"/>
    <w:rsid w:val="2EF0528F"/>
    <w:rsid w:val="2F0D62C6"/>
    <w:rsid w:val="2F0D75F8"/>
    <w:rsid w:val="2F184082"/>
    <w:rsid w:val="2F1A7E75"/>
    <w:rsid w:val="2F686530"/>
    <w:rsid w:val="2F752C4B"/>
    <w:rsid w:val="2F75353F"/>
    <w:rsid w:val="2FA46825"/>
    <w:rsid w:val="2FB66BD0"/>
    <w:rsid w:val="2FC2570E"/>
    <w:rsid w:val="30006C4B"/>
    <w:rsid w:val="30234AEB"/>
    <w:rsid w:val="30244F99"/>
    <w:rsid w:val="306F06AF"/>
    <w:rsid w:val="308248FA"/>
    <w:rsid w:val="30843299"/>
    <w:rsid w:val="308B30B3"/>
    <w:rsid w:val="30900E1C"/>
    <w:rsid w:val="3094686B"/>
    <w:rsid w:val="30B00B30"/>
    <w:rsid w:val="30B4531E"/>
    <w:rsid w:val="30C6074A"/>
    <w:rsid w:val="30F35258"/>
    <w:rsid w:val="310060F6"/>
    <w:rsid w:val="3126788E"/>
    <w:rsid w:val="31692558"/>
    <w:rsid w:val="319D1D2F"/>
    <w:rsid w:val="319D3046"/>
    <w:rsid w:val="31E123A1"/>
    <w:rsid w:val="31E6401F"/>
    <w:rsid w:val="325B1302"/>
    <w:rsid w:val="326D71D8"/>
    <w:rsid w:val="327C2C35"/>
    <w:rsid w:val="32A47CEB"/>
    <w:rsid w:val="33036DF4"/>
    <w:rsid w:val="33202034"/>
    <w:rsid w:val="33210D4B"/>
    <w:rsid w:val="33457C85"/>
    <w:rsid w:val="33AE06F6"/>
    <w:rsid w:val="33B07CB8"/>
    <w:rsid w:val="33D97E69"/>
    <w:rsid w:val="34763909"/>
    <w:rsid w:val="351E4D31"/>
    <w:rsid w:val="35663D6D"/>
    <w:rsid w:val="35973066"/>
    <w:rsid w:val="367018EA"/>
    <w:rsid w:val="369708EE"/>
    <w:rsid w:val="371A67CE"/>
    <w:rsid w:val="374C1695"/>
    <w:rsid w:val="37770CC2"/>
    <w:rsid w:val="37DA7D0B"/>
    <w:rsid w:val="38230339"/>
    <w:rsid w:val="384D672F"/>
    <w:rsid w:val="385E30D3"/>
    <w:rsid w:val="389F7C10"/>
    <w:rsid w:val="38C213F9"/>
    <w:rsid w:val="38C4197A"/>
    <w:rsid w:val="393F251C"/>
    <w:rsid w:val="39405AF1"/>
    <w:rsid w:val="395D29A2"/>
    <w:rsid w:val="3976677C"/>
    <w:rsid w:val="39835940"/>
    <w:rsid w:val="3A37232F"/>
    <w:rsid w:val="3A6D2B2C"/>
    <w:rsid w:val="3AD44191"/>
    <w:rsid w:val="3AD670F3"/>
    <w:rsid w:val="3AE54D8A"/>
    <w:rsid w:val="3AF06BA9"/>
    <w:rsid w:val="3AF546C1"/>
    <w:rsid w:val="3B1E0D78"/>
    <w:rsid w:val="3B441E7E"/>
    <w:rsid w:val="3B472E25"/>
    <w:rsid w:val="3BB76ECA"/>
    <w:rsid w:val="3BBA0580"/>
    <w:rsid w:val="3BC32E2D"/>
    <w:rsid w:val="3C38119D"/>
    <w:rsid w:val="3C400BA5"/>
    <w:rsid w:val="3C4209CB"/>
    <w:rsid w:val="3CAD404A"/>
    <w:rsid w:val="3DB3549C"/>
    <w:rsid w:val="3E005586"/>
    <w:rsid w:val="3E196CEB"/>
    <w:rsid w:val="3E543B5D"/>
    <w:rsid w:val="3E734A16"/>
    <w:rsid w:val="3F40017F"/>
    <w:rsid w:val="3F423F4F"/>
    <w:rsid w:val="3F914965"/>
    <w:rsid w:val="3F930BE5"/>
    <w:rsid w:val="3FCD6929"/>
    <w:rsid w:val="40184052"/>
    <w:rsid w:val="4020722C"/>
    <w:rsid w:val="40273D0A"/>
    <w:rsid w:val="405368AD"/>
    <w:rsid w:val="409958BB"/>
    <w:rsid w:val="40A02726"/>
    <w:rsid w:val="40D145D3"/>
    <w:rsid w:val="412505DC"/>
    <w:rsid w:val="412E2B26"/>
    <w:rsid w:val="41343C85"/>
    <w:rsid w:val="413552BE"/>
    <w:rsid w:val="4153125A"/>
    <w:rsid w:val="416F7C6F"/>
    <w:rsid w:val="4177231B"/>
    <w:rsid w:val="418545A5"/>
    <w:rsid w:val="41A609DE"/>
    <w:rsid w:val="41AE46E3"/>
    <w:rsid w:val="41D74A58"/>
    <w:rsid w:val="425132C0"/>
    <w:rsid w:val="425665D3"/>
    <w:rsid w:val="427D1B8C"/>
    <w:rsid w:val="42B07FE6"/>
    <w:rsid w:val="42E73F37"/>
    <w:rsid w:val="43433EB2"/>
    <w:rsid w:val="43637E02"/>
    <w:rsid w:val="4371478A"/>
    <w:rsid w:val="43D57961"/>
    <w:rsid w:val="43E36B40"/>
    <w:rsid w:val="441E609C"/>
    <w:rsid w:val="44562E10"/>
    <w:rsid w:val="445F3A72"/>
    <w:rsid w:val="44796B13"/>
    <w:rsid w:val="45176AE0"/>
    <w:rsid w:val="452930AD"/>
    <w:rsid w:val="453F429A"/>
    <w:rsid w:val="455D4534"/>
    <w:rsid w:val="45676984"/>
    <w:rsid w:val="45BF570E"/>
    <w:rsid w:val="45C1272A"/>
    <w:rsid w:val="45C97296"/>
    <w:rsid w:val="45CB5DE7"/>
    <w:rsid w:val="45D82B2A"/>
    <w:rsid w:val="45E10B02"/>
    <w:rsid w:val="46CF2270"/>
    <w:rsid w:val="47435ED0"/>
    <w:rsid w:val="476F01EE"/>
    <w:rsid w:val="47AE26A2"/>
    <w:rsid w:val="47F836EF"/>
    <w:rsid w:val="48272AF9"/>
    <w:rsid w:val="48545C43"/>
    <w:rsid w:val="4875178E"/>
    <w:rsid w:val="487F1CB5"/>
    <w:rsid w:val="48B71E62"/>
    <w:rsid w:val="49044886"/>
    <w:rsid w:val="491E1851"/>
    <w:rsid w:val="492E1D96"/>
    <w:rsid w:val="493D1461"/>
    <w:rsid w:val="49691876"/>
    <w:rsid w:val="49BD7C90"/>
    <w:rsid w:val="49D7681A"/>
    <w:rsid w:val="49EB3947"/>
    <w:rsid w:val="4A195BCC"/>
    <w:rsid w:val="4A394D65"/>
    <w:rsid w:val="4A4518B7"/>
    <w:rsid w:val="4A452D2E"/>
    <w:rsid w:val="4A597A57"/>
    <w:rsid w:val="4A815D6D"/>
    <w:rsid w:val="4AC25292"/>
    <w:rsid w:val="4AE34374"/>
    <w:rsid w:val="4AE97E40"/>
    <w:rsid w:val="4AF56EDE"/>
    <w:rsid w:val="4B252554"/>
    <w:rsid w:val="4BBC759B"/>
    <w:rsid w:val="4BC310CC"/>
    <w:rsid w:val="4BC93EC7"/>
    <w:rsid w:val="4C45489B"/>
    <w:rsid w:val="4C6051C0"/>
    <w:rsid w:val="4CDC4D6D"/>
    <w:rsid w:val="4CE66081"/>
    <w:rsid w:val="4D307DAF"/>
    <w:rsid w:val="4D4952BF"/>
    <w:rsid w:val="4D6563DE"/>
    <w:rsid w:val="4D6E5660"/>
    <w:rsid w:val="4D8308BE"/>
    <w:rsid w:val="4D8527D5"/>
    <w:rsid w:val="4E13505A"/>
    <w:rsid w:val="4E2B2C17"/>
    <w:rsid w:val="4E546612"/>
    <w:rsid w:val="4ED6147B"/>
    <w:rsid w:val="4F5A2D66"/>
    <w:rsid w:val="4F794D58"/>
    <w:rsid w:val="4FC3058A"/>
    <w:rsid w:val="4FD60746"/>
    <w:rsid w:val="50225593"/>
    <w:rsid w:val="504110EF"/>
    <w:rsid w:val="508915C5"/>
    <w:rsid w:val="50926B99"/>
    <w:rsid w:val="50EB3F82"/>
    <w:rsid w:val="50F325BD"/>
    <w:rsid w:val="51245E55"/>
    <w:rsid w:val="513413E2"/>
    <w:rsid w:val="513B2A67"/>
    <w:rsid w:val="51521775"/>
    <w:rsid w:val="51756CA3"/>
    <w:rsid w:val="517D1617"/>
    <w:rsid w:val="518C5515"/>
    <w:rsid w:val="519F6DD3"/>
    <w:rsid w:val="51BE68CE"/>
    <w:rsid w:val="51C7005F"/>
    <w:rsid w:val="51D95AD6"/>
    <w:rsid w:val="51DF6077"/>
    <w:rsid w:val="51E6225D"/>
    <w:rsid w:val="51EF70AE"/>
    <w:rsid w:val="52142A3F"/>
    <w:rsid w:val="52151720"/>
    <w:rsid w:val="52252053"/>
    <w:rsid w:val="52321B52"/>
    <w:rsid w:val="52511CE6"/>
    <w:rsid w:val="52615E96"/>
    <w:rsid w:val="52822DFF"/>
    <w:rsid w:val="52D63D56"/>
    <w:rsid w:val="52F05CB4"/>
    <w:rsid w:val="52F87D09"/>
    <w:rsid w:val="531F1728"/>
    <w:rsid w:val="5330157D"/>
    <w:rsid w:val="533802B0"/>
    <w:rsid w:val="533C0CDA"/>
    <w:rsid w:val="53A56FC8"/>
    <w:rsid w:val="53AD7E04"/>
    <w:rsid w:val="53BA2430"/>
    <w:rsid w:val="53BF45C4"/>
    <w:rsid w:val="53C52D94"/>
    <w:rsid w:val="53D42C80"/>
    <w:rsid w:val="53D91414"/>
    <w:rsid w:val="53E5599C"/>
    <w:rsid w:val="54420E94"/>
    <w:rsid w:val="54813932"/>
    <w:rsid w:val="549E6958"/>
    <w:rsid w:val="54AA0321"/>
    <w:rsid w:val="55065893"/>
    <w:rsid w:val="555022BB"/>
    <w:rsid w:val="5566704B"/>
    <w:rsid w:val="55791389"/>
    <w:rsid w:val="557C6707"/>
    <w:rsid w:val="55C0633B"/>
    <w:rsid w:val="55C9638F"/>
    <w:rsid w:val="55D61E9E"/>
    <w:rsid w:val="55E004F5"/>
    <w:rsid w:val="561946D4"/>
    <w:rsid w:val="562552BC"/>
    <w:rsid w:val="56304AE2"/>
    <w:rsid w:val="565421F0"/>
    <w:rsid w:val="566B7B52"/>
    <w:rsid w:val="56D27166"/>
    <w:rsid w:val="56DA2EDE"/>
    <w:rsid w:val="56EE3F4D"/>
    <w:rsid w:val="56EF1A25"/>
    <w:rsid w:val="56F52014"/>
    <w:rsid w:val="571670C9"/>
    <w:rsid w:val="5727495C"/>
    <w:rsid w:val="572A43B4"/>
    <w:rsid w:val="57533684"/>
    <w:rsid w:val="57703903"/>
    <w:rsid w:val="57B1382C"/>
    <w:rsid w:val="57E11D9D"/>
    <w:rsid w:val="57FA5677"/>
    <w:rsid w:val="580C5613"/>
    <w:rsid w:val="58775FF5"/>
    <w:rsid w:val="588C5984"/>
    <w:rsid w:val="58AC2E10"/>
    <w:rsid w:val="58B22C82"/>
    <w:rsid w:val="58BF1335"/>
    <w:rsid w:val="58C82CC6"/>
    <w:rsid w:val="590D7D83"/>
    <w:rsid w:val="594F4CAE"/>
    <w:rsid w:val="59CA747F"/>
    <w:rsid w:val="59EC37BF"/>
    <w:rsid w:val="59ED12D0"/>
    <w:rsid w:val="5A1F3552"/>
    <w:rsid w:val="5A3B1010"/>
    <w:rsid w:val="5A427D7C"/>
    <w:rsid w:val="5A686864"/>
    <w:rsid w:val="5A931B9C"/>
    <w:rsid w:val="5AC7098A"/>
    <w:rsid w:val="5AEB18AD"/>
    <w:rsid w:val="5B0D4BAE"/>
    <w:rsid w:val="5B1535D3"/>
    <w:rsid w:val="5B512962"/>
    <w:rsid w:val="5B775876"/>
    <w:rsid w:val="5BB60396"/>
    <w:rsid w:val="5C5F6C22"/>
    <w:rsid w:val="5C674F6F"/>
    <w:rsid w:val="5C6F6CD7"/>
    <w:rsid w:val="5C843194"/>
    <w:rsid w:val="5C981DBF"/>
    <w:rsid w:val="5CAF2071"/>
    <w:rsid w:val="5CBE2EF3"/>
    <w:rsid w:val="5CEA2BCF"/>
    <w:rsid w:val="5D013E49"/>
    <w:rsid w:val="5D3115FB"/>
    <w:rsid w:val="5D4174AC"/>
    <w:rsid w:val="5D504448"/>
    <w:rsid w:val="5D5131AC"/>
    <w:rsid w:val="5D5E7353"/>
    <w:rsid w:val="5D927985"/>
    <w:rsid w:val="5D95600F"/>
    <w:rsid w:val="5D972DE5"/>
    <w:rsid w:val="5DCA2636"/>
    <w:rsid w:val="5DF86D4D"/>
    <w:rsid w:val="5E0832F4"/>
    <w:rsid w:val="5E1436C8"/>
    <w:rsid w:val="5E2514A3"/>
    <w:rsid w:val="5E4A52C0"/>
    <w:rsid w:val="5E814F7D"/>
    <w:rsid w:val="5E8D033A"/>
    <w:rsid w:val="5EBD2437"/>
    <w:rsid w:val="5EBF695C"/>
    <w:rsid w:val="5EC21603"/>
    <w:rsid w:val="5F002AC3"/>
    <w:rsid w:val="5F167753"/>
    <w:rsid w:val="5F4318DC"/>
    <w:rsid w:val="5F50315D"/>
    <w:rsid w:val="5F571EAA"/>
    <w:rsid w:val="5F7E6154"/>
    <w:rsid w:val="5F962473"/>
    <w:rsid w:val="5FAC51E0"/>
    <w:rsid w:val="5FF64E55"/>
    <w:rsid w:val="603C6849"/>
    <w:rsid w:val="60673224"/>
    <w:rsid w:val="60A32F3A"/>
    <w:rsid w:val="60AA0313"/>
    <w:rsid w:val="60BB607C"/>
    <w:rsid w:val="60D1764E"/>
    <w:rsid w:val="60DA1417"/>
    <w:rsid w:val="60F15F42"/>
    <w:rsid w:val="60FA5B41"/>
    <w:rsid w:val="60FD04F5"/>
    <w:rsid w:val="61134C29"/>
    <w:rsid w:val="61253132"/>
    <w:rsid w:val="616E74B4"/>
    <w:rsid w:val="61DB30D0"/>
    <w:rsid w:val="61DF5D9B"/>
    <w:rsid w:val="61E43E73"/>
    <w:rsid w:val="61E638B6"/>
    <w:rsid w:val="61E66B27"/>
    <w:rsid w:val="620E7DE8"/>
    <w:rsid w:val="622623A5"/>
    <w:rsid w:val="62527017"/>
    <w:rsid w:val="626E5ED5"/>
    <w:rsid w:val="62790AD5"/>
    <w:rsid w:val="62934689"/>
    <w:rsid w:val="62A6099C"/>
    <w:rsid w:val="62DA3768"/>
    <w:rsid w:val="62E235CB"/>
    <w:rsid w:val="62E37080"/>
    <w:rsid w:val="63031A2E"/>
    <w:rsid w:val="631544B0"/>
    <w:rsid w:val="63CE1566"/>
    <w:rsid w:val="64086AC7"/>
    <w:rsid w:val="640F6E0B"/>
    <w:rsid w:val="64245EF5"/>
    <w:rsid w:val="64FA6A11"/>
    <w:rsid w:val="64FB0B4D"/>
    <w:rsid w:val="655E4E86"/>
    <w:rsid w:val="65F82D58"/>
    <w:rsid w:val="65FE43CF"/>
    <w:rsid w:val="66A41B8F"/>
    <w:rsid w:val="66F549CA"/>
    <w:rsid w:val="670965B7"/>
    <w:rsid w:val="67370874"/>
    <w:rsid w:val="675E427E"/>
    <w:rsid w:val="676D0B82"/>
    <w:rsid w:val="67D77F19"/>
    <w:rsid w:val="68231065"/>
    <w:rsid w:val="68241035"/>
    <w:rsid w:val="68485E0E"/>
    <w:rsid w:val="68D019CD"/>
    <w:rsid w:val="68E5638C"/>
    <w:rsid w:val="68F95994"/>
    <w:rsid w:val="69E47B37"/>
    <w:rsid w:val="69F9434D"/>
    <w:rsid w:val="6A1207CF"/>
    <w:rsid w:val="6AD6266F"/>
    <w:rsid w:val="6AD95B90"/>
    <w:rsid w:val="6AF714A1"/>
    <w:rsid w:val="6B226630"/>
    <w:rsid w:val="6B334707"/>
    <w:rsid w:val="6B4B384B"/>
    <w:rsid w:val="6B5A4315"/>
    <w:rsid w:val="6B76151E"/>
    <w:rsid w:val="6BB71133"/>
    <w:rsid w:val="6BD44EF8"/>
    <w:rsid w:val="6C956225"/>
    <w:rsid w:val="6CA71827"/>
    <w:rsid w:val="6CCA6951"/>
    <w:rsid w:val="6CDF6C9B"/>
    <w:rsid w:val="6D435584"/>
    <w:rsid w:val="6D942BDD"/>
    <w:rsid w:val="6DAD31F1"/>
    <w:rsid w:val="6DB53B93"/>
    <w:rsid w:val="6DFA4326"/>
    <w:rsid w:val="6E531383"/>
    <w:rsid w:val="6E8B01D6"/>
    <w:rsid w:val="6ED03219"/>
    <w:rsid w:val="6F1C349A"/>
    <w:rsid w:val="6F590527"/>
    <w:rsid w:val="6F9E2D4E"/>
    <w:rsid w:val="6FC248D7"/>
    <w:rsid w:val="6FC32A31"/>
    <w:rsid w:val="6FDF6D82"/>
    <w:rsid w:val="70334655"/>
    <w:rsid w:val="70616B05"/>
    <w:rsid w:val="707A6030"/>
    <w:rsid w:val="70A36E1C"/>
    <w:rsid w:val="70C552E2"/>
    <w:rsid w:val="70D71757"/>
    <w:rsid w:val="70D80354"/>
    <w:rsid w:val="713502D2"/>
    <w:rsid w:val="71464EC7"/>
    <w:rsid w:val="719C15B2"/>
    <w:rsid w:val="71DD5718"/>
    <w:rsid w:val="72536929"/>
    <w:rsid w:val="72B00A55"/>
    <w:rsid w:val="72DD6545"/>
    <w:rsid w:val="730A53F0"/>
    <w:rsid w:val="735B7197"/>
    <w:rsid w:val="738661CC"/>
    <w:rsid w:val="73A17354"/>
    <w:rsid w:val="73A23EE5"/>
    <w:rsid w:val="73C5726C"/>
    <w:rsid w:val="73E85FB3"/>
    <w:rsid w:val="74225E02"/>
    <w:rsid w:val="7460720F"/>
    <w:rsid w:val="747B3A08"/>
    <w:rsid w:val="74B530B7"/>
    <w:rsid w:val="75157FE5"/>
    <w:rsid w:val="75555758"/>
    <w:rsid w:val="75555A8B"/>
    <w:rsid w:val="755C5FAF"/>
    <w:rsid w:val="75721991"/>
    <w:rsid w:val="75D629D6"/>
    <w:rsid w:val="75D81672"/>
    <w:rsid w:val="7647291E"/>
    <w:rsid w:val="766935D1"/>
    <w:rsid w:val="7671465A"/>
    <w:rsid w:val="76724392"/>
    <w:rsid w:val="768D40EF"/>
    <w:rsid w:val="76936053"/>
    <w:rsid w:val="76A24917"/>
    <w:rsid w:val="76DD6C63"/>
    <w:rsid w:val="77A11F68"/>
    <w:rsid w:val="77D623C1"/>
    <w:rsid w:val="77FC3EA4"/>
    <w:rsid w:val="787457A5"/>
    <w:rsid w:val="78831CA0"/>
    <w:rsid w:val="789255CB"/>
    <w:rsid w:val="78AA6AAA"/>
    <w:rsid w:val="78BB5DC5"/>
    <w:rsid w:val="78FB242B"/>
    <w:rsid w:val="790038A8"/>
    <w:rsid w:val="792702FB"/>
    <w:rsid w:val="792D1F3A"/>
    <w:rsid w:val="79435739"/>
    <w:rsid w:val="79866BFD"/>
    <w:rsid w:val="79A35446"/>
    <w:rsid w:val="79E13BB0"/>
    <w:rsid w:val="7AEA6B74"/>
    <w:rsid w:val="7B593B38"/>
    <w:rsid w:val="7B8360A8"/>
    <w:rsid w:val="7B890DF9"/>
    <w:rsid w:val="7B9F501A"/>
    <w:rsid w:val="7BC13290"/>
    <w:rsid w:val="7C1A43B0"/>
    <w:rsid w:val="7C4571E2"/>
    <w:rsid w:val="7C8B7BB3"/>
    <w:rsid w:val="7CE175E0"/>
    <w:rsid w:val="7D375B6B"/>
    <w:rsid w:val="7D3F20B7"/>
    <w:rsid w:val="7D68138B"/>
    <w:rsid w:val="7DD662DA"/>
    <w:rsid w:val="7DDC188B"/>
    <w:rsid w:val="7E1873B1"/>
    <w:rsid w:val="7E7C22CD"/>
    <w:rsid w:val="7ED6195B"/>
    <w:rsid w:val="7EED78F1"/>
    <w:rsid w:val="7EF40F5B"/>
    <w:rsid w:val="7EF4611B"/>
    <w:rsid w:val="7F350DA4"/>
    <w:rsid w:val="7F6A45DE"/>
    <w:rsid w:val="7F7B6CAB"/>
    <w:rsid w:val="7FA31D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qFormat="1" w:unhideWhenUsed="0" w:uiPriority="0" w:semiHidden="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55"/>
    <w:qFormat/>
    <w:uiPriority w:val="0"/>
    <w:pPr>
      <w:widowControl w:val="0"/>
      <w:jc w:val="both"/>
    </w:pPr>
    <w:rPr>
      <w:rFonts w:ascii="Calibri" w:hAnsi="Calibri" w:eastAsia="宋体" w:cs="Arial"/>
      <w:kern w:val="2"/>
      <w:sz w:val="21"/>
      <w:szCs w:val="24"/>
      <w:lang w:val="en-US" w:eastAsia="zh-CN" w:bidi="ar-SA"/>
    </w:rPr>
  </w:style>
  <w:style w:type="paragraph" w:styleId="5">
    <w:name w:val="heading 1"/>
    <w:basedOn w:val="1"/>
    <w:next w:val="1"/>
    <w:link w:val="45"/>
    <w:qFormat/>
    <w:uiPriority w:val="9"/>
    <w:pPr>
      <w:keepNext/>
      <w:jc w:val="center"/>
      <w:outlineLvl w:val="0"/>
    </w:pPr>
    <w:rPr>
      <w:rFonts w:ascii="Tahoma" w:eastAsia="Tahoma" w:cs="Times New Roman"/>
      <w:b/>
      <w:bCs/>
      <w:lang w:val="zh-CN"/>
    </w:rPr>
  </w:style>
  <w:style w:type="paragraph" w:styleId="6">
    <w:name w:val="heading 2"/>
    <w:basedOn w:val="1"/>
    <w:next w:val="1"/>
    <w:link w:val="46"/>
    <w:qFormat/>
    <w:uiPriority w:val="0"/>
    <w:pPr>
      <w:keepNext/>
      <w:keepLines/>
      <w:spacing w:before="260" w:after="260" w:line="415" w:lineRule="auto"/>
      <w:outlineLvl w:val="1"/>
    </w:pPr>
    <w:rPr>
      <w:rFonts w:ascii="Arial Unicode MS" w:hAnsi="Arial Unicode MS" w:eastAsia="Wingdings" w:cs="Times New Roman"/>
      <w:b/>
      <w:bCs/>
      <w:sz w:val="32"/>
      <w:szCs w:val="32"/>
      <w:lang w:val="zh-CN"/>
    </w:rPr>
  </w:style>
  <w:style w:type="paragraph" w:styleId="7">
    <w:name w:val="heading 3"/>
    <w:basedOn w:val="1"/>
    <w:next w:val="1"/>
    <w:link w:val="47"/>
    <w:qFormat/>
    <w:uiPriority w:val="9"/>
    <w:pPr>
      <w:keepLines/>
      <w:widowControl/>
      <w:autoSpaceDE w:val="0"/>
      <w:autoSpaceDN w:val="0"/>
      <w:adjustRightInd w:val="0"/>
      <w:spacing w:before="60"/>
      <w:jc w:val="left"/>
      <w:outlineLvl w:val="2"/>
    </w:pPr>
    <w:rPr>
      <w:rFonts w:eastAsia="Wingdings"/>
      <w:kern w:val="0"/>
      <w:sz w:val="24"/>
      <w:szCs w:val="20"/>
    </w:rPr>
  </w:style>
  <w:style w:type="paragraph" w:styleId="8">
    <w:name w:val="heading 4"/>
    <w:basedOn w:val="1"/>
    <w:next w:val="1"/>
    <w:link w:val="48"/>
    <w:qFormat/>
    <w:uiPriority w:val="0"/>
    <w:pPr>
      <w:keepLines/>
      <w:widowControl/>
      <w:autoSpaceDE w:val="0"/>
      <w:autoSpaceDN w:val="0"/>
      <w:adjustRightInd w:val="0"/>
      <w:snapToGrid w:val="0"/>
      <w:jc w:val="left"/>
      <w:outlineLvl w:val="3"/>
    </w:pPr>
    <w:rPr>
      <w:rFonts w:eastAsia="Tahoma" w:cs="Times New Roman"/>
      <w:b/>
      <w:kern w:val="0"/>
      <w:sz w:val="24"/>
      <w:szCs w:val="20"/>
      <w:lang w:val="zh-CN"/>
    </w:rPr>
  </w:style>
  <w:style w:type="paragraph" w:styleId="9">
    <w:name w:val="heading 6"/>
    <w:basedOn w:val="1"/>
    <w:next w:val="1"/>
    <w:qFormat/>
    <w:uiPriority w:val="0"/>
    <w:pPr>
      <w:keepNext/>
      <w:keepLines/>
      <w:spacing w:line="320" w:lineRule="auto"/>
      <w:outlineLvl w:val="5"/>
    </w:pPr>
    <w:rPr>
      <w:rFonts w:ascii="Arial" w:hAnsi="Arial" w:eastAsia="黑体"/>
      <w:b/>
      <w:bCs/>
      <w:sz w:val="24"/>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51"/>
    <w:qFormat/>
    <w:uiPriority w:val="0"/>
    <w:pPr>
      <w:spacing w:after="120"/>
    </w:pPr>
    <w:rPr>
      <w:rFonts w:eastAsia="宋体,Verdana,Arial"/>
    </w:rPr>
  </w:style>
  <w:style w:type="paragraph" w:styleId="3">
    <w:name w:val="Body Text First Indent"/>
    <w:basedOn w:val="2"/>
    <w:next w:val="4"/>
    <w:link w:val="60"/>
    <w:qFormat/>
    <w:uiPriority w:val="0"/>
    <w:pPr>
      <w:ind w:firstLine="420" w:firstLineChars="100"/>
    </w:pPr>
    <w:rPr>
      <w:rFonts w:eastAsia="宋体"/>
    </w:rPr>
  </w:style>
  <w:style w:type="paragraph" w:styleId="4">
    <w:name w:val="toc 6"/>
    <w:basedOn w:val="1"/>
    <w:next w:val="1"/>
    <w:qFormat/>
    <w:uiPriority w:val="0"/>
    <w:pPr>
      <w:ind w:left="2100" w:leftChars="1000"/>
    </w:pPr>
    <w:rPr>
      <w:rFonts w:ascii="Times New Roman" w:hAnsi="Times New Roman" w:cs="Times New Roman"/>
    </w:rPr>
  </w:style>
  <w:style w:type="paragraph" w:styleId="10">
    <w:name w:val="Normal Indent"/>
    <w:basedOn w:val="1"/>
    <w:next w:val="11"/>
    <w:link w:val="49"/>
    <w:qFormat/>
    <w:uiPriority w:val="99"/>
    <w:pPr>
      <w:adjustRightInd w:val="0"/>
      <w:spacing w:line="312" w:lineRule="atLeast"/>
      <w:ind w:firstLine="420"/>
      <w:textAlignment w:val="baseline"/>
    </w:pPr>
    <w:rPr>
      <w:rFonts w:eastAsia="宋体,Verdana,Arial"/>
      <w:kern w:val="0"/>
      <w:szCs w:val="20"/>
    </w:rPr>
  </w:style>
  <w:style w:type="paragraph" w:styleId="11">
    <w:name w:val="Body Text Indent"/>
    <w:basedOn w:val="1"/>
    <w:next w:val="10"/>
    <w:link w:val="250"/>
    <w:qFormat/>
    <w:uiPriority w:val="99"/>
    <w:pPr>
      <w:spacing w:after="120"/>
      <w:ind w:left="420"/>
    </w:pPr>
  </w:style>
  <w:style w:type="paragraph" w:styleId="12">
    <w:name w:val="caption"/>
    <w:basedOn w:val="1"/>
    <w:next w:val="1"/>
    <w:unhideWhenUsed/>
    <w:qFormat/>
    <w:uiPriority w:val="0"/>
    <w:rPr>
      <w:rFonts w:eastAsia="黑体" w:asciiTheme="majorHAnsi" w:hAnsiTheme="majorHAnsi" w:cstheme="majorBidi"/>
      <w:sz w:val="20"/>
      <w:szCs w:val="20"/>
    </w:rPr>
  </w:style>
  <w:style w:type="paragraph" w:styleId="13">
    <w:name w:val="Document Map"/>
    <w:basedOn w:val="1"/>
    <w:link w:val="248"/>
    <w:qFormat/>
    <w:uiPriority w:val="0"/>
    <w:pPr>
      <w:shd w:val="clear" w:color="auto" w:fill="000080"/>
    </w:pPr>
  </w:style>
  <w:style w:type="paragraph" w:styleId="14">
    <w:name w:val="annotation text"/>
    <w:basedOn w:val="1"/>
    <w:link w:val="50"/>
    <w:qFormat/>
    <w:uiPriority w:val="0"/>
    <w:pPr>
      <w:jc w:val="left"/>
    </w:pPr>
    <w:rPr>
      <w:rFonts w:cs="Times New Roman"/>
      <w:lang w:val="zh-CN"/>
    </w:rPr>
  </w:style>
  <w:style w:type="paragraph" w:styleId="15">
    <w:name w:val="Salutation"/>
    <w:basedOn w:val="1"/>
    <w:next w:val="1"/>
    <w:link w:val="249"/>
    <w:qFormat/>
    <w:uiPriority w:val="0"/>
    <w:rPr>
      <w:sz w:val="24"/>
    </w:rPr>
  </w:style>
  <w:style w:type="paragraph" w:styleId="16">
    <w:name w:val="toc 3"/>
    <w:basedOn w:val="1"/>
    <w:next w:val="1"/>
    <w:qFormat/>
    <w:uiPriority w:val="39"/>
    <w:pPr>
      <w:ind w:left="840" w:leftChars="400"/>
    </w:pPr>
  </w:style>
  <w:style w:type="paragraph" w:styleId="17">
    <w:name w:val="Plain Text"/>
    <w:basedOn w:val="1"/>
    <w:link w:val="52"/>
    <w:qFormat/>
    <w:uiPriority w:val="0"/>
    <w:pPr>
      <w:widowControl/>
      <w:overflowPunct w:val="0"/>
      <w:autoSpaceDE w:val="0"/>
      <w:autoSpaceDN w:val="0"/>
      <w:adjustRightInd w:val="0"/>
      <w:jc w:val="left"/>
      <w:textAlignment w:val="baseline"/>
    </w:pPr>
    <w:rPr>
      <w:rFonts w:ascii="宋体,Verdana,Arial" w:hAnsi="Tahoma" w:eastAsia="宋体,Verdana,Arial"/>
      <w:kern w:val="0"/>
      <w:szCs w:val="21"/>
    </w:rPr>
  </w:style>
  <w:style w:type="paragraph" w:styleId="18">
    <w:name w:val="Date"/>
    <w:basedOn w:val="1"/>
    <w:next w:val="1"/>
    <w:link w:val="251"/>
    <w:qFormat/>
    <w:uiPriority w:val="0"/>
    <w:rPr>
      <w:rFonts w:hint="eastAsia" w:ascii="宋体,Verdana,Arial"/>
      <w:sz w:val="24"/>
      <w:szCs w:val="20"/>
    </w:rPr>
  </w:style>
  <w:style w:type="paragraph" w:styleId="19">
    <w:name w:val="Body Text Indent 2"/>
    <w:basedOn w:val="1"/>
    <w:link w:val="252"/>
    <w:qFormat/>
    <w:uiPriority w:val="0"/>
    <w:pPr>
      <w:spacing w:line="500" w:lineRule="exact"/>
      <w:ind w:firstLine="511" w:firstLineChars="213"/>
    </w:pPr>
    <w:rPr>
      <w:sz w:val="24"/>
    </w:rPr>
  </w:style>
  <w:style w:type="paragraph" w:styleId="20">
    <w:name w:val="Balloon Text"/>
    <w:basedOn w:val="1"/>
    <w:link w:val="53"/>
    <w:qFormat/>
    <w:uiPriority w:val="0"/>
    <w:rPr>
      <w:rFonts w:cs="Times New Roman"/>
      <w:sz w:val="18"/>
      <w:szCs w:val="18"/>
      <w:lang w:val="zh-CN"/>
    </w:rPr>
  </w:style>
  <w:style w:type="paragraph" w:styleId="21">
    <w:name w:val="footer"/>
    <w:basedOn w:val="1"/>
    <w:link w:val="54"/>
    <w:qFormat/>
    <w:uiPriority w:val="0"/>
    <w:pPr>
      <w:tabs>
        <w:tab w:val="center" w:pos="4153"/>
        <w:tab w:val="right" w:pos="8306"/>
      </w:tabs>
      <w:snapToGrid w:val="0"/>
      <w:jc w:val="left"/>
    </w:pPr>
    <w:rPr>
      <w:rFonts w:cs="Times New Roman"/>
      <w:sz w:val="18"/>
      <w:szCs w:val="18"/>
      <w:lang w:val="zh-CN"/>
    </w:rPr>
  </w:style>
  <w:style w:type="paragraph" w:styleId="22">
    <w:name w:val="header"/>
    <w:basedOn w:val="1"/>
    <w:link w:val="55"/>
    <w:qFormat/>
    <w:uiPriority w:val="0"/>
    <w:pPr>
      <w:pBdr>
        <w:bottom w:val="single" w:color="auto" w:sz="6" w:space="1"/>
      </w:pBdr>
      <w:tabs>
        <w:tab w:val="center" w:pos="4153"/>
        <w:tab w:val="right" w:pos="8306"/>
      </w:tabs>
      <w:snapToGrid w:val="0"/>
      <w:jc w:val="center"/>
    </w:pPr>
    <w:rPr>
      <w:rFonts w:cs="Times New Roman"/>
      <w:sz w:val="18"/>
      <w:szCs w:val="18"/>
      <w:lang w:val="zh-CN"/>
    </w:rPr>
  </w:style>
  <w:style w:type="paragraph" w:styleId="23">
    <w:name w:val="toc 1"/>
    <w:basedOn w:val="1"/>
    <w:next w:val="1"/>
    <w:qFormat/>
    <w:uiPriority w:val="39"/>
    <w:pPr>
      <w:tabs>
        <w:tab w:val="right" w:leader="dot" w:pos="9660"/>
      </w:tabs>
      <w:spacing w:line="480" w:lineRule="auto"/>
    </w:pPr>
  </w:style>
  <w:style w:type="paragraph" w:styleId="24">
    <w:name w:val="List"/>
    <w:basedOn w:val="1"/>
    <w:qFormat/>
    <w:uiPriority w:val="0"/>
    <w:pPr>
      <w:ind w:left="200" w:hanging="200" w:hangingChars="200"/>
    </w:pPr>
    <w:rPr>
      <w:rFonts w:ascii="Times New Roman" w:hAnsi="Times New Roman" w:cs="Times New Roman"/>
      <w:szCs w:val="22"/>
    </w:rPr>
  </w:style>
  <w:style w:type="paragraph" w:styleId="25">
    <w:name w:val="Body Text Indent 3"/>
    <w:basedOn w:val="1"/>
    <w:link w:val="56"/>
    <w:qFormat/>
    <w:uiPriority w:val="0"/>
    <w:pPr>
      <w:spacing w:line="500" w:lineRule="exact"/>
      <w:ind w:left="511" w:hanging="511" w:hangingChars="213"/>
    </w:pPr>
    <w:rPr>
      <w:rFonts w:cs="Times New Roman"/>
      <w:sz w:val="24"/>
      <w:lang w:val="zh-CN"/>
    </w:rPr>
  </w:style>
  <w:style w:type="paragraph" w:styleId="26">
    <w:name w:val="toc 2"/>
    <w:basedOn w:val="1"/>
    <w:next w:val="1"/>
    <w:qFormat/>
    <w:uiPriority w:val="39"/>
    <w:pPr>
      <w:ind w:left="420" w:leftChars="200"/>
    </w:pPr>
  </w:style>
  <w:style w:type="paragraph" w:styleId="27">
    <w:name w:val="Body Text 2"/>
    <w:basedOn w:val="1"/>
    <w:link w:val="57"/>
    <w:qFormat/>
    <w:uiPriority w:val="0"/>
    <w:pPr>
      <w:spacing w:after="120" w:line="480" w:lineRule="auto"/>
    </w:pPr>
  </w:style>
  <w:style w:type="paragraph" w:styleId="28">
    <w:name w:val="HTML Preformatted"/>
    <w:basedOn w:val="1"/>
    <w:link w:val="247"/>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Times New Roman"/>
      <w:kern w:val="0"/>
      <w:sz w:val="24"/>
    </w:rPr>
  </w:style>
  <w:style w:type="paragraph" w:styleId="29">
    <w:name w:val="Normal (Web)"/>
    <w:basedOn w:val="1"/>
    <w:qFormat/>
    <w:uiPriority w:val="99"/>
    <w:pPr>
      <w:widowControl/>
      <w:spacing w:before="100" w:beforeAutospacing="1" w:after="100" w:afterAutospacing="1"/>
      <w:jc w:val="left"/>
    </w:pPr>
    <w:rPr>
      <w:rFonts w:ascii="宋体,Verdana,Arial" w:hAnsi="宋体,Verdana,Arial" w:cs="宋体,Verdana,Arial"/>
      <w:kern w:val="0"/>
      <w:sz w:val="24"/>
    </w:rPr>
  </w:style>
  <w:style w:type="paragraph" w:styleId="30">
    <w:name w:val="Title"/>
    <w:basedOn w:val="1"/>
    <w:next w:val="1"/>
    <w:link w:val="58"/>
    <w:qFormat/>
    <w:uiPriority w:val="10"/>
    <w:pPr>
      <w:spacing w:before="240" w:after="60"/>
      <w:jc w:val="center"/>
      <w:outlineLvl w:val="0"/>
    </w:pPr>
    <w:rPr>
      <w:rFonts w:ascii="Arial" w:hAnsi="Arial" w:cs="Times New Roman"/>
      <w:b/>
      <w:bCs/>
      <w:sz w:val="32"/>
      <w:szCs w:val="32"/>
      <w:lang w:val="zh-CN"/>
    </w:rPr>
  </w:style>
  <w:style w:type="paragraph" w:styleId="31">
    <w:name w:val="annotation subject"/>
    <w:basedOn w:val="14"/>
    <w:next w:val="14"/>
    <w:link w:val="59"/>
    <w:qFormat/>
    <w:uiPriority w:val="0"/>
    <w:rPr>
      <w:b/>
      <w:bCs/>
    </w:rPr>
  </w:style>
  <w:style w:type="paragraph" w:styleId="32">
    <w:name w:val="Body Text First Indent 2"/>
    <w:basedOn w:val="11"/>
    <w:next w:val="33"/>
    <w:link w:val="258"/>
    <w:qFormat/>
    <w:uiPriority w:val="0"/>
    <w:pPr>
      <w:ind w:left="200" w:leftChars="200" w:firstLine="420" w:firstLineChars="200"/>
    </w:pPr>
    <w:rPr>
      <w:rFonts w:ascii="Times New Roman" w:hAnsi="Times New Roman" w:cs="Times New Roman"/>
    </w:rPr>
  </w:style>
  <w:style w:type="paragraph" w:customStyle="1" w:styleId="33">
    <w:name w:val="xl53"/>
    <w:next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eastAsia="宋体" w:cs="Times New Roman"/>
      <w:b/>
      <w:bCs/>
      <w:lang w:val="en-US" w:eastAsia="zh-CN" w:bidi="ar-SA"/>
    </w:rPr>
  </w:style>
  <w:style w:type="table" w:styleId="35">
    <w:name w:val="Table Grid"/>
    <w:basedOn w:val="34"/>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7">
    <w:name w:val="Strong"/>
    <w:qFormat/>
    <w:uiPriority w:val="22"/>
    <w:rPr>
      <w:b/>
      <w:bCs/>
    </w:rPr>
  </w:style>
  <w:style w:type="character" w:styleId="38">
    <w:name w:val="page number"/>
    <w:basedOn w:val="36"/>
    <w:qFormat/>
    <w:uiPriority w:val="0"/>
  </w:style>
  <w:style w:type="character" w:styleId="39">
    <w:name w:val="FollowedHyperlink"/>
    <w:unhideWhenUsed/>
    <w:qFormat/>
    <w:uiPriority w:val="99"/>
    <w:rPr>
      <w:color w:val="800080"/>
      <w:u w:val="single"/>
    </w:rPr>
  </w:style>
  <w:style w:type="character" w:styleId="40">
    <w:name w:val="Emphasis"/>
    <w:qFormat/>
    <w:uiPriority w:val="0"/>
  </w:style>
  <w:style w:type="character" w:styleId="41">
    <w:name w:val="Hyperlink"/>
    <w:qFormat/>
    <w:uiPriority w:val="99"/>
    <w:rPr>
      <w:color w:val="0000FF"/>
      <w:u w:val="single"/>
    </w:rPr>
  </w:style>
  <w:style w:type="character" w:styleId="42">
    <w:name w:val="annotation reference"/>
    <w:qFormat/>
    <w:uiPriority w:val="0"/>
    <w:rPr>
      <w:sz w:val="21"/>
      <w:szCs w:val="21"/>
    </w:rPr>
  </w:style>
  <w:style w:type="paragraph" w:customStyle="1" w:styleId="43">
    <w:name w:val="BodyText1I2"/>
    <w:basedOn w:val="44"/>
    <w:qFormat/>
    <w:uiPriority w:val="0"/>
    <w:pPr>
      <w:spacing w:after="120" w:line="240" w:lineRule="auto"/>
      <w:ind w:left="420" w:leftChars="200" w:firstLine="420" w:firstLineChars="200"/>
      <w:jc w:val="both"/>
      <w:textAlignment w:val="baseline"/>
    </w:pPr>
  </w:style>
  <w:style w:type="paragraph" w:customStyle="1" w:styleId="44">
    <w:name w:val="BodyTextIndent"/>
    <w:basedOn w:val="1"/>
    <w:qFormat/>
    <w:uiPriority w:val="0"/>
    <w:pPr>
      <w:spacing w:after="120" w:line="240" w:lineRule="auto"/>
      <w:ind w:left="420" w:leftChars="200"/>
      <w:jc w:val="both"/>
      <w:textAlignment w:val="baseline"/>
    </w:pPr>
    <w:rPr>
      <w:rFonts w:ascii="Times New Roman" w:hAnsi="Times New Roman" w:eastAsia="宋体"/>
      <w:color w:val="000000"/>
      <w:kern w:val="2"/>
      <w:sz w:val="21"/>
      <w:szCs w:val="24"/>
      <w:lang w:val="en-US" w:eastAsia="zh-CN" w:bidi="ar-SA"/>
    </w:rPr>
  </w:style>
  <w:style w:type="character" w:customStyle="1" w:styleId="45">
    <w:name w:val="标题 1 Char"/>
    <w:link w:val="5"/>
    <w:qFormat/>
    <w:uiPriority w:val="0"/>
    <w:rPr>
      <w:rFonts w:ascii="Tahoma" w:eastAsia="Tahoma"/>
      <w:b/>
      <w:bCs/>
      <w:kern w:val="2"/>
      <w:sz w:val="21"/>
      <w:szCs w:val="24"/>
    </w:rPr>
  </w:style>
  <w:style w:type="character" w:customStyle="1" w:styleId="46">
    <w:name w:val="标题 2 Char"/>
    <w:link w:val="6"/>
    <w:qFormat/>
    <w:uiPriority w:val="9"/>
    <w:rPr>
      <w:rFonts w:ascii="Arial Unicode MS" w:hAnsi="Arial Unicode MS" w:eastAsia="Wingdings"/>
      <w:b/>
      <w:bCs/>
      <w:kern w:val="2"/>
      <w:sz w:val="32"/>
      <w:szCs w:val="32"/>
    </w:rPr>
  </w:style>
  <w:style w:type="character" w:customStyle="1" w:styleId="47">
    <w:name w:val="标题 3 Char"/>
    <w:link w:val="7"/>
    <w:qFormat/>
    <w:uiPriority w:val="0"/>
    <w:rPr>
      <w:rFonts w:eastAsia="Wingdings"/>
      <w:sz w:val="24"/>
      <w:lang w:val="en-US" w:eastAsia="zh-CN" w:bidi="ar-SA"/>
    </w:rPr>
  </w:style>
  <w:style w:type="character" w:customStyle="1" w:styleId="48">
    <w:name w:val="标题 4 Char"/>
    <w:link w:val="8"/>
    <w:qFormat/>
    <w:uiPriority w:val="0"/>
    <w:rPr>
      <w:rFonts w:eastAsia="Tahoma"/>
      <w:b/>
      <w:sz w:val="24"/>
    </w:rPr>
  </w:style>
  <w:style w:type="character" w:customStyle="1" w:styleId="49">
    <w:name w:val="正文缩进 Char1"/>
    <w:link w:val="10"/>
    <w:qFormat/>
    <w:uiPriority w:val="0"/>
    <w:rPr>
      <w:rFonts w:eastAsia="宋体,Verdana,Arial"/>
      <w:sz w:val="21"/>
      <w:lang w:val="en-US" w:eastAsia="zh-CN" w:bidi="ar-SA"/>
    </w:rPr>
  </w:style>
  <w:style w:type="character" w:customStyle="1" w:styleId="50">
    <w:name w:val="批注文字 Char"/>
    <w:link w:val="14"/>
    <w:qFormat/>
    <w:uiPriority w:val="0"/>
    <w:rPr>
      <w:kern w:val="2"/>
      <w:sz w:val="21"/>
      <w:szCs w:val="24"/>
    </w:rPr>
  </w:style>
  <w:style w:type="character" w:customStyle="1" w:styleId="51">
    <w:name w:val="正文文本 Char"/>
    <w:link w:val="2"/>
    <w:qFormat/>
    <w:uiPriority w:val="99"/>
    <w:rPr>
      <w:rFonts w:eastAsia="宋体,Verdana,Arial"/>
      <w:kern w:val="2"/>
      <w:sz w:val="21"/>
      <w:szCs w:val="24"/>
      <w:lang w:val="en-US" w:eastAsia="zh-CN" w:bidi="ar-SA"/>
    </w:rPr>
  </w:style>
  <w:style w:type="character" w:customStyle="1" w:styleId="52">
    <w:name w:val="纯文本 Char"/>
    <w:link w:val="17"/>
    <w:qFormat/>
    <w:uiPriority w:val="0"/>
    <w:rPr>
      <w:rFonts w:ascii="宋体,Verdana,Arial" w:hAnsi="Tahoma" w:eastAsia="宋体,Verdana,Arial"/>
      <w:sz w:val="21"/>
      <w:szCs w:val="21"/>
      <w:lang w:val="en-US" w:eastAsia="zh-CN" w:bidi="ar-SA"/>
    </w:rPr>
  </w:style>
  <w:style w:type="character" w:customStyle="1" w:styleId="53">
    <w:name w:val="批注框文本 Char"/>
    <w:link w:val="20"/>
    <w:qFormat/>
    <w:uiPriority w:val="99"/>
    <w:rPr>
      <w:kern w:val="2"/>
      <w:sz w:val="18"/>
      <w:szCs w:val="18"/>
    </w:rPr>
  </w:style>
  <w:style w:type="character" w:customStyle="1" w:styleId="54">
    <w:name w:val="页脚 Char"/>
    <w:link w:val="21"/>
    <w:qFormat/>
    <w:uiPriority w:val="99"/>
    <w:rPr>
      <w:kern w:val="2"/>
      <w:sz w:val="18"/>
      <w:szCs w:val="18"/>
    </w:rPr>
  </w:style>
  <w:style w:type="character" w:customStyle="1" w:styleId="55">
    <w:name w:val="页眉 Char"/>
    <w:link w:val="22"/>
    <w:qFormat/>
    <w:locked/>
    <w:uiPriority w:val="99"/>
    <w:rPr>
      <w:kern w:val="2"/>
      <w:sz w:val="18"/>
      <w:szCs w:val="18"/>
    </w:rPr>
  </w:style>
  <w:style w:type="character" w:customStyle="1" w:styleId="56">
    <w:name w:val="正文文本缩进 3 Char"/>
    <w:link w:val="25"/>
    <w:qFormat/>
    <w:uiPriority w:val="0"/>
    <w:rPr>
      <w:kern w:val="2"/>
      <w:sz w:val="24"/>
      <w:szCs w:val="24"/>
    </w:rPr>
  </w:style>
  <w:style w:type="character" w:customStyle="1" w:styleId="57">
    <w:name w:val="正文文本 2 Char"/>
    <w:basedOn w:val="36"/>
    <w:link w:val="27"/>
    <w:qFormat/>
    <w:uiPriority w:val="0"/>
    <w:rPr>
      <w:kern w:val="2"/>
      <w:sz w:val="21"/>
      <w:szCs w:val="24"/>
    </w:rPr>
  </w:style>
  <w:style w:type="character" w:customStyle="1" w:styleId="58">
    <w:name w:val="标题 Char"/>
    <w:link w:val="30"/>
    <w:qFormat/>
    <w:uiPriority w:val="10"/>
    <w:rPr>
      <w:rFonts w:ascii="Arial" w:hAnsi="Arial"/>
      <w:b/>
      <w:bCs/>
      <w:kern w:val="2"/>
      <w:sz w:val="32"/>
      <w:szCs w:val="32"/>
    </w:rPr>
  </w:style>
  <w:style w:type="character" w:customStyle="1" w:styleId="59">
    <w:name w:val="批注主题 Char"/>
    <w:link w:val="31"/>
    <w:qFormat/>
    <w:uiPriority w:val="0"/>
    <w:rPr>
      <w:b/>
      <w:bCs/>
      <w:kern w:val="2"/>
      <w:sz w:val="21"/>
      <w:szCs w:val="24"/>
    </w:rPr>
  </w:style>
  <w:style w:type="character" w:customStyle="1" w:styleId="60">
    <w:name w:val="正文首行缩进 Char"/>
    <w:basedOn w:val="51"/>
    <w:link w:val="3"/>
    <w:qFormat/>
    <w:uiPriority w:val="0"/>
    <w:rPr>
      <w:rFonts w:eastAsia="宋体,Verdana,Arial"/>
      <w:kern w:val="2"/>
      <w:sz w:val="21"/>
      <w:szCs w:val="24"/>
      <w:lang w:val="en-US" w:eastAsia="zh-CN" w:bidi="ar-SA"/>
    </w:rPr>
  </w:style>
  <w:style w:type="character" w:customStyle="1" w:styleId="61">
    <w:name w:val="正文缩进 Char"/>
    <w:qFormat/>
    <w:uiPriority w:val="0"/>
    <w:rPr>
      <w:rFonts w:eastAsia="宋体,Verdana,Arial"/>
      <w:sz w:val="21"/>
      <w:lang w:val="en-US" w:eastAsia="zh-CN"/>
    </w:rPr>
  </w:style>
  <w:style w:type="character" w:customStyle="1" w:styleId="62">
    <w:name w:val="Texte Char Char"/>
    <w:qFormat/>
    <w:uiPriority w:val="0"/>
    <w:rPr>
      <w:rFonts w:ascii="宋体" w:hAnsi="Courier New" w:eastAsia="宋体"/>
      <w:sz w:val="21"/>
      <w:szCs w:val="21"/>
      <w:lang w:val="en-US" w:eastAsia="zh-CN" w:bidi="ar-SA"/>
    </w:rPr>
  </w:style>
  <w:style w:type="character" w:customStyle="1" w:styleId="63">
    <w:name w:val="列出段落 Char"/>
    <w:link w:val="64"/>
    <w:qFormat/>
    <w:uiPriority w:val="34"/>
    <w:rPr>
      <w:rFonts w:ascii="Courier New" w:hAnsi="Courier New"/>
      <w:kern w:val="2"/>
      <w:sz w:val="21"/>
      <w:szCs w:val="22"/>
    </w:rPr>
  </w:style>
  <w:style w:type="paragraph" w:customStyle="1" w:styleId="64">
    <w:name w:val="列出段落1"/>
    <w:basedOn w:val="1"/>
    <w:link w:val="63"/>
    <w:qFormat/>
    <w:uiPriority w:val="34"/>
    <w:pPr>
      <w:ind w:firstLine="420" w:firstLineChars="200"/>
    </w:pPr>
    <w:rPr>
      <w:rFonts w:ascii="Courier New" w:hAnsi="Courier New" w:cs="Times New Roman"/>
      <w:szCs w:val="22"/>
      <w:lang w:val="zh-CN"/>
    </w:rPr>
  </w:style>
  <w:style w:type="character" w:customStyle="1" w:styleId="65">
    <w:name w:val="Char Char2"/>
    <w:qFormat/>
    <w:uiPriority w:val="0"/>
    <w:rPr>
      <w:rFonts w:ascii="Univers LT Std 57 Cn" w:hAnsi="宋体,Verdana,Arial" w:eastAsia="Univers LT Std 57 Cn"/>
      <w:kern w:val="2"/>
      <w:sz w:val="21"/>
      <w:lang w:val="en-US" w:eastAsia="zh-CN" w:bidi="ar-SA"/>
    </w:rPr>
  </w:style>
  <w:style w:type="character" w:customStyle="1" w:styleId="66">
    <w:name w:val="p141"/>
    <w:qFormat/>
    <w:uiPriority w:val="0"/>
    <w:rPr>
      <w:sz w:val="21"/>
      <w:szCs w:val="21"/>
    </w:rPr>
  </w:style>
  <w:style w:type="character" w:customStyle="1" w:styleId="67">
    <w:name w:val="纯文本 Char1"/>
    <w:qFormat/>
    <w:uiPriority w:val="0"/>
    <w:rPr>
      <w:rFonts w:ascii="宋体,Verdana,Arial" w:hAnsi="Tahoma" w:eastAsia="宋体,Verdana,Arial"/>
      <w:sz w:val="21"/>
      <w:szCs w:val="21"/>
    </w:rPr>
  </w:style>
  <w:style w:type="character" w:customStyle="1" w:styleId="68">
    <w:name w:val="正文文本 (2)_"/>
    <w:link w:val="69"/>
    <w:qFormat/>
    <w:uiPriority w:val="99"/>
    <w:rPr>
      <w:rFonts w:ascii="Times New Roman" w:hAnsi="Times New Roman" w:cs="Times New Roman"/>
      <w:shd w:val="clear" w:color="auto" w:fill="FFFFFF"/>
    </w:rPr>
  </w:style>
  <w:style w:type="paragraph" w:customStyle="1" w:styleId="69">
    <w:name w:val="正文文本 (2)"/>
    <w:basedOn w:val="1"/>
    <w:link w:val="68"/>
    <w:qFormat/>
    <w:uiPriority w:val="99"/>
    <w:pPr>
      <w:shd w:val="clear" w:color="auto" w:fill="FFFFFF"/>
      <w:jc w:val="left"/>
    </w:pPr>
    <w:rPr>
      <w:rFonts w:ascii="Times New Roman" w:hAnsi="Times New Roman" w:cs="Times New Roman"/>
      <w:kern w:val="0"/>
      <w:sz w:val="20"/>
      <w:szCs w:val="20"/>
      <w:lang w:val="zh-CN"/>
    </w:rPr>
  </w:style>
  <w:style w:type="character" w:customStyle="1" w:styleId="70">
    <w:name w:val="正文文本 (2) + MingLiU1"/>
    <w:qFormat/>
    <w:uiPriority w:val="99"/>
    <w:rPr>
      <w:rFonts w:ascii="MingLiU" w:hAnsi="Times New Roman" w:eastAsia="MingLiU" w:cs="MingLiU"/>
      <w:w w:val="100"/>
      <w:sz w:val="13"/>
      <w:szCs w:val="13"/>
      <w:shd w:val="clear" w:color="auto" w:fill="FFFFFF"/>
      <w:lang w:val="en-US" w:eastAsia="en-US"/>
    </w:rPr>
  </w:style>
  <w:style w:type="character" w:customStyle="1" w:styleId="71">
    <w:name w:val="ändrad Char"/>
    <w:qFormat/>
    <w:uiPriority w:val="0"/>
    <w:rPr>
      <w:rFonts w:eastAsia="Univers LT Std 57 Cn"/>
      <w:kern w:val="2"/>
      <w:sz w:val="21"/>
      <w:szCs w:val="24"/>
      <w:lang w:val="en-US" w:eastAsia="zh-CN" w:bidi="ar-SA"/>
    </w:rPr>
  </w:style>
  <w:style w:type="character" w:customStyle="1" w:styleId="72">
    <w:name w:val="正文文本 (2) + MingLiU"/>
    <w:qFormat/>
    <w:uiPriority w:val="99"/>
    <w:rPr>
      <w:rFonts w:ascii="MingLiU" w:hAnsi="Times New Roman" w:eastAsia="MingLiU" w:cs="MingLiU"/>
      <w:sz w:val="13"/>
      <w:szCs w:val="13"/>
      <w:shd w:val="clear" w:color="auto" w:fill="FFFFFF"/>
    </w:rPr>
  </w:style>
  <w:style w:type="character" w:customStyle="1" w:styleId="73">
    <w:name w:val="font31"/>
    <w:qFormat/>
    <w:uiPriority w:val="0"/>
    <w:rPr>
      <w:rFonts w:hint="eastAsia" w:ascii="宋体" w:hAnsi="宋体" w:eastAsia="宋体" w:cs="宋体"/>
      <w:color w:val="000000"/>
      <w:sz w:val="24"/>
      <w:szCs w:val="24"/>
    </w:rPr>
  </w:style>
  <w:style w:type="character" w:customStyle="1" w:styleId="74">
    <w:name w:val="正文文本缩进 3 Char1"/>
    <w:semiHidden/>
    <w:qFormat/>
    <w:uiPriority w:val="99"/>
    <w:rPr>
      <w:rFonts w:ascii="Times New Roman" w:hAnsi="Times New Roman"/>
      <w:kern w:val="2"/>
      <w:sz w:val="16"/>
      <w:szCs w:val="16"/>
    </w:rPr>
  </w:style>
  <w:style w:type="character" w:customStyle="1" w:styleId="75">
    <w:name w:val="页脚 字符"/>
    <w:qFormat/>
    <w:uiPriority w:val="0"/>
    <w:rPr>
      <w:rFonts w:ascii="Times New Roman" w:hAnsi="Times New Roman" w:eastAsia="宋体" w:cs="Times New Roman"/>
      <w:sz w:val="18"/>
      <w:szCs w:val="18"/>
    </w:rPr>
  </w:style>
  <w:style w:type="character" w:customStyle="1" w:styleId="76">
    <w:name w:val="apple-converted-space"/>
    <w:qFormat/>
    <w:uiPriority w:val="0"/>
  </w:style>
  <w:style w:type="character" w:customStyle="1" w:styleId="77">
    <w:name w:val="页眉 字符"/>
    <w:qFormat/>
    <w:uiPriority w:val="0"/>
    <w:rPr>
      <w:rFonts w:ascii="Times New Roman" w:hAnsi="Times New Roman" w:eastAsia="宋体" w:cs="Times New Roman"/>
      <w:sz w:val="18"/>
      <w:szCs w:val="18"/>
    </w:rPr>
  </w:style>
  <w:style w:type="character" w:customStyle="1" w:styleId="78">
    <w:name w:val="批注框文本 字符"/>
    <w:qFormat/>
    <w:uiPriority w:val="0"/>
    <w:rPr>
      <w:rFonts w:ascii="Times New Roman" w:hAnsi="Times New Roman" w:eastAsia="宋体" w:cs="Times New Roman"/>
      <w:sz w:val="18"/>
      <w:szCs w:val="18"/>
    </w:rPr>
  </w:style>
  <w:style w:type="character" w:customStyle="1" w:styleId="79">
    <w:name w:val="标题 4 字符"/>
    <w:qFormat/>
    <w:uiPriority w:val="0"/>
    <w:rPr>
      <w:rFonts w:ascii="Arial" w:hAnsi="Arial" w:eastAsia="黑体" w:cs="Times New Roman"/>
      <w:b/>
      <w:sz w:val="28"/>
      <w:szCs w:val="20"/>
    </w:rPr>
  </w:style>
  <w:style w:type="character" w:customStyle="1" w:styleId="80">
    <w:name w:val="正文文本缩进 3 字符"/>
    <w:qFormat/>
    <w:locked/>
    <w:uiPriority w:val="0"/>
    <w:rPr>
      <w:rFonts w:ascii="仿宋_GB2312" w:hAnsi="宋体" w:eastAsia="仿宋_GB2312"/>
      <w:color w:val="000000"/>
      <w:sz w:val="24"/>
      <w:szCs w:val="24"/>
    </w:rPr>
  </w:style>
  <w:style w:type="paragraph" w:customStyle="1" w:styleId="81">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8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 w:val="18"/>
      <w:szCs w:val="18"/>
    </w:rPr>
  </w:style>
  <w:style w:type="paragraph" w:customStyle="1" w:styleId="83">
    <w:name w:val="正文1"/>
    <w:basedOn w:val="1"/>
    <w:qFormat/>
    <w:uiPriority w:val="0"/>
    <w:pPr>
      <w:adjustRightInd w:val="0"/>
      <w:spacing w:line="360" w:lineRule="atLeast"/>
      <w:jc w:val="left"/>
    </w:pPr>
    <w:rPr>
      <w:rFonts w:eastAsia="Tahoma"/>
      <w:kern w:val="0"/>
      <w:sz w:val="24"/>
      <w:szCs w:val="20"/>
    </w:rPr>
  </w:style>
  <w:style w:type="paragraph" w:customStyle="1" w:styleId="84">
    <w:name w:val="保留正文"/>
    <w:basedOn w:val="2"/>
    <w:qFormat/>
    <w:uiPriority w:val="0"/>
    <w:pPr>
      <w:keepNext/>
      <w:spacing w:after="160"/>
    </w:pPr>
    <w:rPr>
      <w:rFonts w:ascii="Arial" w:hAnsi="Arial" w:eastAsia="Univers LT Std 57 Cn"/>
    </w:rPr>
  </w:style>
  <w:style w:type="paragraph" w:customStyle="1" w:styleId="85">
    <w:name w:val="Char Char Char Char Char Char Char Char Char Char Char Char Char"/>
    <w:basedOn w:val="1"/>
    <w:qFormat/>
    <w:uiPriority w:val="0"/>
    <w:rPr>
      <w:rFonts w:ascii="Arial Unicode MS" w:hAnsi="Arial Unicode MS"/>
      <w:sz w:val="24"/>
      <w:szCs w:val="20"/>
    </w:rPr>
  </w:style>
  <w:style w:type="paragraph" w:customStyle="1" w:styleId="86">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宋体,Verdana,Arial" w:hAnsi="宋体,Verdana,Arial" w:eastAsia="宋体,Verdana,Arial"/>
      <w:kern w:val="0"/>
      <w:sz w:val="24"/>
    </w:rPr>
  </w:style>
  <w:style w:type="paragraph" w:customStyle="1" w:styleId="87">
    <w:name w:val="xl90"/>
    <w:basedOn w:val="1"/>
    <w:qFormat/>
    <w:uiPriority w:val="0"/>
    <w:pPr>
      <w:widowControl/>
      <w:spacing w:before="100" w:beforeAutospacing="1" w:after="100" w:afterAutospacing="1"/>
      <w:jc w:val="left"/>
    </w:pPr>
    <w:rPr>
      <w:rFonts w:ascii="Arial" w:hAnsi="Arial"/>
      <w:kern w:val="0"/>
      <w:sz w:val="24"/>
    </w:rPr>
  </w:style>
  <w:style w:type="paragraph" w:customStyle="1" w:styleId="88">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cs="Times New Roman"/>
      <w:color w:val="000000"/>
      <w:kern w:val="0"/>
      <w:sz w:val="18"/>
      <w:szCs w:val="18"/>
    </w:rPr>
  </w:style>
  <w:style w:type="paragraph" w:customStyle="1" w:styleId="89">
    <w:name w:val="正文2"/>
    <w:next w:val="23"/>
    <w:qFormat/>
    <w:uiPriority w:val="0"/>
    <w:pPr>
      <w:widowControl w:val="0"/>
      <w:spacing w:before="156" w:line="360" w:lineRule="auto"/>
      <w:ind w:firstLine="200" w:firstLineChars="200"/>
      <w:jc w:val="both"/>
    </w:pPr>
    <w:rPr>
      <w:rFonts w:ascii="Times New Roman" w:hAnsi="Times New Roman" w:eastAsia="宋体" w:cs="Times New Roman"/>
      <w:kern w:val="2"/>
      <w:sz w:val="24"/>
      <w:lang w:val="en-US" w:eastAsia="zh-CN" w:bidi="ar-SA"/>
    </w:rPr>
  </w:style>
  <w:style w:type="paragraph" w:customStyle="1" w:styleId="90">
    <w:name w:val="Char Char Char Char"/>
    <w:basedOn w:val="1"/>
    <w:qFormat/>
    <w:uiPriority w:val="0"/>
    <w:rPr>
      <w:rFonts w:ascii="Arial Unicode MS" w:hAnsi="Arial Unicode MS"/>
      <w:sz w:val="24"/>
      <w:szCs w:val="20"/>
    </w:rPr>
  </w:style>
  <w:style w:type="paragraph" w:customStyle="1" w:styleId="91">
    <w:name w:val="aspnumfaautoadjustrightr"/>
    <w:qFormat/>
    <w:uiPriority w:val="0"/>
    <w:pPr>
      <w:widowControl w:val="0"/>
      <w:autoSpaceDE w:val="0"/>
      <w:autoSpaceDN w:val="0"/>
      <w:adjustRightInd w:val="0"/>
      <w:ind w:firstLine="720"/>
      <w:jc w:val="both"/>
    </w:pPr>
    <w:rPr>
      <w:rFonts w:ascii="Calibri" w:hAnsi="Calibri" w:eastAsia="宋体" w:cs="Arial"/>
      <w:lang w:val="en-US" w:eastAsia="zh-CN" w:bidi="ar-SA"/>
    </w:rPr>
  </w:style>
  <w:style w:type="paragraph" w:customStyle="1" w:styleId="92">
    <w:name w:val="msolistparagraph"/>
    <w:basedOn w:val="1"/>
    <w:qFormat/>
    <w:uiPriority w:val="0"/>
    <w:pPr>
      <w:widowControl/>
      <w:ind w:firstLine="420"/>
      <w:jc w:val="left"/>
    </w:pPr>
    <w:rPr>
      <w:rFonts w:ascii="宋体" w:hAnsi="宋体" w:cs="宋体"/>
      <w:kern w:val="0"/>
      <w:sz w:val="24"/>
    </w:rPr>
  </w:style>
  <w:style w:type="paragraph" w:customStyle="1" w:styleId="93">
    <w:name w:val="xl55"/>
    <w:basedOn w:val="1"/>
    <w:qFormat/>
    <w:uiPriority w:val="0"/>
    <w:pPr>
      <w:widowControl/>
      <w:spacing w:before="100" w:beforeAutospacing="1" w:after="100" w:afterAutospacing="1"/>
      <w:textAlignment w:val="center"/>
    </w:pPr>
    <w:rPr>
      <w:rFonts w:ascii="宋体,Verdana,Arial" w:hAnsi="宋体,Verdana,Arial" w:eastAsia="Tahoma"/>
      <w:kern w:val="0"/>
      <w:sz w:val="24"/>
      <w:szCs w:val="20"/>
    </w:rPr>
  </w:style>
  <w:style w:type="paragraph" w:customStyle="1" w:styleId="9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olor w:val="000000"/>
      <w:kern w:val="0"/>
      <w:sz w:val="18"/>
      <w:szCs w:val="18"/>
    </w:rPr>
  </w:style>
  <w:style w:type="paragraph" w:customStyle="1" w:styleId="95">
    <w:name w:val="xl9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w:hAnsi="Arial"/>
      <w:color w:val="000000"/>
      <w:kern w:val="0"/>
      <w:sz w:val="18"/>
      <w:szCs w:val="18"/>
    </w:rPr>
  </w:style>
  <w:style w:type="paragraph" w:customStyle="1" w:styleId="96">
    <w:name w:val="Char Char Char Char1"/>
    <w:basedOn w:val="13"/>
    <w:qFormat/>
    <w:uiPriority w:val="0"/>
    <w:rPr>
      <w:rFonts w:ascii="Arial Unicode MS" w:hAnsi="Arial Unicode MS"/>
      <w:sz w:val="24"/>
    </w:rPr>
  </w:style>
  <w:style w:type="paragraph" w:customStyle="1" w:styleId="97">
    <w:name w:val="xl92"/>
    <w:basedOn w:val="1"/>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b/>
      <w:bCs/>
      <w:color w:val="000000"/>
      <w:kern w:val="0"/>
      <w:sz w:val="20"/>
      <w:szCs w:val="20"/>
    </w:rPr>
  </w:style>
  <w:style w:type="paragraph" w:customStyle="1" w:styleId="98">
    <w:name w:val="xl10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99">
    <w:name w:val="xl155"/>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w:hAnsi="Arial"/>
      <w:b/>
      <w:bCs/>
      <w:color w:val="000000"/>
      <w:kern w:val="0"/>
      <w:sz w:val="20"/>
      <w:szCs w:val="20"/>
    </w:rPr>
  </w:style>
  <w:style w:type="paragraph" w:customStyle="1" w:styleId="100">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olor w:val="000000"/>
      <w:kern w:val="0"/>
      <w:sz w:val="18"/>
      <w:szCs w:val="18"/>
    </w:rPr>
  </w:style>
  <w:style w:type="paragraph" w:customStyle="1" w:styleId="101">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2">
    <w:name w:val="font15"/>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103">
    <w:name w:val="Char Char7 Char"/>
    <w:basedOn w:val="1"/>
    <w:qFormat/>
    <w:uiPriority w:val="0"/>
    <w:pPr>
      <w:tabs>
        <w:tab w:val="left" w:pos="425"/>
      </w:tabs>
      <w:ind w:left="420" w:leftChars="200" w:firstLine="270" w:firstLineChars="150"/>
    </w:pPr>
    <w:rPr>
      <w:rFonts w:ascii="Times New Roman" w:hAnsi="Times New Roman" w:cs="Times New Roman"/>
    </w:rPr>
  </w:style>
  <w:style w:type="paragraph" w:customStyle="1" w:styleId="104">
    <w:name w:val="1.1.1"/>
    <w:basedOn w:val="1"/>
    <w:qFormat/>
    <w:uiPriority w:val="0"/>
    <w:pPr>
      <w:tabs>
        <w:tab w:val="left" w:pos="0"/>
        <w:tab w:val="left" w:pos="1134"/>
        <w:tab w:val="left" w:pos="8505"/>
      </w:tabs>
      <w:autoSpaceDE w:val="0"/>
      <w:autoSpaceDN w:val="0"/>
      <w:adjustRightInd w:val="0"/>
      <w:spacing w:before="240" w:after="60" w:line="360" w:lineRule="atLeast"/>
    </w:pPr>
    <w:rPr>
      <w:rFonts w:ascii="宋体,Verdana,Arial"/>
      <w:b/>
      <w:kern w:val="0"/>
      <w:sz w:val="24"/>
      <w:szCs w:val="20"/>
    </w:rPr>
  </w:style>
  <w:style w:type="paragraph" w:customStyle="1" w:styleId="105">
    <w:name w:val="xl10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w:hAnsi="Arial"/>
      <w:color w:val="000000"/>
      <w:kern w:val="0"/>
      <w:sz w:val="18"/>
      <w:szCs w:val="18"/>
    </w:rPr>
  </w:style>
  <w:style w:type="paragraph" w:customStyle="1" w:styleId="10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olor w:val="000000"/>
      <w:kern w:val="0"/>
      <w:sz w:val="18"/>
      <w:szCs w:val="18"/>
    </w:rPr>
  </w:style>
  <w:style w:type="paragraph" w:customStyle="1" w:styleId="107">
    <w:name w:val="修订1"/>
    <w:semiHidden/>
    <w:qFormat/>
    <w:uiPriority w:val="99"/>
    <w:rPr>
      <w:rFonts w:ascii="Calibri" w:hAnsi="Calibri" w:eastAsia="宋体" w:cs="Arial"/>
      <w:kern w:val="2"/>
      <w:sz w:val="21"/>
      <w:szCs w:val="24"/>
      <w:lang w:val="en-US" w:eastAsia="zh-CN" w:bidi="ar-SA"/>
    </w:rPr>
  </w:style>
  <w:style w:type="paragraph" w:customStyle="1" w:styleId="108">
    <w:name w:val="Char Char"/>
    <w:basedOn w:val="1"/>
    <w:qFormat/>
    <w:uiPriority w:val="0"/>
    <w:rPr>
      <w:rFonts w:ascii="Courier New" w:eastAsia="Courier New"/>
      <w:b/>
      <w:sz w:val="32"/>
      <w:szCs w:val="32"/>
    </w:rPr>
  </w:style>
  <w:style w:type="paragraph" w:customStyle="1" w:styleId="109">
    <w:name w:val="表内文字"/>
    <w:basedOn w:val="1"/>
    <w:qFormat/>
    <w:uiPriority w:val="0"/>
    <w:pPr>
      <w:spacing w:line="240" w:lineRule="atLeast"/>
      <w:jc w:val="center"/>
    </w:pPr>
    <w:rPr>
      <w:rFonts w:ascii="Arial Unicode MS" w:hAnsi="Arial Unicode MS" w:cs="Arial Unicode MS"/>
      <w:b/>
      <w:bCs/>
    </w:rPr>
  </w:style>
  <w:style w:type="paragraph" w:customStyle="1" w:styleId="110">
    <w:name w:val="xl130"/>
    <w:basedOn w:val="1"/>
    <w:qFormat/>
    <w:uiPriority w:val="0"/>
    <w:pPr>
      <w:widowControl/>
      <w:pBdr>
        <w:top w:val="single" w:color="auto" w:sz="4" w:space="0"/>
        <w:left w:val="single" w:color="auto" w:sz="4" w:space="0"/>
        <w:bottom w:val="single" w:color="auto" w:sz="4" w:space="0"/>
      </w:pBdr>
      <w:shd w:val="clear" w:color="000000" w:fill="C0C0C0"/>
      <w:spacing w:before="100" w:beforeAutospacing="1" w:after="100" w:afterAutospacing="1"/>
      <w:jc w:val="left"/>
    </w:pPr>
    <w:rPr>
      <w:rFonts w:ascii="Arial" w:hAnsi="Arial"/>
      <w:b/>
      <w:bCs/>
      <w:kern w:val="0"/>
      <w:sz w:val="18"/>
      <w:szCs w:val="18"/>
    </w:rPr>
  </w:style>
  <w:style w:type="paragraph" w:customStyle="1" w:styleId="111">
    <w:name w:val="_Style 5"/>
    <w:basedOn w:val="13"/>
    <w:qFormat/>
    <w:uiPriority w:val="0"/>
    <w:rPr>
      <w:rFonts w:ascii="Times New Roman" w:hAnsi="Times New Roman" w:cs="Times New Roman"/>
    </w:rPr>
  </w:style>
  <w:style w:type="paragraph" w:customStyle="1" w:styleId="112">
    <w:name w:val="Char Char6 Char Char"/>
    <w:basedOn w:val="13"/>
    <w:qFormat/>
    <w:uiPriority w:val="0"/>
    <w:rPr>
      <w:rFonts w:ascii="Times New Roman" w:hAnsi="Times New Roman" w:cs="Times New Roman"/>
    </w:rPr>
  </w:style>
  <w:style w:type="paragraph" w:customStyle="1" w:styleId="113">
    <w:name w:val="font16"/>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114">
    <w:name w:val="xl9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115">
    <w:name w:val="font5"/>
    <w:basedOn w:val="1"/>
    <w:qFormat/>
    <w:uiPriority w:val="0"/>
    <w:pPr>
      <w:widowControl/>
      <w:spacing w:before="100" w:beforeAutospacing="1" w:after="100" w:afterAutospacing="1"/>
      <w:jc w:val="left"/>
    </w:pPr>
    <w:rPr>
      <w:rFonts w:ascii="Arial" w:hAnsi="Arial"/>
      <w:kern w:val="0"/>
      <w:sz w:val="18"/>
      <w:szCs w:val="18"/>
    </w:rPr>
  </w:style>
  <w:style w:type="paragraph" w:customStyle="1" w:styleId="116">
    <w:name w:val="font6"/>
    <w:basedOn w:val="1"/>
    <w:qFormat/>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117">
    <w:name w:val="font7"/>
    <w:basedOn w:val="1"/>
    <w:qFormat/>
    <w:uiPriority w:val="0"/>
    <w:pPr>
      <w:widowControl/>
      <w:spacing w:before="100" w:beforeAutospacing="1" w:after="100" w:afterAutospacing="1"/>
      <w:jc w:val="left"/>
    </w:pPr>
    <w:rPr>
      <w:rFonts w:ascii="Arial" w:hAnsi="Arial"/>
      <w:b/>
      <w:bCs/>
      <w:color w:val="000000"/>
      <w:kern w:val="0"/>
      <w:sz w:val="18"/>
      <w:szCs w:val="18"/>
    </w:rPr>
  </w:style>
  <w:style w:type="paragraph" w:customStyle="1" w:styleId="11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olor w:val="000000"/>
      <w:kern w:val="0"/>
      <w:sz w:val="18"/>
      <w:szCs w:val="18"/>
    </w:rPr>
  </w:style>
  <w:style w:type="paragraph" w:customStyle="1" w:styleId="119">
    <w:name w:val="font8"/>
    <w:basedOn w:val="1"/>
    <w:qFormat/>
    <w:uiPriority w:val="0"/>
    <w:pPr>
      <w:widowControl/>
      <w:spacing w:before="100" w:beforeAutospacing="1" w:after="100" w:afterAutospacing="1"/>
      <w:jc w:val="left"/>
    </w:pPr>
    <w:rPr>
      <w:rFonts w:ascii="宋体" w:hAnsi="宋体" w:cs="宋体"/>
      <w:b/>
      <w:bCs/>
      <w:kern w:val="0"/>
      <w:sz w:val="18"/>
      <w:szCs w:val="18"/>
    </w:rPr>
  </w:style>
  <w:style w:type="paragraph" w:customStyle="1" w:styleId="120">
    <w:name w:val="font10"/>
    <w:basedOn w:val="1"/>
    <w:qFormat/>
    <w:uiPriority w:val="0"/>
    <w:pPr>
      <w:widowControl/>
      <w:spacing w:before="100" w:beforeAutospacing="1" w:after="100" w:afterAutospacing="1"/>
      <w:jc w:val="left"/>
    </w:pPr>
    <w:rPr>
      <w:rFonts w:ascii="Arial" w:hAnsi="Arial"/>
      <w:color w:val="000000"/>
      <w:kern w:val="0"/>
      <w:sz w:val="18"/>
      <w:szCs w:val="18"/>
    </w:rPr>
  </w:style>
  <w:style w:type="paragraph" w:customStyle="1" w:styleId="121">
    <w:name w:val="font11"/>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122">
    <w:name w:val="font12"/>
    <w:basedOn w:val="1"/>
    <w:qFormat/>
    <w:uiPriority w:val="0"/>
    <w:pPr>
      <w:widowControl/>
      <w:spacing w:before="100" w:beforeAutospacing="1" w:after="100" w:afterAutospacing="1"/>
      <w:jc w:val="left"/>
    </w:pPr>
    <w:rPr>
      <w:rFonts w:ascii="宋体" w:hAnsi="宋体" w:cs="宋体"/>
      <w:b/>
      <w:bCs/>
      <w:color w:val="000000"/>
      <w:kern w:val="0"/>
      <w:sz w:val="20"/>
      <w:szCs w:val="20"/>
    </w:rPr>
  </w:style>
  <w:style w:type="paragraph" w:customStyle="1" w:styleId="123">
    <w:name w:val="font13"/>
    <w:basedOn w:val="1"/>
    <w:qFormat/>
    <w:uiPriority w:val="0"/>
    <w:pPr>
      <w:widowControl/>
      <w:spacing w:before="100" w:beforeAutospacing="1" w:after="100" w:afterAutospacing="1"/>
      <w:jc w:val="left"/>
    </w:pPr>
    <w:rPr>
      <w:rFonts w:ascii="Arial" w:hAnsi="Arial"/>
      <w:color w:val="000000"/>
      <w:kern w:val="0"/>
      <w:sz w:val="18"/>
      <w:szCs w:val="18"/>
    </w:rPr>
  </w:style>
  <w:style w:type="paragraph" w:customStyle="1" w:styleId="12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kern w:val="0"/>
      <w:sz w:val="18"/>
      <w:szCs w:val="18"/>
    </w:rPr>
  </w:style>
  <w:style w:type="paragraph" w:customStyle="1" w:styleId="125">
    <w:name w:val="font14"/>
    <w:basedOn w:val="1"/>
    <w:qFormat/>
    <w:uiPriority w:val="0"/>
    <w:pPr>
      <w:widowControl/>
      <w:spacing w:before="100" w:beforeAutospacing="1" w:after="100" w:afterAutospacing="1"/>
      <w:jc w:val="left"/>
    </w:pPr>
    <w:rPr>
      <w:rFonts w:ascii="Arial" w:hAnsi="Arial"/>
      <w:color w:val="000000"/>
      <w:kern w:val="0"/>
      <w:sz w:val="18"/>
      <w:szCs w:val="18"/>
    </w:rPr>
  </w:style>
  <w:style w:type="paragraph" w:customStyle="1" w:styleId="126">
    <w:name w:val="font1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font18"/>
    <w:basedOn w:val="1"/>
    <w:qFormat/>
    <w:uiPriority w:val="0"/>
    <w:pPr>
      <w:widowControl/>
      <w:spacing w:before="100" w:beforeAutospacing="1" w:after="100" w:afterAutospacing="1"/>
      <w:jc w:val="left"/>
    </w:pPr>
    <w:rPr>
      <w:rFonts w:ascii="Arial" w:hAnsi="Arial"/>
      <w:color w:val="000000"/>
      <w:kern w:val="0"/>
      <w:sz w:val="18"/>
      <w:szCs w:val="18"/>
    </w:rPr>
  </w:style>
  <w:style w:type="paragraph" w:customStyle="1" w:styleId="128">
    <w:name w:val="font19"/>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129">
    <w:name w:val="font20"/>
    <w:basedOn w:val="1"/>
    <w:qFormat/>
    <w:uiPriority w:val="0"/>
    <w:pPr>
      <w:widowControl/>
      <w:spacing w:before="100" w:beforeAutospacing="1" w:after="100" w:afterAutospacing="1"/>
      <w:jc w:val="left"/>
    </w:pPr>
    <w:rPr>
      <w:rFonts w:ascii="Arial" w:hAnsi="Arial"/>
      <w:color w:val="000000"/>
      <w:kern w:val="0"/>
      <w:sz w:val="18"/>
      <w:szCs w:val="18"/>
    </w:rPr>
  </w:style>
  <w:style w:type="paragraph" w:customStyle="1" w:styleId="130">
    <w:name w:val="font21"/>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131">
    <w:name w:val="xl69"/>
    <w:basedOn w:val="1"/>
    <w:qFormat/>
    <w:uiPriority w:val="0"/>
    <w:pPr>
      <w:widowControl/>
      <w:spacing w:before="100" w:beforeAutospacing="1" w:after="100" w:afterAutospacing="1"/>
      <w:jc w:val="left"/>
    </w:pPr>
    <w:rPr>
      <w:rFonts w:ascii="Arial" w:hAnsi="Arial"/>
      <w:kern w:val="0"/>
      <w:sz w:val="20"/>
      <w:szCs w:val="20"/>
    </w:rPr>
  </w:style>
  <w:style w:type="paragraph" w:customStyle="1" w:styleId="132">
    <w:name w:val="xl70"/>
    <w:basedOn w:val="1"/>
    <w:qFormat/>
    <w:uiPriority w:val="0"/>
    <w:pPr>
      <w:widowControl/>
      <w:spacing w:before="100" w:beforeAutospacing="1" w:after="100" w:afterAutospacing="1"/>
      <w:jc w:val="center"/>
    </w:pPr>
    <w:rPr>
      <w:rFonts w:ascii="Times New Roman" w:hAnsi="Times New Roman" w:cs="Times New Roman"/>
      <w:color w:val="000000"/>
      <w:kern w:val="0"/>
      <w:sz w:val="20"/>
      <w:szCs w:val="20"/>
    </w:rPr>
  </w:style>
  <w:style w:type="paragraph" w:customStyle="1" w:styleId="133">
    <w:name w:val="xl71"/>
    <w:basedOn w:val="1"/>
    <w:qFormat/>
    <w:uiPriority w:val="0"/>
    <w:pPr>
      <w:widowControl/>
      <w:spacing w:before="100" w:beforeAutospacing="1" w:after="100" w:afterAutospacing="1"/>
      <w:jc w:val="left"/>
    </w:pPr>
    <w:rPr>
      <w:rFonts w:ascii="Times New Roman" w:hAnsi="Times New Roman" w:cs="Times New Roman"/>
      <w:color w:val="000000"/>
      <w:kern w:val="0"/>
      <w:sz w:val="20"/>
      <w:szCs w:val="20"/>
    </w:rPr>
  </w:style>
  <w:style w:type="paragraph" w:customStyle="1" w:styleId="13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kern w:val="0"/>
      <w:sz w:val="18"/>
      <w:szCs w:val="18"/>
    </w:rPr>
  </w:style>
  <w:style w:type="paragraph" w:customStyle="1" w:styleId="13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 w:val="18"/>
      <w:szCs w:val="18"/>
    </w:rPr>
  </w:style>
  <w:style w:type="paragraph" w:customStyle="1" w:styleId="13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 w:val="18"/>
      <w:szCs w:val="18"/>
    </w:rPr>
  </w:style>
  <w:style w:type="paragraph" w:customStyle="1" w:styleId="13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 w:val="18"/>
      <w:szCs w:val="18"/>
    </w:rPr>
  </w:style>
  <w:style w:type="paragraph" w:customStyle="1" w:styleId="13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3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40">
    <w:name w:val="xl79"/>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4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kern w:val="0"/>
      <w:sz w:val="18"/>
      <w:szCs w:val="18"/>
    </w:rPr>
  </w:style>
  <w:style w:type="paragraph" w:customStyle="1" w:styleId="14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 w:val="18"/>
      <w:szCs w:val="18"/>
    </w:rPr>
  </w:style>
  <w:style w:type="paragraph" w:customStyle="1" w:styleId="14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kern w:val="0"/>
      <w:sz w:val="18"/>
      <w:szCs w:val="18"/>
    </w:rPr>
  </w:style>
  <w:style w:type="paragraph" w:customStyle="1" w:styleId="144">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 w:val="18"/>
      <w:szCs w:val="18"/>
    </w:rPr>
  </w:style>
  <w:style w:type="paragraph" w:customStyle="1" w:styleId="145">
    <w:name w:val="xl9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w:hAnsi="Arial"/>
      <w:color w:val="000000"/>
      <w:kern w:val="0"/>
      <w:sz w:val="18"/>
      <w:szCs w:val="18"/>
    </w:rPr>
  </w:style>
  <w:style w:type="paragraph" w:customStyle="1" w:styleId="14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olor w:val="000000"/>
      <w:kern w:val="0"/>
      <w:sz w:val="18"/>
      <w:szCs w:val="18"/>
    </w:rPr>
  </w:style>
  <w:style w:type="paragraph" w:customStyle="1" w:styleId="14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olor w:val="000000"/>
      <w:kern w:val="0"/>
      <w:sz w:val="18"/>
      <w:szCs w:val="18"/>
    </w:rPr>
  </w:style>
  <w:style w:type="paragraph" w:customStyle="1" w:styleId="148">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49">
    <w:name w:val="xl1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50">
    <w:name w:val="xl91"/>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151">
    <w:name w:val="xl1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152">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b/>
      <w:bCs/>
      <w:color w:val="000000"/>
      <w:kern w:val="0"/>
      <w:sz w:val="20"/>
      <w:szCs w:val="20"/>
    </w:rPr>
  </w:style>
  <w:style w:type="paragraph" w:customStyle="1" w:styleId="15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olor w:val="000000"/>
      <w:kern w:val="0"/>
      <w:sz w:val="18"/>
      <w:szCs w:val="18"/>
    </w:rPr>
  </w:style>
  <w:style w:type="paragraph" w:customStyle="1" w:styleId="154">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55">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56">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w:hAnsi="Arial"/>
      <w:color w:val="000000"/>
      <w:kern w:val="0"/>
      <w:sz w:val="18"/>
      <w:szCs w:val="18"/>
    </w:rPr>
  </w:style>
  <w:style w:type="paragraph" w:customStyle="1" w:styleId="157">
    <w:name w:val="xl10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w:hAnsi="Arial"/>
      <w:color w:val="000000"/>
      <w:kern w:val="0"/>
      <w:sz w:val="18"/>
      <w:szCs w:val="18"/>
    </w:rPr>
  </w:style>
  <w:style w:type="paragraph" w:customStyle="1" w:styleId="158">
    <w:name w:val="xl10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w:hAnsi="Arial"/>
      <w:color w:val="000000"/>
      <w:kern w:val="0"/>
      <w:sz w:val="18"/>
      <w:szCs w:val="18"/>
    </w:rPr>
  </w:style>
  <w:style w:type="paragraph" w:customStyle="1" w:styleId="159">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160">
    <w:name w:val="xl123"/>
    <w:basedOn w:val="1"/>
    <w:qFormat/>
    <w:uiPriority w:val="0"/>
    <w:pPr>
      <w:widowControl/>
      <w:pBdr>
        <w:bottom w:val="single" w:color="auto" w:sz="4" w:space="0"/>
      </w:pBdr>
      <w:spacing w:before="100" w:beforeAutospacing="1" w:after="100" w:afterAutospacing="1"/>
      <w:jc w:val="center"/>
    </w:pPr>
    <w:rPr>
      <w:rFonts w:ascii="宋体" w:hAnsi="宋体" w:cs="宋体"/>
      <w:b/>
      <w:bCs/>
      <w:color w:val="000000"/>
      <w:kern w:val="0"/>
      <w:sz w:val="32"/>
      <w:szCs w:val="32"/>
    </w:rPr>
  </w:style>
  <w:style w:type="paragraph" w:customStyle="1" w:styleId="161">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olor w:val="000000"/>
      <w:kern w:val="0"/>
      <w:sz w:val="18"/>
      <w:szCs w:val="18"/>
    </w:rPr>
  </w:style>
  <w:style w:type="paragraph" w:customStyle="1" w:styleId="162">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olor w:val="000000"/>
      <w:kern w:val="0"/>
      <w:sz w:val="18"/>
      <w:szCs w:val="18"/>
    </w:rPr>
  </w:style>
  <w:style w:type="paragraph" w:customStyle="1" w:styleId="163">
    <w:name w:val="xl110"/>
    <w:basedOn w:val="1"/>
    <w:qFormat/>
    <w:uiPriority w:val="0"/>
    <w:pPr>
      <w:widowControl/>
      <w:pBdr>
        <w:top w:val="single" w:color="auto" w:sz="4" w:space="0"/>
        <w:bottom w:val="single" w:color="auto" w:sz="4" w:space="0"/>
      </w:pBdr>
      <w:spacing w:before="100" w:beforeAutospacing="1" w:after="100" w:afterAutospacing="1"/>
      <w:jc w:val="left"/>
    </w:pPr>
    <w:rPr>
      <w:rFonts w:ascii="Arial" w:hAnsi="Arial"/>
      <w:color w:val="000000"/>
      <w:kern w:val="0"/>
      <w:sz w:val="18"/>
      <w:szCs w:val="18"/>
    </w:rPr>
  </w:style>
  <w:style w:type="paragraph" w:customStyle="1" w:styleId="164">
    <w:name w:val="xl15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w:hAnsi="Arial"/>
      <w:b/>
      <w:bCs/>
      <w:color w:val="000000"/>
      <w:kern w:val="0"/>
      <w:sz w:val="20"/>
      <w:szCs w:val="20"/>
    </w:rPr>
  </w:style>
  <w:style w:type="paragraph" w:customStyle="1" w:styleId="165">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w:hAnsi="Arial"/>
      <w:color w:val="000000"/>
      <w:kern w:val="0"/>
      <w:sz w:val="18"/>
      <w:szCs w:val="18"/>
    </w:rPr>
  </w:style>
  <w:style w:type="paragraph" w:customStyle="1" w:styleId="166">
    <w:name w:val="xl154"/>
    <w:basedOn w:val="1"/>
    <w:qFormat/>
    <w:uiPriority w:val="0"/>
    <w:pPr>
      <w:widowControl/>
      <w:pBdr>
        <w:top w:val="single" w:color="auto" w:sz="4" w:space="0"/>
        <w:bottom w:val="single" w:color="auto" w:sz="4" w:space="0"/>
      </w:pBdr>
      <w:spacing w:before="100" w:beforeAutospacing="1" w:after="100" w:afterAutospacing="1"/>
      <w:jc w:val="left"/>
    </w:pPr>
    <w:rPr>
      <w:rFonts w:ascii="Arial" w:hAnsi="Arial"/>
      <w:b/>
      <w:bCs/>
      <w:color w:val="000000"/>
      <w:kern w:val="0"/>
      <w:sz w:val="20"/>
      <w:szCs w:val="20"/>
    </w:rPr>
  </w:style>
  <w:style w:type="paragraph" w:customStyle="1" w:styleId="167">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kern w:val="0"/>
      <w:sz w:val="18"/>
      <w:szCs w:val="18"/>
    </w:rPr>
  </w:style>
  <w:style w:type="paragraph" w:customStyle="1" w:styleId="1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color w:val="000000"/>
      <w:kern w:val="0"/>
      <w:sz w:val="18"/>
      <w:szCs w:val="18"/>
    </w:rPr>
  </w:style>
  <w:style w:type="paragraph" w:customStyle="1" w:styleId="169">
    <w:name w:val="xl15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w:hAnsi="Arial"/>
      <w:b/>
      <w:bCs/>
      <w:color w:val="000000"/>
      <w:kern w:val="0"/>
      <w:sz w:val="18"/>
      <w:szCs w:val="18"/>
    </w:rPr>
  </w:style>
  <w:style w:type="paragraph" w:customStyle="1" w:styleId="170">
    <w:name w:val="xl1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kern w:val="0"/>
      <w:sz w:val="18"/>
      <w:szCs w:val="18"/>
    </w:rPr>
  </w:style>
  <w:style w:type="paragraph" w:customStyle="1" w:styleId="171">
    <w:name w:val="xl157"/>
    <w:basedOn w:val="1"/>
    <w:qFormat/>
    <w:uiPriority w:val="0"/>
    <w:pPr>
      <w:widowControl/>
      <w:pBdr>
        <w:top w:val="single" w:color="auto" w:sz="4" w:space="0"/>
        <w:bottom w:val="single" w:color="auto" w:sz="4" w:space="0"/>
      </w:pBdr>
      <w:spacing w:before="100" w:beforeAutospacing="1" w:after="100" w:afterAutospacing="1"/>
      <w:jc w:val="left"/>
    </w:pPr>
    <w:rPr>
      <w:rFonts w:ascii="Arial" w:hAnsi="Arial"/>
      <w:b/>
      <w:bCs/>
      <w:color w:val="000000"/>
      <w:kern w:val="0"/>
      <w:sz w:val="18"/>
      <w:szCs w:val="18"/>
    </w:rPr>
  </w:style>
  <w:style w:type="paragraph" w:customStyle="1" w:styleId="172">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w:hAnsi="Arial"/>
      <w:color w:val="000000"/>
      <w:kern w:val="0"/>
      <w:sz w:val="18"/>
      <w:szCs w:val="18"/>
    </w:rPr>
  </w:style>
  <w:style w:type="paragraph" w:customStyle="1" w:styleId="173">
    <w:name w:val="xl158"/>
    <w:basedOn w:val="1"/>
    <w:qFormat/>
    <w:uiPriority w:val="0"/>
    <w:pPr>
      <w:widowControl/>
      <w:pBdr>
        <w:top w:val="single" w:color="auto" w:sz="4" w:space="0"/>
        <w:left w:val="single" w:color="auto" w:sz="4" w:space="0"/>
        <w:bottom w:val="single" w:color="auto" w:sz="4" w:space="0"/>
      </w:pBdr>
      <w:shd w:val="clear" w:color="000000" w:fill="C0C0C0"/>
      <w:spacing w:before="100" w:beforeAutospacing="1" w:after="100" w:afterAutospacing="1"/>
      <w:jc w:val="left"/>
    </w:pPr>
    <w:rPr>
      <w:rFonts w:ascii="宋体" w:hAnsi="宋体" w:cs="宋体"/>
      <w:b/>
      <w:bCs/>
      <w:kern w:val="0"/>
      <w:sz w:val="18"/>
      <w:szCs w:val="18"/>
    </w:rPr>
  </w:style>
  <w:style w:type="paragraph" w:customStyle="1" w:styleId="174">
    <w:name w:val="xl1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kern w:val="0"/>
      <w:sz w:val="18"/>
      <w:szCs w:val="18"/>
    </w:rPr>
  </w:style>
  <w:style w:type="paragraph" w:customStyle="1" w:styleId="175">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76">
    <w:name w:val="xl159"/>
    <w:basedOn w:val="1"/>
    <w:qFormat/>
    <w:uiPriority w:val="0"/>
    <w:pPr>
      <w:widowControl/>
      <w:pBdr>
        <w:top w:val="single" w:color="auto" w:sz="4" w:space="0"/>
        <w:bottom w:val="single" w:color="auto" w:sz="4" w:space="0"/>
      </w:pBdr>
      <w:shd w:val="clear" w:color="000000" w:fill="C0C0C0"/>
      <w:spacing w:before="100" w:beforeAutospacing="1" w:after="100" w:afterAutospacing="1"/>
      <w:jc w:val="left"/>
    </w:pPr>
    <w:rPr>
      <w:rFonts w:ascii="宋体" w:hAnsi="宋体" w:cs="宋体"/>
      <w:b/>
      <w:bCs/>
      <w:kern w:val="0"/>
      <w:sz w:val="18"/>
      <w:szCs w:val="18"/>
    </w:rPr>
  </w:style>
  <w:style w:type="paragraph" w:customStyle="1" w:styleId="177">
    <w:name w:val="Default"/>
    <w:qFormat/>
    <w:uiPriority w:val="0"/>
    <w:pPr>
      <w:widowControl w:val="0"/>
      <w:autoSpaceDE w:val="0"/>
      <w:autoSpaceDN w:val="0"/>
      <w:adjustRightInd w:val="0"/>
    </w:pPr>
    <w:rPr>
      <w:rFonts w:ascii="Cambria" w:hAnsi="黑体" w:eastAsia="宋体" w:cs="Cambria"/>
      <w:color w:val="000000"/>
      <w:sz w:val="24"/>
      <w:szCs w:val="24"/>
      <w:lang w:val="en-US" w:eastAsia="zh-CN" w:bidi="ar-SA"/>
    </w:rPr>
  </w:style>
  <w:style w:type="paragraph" w:customStyle="1" w:styleId="178">
    <w:name w:val="xl11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79">
    <w:name w:val="xl160"/>
    <w:basedOn w:val="1"/>
    <w:qFormat/>
    <w:uiPriority w:val="0"/>
    <w:pPr>
      <w:widowControl/>
      <w:pBdr>
        <w:top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b/>
      <w:bCs/>
      <w:kern w:val="0"/>
      <w:sz w:val="18"/>
      <w:szCs w:val="18"/>
    </w:rPr>
  </w:style>
  <w:style w:type="paragraph" w:customStyle="1" w:styleId="180">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b/>
      <w:bCs/>
      <w:color w:val="000000"/>
      <w:kern w:val="0"/>
      <w:sz w:val="20"/>
      <w:szCs w:val="20"/>
    </w:rPr>
  </w:style>
  <w:style w:type="paragraph" w:customStyle="1" w:styleId="181">
    <w:name w:val="xl161"/>
    <w:basedOn w:val="1"/>
    <w:qFormat/>
    <w:uiPriority w:val="0"/>
    <w:pPr>
      <w:widowControl/>
      <w:pBdr>
        <w:bottom w:val="single" w:color="auto" w:sz="8" w:space="0"/>
      </w:pBdr>
      <w:spacing w:before="100" w:beforeAutospacing="1" w:after="100" w:afterAutospacing="1"/>
      <w:jc w:val="center"/>
    </w:pPr>
    <w:rPr>
      <w:rFonts w:ascii="宋体" w:hAnsi="宋体" w:cs="宋体"/>
      <w:b/>
      <w:bCs/>
      <w:color w:val="000000"/>
      <w:kern w:val="0"/>
      <w:sz w:val="32"/>
      <w:szCs w:val="32"/>
    </w:rPr>
  </w:style>
  <w:style w:type="paragraph" w:customStyle="1" w:styleId="182">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b/>
      <w:bCs/>
      <w:kern w:val="0"/>
      <w:sz w:val="18"/>
      <w:szCs w:val="18"/>
    </w:rPr>
  </w:style>
  <w:style w:type="paragraph" w:customStyle="1" w:styleId="183">
    <w:name w:val="xl162"/>
    <w:basedOn w:val="1"/>
    <w:qFormat/>
    <w:uiPriority w:val="0"/>
    <w:pPr>
      <w:widowControl/>
      <w:pBdr>
        <w:top w:val="single" w:color="auto" w:sz="8" w:space="0"/>
        <w:left w:val="single" w:color="auto" w:sz="4" w:space="0"/>
        <w:bottom w:val="single" w:color="auto" w:sz="4" w:space="0"/>
      </w:pBdr>
      <w:shd w:val="clear" w:color="000000" w:fill="C0C0C0"/>
      <w:spacing w:before="100" w:beforeAutospacing="1" w:after="100" w:afterAutospacing="1"/>
      <w:jc w:val="left"/>
    </w:pPr>
    <w:rPr>
      <w:rFonts w:ascii="宋体" w:hAnsi="宋体" w:cs="宋体"/>
      <w:b/>
      <w:bCs/>
      <w:kern w:val="0"/>
      <w:sz w:val="18"/>
      <w:szCs w:val="18"/>
    </w:rPr>
  </w:style>
  <w:style w:type="paragraph" w:customStyle="1" w:styleId="184">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b/>
      <w:bCs/>
      <w:color w:val="000000"/>
      <w:kern w:val="0"/>
      <w:sz w:val="18"/>
      <w:szCs w:val="18"/>
    </w:rPr>
  </w:style>
  <w:style w:type="paragraph" w:customStyle="1" w:styleId="185">
    <w:name w:val="xl163"/>
    <w:basedOn w:val="1"/>
    <w:qFormat/>
    <w:uiPriority w:val="0"/>
    <w:pPr>
      <w:widowControl/>
      <w:pBdr>
        <w:top w:val="single" w:color="auto" w:sz="8" w:space="0"/>
        <w:bottom w:val="single" w:color="auto" w:sz="4" w:space="0"/>
      </w:pBdr>
      <w:shd w:val="clear" w:color="000000" w:fill="C0C0C0"/>
      <w:spacing w:before="100" w:beforeAutospacing="1" w:after="100" w:afterAutospacing="1"/>
      <w:jc w:val="left"/>
    </w:pPr>
    <w:rPr>
      <w:rFonts w:ascii="宋体" w:hAnsi="宋体" w:cs="宋体"/>
      <w:b/>
      <w:bCs/>
      <w:kern w:val="0"/>
      <w:sz w:val="18"/>
      <w:szCs w:val="18"/>
    </w:rPr>
  </w:style>
  <w:style w:type="paragraph" w:customStyle="1" w:styleId="186">
    <w:name w:val="xl12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w:hAnsi="Arial"/>
      <w:color w:val="000000"/>
      <w:kern w:val="0"/>
      <w:sz w:val="18"/>
      <w:szCs w:val="18"/>
    </w:rPr>
  </w:style>
  <w:style w:type="paragraph" w:customStyle="1" w:styleId="187">
    <w:name w:val="define_text001"/>
    <w:basedOn w:val="1"/>
    <w:qFormat/>
    <w:uiPriority w:val="0"/>
    <w:pPr>
      <w:widowControl/>
      <w:spacing w:before="100" w:beforeAutospacing="1" w:after="100" w:afterAutospacing="1"/>
      <w:jc w:val="left"/>
    </w:pPr>
    <w:rPr>
      <w:rFonts w:ascii="宋体" w:hAnsi="宋体" w:cs="宋体"/>
      <w:kern w:val="0"/>
      <w:sz w:val="24"/>
    </w:rPr>
  </w:style>
  <w:style w:type="paragraph" w:customStyle="1" w:styleId="188">
    <w:name w:val="xl164"/>
    <w:basedOn w:val="1"/>
    <w:qFormat/>
    <w:uiPriority w:val="0"/>
    <w:pPr>
      <w:widowControl/>
      <w:pBdr>
        <w:top w:val="single" w:color="auto" w:sz="8" w:space="0"/>
        <w:bottom w:val="single" w:color="auto" w:sz="4" w:space="0"/>
        <w:right w:val="single" w:color="auto" w:sz="4" w:space="0"/>
      </w:pBdr>
      <w:shd w:val="clear" w:color="000000" w:fill="C0C0C0"/>
      <w:spacing w:before="100" w:beforeAutospacing="1" w:after="100" w:afterAutospacing="1"/>
      <w:jc w:val="left"/>
    </w:pPr>
    <w:rPr>
      <w:rFonts w:ascii="宋体" w:hAnsi="宋体" w:cs="宋体"/>
      <w:b/>
      <w:bCs/>
      <w:kern w:val="0"/>
      <w:sz w:val="18"/>
      <w:szCs w:val="18"/>
    </w:rPr>
  </w:style>
  <w:style w:type="paragraph" w:customStyle="1" w:styleId="189">
    <w:name w:val="xl12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w:hAnsi="Arial"/>
      <w:color w:val="000000"/>
      <w:kern w:val="0"/>
      <w:sz w:val="18"/>
      <w:szCs w:val="18"/>
    </w:rPr>
  </w:style>
  <w:style w:type="paragraph" w:customStyle="1" w:styleId="190">
    <w:name w:val="xl12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color w:val="000000"/>
      <w:kern w:val="0"/>
      <w:sz w:val="18"/>
      <w:szCs w:val="18"/>
    </w:rPr>
  </w:style>
  <w:style w:type="paragraph" w:customStyle="1" w:styleId="191">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 w:val="18"/>
      <w:szCs w:val="18"/>
    </w:rPr>
  </w:style>
  <w:style w:type="paragraph" w:customStyle="1" w:styleId="192">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 w:val="24"/>
    </w:rPr>
  </w:style>
  <w:style w:type="paragraph" w:customStyle="1" w:styleId="193">
    <w:name w:val="xl131"/>
    <w:basedOn w:val="1"/>
    <w:qFormat/>
    <w:uiPriority w:val="0"/>
    <w:pPr>
      <w:widowControl/>
      <w:pBdr>
        <w:top w:val="single" w:color="auto" w:sz="4" w:space="0"/>
        <w:bottom w:val="single" w:color="auto" w:sz="4" w:space="0"/>
      </w:pBdr>
      <w:shd w:val="clear" w:color="000000" w:fill="C0C0C0"/>
      <w:spacing w:before="100" w:beforeAutospacing="1" w:after="100" w:afterAutospacing="1"/>
      <w:jc w:val="left"/>
    </w:pPr>
    <w:rPr>
      <w:rFonts w:ascii="Arial" w:hAnsi="Arial"/>
      <w:b/>
      <w:bCs/>
      <w:kern w:val="0"/>
      <w:sz w:val="18"/>
      <w:szCs w:val="18"/>
    </w:rPr>
  </w:style>
  <w:style w:type="paragraph" w:customStyle="1" w:styleId="194">
    <w:name w:val="xl132"/>
    <w:basedOn w:val="1"/>
    <w:qFormat/>
    <w:uiPriority w:val="0"/>
    <w:pPr>
      <w:widowControl/>
      <w:pBdr>
        <w:top w:val="single" w:color="auto" w:sz="4" w:space="0"/>
        <w:bottom w:val="single" w:color="auto" w:sz="4" w:space="0"/>
        <w:right w:val="single" w:color="auto" w:sz="4" w:space="0"/>
      </w:pBdr>
      <w:shd w:val="clear" w:color="000000" w:fill="C0C0C0"/>
      <w:spacing w:before="100" w:beforeAutospacing="1" w:after="100" w:afterAutospacing="1"/>
      <w:jc w:val="left"/>
    </w:pPr>
    <w:rPr>
      <w:rFonts w:ascii="Arial" w:hAnsi="Arial"/>
      <w:b/>
      <w:bCs/>
      <w:kern w:val="0"/>
      <w:sz w:val="18"/>
      <w:szCs w:val="18"/>
    </w:rPr>
  </w:style>
  <w:style w:type="paragraph" w:customStyle="1" w:styleId="195">
    <w:name w:val="xl133"/>
    <w:basedOn w:val="1"/>
    <w:qFormat/>
    <w:uiPriority w:val="0"/>
    <w:pPr>
      <w:widowControl/>
      <w:pBdr>
        <w:left w:val="single" w:color="auto" w:sz="4" w:space="0"/>
        <w:bottom w:val="single" w:color="auto" w:sz="4" w:space="0"/>
      </w:pBdr>
      <w:shd w:val="clear" w:color="000000" w:fill="C0C0C0"/>
      <w:spacing w:before="100" w:beforeAutospacing="1" w:after="100" w:afterAutospacing="1"/>
      <w:jc w:val="left"/>
    </w:pPr>
    <w:rPr>
      <w:rFonts w:ascii="Arial" w:hAnsi="Arial"/>
      <w:b/>
      <w:bCs/>
      <w:kern w:val="0"/>
      <w:sz w:val="18"/>
      <w:szCs w:val="18"/>
    </w:rPr>
  </w:style>
  <w:style w:type="paragraph" w:customStyle="1" w:styleId="196">
    <w:name w:val="xl134"/>
    <w:basedOn w:val="1"/>
    <w:qFormat/>
    <w:uiPriority w:val="0"/>
    <w:pPr>
      <w:widowControl/>
      <w:pBdr>
        <w:bottom w:val="single" w:color="auto" w:sz="4" w:space="0"/>
      </w:pBdr>
      <w:shd w:val="clear" w:color="000000" w:fill="C0C0C0"/>
      <w:spacing w:before="100" w:beforeAutospacing="1" w:after="100" w:afterAutospacing="1"/>
      <w:jc w:val="left"/>
    </w:pPr>
    <w:rPr>
      <w:rFonts w:ascii="Arial" w:hAnsi="Arial"/>
      <w:b/>
      <w:bCs/>
      <w:kern w:val="0"/>
      <w:sz w:val="18"/>
      <w:szCs w:val="18"/>
    </w:rPr>
  </w:style>
  <w:style w:type="paragraph" w:customStyle="1" w:styleId="197">
    <w:name w:val="xl135"/>
    <w:basedOn w:val="1"/>
    <w:qFormat/>
    <w:uiPriority w:val="0"/>
    <w:pPr>
      <w:widowControl/>
      <w:pBdr>
        <w:bottom w:val="single" w:color="auto" w:sz="4" w:space="0"/>
        <w:right w:val="single" w:color="auto" w:sz="4" w:space="0"/>
      </w:pBdr>
      <w:shd w:val="clear" w:color="000000" w:fill="C0C0C0"/>
      <w:spacing w:before="100" w:beforeAutospacing="1" w:after="100" w:afterAutospacing="1"/>
      <w:jc w:val="left"/>
    </w:pPr>
    <w:rPr>
      <w:rFonts w:ascii="Arial" w:hAnsi="Arial"/>
      <w:b/>
      <w:bCs/>
      <w:kern w:val="0"/>
      <w:sz w:val="18"/>
      <w:szCs w:val="18"/>
    </w:rPr>
  </w:style>
  <w:style w:type="paragraph" w:customStyle="1" w:styleId="198">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99">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olor w:val="000000"/>
      <w:kern w:val="0"/>
      <w:sz w:val="18"/>
      <w:szCs w:val="18"/>
    </w:rPr>
  </w:style>
  <w:style w:type="paragraph" w:customStyle="1" w:styleId="200">
    <w:name w:val="xl1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1">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140"/>
    <w:basedOn w:val="1"/>
    <w:qFormat/>
    <w:uiPriority w:val="0"/>
    <w:pPr>
      <w:widowControl/>
      <w:pBdr>
        <w:bottom w:val="single" w:color="auto" w:sz="4" w:space="0"/>
      </w:pBdr>
      <w:spacing w:before="100" w:beforeAutospacing="1" w:after="100" w:afterAutospacing="1"/>
      <w:jc w:val="left"/>
    </w:pPr>
    <w:rPr>
      <w:rFonts w:ascii="Arial" w:hAnsi="Arial"/>
      <w:color w:val="000000"/>
      <w:kern w:val="0"/>
      <w:sz w:val="18"/>
      <w:szCs w:val="18"/>
    </w:rPr>
  </w:style>
  <w:style w:type="paragraph" w:customStyle="1" w:styleId="203">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204">
    <w:name w:val="xl142"/>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5">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 w:val="18"/>
      <w:szCs w:val="18"/>
    </w:rPr>
  </w:style>
  <w:style w:type="paragraph" w:customStyle="1" w:styleId="206">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207">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kern w:val="0"/>
      <w:sz w:val="18"/>
      <w:szCs w:val="18"/>
    </w:rPr>
  </w:style>
  <w:style w:type="paragraph" w:customStyle="1" w:styleId="208">
    <w:name w:val="xl14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w:hAnsi="Arial"/>
      <w:color w:val="000000"/>
      <w:kern w:val="0"/>
      <w:sz w:val="18"/>
      <w:szCs w:val="18"/>
    </w:rPr>
  </w:style>
  <w:style w:type="paragraph" w:customStyle="1" w:styleId="209">
    <w:name w:val="xl14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w:hAnsi="Arial"/>
      <w:kern w:val="0"/>
      <w:sz w:val="18"/>
      <w:szCs w:val="18"/>
    </w:rPr>
  </w:style>
  <w:style w:type="paragraph" w:customStyle="1" w:styleId="210">
    <w:name w:val="xl14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11">
    <w:name w:val="xl151"/>
    <w:basedOn w:val="1"/>
    <w:qFormat/>
    <w:uiPriority w:val="0"/>
    <w:pPr>
      <w:widowControl/>
      <w:pBdr>
        <w:bottom w:val="single" w:color="auto" w:sz="4" w:space="0"/>
      </w:pBdr>
      <w:spacing w:before="100" w:beforeAutospacing="1" w:after="100" w:afterAutospacing="1"/>
      <w:jc w:val="center"/>
    </w:pPr>
    <w:rPr>
      <w:rFonts w:ascii="宋体" w:hAnsi="宋体" w:cs="宋体"/>
      <w:b/>
      <w:bCs/>
      <w:color w:val="000000"/>
      <w:kern w:val="0"/>
      <w:sz w:val="32"/>
      <w:szCs w:val="32"/>
    </w:rPr>
  </w:style>
  <w:style w:type="paragraph" w:customStyle="1" w:styleId="212">
    <w:name w:val="xl152"/>
    <w:basedOn w:val="1"/>
    <w:qFormat/>
    <w:uiPriority w:val="0"/>
    <w:pPr>
      <w:widowControl/>
      <w:pBdr>
        <w:bottom w:val="single" w:color="auto" w:sz="4" w:space="0"/>
      </w:pBdr>
      <w:spacing w:before="100" w:beforeAutospacing="1" w:after="100" w:afterAutospacing="1"/>
      <w:jc w:val="center"/>
    </w:pPr>
    <w:rPr>
      <w:rFonts w:ascii="Arial" w:hAnsi="Arial"/>
      <w:b/>
      <w:bCs/>
      <w:color w:val="000000"/>
      <w:kern w:val="0"/>
      <w:sz w:val="32"/>
      <w:szCs w:val="32"/>
    </w:rPr>
  </w:style>
  <w:style w:type="paragraph" w:customStyle="1" w:styleId="213">
    <w:name w:val="define_head0001"/>
    <w:basedOn w:val="1"/>
    <w:qFormat/>
    <w:uiPriority w:val="0"/>
    <w:pPr>
      <w:widowControl/>
      <w:spacing w:before="100" w:beforeAutospacing="1" w:after="100" w:afterAutospacing="1"/>
      <w:jc w:val="left"/>
    </w:pPr>
    <w:rPr>
      <w:rFonts w:ascii="宋体" w:hAnsi="宋体" w:cs="宋体"/>
      <w:kern w:val="0"/>
      <w:sz w:val="24"/>
    </w:rPr>
  </w:style>
  <w:style w:type="paragraph" w:customStyle="1" w:styleId="214">
    <w:name w:val="列出段落3"/>
    <w:qFormat/>
    <w:uiPriority w:val="0"/>
    <w:pPr>
      <w:ind w:firstLine="420" w:firstLineChars="200"/>
    </w:pPr>
    <w:rPr>
      <w:rFonts w:ascii="Times New Roman" w:hAnsi="Times New Roman" w:eastAsia="宋体" w:cs="Times New Roman"/>
      <w:lang w:val="en-US" w:eastAsia="zh-CN" w:bidi="ar-SA"/>
    </w:rPr>
  </w:style>
  <w:style w:type="paragraph" w:customStyle="1" w:styleId="215">
    <w:name w:val="列出段落11"/>
    <w:basedOn w:val="1"/>
    <w:qFormat/>
    <w:uiPriority w:val="34"/>
    <w:pPr>
      <w:ind w:firstLine="420" w:firstLineChars="200"/>
    </w:pPr>
    <w:rPr>
      <w:rFonts w:cs="Times New Roman"/>
    </w:rPr>
  </w:style>
  <w:style w:type="character" w:customStyle="1" w:styleId="216">
    <w:name w:val="普通文字 Char Char2"/>
    <w:qFormat/>
    <w:uiPriority w:val="0"/>
    <w:rPr>
      <w:rFonts w:ascii="宋体" w:hAnsi="Courier New" w:eastAsia="宋体"/>
      <w:kern w:val="2"/>
      <w:sz w:val="21"/>
      <w:lang w:val="en-US" w:eastAsia="zh-CN" w:bidi="ar-SA"/>
    </w:rPr>
  </w:style>
  <w:style w:type="paragraph" w:customStyle="1" w:styleId="217">
    <w:name w:val="列出段落2"/>
    <w:basedOn w:val="1"/>
    <w:qFormat/>
    <w:uiPriority w:val="34"/>
    <w:pPr>
      <w:ind w:firstLine="420" w:firstLineChars="200"/>
    </w:pPr>
    <w:rPr>
      <w:rFonts w:ascii="Times New Roman" w:hAnsi="Times New Roman" w:cs="Times New Roman"/>
      <w:szCs w:val="20"/>
    </w:rPr>
  </w:style>
  <w:style w:type="paragraph" w:customStyle="1" w:styleId="218">
    <w:name w:val="样式2"/>
    <w:basedOn w:val="2"/>
    <w:qFormat/>
    <w:uiPriority w:val="0"/>
    <w:pPr>
      <w:spacing w:before="100" w:beforeAutospacing="1" w:after="100" w:afterAutospacing="1" w:line="500" w:lineRule="exact"/>
      <w:jc w:val="center"/>
    </w:pPr>
    <w:rPr>
      <w:rFonts w:ascii="宋体" w:hAnsi="宋体" w:eastAsia="宋体" w:cs="Times New Roman"/>
      <w:kern w:val="44"/>
      <w:sz w:val="28"/>
      <w:szCs w:val="28"/>
      <w:lang w:val="en-GB"/>
    </w:rPr>
  </w:style>
  <w:style w:type="paragraph" w:customStyle="1" w:styleId="219">
    <w:name w:val="列出段落4"/>
    <w:basedOn w:val="1"/>
    <w:qFormat/>
    <w:uiPriority w:val="34"/>
    <w:pPr>
      <w:ind w:firstLine="420" w:firstLineChars="200"/>
    </w:pPr>
  </w:style>
  <w:style w:type="character" w:customStyle="1" w:styleId="220">
    <w:name w:val="占位符文本1"/>
    <w:basedOn w:val="36"/>
    <w:semiHidden/>
    <w:qFormat/>
    <w:uiPriority w:val="99"/>
    <w:rPr>
      <w:color w:val="808080"/>
    </w:rPr>
  </w:style>
  <w:style w:type="paragraph" w:customStyle="1" w:styleId="221">
    <w:name w:val="TOC 标题1"/>
    <w:basedOn w:val="5"/>
    <w:next w:val="1"/>
    <w:unhideWhenUsed/>
    <w:qFormat/>
    <w:uiPriority w:val="39"/>
    <w:pPr>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lang w:val="en-US"/>
    </w:rPr>
  </w:style>
  <w:style w:type="paragraph" w:customStyle="1" w:styleId="222">
    <w:name w:val="列表段落1"/>
    <w:basedOn w:val="1"/>
    <w:link w:val="223"/>
    <w:qFormat/>
    <w:uiPriority w:val="34"/>
    <w:pPr>
      <w:ind w:firstLine="420" w:firstLineChars="200"/>
    </w:pPr>
  </w:style>
  <w:style w:type="character" w:customStyle="1" w:styleId="223">
    <w:name w:val="列表段落 字符"/>
    <w:link w:val="222"/>
    <w:qFormat/>
    <w:uiPriority w:val="34"/>
    <w:rPr>
      <w:kern w:val="2"/>
      <w:sz w:val="21"/>
      <w:szCs w:val="24"/>
    </w:rPr>
  </w:style>
  <w:style w:type="paragraph" w:customStyle="1" w:styleId="224">
    <w:name w:val="[Normal]"/>
    <w:qFormat/>
    <w:uiPriority w:val="0"/>
    <w:rPr>
      <w:rFonts w:ascii="宋体" w:hAnsi="宋体" w:eastAsia="宋体" w:cs="Times New Roman"/>
      <w:sz w:val="24"/>
      <w:szCs w:val="22"/>
      <w:lang w:val="zh-CN" w:eastAsia="zh-CN" w:bidi="ar-SA"/>
    </w:rPr>
  </w:style>
  <w:style w:type="character" w:customStyle="1" w:styleId="225">
    <w:name w:val="纯文本 字符1"/>
    <w:qFormat/>
    <w:uiPriority w:val="0"/>
    <w:rPr>
      <w:rFonts w:ascii="??" w:hAnsi="??" w:eastAsia="??" w:cs="宋体"/>
      <w:kern w:val="2"/>
      <w:sz w:val="21"/>
      <w:szCs w:val="21"/>
    </w:rPr>
  </w:style>
  <w:style w:type="paragraph" w:customStyle="1" w:styleId="226">
    <w:name w:val="_Style 214"/>
    <w:basedOn w:val="2"/>
    <w:next w:val="3"/>
    <w:link w:val="227"/>
    <w:qFormat/>
    <w:uiPriority w:val="0"/>
    <w:pPr>
      <w:ind w:firstLine="420" w:firstLineChars="100"/>
    </w:pPr>
    <w:rPr>
      <w:rFonts w:eastAsia="宋体"/>
    </w:rPr>
  </w:style>
  <w:style w:type="character" w:customStyle="1" w:styleId="227">
    <w:name w:val="正文首行缩进 字符"/>
    <w:link w:val="226"/>
    <w:qFormat/>
    <w:uiPriority w:val="0"/>
    <w:rPr>
      <w:kern w:val="2"/>
      <w:sz w:val="21"/>
      <w:szCs w:val="24"/>
    </w:rPr>
  </w:style>
  <w:style w:type="paragraph" w:customStyle="1" w:styleId="228">
    <w:name w:val="默认段落字体 Para Char Char Char Char Char Char Char Char Char1 Char Char Char Char"/>
    <w:basedOn w:val="1"/>
    <w:qFormat/>
    <w:uiPriority w:val="0"/>
    <w:rPr>
      <w:rFonts w:ascii="Tahoma" w:hAnsi="Tahoma" w:eastAsia="仿宋_GB2312" w:cs="宋体"/>
      <w:b/>
      <w:bCs/>
      <w:color w:val="000000"/>
      <w:kern w:val="0"/>
      <w:sz w:val="24"/>
      <w:szCs w:val="20"/>
    </w:rPr>
  </w:style>
  <w:style w:type="character" w:customStyle="1" w:styleId="229">
    <w:name w:val="style91"/>
    <w:qFormat/>
    <w:uiPriority w:val="0"/>
    <w:rPr>
      <w:sz w:val="24"/>
      <w:szCs w:val="24"/>
    </w:rPr>
  </w:style>
  <w:style w:type="paragraph" w:customStyle="1" w:styleId="230">
    <w:name w:val="l正文"/>
    <w:basedOn w:val="1"/>
    <w:qFormat/>
    <w:uiPriority w:val="0"/>
    <w:pPr>
      <w:spacing w:line="300" w:lineRule="auto"/>
      <w:ind w:firstLine="200" w:firstLineChars="200"/>
      <w:jc w:val="left"/>
    </w:pPr>
    <w:rPr>
      <w:rFonts w:ascii="楷体_GB2312" w:hAnsi="Times" w:eastAsia="楷体_GB2312" w:cs="等线"/>
      <w:sz w:val="24"/>
    </w:rPr>
  </w:style>
  <w:style w:type="character" w:customStyle="1" w:styleId="231">
    <w:name w:val="未处理的提及1"/>
    <w:basedOn w:val="36"/>
    <w:unhideWhenUsed/>
    <w:qFormat/>
    <w:uiPriority w:val="99"/>
    <w:rPr>
      <w:color w:val="605E5C"/>
      <w:shd w:val="clear" w:color="auto" w:fill="E1DFDD"/>
    </w:rPr>
  </w:style>
  <w:style w:type="table" w:customStyle="1" w:styleId="232">
    <w:name w:val="Table Normal"/>
    <w:unhideWhenUsed/>
    <w:qFormat/>
    <w:uiPriority w:val="2"/>
    <w:pPr>
      <w:widowControl w:val="0"/>
      <w:autoSpaceDE w:val="0"/>
      <w:autoSpaceDN w:val="0"/>
    </w:pPr>
    <w:rPr>
      <w:rFonts w:asciiTheme="minorHAnsi" w:hAnsiTheme="minorHAnsi" w:cstheme="minorBidi"/>
      <w:sz w:val="22"/>
      <w:szCs w:val="22"/>
      <w:lang w:eastAsia="en-US"/>
    </w:rPr>
    <w:tblPr>
      <w:tblCellMar>
        <w:top w:w="0" w:type="dxa"/>
        <w:left w:w="0" w:type="dxa"/>
        <w:bottom w:w="0" w:type="dxa"/>
        <w:right w:w="0" w:type="dxa"/>
      </w:tblCellMar>
    </w:tblPr>
  </w:style>
  <w:style w:type="paragraph" w:customStyle="1" w:styleId="233">
    <w:name w:val="Table Paragraph"/>
    <w:basedOn w:val="1"/>
    <w:qFormat/>
    <w:uiPriority w:val="1"/>
    <w:pPr>
      <w:autoSpaceDE w:val="0"/>
      <w:autoSpaceDN w:val="0"/>
      <w:jc w:val="left"/>
    </w:pPr>
    <w:rPr>
      <w:rFonts w:ascii="宋体" w:hAnsi="宋体" w:cs="宋体"/>
      <w:kern w:val="0"/>
      <w:sz w:val="22"/>
      <w:szCs w:val="22"/>
      <w:lang w:val="zh-CN" w:bidi="zh-CN"/>
    </w:rPr>
  </w:style>
  <w:style w:type="paragraph" w:styleId="234">
    <w:name w:val="List Paragraph"/>
    <w:basedOn w:val="1"/>
    <w:qFormat/>
    <w:uiPriority w:val="34"/>
    <w:pPr>
      <w:ind w:firstLine="420" w:firstLineChars="200"/>
    </w:pPr>
  </w:style>
  <w:style w:type="paragraph" w:customStyle="1" w:styleId="235">
    <w:name w:val="无间隔1"/>
    <w:qFormat/>
    <w:uiPriority w:val="1"/>
    <w:pPr>
      <w:widowControl w:val="0"/>
      <w:snapToGrid w:val="0"/>
      <w:jc w:val="both"/>
    </w:pPr>
    <w:rPr>
      <w:rFonts w:ascii="Calibri" w:hAnsi="Calibri" w:eastAsia="宋体" w:cs="Times New Roman"/>
      <w:kern w:val="2"/>
      <w:sz w:val="21"/>
      <w:szCs w:val="24"/>
      <w:lang w:val="en-US" w:eastAsia="zh-CN" w:bidi="ar-SA"/>
    </w:rPr>
  </w:style>
  <w:style w:type="character" w:customStyle="1" w:styleId="236">
    <w:name w:val="font41"/>
    <w:basedOn w:val="36"/>
    <w:qFormat/>
    <w:uiPriority w:val="0"/>
    <w:rPr>
      <w:rFonts w:hint="eastAsia" w:ascii="宋体" w:hAnsi="宋体" w:eastAsia="宋体" w:cs="宋体"/>
      <w:color w:val="000000"/>
      <w:sz w:val="18"/>
      <w:szCs w:val="18"/>
      <w:u w:val="none"/>
    </w:rPr>
  </w:style>
  <w:style w:type="paragraph" w:customStyle="1" w:styleId="237">
    <w:name w:val="正文 New New New New"/>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238">
    <w:name w:val="纯文本1"/>
    <w:basedOn w:val="1"/>
    <w:qFormat/>
    <w:uiPriority w:val="0"/>
    <w:rPr>
      <w:rFonts w:ascii="宋体" w:hAnsi="Courier New" w:cs="Times New Roman"/>
      <w:kern w:val="0"/>
      <w:sz w:val="20"/>
      <w:szCs w:val="20"/>
    </w:rPr>
  </w:style>
  <w:style w:type="paragraph" w:customStyle="1" w:styleId="239">
    <w:name w:val="正文缩进1"/>
    <w:basedOn w:val="1"/>
    <w:next w:val="11"/>
    <w:qFormat/>
    <w:uiPriority w:val="0"/>
    <w:pPr>
      <w:autoSpaceDE w:val="0"/>
      <w:autoSpaceDN w:val="0"/>
      <w:adjustRightInd w:val="0"/>
      <w:snapToGrid w:val="0"/>
      <w:spacing w:after="120" w:line="360" w:lineRule="auto"/>
      <w:ind w:left="420" w:leftChars="200" w:firstLine="480" w:firstLineChars="200"/>
    </w:pPr>
    <w:rPr>
      <w:rFonts w:ascii="Times New Roman" w:hAnsi="Times New Roman" w:cs="Times New Roman"/>
      <w:sz w:val="24"/>
      <w:szCs w:val="20"/>
    </w:rPr>
  </w:style>
  <w:style w:type="paragraph" w:customStyle="1" w:styleId="2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241">
    <w:name w:val="xl63"/>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pPr>
    <w:rPr>
      <w:rFonts w:ascii="宋体" w:hAnsi="宋体" w:cs="宋体"/>
      <w:b/>
      <w:bCs/>
      <w:color w:val="000000"/>
      <w:kern w:val="0"/>
      <w:sz w:val="20"/>
      <w:szCs w:val="20"/>
    </w:rPr>
  </w:style>
  <w:style w:type="paragraph" w:customStyle="1" w:styleId="242">
    <w:name w:val="xl64"/>
    <w:basedOn w:val="1"/>
    <w:qFormat/>
    <w:uiPriority w:val="0"/>
    <w:pPr>
      <w:widowControl/>
      <w:pBdr>
        <w:bottom w:val="single" w:color="000000" w:sz="8" w:space="0"/>
        <w:right w:val="single" w:color="000000" w:sz="8" w:space="0"/>
      </w:pBdr>
      <w:spacing w:before="100" w:beforeAutospacing="1" w:after="100" w:afterAutospacing="1"/>
      <w:jc w:val="center"/>
    </w:pPr>
    <w:rPr>
      <w:rFonts w:ascii="宋体" w:hAnsi="宋体" w:cs="宋体"/>
      <w:b/>
      <w:bCs/>
      <w:color w:val="000000"/>
      <w:kern w:val="0"/>
      <w:sz w:val="20"/>
      <w:szCs w:val="20"/>
    </w:rPr>
  </w:style>
  <w:style w:type="paragraph" w:customStyle="1" w:styleId="243">
    <w:name w:val="xl65"/>
    <w:basedOn w:val="1"/>
    <w:qFormat/>
    <w:uiPriority w:val="0"/>
    <w:pPr>
      <w:widowControl/>
      <w:pBdr>
        <w:left w:val="single" w:color="000000" w:sz="8" w:space="0"/>
        <w:right w:val="single" w:color="000000" w:sz="8" w:space="0"/>
      </w:pBdr>
      <w:spacing w:before="100" w:beforeAutospacing="1" w:after="100" w:afterAutospacing="1"/>
      <w:jc w:val="center"/>
    </w:pPr>
    <w:rPr>
      <w:rFonts w:ascii="宋体" w:hAnsi="宋体" w:cs="宋体"/>
      <w:color w:val="000000"/>
      <w:kern w:val="0"/>
      <w:sz w:val="20"/>
      <w:szCs w:val="20"/>
    </w:rPr>
  </w:style>
  <w:style w:type="paragraph" w:customStyle="1" w:styleId="244">
    <w:name w:val="xl66"/>
    <w:basedOn w:val="1"/>
    <w:qFormat/>
    <w:uiPriority w:val="0"/>
    <w:pPr>
      <w:widowControl/>
      <w:pBdr>
        <w:right w:val="single" w:color="000000" w:sz="8" w:space="0"/>
      </w:pBdr>
      <w:spacing w:before="100" w:beforeAutospacing="1" w:after="100" w:afterAutospacing="1"/>
      <w:jc w:val="center"/>
    </w:pPr>
    <w:rPr>
      <w:rFonts w:ascii="宋体" w:hAnsi="宋体" w:cs="宋体"/>
      <w:color w:val="000000"/>
      <w:kern w:val="0"/>
      <w:sz w:val="20"/>
      <w:szCs w:val="20"/>
    </w:rPr>
  </w:style>
  <w:style w:type="paragraph" w:customStyle="1" w:styleId="245">
    <w:name w:val="xl6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46">
    <w:name w:val="xl68"/>
    <w:basedOn w:val="1"/>
    <w:qFormat/>
    <w:uiPriority w:val="0"/>
    <w:pPr>
      <w:widowControl/>
      <w:pBdr>
        <w:right w:val="single" w:color="000000" w:sz="8" w:space="0"/>
      </w:pBdr>
      <w:spacing w:before="100" w:beforeAutospacing="1" w:after="100" w:afterAutospacing="1"/>
      <w:jc w:val="left"/>
    </w:pPr>
    <w:rPr>
      <w:rFonts w:ascii="宋体" w:hAnsi="宋体" w:cs="宋体"/>
      <w:color w:val="000000"/>
      <w:kern w:val="0"/>
      <w:sz w:val="20"/>
      <w:szCs w:val="20"/>
    </w:rPr>
  </w:style>
  <w:style w:type="character" w:customStyle="1" w:styleId="247">
    <w:name w:val="HTML 预设格式 Char"/>
    <w:basedOn w:val="36"/>
    <w:link w:val="28"/>
    <w:qFormat/>
    <w:uiPriority w:val="0"/>
    <w:rPr>
      <w:rFonts w:ascii="宋体" w:hAnsi="宋体"/>
      <w:sz w:val="24"/>
      <w:szCs w:val="24"/>
    </w:rPr>
  </w:style>
  <w:style w:type="character" w:customStyle="1" w:styleId="248">
    <w:name w:val="文档结构图 Char"/>
    <w:basedOn w:val="36"/>
    <w:link w:val="13"/>
    <w:qFormat/>
    <w:uiPriority w:val="0"/>
    <w:rPr>
      <w:rFonts w:cs="Arial"/>
      <w:kern w:val="2"/>
      <w:sz w:val="21"/>
      <w:szCs w:val="24"/>
      <w:shd w:val="clear" w:color="auto" w:fill="000080"/>
    </w:rPr>
  </w:style>
  <w:style w:type="character" w:customStyle="1" w:styleId="249">
    <w:name w:val="称呼 Char"/>
    <w:basedOn w:val="36"/>
    <w:link w:val="15"/>
    <w:qFormat/>
    <w:uiPriority w:val="0"/>
    <w:rPr>
      <w:rFonts w:cs="Arial"/>
      <w:kern w:val="2"/>
      <w:sz w:val="24"/>
      <w:szCs w:val="24"/>
    </w:rPr>
  </w:style>
  <w:style w:type="character" w:customStyle="1" w:styleId="250">
    <w:name w:val="正文文本缩进 Char"/>
    <w:basedOn w:val="36"/>
    <w:link w:val="11"/>
    <w:qFormat/>
    <w:uiPriority w:val="0"/>
    <w:rPr>
      <w:rFonts w:cs="Arial"/>
      <w:kern w:val="2"/>
      <w:sz w:val="21"/>
      <w:szCs w:val="24"/>
    </w:rPr>
  </w:style>
  <w:style w:type="character" w:customStyle="1" w:styleId="251">
    <w:name w:val="日期 Char"/>
    <w:basedOn w:val="36"/>
    <w:link w:val="18"/>
    <w:qFormat/>
    <w:uiPriority w:val="0"/>
    <w:rPr>
      <w:rFonts w:ascii="宋体,Verdana,Arial" w:cs="Arial"/>
      <w:kern w:val="2"/>
      <w:sz w:val="24"/>
    </w:rPr>
  </w:style>
  <w:style w:type="character" w:customStyle="1" w:styleId="252">
    <w:name w:val="正文文本缩进 2 Char"/>
    <w:basedOn w:val="36"/>
    <w:link w:val="19"/>
    <w:qFormat/>
    <w:uiPriority w:val="0"/>
    <w:rPr>
      <w:rFonts w:cs="Arial"/>
      <w:kern w:val="2"/>
      <w:sz w:val="24"/>
      <w:szCs w:val="24"/>
    </w:rPr>
  </w:style>
  <w:style w:type="paragraph" w:customStyle="1" w:styleId="253">
    <w:name w:val="正文段"/>
    <w:basedOn w:val="1"/>
    <w:qFormat/>
    <w:uiPriority w:val="0"/>
    <w:pPr>
      <w:widowControl/>
      <w:snapToGrid w:val="0"/>
      <w:spacing w:afterLines="50"/>
      <w:ind w:firstLine="200" w:firstLineChars="200"/>
    </w:pPr>
    <w:rPr>
      <w:rFonts w:ascii="Times New Roman" w:hAnsi="Times New Roman" w:cs="Times New Roman"/>
      <w:kern w:val="0"/>
      <w:sz w:val="24"/>
      <w:szCs w:val="20"/>
    </w:rPr>
  </w:style>
  <w:style w:type="character" w:customStyle="1" w:styleId="254">
    <w:name w:val="纯文本 字符2"/>
    <w:qFormat/>
    <w:uiPriority w:val="0"/>
    <w:rPr>
      <w:rFonts w:ascii="宋体" w:hAnsi="Courier New" w:eastAsia="宋体"/>
      <w:sz w:val="21"/>
      <w:szCs w:val="21"/>
      <w:lang w:val="en-US" w:eastAsia="zh-CN" w:bidi="ar-SA"/>
    </w:rPr>
  </w:style>
  <w:style w:type="character" w:customStyle="1" w:styleId="255">
    <w:name w:val="NormalCharacter"/>
    <w:link w:val="1"/>
    <w:semiHidden/>
    <w:qFormat/>
    <w:uiPriority w:val="0"/>
    <w:rPr>
      <w:rFonts w:ascii="Calibri" w:hAnsi="Calibri" w:eastAsia="宋体" w:cs="Arial"/>
      <w:kern w:val="2"/>
      <w:sz w:val="21"/>
      <w:szCs w:val="24"/>
      <w:lang w:val="en-US" w:eastAsia="zh-CN" w:bidi="ar-SA"/>
    </w:rPr>
  </w:style>
  <w:style w:type="paragraph" w:customStyle="1" w:styleId="256">
    <w:name w:val="表 靠左"/>
    <w:basedOn w:val="257"/>
    <w:qFormat/>
    <w:uiPriority w:val="0"/>
    <w:pPr>
      <w:jc w:val="left"/>
    </w:pPr>
    <w:rPr>
      <w:rFonts w:asciiTheme="minorEastAsia" w:hAnsiTheme="minorEastAsia"/>
    </w:rPr>
  </w:style>
  <w:style w:type="paragraph" w:customStyle="1" w:styleId="257">
    <w:name w:val="表"/>
    <w:basedOn w:val="1"/>
    <w:next w:val="1"/>
    <w:qFormat/>
    <w:uiPriority w:val="7"/>
    <w:pPr>
      <w:jc w:val="center"/>
    </w:pPr>
  </w:style>
  <w:style w:type="character" w:customStyle="1" w:styleId="258">
    <w:name w:val="正文首行缩进 2 Char"/>
    <w:basedOn w:val="250"/>
    <w:link w:val="32"/>
    <w:qFormat/>
    <w:uiPriority w:val="0"/>
    <w:rPr>
      <w:rFonts w:ascii="Times New Roman" w:hAnsi="Times New Roman" w:cs="Times New Roman"/>
      <w:kern w:val="2"/>
      <w:sz w:val="21"/>
      <w:szCs w:val="24"/>
    </w:rPr>
  </w:style>
  <w:style w:type="character" w:customStyle="1" w:styleId="259">
    <w:name w:val="bookmark-item"/>
    <w:basedOn w:val="36"/>
    <w:qFormat/>
    <w:uiPriority w:val="0"/>
  </w:style>
  <w:style w:type="character" w:customStyle="1" w:styleId="260">
    <w:name w:val="font01"/>
    <w:basedOn w:val="36"/>
    <w:qFormat/>
    <w:uiPriority w:val="0"/>
    <w:rPr>
      <w:rFonts w:hint="eastAsia" w:ascii="宋体" w:hAnsi="宋体" w:eastAsia="宋体" w:cs="宋体"/>
      <w:color w:val="000000"/>
      <w:sz w:val="22"/>
      <w:szCs w:val="22"/>
      <w:u w:val="none"/>
    </w:rPr>
  </w:style>
  <w:style w:type="paragraph" w:customStyle="1" w:styleId="261">
    <w:name w:val="表格文字"/>
    <w:basedOn w:val="17"/>
    <w:next w:val="2"/>
    <w:qFormat/>
    <w:uiPriority w:val="0"/>
    <w:pPr>
      <w:adjustRightInd w:val="0"/>
      <w:spacing w:line="420" w:lineRule="atLeast"/>
      <w:jc w:val="left"/>
      <w:textAlignment w:val="baseline"/>
    </w:pPr>
    <w:rPr>
      <w:rFonts w:ascii="Times New Roman" w:hAnsi="Times New Roman" w:eastAsia="宋体" w:cs="Times New Roman"/>
      <w:kern w:val="0"/>
      <w:szCs w:val="24"/>
    </w:rPr>
  </w:style>
  <w:style w:type="paragraph" w:customStyle="1" w:styleId="262">
    <w:name w:val="标题2"/>
    <w:basedOn w:val="1"/>
    <w:qFormat/>
    <w:uiPriority w:val="0"/>
    <w:pPr>
      <w:spacing w:beforeLines="50" w:afterLines="50" w:line="360" w:lineRule="auto"/>
      <w:outlineLvl w:val="1"/>
    </w:pPr>
    <w:rPr>
      <w:rFonts w:ascii="宋体" w:hAnsi="宋体"/>
      <w:b/>
      <w:kern w:val="0"/>
      <w:sz w:val="30"/>
      <w:szCs w:val="30"/>
    </w:rPr>
  </w:style>
  <w:style w:type="paragraph" w:customStyle="1" w:styleId="263">
    <w:name w:val="附件正文"/>
    <w:basedOn w:val="1"/>
    <w:qFormat/>
    <w:uiPriority w:val="0"/>
    <w:pPr>
      <w:snapToGrid w:val="0"/>
      <w:spacing w:line="240" w:lineRule="auto"/>
      <w:ind w:firstLine="0" w:firstLineChars="0"/>
    </w:pPr>
    <w:rPr>
      <w:rFonts w:ascii="Times New Roman" w:hAnsi="Times New Roman"/>
      <w:kern w:val="0"/>
      <w:sz w:val="28"/>
      <w:szCs w:val="28"/>
    </w:rPr>
  </w:style>
  <w:style w:type="paragraph" w:customStyle="1" w:styleId="264">
    <w:name w:val="Body text|1"/>
    <w:basedOn w:val="1"/>
    <w:qFormat/>
    <w:uiPriority w:val="0"/>
    <w:pPr>
      <w:widowControl w:val="0"/>
      <w:shd w:val="clear" w:color="auto" w:fill="auto"/>
      <w:spacing w:line="473" w:lineRule="auto"/>
      <w:ind w:firstLine="400"/>
    </w:pPr>
    <w:rPr>
      <w:rFonts w:ascii="宋体" w:hAnsi="宋体" w:eastAsia="宋体" w:cs="宋体"/>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4E45B-BD60-499E-8FB1-06A4B5A03B0D}">
  <ds:schemaRefs/>
</ds:datastoreItem>
</file>

<file path=docProps/app.xml><?xml version="1.0" encoding="utf-8"?>
<Properties xmlns="http://schemas.openxmlformats.org/officeDocument/2006/extended-properties" xmlns:vt="http://schemas.openxmlformats.org/officeDocument/2006/docPropsVTypes">
  <Template>Normal</Template>
  <Company>zjmy</Company>
  <Pages>41</Pages>
  <Words>23713</Words>
  <Characters>24648</Characters>
  <Lines>239</Lines>
  <Paragraphs>67</Paragraphs>
  <TotalTime>0</TotalTime>
  <ScaleCrop>false</ScaleCrop>
  <LinksUpToDate>false</LinksUpToDate>
  <CharactersWithSpaces>25953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2022-10-06T13:10:00Z</dcterms:created>
  <dc:creator>yun</dc:creator>
  <cp:lastModifiedBy>腾</cp:lastModifiedBy>
  <cp:lastPrinted>2023-09-27T03:30:00Z</cp:lastPrinted>
  <dcterms:modified xsi:type="dcterms:W3CDTF">2023-09-27T07:18:20Z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CB96A50497E24BE7A74563F04B4CE542</vt:lpwstr>
  </property>
</Properties>
</file>