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2021年至2022年平阳县水利工程物业化管理采购项目</w:t>
            </w:r>
          </w:p>
          <w:p>
            <w:pPr>
              <w:wordWrap w:val="0"/>
              <w:rPr>
                <w:rFonts w:ascii="宋体" w:hAnsi="宋体" w:cs="宋体"/>
                <w:b/>
                <w:sz w:val="30"/>
                <w:szCs w:val="30"/>
              </w:rPr>
            </w:pPr>
            <w:r>
              <w:rPr>
                <w:rFonts w:hint="eastAsia" w:ascii="宋体" w:hAnsi="宋体" w:cs="宋体"/>
                <w:b/>
                <w:sz w:val="30"/>
                <w:szCs w:val="30"/>
              </w:rPr>
              <w:t xml:space="preserve">              招标编号：PYCG201222168</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w:t>
            </w:r>
            <w:r>
              <w:rPr>
                <w:rFonts w:hint="eastAsia" w:ascii="宋体" w:hAnsi="宋体" w:cs="宋体"/>
                <w:b/>
                <w:sz w:val="30"/>
                <w:szCs w:val="30"/>
                <w:lang w:eastAsia="zh-CN"/>
              </w:rPr>
              <w:t>平阳县水利局</w:t>
            </w: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联 系 人：安先生 </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联系电话: 0577-58102183</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pStyle w:val="43"/>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b/>
                <w:sz w:val="30"/>
              </w:rPr>
            </w:pPr>
            <w:r>
              <w:rPr>
                <w:rFonts w:hint="eastAsia" w:ascii="宋体" w:hAnsi="宋体" w:cs="宋体"/>
                <w:b/>
                <w:sz w:val="30"/>
                <w:szCs w:val="30"/>
              </w:rPr>
              <w:t>采购机构：</w:t>
            </w:r>
            <w:r>
              <w:rPr>
                <w:rFonts w:hint="eastAsia"/>
                <w:b/>
                <w:sz w:val="30"/>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b/>
                <w:sz w:val="30"/>
              </w:rPr>
            </w:pPr>
            <w:r>
              <w:rPr>
                <w:b/>
                <w:sz w:val="30"/>
              </w:rPr>
              <w:t>联系电话：</w:t>
            </w:r>
            <w:r>
              <w:rPr>
                <w:rFonts w:hint="eastAsia"/>
                <w:b/>
                <w:sz w:val="30"/>
              </w:rPr>
              <w:t>0577-63112589、18058365298</w:t>
            </w:r>
          </w:p>
          <w:p>
            <w:pPr>
              <w:spacing w:line="440" w:lineRule="exact"/>
              <w:ind w:firstLine="2117" w:firstLineChars="703"/>
              <w:rPr>
                <w:rFonts w:ascii="宋体" w:hAnsi="宋体" w:cs="宋体"/>
                <w:b/>
                <w:sz w:val="30"/>
                <w:szCs w:val="30"/>
              </w:rPr>
            </w:pPr>
            <w:r>
              <w:rPr>
                <w:b/>
                <w:sz w:val="30"/>
                <w:szCs w:val="30"/>
              </w:rPr>
              <w:t>联系传真：</w:t>
            </w:r>
            <w:r>
              <w:rPr>
                <w:rFonts w:hint="eastAsia"/>
                <w:b/>
                <w:sz w:val="30"/>
                <w:szCs w:val="30"/>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8"/>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8"/>
              <w:ind w:left="0" w:leftChars="0"/>
              <w:jc w:val="center"/>
              <w:rPr>
                <w:rFonts w:ascii="宋体" w:hAnsi="宋体" w:cs="宋体"/>
                <w:b/>
                <w:color w:val="auto"/>
                <w:sz w:val="84"/>
              </w:rPr>
            </w:pPr>
            <w:r>
              <w:rPr>
                <w:rFonts w:hint="eastAsia" w:ascii="宋体" w:hAnsi="宋体" w:cs="宋体"/>
                <w:b/>
                <w:color w:val="auto"/>
                <w:sz w:val="30"/>
                <w:szCs w:val="30"/>
              </w:rPr>
              <w:t>二零二零年</w:t>
            </w:r>
            <w:r>
              <w:rPr>
                <w:rFonts w:hint="eastAsia" w:ascii="宋体" w:hAnsi="宋体" w:cs="宋体"/>
                <w:b/>
                <w:color w:val="auto"/>
                <w:sz w:val="30"/>
                <w:szCs w:val="30"/>
                <w:lang w:eastAsia="zh-CN"/>
              </w:rPr>
              <w:t>十</w:t>
            </w:r>
            <w:r>
              <w:rPr>
                <w:rFonts w:hint="eastAsia" w:ascii="宋体" w:hAnsi="宋体" w:cs="宋体"/>
                <w:b/>
                <w:color w:val="auto"/>
                <w:sz w:val="30"/>
                <w:szCs w:val="30"/>
                <w:lang w:val="en-US" w:eastAsia="zh-CN"/>
              </w:rPr>
              <w:t>二</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ascii="宋体" w:hAnsi="宋体" w:cs="宋体"/>
          <w:b/>
          <w:bCs/>
          <w:color w:val="000000"/>
          <w:kern w:val="0"/>
          <w:sz w:val="32"/>
          <w:szCs w:val="32"/>
        </w:rPr>
      </w:pPr>
      <w:r>
        <w:rPr>
          <w:rFonts w:hint="eastAsia" w:ascii="宋体" w:hAnsi="宋体" w:cs="宋体"/>
          <w:b/>
          <w:bCs/>
          <w:color w:val="000000"/>
          <w:kern w:val="0"/>
          <w:sz w:val="32"/>
          <w:szCs w:val="32"/>
        </w:rPr>
        <w:t>浙江亿邦建设咨询有限公司关于</w:t>
      </w:r>
      <w:r>
        <w:rPr>
          <w:rFonts w:hint="eastAsia" w:ascii="宋体" w:hAnsi="宋体" w:cs="宋体"/>
          <w:b/>
          <w:bCs/>
          <w:color w:val="000000"/>
          <w:kern w:val="0"/>
          <w:sz w:val="32"/>
          <w:szCs w:val="32"/>
          <w:lang w:eastAsia="zh-CN"/>
        </w:rPr>
        <w:t>2021年至2022年平阳县水利工程物业化管理采购项目</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ascii="宋体" w:hAnsi="宋体"/>
          <w:b/>
          <w:color w:val="000000"/>
          <w:sz w:val="30"/>
          <w:szCs w:val="30"/>
        </w:rPr>
      </w:pPr>
      <w:r>
        <w:rPr>
          <w:rFonts w:hint="eastAsia" w:ascii="宋体" w:hAnsi="宋体"/>
          <w:b/>
          <w:color w:val="000000"/>
          <w:sz w:val="30"/>
          <w:szCs w:val="30"/>
        </w:rPr>
        <w:t>公告日期：2020年</w:t>
      </w:r>
      <w:r>
        <w:rPr>
          <w:rFonts w:hint="eastAsia" w:ascii="宋体" w:hAnsi="宋体"/>
          <w:b/>
          <w:color w:val="000000"/>
          <w:sz w:val="30"/>
          <w:szCs w:val="30"/>
          <w:lang w:val="en-US" w:eastAsia="zh-CN"/>
        </w:rPr>
        <w:t>12</w:t>
      </w:r>
      <w:r>
        <w:rPr>
          <w:rFonts w:hint="eastAsia" w:ascii="宋体" w:hAnsi="宋体"/>
          <w:b/>
          <w:color w:val="000000"/>
          <w:sz w:val="30"/>
          <w:szCs w:val="30"/>
        </w:rPr>
        <w:t>月</w:t>
      </w:r>
      <w:r>
        <w:rPr>
          <w:rFonts w:hint="eastAsia" w:ascii="宋体" w:hAnsi="宋体"/>
          <w:b/>
          <w:color w:val="000000"/>
          <w:sz w:val="30"/>
          <w:szCs w:val="30"/>
          <w:lang w:val="en-US" w:eastAsia="zh-CN"/>
        </w:rPr>
        <w:t>22</w:t>
      </w:r>
      <w:r>
        <w:rPr>
          <w:rFonts w:hint="eastAsia" w:ascii="宋体" w:hAnsi="宋体"/>
          <w:b/>
          <w:color w:val="000000"/>
          <w:sz w:val="30"/>
          <w:szCs w:val="30"/>
        </w:rPr>
        <w:t>日</w:t>
      </w:r>
    </w:p>
    <w:p>
      <w:pPr>
        <w:widowControl/>
        <w:shd w:val="clear" w:color="auto" w:fill="FFFFFF"/>
        <w:spacing w:before="75" w:after="75"/>
        <w:jc w:val="left"/>
        <w:rPr>
          <w:rFonts w:ascii="宋体" w:hAnsi="宋体" w:cs="宋体"/>
          <w:color w:val="000000"/>
          <w:kern w:val="0"/>
          <w:sz w:val="27"/>
          <w:szCs w:val="27"/>
          <w:shd w:val="clear" w:color="auto" w:fill="FFFFFF"/>
          <w:lang w:bidi="ar"/>
        </w:rPr>
      </w:pPr>
      <w:r>
        <w:rPr>
          <w:rFonts w:hint="eastAsia" w:ascii="宋体" w:hAnsi="宋体" w:cs="宋体"/>
          <w:color w:val="000000"/>
          <w:kern w:val="0"/>
          <w:sz w:val="27"/>
          <w:szCs w:val="27"/>
          <w:shd w:val="clear" w:color="auto" w:fill="FFFFFF"/>
          <w:lang w:bidi="ar"/>
        </w:rPr>
        <w:t>项目概况</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xml:space="preserve">  </w:t>
      </w:r>
      <w:r>
        <w:rPr>
          <w:rFonts w:hint="eastAsia" w:ascii="宋体" w:hAnsi="宋体" w:cs="宋体"/>
          <w:color w:val="000000"/>
          <w:kern w:val="0"/>
          <w:sz w:val="27"/>
          <w:szCs w:val="27"/>
          <w:shd w:val="clear" w:color="auto" w:fill="FFFFFF"/>
          <w:lang w:eastAsia="zh-CN" w:bidi="ar"/>
        </w:rPr>
        <w:t>2021年至2022年平阳县水利工程物业化管理采购项目</w:t>
      </w:r>
      <w:r>
        <w:rPr>
          <w:rFonts w:hint="eastAsia" w:ascii="宋体" w:hAnsi="宋体" w:cs="宋体"/>
          <w:color w:val="000000"/>
          <w:kern w:val="0"/>
          <w:sz w:val="27"/>
          <w:szCs w:val="27"/>
          <w:shd w:val="clear" w:color="auto" w:fill="FFFFFF"/>
          <w:lang w:bidi="ar"/>
        </w:rPr>
        <w:t>的潜在投标人应在政府采购云平台下载获取（下载）招标文件，并于 202</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年</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14</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（北京时间）前递交（上传）投标文件。</w:t>
      </w:r>
      <w:r>
        <w:rPr>
          <w:rFonts w:hint="eastAsia" w:ascii="宋体" w:hAnsi="宋体" w:cs="宋体"/>
          <w:color w:val="000000"/>
          <w:kern w:val="0"/>
          <w:sz w:val="24"/>
          <w:shd w:val="clear" w:color="auto" w:fill="FFFFFF"/>
          <w:lang w:bidi="ar"/>
        </w:rPr>
        <w:t>                             </w:t>
      </w:r>
    </w:p>
    <w:p>
      <w:pPr>
        <w:widowControl/>
        <w:shd w:val="clear" w:color="auto" w:fill="FFFFFF"/>
        <w:spacing w:before="255" w:after="255"/>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一、项目基本情况</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项目编号：PYCG201222168 </w:t>
      </w:r>
    </w:p>
    <w:p>
      <w:pPr>
        <w:widowControl/>
        <w:shd w:val="clear" w:color="auto" w:fill="FFFFFF"/>
        <w:spacing w:before="75" w:after="75"/>
        <w:jc w:val="left"/>
        <w:rPr>
          <w:rFonts w:hint="eastAsia" w:ascii="宋体" w:hAnsi="宋体" w:eastAsia="宋体" w:cs="宋体"/>
          <w:color w:val="333333"/>
          <w:sz w:val="18"/>
          <w:szCs w:val="18"/>
          <w:lang w:eastAsia="zh-CN"/>
        </w:rPr>
      </w:pPr>
      <w:r>
        <w:rPr>
          <w:rFonts w:hint="eastAsia" w:ascii="宋体" w:hAnsi="宋体" w:cs="宋体"/>
          <w:color w:val="000000"/>
          <w:kern w:val="0"/>
          <w:sz w:val="27"/>
          <w:szCs w:val="27"/>
          <w:shd w:val="clear" w:color="auto" w:fill="FFFFFF"/>
          <w:lang w:bidi="ar"/>
        </w:rPr>
        <w:t>    项目名称：</w:t>
      </w:r>
      <w:r>
        <w:rPr>
          <w:rFonts w:hint="eastAsia" w:ascii="宋体" w:hAnsi="宋体" w:cs="宋体"/>
          <w:color w:val="000000"/>
          <w:kern w:val="0"/>
          <w:sz w:val="27"/>
          <w:szCs w:val="27"/>
          <w:shd w:val="clear" w:color="auto" w:fill="FFFFFF"/>
          <w:lang w:eastAsia="zh-CN" w:bidi="ar"/>
        </w:rPr>
        <w:t>2021年至2022年平阳县水利工程物业化管理采购项目</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预算金额（元）：</w:t>
      </w:r>
      <w:r>
        <w:rPr>
          <w:rFonts w:hint="eastAsia" w:ascii="宋体" w:hAnsi="宋体" w:cs="宋体"/>
          <w:color w:val="000000"/>
          <w:kern w:val="0"/>
          <w:sz w:val="27"/>
          <w:szCs w:val="27"/>
          <w:shd w:val="clear" w:color="auto" w:fill="FFFFFF"/>
          <w:lang w:eastAsia="zh-CN" w:bidi="ar"/>
        </w:rPr>
        <w:t>2005700</w:t>
      </w:r>
      <w:r>
        <w:rPr>
          <w:rFonts w:hint="eastAsia" w:ascii="宋体" w:hAnsi="宋体" w:cs="宋体"/>
          <w:color w:val="000000"/>
          <w:kern w:val="0"/>
          <w:sz w:val="27"/>
          <w:szCs w:val="27"/>
          <w:shd w:val="clear" w:color="auto" w:fill="FFFFFF"/>
          <w:lang w:bidi="ar"/>
        </w:rPr>
        <w:t> </w:t>
      </w:r>
      <w:r>
        <w:rPr>
          <w:rFonts w:hint="eastAsia" w:ascii="宋体" w:hAnsi="宋体" w:cs="宋体"/>
          <w:color w:val="000000"/>
          <w:kern w:val="0"/>
          <w:sz w:val="24"/>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最高限价（元）：</w:t>
      </w:r>
      <w:r>
        <w:rPr>
          <w:rFonts w:hint="eastAsia" w:ascii="宋体" w:hAnsi="宋体" w:cs="宋体"/>
          <w:color w:val="000000"/>
          <w:kern w:val="0"/>
          <w:sz w:val="27"/>
          <w:szCs w:val="27"/>
          <w:shd w:val="clear" w:color="auto" w:fill="FFFFFF"/>
          <w:lang w:eastAsia="zh-CN" w:bidi="ar"/>
        </w:rPr>
        <w:t>2005700</w:t>
      </w:r>
      <w:r>
        <w:rPr>
          <w:rFonts w:hint="eastAsia" w:ascii="宋体" w:hAnsi="宋体" w:cs="宋体"/>
          <w:color w:val="000000"/>
          <w:kern w:val="0"/>
          <w:sz w:val="27"/>
          <w:szCs w:val="27"/>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采购需求：</w:t>
      </w:r>
      <w:bookmarkStart w:id="37" w:name="_GoBack"/>
      <w:bookmarkEnd w:id="37"/>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标项名称: </w:t>
      </w:r>
      <w:r>
        <w:rPr>
          <w:rFonts w:hint="eastAsia" w:ascii="宋体" w:hAnsi="宋体" w:cs="宋体"/>
          <w:color w:val="000000"/>
          <w:kern w:val="0"/>
          <w:sz w:val="27"/>
          <w:szCs w:val="27"/>
          <w:shd w:val="clear" w:color="auto" w:fill="FFFFFF"/>
          <w:lang w:eastAsia="zh-CN" w:bidi="ar"/>
        </w:rPr>
        <w:t>2021年至2022年平阳县水利工程物业化管理采购项目</w:t>
      </w:r>
      <w:r>
        <w:rPr>
          <w:rFonts w:hint="eastAsia" w:ascii="宋体" w:hAnsi="宋体" w:cs="宋体"/>
          <w:color w:val="000000"/>
          <w:kern w:val="0"/>
          <w:sz w:val="27"/>
          <w:szCs w:val="27"/>
          <w:shd w:val="clear" w:color="auto" w:fill="FFFFFF"/>
          <w:lang w:bidi="ar"/>
        </w:rPr>
        <w:t>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数量: 1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预算金额（元）:</w:t>
      </w:r>
      <w:r>
        <w:rPr>
          <w:rFonts w:hint="eastAsia" w:ascii="宋体" w:hAnsi="宋体" w:cs="宋体"/>
          <w:color w:val="000000"/>
          <w:kern w:val="0"/>
          <w:sz w:val="27"/>
          <w:szCs w:val="27"/>
          <w:shd w:val="clear" w:color="auto" w:fill="FFFFFF"/>
          <w:lang w:eastAsia="zh-CN" w:bidi="ar"/>
        </w:rPr>
        <w:t>2005700</w:t>
      </w:r>
      <w:r>
        <w:rPr>
          <w:rFonts w:hint="eastAsia" w:ascii="宋体" w:hAnsi="宋体" w:cs="宋体"/>
          <w:color w:val="000000"/>
          <w:kern w:val="0"/>
          <w:sz w:val="27"/>
          <w:szCs w:val="27"/>
          <w:shd w:val="clear" w:color="auto" w:fill="FFFFFF"/>
          <w:lang w:bidi="ar"/>
        </w:rPr>
        <w:t>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简要规格描述或项目基本概况介绍、用途：详见招标文件 </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备注：</w:t>
      </w:r>
      <w:r>
        <w:rPr>
          <w:rFonts w:hint="eastAsia" w:ascii="宋体" w:hAnsi="宋体" w:cs="宋体"/>
          <w:color w:val="000000"/>
          <w:kern w:val="0"/>
          <w:sz w:val="24"/>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合同履约期限：至合同结束（以采购人发出的书面进场通知时间为准）</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本项目（否）接受联合体投标。</w:t>
      </w:r>
    </w:p>
    <w:p>
      <w:pPr>
        <w:widowControl/>
        <w:shd w:val="clear" w:color="auto" w:fill="FFFFFF"/>
        <w:spacing w:before="225" w:after="225"/>
        <w:jc w:val="left"/>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二、申请人的资格要求：</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1.满足《中华人民共和国政府采购法》第二十二条规定；未被“信用中国”（www.creditchina.gov.cn)、中国政府采购网（www.ccgp.gov.cn）列入失信被执行人、重大税收违法案件当事人名单、政府采购严重违法失信行为记录名单。</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2.落实政府采购政策需满足的资格要求：无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3.本项目的特定资格要求</w:t>
      </w:r>
      <w:r>
        <w:rPr>
          <w:rFonts w:hint="eastAsia" w:ascii="宋体" w:hAnsi="宋体" w:cs="宋体"/>
          <w:color w:val="auto"/>
          <w:kern w:val="0"/>
          <w:sz w:val="27"/>
          <w:szCs w:val="27"/>
          <w:shd w:val="clear" w:color="auto" w:fill="FFFFFF"/>
          <w:lang w:bidi="ar"/>
        </w:rPr>
        <w:t>：</w:t>
      </w:r>
      <w:r>
        <w:rPr>
          <w:rFonts w:hint="eastAsia" w:ascii="宋体" w:hAnsi="宋体" w:cs="宋体"/>
          <w:color w:val="000000"/>
          <w:kern w:val="0"/>
          <w:sz w:val="27"/>
          <w:szCs w:val="27"/>
          <w:shd w:val="clear" w:color="auto" w:fill="FFFFFF"/>
          <w:lang w:bidi="ar"/>
        </w:rPr>
        <w:t>无</w:t>
      </w:r>
    </w:p>
    <w:p>
      <w:pPr>
        <w:widowControl/>
        <w:shd w:val="clear" w:color="auto" w:fill="FFFFFF"/>
        <w:spacing w:before="255" w:after="255"/>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三、获取招标文件</w:t>
      </w:r>
      <w:r>
        <w:rPr>
          <w:rFonts w:hint="eastAsia" w:ascii="宋体" w:hAnsi="宋体" w:cs="宋体"/>
          <w:color w:val="000000"/>
          <w:kern w:val="0"/>
          <w:sz w:val="27"/>
          <w:szCs w:val="27"/>
          <w:shd w:val="clear" w:color="auto" w:fill="FFFFFF"/>
          <w:lang w:bidi="ar"/>
        </w:rPr>
        <w:t> </w:t>
      </w:r>
    </w:p>
    <w:p>
      <w:pPr>
        <w:widowControl/>
        <w:shd w:val="clear" w:color="auto" w:fill="FFFFFF"/>
        <w:spacing w:before="75" w:after="75"/>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时间：/至202</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年</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14</w:t>
      </w:r>
      <w:r>
        <w:rPr>
          <w:rFonts w:hint="eastAsia" w:ascii="宋体" w:hAnsi="宋体" w:cs="宋体"/>
          <w:color w:val="000000"/>
          <w:kern w:val="0"/>
          <w:sz w:val="27"/>
          <w:szCs w:val="27"/>
          <w:shd w:val="clear" w:color="auto" w:fill="FFFFFF"/>
          <w:lang w:bidi="ar"/>
        </w:rPr>
        <w:t>日 ，每天上午00:00至12:00 ，下午12:00至23:59（北京时间，线上获取法定节假日均可，线下获取文件法定节假日除外）</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地点（网址）：政府采购云平台下载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方式：政府采购云平台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售价（元）：0</w:t>
      </w:r>
      <w:r>
        <w:rPr>
          <w:rFonts w:hint="eastAsia" w:ascii="宋体" w:hAnsi="宋体" w:cs="宋体"/>
          <w:color w:val="000000"/>
          <w:kern w:val="0"/>
          <w:sz w:val="24"/>
          <w:shd w:val="clear" w:color="auto" w:fill="FFFFFF"/>
          <w:lang w:bidi="ar"/>
        </w:rPr>
        <w:t>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四、提交投标文件截止时间、开标时间和地点</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提交投标文件截止时间：202</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年</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14</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 xml:space="preserve">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投标地点（网址）：政府采购云平台在线投标，投标供应商无须前往评审现场。</w:t>
      </w:r>
      <w:r>
        <w:rPr>
          <w:rFonts w:hint="eastAsia" w:ascii="宋体" w:hAnsi="宋体" w:cs="宋体"/>
          <w:color w:val="000000"/>
          <w:kern w:val="0"/>
          <w:sz w:val="24"/>
          <w:shd w:val="clear" w:color="auto" w:fill="FFFFFF"/>
          <w:lang w:bidi="ar"/>
        </w:rPr>
        <w:t>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开标时间：202</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年</w:t>
      </w:r>
      <w:r>
        <w:rPr>
          <w:rFonts w:hint="eastAsia" w:ascii="宋体" w:hAnsi="宋体" w:cs="宋体"/>
          <w:color w:val="000000"/>
          <w:kern w:val="0"/>
          <w:sz w:val="27"/>
          <w:szCs w:val="27"/>
          <w:shd w:val="clear" w:color="auto" w:fill="FFFFFF"/>
          <w:lang w:val="en-US" w:eastAsia="zh-CN" w:bidi="ar"/>
        </w:rPr>
        <w:t>1</w:t>
      </w:r>
      <w:r>
        <w:rPr>
          <w:rFonts w:hint="eastAsia" w:ascii="宋体" w:hAnsi="宋体" w:cs="宋体"/>
          <w:color w:val="000000"/>
          <w:kern w:val="0"/>
          <w:sz w:val="27"/>
          <w:szCs w:val="27"/>
          <w:shd w:val="clear" w:color="auto" w:fill="FFFFFF"/>
          <w:lang w:bidi="ar"/>
        </w:rPr>
        <w:t>月</w:t>
      </w:r>
      <w:r>
        <w:rPr>
          <w:rFonts w:hint="eastAsia" w:ascii="宋体" w:hAnsi="宋体" w:cs="宋体"/>
          <w:color w:val="000000"/>
          <w:kern w:val="0"/>
          <w:sz w:val="27"/>
          <w:szCs w:val="27"/>
          <w:shd w:val="clear" w:color="auto" w:fill="FFFFFF"/>
          <w:lang w:val="en-US" w:eastAsia="zh-CN" w:bidi="ar"/>
        </w:rPr>
        <w:t>14</w:t>
      </w:r>
      <w:r>
        <w:rPr>
          <w:rFonts w:hint="eastAsia" w:ascii="宋体" w:hAnsi="宋体" w:cs="宋体"/>
          <w:color w:val="000000"/>
          <w:kern w:val="0"/>
          <w:sz w:val="27"/>
          <w:szCs w:val="27"/>
          <w:shd w:val="clear" w:color="auto" w:fill="FFFFFF"/>
          <w:lang w:bidi="ar"/>
        </w:rPr>
        <w:t>日</w:t>
      </w:r>
      <w:r>
        <w:rPr>
          <w:rFonts w:hint="eastAsia" w:ascii="宋体" w:hAnsi="宋体" w:cs="宋体"/>
          <w:color w:val="000000"/>
          <w:kern w:val="0"/>
          <w:sz w:val="27"/>
          <w:szCs w:val="27"/>
          <w:shd w:val="clear" w:color="auto" w:fill="FFFFFF"/>
          <w:lang w:val="en-US" w:eastAsia="zh-CN" w:bidi="ar"/>
        </w:rPr>
        <w:t>9:30</w:t>
      </w:r>
      <w:r>
        <w:rPr>
          <w:rFonts w:hint="eastAsia" w:ascii="宋体" w:hAnsi="宋体" w:cs="宋体"/>
          <w:color w:val="000000"/>
          <w:kern w:val="0"/>
          <w:sz w:val="27"/>
          <w:szCs w:val="27"/>
          <w:shd w:val="clear" w:color="auto" w:fill="FFFFFF"/>
          <w:lang w:bidi="ar"/>
        </w:rPr>
        <w:t xml:space="preserve">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开标地点（网址）：政府采购云平台在线投标，投标供应商无须前往评审现场。</w:t>
      </w:r>
      <w:r>
        <w:rPr>
          <w:rFonts w:hint="eastAsia" w:ascii="宋体" w:hAnsi="宋体" w:cs="宋体"/>
          <w:color w:val="000000"/>
          <w:kern w:val="0"/>
          <w:sz w:val="24"/>
          <w:shd w:val="clear" w:color="auto" w:fill="FFFFFF"/>
          <w:lang w:bidi="ar"/>
        </w:rPr>
        <w:t>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五、公告期限</w:t>
      </w:r>
      <w:r>
        <w:rPr>
          <w:rFonts w:hint="eastAsia" w:ascii="宋体" w:hAnsi="宋体" w:cs="宋体"/>
          <w:color w:val="000000"/>
          <w:kern w:val="0"/>
          <w:sz w:val="32"/>
          <w:szCs w:val="32"/>
          <w:shd w:val="clear" w:color="auto" w:fill="FFFFFF"/>
          <w:lang w:bidi="ar"/>
        </w:rPr>
        <w:t>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自本公告发布之日起5个工作日。</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六、其他补充事宜</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7"/>
          <w:szCs w:val="27"/>
          <w:shd w:val="clear" w:color="auto" w:fill="FFFFFF"/>
          <w:lang w:bidi="ar"/>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hAnsi="宋体" w:cs="宋体"/>
          <w:color w:val="000000"/>
          <w:kern w:val="0"/>
          <w:sz w:val="27"/>
          <w:szCs w:val="27"/>
          <w:shd w:val="clear" w:color="auto" w:fill="FFFFFF"/>
          <w:lang w:bidi="ar"/>
        </w:rPr>
        <w:br w:type="textWrapping"/>
      </w:r>
      <w:r>
        <w:rPr>
          <w:rFonts w:hint="eastAsia" w:ascii="宋体" w:hAnsi="宋体" w:cs="宋体"/>
          <w:color w:val="000000"/>
          <w:kern w:val="0"/>
          <w:sz w:val="27"/>
          <w:szCs w:val="27"/>
          <w:shd w:val="clear" w:color="auto" w:fill="FFFFFF"/>
          <w:lang w:bidi="ar"/>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widowControl/>
        <w:shd w:val="clear" w:color="auto" w:fill="FFFFFF"/>
        <w:rPr>
          <w:rFonts w:ascii="宋体" w:hAnsi="宋体" w:cs="宋体"/>
          <w:color w:val="333333"/>
          <w:sz w:val="18"/>
          <w:szCs w:val="18"/>
        </w:rPr>
      </w:pPr>
      <w:r>
        <w:rPr>
          <w:rFonts w:hint="eastAsia" w:ascii="宋体" w:hAnsi="宋体" w:cs="宋体"/>
          <w:b/>
          <w:color w:val="000000"/>
          <w:kern w:val="0"/>
          <w:sz w:val="27"/>
          <w:szCs w:val="27"/>
          <w:shd w:val="clear" w:color="auto" w:fill="FFFFFF"/>
          <w:lang w:bidi="ar"/>
        </w:rPr>
        <w:t>    七、对本次采购提出询问、质疑、投诉，请按以下方式联系</w:t>
      </w:r>
    </w:p>
    <w:p>
      <w:pPr>
        <w:pStyle w:val="25"/>
      </w:pPr>
      <w:r>
        <w:rPr>
          <w:rFonts w:hint="eastAsia" w:ascii="宋体" w:hAnsi="宋体" w:cs="宋体"/>
          <w:sz w:val="27"/>
          <w:szCs w:val="27"/>
          <w:shd w:val="clear" w:color="auto" w:fill="FFFFFF"/>
          <w:lang w:bidi="ar"/>
        </w:rPr>
        <w:t xml:space="preserve">  </w:t>
      </w:r>
      <w:r>
        <w:rPr>
          <w:rFonts w:ascii="仿宋" w:hAnsi="仿宋" w:eastAsia="仿宋" w:cs="仿宋"/>
          <w:sz w:val="27"/>
          <w:szCs w:val="27"/>
        </w:rPr>
        <w:t> </w:t>
      </w:r>
      <w:r>
        <w:rPr>
          <w:rFonts w:hint="eastAsia" w:ascii="仿宋" w:hAnsi="仿宋" w:eastAsia="仿宋" w:cs="仿宋"/>
          <w:sz w:val="27"/>
          <w:szCs w:val="27"/>
        </w:rPr>
        <w:t>1.采购人信息</w:t>
      </w:r>
    </w:p>
    <w:p>
      <w:pPr>
        <w:pStyle w:val="25"/>
      </w:pPr>
      <w:r>
        <w:rPr>
          <w:rFonts w:hint="eastAsia" w:ascii="仿宋" w:hAnsi="仿宋" w:eastAsia="仿宋" w:cs="仿宋"/>
          <w:sz w:val="27"/>
          <w:szCs w:val="27"/>
        </w:rPr>
        <w:t>    名    称：</w:t>
      </w:r>
      <w:r>
        <w:rPr>
          <w:rFonts w:hint="eastAsia" w:ascii="仿宋" w:hAnsi="仿宋" w:eastAsia="仿宋" w:cs="仿宋"/>
          <w:sz w:val="27"/>
          <w:szCs w:val="27"/>
          <w:lang w:eastAsia="zh-CN"/>
        </w:rPr>
        <w:t>平阳县水利局</w:t>
      </w:r>
      <w:r>
        <w:rPr>
          <w:rFonts w:hint="eastAsia" w:ascii="仿宋" w:hAnsi="仿宋" w:eastAsia="仿宋" w:cs="仿宋"/>
          <w:sz w:val="27"/>
          <w:szCs w:val="27"/>
        </w:rPr>
        <w:t> </w:t>
      </w:r>
    </w:p>
    <w:p>
      <w:pPr>
        <w:pStyle w:val="25"/>
      </w:pPr>
      <w:r>
        <w:rPr>
          <w:rFonts w:hint="eastAsia" w:ascii="仿宋" w:hAnsi="仿宋" w:eastAsia="仿宋" w:cs="仿宋"/>
          <w:sz w:val="27"/>
          <w:szCs w:val="27"/>
        </w:rPr>
        <w:t>    地    址：昆阳镇兴工北路149-2</w:t>
      </w:r>
    </w:p>
    <w:p>
      <w:pPr>
        <w:pStyle w:val="25"/>
      </w:pPr>
      <w:r>
        <w:rPr>
          <w:rFonts w:hint="eastAsia" w:ascii="仿宋" w:hAnsi="仿宋" w:eastAsia="仿宋" w:cs="仿宋"/>
          <w:sz w:val="27"/>
          <w:szCs w:val="27"/>
        </w:rPr>
        <w:t>    传    真：/ </w:t>
      </w:r>
    </w:p>
    <w:p>
      <w:pPr>
        <w:pStyle w:val="25"/>
      </w:pPr>
      <w:r>
        <w:rPr>
          <w:rFonts w:hint="eastAsia" w:ascii="仿宋" w:hAnsi="仿宋" w:eastAsia="仿宋" w:cs="仿宋"/>
          <w:sz w:val="27"/>
          <w:szCs w:val="27"/>
        </w:rPr>
        <w:t>    项目联系人（询问）：安先生 </w:t>
      </w:r>
    </w:p>
    <w:p>
      <w:pPr>
        <w:pStyle w:val="25"/>
        <w:rPr>
          <w:rFonts w:hint="eastAsia" w:eastAsia="仿宋"/>
          <w:lang w:eastAsia="zh-CN"/>
        </w:rPr>
      </w:pPr>
      <w:r>
        <w:rPr>
          <w:rFonts w:hint="eastAsia" w:ascii="仿宋" w:hAnsi="仿宋" w:eastAsia="仿宋" w:cs="仿宋"/>
          <w:sz w:val="27"/>
          <w:szCs w:val="27"/>
        </w:rPr>
        <w:t>    项目联系方式（询问）：0577-58102183</w:t>
      </w:r>
    </w:p>
    <w:p>
      <w:pPr>
        <w:pStyle w:val="25"/>
      </w:pPr>
      <w:r>
        <w:rPr>
          <w:rFonts w:hint="eastAsia" w:ascii="仿宋" w:hAnsi="仿宋" w:eastAsia="仿宋" w:cs="仿宋"/>
          <w:sz w:val="27"/>
          <w:szCs w:val="27"/>
        </w:rPr>
        <w:t>    质疑联系人：330326300901fp</w:t>
      </w:r>
    </w:p>
    <w:p>
      <w:pPr>
        <w:pStyle w:val="25"/>
      </w:pPr>
      <w:r>
        <w:rPr>
          <w:rFonts w:hint="eastAsia" w:ascii="仿宋" w:hAnsi="仿宋" w:eastAsia="仿宋" w:cs="仿宋"/>
          <w:sz w:val="27"/>
          <w:szCs w:val="27"/>
        </w:rPr>
        <w:t>    质疑联系方式：13868506058</w:t>
      </w:r>
    </w:p>
    <w:p>
      <w:pPr>
        <w:pStyle w:val="25"/>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p>
    <w:p>
      <w:pPr>
        <w:pStyle w:val="25"/>
      </w:pPr>
      <w:r>
        <w:rPr>
          <w:rFonts w:hint="eastAsia" w:ascii="仿宋" w:hAnsi="仿宋" w:eastAsia="仿宋" w:cs="仿宋"/>
          <w:sz w:val="27"/>
          <w:szCs w:val="27"/>
        </w:rPr>
        <w:t>    名    称：浙江亿邦建设咨询有限公司 </w:t>
      </w:r>
    </w:p>
    <w:p>
      <w:pPr>
        <w:pStyle w:val="25"/>
      </w:pPr>
      <w:r>
        <w:rPr>
          <w:rFonts w:hint="eastAsia" w:ascii="仿宋" w:hAnsi="仿宋" w:eastAsia="仿宋" w:cs="仿宋"/>
          <w:sz w:val="27"/>
          <w:szCs w:val="27"/>
        </w:rPr>
        <w:t>    地    址：温州市平阳县鳌江镇（兴鳌中路）家电城B区4幢三楼西三间 </w:t>
      </w:r>
    </w:p>
    <w:p>
      <w:pPr>
        <w:pStyle w:val="25"/>
      </w:pPr>
      <w:r>
        <w:rPr>
          <w:rFonts w:hint="eastAsia" w:ascii="仿宋" w:hAnsi="仿宋" w:eastAsia="仿宋" w:cs="仿宋"/>
          <w:sz w:val="27"/>
          <w:szCs w:val="27"/>
        </w:rPr>
        <w:t>    传    真：/  </w:t>
      </w:r>
    </w:p>
    <w:p>
      <w:pPr>
        <w:pStyle w:val="25"/>
      </w:pPr>
      <w:r>
        <w:rPr>
          <w:rFonts w:hint="eastAsia" w:ascii="仿宋" w:hAnsi="仿宋" w:eastAsia="仿宋" w:cs="仿宋"/>
          <w:sz w:val="27"/>
          <w:szCs w:val="27"/>
        </w:rPr>
        <w:t>    项目联系人（询问）：蔡俊 </w:t>
      </w:r>
    </w:p>
    <w:p>
      <w:pPr>
        <w:pStyle w:val="25"/>
      </w:pPr>
      <w:r>
        <w:rPr>
          <w:rFonts w:hint="eastAsia" w:ascii="仿宋" w:hAnsi="仿宋" w:eastAsia="仿宋" w:cs="仿宋"/>
          <w:sz w:val="27"/>
          <w:szCs w:val="27"/>
        </w:rPr>
        <w:t>    项目联系方式（询问）：0577-63112589、18058365298 </w:t>
      </w:r>
    </w:p>
    <w:p>
      <w:pPr>
        <w:pStyle w:val="25"/>
      </w:pPr>
      <w:r>
        <w:rPr>
          <w:rFonts w:hint="eastAsia" w:ascii="仿宋" w:hAnsi="仿宋" w:eastAsia="仿宋" w:cs="仿宋"/>
          <w:sz w:val="27"/>
          <w:szCs w:val="27"/>
        </w:rPr>
        <w:t>    质疑联系人：卢丽娜 </w:t>
      </w:r>
    </w:p>
    <w:p>
      <w:pPr>
        <w:pStyle w:val="25"/>
      </w:pPr>
      <w:r>
        <w:rPr>
          <w:rFonts w:hint="eastAsia" w:ascii="仿宋" w:hAnsi="仿宋" w:eastAsia="仿宋" w:cs="仿宋"/>
          <w:sz w:val="27"/>
          <w:szCs w:val="27"/>
        </w:rPr>
        <w:t>    质疑联系方式：0577-61511617 </w:t>
      </w:r>
    </w:p>
    <w:p>
      <w:pPr>
        <w:pStyle w:val="25"/>
      </w:pP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5"/>
      </w:pPr>
      <w:r>
        <w:rPr>
          <w:rFonts w:hint="eastAsia" w:ascii="仿宋" w:hAnsi="仿宋" w:eastAsia="仿宋" w:cs="仿宋"/>
          <w:sz w:val="27"/>
          <w:szCs w:val="27"/>
        </w:rPr>
        <w:t>    名    称：平阳县财政局政府采购监督管理科 </w:t>
      </w:r>
    </w:p>
    <w:p>
      <w:pPr>
        <w:pStyle w:val="25"/>
      </w:pPr>
      <w:r>
        <w:rPr>
          <w:rFonts w:hint="eastAsia" w:ascii="仿宋" w:hAnsi="仿宋" w:eastAsia="仿宋" w:cs="仿宋"/>
          <w:sz w:val="27"/>
          <w:szCs w:val="27"/>
        </w:rPr>
        <w:t>    地    址：平阳县昆阳镇人民路373号 </w:t>
      </w:r>
    </w:p>
    <w:p>
      <w:pPr>
        <w:pStyle w:val="25"/>
      </w:pPr>
      <w:r>
        <w:rPr>
          <w:rFonts w:hint="eastAsia" w:ascii="仿宋" w:hAnsi="仿宋" w:eastAsia="仿宋" w:cs="仿宋"/>
          <w:sz w:val="27"/>
          <w:szCs w:val="27"/>
        </w:rPr>
        <w:t>    传    真：/ </w:t>
      </w:r>
    </w:p>
    <w:p>
      <w:pPr>
        <w:pStyle w:val="25"/>
      </w:pPr>
      <w:r>
        <w:rPr>
          <w:rFonts w:hint="eastAsia" w:ascii="仿宋" w:hAnsi="仿宋" w:eastAsia="仿宋" w:cs="仿宋"/>
          <w:sz w:val="27"/>
          <w:szCs w:val="27"/>
        </w:rPr>
        <w:t>    联系人 ：陈</w:t>
      </w:r>
      <w:r>
        <w:rPr>
          <w:rFonts w:hint="eastAsia" w:ascii="仿宋" w:hAnsi="仿宋" w:eastAsia="仿宋" w:cs="仿宋"/>
          <w:sz w:val="27"/>
          <w:szCs w:val="27"/>
          <w:lang w:val="en-US" w:eastAsia="zh-CN"/>
        </w:rPr>
        <w:t>先生</w:t>
      </w:r>
      <w:r>
        <w:rPr>
          <w:rFonts w:hint="eastAsia" w:ascii="仿宋" w:hAnsi="仿宋" w:eastAsia="仿宋" w:cs="仿宋"/>
          <w:sz w:val="27"/>
          <w:szCs w:val="27"/>
        </w:rPr>
        <w:t> </w:t>
      </w:r>
    </w:p>
    <w:p>
      <w:pPr>
        <w:pStyle w:val="25"/>
      </w:pPr>
      <w:r>
        <w:rPr>
          <w:rFonts w:hint="eastAsia" w:ascii="仿宋" w:hAnsi="仿宋" w:eastAsia="仿宋" w:cs="仿宋"/>
          <w:sz w:val="27"/>
          <w:szCs w:val="27"/>
        </w:rPr>
        <w:t>    监督投诉电话：0577-63889763</w:t>
      </w:r>
    </w:p>
    <w:p>
      <w:pPr>
        <w:widowControl/>
        <w:shd w:val="clear" w:color="auto" w:fill="FFFFFF"/>
        <w:spacing w:before="75" w:after="75"/>
        <w:jc w:val="left"/>
        <w:rPr>
          <w:rFonts w:ascii="宋体" w:hAnsi="宋体" w:cs="宋体"/>
          <w:color w:val="333333"/>
          <w:sz w:val="18"/>
          <w:szCs w:val="18"/>
        </w:rPr>
      </w:pP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    若对项目采购电子交易系统操作有疑问，可登录政采云（</w:t>
      </w:r>
      <w:r>
        <w:fldChar w:fldCharType="begin"/>
      </w:r>
      <w:r>
        <w:instrText xml:space="preserve"> HYPERLINK "https://www.zcygov.cn/" </w:instrText>
      </w:r>
      <w:r>
        <w:fldChar w:fldCharType="separate"/>
      </w:r>
      <w:r>
        <w:rPr>
          <w:rStyle w:val="35"/>
          <w:rFonts w:hint="eastAsia" w:ascii="宋体" w:hAnsi="宋体" w:cs="宋体"/>
          <w:color w:val="4A4A4A"/>
          <w:sz w:val="24"/>
          <w:u w:val="none"/>
          <w:shd w:val="clear" w:color="auto" w:fill="FFFFFF"/>
        </w:rPr>
        <w:t>https://www.zcygov.cn/</w:t>
      </w:r>
      <w:r>
        <w:rPr>
          <w:rStyle w:val="35"/>
          <w:rFonts w:hint="eastAsia" w:ascii="宋体" w:hAnsi="宋体" w:cs="宋体"/>
          <w:color w:val="4A4A4A"/>
          <w:sz w:val="24"/>
          <w:u w:val="none"/>
          <w:shd w:val="clear" w:color="auto" w:fill="FFFFFF"/>
        </w:rPr>
        <w:fldChar w:fldCharType="end"/>
      </w:r>
      <w:r>
        <w:rPr>
          <w:rFonts w:hint="eastAsia" w:ascii="宋体" w:hAnsi="宋体" w:cs="宋体"/>
          <w:color w:val="000000"/>
          <w:kern w:val="0"/>
          <w:sz w:val="24"/>
          <w:shd w:val="clear" w:color="auto" w:fill="FFFFFF"/>
          <w:lang w:bidi="ar"/>
        </w:rPr>
        <w:t>），点击右侧咨询小采，获取采小蜜智能服务管家帮助，或拨打政采云服务热线400-881-7190获取热线服务帮助。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CA问题联系电话（人工）：汇信CA 400-888-4636；天谷CA 400-087-8198。</w:t>
      </w:r>
    </w:p>
    <w:p>
      <w:pPr>
        <w:widowControl/>
        <w:shd w:val="clear" w:color="auto" w:fill="FFFFFF"/>
        <w:ind w:firstLine="440"/>
        <w:jc w:val="left"/>
        <w:rPr>
          <w:rFonts w:ascii="宋体" w:hAnsi="宋体" w:cs="宋体"/>
          <w:color w:val="333333"/>
          <w:sz w:val="18"/>
          <w:szCs w:val="18"/>
        </w:rPr>
      </w:pPr>
      <w:r>
        <w:rPr>
          <w:rFonts w:hint="eastAsia" w:ascii="宋体" w:hAnsi="宋体" w:cs="宋体"/>
          <w:color w:val="333333"/>
          <w:kern w:val="0"/>
          <w:sz w:val="22"/>
          <w:szCs w:val="22"/>
          <w:shd w:val="clear" w:color="auto" w:fill="FFFFFF"/>
          <w:lang w:bidi="ar"/>
        </w:rPr>
        <w:t> </w:t>
      </w:r>
    </w:p>
    <w:p>
      <w:pPr>
        <w:widowControl/>
        <w:shd w:val="clear" w:color="auto" w:fill="FFFFFF"/>
        <w:ind w:firstLine="482"/>
        <w:jc w:val="left"/>
        <w:rPr>
          <w:rFonts w:ascii="宋体" w:hAnsi="宋体" w:cs="宋体"/>
          <w:color w:val="333333"/>
          <w:sz w:val="18"/>
          <w:szCs w:val="18"/>
        </w:rPr>
      </w:pPr>
      <w:r>
        <w:rPr>
          <w:rFonts w:hint="eastAsia" w:ascii="宋体" w:hAnsi="宋体" w:cs="宋体"/>
          <w:b/>
          <w:color w:val="333333"/>
          <w:kern w:val="0"/>
          <w:sz w:val="24"/>
          <w:shd w:val="clear" w:color="auto" w:fill="FFFFFF"/>
          <w:lang w:bidi="ar"/>
        </w:rPr>
        <w:t> </w:t>
      </w:r>
    </w:p>
    <w:p>
      <w:pPr>
        <w:jc w:val="left"/>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sectPr>
          <w:footerReference r:id="rId3" w:type="default"/>
          <w:pgSz w:w="11906" w:h="16838"/>
          <w:pgMar w:top="1440" w:right="1080" w:bottom="1440" w:left="1080" w:header="851" w:footer="992" w:gutter="0"/>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rPr>
        <w:t>浙江亿邦建设咨询有限公司对</w:t>
      </w:r>
      <w:r>
        <w:rPr>
          <w:rFonts w:hint="eastAsia" w:ascii="宋体" w:hAnsi="宋体" w:cs="宋体"/>
          <w:kern w:val="0"/>
          <w:sz w:val="22"/>
          <w:szCs w:val="22"/>
          <w:lang w:eastAsia="zh-CN"/>
        </w:rPr>
        <w:t>2021年至2022年平阳县水利工程物业化管理采购项目</w:t>
      </w:r>
      <w:r>
        <w:rPr>
          <w:rFonts w:hint="eastAsia" w:ascii="宋体" w:hAnsi="宋体" w:cs="宋体"/>
          <w:kern w:val="0"/>
          <w:sz w:val="22"/>
          <w:szCs w:val="22"/>
        </w:rPr>
        <w:t>进行公开招标，特通知贵公司（企业）前来投标。并请按招标文件的要求认真准备好投标文件，按时前来投标。</w:t>
      </w:r>
    </w:p>
    <w:tbl>
      <w:tblPr>
        <w:tblStyle w:val="41"/>
        <w:tblW w:w="1017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2021年至2022年平阳县水利工程物业化管理采购项目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项目编号</w:t>
            </w:r>
          </w:p>
        </w:tc>
        <w:tc>
          <w:tcPr>
            <w:tcW w:w="7776" w:type="dxa"/>
            <w:vAlign w:val="center"/>
          </w:tcPr>
          <w:p>
            <w:pPr>
              <w:rPr>
                <w:rFonts w:hint="eastAsia" w:ascii="宋体" w:hAnsi="宋体" w:eastAsia="宋体" w:cs="宋体"/>
                <w:color w:val="auto"/>
                <w:sz w:val="22"/>
                <w:lang w:eastAsia="zh-CN"/>
              </w:rPr>
            </w:pPr>
            <w:r>
              <w:rPr>
                <w:rFonts w:hint="eastAsia" w:ascii="宋体" w:hAnsi="宋体" w:eastAsia="宋体" w:cs="宋体"/>
                <w:color w:val="auto"/>
                <w:sz w:val="22"/>
                <w:lang w:eastAsia="zh-CN"/>
              </w:rPr>
              <w:t>PYCG201222168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szCs w:val="22"/>
              </w:rPr>
            </w:pPr>
            <w:r>
              <w:rPr>
                <w:rFonts w:hint="eastAsia" w:ascii="宋体" w:hAnsi="宋体" w:cs="宋体"/>
                <w:sz w:val="22"/>
                <w:szCs w:val="22"/>
              </w:rPr>
              <w:t>采购人</w:t>
            </w:r>
          </w:p>
        </w:tc>
        <w:tc>
          <w:tcPr>
            <w:tcW w:w="7776" w:type="dxa"/>
            <w:vAlign w:val="center"/>
          </w:tcPr>
          <w:p>
            <w:pPr>
              <w:rPr>
                <w:sz w:val="22"/>
                <w:szCs w:val="22"/>
              </w:rPr>
            </w:pPr>
            <w:r>
              <w:rPr>
                <w:rFonts w:hint="eastAsia"/>
                <w:sz w:val="22"/>
                <w:szCs w:val="22"/>
              </w:rPr>
              <w:t>名称：</w:t>
            </w:r>
            <w:r>
              <w:rPr>
                <w:rFonts w:hint="eastAsia"/>
                <w:sz w:val="22"/>
                <w:szCs w:val="22"/>
                <w:lang w:eastAsia="zh-CN"/>
              </w:rPr>
              <w:t>平阳县水利局</w:t>
            </w:r>
            <w:r>
              <w:rPr>
                <w:rFonts w:hint="eastAsia"/>
                <w:sz w:val="22"/>
                <w:szCs w:val="22"/>
              </w:rPr>
              <w:t xml:space="preserve"> </w:t>
            </w:r>
          </w:p>
          <w:p>
            <w:pPr>
              <w:rPr>
                <w:sz w:val="22"/>
                <w:szCs w:val="22"/>
              </w:rPr>
            </w:pPr>
            <w:r>
              <w:rPr>
                <w:rFonts w:hint="eastAsia"/>
                <w:sz w:val="22"/>
                <w:szCs w:val="22"/>
              </w:rPr>
              <w:t>地址：温州市平阳县昆阳镇兴工北路149-2号水利大楼</w:t>
            </w:r>
          </w:p>
          <w:p>
            <w:pPr>
              <w:rPr>
                <w:sz w:val="22"/>
                <w:szCs w:val="22"/>
              </w:rPr>
            </w:pPr>
            <w:r>
              <w:rPr>
                <w:rFonts w:hint="eastAsia"/>
                <w:sz w:val="22"/>
                <w:szCs w:val="22"/>
              </w:rPr>
              <w:t>联 系 人</w:t>
            </w:r>
            <w:r>
              <w:rPr>
                <w:rFonts w:hint="eastAsia"/>
                <w:sz w:val="22"/>
                <w:szCs w:val="22"/>
                <w:lang w:eastAsia="zh-CN"/>
              </w:rPr>
              <w:t xml:space="preserve">：安先生 </w:t>
            </w:r>
            <w:r>
              <w:rPr>
                <w:rFonts w:hint="eastAsia"/>
                <w:sz w:val="22"/>
                <w:szCs w:val="22"/>
              </w:rPr>
              <w:t xml:space="preserve"> </w:t>
            </w:r>
          </w:p>
          <w:p>
            <w:pPr>
              <w:rPr>
                <w:sz w:val="22"/>
                <w:szCs w:val="22"/>
              </w:rPr>
            </w:pPr>
            <w:r>
              <w:rPr>
                <w:rFonts w:hint="eastAsia"/>
                <w:sz w:val="22"/>
                <w:szCs w:val="22"/>
              </w:rPr>
              <w:t>联系电话</w:t>
            </w:r>
            <w:r>
              <w:rPr>
                <w:rFonts w:hint="eastAsia"/>
                <w:sz w:val="22"/>
                <w:szCs w:val="22"/>
                <w:lang w:eastAsia="zh-CN"/>
              </w:rPr>
              <w:t>：</w:t>
            </w:r>
            <w:r>
              <w:rPr>
                <w:rFonts w:hint="eastAsia"/>
                <w:sz w:val="22"/>
                <w:szCs w:val="22"/>
              </w:rPr>
              <w:t>0577-58102183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ascii="宋体" w:hAnsi="宋体" w:cs="宋体"/>
                <w:sz w:val="22"/>
              </w:rPr>
            </w:pPr>
            <w:r>
              <w:rPr>
                <w:rFonts w:hint="eastAsia" w:ascii="宋体" w:hAnsi="宋体" w:cs="宋体"/>
                <w:sz w:val="22"/>
              </w:rPr>
              <w:t>名称：浙江亿邦建设咨询有限公司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adjustRightInd w:val="0"/>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3"/>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rPr>
              <w:t>平阳县鳌江镇家电城B区4幢三楼西三间（浙江亿邦建设咨询有限公司）</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联系电话：0577-63112589、18058365298</w:t>
            </w:r>
            <w:r>
              <w:rPr>
                <w:rFonts w:hint="eastAsia"/>
                <w:sz w:val="22"/>
                <w:szCs w:val="22"/>
              </w:rPr>
              <w:t>）（或电子邮件形式递交数据电文形式的“备份投标文件”。电子邮箱：214381086@qq.com））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95"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“备份投标文件”（一份）（或电子邮件形式递交数据电文形式的“备份投标文件”。电子邮箱：214381086@qq.com）；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183"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（1）开标后，采购组织机构将向各投标供应商发出“电子加密投标文件”的解密通知，各投标供应商代表应当在接到解密通知后30分钟内自行完成“电子加密投标文件”的在线解密。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具体详见采购文件，中标供应商提供的样品将由采购人保管、封存并作为履约验收的参考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需向采购人提供合同总价5％的履约保证金（可采用保函方式提交）。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投标截止时间</w:t>
            </w:r>
          </w:p>
        </w:tc>
        <w:tc>
          <w:tcPr>
            <w:tcW w:w="7776" w:type="dxa"/>
            <w:vAlign w:val="center"/>
          </w:tcPr>
          <w:p>
            <w:pPr>
              <w:rPr>
                <w:rFonts w:ascii="宋体" w:hAnsi="宋体" w:cs="宋体"/>
                <w:color w:val="auto"/>
                <w:sz w:val="22"/>
              </w:rPr>
            </w:pPr>
            <w:r>
              <w:rPr>
                <w:rFonts w:hint="eastAsia" w:ascii="宋体" w:hAnsi="宋体" w:cs="宋体"/>
                <w:color w:val="auto"/>
                <w:sz w:val="22"/>
                <w:szCs w:val="22"/>
                <w:shd w:val="clear" w:color="auto" w:fill="FFFFFF"/>
              </w:rPr>
              <w:t>202</w:t>
            </w:r>
            <w:r>
              <w:rPr>
                <w:rFonts w:hint="eastAsia" w:ascii="宋体" w:hAnsi="宋体" w:cs="宋体"/>
                <w:color w:val="auto"/>
                <w:sz w:val="22"/>
                <w:szCs w:val="22"/>
                <w:shd w:val="clear" w:color="auto" w:fill="FFFFFF"/>
                <w:lang w:val="en-US" w:eastAsia="zh-CN"/>
              </w:rPr>
              <w:t>1</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日上午</w:t>
            </w:r>
            <w:r>
              <w:rPr>
                <w:rFonts w:hint="eastAsia" w:ascii="宋体" w:hAnsi="宋体" w:cs="宋体"/>
                <w:color w:val="auto"/>
                <w:sz w:val="22"/>
                <w:szCs w:val="22"/>
                <w:shd w:val="clear" w:color="auto" w:fill="FFFFFF"/>
                <w:lang w:val="en-US" w:eastAsia="zh-CN"/>
              </w:rPr>
              <w:t>9:30</w:t>
            </w:r>
            <w:r>
              <w:rPr>
                <w:rFonts w:hint="eastAsia" w:ascii="宋体" w:hAnsi="宋体" w:cs="宋体"/>
                <w:color w:val="auto"/>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开标时间</w:t>
            </w:r>
          </w:p>
          <w:p>
            <w:pPr>
              <w:jc w:val="center"/>
              <w:rPr>
                <w:rFonts w:ascii="宋体" w:hAnsi="宋体" w:cs="宋体"/>
                <w:color w:val="auto"/>
                <w:sz w:val="22"/>
              </w:rPr>
            </w:pPr>
            <w:r>
              <w:rPr>
                <w:rFonts w:hint="eastAsia" w:ascii="宋体" w:hAnsi="宋体" w:cs="宋体"/>
                <w:color w:val="auto"/>
                <w:sz w:val="22"/>
              </w:rPr>
              <w:t>开标地点</w:t>
            </w:r>
          </w:p>
        </w:tc>
        <w:tc>
          <w:tcPr>
            <w:tcW w:w="7776" w:type="dxa"/>
            <w:vAlign w:val="center"/>
          </w:tcPr>
          <w:p>
            <w:pPr>
              <w:rPr>
                <w:rFonts w:ascii="宋体" w:hAnsi="宋体" w:cs="宋体"/>
                <w:color w:val="auto"/>
                <w:kern w:val="0"/>
                <w:sz w:val="22"/>
                <w:szCs w:val="22"/>
              </w:rPr>
            </w:pPr>
            <w:r>
              <w:rPr>
                <w:rFonts w:hint="eastAsia" w:ascii="宋体" w:hAnsi="宋体" w:cs="宋体"/>
                <w:color w:val="auto"/>
                <w:kern w:val="0"/>
                <w:sz w:val="22"/>
                <w:szCs w:val="22"/>
              </w:rPr>
              <w:t>开标时间：</w:t>
            </w:r>
            <w:r>
              <w:rPr>
                <w:rFonts w:hint="eastAsia" w:ascii="宋体" w:hAnsi="宋体" w:cs="宋体"/>
                <w:color w:val="auto"/>
                <w:sz w:val="22"/>
                <w:szCs w:val="22"/>
                <w:shd w:val="clear" w:color="auto" w:fill="FFFFFF"/>
              </w:rPr>
              <w:t>202</w:t>
            </w:r>
            <w:r>
              <w:rPr>
                <w:rFonts w:hint="eastAsia" w:ascii="宋体" w:hAnsi="宋体" w:cs="宋体"/>
                <w:color w:val="auto"/>
                <w:sz w:val="22"/>
                <w:szCs w:val="22"/>
                <w:shd w:val="clear" w:color="auto" w:fill="FFFFFF"/>
                <w:lang w:val="en-US" w:eastAsia="zh-CN"/>
              </w:rPr>
              <w:t>1</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14</w:t>
            </w:r>
            <w:r>
              <w:rPr>
                <w:rFonts w:hint="eastAsia" w:ascii="宋体" w:hAnsi="宋体" w:cs="宋体"/>
                <w:color w:val="auto"/>
                <w:sz w:val="22"/>
                <w:szCs w:val="22"/>
                <w:shd w:val="clear" w:color="auto" w:fill="FFFFFF"/>
              </w:rPr>
              <w:t>日上午</w:t>
            </w:r>
            <w:r>
              <w:rPr>
                <w:rFonts w:hint="eastAsia" w:ascii="宋体" w:hAnsi="宋体" w:cs="宋体"/>
                <w:color w:val="auto"/>
                <w:sz w:val="22"/>
                <w:szCs w:val="22"/>
                <w:shd w:val="clear" w:color="auto" w:fill="FFFFFF"/>
                <w:lang w:val="en-US" w:eastAsia="zh-CN"/>
              </w:rPr>
              <w:t>9:30</w:t>
            </w:r>
            <w:r>
              <w:rPr>
                <w:rFonts w:hint="eastAsia" w:ascii="宋体" w:hAnsi="宋体" w:cs="宋体"/>
                <w:color w:val="auto"/>
                <w:sz w:val="22"/>
                <w:szCs w:val="22"/>
                <w:shd w:val="clear" w:color="auto" w:fill="FFFFFF"/>
              </w:rPr>
              <w:t>正</w:t>
            </w:r>
            <w:r>
              <w:rPr>
                <w:rFonts w:hint="eastAsia" w:ascii="宋体" w:hAnsi="宋体" w:cs="宋体"/>
                <w:color w:val="auto"/>
                <w:kern w:val="0"/>
                <w:sz w:val="22"/>
                <w:szCs w:val="22"/>
              </w:rPr>
              <w:t>(北京时间)</w:t>
            </w:r>
          </w:p>
          <w:p>
            <w:pPr>
              <w:rPr>
                <w:rFonts w:ascii="宋体" w:hAnsi="宋体" w:cs="宋体"/>
                <w:color w:val="auto"/>
                <w:sz w:val="22"/>
              </w:rPr>
            </w:pPr>
            <w:r>
              <w:rPr>
                <w:rFonts w:hint="eastAsia" w:ascii="宋体" w:hAnsi="宋体" w:cs="宋体"/>
                <w:color w:val="auto"/>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代理机构名称：浙江亿邦建设咨询有限公司</w:t>
            </w:r>
            <w:r>
              <w:rPr>
                <w:rFonts w:hint="eastAsia"/>
                <w:sz w:val="22"/>
                <w:szCs w:val="22"/>
              </w:rPr>
              <w:tab/>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 xml:space="preserve">联系电话：0577-63112589、18058365298 </w:t>
            </w:r>
          </w:p>
          <w:p>
            <w:pPr>
              <w:snapToGrid w:val="0"/>
              <w:spacing w:line="320" w:lineRule="exact"/>
              <w:rPr>
                <w:rFonts w:ascii="宋体" w:hAnsi="宋体" w:cs="宋体"/>
                <w:sz w:val="22"/>
              </w:rPr>
            </w:pPr>
            <w:r>
              <w:rPr>
                <w:rFonts w:hint="eastAsia" w:ascii="宋体" w:hAnsi="宋体" w:cs="宋体"/>
                <w:sz w:val="22"/>
              </w:rPr>
              <w:t>联系传真：0577-63112589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rFonts w:hint="eastAsia" w:eastAsia="宋体"/>
                <w:sz w:val="22"/>
                <w:szCs w:val="22"/>
                <w:lang w:eastAsia="zh-CN"/>
              </w:rPr>
            </w:pPr>
            <w:r>
              <w:rPr>
                <w:sz w:val="22"/>
                <w:szCs w:val="22"/>
              </w:rPr>
              <w:t>联系人：陈</w:t>
            </w:r>
            <w:r>
              <w:rPr>
                <w:rFonts w:hint="eastAsia"/>
                <w:sz w:val="22"/>
                <w:szCs w:val="22"/>
                <w:lang w:val="en-US" w:eastAsia="zh-CN"/>
              </w:rPr>
              <w:t>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2、中标供应商与采购人签订合同后，2日历天内将合同扫描件电子版发给浙江亿邦建设咨询有限公司：邮箱：</w:t>
            </w:r>
            <w:r>
              <w:rPr>
                <w:rStyle w:val="35"/>
                <w:rFonts w:hint="eastAsia"/>
                <w:color w:val="auto"/>
              </w:rPr>
              <w:t>214381086</w:t>
            </w:r>
            <w:r>
              <w:rPr>
                <w:rStyle w:val="35"/>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43"/>
        <w:rPr>
          <w:rFonts w:ascii="宋体" w:hAnsi="宋体" w:cs="宋体"/>
          <w:sz w:val="36"/>
        </w:rPr>
      </w:pPr>
    </w:p>
    <w:p>
      <w:pPr>
        <w:pStyle w:val="10"/>
        <w:sectPr>
          <w:pgSz w:w="11906" w:h="16838"/>
          <w:pgMar w:top="1440" w:right="1080" w:bottom="1440" w:left="1080" w:header="851" w:footer="992" w:gutter="0"/>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3"/>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pPr>
    </w:p>
    <w:p>
      <w:pPr>
        <w:pStyle w:val="15"/>
        <w:spacing w:before="120" w:after="120"/>
        <w:ind w:left="0" w:firstLine="0" w:firstLineChars="0"/>
        <w:sectPr>
          <w:pgSz w:w="11906" w:h="16838"/>
          <w:pgMar w:top="1440" w:right="1080" w:bottom="1440" w:left="1080" w:header="851" w:footer="992" w:gutter="0"/>
          <w:cols w:space="720" w:num="1"/>
          <w:docGrid w:linePitch="312" w:charSpace="0"/>
        </w:sectPr>
      </w:pPr>
    </w:p>
    <w:p>
      <w:pPr>
        <w:pStyle w:val="2"/>
        <w:spacing w:before="0" w:after="0"/>
        <w:rPr>
          <w:rFonts w:ascii="宋体" w:hAnsi="宋体" w:cs="宋体"/>
          <w:lang w:val="zh-CN"/>
        </w:rPr>
      </w:pPr>
      <w:r>
        <w:rPr>
          <w:rFonts w:hint="eastAsia" w:ascii="宋体" w:hAnsi="宋体" w:cs="宋体"/>
          <w:lang w:val="zh-CN"/>
        </w:rPr>
        <w:t>第一部分     项目简介</w:t>
      </w:r>
    </w:p>
    <w:p>
      <w:pPr>
        <w:pStyle w:val="44"/>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rPr>
        <w:t>浙江亿邦建设咨询有限公司受</w:t>
      </w:r>
      <w:r>
        <w:rPr>
          <w:rFonts w:hint="eastAsia" w:ascii="宋体" w:hAnsi="宋体" w:cs="宋体"/>
          <w:kern w:val="0"/>
          <w:sz w:val="22"/>
          <w:szCs w:val="22"/>
          <w:lang w:eastAsia="zh-CN"/>
        </w:rPr>
        <w:t>平阳县水利局</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lang w:eastAsia="zh-CN"/>
        </w:rPr>
        <w:t>2021年至2022年平阳县水利工程物业化管理采购项目</w:t>
      </w:r>
      <w:r>
        <w:rPr>
          <w:rFonts w:hint="eastAsia" w:ascii="宋体" w:hAnsi="宋体" w:cs="宋体"/>
          <w:bCs/>
          <w:sz w:val="22"/>
          <w:szCs w:val="22"/>
        </w:rPr>
        <w:t>，</w:t>
      </w:r>
      <w:r>
        <w:rPr>
          <w:rFonts w:hint="eastAsia" w:ascii="宋体" w:hAnsi="宋体" w:cs="宋体"/>
          <w:sz w:val="22"/>
          <w:szCs w:val="22"/>
        </w:rPr>
        <w:t>本次招标资金已经落实。</w:t>
      </w:r>
    </w:p>
    <w:p>
      <w:pPr>
        <w:pStyle w:val="44"/>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numPr>
          <w:ilvl w:val="0"/>
          <w:numId w:val="4"/>
        </w:numPr>
        <w:autoSpaceDE w:val="0"/>
        <w:autoSpaceDN w:val="0"/>
        <w:adjustRightInd w:val="0"/>
        <w:snapToGrid w:val="0"/>
        <w:spacing w:line="460" w:lineRule="exact"/>
        <w:ind w:firstLine="722"/>
        <w:jc w:val="center"/>
        <w:textAlignment w:val="bottom"/>
        <w:rPr>
          <w:rFonts w:ascii="宋体" w:hAnsi="宋体" w:cs="宋体"/>
          <w:b/>
          <w:sz w:val="36"/>
        </w:rPr>
      </w:pPr>
      <w:r>
        <w:rPr>
          <w:rFonts w:hint="eastAsia" w:ascii="宋体" w:hAnsi="宋体" w:cs="宋体"/>
          <w:b/>
          <w:sz w:val="36"/>
        </w:rPr>
        <w:t>招标内容及技术要求</w:t>
      </w:r>
      <w:bookmarkStart w:id="1" w:name="_Toc142902564"/>
    </w:p>
    <w:bookmarkEnd w:id="1"/>
    <w:p>
      <w:pPr>
        <w:autoSpaceDE w:val="0"/>
        <w:autoSpaceDN w:val="0"/>
        <w:adjustRightInd w:val="0"/>
        <w:snapToGrid w:val="0"/>
        <w:spacing w:line="460" w:lineRule="exact"/>
        <w:outlineLvl w:val="0"/>
        <w:rPr>
          <w:rFonts w:ascii="宋体" w:hAnsi="宋体"/>
          <w:b/>
          <w:sz w:val="22"/>
          <w:szCs w:val="22"/>
        </w:rPr>
      </w:pPr>
      <w:r>
        <w:rPr>
          <w:rFonts w:hint="eastAsia" w:ascii="宋体" w:hAnsi="宋体"/>
          <w:b/>
          <w:sz w:val="22"/>
          <w:szCs w:val="22"/>
        </w:rPr>
        <w:t>一、总则</w:t>
      </w:r>
    </w:p>
    <w:p>
      <w:pPr>
        <w:pStyle w:val="16"/>
        <w:adjustRightInd w:val="0"/>
        <w:snapToGrid w:val="0"/>
        <w:spacing w:line="460" w:lineRule="exact"/>
        <w:ind w:firstLine="482"/>
        <w:rPr>
          <w:rFonts w:hAnsi="宋体"/>
          <w:sz w:val="22"/>
          <w:szCs w:val="22"/>
        </w:rPr>
      </w:pPr>
      <w:r>
        <w:rPr>
          <w:rFonts w:hint="eastAsia" w:hAnsi="宋体"/>
          <w:sz w:val="22"/>
          <w:szCs w:val="22"/>
        </w:rPr>
        <w:t>1.1本技术规范要求提出的是最低限度的基本技术要求，并未对所有技术细节作出规定，供应商应提供符合本技术要求和国家标准、行业标准的优质产品。</w:t>
      </w:r>
    </w:p>
    <w:p>
      <w:pPr>
        <w:pStyle w:val="16"/>
        <w:adjustRightInd w:val="0"/>
        <w:snapToGrid w:val="0"/>
        <w:spacing w:line="460" w:lineRule="exact"/>
        <w:ind w:firstLine="482"/>
        <w:rPr>
          <w:rFonts w:hAnsi="宋体"/>
          <w:sz w:val="22"/>
          <w:szCs w:val="22"/>
        </w:rPr>
      </w:pPr>
      <w:r>
        <w:rPr>
          <w:rFonts w:hint="eastAsia" w:hAnsi="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widowControl/>
        <w:snapToGrid w:val="0"/>
        <w:spacing w:line="460" w:lineRule="exact"/>
        <w:jc w:val="left"/>
        <w:rPr>
          <w:rFonts w:ascii="宋体" w:hAnsi="宋体"/>
          <w:b/>
          <w:color w:val="000000"/>
          <w:sz w:val="22"/>
        </w:rPr>
      </w:pPr>
      <w:r>
        <w:rPr>
          <w:rFonts w:ascii="宋体" w:hAnsi="宋体"/>
          <w:b/>
          <w:color w:val="000000"/>
          <w:sz w:val="22"/>
        </w:rPr>
        <w:t>一、采购总说明</w:t>
      </w:r>
    </w:p>
    <w:p>
      <w:pPr>
        <w:pStyle w:val="16"/>
        <w:adjustRightInd w:val="0"/>
        <w:snapToGrid w:val="0"/>
        <w:spacing w:line="460" w:lineRule="exact"/>
        <w:ind w:firstLine="482"/>
        <w:rPr>
          <w:rFonts w:hint="eastAsia" w:hAnsi="宋体"/>
          <w:color w:val="000000"/>
          <w:sz w:val="22"/>
          <w:szCs w:val="22"/>
        </w:rPr>
      </w:pPr>
      <w:r>
        <w:rPr>
          <w:rFonts w:hint="eastAsia" w:hAnsi="宋体"/>
          <w:color w:val="000000"/>
          <w:sz w:val="22"/>
          <w:szCs w:val="22"/>
        </w:rPr>
        <w:t>1.1本技术规范要求提出的是最低限度的基本技术要求，并未对所有技术细节作出规定，供应商应提供符合本技术要求和国家标准、行业标准的优质产品。</w:t>
      </w:r>
    </w:p>
    <w:p>
      <w:pPr>
        <w:pStyle w:val="16"/>
        <w:adjustRightInd w:val="0"/>
        <w:snapToGrid w:val="0"/>
        <w:spacing w:line="460" w:lineRule="exact"/>
        <w:ind w:firstLine="482"/>
        <w:rPr>
          <w:rFonts w:hint="eastAsia" w:hAnsi="宋体"/>
          <w:color w:val="000000"/>
          <w:sz w:val="22"/>
          <w:szCs w:val="22"/>
        </w:rPr>
      </w:pPr>
      <w:r>
        <w:rPr>
          <w:rFonts w:hint="eastAsia" w:hAnsi="宋体"/>
          <w:color w:val="000000"/>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16"/>
        <w:adjustRightInd w:val="0"/>
        <w:snapToGrid w:val="0"/>
        <w:spacing w:line="460" w:lineRule="exact"/>
        <w:ind w:firstLine="482"/>
        <w:rPr>
          <w:rFonts w:hint="eastAsia" w:hAnsi="宋体"/>
          <w:color w:val="000000"/>
          <w:sz w:val="22"/>
          <w:szCs w:val="22"/>
        </w:rPr>
      </w:pPr>
      <w:r>
        <w:rPr>
          <w:rFonts w:hint="eastAsia" w:hAnsi="宋体"/>
          <w:color w:val="000000"/>
          <w:sz w:val="22"/>
          <w:szCs w:val="22"/>
        </w:rPr>
        <w:t>2、技术要求及标准的执行</w:t>
      </w:r>
    </w:p>
    <w:p>
      <w:pPr>
        <w:pStyle w:val="16"/>
        <w:adjustRightInd w:val="0"/>
        <w:snapToGrid w:val="0"/>
        <w:spacing w:line="460" w:lineRule="exact"/>
        <w:ind w:firstLine="482"/>
        <w:rPr>
          <w:rFonts w:hint="eastAsia" w:hAnsi="宋体"/>
          <w:color w:val="000000"/>
          <w:sz w:val="22"/>
          <w:szCs w:val="22"/>
        </w:rPr>
      </w:pPr>
      <w:r>
        <w:rPr>
          <w:rFonts w:hint="eastAsia" w:hAnsi="宋体"/>
          <w:color w:val="000000"/>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hAnsi="宋体"/>
          <w:color w:val="000000"/>
          <w:sz w:val="22"/>
          <w:szCs w:val="22"/>
        </w:rPr>
      </w:pPr>
      <w:r>
        <w:rPr>
          <w:rFonts w:hint="eastAsia" w:hAnsi="宋体"/>
          <w:color w:val="000000"/>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autoSpaceDE w:val="0"/>
        <w:autoSpaceDN w:val="0"/>
        <w:adjustRightInd w:val="0"/>
        <w:snapToGrid w:val="0"/>
        <w:spacing w:line="460" w:lineRule="exact"/>
        <w:rPr>
          <w:rFonts w:hint="eastAsia" w:ascii="宋体" w:hAnsi="宋体"/>
          <w:b/>
          <w:color w:val="000000"/>
          <w:sz w:val="24"/>
        </w:rPr>
      </w:pPr>
    </w:p>
    <w:p>
      <w:pPr>
        <w:autoSpaceDE w:val="0"/>
        <w:autoSpaceDN w:val="0"/>
        <w:adjustRightInd w:val="0"/>
        <w:snapToGrid w:val="0"/>
        <w:spacing w:line="460" w:lineRule="exact"/>
        <w:rPr>
          <w:rFonts w:hint="eastAsia" w:ascii="宋体" w:hAnsi="宋体"/>
          <w:b/>
          <w:color w:val="000000"/>
          <w:sz w:val="24"/>
        </w:rPr>
      </w:pPr>
    </w:p>
    <w:p>
      <w:pPr>
        <w:autoSpaceDE w:val="0"/>
        <w:autoSpaceDN w:val="0"/>
        <w:adjustRightInd w:val="0"/>
        <w:snapToGrid w:val="0"/>
        <w:spacing w:line="460" w:lineRule="exact"/>
        <w:rPr>
          <w:rFonts w:hint="eastAsia" w:ascii="宋体" w:hAnsi="宋体"/>
          <w:b/>
          <w:color w:val="000000"/>
          <w:sz w:val="24"/>
        </w:rPr>
      </w:pPr>
      <w:r>
        <w:rPr>
          <w:rFonts w:hint="eastAsia" w:ascii="宋体" w:hAnsi="宋体"/>
          <w:b/>
          <w:color w:val="000000"/>
          <w:sz w:val="24"/>
        </w:rPr>
        <w:t>二、</w:t>
      </w:r>
      <w:r>
        <w:rPr>
          <w:rFonts w:hint="eastAsia" w:ascii="宋体"/>
          <w:b/>
          <w:color w:val="000000"/>
          <w:sz w:val="22"/>
          <w:szCs w:val="22"/>
        </w:rPr>
        <w:t>采购内容及要求</w:t>
      </w:r>
    </w:p>
    <w:p>
      <w:pPr>
        <w:widowControl/>
        <w:tabs>
          <w:tab w:val="left" w:pos="540"/>
        </w:tabs>
        <w:autoSpaceDE w:val="0"/>
        <w:autoSpaceDN w:val="0"/>
        <w:adjustRightInd w:val="0"/>
        <w:snapToGrid w:val="0"/>
        <w:spacing w:line="400" w:lineRule="exact"/>
        <w:ind w:firstLine="442" w:firstLineChars="200"/>
        <w:textAlignment w:val="bottom"/>
        <w:rPr>
          <w:rFonts w:hint="eastAsia"/>
          <w:b/>
          <w:bCs/>
          <w:sz w:val="22"/>
          <w:szCs w:val="22"/>
        </w:rPr>
      </w:pPr>
      <w:r>
        <w:rPr>
          <w:rFonts w:hint="eastAsia"/>
          <w:b/>
          <w:bCs/>
          <w:sz w:val="22"/>
          <w:szCs w:val="22"/>
        </w:rPr>
        <w:t>本工程采购内容为平阳县11.314km海塘（镇区段3.684km、垂杨段2.11km、下埠段2.32km、宋埠段3.2km），2座中型水闸（梅浦水闸、墨城水闸），6座小型水库（草池水库、仙岩水库、</w:t>
      </w:r>
      <w:r>
        <w:rPr>
          <w:rFonts w:hint="eastAsia"/>
          <w:b/>
          <w:bCs/>
          <w:sz w:val="22"/>
          <w:szCs w:val="22"/>
          <w:lang w:eastAsia="zh-CN"/>
        </w:rPr>
        <w:t>杨文广坦</w:t>
      </w:r>
      <w:r>
        <w:rPr>
          <w:rFonts w:hint="eastAsia"/>
          <w:b/>
          <w:bCs/>
          <w:sz w:val="22"/>
          <w:szCs w:val="22"/>
        </w:rPr>
        <w:t>水库、罗垟水库、岩庵水库、夹坑水库），1座山塘（梅里山塘）物业化管理采购。</w:t>
      </w:r>
    </w:p>
    <w:p>
      <w:pPr>
        <w:widowControl/>
        <w:tabs>
          <w:tab w:val="left" w:pos="540"/>
        </w:tabs>
        <w:autoSpaceDE w:val="0"/>
        <w:autoSpaceDN w:val="0"/>
        <w:adjustRightInd w:val="0"/>
        <w:snapToGrid w:val="0"/>
        <w:spacing w:line="400" w:lineRule="exact"/>
        <w:textAlignment w:val="bottom"/>
        <w:rPr>
          <w:rFonts w:hint="eastAsia"/>
          <w:b/>
          <w:bCs/>
          <w:sz w:val="22"/>
          <w:szCs w:val="22"/>
        </w:rPr>
      </w:pPr>
      <w:r>
        <w:rPr>
          <w:rFonts w:hint="eastAsia"/>
          <w:b/>
          <w:bCs/>
          <w:sz w:val="22"/>
          <w:szCs w:val="22"/>
        </w:rPr>
        <w:t>二、技术要求</w:t>
      </w:r>
    </w:p>
    <w:p>
      <w:pPr>
        <w:widowControl/>
        <w:tabs>
          <w:tab w:val="left" w:pos="540"/>
        </w:tabs>
        <w:autoSpaceDE w:val="0"/>
        <w:autoSpaceDN w:val="0"/>
        <w:adjustRightInd w:val="0"/>
        <w:snapToGrid w:val="0"/>
        <w:spacing w:line="400" w:lineRule="exact"/>
        <w:ind w:firstLine="442" w:firstLineChars="200"/>
        <w:textAlignment w:val="bottom"/>
        <w:rPr>
          <w:rFonts w:hint="eastAsia"/>
          <w:b/>
          <w:bCs/>
          <w:sz w:val="22"/>
          <w:szCs w:val="22"/>
        </w:rPr>
      </w:pPr>
      <w:r>
        <w:rPr>
          <w:rFonts w:hint="eastAsia"/>
          <w:b/>
          <w:bCs/>
          <w:sz w:val="22"/>
          <w:szCs w:val="22"/>
        </w:rPr>
        <w:t>1.运行管理</w:t>
      </w:r>
    </w:p>
    <w:p>
      <w:pPr>
        <w:widowControl/>
        <w:tabs>
          <w:tab w:val="left" w:pos="540"/>
        </w:tabs>
        <w:autoSpaceDE w:val="0"/>
        <w:autoSpaceDN w:val="0"/>
        <w:adjustRightInd w:val="0"/>
        <w:snapToGrid w:val="0"/>
        <w:spacing w:line="400" w:lineRule="exact"/>
        <w:ind w:firstLine="440" w:firstLineChars="200"/>
        <w:textAlignment w:val="bottom"/>
        <w:rPr>
          <w:rFonts w:hint="eastAsia"/>
          <w:sz w:val="22"/>
          <w:szCs w:val="22"/>
        </w:rPr>
      </w:pPr>
      <w:r>
        <w:rPr>
          <w:rFonts w:hint="eastAsia"/>
          <w:sz w:val="22"/>
          <w:szCs w:val="22"/>
        </w:rPr>
        <w:t>为保障水利工程在设计标准内安全运行，充分发挥工程功能和效益，对已建成运行的水利工程实施检查观测、维修养护、调度运行等一系列的管理活动。</w:t>
      </w:r>
    </w:p>
    <w:p>
      <w:pPr>
        <w:widowControl/>
        <w:tabs>
          <w:tab w:val="left" w:pos="540"/>
        </w:tabs>
        <w:autoSpaceDE w:val="0"/>
        <w:autoSpaceDN w:val="0"/>
        <w:adjustRightInd w:val="0"/>
        <w:snapToGrid w:val="0"/>
        <w:spacing w:line="400" w:lineRule="exact"/>
        <w:ind w:firstLine="442" w:firstLineChars="200"/>
        <w:textAlignment w:val="bottom"/>
        <w:rPr>
          <w:rFonts w:hint="eastAsia"/>
          <w:b/>
          <w:sz w:val="22"/>
          <w:szCs w:val="22"/>
        </w:rPr>
      </w:pPr>
      <w:r>
        <w:rPr>
          <w:rFonts w:hint="eastAsia"/>
          <w:b/>
          <w:sz w:val="22"/>
          <w:szCs w:val="22"/>
        </w:rPr>
        <w:t>2.检查观测</w:t>
      </w:r>
    </w:p>
    <w:p>
      <w:pPr>
        <w:widowControl/>
        <w:tabs>
          <w:tab w:val="left" w:pos="540"/>
        </w:tabs>
        <w:autoSpaceDE w:val="0"/>
        <w:autoSpaceDN w:val="0"/>
        <w:adjustRightInd w:val="0"/>
        <w:snapToGrid w:val="0"/>
        <w:spacing w:line="400" w:lineRule="exact"/>
        <w:ind w:firstLine="440" w:firstLineChars="200"/>
        <w:textAlignment w:val="bottom"/>
        <w:rPr>
          <w:rFonts w:hint="eastAsia"/>
          <w:sz w:val="22"/>
          <w:szCs w:val="22"/>
        </w:rPr>
      </w:pPr>
      <w:r>
        <w:rPr>
          <w:rFonts w:hint="eastAsia"/>
          <w:sz w:val="22"/>
          <w:szCs w:val="22"/>
        </w:rPr>
        <w:t>指在工程外内部通过目视、耳听、手摸或使用工具、仪器设备进行检查和观测。对检查观测的数据进行整编、分析，以具体物理量的形式反映工程运行的实际情况。</w:t>
      </w:r>
    </w:p>
    <w:p>
      <w:pPr>
        <w:widowControl/>
        <w:tabs>
          <w:tab w:val="left" w:pos="540"/>
        </w:tabs>
        <w:autoSpaceDE w:val="0"/>
        <w:autoSpaceDN w:val="0"/>
        <w:adjustRightInd w:val="0"/>
        <w:snapToGrid w:val="0"/>
        <w:spacing w:line="400" w:lineRule="exact"/>
        <w:ind w:firstLine="442" w:firstLineChars="200"/>
        <w:textAlignment w:val="bottom"/>
        <w:rPr>
          <w:rFonts w:hint="eastAsia"/>
          <w:b/>
          <w:sz w:val="22"/>
          <w:szCs w:val="22"/>
        </w:rPr>
      </w:pPr>
      <w:r>
        <w:rPr>
          <w:rFonts w:hint="eastAsia"/>
          <w:b/>
          <w:sz w:val="22"/>
          <w:szCs w:val="22"/>
        </w:rPr>
        <w:t>3.巡查要求</w:t>
      </w:r>
    </w:p>
    <w:p>
      <w:pPr>
        <w:widowControl/>
        <w:tabs>
          <w:tab w:val="left" w:pos="540"/>
        </w:tabs>
        <w:autoSpaceDE w:val="0"/>
        <w:autoSpaceDN w:val="0"/>
        <w:adjustRightInd w:val="0"/>
        <w:snapToGrid w:val="0"/>
        <w:spacing w:line="400" w:lineRule="exact"/>
        <w:ind w:firstLine="440" w:firstLineChars="200"/>
        <w:textAlignment w:val="bottom"/>
        <w:rPr>
          <w:rFonts w:hint="eastAsia"/>
          <w:b/>
          <w:sz w:val="24"/>
          <w:szCs w:val="22"/>
        </w:rPr>
      </w:pPr>
      <w:r>
        <w:rPr>
          <w:rFonts w:hint="eastAsia"/>
          <w:sz w:val="22"/>
        </w:rPr>
        <w:t>为确保承包工程的安全运行，管理员有必要巡查水利工程管理范围及保护范围，确认无影响水利工程安全运行的异常情况存在。</w:t>
      </w:r>
    </w:p>
    <w:p>
      <w:pPr>
        <w:widowControl/>
        <w:tabs>
          <w:tab w:val="left" w:pos="540"/>
        </w:tabs>
        <w:autoSpaceDE w:val="0"/>
        <w:autoSpaceDN w:val="0"/>
        <w:adjustRightInd w:val="0"/>
        <w:snapToGrid w:val="0"/>
        <w:spacing w:line="400" w:lineRule="exact"/>
        <w:ind w:firstLine="442" w:firstLineChars="200"/>
        <w:textAlignment w:val="bottom"/>
        <w:rPr>
          <w:rFonts w:hint="eastAsia"/>
          <w:b/>
          <w:sz w:val="22"/>
          <w:szCs w:val="22"/>
        </w:rPr>
      </w:pPr>
      <w:r>
        <w:rPr>
          <w:rFonts w:hint="eastAsia"/>
          <w:b/>
          <w:sz w:val="22"/>
          <w:szCs w:val="22"/>
        </w:rPr>
        <w:t>4.维修养护</w:t>
      </w:r>
    </w:p>
    <w:p>
      <w:pPr>
        <w:spacing w:line="400" w:lineRule="exact"/>
        <w:ind w:firstLine="440" w:firstLineChars="200"/>
        <w:rPr>
          <w:rFonts w:hint="eastAsia"/>
          <w:color w:val="auto"/>
          <w:sz w:val="24"/>
          <w:szCs w:val="22"/>
        </w:rPr>
      </w:pPr>
      <w:r>
        <w:rPr>
          <w:rFonts w:hint="eastAsia"/>
          <w:color w:val="auto"/>
          <w:sz w:val="22"/>
        </w:rPr>
        <w:t>对工程</w:t>
      </w:r>
      <w:r>
        <w:rPr>
          <w:rFonts w:hint="eastAsia"/>
          <w:color w:val="auto"/>
          <w:sz w:val="22"/>
          <w:lang w:val="en-US" w:eastAsia="zh-CN"/>
        </w:rPr>
        <w:t>及其管理</w:t>
      </w:r>
      <w:r>
        <w:rPr>
          <w:rFonts w:hint="eastAsia"/>
          <w:color w:val="auto"/>
          <w:sz w:val="22"/>
        </w:rPr>
        <w:t>范围内进行日常维修养护和保洁，维持、恢复或局部改善原工程面貌，保持工程的设计功能。主要工作为：开展常态化的保洁清扫、除草、整理；按要求对工程进行局部修复；警示标识、标牌、标语的修复；绿化带的养护、整理等。</w:t>
      </w:r>
    </w:p>
    <w:p>
      <w:pPr>
        <w:spacing w:line="400" w:lineRule="exact"/>
        <w:ind w:firstLine="442" w:firstLineChars="200"/>
        <w:rPr>
          <w:rFonts w:hint="eastAsia"/>
          <w:b/>
          <w:sz w:val="22"/>
          <w:szCs w:val="22"/>
        </w:rPr>
      </w:pPr>
      <w:r>
        <w:rPr>
          <w:rFonts w:hint="eastAsia"/>
          <w:b/>
          <w:sz w:val="22"/>
          <w:szCs w:val="22"/>
        </w:rPr>
        <w:t>5.具体工作要求</w:t>
      </w:r>
    </w:p>
    <w:p>
      <w:pPr>
        <w:spacing w:line="400" w:lineRule="exact"/>
        <w:ind w:firstLine="440" w:firstLineChars="200"/>
        <w:rPr>
          <w:rFonts w:hint="eastAsia"/>
          <w:color w:val="auto"/>
          <w:sz w:val="22"/>
          <w:szCs w:val="22"/>
        </w:rPr>
      </w:pPr>
      <w:r>
        <w:rPr>
          <w:rFonts w:hint="eastAsia"/>
          <w:sz w:val="22"/>
          <w:szCs w:val="22"/>
        </w:rPr>
        <w:t>（1）水库、水闸、海塘、山塘管理中巡查、观测、维修养护等各项工作要求分别详见“工作要求与技术标准”</w:t>
      </w:r>
      <w:r>
        <w:rPr>
          <w:rFonts w:hint="eastAsia"/>
          <w:color w:val="auto"/>
          <w:sz w:val="22"/>
          <w:szCs w:val="22"/>
        </w:rPr>
        <w:t>、《山塘运行管理规程》、《大中型水闸运行管理规程》、《小型水库管理规程》、《海塘工程管理规程》。</w:t>
      </w:r>
    </w:p>
    <w:p>
      <w:pPr>
        <w:spacing w:line="400" w:lineRule="exact"/>
        <w:ind w:firstLine="440" w:firstLineChars="200"/>
        <w:rPr>
          <w:rFonts w:hint="eastAsia"/>
          <w:sz w:val="22"/>
          <w:szCs w:val="22"/>
        </w:rPr>
      </w:pPr>
      <w:r>
        <w:rPr>
          <w:rFonts w:hint="eastAsia"/>
          <w:sz w:val="22"/>
          <w:szCs w:val="22"/>
        </w:rPr>
        <w:t>（2）维修养护工作中承包人应按合同约定对所承包的工程及附属设施进行经常性保养和维修，及时处理局部、表面、轻微的缺陷和损坏，保持工程的完整和正常运行。受损部位维修，其标准不低于原结构设计标准，并使新老结构良好结合。维修发生的工程量按合同的约定，及时报发包人核准验收。维修养护要做好记录，并编制报表及时归档备查。</w:t>
      </w:r>
    </w:p>
    <w:p>
      <w:pPr>
        <w:spacing w:line="400" w:lineRule="exact"/>
        <w:ind w:firstLine="440" w:firstLineChars="200"/>
        <w:rPr>
          <w:rFonts w:hint="eastAsia"/>
          <w:sz w:val="22"/>
          <w:szCs w:val="22"/>
        </w:rPr>
      </w:pPr>
      <w:r>
        <w:rPr>
          <w:rFonts w:hint="eastAsia"/>
          <w:sz w:val="22"/>
          <w:szCs w:val="22"/>
        </w:rPr>
        <w:t>（3）遇特殊情况（台风、洪涝、暴风雨等），中标供应商应无偿协助、配合业主做好防洪防灾抢险工作（主要工作包括工程现场管理、水闸、水库、山塘及海塘应急抢险加固、排水等）；</w:t>
      </w:r>
    </w:p>
    <w:p>
      <w:pPr>
        <w:spacing w:line="400" w:lineRule="exact"/>
        <w:ind w:firstLine="440" w:firstLineChars="200"/>
        <w:rPr>
          <w:rFonts w:hint="eastAsia"/>
          <w:sz w:val="22"/>
          <w:szCs w:val="22"/>
        </w:rPr>
      </w:pPr>
      <w:r>
        <w:rPr>
          <w:rFonts w:hint="eastAsia"/>
          <w:sz w:val="22"/>
          <w:szCs w:val="22"/>
        </w:rPr>
        <w:t>（4）保洁要求，承包人应对水闸、水库、山塘及海塘的</w:t>
      </w:r>
      <w:r>
        <w:rPr>
          <w:rFonts w:hint="eastAsia"/>
          <w:sz w:val="22"/>
          <w:szCs w:val="22"/>
          <w:lang w:val="en-US" w:eastAsia="zh-CN"/>
        </w:rPr>
        <w:t>管理范围内的</w:t>
      </w:r>
      <w:r>
        <w:rPr>
          <w:rFonts w:hint="eastAsia"/>
          <w:sz w:val="22"/>
          <w:szCs w:val="22"/>
        </w:rPr>
        <w:t>表层、周边环境、绿化区等进行除草、清扫、扶育等工作，做好巡回保洁，应时刻确保工程的整洁、完好。平常应加强临时垃圾处理，要保证工程表面无堆积物、垃圾、杂草等，工程附属设施、标志标牌、宣传标语等要保持完好，绿化区树木、花卉要成活率达85%以上（人力不可抗拒因素除外）。</w:t>
      </w:r>
    </w:p>
    <w:p>
      <w:pPr>
        <w:spacing w:line="400" w:lineRule="exact"/>
        <w:ind w:firstLine="440" w:firstLineChars="200"/>
        <w:rPr>
          <w:rFonts w:hint="eastAsia"/>
          <w:sz w:val="22"/>
          <w:szCs w:val="22"/>
        </w:rPr>
      </w:pPr>
      <w:r>
        <w:rPr>
          <w:rFonts w:hint="eastAsia"/>
          <w:sz w:val="22"/>
          <w:szCs w:val="22"/>
        </w:rPr>
        <w:t>做好苗树修剪，及时清除灌（乔）木场地内杂草及垃圾，保持清洁；及时治虫</w:t>
      </w:r>
      <w:r>
        <w:rPr>
          <w:rFonts w:hint="eastAsia"/>
          <w:sz w:val="22"/>
          <w:szCs w:val="22"/>
          <w:lang w:eastAsia="zh-CN"/>
        </w:rPr>
        <w:t>（</w:t>
      </w:r>
      <w:r>
        <w:rPr>
          <w:rFonts w:hint="eastAsia"/>
          <w:sz w:val="22"/>
          <w:szCs w:val="22"/>
          <w:lang w:val="en-US" w:eastAsia="zh-CN"/>
        </w:rPr>
        <w:t>特别是白蚁</w:t>
      </w:r>
      <w:r>
        <w:rPr>
          <w:rFonts w:hint="eastAsia"/>
          <w:sz w:val="22"/>
          <w:szCs w:val="22"/>
          <w:lang w:eastAsia="zh-CN"/>
        </w:rPr>
        <w:t>）</w:t>
      </w:r>
      <w:r>
        <w:rPr>
          <w:rFonts w:hint="eastAsia"/>
          <w:sz w:val="22"/>
          <w:szCs w:val="22"/>
        </w:rPr>
        <w:t>、喷药剂、浓度用量合理，冬季做好苗木保暖工作，严格按操作规程进行（药剂、保暖材料等甲方不再单独提供）；</w:t>
      </w:r>
    </w:p>
    <w:p>
      <w:pPr>
        <w:spacing w:line="400" w:lineRule="exact"/>
        <w:ind w:firstLine="440" w:firstLineChars="200"/>
        <w:rPr>
          <w:rFonts w:hint="eastAsia"/>
          <w:kern w:val="0"/>
          <w:sz w:val="22"/>
          <w:szCs w:val="22"/>
        </w:rPr>
      </w:pPr>
      <w:r>
        <w:rPr>
          <w:rFonts w:hint="eastAsia"/>
          <w:kern w:val="0"/>
          <w:sz w:val="22"/>
          <w:szCs w:val="22"/>
        </w:rPr>
        <w:t>如遇省市创建考核、重大活动、节假日和突发公共事件等，作业单位应无条件服从业主单位和监管部门的统一安排和调度，配合做好</w:t>
      </w:r>
      <w:r>
        <w:rPr>
          <w:rFonts w:hint="eastAsia"/>
          <w:sz w:val="22"/>
          <w:szCs w:val="22"/>
        </w:rPr>
        <w:t>水闸、水库、山塘及海塘</w:t>
      </w:r>
      <w:r>
        <w:rPr>
          <w:rFonts w:hint="eastAsia"/>
          <w:kern w:val="0"/>
          <w:sz w:val="22"/>
          <w:szCs w:val="22"/>
        </w:rPr>
        <w:t>突击性保洁工作。</w:t>
      </w:r>
    </w:p>
    <w:p>
      <w:pPr>
        <w:spacing w:line="400" w:lineRule="exact"/>
        <w:ind w:firstLine="442" w:firstLineChars="200"/>
        <w:rPr>
          <w:rFonts w:hint="eastAsia"/>
          <w:b/>
          <w:bCs/>
          <w:kern w:val="0"/>
          <w:sz w:val="22"/>
          <w:szCs w:val="22"/>
        </w:rPr>
      </w:pPr>
      <w:r>
        <w:rPr>
          <w:rFonts w:hint="eastAsia"/>
          <w:b/>
          <w:bCs/>
          <w:kern w:val="0"/>
          <w:sz w:val="22"/>
          <w:szCs w:val="22"/>
        </w:rPr>
        <w:t>保洁处罚标准：①工程区域内发现周边环境、绿化区等未进行除草、清扫、扶育等工作，发现一次扣</w:t>
      </w:r>
      <w:r>
        <w:rPr>
          <w:rFonts w:hint="eastAsia"/>
          <w:b/>
          <w:bCs/>
          <w:kern w:val="0"/>
          <w:sz w:val="22"/>
          <w:szCs w:val="22"/>
          <w:lang w:val="en-US" w:eastAsia="zh-CN"/>
        </w:rPr>
        <w:t>2000</w:t>
      </w:r>
      <w:r>
        <w:rPr>
          <w:rFonts w:hint="eastAsia"/>
          <w:b/>
          <w:bCs/>
          <w:kern w:val="0"/>
          <w:sz w:val="22"/>
          <w:szCs w:val="22"/>
        </w:rPr>
        <w:t>元；②工程区域内发现未做好巡回保洁，工程表面发现有堆积物、垃圾、杂草等，发现一次扣</w:t>
      </w:r>
      <w:r>
        <w:rPr>
          <w:rFonts w:hint="eastAsia"/>
          <w:b/>
          <w:bCs/>
          <w:kern w:val="0"/>
          <w:sz w:val="22"/>
          <w:szCs w:val="22"/>
          <w:lang w:val="en-US" w:eastAsia="zh-CN"/>
        </w:rPr>
        <w:t>2000</w:t>
      </w:r>
      <w:r>
        <w:rPr>
          <w:rFonts w:hint="eastAsia"/>
          <w:b/>
          <w:bCs/>
          <w:kern w:val="0"/>
          <w:sz w:val="22"/>
          <w:szCs w:val="22"/>
        </w:rPr>
        <w:t>元；③工程区域内附属设施、标志标牌、宣传标语等没有保持完好，发现一次扣</w:t>
      </w:r>
      <w:r>
        <w:rPr>
          <w:rFonts w:hint="eastAsia"/>
          <w:b/>
          <w:bCs/>
          <w:kern w:val="0"/>
          <w:sz w:val="22"/>
          <w:szCs w:val="22"/>
          <w:lang w:val="en-US" w:eastAsia="zh-CN"/>
        </w:rPr>
        <w:t>2000</w:t>
      </w:r>
      <w:r>
        <w:rPr>
          <w:rFonts w:hint="eastAsia"/>
          <w:b/>
          <w:bCs/>
          <w:kern w:val="0"/>
          <w:sz w:val="22"/>
          <w:szCs w:val="22"/>
        </w:rPr>
        <w:t>元；④未做好苗树修剪，未及时清除灌（乔）木场地内杂草及垃圾、未及时治虫、喷药剂、未做好苗木保暖工作等情况，发现一次扣</w:t>
      </w:r>
      <w:r>
        <w:rPr>
          <w:rFonts w:hint="eastAsia"/>
          <w:b/>
          <w:bCs/>
          <w:kern w:val="0"/>
          <w:sz w:val="22"/>
          <w:szCs w:val="22"/>
          <w:lang w:val="en-US" w:eastAsia="zh-CN"/>
        </w:rPr>
        <w:t>2000</w:t>
      </w:r>
      <w:r>
        <w:rPr>
          <w:rFonts w:hint="eastAsia"/>
          <w:b/>
          <w:bCs/>
          <w:kern w:val="0"/>
          <w:sz w:val="22"/>
          <w:szCs w:val="22"/>
        </w:rPr>
        <w:t>元；如出现以上四项情况，罚款额直接在进度款中扣除。</w:t>
      </w:r>
    </w:p>
    <w:p>
      <w:pPr>
        <w:pStyle w:val="16"/>
        <w:adjustRightInd w:val="0"/>
        <w:snapToGrid w:val="0"/>
        <w:spacing w:line="440" w:lineRule="exact"/>
        <w:ind w:firstLine="440" w:firstLineChars="200"/>
        <w:rPr>
          <w:rFonts w:hint="eastAsia" w:hAnsi="宋体"/>
          <w:kern w:val="0"/>
          <w:sz w:val="22"/>
          <w:szCs w:val="22"/>
        </w:rPr>
      </w:pPr>
      <w:r>
        <w:rPr>
          <w:rFonts w:hint="eastAsia" w:hAnsi="宋体"/>
          <w:kern w:val="0"/>
          <w:sz w:val="22"/>
          <w:szCs w:val="22"/>
        </w:rPr>
        <w:t>（5）水准基点高程应</w:t>
      </w:r>
      <w:r>
        <w:rPr>
          <w:rFonts w:hint="eastAsia" w:hAnsi="宋体"/>
          <w:kern w:val="0"/>
          <w:sz w:val="22"/>
          <w:szCs w:val="22"/>
          <w:lang w:val="en-US" w:eastAsia="zh-CN"/>
        </w:rPr>
        <w:t>每年至少</w:t>
      </w:r>
      <w:r>
        <w:rPr>
          <w:rFonts w:hint="eastAsia" w:hAnsi="宋体"/>
          <w:kern w:val="0"/>
          <w:sz w:val="22"/>
          <w:szCs w:val="22"/>
        </w:rPr>
        <w:t>校测</w:t>
      </w:r>
      <w:r>
        <w:rPr>
          <w:rFonts w:hint="eastAsia" w:hAnsi="宋体"/>
          <w:kern w:val="0"/>
          <w:sz w:val="22"/>
          <w:szCs w:val="22"/>
          <w:lang w:val="en-US" w:eastAsia="zh-CN"/>
        </w:rPr>
        <w:t>二</w:t>
      </w:r>
      <w:r>
        <w:rPr>
          <w:rFonts w:hint="eastAsia" w:hAnsi="宋体"/>
          <w:kern w:val="0"/>
          <w:sz w:val="22"/>
          <w:szCs w:val="22"/>
        </w:rPr>
        <w:t>次，起测基点高程应每半年校测</w:t>
      </w:r>
      <w:r>
        <w:rPr>
          <w:rFonts w:hint="eastAsia" w:hAnsi="宋体"/>
          <w:color w:val="auto"/>
          <w:kern w:val="0"/>
          <w:sz w:val="22"/>
          <w:szCs w:val="22"/>
        </w:rPr>
        <w:t>一次。原则上沉降观测次数</w:t>
      </w:r>
      <w:r>
        <w:rPr>
          <w:rFonts w:hint="eastAsia" w:hAnsi="宋体"/>
          <w:color w:val="auto"/>
          <w:kern w:val="0"/>
          <w:sz w:val="22"/>
          <w:szCs w:val="22"/>
          <w:lang w:val="en-US" w:eastAsia="zh-CN"/>
        </w:rPr>
        <w:t>一年不少于2次</w:t>
      </w:r>
      <w:r>
        <w:rPr>
          <w:rFonts w:hint="eastAsia" w:hAnsi="宋体"/>
          <w:color w:val="auto"/>
          <w:kern w:val="0"/>
          <w:sz w:val="22"/>
          <w:szCs w:val="22"/>
        </w:rPr>
        <w:t>，</w:t>
      </w:r>
      <w:r>
        <w:rPr>
          <w:rFonts w:hint="eastAsia" w:hAnsi="宋体"/>
          <w:color w:val="auto"/>
          <w:kern w:val="0"/>
          <w:sz w:val="22"/>
          <w:szCs w:val="22"/>
          <w:lang w:val="en-US" w:eastAsia="zh-CN"/>
        </w:rPr>
        <w:t>汛前、讯后各一次。</w:t>
      </w:r>
      <w:r>
        <w:rPr>
          <w:rFonts w:hint="eastAsia" w:hAnsi="宋体"/>
          <w:color w:val="auto"/>
          <w:kern w:val="0"/>
          <w:sz w:val="22"/>
          <w:szCs w:val="22"/>
        </w:rPr>
        <w:t>如台风、暴雨等遇特殊情况，业主有权</w:t>
      </w:r>
      <w:r>
        <w:rPr>
          <w:rFonts w:hint="eastAsia" w:hAnsi="宋体"/>
          <w:kern w:val="0"/>
          <w:sz w:val="22"/>
          <w:szCs w:val="22"/>
        </w:rPr>
        <w:t>增加观测次数，供应商应无条件服从，并且增加次数的费用已包含本次投标中。</w:t>
      </w:r>
    </w:p>
    <w:p>
      <w:pPr>
        <w:spacing w:line="400" w:lineRule="exact"/>
        <w:ind w:firstLine="440" w:firstLineChars="200"/>
        <w:rPr>
          <w:rFonts w:hint="eastAsia"/>
          <w:sz w:val="22"/>
          <w:szCs w:val="22"/>
        </w:rPr>
      </w:pPr>
      <w:r>
        <w:rPr>
          <w:rFonts w:hint="eastAsia"/>
          <w:sz w:val="22"/>
          <w:szCs w:val="22"/>
        </w:rPr>
        <w:t>（6）办公地点及人员到位率</w:t>
      </w:r>
    </w:p>
    <w:p>
      <w:pPr>
        <w:tabs>
          <w:tab w:val="left" w:pos="482"/>
          <w:tab w:val="left" w:pos="2183"/>
          <w:tab w:val="left" w:pos="3884"/>
          <w:tab w:val="left" w:pos="5585"/>
        </w:tabs>
        <w:snapToGrid w:val="0"/>
        <w:spacing w:line="460" w:lineRule="exact"/>
        <w:ind w:firstLine="420" w:firstLineChars="190"/>
        <w:rPr>
          <w:rFonts w:hint="eastAsia"/>
          <w:b/>
          <w:bCs/>
          <w:color w:val="auto"/>
          <w:sz w:val="22"/>
          <w:szCs w:val="22"/>
        </w:rPr>
      </w:pPr>
      <w:r>
        <w:rPr>
          <w:rFonts w:hint="eastAsia"/>
          <w:b/>
          <w:bCs/>
          <w:color w:val="auto"/>
          <w:sz w:val="22"/>
          <w:szCs w:val="22"/>
        </w:rPr>
        <w:t>▲①中标后，供应商需在平阳县域内设立一个办公管理场所，办公管理场所内制度上墙完善、管理设施齐全、人员配置到位，并设有独立档案室（管理处地点设置需经采购人审核通过）。</w:t>
      </w:r>
    </w:p>
    <w:p>
      <w:pPr>
        <w:tabs>
          <w:tab w:val="left" w:pos="482"/>
          <w:tab w:val="left" w:pos="2183"/>
          <w:tab w:val="left" w:pos="3884"/>
          <w:tab w:val="left" w:pos="5585"/>
        </w:tabs>
        <w:snapToGrid w:val="0"/>
        <w:spacing w:line="460" w:lineRule="exact"/>
        <w:ind w:firstLine="418" w:firstLineChars="190"/>
        <w:rPr>
          <w:rFonts w:hint="default" w:eastAsia="宋体"/>
          <w:sz w:val="22"/>
          <w:szCs w:val="22"/>
          <w:lang w:val="en-US" w:eastAsia="zh-CN"/>
        </w:rPr>
      </w:pPr>
      <w:r>
        <w:rPr>
          <w:rFonts w:hint="eastAsia"/>
          <w:sz w:val="22"/>
          <w:szCs w:val="22"/>
        </w:rPr>
        <w:t>②合同签定后，项目负责人每月驻办事处的月到岗率不少于18天。技术负责人的每月驻办事处的月到岗率不少于22天，并执行刷脸考勤，考勤记录附当月台账后。</w:t>
      </w:r>
      <w:r>
        <w:rPr>
          <w:rFonts w:hint="eastAsia"/>
          <w:sz w:val="22"/>
          <w:szCs w:val="22"/>
          <w:lang w:val="en-US" w:eastAsia="zh-CN"/>
        </w:rPr>
        <w:t>如发现项目负责人不到位的，每天扣2000元；技术负责人不到位的，每天扣1000元。罚款总额不超过合同总金额的2%。</w:t>
      </w:r>
    </w:p>
    <w:p>
      <w:pPr>
        <w:tabs>
          <w:tab w:val="left" w:pos="482"/>
          <w:tab w:val="left" w:pos="2183"/>
          <w:tab w:val="left" w:pos="3884"/>
          <w:tab w:val="left" w:pos="5585"/>
        </w:tabs>
        <w:snapToGrid w:val="0"/>
        <w:spacing w:line="460" w:lineRule="exact"/>
        <w:ind w:firstLine="418" w:firstLineChars="190"/>
        <w:rPr>
          <w:rFonts w:hint="eastAsia"/>
          <w:sz w:val="22"/>
          <w:szCs w:val="22"/>
        </w:rPr>
      </w:pPr>
      <w:r>
        <w:rPr>
          <w:rFonts w:hint="eastAsia"/>
          <w:sz w:val="22"/>
          <w:szCs w:val="22"/>
        </w:rPr>
        <w:t>（7）中标后，供应商应制定该项目物业管理的总体方案，并根据每个工程实际情况的不同，制定每个工程的物业管理方案。物业管理方案中要包括人员分工、工作的具体要求等方面内容，在合同签订后十五天内上报采购人审核，通过后才可实施。</w:t>
      </w:r>
    </w:p>
    <w:p>
      <w:pPr>
        <w:tabs>
          <w:tab w:val="left" w:pos="482"/>
          <w:tab w:val="left" w:pos="2183"/>
          <w:tab w:val="left" w:pos="3884"/>
          <w:tab w:val="left" w:pos="5585"/>
        </w:tabs>
        <w:snapToGrid w:val="0"/>
        <w:spacing w:line="460" w:lineRule="exact"/>
        <w:ind w:firstLine="418" w:firstLineChars="190"/>
        <w:rPr>
          <w:rFonts w:hint="eastAsia"/>
          <w:sz w:val="22"/>
          <w:szCs w:val="22"/>
        </w:rPr>
      </w:pPr>
      <w:r>
        <w:rPr>
          <w:rFonts w:hint="eastAsia"/>
          <w:sz w:val="22"/>
          <w:szCs w:val="22"/>
        </w:rPr>
        <w:t>（8）中标后，供应商在开展物业管理过程中要充分使用采购方开发的“平阳县水利工程运行管理平台”，采购方将以平台数据对供应商进行考核。</w:t>
      </w:r>
    </w:p>
    <w:p>
      <w:pPr>
        <w:spacing w:line="400" w:lineRule="exact"/>
        <w:rPr>
          <w:rFonts w:hint="eastAsia"/>
          <w:b/>
          <w:sz w:val="22"/>
          <w:szCs w:val="22"/>
        </w:rPr>
      </w:pPr>
      <w:r>
        <w:rPr>
          <w:rFonts w:hint="eastAsia"/>
          <w:b/>
          <w:sz w:val="22"/>
          <w:szCs w:val="22"/>
        </w:rPr>
        <w:t>2.2其他</w:t>
      </w:r>
    </w:p>
    <w:p>
      <w:pPr>
        <w:snapToGrid w:val="0"/>
        <w:spacing w:line="460" w:lineRule="exact"/>
        <w:ind w:firstLine="442" w:firstLineChars="200"/>
        <w:rPr>
          <w:rFonts w:hint="eastAsia"/>
          <w:b/>
          <w:sz w:val="22"/>
          <w:u w:val="single"/>
        </w:rPr>
      </w:pPr>
      <w:r>
        <w:rPr>
          <w:rFonts w:hint="eastAsia"/>
          <w:b/>
          <w:sz w:val="22"/>
          <w:u w:val="single"/>
        </w:rPr>
        <w:t>2.2.1本着年龄允许并自愿的原则，承包人应优先对现有60周岁以下的工程现有编外人员予以返聘，并与其签订劳务合同，保险等由承包人缴纳，且工资福利待遇不得低于原有工资待遇和</w:t>
      </w:r>
      <w:r>
        <w:rPr>
          <w:rFonts w:hint="eastAsia"/>
          <w:sz w:val="22"/>
          <w:szCs w:val="22"/>
          <w:u w:val="single"/>
        </w:rPr>
        <w:t>平阳县最低工资标准（按照温州市人民政府2017年12月22日发布的 《关于调整全市最低工资标准的通知》温政发（2017）37号）及其他相关政策规定的福利待遇标准</w:t>
      </w:r>
      <w:r>
        <w:rPr>
          <w:rFonts w:hint="eastAsia"/>
          <w:b/>
          <w:sz w:val="22"/>
          <w:u w:val="single"/>
        </w:rPr>
        <w:t>。承包人自行聘用的其他人员年龄不得高于60周岁。</w:t>
      </w:r>
    </w:p>
    <w:p>
      <w:pPr>
        <w:snapToGrid w:val="0"/>
        <w:spacing w:line="460" w:lineRule="exact"/>
        <w:ind w:firstLine="442" w:firstLineChars="200"/>
        <w:rPr>
          <w:rFonts w:hint="eastAsia"/>
          <w:b/>
          <w:sz w:val="22"/>
          <w:u w:val="single"/>
        </w:rPr>
      </w:pPr>
      <w:r>
        <w:rPr>
          <w:rFonts w:hint="eastAsia"/>
          <w:b/>
          <w:sz w:val="22"/>
          <w:u w:val="single"/>
        </w:rPr>
        <w:t>2.2.2投标单位在报价中应适当考虑人员工资福利浮动的风险，今后不再调整。</w:t>
      </w:r>
    </w:p>
    <w:p>
      <w:pPr>
        <w:tabs>
          <w:tab w:val="left" w:pos="482"/>
          <w:tab w:val="left" w:pos="2183"/>
          <w:tab w:val="left" w:pos="3884"/>
          <w:tab w:val="left" w:pos="5585"/>
        </w:tabs>
        <w:snapToGrid w:val="0"/>
        <w:spacing w:line="460" w:lineRule="exact"/>
        <w:ind w:firstLine="420" w:firstLineChars="190"/>
        <w:rPr>
          <w:rFonts w:hint="eastAsia"/>
          <w:b/>
          <w:sz w:val="22"/>
          <w:u w:val="single"/>
        </w:rPr>
      </w:pPr>
      <w:r>
        <w:rPr>
          <w:rFonts w:hint="eastAsia"/>
          <w:b/>
          <w:sz w:val="22"/>
          <w:u w:val="single"/>
        </w:rPr>
        <w:t>2.2.3管理人员具体人员配备及工作要求。</w:t>
      </w:r>
    </w:p>
    <w:p>
      <w:pPr>
        <w:tabs>
          <w:tab w:val="left" w:pos="482"/>
          <w:tab w:val="left" w:pos="2183"/>
          <w:tab w:val="left" w:pos="3884"/>
          <w:tab w:val="left" w:pos="5585"/>
        </w:tabs>
        <w:snapToGrid w:val="0"/>
        <w:spacing w:line="460" w:lineRule="exact"/>
        <w:ind w:firstLine="418" w:firstLineChars="190"/>
        <w:rPr>
          <w:rFonts w:hint="eastAsia"/>
          <w:color w:val="000000"/>
          <w:sz w:val="22"/>
          <w:szCs w:val="22"/>
        </w:rPr>
      </w:pPr>
      <w:r>
        <w:rPr>
          <w:rFonts w:hint="eastAsia"/>
          <w:color w:val="000000"/>
          <w:sz w:val="22"/>
          <w:szCs w:val="22"/>
        </w:rPr>
        <w:t>（1）人员应具有一定文化水平程度，并能较为熟练的使用简单的电子设备，年龄大于18周岁、小于60周岁，身体健康，责任心强。人员宜常年居住和生活在工程所在地附近。其工作内容为：</w:t>
      </w:r>
    </w:p>
    <w:p>
      <w:pPr>
        <w:pStyle w:val="62"/>
        <w:numPr>
          <w:ilvl w:val="0"/>
          <w:numId w:val="5"/>
        </w:numPr>
        <w:autoSpaceDE w:val="0"/>
        <w:autoSpaceDN w:val="0"/>
        <w:adjustRightInd w:val="0"/>
        <w:spacing w:line="360" w:lineRule="auto"/>
        <w:ind w:firstLine="440"/>
        <w:jc w:val="left"/>
        <w:rPr>
          <w:rFonts w:hint="eastAsia" w:ascii="宋体" w:hAnsi="宋体"/>
          <w:color w:val="000000"/>
          <w:kern w:val="0"/>
          <w:sz w:val="22"/>
        </w:rPr>
      </w:pPr>
      <w:r>
        <w:rPr>
          <w:rFonts w:hint="eastAsia" w:ascii="宋体" w:hAnsi="宋体"/>
          <w:color w:val="000000"/>
          <w:kern w:val="0"/>
          <w:sz w:val="22"/>
        </w:rPr>
        <w:t>按规定做好巡视检查和记录。</w:t>
      </w:r>
    </w:p>
    <w:p>
      <w:pPr>
        <w:pStyle w:val="63"/>
        <w:numPr>
          <w:ilvl w:val="0"/>
          <w:numId w:val="5"/>
        </w:numPr>
        <w:spacing w:line="360" w:lineRule="auto"/>
        <w:ind w:firstLine="440"/>
        <w:rPr>
          <w:rFonts w:hint="eastAsia"/>
          <w:color w:val="000000"/>
          <w:sz w:val="22"/>
          <w:szCs w:val="22"/>
        </w:rPr>
      </w:pPr>
      <w:r>
        <w:rPr>
          <w:rFonts w:hint="eastAsia"/>
          <w:color w:val="000000"/>
          <w:sz w:val="22"/>
          <w:szCs w:val="22"/>
        </w:rPr>
        <w:t>根据所有权人或上级部门要求，做好管理和记录工作。</w:t>
      </w:r>
    </w:p>
    <w:p>
      <w:pPr>
        <w:pStyle w:val="63"/>
        <w:numPr>
          <w:ilvl w:val="0"/>
          <w:numId w:val="5"/>
        </w:numPr>
        <w:adjustRightInd w:val="0"/>
        <w:spacing w:line="360" w:lineRule="auto"/>
        <w:ind w:firstLine="440"/>
        <w:jc w:val="left"/>
        <w:rPr>
          <w:rFonts w:hint="eastAsia"/>
          <w:color w:val="000000"/>
          <w:sz w:val="22"/>
          <w:szCs w:val="22"/>
        </w:rPr>
      </w:pPr>
      <w:r>
        <w:rPr>
          <w:rFonts w:hint="eastAsia"/>
          <w:color w:val="000000"/>
          <w:sz w:val="22"/>
          <w:szCs w:val="22"/>
        </w:rPr>
        <w:t>发现险情（异常情况）立即向所有权人、主管单位或上级报告。</w:t>
      </w:r>
    </w:p>
    <w:p>
      <w:pPr>
        <w:pStyle w:val="63"/>
        <w:numPr>
          <w:ilvl w:val="0"/>
          <w:numId w:val="5"/>
        </w:numPr>
        <w:adjustRightInd w:val="0"/>
        <w:spacing w:line="360" w:lineRule="auto"/>
        <w:ind w:firstLine="440"/>
        <w:jc w:val="left"/>
        <w:rPr>
          <w:rFonts w:hint="eastAsia"/>
          <w:color w:val="000000"/>
          <w:sz w:val="22"/>
          <w:szCs w:val="22"/>
        </w:rPr>
      </w:pPr>
      <w:r>
        <w:rPr>
          <w:rFonts w:hint="eastAsia"/>
          <w:color w:val="000000"/>
          <w:sz w:val="22"/>
          <w:szCs w:val="22"/>
        </w:rPr>
        <w:t>劝阻有危害工程安全的行为，按规定报告。</w:t>
      </w:r>
    </w:p>
    <w:p>
      <w:pPr>
        <w:pStyle w:val="63"/>
        <w:numPr>
          <w:ilvl w:val="0"/>
          <w:numId w:val="5"/>
        </w:numPr>
        <w:adjustRightInd w:val="0"/>
        <w:spacing w:line="360" w:lineRule="auto"/>
        <w:ind w:firstLine="440"/>
        <w:jc w:val="left"/>
        <w:rPr>
          <w:rFonts w:hint="eastAsia"/>
          <w:color w:val="000000"/>
          <w:sz w:val="22"/>
          <w:szCs w:val="22"/>
        </w:rPr>
      </w:pPr>
      <w:r>
        <w:rPr>
          <w:rFonts w:hint="eastAsia"/>
          <w:color w:val="000000"/>
          <w:sz w:val="22"/>
          <w:szCs w:val="22"/>
        </w:rPr>
        <w:t>遇台风、暴雨、地震等紧急情况，按上级要求做好有关工作。</w:t>
      </w:r>
    </w:p>
    <w:p>
      <w:pPr>
        <w:spacing w:line="440" w:lineRule="exact"/>
        <w:jc w:val="center"/>
        <w:rPr>
          <w:rFonts w:hint="eastAsia"/>
          <w:b/>
          <w:sz w:val="24"/>
        </w:rPr>
      </w:pPr>
      <w:r>
        <w:rPr>
          <w:rFonts w:hint="eastAsia"/>
          <w:b/>
          <w:sz w:val="24"/>
          <w:lang w:eastAsia="zh-CN"/>
        </w:rPr>
        <w:t>2021年至2022年平阳县水利工程物业化管理采购项目</w:t>
      </w:r>
      <w:r>
        <w:rPr>
          <w:rFonts w:hint="eastAsia"/>
          <w:b/>
          <w:sz w:val="24"/>
        </w:rPr>
        <w:t>项目组人员配置表</w:t>
      </w:r>
    </w:p>
    <w:tbl>
      <w:tblPr>
        <w:tblStyle w:val="41"/>
        <w:tblW w:w="10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420"/>
        <w:gridCol w:w="2100"/>
        <w:gridCol w:w="1455"/>
        <w:gridCol w:w="3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rPr>
            </w:pPr>
            <w:r>
              <w:rPr>
                <w:rFonts w:hint="eastAsia"/>
              </w:rPr>
              <w:t>序号</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rPr>
            </w:pPr>
            <w:r>
              <w:rPr>
                <w:rFonts w:hint="eastAsia"/>
              </w:rPr>
              <w:t>工程名称</w:t>
            </w:r>
          </w:p>
        </w:tc>
        <w:tc>
          <w:tcPr>
            <w:tcW w:w="2100"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综合人员</w:t>
            </w:r>
          </w:p>
        </w:tc>
        <w:tc>
          <w:tcPr>
            <w:tcW w:w="145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管理人员</w:t>
            </w:r>
          </w:p>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（巡查人员）</w:t>
            </w:r>
          </w:p>
        </w:tc>
        <w:tc>
          <w:tcPr>
            <w:tcW w:w="337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rPr>
            </w:pPr>
            <w:r>
              <w:rPr>
                <w:rFonts w:hint="eastAsia"/>
              </w:rPr>
              <w:t>1</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草池水库</w:t>
            </w:r>
          </w:p>
        </w:tc>
        <w:tc>
          <w:tcPr>
            <w:tcW w:w="2100" w:type="dxa"/>
            <w:vMerge w:val="restart"/>
            <w:vAlign w:val="center"/>
          </w:tcPr>
          <w:p>
            <w:pPr>
              <w:widowControl/>
              <w:autoSpaceDE w:val="0"/>
              <w:autoSpaceDN w:val="0"/>
              <w:adjustRightInd w:val="0"/>
              <w:snapToGrid w:val="0"/>
              <w:spacing w:line="400" w:lineRule="exact"/>
              <w:jc w:val="left"/>
              <w:textAlignment w:val="bottom"/>
              <w:rPr>
                <w:rFonts w:hint="eastAsia"/>
                <w:b/>
                <w:sz w:val="22"/>
                <w:szCs w:val="22"/>
              </w:rPr>
            </w:pPr>
            <w:r>
              <w:rPr>
                <w:rFonts w:hint="eastAsia"/>
                <w:b/>
                <w:sz w:val="22"/>
                <w:szCs w:val="22"/>
              </w:rPr>
              <w:t>①项目负责人1名；</w:t>
            </w:r>
          </w:p>
          <w:p>
            <w:pPr>
              <w:widowControl/>
              <w:autoSpaceDE w:val="0"/>
              <w:autoSpaceDN w:val="0"/>
              <w:adjustRightInd w:val="0"/>
              <w:snapToGrid w:val="0"/>
              <w:spacing w:line="400" w:lineRule="exact"/>
              <w:jc w:val="left"/>
              <w:textAlignment w:val="bottom"/>
              <w:rPr>
                <w:rFonts w:hint="eastAsia"/>
                <w:b/>
                <w:sz w:val="22"/>
                <w:szCs w:val="22"/>
              </w:rPr>
            </w:pPr>
            <w:r>
              <w:rPr>
                <w:rFonts w:hint="eastAsia"/>
                <w:b/>
                <w:sz w:val="22"/>
                <w:szCs w:val="22"/>
              </w:rPr>
              <w:t>②技术负责人1名。</w:t>
            </w:r>
          </w:p>
          <w:p>
            <w:pPr>
              <w:widowControl/>
              <w:autoSpaceDE w:val="0"/>
              <w:autoSpaceDN w:val="0"/>
              <w:adjustRightInd w:val="0"/>
              <w:snapToGrid w:val="0"/>
              <w:spacing w:line="400" w:lineRule="exact"/>
              <w:jc w:val="left"/>
              <w:textAlignment w:val="bottom"/>
              <w:rPr>
                <w:rFonts w:hint="eastAsia"/>
                <w:b/>
                <w:sz w:val="22"/>
                <w:szCs w:val="22"/>
              </w:rPr>
            </w:pPr>
            <w:r>
              <w:rPr>
                <w:rFonts w:hint="eastAsia"/>
                <w:b/>
                <w:sz w:val="22"/>
                <w:szCs w:val="22"/>
              </w:rPr>
              <w:t>③维修养护负责人1名。</w:t>
            </w:r>
          </w:p>
          <w:p>
            <w:pPr>
              <w:widowControl/>
              <w:autoSpaceDE w:val="0"/>
              <w:autoSpaceDN w:val="0"/>
              <w:adjustRightInd w:val="0"/>
              <w:snapToGrid w:val="0"/>
              <w:spacing w:line="400" w:lineRule="exact"/>
              <w:jc w:val="left"/>
              <w:textAlignment w:val="bottom"/>
              <w:rPr>
                <w:rFonts w:hint="eastAsia"/>
                <w:b/>
                <w:sz w:val="22"/>
                <w:szCs w:val="22"/>
              </w:rPr>
            </w:pPr>
            <w:r>
              <w:rPr>
                <w:rFonts w:hint="eastAsia"/>
                <w:b/>
                <w:sz w:val="22"/>
                <w:szCs w:val="22"/>
              </w:rPr>
              <w:t>④信息化管理负责人1名。</w:t>
            </w:r>
          </w:p>
          <w:p>
            <w:pPr>
              <w:widowControl/>
              <w:autoSpaceDE w:val="0"/>
              <w:autoSpaceDN w:val="0"/>
              <w:adjustRightInd w:val="0"/>
              <w:snapToGrid w:val="0"/>
              <w:spacing w:line="400" w:lineRule="exact"/>
              <w:jc w:val="left"/>
              <w:textAlignment w:val="bottom"/>
              <w:rPr>
                <w:rFonts w:hint="eastAsia"/>
                <w:b/>
                <w:sz w:val="20"/>
                <w:szCs w:val="22"/>
              </w:rPr>
            </w:pPr>
            <w:r>
              <w:rPr>
                <w:rFonts w:hint="eastAsia"/>
                <w:b/>
                <w:sz w:val="22"/>
                <w:szCs w:val="22"/>
              </w:rPr>
              <w:t>⑤工程安全管理负责人1名。</w:t>
            </w:r>
          </w:p>
        </w:tc>
        <w:tc>
          <w:tcPr>
            <w:tcW w:w="145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1人</w:t>
            </w:r>
          </w:p>
        </w:tc>
        <w:tc>
          <w:tcPr>
            <w:tcW w:w="3375" w:type="dxa"/>
            <w:vMerge w:val="restart"/>
            <w:vAlign w:val="center"/>
          </w:tcPr>
          <w:p>
            <w:pPr>
              <w:widowControl/>
              <w:tabs>
                <w:tab w:val="left" w:pos="540"/>
              </w:tabs>
              <w:autoSpaceDE w:val="0"/>
              <w:autoSpaceDN w:val="0"/>
              <w:adjustRightInd w:val="0"/>
              <w:snapToGrid w:val="0"/>
              <w:spacing w:line="300" w:lineRule="exact"/>
              <w:textAlignment w:val="bottom"/>
              <w:rPr>
                <w:rFonts w:hint="default"/>
                <w:color w:val="auto"/>
                <w:sz w:val="22"/>
                <w:szCs w:val="22"/>
                <w:lang w:val="en-US"/>
              </w:rPr>
            </w:pPr>
            <w:bookmarkStart w:id="2" w:name="OLE_LINK1"/>
            <w:r>
              <w:rPr>
                <w:rFonts w:hint="eastAsia"/>
                <w:color w:val="auto"/>
                <w:sz w:val="22"/>
                <w:szCs w:val="22"/>
              </w:rPr>
              <w:t>①▲项目负责人具有水利</w:t>
            </w:r>
            <w:r>
              <w:rPr>
                <w:rFonts w:hint="eastAsia"/>
                <w:color w:val="auto"/>
                <w:sz w:val="22"/>
                <w:szCs w:val="22"/>
                <w:lang w:val="en-US" w:eastAsia="zh-CN"/>
              </w:rPr>
              <w:t>相关</w:t>
            </w:r>
            <w:r>
              <w:rPr>
                <w:rFonts w:hint="eastAsia"/>
                <w:color w:val="auto"/>
                <w:sz w:val="22"/>
                <w:szCs w:val="22"/>
              </w:rPr>
              <w:t>专业中级或中级以上职称；</w:t>
            </w:r>
            <w:r>
              <w:rPr>
                <w:rFonts w:hint="eastAsia"/>
                <w:color w:val="auto"/>
                <w:sz w:val="22"/>
                <w:szCs w:val="22"/>
                <w:lang w:val="en-US" w:eastAsia="zh-CN"/>
              </w:rPr>
              <w:t>需提供投标截止前近6个月内任意连续三个月在投标单位缴纳的社保证明。</w:t>
            </w:r>
          </w:p>
          <w:bookmarkEnd w:id="2"/>
          <w:p>
            <w:pPr>
              <w:widowControl/>
              <w:tabs>
                <w:tab w:val="left" w:pos="540"/>
              </w:tabs>
              <w:autoSpaceDE w:val="0"/>
              <w:autoSpaceDN w:val="0"/>
              <w:adjustRightInd w:val="0"/>
              <w:snapToGrid w:val="0"/>
              <w:spacing w:line="300" w:lineRule="exact"/>
              <w:textAlignment w:val="bottom"/>
              <w:rPr>
                <w:rFonts w:hint="eastAsia"/>
                <w:color w:val="auto"/>
                <w:sz w:val="22"/>
                <w:szCs w:val="22"/>
              </w:rPr>
            </w:pPr>
            <w:r>
              <w:rPr>
                <w:rFonts w:hint="eastAsia"/>
                <w:color w:val="auto"/>
                <w:sz w:val="22"/>
                <w:szCs w:val="22"/>
              </w:rPr>
              <w:t>②▲技术负责人具有水利</w:t>
            </w:r>
            <w:r>
              <w:rPr>
                <w:rFonts w:hint="eastAsia"/>
                <w:color w:val="auto"/>
                <w:sz w:val="22"/>
                <w:szCs w:val="22"/>
                <w:lang w:val="en-US" w:eastAsia="zh-CN"/>
              </w:rPr>
              <w:t>相关</w:t>
            </w:r>
            <w:r>
              <w:rPr>
                <w:rFonts w:hint="eastAsia"/>
                <w:color w:val="auto"/>
                <w:sz w:val="22"/>
                <w:szCs w:val="22"/>
              </w:rPr>
              <w:t>专业中级或中级以上职称；</w:t>
            </w:r>
            <w:r>
              <w:rPr>
                <w:rFonts w:hint="eastAsia"/>
                <w:color w:val="auto"/>
                <w:sz w:val="22"/>
                <w:szCs w:val="22"/>
                <w:lang w:val="en-US" w:eastAsia="zh-CN"/>
              </w:rPr>
              <w:t>需提供投标截止前近6个月内任意连续三个月在投标单位缴纳的社保证明。</w:t>
            </w:r>
          </w:p>
          <w:p>
            <w:pPr>
              <w:widowControl/>
              <w:tabs>
                <w:tab w:val="left" w:pos="540"/>
              </w:tabs>
              <w:autoSpaceDE w:val="0"/>
              <w:autoSpaceDN w:val="0"/>
              <w:adjustRightInd w:val="0"/>
              <w:snapToGrid w:val="0"/>
              <w:spacing w:line="300" w:lineRule="exact"/>
              <w:textAlignment w:val="bottom"/>
              <w:rPr>
                <w:rFonts w:hint="eastAsia"/>
                <w:color w:val="auto"/>
                <w:sz w:val="22"/>
                <w:szCs w:val="22"/>
              </w:rPr>
            </w:pPr>
            <w:r>
              <w:rPr>
                <w:rFonts w:hint="eastAsia"/>
                <w:color w:val="auto"/>
                <w:sz w:val="22"/>
                <w:szCs w:val="22"/>
              </w:rPr>
              <w:t>③▲维修养护负责人具有水利</w:t>
            </w:r>
            <w:r>
              <w:rPr>
                <w:rFonts w:hint="eastAsia"/>
                <w:color w:val="auto"/>
                <w:sz w:val="22"/>
                <w:szCs w:val="22"/>
                <w:lang w:val="en-US" w:eastAsia="zh-CN"/>
              </w:rPr>
              <w:t>相关</w:t>
            </w:r>
            <w:r>
              <w:rPr>
                <w:rFonts w:hint="eastAsia"/>
                <w:color w:val="auto"/>
                <w:sz w:val="22"/>
                <w:szCs w:val="22"/>
              </w:rPr>
              <w:t>专业初级或初级以上职称；</w:t>
            </w:r>
            <w:r>
              <w:rPr>
                <w:rFonts w:hint="eastAsia"/>
                <w:color w:val="auto"/>
                <w:sz w:val="22"/>
                <w:szCs w:val="22"/>
                <w:lang w:val="en-US" w:eastAsia="zh-CN"/>
              </w:rPr>
              <w:t>需提供投标截止前近6个月内任意连续三个月在投标单位缴纳的社保证明。</w:t>
            </w:r>
          </w:p>
          <w:p>
            <w:pPr>
              <w:widowControl/>
              <w:tabs>
                <w:tab w:val="left" w:pos="540"/>
              </w:tabs>
              <w:autoSpaceDE w:val="0"/>
              <w:autoSpaceDN w:val="0"/>
              <w:adjustRightInd w:val="0"/>
              <w:snapToGrid w:val="0"/>
              <w:spacing w:line="300" w:lineRule="exact"/>
              <w:textAlignment w:val="bottom"/>
              <w:rPr>
                <w:rFonts w:hint="eastAsia"/>
                <w:color w:val="auto"/>
                <w:sz w:val="22"/>
                <w:szCs w:val="22"/>
              </w:rPr>
            </w:pPr>
            <w:r>
              <w:rPr>
                <w:rFonts w:hint="eastAsia"/>
                <w:color w:val="auto"/>
                <w:sz w:val="22"/>
                <w:szCs w:val="22"/>
              </w:rPr>
              <w:t>④▲项目负责人、技术负责人、信息化管理负责人需要大专及以上文凭；</w:t>
            </w:r>
          </w:p>
          <w:p>
            <w:pPr>
              <w:widowControl/>
              <w:tabs>
                <w:tab w:val="left" w:pos="540"/>
              </w:tabs>
              <w:autoSpaceDE w:val="0"/>
              <w:autoSpaceDN w:val="0"/>
              <w:adjustRightInd w:val="0"/>
              <w:snapToGrid w:val="0"/>
              <w:spacing w:line="400" w:lineRule="exact"/>
              <w:textAlignment w:val="bottom"/>
              <w:rPr>
                <w:rFonts w:hint="eastAsia"/>
                <w:color w:val="auto"/>
                <w:sz w:val="22"/>
                <w:szCs w:val="22"/>
              </w:rPr>
            </w:pPr>
            <w:r>
              <w:rPr>
                <w:rFonts w:hint="eastAsia"/>
                <w:color w:val="auto"/>
                <w:sz w:val="22"/>
                <w:szCs w:val="22"/>
              </w:rPr>
              <w:t>⑤本着自愿的原则，承包人应优先对现有60周岁以下的工程编外人员予以返聘，与其签订劳务合同并支付工资福利等待遇。</w:t>
            </w:r>
          </w:p>
          <w:p>
            <w:pPr>
              <w:widowControl/>
              <w:tabs>
                <w:tab w:val="left" w:pos="540"/>
              </w:tabs>
              <w:autoSpaceDE w:val="0"/>
              <w:autoSpaceDN w:val="0"/>
              <w:adjustRightInd w:val="0"/>
              <w:snapToGrid w:val="0"/>
              <w:spacing w:line="400" w:lineRule="exact"/>
              <w:textAlignment w:val="bottom"/>
              <w:rPr>
                <w:rFonts w:hint="eastAsia"/>
                <w:color w:val="auto"/>
                <w:sz w:val="22"/>
                <w:szCs w:val="22"/>
              </w:rPr>
            </w:pPr>
            <w:r>
              <w:rPr>
                <w:rFonts w:hint="eastAsia"/>
                <w:color w:val="auto"/>
                <w:sz w:val="22"/>
                <w:szCs w:val="22"/>
              </w:rPr>
              <w:t>⑥▲墨城水闸和梅浦水闸每个水闸至少需要2名持有闸门运行工证书的人员。</w:t>
            </w:r>
          </w:p>
          <w:p>
            <w:pPr>
              <w:widowControl/>
              <w:tabs>
                <w:tab w:val="left" w:pos="540"/>
              </w:tabs>
              <w:autoSpaceDE w:val="0"/>
              <w:autoSpaceDN w:val="0"/>
              <w:adjustRightInd w:val="0"/>
              <w:snapToGrid w:val="0"/>
              <w:spacing w:line="400" w:lineRule="exact"/>
              <w:textAlignment w:val="bottom"/>
              <w:rPr>
                <w:rFonts w:hint="eastAsia"/>
                <w:sz w:val="20"/>
                <w:szCs w:val="16"/>
              </w:rPr>
            </w:pPr>
            <w:r>
              <w:rPr>
                <w:rFonts w:hint="eastAsia"/>
                <w:color w:val="auto"/>
                <w:sz w:val="22"/>
                <w:szCs w:val="22"/>
              </w:rPr>
              <w:t>⑦▲信息化管理负责人、工程安全管理负责人</w:t>
            </w:r>
            <w:r>
              <w:rPr>
                <w:rFonts w:hint="eastAsia"/>
                <w:color w:val="auto"/>
                <w:sz w:val="22"/>
                <w:szCs w:val="22"/>
                <w:lang w:val="en-US" w:eastAsia="zh-CN"/>
              </w:rPr>
              <w:t>需提供投标截止前近6个月内任意连续三个月在投标单位缴纳的社保证明。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rPr>
            </w:pPr>
            <w:r>
              <w:rPr>
                <w:rFonts w:hint="eastAsia"/>
              </w:rPr>
              <w:t>2</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仙岩水库</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1人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rPr>
            </w:pPr>
            <w:r>
              <w:rPr>
                <w:rFonts w:hint="eastAsia"/>
              </w:rPr>
              <w:t>3</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lang w:eastAsia="zh-CN"/>
              </w:rPr>
              <w:t>杨文广坦</w:t>
            </w:r>
            <w:r>
              <w:rPr>
                <w:rFonts w:hint="eastAsia"/>
                <w:bCs/>
                <w:sz w:val="22"/>
                <w:szCs w:val="22"/>
              </w:rPr>
              <w:t>水库</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1人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rPr>
            </w:pPr>
            <w:r>
              <w:rPr>
                <w:rFonts w:hint="eastAsia"/>
              </w:rPr>
              <w:t>4</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罗垟水库</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1人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rPr>
            </w:pPr>
            <w:r>
              <w:rPr>
                <w:rFonts w:hint="eastAsia"/>
              </w:rPr>
              <w:t>5</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岩庵水库</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1人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sz w:val="22"/>
                <w:szCs w:val="22"/>
              </w:rPr>
            </w:pPr>
            <w:r>
              <w:rPr>
                <w:rFonts w:hint="eastAsia"/>
                <w:sz w:val="22"/>
                <w:szCs w:val="22"/>
              </w:rPr>
              <w:t>6</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夹坑水库</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1人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sz w:val="22"/>
                <w:szCs w:val="22"/>
              </w:rPr>
            </w:pPr>
            <w:r>
              <w:rPr>
                <w:rFonts w:hint="eastAsia"/>
                <w:sz w:val="22"/>
                <w:szCs w:val="22"/>
              </w:rPr>
              <w:t>7</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墨城水闸</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2人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sz w:val="22"/>
                <w:szCs w:val="22"/>
              </w:rPr>
            </w:pPr>
            <w:r>
              <w:rPr>
                <w:rFonts w:hint="eastAsia"/>
                <w:sz w:val="22"/>
                <w:szCs w:val="22"/>
              </w:rPr>
              <w:t>8</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梅浦水闸</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2人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rFonts w:hint="eastAsia"/>
                <w:sz w:val="22"/>
                <w:szCs w:val="22"/>
              </w:rPr>
            </w:pPr>
            <w:r>
              <w:rPr>
                <w:rFonts w:hint="eastAsia"/>
                <w:sz w:val="22"/>
                <w:szCs w:val="22"/>
              </w:rPr>
              <w:t>9</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11.314km海塘（镇区段3.684km、垂杨段2.11km、下埠段2.32km、宋埠段3.2km）</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4人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733" w:type="dxa"/>
            <w:vAlign w:val="center"/>
          </w:tcPr>
          <w:p>
            <w:pPr>
              <w:widowControl/>
              <w:tabs>
                <w:tab w:val="left" w:pos="540"/>
              </w:tabs>
              <w:autoSpaceDE w:val="0"/>
              <w:autoSpaceDN w:val="0"/>
              <w:adjustRightInd w:val="0"/>
              <w:snapToGrid w:val="0"/>
              <w:spacing w:line="400" w:lineRule="exact"/>
              <w:jc w:val="center"/>
              <w:textAlignment w:val="bottom"/>
              <w:rPr>
                <w:sz w:val="22"/>
                <w:szCs w:val="22"/>
              </w:rPr>
            </w:pPr>
            <w:r>
              <w:rPr>
                <w:rFonts w:hint="eastAsia"/>
                <w:sz w:val="22"/>
                <w:szCs w:val="22"/>
              </w:rPr>
              <w:t>10</w:t>
            </w:r>
          </w:p>
        </w:tc>
        <w:tc>
          <w:tcPr>
            <w:tcW w:w="2420" w:type="dxa"/>
            <w:vAlign w:val="center"/>
          </w:tcPr>
          <w:p>
            <w:pPr>
              <w:widowControl/>
              <w:tabs>
                <w:tab w:val="left" w:pos="540"/>
              </w:tabs>
              <w:autoSpaceDE w:val="0"/>
              <w:autoSpaceDN w:val="0"/>
              <w:adjustRightInd w:val="0"/>
              <w:snapToGrid w:val="0"/>
              <w:spacing w:line="400" w:lineRule="exact"/>
              <w:jc w:val="center"/>
              <w:textAlignment w:val="bottom"/>
              <w:rPr>
                <w:rFonts w:hint="eastAsia"/>
                <w:bCs/>
                <w:sz w:val="22"/>
                <w:szCs w:val="22"/>
              </w:rPr>
            </w:pPr>
            <w:r>
              <w:rPr>
                <w:rFonts w:hint="eastAsia"/>
                <w:bCs/>
                <w:sz w:val="22"/>
                <w:szCs w:val="22"/>
              </w:rPr>
              <w:t>梅里山塘</w:t>
            </w:r>
          </w:p>
        </w:tc>
        <w:tc>
          <w:tcPr>
            <w:tcW w:w="2100"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c>
          <w:tcPr>
            <w:tcW w:w="1455" w:type="dxa"/>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r>
              <w:rPr>
                <w:rFonts w:hint="eastAsia"/>
                <w:b/>
                <w:sz w:val="22"/>
                <w:szCs w:val="22"/>
              </w:rPr>
              <w:t>1人</w:t>
            </w:r>
          </w:p>
        </w:tc>
        <w:tc>
          <w:tcPr>
            <w:tcW w:w="3375" w:type="dxa"/>
            <w:vMerge w:val="continue"/>
            <w:vAlign w:val="center"/>
          </w:tcPr>
          <w:p>
            <w:pPr>
              <w:widowControl/>
              <w:tabs>
                <w:tab w:val="left" w:pos="540"/>
              </w:tabs>
              <w:autoSpaceDE w:val="0"/>
              <w:autoSpaceDN w:val="0"/>
              <w:adjustRightInd w:val="0"/>
              <w:snapToGrid w:val="0"/>
              <w:spacing w:line="400" w:lineRule="exact"/>
              <w:jc w:val="center"/>
              <w:textAlignment w:val="bottom"/>
              <w:rPr>
                <w:rFonts w:hint="eastAsia"/>
                <w:b/>
                <w:sz w:val="22"/>
                <w:szCs w:val="22"/>
              </w:rPr>
            </w:pPr>
          </w:p>
        </w:tc>
      </w:tr>
    </w:tbl>
    <w:p>
      <w:pPr>
        <w:spacing w:line="400" w:lineRule="exact"/>
        <w:ind w:firstLine="440" w:firstLineChars="200"/>
        <w:rPr>
          <w:rFonts w:hint="eastAsia"/>
          <w:sz w:val="22"/>
          <w:szCs w:val="22"/>
        </w:rPr>
      </w:pPr>
      <w:r>
        <w:rPr>
          <w:rFonts w:hint="eastAsia"/>
          <w:sz w:val="22"/>
          <w:szCs w:val="22"/>
        </w:rPr>
        <w:t>注：①拟投入管理班组人员原则上不予调整，必须调整需经采购人批准，但所需人数不能少于上述要求且人员职称要求不得低于原要求，如持有闸门运行工证书的人员需要调整，调整后的人员必须需要持有闸门运行工证书。</w:t>
      </w:r>
    </w:p>
    <w:p>
      <w:pPr>
        <w:spacing w:line="400" w:lineRule="exact"/>
        <w:ind w:firstLine="440" w:firstLineChars="200"/>
        <w:rPr>
          <w:rFonts w:hint="eastAsia"/>
          <w:sz w:val="22"/>
          <w:szCs w:val="22"/>
        </w:rPr>
      </w:pPr>
      <w:r>
        <w:rPr>
          <w:rFonts w:hint="eastAsia"/>
          <w:sz w:val="22"/>
          <w:szCs w:val="22"/>
        </w:rPr>
        <w:t>②▲提供以上人员相关证书复印件，标后采购单位有权对中标供应商提供原件进行核查，如发现人员不符，采购单位有权取消其中标资格。</w:t>
      </w:r>
    </w:p>
    <w:p>
      <w:pPr>
        <w:spacing w:line="400" w:lineRule="exact"/>
        <w:ind w:firstLine="440" w:firstLineChars="200"/>
        <w:rPr>
          <w:sz w:val="22"/>
          <w:szCs w:val="22"/>
        </w:rPr>
      </w:pPr>
      <w:r>
        <w:rPr>
          <w:rFonts w:hint="eastAsia"/>
          <w:sz w:val="22"/>
          <w:szCs w:val="22"/>
        </w:rPr>
        <w:t>③以上所有人员岗位不得兼任。</w:t>
      </w:r>
    </w:p>
    <w:p>
      <w:pPr>
        <w:spacing w:line="400" w:lineRule="exact"/>
        <w:ind w:firstLine="440" w:firstLineChars="200"/>
        <w:rPr>
          <w:rFonts w:hint="eastAsia"/>
          <w:sz w:val="22"/>
          <w:szCs w:val="22"/>
        </w:rPr>
      </w:pPr>
      <w:r>
        <w:rPr>
          <w:rFonts w:hint="eastAsia"/>
          <w:sz w:val="22"/>
          <w:szCs w:val="22"/>
        </w:rPr>
        <w:t>④本项目人员配备数量不变；因项目所在地不同，标后需要根据实际情况进行调整。</w:t>
      </w:r>
    </w:p>
    <w:p>
      <w:pPr>
        <w:spacing w:line="400" w:lineRule="exact"/>
        <w:ind w:firstLine="440" w:firstLineChars="200"/>
        <w:rPr>
          <w:rFonts w:hint="eastAsia"/>
          <w:sz w:val="22"/>
          <w:szCs w:val="22"/>
        </w:rPr>
      </w:pPr>
      <w:r>
        <w:rPr>
          <w:rFonts w:hint="eastAsia"/>
          <w:sz w:val="22"/>
          <w:szCs w:val="22"/>
        </w:rPr>
        <w:t>⑤台风期根据防汛要求安排公司人员24小时驻扎并保持通讯畅通。</w:t>
      </w:r>
    </w:p>
    <w:p>
      <w:pPr>
        <w:spacing w:line="400" w:lineRule="exact"/>
        <w:ind w:firstLine="442" w:firstLineChars="200"/>
        <w:rPr>
          <w:rFonts w:hint="eastAsia"/>
          <w:b/>
          <w:sz w:val="22"/>
          <w:u w:val="single"/>
        </w:rPr>
      </w:pPr>
      <w:r>
        <w:rPr>
          <w:rFonts w:hint="eastAsia"/>
          <w:b/>
          <w:sz w:val="22"/>
          <w:u w:val="single"/>
        </w:rPr>
        <w:t>2.2.4现场条件</w:t>
      </w:r>
    </w:p>
    <w:p>
      <w:pPr>
        <w:spacing w:line="400" w:lineRule="exact"/>
        <w:ind w:firstLine="440" w:firstLineChars="200"/>
        <w:rPr>
          <w:rFonts w:hint="eastAsia"/>
          <w:sz w:val="22"/>
          <w:szCs w:val="22"/>
        </w:rPr>
      </w:pPr>
      <w:r>
        <w:rPr>
          <w:rFonts w:hint="eastAsia"/>
          <w:sz w:val="22"/>
          <w:szCs w:val="22"/>
        </w:rPr>
        <w:t>（1）、此次招标所涉及的人员住房和作业工具、保洁用品均由承包单位自行负责解决。</w:t>
      </w:r>
    </w:p>
    <w:p>
      <w:pPr>
        <w:spacing w:line="400" w:lineRule="exact"/>
        <w:ind w:firstLine="440" w:firstLineChars="200"/>
        <w:rPr>
          <w:rFonts w:hint="eastAsia"/>
          <w:sz w:val="22"/>
          <w:szCs w:val="22"/>
        </w:rPr>
      </w:pPr>
      <w:r>
        <w:rPr>
          <w:rFonts w:hint="eastAsia"/>
          <w:sz w:val="22"/>
          <w:szCs w:val="22"/>
        </w:rPr>
        <w:t>（2）、作业工具、保洁用品的摆放地由承包单位负责。</w:t>
      </w:r>
    </w:p>
    <w:p>
      <w:pPr>
        <w:spacing w:line="400" w:lineRule="exact"/>
        <w:ind w:firstLine="440" w:firstLineChars="200"/>
        <w:rPr>
          <w:rFonts w:hint="eastAsia"/>
          <w:color w:val="FF0000"/>
          <w:sz w:val="22"/>
          <w:szCs w:val="22"/>
        </w:rPr>
      </w:pPr>
      <w:r>
        <w:rPr>
          <w:rFonts w:hint="eastAsia"/>
          <w:color w:val="FF0000"/>
          <w:sz w:val="22"/>
          <w:szCs w:val="22"/>
        </w:rPr>
        <w:t>（</w:t>
      </w:r>
      <w:r>
        <w:rPr>
          <w:rFonts w:hint="eastAsia"/>
          <w:color w:val="auto"/>
          <w:sz w:val="22"/>
          <w:szCs w:val="22"/>
        </w:rPr>
        <w:t>3）、保洁及日常的水电费</w:t>
      </w:r>
      <w:r>
        <w:rPr>
          <w:rFonts w:hint="eastAsia"/>
          <w:color w:val="auto"/>
          <w:sz w:val="22"/>
          <w:szCs w:val="22"/>
          <w:lang w:eastAsia="zh-CN"/>
        </w:rPr>
        <w:t>（</w:t>
      </w:r>
      <w:r>
        <w:rPr>
          <w:rFonts w:hint="eastAsia"/>
          <w:color w:val="auto"/>
          <w:sz w:val="22"/>
          <w:szCs w:val="22"/>
          <w:lang w:val="en-US" w:eastAsia="zh-CN"/>
        </w:rPr>
        <w:t>包括工程管理房等附属设施及设备运行产生的水电费</w:t>
      </w:r>
      <w:r>
        <w:rPr>
          <w:rFonts w:hint="eastAsia"/>
          <w:color w:val="auto"/>
          <w:sz w:val="22"/>
          <w:szCs w:val="22"/>
          <w:lang w:eastAsia="zh-CN"/>
        </w:rPr>
        <w:t>）</w:t>
      </w:r>
      <w:r>
        <w:rPr>
          <w:rFonts w:hint="eastAsia"/>
          <w:color w:val="auto"/>
          <w:sz w:val="22"/>
          <w:szCs w:val="22"/>
        </w:rPr>
        <w:t>由承包单位自行负责。</w:t>
      </w:r>
    </w:p>
    <w:p>
      <w:pPr>
        <w:spacing w:line="400" w:lineRule="exact"/>
        <w:ind w:firstLine="440" w:firstLineChars="200"/>
        <w:rPr>
          <w:rFonts w:hint="eastAsia"/>
          <w:sz w:val="22"/>
          <w:szCs w:val="22"/>
        </w:rPr>
      </w:pPr>
      <w:r>
        <w:rPr>
          <w:rFonts w:hint="eastAsia"/>
          <w:sz w:val="22"/>
          <w:szCs w:val="22"/>
        </w:rPr>
        <w:t>（4）、投标人应承诺中标后设办公管理场所。</w:t>
      </w:r>
    </w:p>
    <w:p>
      <w:pPr>
        <w:spacing w:line="400" w:lineRule="exact"/>
        <w:ind w:firstLine="440" w:firstLineChars="200"/>
        <w:rPr>
          <w:rFonts w:hint="eastAsia"/>
          <w:sz w:val="22"/>
          <w:szCs w:val="22"/>
        </w:rPr>
      </w:pPr>
      <w:r>
        <w:rPr>
          <w:rFonts w:hint="eastAsia"/>
          <w:sz w:val="22"/>
          <w:szCs w:val="22"/>
        </w:rPr>
        <w:t>（5）、报名投标供应商自行前往情况复杂的承包区域进行现场勘查，投标供应商应做好充分调查及风险控制。</w:t>
      </w:r>
    </w:p>
    <w:p>
      <w:pPr>
        <w:spacing w:line="400" w:lineRule="exact"/>
        <w:ind w:firstLine="442" w:firstLineChars="200"/>
        <w:rPr>
          <w:rFonts w:hint="eastAsia" w:ascii="宋体" w:hAnsi="宋体" w:eastAsia="宋体" w:cs="宋体"/>
          <w:b/>
          <w:sz w:val="22"/>
          <w:szCs w:val="22"/>
          <w:u w:val="single"/>
        </w:rPr>
      </w:pPr>
      <w:r>
        <w:rPr>
          <w:rFonts w:hint="eastAsia" w:ascii="宋体" w:hAnsi="宋体" w:eastAsia="宋体" w:cs="宋体"/>
          <w:b/>
          <w:sz w:val="22"/>
          <w:szCs w:val="22"/>
          <w:u w:val="single"/>
        </w:rPr>
        <w:t>2.2.5其他说明</w:t>
      </w:r>
    </w:p>
    <w:p>
      <w:pPr>
        <w:spacing w:line="400" w:lineRule="exact"/>
        <w:ind w:firstLine="442" w:firstLineChars="200"/>
        <w:rPr>
          <w:rFonts w:hint="eastAsia" w:ascii="宋体" w:hAnsi="宋体" w:eastAsia="宋体" w:cs="宋体"/>
          <w:b/>
          <w:sz w:val="22"/>
          <w:szCs w:val="22"/>
        </w:rPr>
      </w:pPr>
      <w:r>
        <w:rPr>
          <w:rFonts w:hint="eastAsia" w:ascii="宋体" w:hAnsi="宋体" w:eastAsia="宋体" w:cs="宋体"/>
          <w:b/>
          <w:sz w:val="22"/>
          <w:szCs w:val="22"/>
        </w:rPr>
        <w:t>（1）水库、水闸、海塘、山塘的工程概况</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 xml:space="preserve"> </w:t>
      </w:r>
      <w:r>
        <w:rPr>
          <w:rFonts w:hint="eastAsia" w:ascii="宋体" w:hAnsi="宋体" w:eastAsia="宋体" w:cs="宋体"/>
          <w:sz w:val="22"/>
          <w:szCs w:val="22"/>
          <w:lang w:val="en-US" w:eastAsia="zh-CN"/>
        </w:rPr>
        <w:t>1）</w:t>
      </w:r>
      <w:r>
        <w:rPr>
          <w:rFonts w:hint="eastAsia" w:ascii="宋体" w:hAnsi="宋体" w:eastAsia="宋体" w:cs="宋体"/>
          <w:sz w:val="22"/>
          <w:szCs w:val="22"/>
        </w:rPr>
        <w:t>、草池水库：</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草池水库位于平阳县鳌江镇荆仙村，于1956年10月开始动工兴建，1957年5月竣工。竣工运行后曾在1974年、1985年和1987年分别对大坝上、下游坝坡和放水涵洞进行修理。该水库坝址以上集雨面积0.25km2，水库总库容为14.05万m3，水库枢纽由拦水坝、溢洪道和放水涵洞等建筑物组成。2007年6月对该水库进行了工程保安加固措施包括：坝顶整修、上下游坝坡整修、溢洪道导水墙加固、原放水涵洞封堵、虹吸管布置、坝基和坝体防渗加固处理、增设工程观测设施、增设管理费及上坝道路、进行白蚁防治以及对库区清淤。改水库属小（2）型Ⅴ等5 级工程，是一座以灌溉为主的小型水利工程，现有灌溉农田面积为 3000 亩。</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、仙岩水库：</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位于平阳县鳌江镇荆仙村荆溪山北麓，于1957年6 月动工兴建，竣工于 1964 年 5 月。水库总库容 50.29 万m3，坝址以上集雨面积 1.30km2。水库枢纽由拦水坝、溢洪道和输水涵洞等建筑物组成。拦水坝原为粘土心墙坝，根据钻孔取样土工试验资料分析认定，该坝型为均质土坝，最大坝高 28m，上游坝坡 1:2.15，下游坝坡分为三级，在高程 85.03m 处设置马道，马道以上坝坡坡比为1:1.90，马道以下至高程 74.56m 坝坡坡比为 1.255，高程 74.56m 至71.56m 坝坡为铅直面，上下游坝面为干砌块石护坡；输水涵洞位于坝体右岸，断面尺寸为 0.6m(宽) ×1.0m（高），洞长 88m，为浆砌条石结构；溢洪道形式为岸坡正槽开敞式溢洪道，它位于大坝左岸，由溢流堰、泄槽、陡坡三部分组成。该水库属小（2）型Ⅴ等 5 级工程，是一座以生活与工业用水为主结合灌溉的水库，现有灌溉农田面积为1800 余亩。</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w:t>
      </w:r>
      <w:r>
        <w:rPr>
          <w:rFonts w:hint="eastAsia" w:ascii="宋体" w:hAnsi="宋体" w:eastAsia="宋体" w:cs="宋体"/>
          <w:sz w:val="22"/>
          <w:szCs w:val="22"/>
          <w:lang w:eastAsia="zh-CN"/>
        </w:rPr>
        <w:t>杨文广坦</w:t>
      </w:r>
      <w:r>
        <w:rPr>
          <w:rFonts w:hint="eastAsia" w:ascii="宋体" w:hAnsi="宋体" w:eastAsia="宋体" w:cs="宋体"/>
          <w:sz w:val="22"/>
          <w:szCs w:val="22"/>
        </w:rPr>
        <w:t>水库：</w:t>
      </w:r>
    </w:p>
    <w:p>
      <w:pPr>
        <w:spacing w:line="360" w:lineRule="auto"/>
        <w:ind w:firstLine="440" w:firstLineChars="200"/>
        <w:rPr>
          <w:rFonts w:hint="eastAsia" w:ascii="宋体" w:hAnsi="宋体" w:eastAsia="宋体" w:cs="宋体"/>
          <w:b/>
          <w:sz w:val="22"/>
          <w:szCs w:val="22"/>
        </w:rPr>
      </w:pPr>
      <w:r>
        <w:rPr>
          <w:rFonts w:hint="eastAsia" w:ascii="宋体" w:hAnsi="宋体" w:eastAsia="宋体" w:cs="宋体"/>
          <w:sz w:val="22"/>
          <w:szCs w:val="22"/>
        </w:rPr>
        <w:t>位于平阳县鳌江镇西塘社区西塘村，水库控制集雨面积为 0.25km²，总库容为 11.50 万 m³，于 1957-1959 年开始建成，1985 年由于涵洞渗漏引起外坡沉陷，已于 1987 年修复加固。由于当时大坝建设缺乏必要的施工技术指导，建设后存在多处漏水，垮塌现象。其后水库经历历年来的大小维修后形成现有规模。2011 年 7 月对该水库进行了除险加固措施包括：1、整修坝顶，统一坝顶高程和宽度。2、对老涵洞进行封堵，另行设计一条输水隧洞。3、对溢洪道右侧山体方向进行拓宽，对护底、左侧导水墙进行加固处理，并清理溢洪道的渣草植物。4、整修上、下游护坡，增设上游山体与坝坡交界处的隔墙及下游坝坡与山体交界处的排水设施。5、在下坝脚处设置一贴坡排水体，在排水体内侧设反滤设施，分别为 300g/m²的土工布、碎石层厚 20cm和中砂层厚 20cm，达到排水反滤的要求。6、增设沉降、位移、水位等观测设施和新建管理房，加强对水库大坝的安全监测，以确保大坝安全运行。7、对大坝白蚁进一步进行检查与防治。8、明确工程管理范围，健全规章制度、档案管理等。9、增设水库上坝道路，其中通村公路 2500m，上坝道路 545m。该水库属小（2）型Ⅴ等 5 级工程，是一座以灌溉为主兼顾防洪的小型水利工程，现有灌溉农田面积为800余亩。</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、罗垟水库：</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位于平阳县鳌江镇罗垟村，于1957年11月开始动工兴建，1962 年正式交付使用。水库坝址以上集雨面积0.56km2，水库总库容为30.40万m3。水库枢纽由拦水坝、溢洪道和放水涵洞等建筑物组成。2007 年 8 月对该水库进行了保安工程设计包括：1、在满足防洪安全的前提下，对坝顶进行整修，统一坝顶高程，同时拆除副坝顶违章建筑物。2、对原坝下放水涵洞进行封堵，另行设计放水设施。3、对溢洪道内杂草进行清理，以改善溢洪道泄洪时水流流态。同时溢洪道的护底、两侧导水墙进行加固处理，并清理溢洪道的杂草植物。4、对上、下游护坡进行整修，在满足灌溉功能上同时考虑美观要求，同时增设下游坝体与坝坡的排水设施及下游坝坡与山体交界处的排水设施。5、对大坝坝体、坝基防渗进行加固处理。6、在水库大坝适当位置增设渗流量、沉降、位移、水位等观测设施和新建管理房，加强对水库大坝的安全监测，以确保大坝安全运行。7、对大坝白蚁进一步进行检查与防治。8、明确工程管理范围，健全规章制度、档案管理等。该水库属小（2）型Ⅴ等 5 级工程，是一座以灌溉为主的小型水利工程，现有灌溉农田面积为 3800 余亩。</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5）</w:t>
      </w:r>
      <w:r>
        <w:rPr>
          <w:rFonts w:hint="eastAsia" w:ascii="宋体" w:hAnsi="宋体" w:eastAsia="宋体" w:cs="宋体"/>
          <w:sz w:val="22"/>
          <w:szCs w:val="22"/>
        </w:rPr>
        <w:t>、岩庵水库</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位于平阳县鳌江镇钱仓社区白水村，水系属鳌江支流梅溪流域，水库控制集雨面积1.03km2，总库容为 61.1 万 m3。岩庵水库于1957年12月动工，1958年7月建成。在20世纪80年代，整修溢洪道，加固迎水坡、背水坡；涵洞进口段漏水封堵，维修启闭机。1990年10月至1991年4月，拆除启闭机房，更新启闭机。1994年12月至1995年4月，对溢洪道进行全面维修。1997年1月至3月，发现涵洞进口处漏水并作了开挖处理。2003年，对坝内涵洞进行了封堵，并在坝体右侧的山体开凿隧道，重建启闭机房。大坝上游坡为干砌块石护坡，下游坡为土坡；溢洪道位于大坝左侧，为正槽开敞式溢洪道，进口底高程 101.50m，宽度为 11m，溢洪道全长 168m；输水隧道位于大坝右侧山体内，为圆拱直墙式，洞长 82.5m，洞径 1.8×1.5m，进口处设置 1 扇插板式闸门和 1 台螺杆式启闭机。该水库属小（2）型Ⅴ等 5 级工程，是一座以生活用水供给为主要功能的水库。</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6）</w:t>
      </w:r>
      <w:r>
        <w:rPr>
          <w:rFonts w:hint="eastAsia" w:ascii="宋体" w:hAnsi="宋体" w:eastAsia="宋体" w:cs="宋体"/>
          <w:sz w:val="22"/>
          <w:szCs w:val="22"/>
        </w:rPr>
        <w:t>、夹坑水库：位于平阳县鳌江镇梅溪社区溪头村，水系属鳌江中下游的梅溪小流域。该水库总库容 23 万 m3，坝址以上集雨面积2.23km2。水库枢纽水库枢纽由拦水坝、溢洪道和放水涵洞等建筑物组成。2010 年 2 月对该水库进行了除险加固设计包括：1、对坝顶进行整修，拆除原防浪墙并重新砌筑，同时对上下游坝坡按要求进行整修。2、在下游坝脚增设排水设施。3、对坝体及坝基进行防渗处理。3、对坝体及坝基进行防渗处理。4、对放水涵洞进行封堵，并另行设计放水设施。5、对溢洪道进行修整。6、增设渗流、沉降、位移、水位等观测设施。7、增设管理房，明确工程管理范围、健全规章制度、档案管理等。该水库属小（2）型Ⅴ等 5 级工程，是一座以灌溉为主的小型水利工程，现有灌溉农田面积为 560 余亩。</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7）</w:t>
      </w:r>
      <w:r>
        <w:rPr>
          <w:rFonts w:hint="eastAsia" w:ascii="宋体" w:hAnsi="宋体" w:eastAsia="宋体" w:cs="宋体"/>
          <w:sz w:val="22"/>
          <w:szCs w:val="22"/>
        </w:rPr>
        <w:t>、墨城水闸</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墨城水闸位于平阳县鳌江镇墨城</w:t>
      </w:r>
      <w:r>
        <w:rPr>
          <w:rFonts w:hint="eastAsia" w:ascii="宋体" w:hAnsi="宋体" w:eastAsia="宋体" w:cs="宋体"/>
          <w:sz w:val="22"/>
          <w:szCs w:val="22"/>
          <w:lang w:val="en-US" w:eastAsia="zh-CN"/>
        </w:rPr>
        <w:t>社区海诚村</w:t>
      </w:r>
      <w:r>
        <w:rPr>
          <w:rFonts w:hint="eastAsia" w:ascii="宋体" w:hAnsi="宋体" w:eastAsia="宋体" w:cs="宋体"/>
          <w:sz w:val="22"/>
          <w:szCs w:val="22"/>
        </w:rPr>
        <w:t>，是平阳县中型出江水闸之一，为该片区的骨干排涝工程，其主要功能为挡潮、排涝、蓄水灌溉。2005年7月开工，2007年7月完工。墨城水闸共3孔，每孔4m,总净宽12m，内部排涝标准20年一遇，挡潮标准50年一遇，设计最大过闸流量185.6m3/s。</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8）</w:t>
      </w:r>
      <w:r>
        <w:rPr>
          <w:rFonts w:hint="eastAsia" w:ascii="宋体" w:hAnsi="宋体" w:eastAsia="宋体" w:cs="宋体"/>
          <w:sz w:val="22"/>
          <w:szCs w:val="22"/>
        </w:rPr>
        <w:t>、梅浦水闸</w:t>
      </w:r>
    </w:p>
    <w:p>
      <w:pPr>
        <w:spacing w:line="360" w:lineRule="auto"/>
        <w:ind w:firstLine="440" w:firstLineChars="200"/>
        <w:outlineLvl w:val="2"/>
        <w:rPr>
          <w:rFonts w:hint="eastAsia" w:ascii="宋体" w:hAnsi="宋体" w:eastAsia="宋体" w:cs="宋体"/>
          <w:sz w:val="22"/>
          <w:szCs w:val="22"/>
        </w:rPr>
      </w:pPr>
      <w:bookmarkStart w:id="3" w:name="_Toc22837"/>
      <w:r>
        <w:rPr>
          <w:rFonts w:hint="eastAsia" w:ascii="宋体" w:hAnsi="宋体" w:eastAsia="宋体" w:cs="宋体"/>
          <w:sz w:val="22"/>
          <w:szCs w:val="22"/>
        </w:rPr>
        <w:t>梅浦水闸位于</w:t>
      </w:r>
      <w:r>
        <w:rPr>
          <w:rFonts w:hint="eastAsia" w:ascii="宋体" w:hAnsi="宋体" w:eastAsia="宋体" w:cs="宋体"/>
          <w:sz w:val="22"/>
          <w:szCs w:val="22"/>
          <w:lang w:val="en-US" w:eastAsia="zh-CN"/>
        </w:rPr>
        <w:t>鳌江镇</w:t>
      </w:r>
      <w:r>
        <w:rPr>
          <w:rFonts w:hint="eastAsia" w:ascii="宋体" w:hAnsi="宋体" w:eastAsia="宋体" w:cs="宋体"/>
          <w:sz w:val="22"/>
          <w:szCs w:val="22"/>
        </w:rPr>
        <w:t>钱仓</w:t>
      </w:r>
      <w:r>
        <w:rPr>
          <w:rFonts w:hint="eastAsia" w:ascii="宋体" w:hAnsi="宋体" w:eastAsia="宋体" w:cs="宋体"/>
          <w:sz w:val="22"/>
          <w:szCs w:val="22"/>
          <w:lang w:val="en-US" w:eastAsia="zh-CN"/>
        </w:rPr>
        <w:t>社区</w:t>
      </w:r>
      <w:r>
        <w:rPr>
          <w:rFonts w:hint="eastAsia" w:ascii="宋体" w:hAnsi="宋体" w:eastAsia="宋体" w:cs="宋体"/>
          <w:sz w:val="22"/>
          <w:szCs w:val="22"/>
        </w:rPr>
        <w:t>梅浦村，为梅溪小流域出江水闸，共计6孔，过闸流量120m3/s，其功能是排涝和蓄水，受益面积6000亩。水闸分东、西二闸室，分二期建成，其中东闸建于1957年，西闸建于1963年，安装6台手摇式启闭机，1977年冬，改用手摇式为机动式，并建启闭机操作房，1982年和1983年水闸有过维修，1991年在水闸下游进行抛石防坍，1997年和1998年水闸有过维修，2001年对水闸下游海漫进行维修加固和启闭机操作房的改造，2007年对水闸进行维修加固并运行直今。</w:t>
      </w:r>
      <w:bookmarkEnd w:id="3"/>
    </w:p>
    <w:p>
      <w:pPr>
        <w:spacing w:line="360" w:lineRule="auto"/>
        <w:ind w:firstLine="440" w:firstLineChars="200"/>
        <w:rPr>
          <w:rFonts w:hint="eastAsia" w:ascii="宋体" w:hAnsi="宋体" w:eastAsia="宋体" w:cs="宋体"/>
          <w:bCs/>
          <w:sz w:val="22"/>
          <w:szCs w:val="22"/>
        </w:rPr>
      </w:pPr>
      <w:r>
        <w:rPr>
          <w:rFonts w:hint="eastAsia" w:ascii="宋体" w:hAnsi="宋体" w:eastAsia="宋体" w:cs="宋体"/>
          <w:sz w:val="22"/>
          <w:szCs w:val="22"/>
          <w:lang w:val="en-US" w:eastAsia="zh-CN"/>
        </w:rPr>
        <w:t>9）</w:t>
      </w:r>
      <w:r>
        <w:rPr>
          <w:rFonts w:hint="eastAsia" w:ascii="宋体" w:hAnsi="宋体" w:eastAsia="宋体" w:cs="宋体"/>
          <w:sz w:val="22"/>
          <w:szCs w:val="22"/>
        </w:rPr>
        <w:t>、</w:t>
      </w:r>
      <w:r>
        <w:rPr>
          <w:rFonts w:hint="eastAsia" w:ascii="宋体" w:hAnsi="宋体" w:eastAsia="宋体" w:cs="宋体"/>
          <w:bCs/>
          <w:sz w:val="22"/>
          <w:szCs w:val="22"/>
        </w:rPr>
        <w:t>宋埠海塘宋埠段</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bCs/>
          <w:sz w:val="22"/>
          <w:szCs w:val="22"/>
        </w:rPr>
        <w:t>始建于1955年，南自西湾海滨村山脚（旧称派田），北至宋埠长桥村，全长3.2千米，经3次续建，于1964年建成土堤。建有排水闸3座4孔，总净宽11.50米，过闸流量52.0立方米每秒。1994年受17号台风大潮袭击，堤塘全线冲垮。1995-1996年，按20年一遇防潮标准进行重建。2000年9月，建造宋埠标准海塘，按III级堤塘50年一遇潮位设计，断面形式为土石混合重力式结构，设计堤顶高程6.42米（85高程下同），现状堤顶高程在5.77m-6.29m,设计防浪墙顶高程7.62米，现状防浪墙高程在6.91m-7.51m。工程于2001年11月全部建成，总投资为1033.5万元。保护3万多人口，2.5万亩农田，以及几十家企业的安全。</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10）</w:t>
      </w:r>
      <w:r>
        <w:rPr>
          <w:rFonts w:hint="eastAsia" w:ascii="宋体" w:hAnsi="宋体" w:eastAsia="宋体" w:cs="宋体"/>
          <w:sz w:val="22"/>
          <w:szCs w:val="22"/>
        </w:rPr>
        <w:t>、鳌江标准堤镇区段</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鳌江标准堤镇区段工程上游起于雁门水闸，下游至下埠水闸，总长约3.684km，防洪标准为50年一遇，工程始建于2001年，2011年11月由温州市水利局鉴定为“三类塘”，后于2015年9月25日进行除险加固工作。鳌江标准堤镇区段是保护鳌江镇区人民生命财产安全生命线的重要组成部分。</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11）</w:t>
      </w:r>
      <w:r>
        <w:rPr>
          <w:rFonts w:hint="eastAsia" w:ascii="宋体" w:hAnsi="宋体" w:eastAsia="宋体" w:cs="宋体"/>
          <w:sz w:val="22"/>
          <w:szCs w:val="22"/>
        </w:rPr>
        <w:t>、鳌江标准堤垂杨段</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鳌江标准堤垂杨段工程上游起于龙港大桥附件，下游至雁门水闸，总长约2.11km，工程始建于2000年7月份，于2001年1月竣工，当时防洪标准为20年一遇，2012年1月由温州市水利局鉴定为“三类塘”，后于2015年9月25日进行除险加固工作，防洪标准提升为50年一遇。工程沿线主要水闸有雁门水闸，工程沿线码头众多，涉及的旱闸共有8座。</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12）</w:t>
      </w:r>
      <w:r>
        <w:rPr>
          <w:rFonts w:hint="eastAsia" w:ascii="宋体" w:hAnsi="宋体" w:eastAsia="宋体" w:cs="宋体"/>
          <w:sz w:val="22"/>
          <w:szCs w:val="22"/>
        </w:rPr>
        <w:t>、鳌江标准堤下埠段</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鳌江标准堤下埠段工程上游起于下埠水闸，下游至红砖厂，全长：2.32km，该工程防洪标准化为50年一遇，工程具有防洪的任务，工程始建于1998年3月，于1998年12月份竣工，2011年11月由温州市水利局鉴定为“三类塘”，后于2015年9月25日进行除险加固工作。工程沿线主要水闸有下埠水闸及三座小涵闸。</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13）</w:t>
      </w:r>
      <w:r>
        <w:rPr>
          <w:rFonts w:hint="eastAsia" w:ascii="宋体" w:hAnsi="宋体" w:eastAsia="宋体" w:cs="宋体"/>
          <w:sz w:val="22"/>
          <w:szCs w:val="22"/>
        </w:rPr>
        <w:t>、梅里山塘</w:t>
      </w:r>
    </w:p>
    <w:p>
      <w:pPr>
        <w:spacing w:line="360" w:lineRule="auto"/>
        <w:ind w:firstLine="560"/>
        <w:rPr>
          <w:rFonts w:hint="eastAsia" w:ascii="宋体" w:hAnsi="宋体" w:eastAsia="宋体" w:cs="宋体"/>
          <w:sz w:val="22"/>
          <w:szCs w:val="22"/>
          <w:lang w:val="en-US" w:eastAsia="zh-CN"/>
        </w:rPr>
      </w:pPr>
      <w:r>
        <w:rPr>
          <w:rFonts w:hint="eastAsia" w:ascii="宋体" w:hAnsi="宋体" w:eastAsia="宋体" w:cs="宋体"/>
          <w:sz w:val="22"/>
          <w:szCs w:val="22"/>
        </w:rPr>
        <w:t>平阳县鳌江镇梅里山塘位于平阳县鳌江镇梅溪社区梅里村所有权归属梅里村村民委员会，距离梅里村约1.0km。坝址以上集雨面积0.339k㎡，山塘主流长度0.644km，主流平均坡降为18.79%，山塘总库容为9.6万m³，根据《浙江省山塘综合整治技术导则（试行）》规定，工程规模为山（1）型，工程等别属VI等，主要建筑物为6级，次要建筑物为6级。</w:t>
      </w:r>
    </w:p>
    <w:p>
      <w:pPr>
        <w:spacing w:line="400" w:lineRule="exact"/>
        <w:ind w:firstLine="442" w:firstLineChars="200"/>
        <w:rPr>
          <w:rFonts w:hint="eastAsia"/>
          <w:b/>
          <w:sz w:val="22"/>
          <w:szCs w:val="22"/>
        </w:rPr>
      </w:pPr>
      <w:r>
        <w:rPr>
          <w:rFonts w:hint="eastAsia"/>
          <w:b/>
          <w:sz w:val="22"/>
          <w:szCs w:val="22"/>
        </w:rPr>
        <w:t>（2）水库、水闸、海塘、山塘的主要技术要求及相关考核表格</w:t>
      </w:r>
    </w:p>
    <w:p>
      <w:pPr>
        <w:spacing w:line="400" w:lineRule="exact"/>
        <w:ind w:firstLine="442" w:firstLineChars="200"/>
        <w:rPr>
          <w:rFonts w:hint="eastAsia"/>
          <w:b/>
          <w:color w:val="auto"/>
          <w:sz w:val="22"/>
          <w:szCs w:val="22"/>
        </w:rPr>
      </w:pPr>
      <w:r>
        <w:rPr>
          <w:rFonts w:hint="eastAsia"/>
          <w:b/>
          <w:color w:val="auto"/>
          <w:sz w:val="22"/>
          <w:szCs w:val="22"/>
        </w:rPr>
        <w:t xml:space="preserve">  a）本次采购执行标准：</w:t>
      </w:r>
    </w:p>
    <w:p>
      <w:pPr>
        <w:spacing w:line="400" w:lineRule="exact"/>
        <w:ind w:firstLine="442" w:firstLineChars="200"/>
        <w:rPr>
          <w:rFonts w:hint="eastAsia"/>
          <w:b/>
          <w:color w:val="auto"/>
          <w:sz w:val="22"/>
          <w:szCs w:val="22"/>
        </w:rPr>
      </w:pPr>
      <w:r>
        <w:rPr>
          <w:rFonts w:hint="eastAsia"/>
          <w:b/>
          <w:color w:val="auto"/>
          <w:sz w:val="22"/>
          <w:szCs w:val="22"/>
        </w:rPr>
        <w:t xml:space="preserve">       1、DB33/T 2083—2017《山塘运行管理规程》；</w:t>
      </w:r>
    </w:p>
    <w:p>
      <w:pPr>
        <w:spacing w:line="400" w:lineRule="exact"/>
        <w:ind w:firstLine="442" w:firstLineChars="200"/>
        <w:rPr>
          <w:rFonts w:hint="eastAsia"/>
          <w:b/>
          <w:color w:val="auto"/>
          <w:sz w:val="22"/>
          <w:szCs w:val="22"/>
        </w:rPr>
      </w:pPr>
      <w:r>
        <w:rPr>
          <w:rFonts w:hint="eastAsia"/>
          <w:b/>
          <w:color w:val="auto"/>
          <w:sz w:val="22"/>
          <w:szCs w:val="22"/>
        </w:rPr>
        <w:t xml:space="preserve">       2、DB33/T 2109—2018《大中型水闸运行管理规程》；</w:t>
      </w:r>
    </w:p>
    <w:p>
      <w:pPr>
        <w:spacing w:line="400" w:lineRule="exact"/>
        <w:ind w:firstLine="442" w:firstLineChars="200"/>
        <w:rPr>
          <w:rFonts w:hint="eastAsia"/>
          <w:b/>
          <w:color w:val="auto"/>
          <w:sz w:val="22"/>
          <w:szCs w:val="22"/>
        </w:rPr>
      </w:pPr>
      <w:r>
        <w:rPr>
          <w:rFonts w:hint="eastAsia"/>
          <w:b/>
          <w:color w:val="auto"/>
          <w:sz w:val="22"/>
          <w:szCs w:val="22"/>
        </w:rPr>
        <w:t xml:space="preserve">       3、DB33/ T 2214—2019《小型水库管理规程》；</w:t>
      </w:r>
    </w:p>
    <w:p>
      <w:pPr>
        <w:spacing w:line="400" w:lineRule="exact"/>
        <w:ind w:firstLine="442" w:firstLineChars="200"/>
        <w:rPr>
          <w:rFonts w:hint="eastAsia"/>
          <w:b/>
          <w:color w:val="auto"/>
          <w:sz w:val="22"/>
          <w:szCs w:val="22"/>
        </w:rPr>
      </w:pPr>
      <w:r>
        <w:rPr>
          <w:rFonts w:hint="eastAsia"/>
          <w:b/>
          <w:color w:val="auto"/>
          <w:sz w:val="22"/>
          <w:szCs w:val="22"/>
        </w:rPr>
        <w:t xml:space="preserve">       4、DB33/T 596—2019《海塘工程管理规程》；</w:t>
      </w:r>
    </w:p>
    <w:p>
      <w:pPr>
        <w:spacing w:line="400" w:lineRule="exact"/>
        <w:ind w:firstLine="442" w:firstLineChars="200"/>
        <w:rPr>
          <w:rFonts w:hint="eastAsia"/>
          <w:b/>
          <w:sz w:val="22"/>
          <w:szCs w:val="22"/>
        </w:rPr>
      </w:pPr>
      <w:r>
        <w:rPr>
          <w:rFonts w:hint="eastAsia"/>
          <w:b/>
          <w:sz w:val="22"/>
          <w:szCs w:val="22"/>
        </w:rPr>
        <w:t xml:space="preserve">       5、物业化管理工作要求与技术标准；</w:t>
      </w:r>
    </w:p>
    <w:p>
      <w:pPr>
        <w:spacing w:line="400" w:lineRule="exact"/>
        <w:ind w:firstLine="440" w:firstLineChars="200"/>
        <w:rPr>
          <w:rFonts w:hint="eastAsia"/>
          <w:b/>
          <w:sz w:val="22"/>
          <w:szCs w:val="22"/>
        </w:rPr>
      </w:pPr>
      <w:r>
        <w:rPr>
          <w:rFonts w:hint="eastAsia"/>
          <w:sz w:val="22"/>
          <w:szCs w:val="22"/>
        </w:rPr>
        <w:t>▲</w:t>
      </w:r>
      <w:r>
        <w:rPr>
          <w:rFonts w:hint="eastAsia"/>
          <w:b/>
          <w:sz w:val="22"/>
          <w:szCs w:val="22"/>
        </w:rPr>
        <w:t>b）招标文件总体要求和本条款统一使用，如遇浙江省水利厅发布的最新有关物业化管理相关内容，按浙江省水利厅最新的规章制度进行物业化管理。</w:t>
      </w:r>
    </w:p>
    <w:p>
      <w:pPr>
        <w:spacing w:line="400" w:lineRule="exact"/>
        <w:ind w:firstLine="440" w:firstLineChars="200"/>
        <w:rPr>
          <w:rFonts w:hint="eastAsia"/>
          <w:b/>
          <w:color w:val="auto"/>
          <w:sz w:val="22"/>
          <w:szCs w:val="22"/>
          <w:highlight w:val="none"/>
        </w:rPr>
      </w:pPr>
      <w:r>
        <w:rPr>
          <w:rFonts w:hint="eastAsia"/>
          <w:sz w:val="22"/>
          <w:szCs w:val="22"/>
        </w:rPr>
        <w:t>▲</w:t>
      </w:r>
      <w:r>
        <w:rPr>
          <w:rFonts w:hint="eastAsia"/>
          <w:b/>
          <w:sz w:val="22"/>
          <w:szCs w:val="22"/>
        </w:rPr>
        <w:t>c）考核办法：</w:t>
      </w:r>
      <w:r>
        <w:rPr>
          <w:rFonts w:hint="eastAsia"/>
          <w:b/>
          <w:color w:val="auto"/>
          <w:sz w:val="22"/>
          <w:szCs w:val="22"/>
          <w:highlight w:val="none"/>
        </w:rPr>
        <w:t>以平阳县水利局最新水利工程物业管理办法为准。</w:t>
      </w:r>
    </w:p>
    <w:p>
      <w:pPr>
        <w:pStyle w:val="43"/>
        <w:ind w:firstLine="440" w:firstLineChars="200"/>
        <w:rPr>
          <w:rFonts w:hint="default" w:eastAsia="宋体"/>
          <w:lang w:val="en-US" w:eastAsia="zh-CN"/>
        </w:rPr>
      </w:pPr>
      <w:r>
        <w:rPr>
          <w:rFonts w:hint="eastAsia"/>
          <w:sz w:val="22"/>
          <w:szCs w:val="22"/>
        </w:rPr>
        <w:t>▲</w:t>
      </w:r>
      <w:r>
        <w:rPr>
          <w:rFonts w:hint="eastAsia"/>
          <w:sz w:val="22"/>
          <w:szCs w:val="22"/>
          <w:lang w:val="en-US" w:eastAsia="zh-CN"/>
        </w:rPr>
        <w:t>d</w:t>
      </w:r>
      <w:r>
        <w:rPr>
          <w:rFonts w:hint="eastAsia"/>
          <w:b/>
          <w:sz w:val="22"/>
          <w:szCs w:val="22"/>
        </w:rPr>
        <w:t>）</w:t>
      </w:r>
      <w:r>
        <w:rPr>
          <w:rFonts w:hint="eastAsia"/>
          <w:b/>
          <w:sz w:val="22"/>
          <w:szCs w:val="22"/>
          <w:lang w:val="en-US" w:eastAsia="zh-CN"/>
        </w:rPr>
        <w:t>采购人有权不定期的进行抽查考核。</w:t>
      </w:r>
    </w:p>
    <w:p>
      <w:pPr>
        <w:autoSpaceDE w:val="0"/>
        <w:autoSpaceDN w:val="0"/>
        <w:adjustRightInd w:val="0"/>
        <w:spacing w:line="440" w:lineRule="atLeast"/>
        <w:rPr>
          <w:rFonts w:ascii="宋体"/>
          <w:b/>
          <w:sz w:val="22"/>
          <w:szCs w:val="22"/>
        </w:rPr>
      </w:pPr>
      <w:r>
        <w:rPr>
          <w:rFonts w:hint="eastAsia" w:ascii="宋体" w:hAnsi="宋体"/>
          <w:b/>
          <w:sz w:val="22"/>
          <w:szCs w:val="22"/>
          <w:lang w:val="en-US" w:eastAsia="zh-CN"/>
        </w:rPr>
        <w:t>三</w:t>
      </w:r>
      <w:r>
        <w:rPr>
          <w:rFonts w:hint="eastAsia" w:ascii="宋体" w:hAnsi="宋体"/>
          <w:b/>
          <w:sz w:val="22"/>
          <w:szCs w:val="22"/>
        </w:rPr>
        <w:t>、商务条款：</w:t>
      </w:r>
    </w:p>
    <w:p>
      <w:pPr>
        <w:snapToGrid w:val="0"/>
        <w:spacing w:line="420" w:lineRule="exact"/>
        <w:rPr>
          <w:rFonts w:hint="eastAsia" w:ascii="宋体"/>
          <w:b/>
          <w:bCs/>
          <w:color w:val="auto"/>
          <w:sz w:val="22"/>
          <w:szCs w:val="22"/>
          <w:highlight w:val="none"/>
        </w:rPr>
      </w:pPr>
      <w:r>
        <w:rPr>
          <w:rFonts w:hint="eastAsia" w:ascii="宋体"/>
          <w:b/>
          <w:bCs/>
          <w:color w:val="auto"/>
          <w:sz w:val="22"/>
          <w:szCs w:val="22"/>
          <w:highlight w:val="none"/>
          <w:lang w:val="en-US" w:eastAsia="zh-CN"/>
        </w:rPr>
        <w:t>1、</w:t>
      </w:r>
      <w:r>
        <w:rPr>
          <w:rFonts w:hint="eastAsia" w:ascii="宋体"/>
          <w:b/>
          <w:bCs/>
          <w:color w:val="auto"/>
          <w:sz w:val="22"/>
          <w:szCs w:val="22"/>
          <w:highlight w:val="none"/>
        </w:rPr>
        <w:t>服务承包期限：2年（采用1+1模式）。首次合同签订期限为1年，在1年合同期满后如乙方的</w:t>
      </w:r>
      <w:r>
        <w:rPr>
          <w:rFonts w:hint="eastAsia" w:ascii="宋体"/>
          <w:b/>
          <w:bCs/>
          <w:color w:val="auto"/>
          <w:sz w:val="22"/>
          <w:szCs w:val="22"/>
          <w:highlight w:val="none"/>
          <w:lang w:val="en-US" w:eastAsia="zh-CN"/>
        </w:rPr>
        <w:t>物业化管理</w:t>
      </w:r>
      <w:r>
        <w:rPr>
          <w:rFonts w:hint="eastAsia" w:ascii="宋体"/>
          <w:b/>
          <w:bCs/>
          <w:color w:val="auto"/>
          <w:sz w:val="22"/>
          <w:szCs w:val="22"/>
          <w:highlight w:val="none"/>
        </w:rPr>
        <w:t>服务达到甲方的各项考核目标，甲方有权按年续签合同</w:t>
      </w:r>
      <w:r>
        <w:rPr>
          <w:rFonts w:hint="eastAsia" w:ascii="宋体"/>
          <w:b/>
          <w:bCs/>
          <w:color w:val="auto"/>
          <w:sz w:val="22"/>
          <w:szCs w:val="22"/>
          <w:highlight w:val="none"/>
          <w:lang w:eastAsia="zh-CN"/>
        </w:rPr>
        <w:t>，</w:t>
      </w:r>
      <w:r>
        <w:rPr>
          <w:rFonts w:hint="eastAsia" w:ascii="宋体"/>
          <w:b/>
          <w:bCs/>
          <w:color w:val="auto"/>
          <w:sz w:val="22"/>
          <w:szCs w:val="22"/>
          <w:highlight w:val="none"/>
          <w:lang w:val="en-US" w:eastAsia="zh-CN"/>
        </w:rPr>
        <w:t>如果乙方的物业化管理</w:t>
      </w:r>
      <w:r>
        <w:rPr>
          <w:rFonts w:hint="eastAsia" w:ascii="宋体"/>
          <w:b/>
          <w:bCs/>
          <w:color w:val="auto"/>
          <w:sz w:val="22"/>
          <w:szCs w:val="22"/>
          <w:highlight w:val="none"/>
        </w:rPr>
        <w:t>服务</w:t>
      </w:r>
      <w:r>
        <w:rPr>
          <w:rFonts w:hint="eastAsia" w:ascii="宋体"/>
          <w:b/>
          <w:bCs/>
          <w:color w:val="auto"/>
          <w:sz w:val="22"/>
          <w:szCs w:val="22"/>
          <w:highlight w:val="none"/>
          <w:lang w:val="en-US" w:eastAsia="zh-CN"/>
        </w:rPr>
        <w:t>未</w:t>
      </w:r>
      <w:r>
        <w:rPr>
          <w:rFonts w:hint="eastAsia" w:ascii="宋体"/>
          <w:b/>
          <w:bCs/>
          <w:color w:val="auto"/>
          <w:sz w:val="22"/>
          <w:szCs w:val="22"/>
          <w:highlight w:val="none"/>
        </w:rPr>
        <w:t>达到甲方</w:t>
      </w:r>
      <w:r>
        <w:rPr>
          <w:rFonts w:hint="eastAsia" w:ascii="宋体"/>
          <w:b/>
          <w:bCs/>
          <w:color w:val="auto"/>
          <w:sz w:val="22"/>
          <w:szCs w:val="22"/>
          <w:highlight w:val="none"/>
          <w:lang w:val="en-US" w:eastAsia="zh-CN"/>
        </w:rPr>
        <w:t>的要求，甲方可以不在续签合同且不承担任何责任，甲方</w:t>
      </w:r>
      <w:r>
        <w:rPr>
          <w:rFonts w:hint="eastAsia" w:ascii="宋体"/>
          <w:b/>
          <w:bCs/>
          <w:color w:val="auto"/>
          <w:sz w:val="22"/>
          <w:szCs w:val="22"/>
          <w:highlight w:val="none"/>
        </w:rPr>
        <w:t>对本条款具有决定权。</w:t>
      </w:r>
    </w:p>
    <w:p>
      <w:pPr>
        <w:snapToGrid w:val="0"/>
        <w:spacing w:line="420" w:lineRule="exact"/>
        <w:rPr>
          <w:rFonts w:hint="default" w:ascii="宋体" w:hAnsi="Times New Roman" w:eastAsia="宋体" w:cs="Times New Roman"/>
          <w:b/>
          <w:bCs/>
          <w:color w:val="auto"/>
          <w:spacing w:val="0"/>
          <w:kern w:val="2"/>
          <w:sz w:val="22"/>
          <w:szCs w:val="22"/>
          <w:highlight w:val="none"/>
          <w:lang w:val="en-US" w:eastAsia="zh-CN" w:bidi="ar-SA"/>
        </w:rPr>
      </w:pPr>
      <w:r>
        <w:rPr>
          <w:rFonts w:hint="eastAsia" w:ascii="宋体" w:hAnsi="Times New Roman" w:eastAsia="宋体" w:cs="Times New Roman"/>
          <w:b/>
          <w:bCs/>
          <w:color w:val="auto"/>
          <w:spacing w:val="0"/>
          <w:kern w:val="2"/>
          <w:sz w:val="22"/>
          <w:szCs w:val="22"/>
          <w:highlight w:val="none"/>
          <w:lang w:val="en-US" w:eastAsia="zh-CN" w:bidi="ar-SA"/>
        </w:rPr>
        <w:t>2、自2021年1月1日以来至合同签订时间止，该期间的物业化管理及保洁人员的工资由中标供应商支付，包括在投标总价中，投标供应商在报价时应综合考虑报价风险。</w:t>
      </w:r>
    </w:p>
    <w:p>
      <w:pPr>
        <w:snapToGrid w:val="0"/>
        <w:spacing w:line="420" w:lineRule="exact"/>
        <w:rPr>
          <w:rFonts w:hint="eastAsia" w:ascii="宋体"/>
          <w:b/>
          <w:bCs/>
          <w:sz w:val="22"/>
          <w:szCs w:val="22"/>
          <w:highlight w:val="none"/>
        </w:rPr>
      </w:pPr>
      <w:r>
        <w:rPr>
          <w:rFonts w:hint="eastAsia" w:ascii="宋体"/>
          <w:b/>
          <w:bCs/>
          <w:sz w:val="22"/>
          <w:szCs w:val="22"/>
          <w:highlight w:val="none"/>
          <w:lang w:val="en-US" w:eastAsia="zh-CN"/>
        </w:rPr>
        <w:t>3</w:t>
      </w:r>
      <w:r>
        <w:rPr>
          <w:rFonts w:hint="eastAsia" w:ascii="宋体"/>
          <w:b/>
          <w:bCs/>
          <w:sz w:val="22"/>
          <w:szCs w:val="22"/>
          <w:highlight w:val="none"/>
        </w:rPr>
        <w:t>、服务承包费的支付：</w:t>
      </w:r>
    </w:p>
    <w:p>
      <w:pPr>
        <w:snapToGrid w:val="0"/>
        <w:spacing w:line="420" w:lineRule="exact"/>
        <w:rPr>
          <w:rFonts w:hint="eastAsia" w:ascii="宋体"/>
          <w:b/>
          <w:color w:val="000000"/>
          <w:sz w:val="22"/>
          <w:szCs w:val="22"/>
          <w:highlight w:val="none"/>
          <w:u w:val="single"/>
        </w:rPr>
      </w:pPr>
      <w:r>
        <w:rPr>
          <w:rFonts w:hint="eastAsia" w:ascii="宋体"/>
          <w:b/>
          <w:color w:val="000000"/>
          <w:sz w:val="22"/>
          <w:szCs w:val="22"/>
          <w:highlight w:val="none"/>
          <w:u w:val="single"/>
          <w:lang w:val="en-US" w:eastAsia="zh-CN"/>
        </w:rPr>
        <w:t>3.1</w:t>
      </w:r>
      <w:r>
        <w:rPr>
          <w:rFonts w:hint="eastAsia" w:ascii="宋体"/>
          <w:b/>
          <w:color w:val="000000"/>
          <w:sz w:val="22"/>
          <w:szCs w:val="22"/>
          <w:highlight w:val="none"/>
          <w:u w:val="single"/>
        </w:rPr>
        <w:t>合同签订后七个工作日内，中标供应商应提供合同总价5％的履约保证金（可采用保函方式提交），待</w:t>
      </w:r>
      <w:r>
        <w:rPr>
          <w:rFonts w:hint="eastAsia" w:ascii="宋体"/>
          <w:b/>
          <w:color w:val="000000"/>
          <w:sz w:val="22"/>
          <w:szCs w:val="22"/>
          <w:highlight w:val="none"/>
          <w:u w:val="single"/>
          <w:lang w:val="en-US" w:eastAsia="zh-CN"/>
        </w:rPr>
        <w:t>服务</w:t>
      </w:r>
      <w:r>
        <w:rPr>
          <w:rFonts w:hint="eastAsia" w:ascii="宋体"/>
          <w:b/>
          <w:color w:val="000000"/>
          <w:sz w:val="22"/>
          <w:szCs w:val="22"/>
          <w:highlight w:val="none"/>
          <w:u w:val="single"/>
        </w:rPr>
        <w:t>承包期结束后十五个工作日内无息退还其履约保证金。</w:t>
      </w:r>
    </w:p>
    <w:p>
      <w:pPr>
        <w:snapToGrid w:val="0"/>
        <w:spacing w:line="420" w:lineRule="exact"/>
        <w:rPr>
          <w:rFonts w:hint="eastAsia" w:ascii="宋体"/>
          <w:b/>
          <w:color w:val="auto"/>
          <w:sz w:val="22"/>
          <w:szCs w:val="22"/>
          <w:highlight w:val="none"/>
          <w:u w:val="single"/>
        </w:rPr>
      </w:pPr>
      <w:r>
        <w:rPr>
          <w:rFonts w:hint="eastAsia" w:ascii="宋体"/>
          <w:b/>
          <w:color w:val="000000"/>
          <w:sz w:val="22"/>
          <w:szCs w:val="22"/>
          <w:highlight w:val="none"/>
          <w:u w:val="single"/>
          <w:lang w:val="en-US" w:eastAsia="zh-CN"/>
        </w:rPr>
        <w:t>3.2</w:t>
      </w:r>
      <w:r>
        <w:rPr>
          <w:rFonts w:hint="eastAsia" w:ascii="宋体"/>
          <w:b/>
          <w:color w:val="000000"/>
          <w:sz w:val="22"/>
          <w:szCs w:val="22"/>
          <w:highlight w:val="none"/>
          <w:u w:val="single"/>
        </w:rPr>
        <w:t>合同签订后七个工作日内，采购人向中标供应商支付合同金额</w:t>
      </w:r>
      <w:r>
        <w:rPr>
          <w:rFonts w:hint="eastAsia" w:ascii="宋体"/>
          <w:b/>
          <w:color w:val="000000"/>
          <w:sz w:val="22"/>
          <w:szCs w:val="22"/>
          <w:highlight w:val="none"/>
          <w:u w:val="single"/>
          <w:lang w:val="en-US" w:eastAsia="zh-CN"/>
        </w:rPr>
        <w:t>10</w:t>
      </w:r>
      <w:r>
        <w:rPr>
          <w:rFonts w:hint="eastAsia" w:ascii="宋体"/>
          <w:b/>
          <w:color w:val="000000"/>
          <w:sz w:val="22"/>
          <w:szCs w:val="22"/>
          <w:highlight w:val="none"/>
          <w:u w:val="single"/>
        </w:rPr>
        <w:t>%的预付款（中标供应商需要提供银</w:t>
      </w:r>
      <w:r>
        <w:rPr>
          <w:rFonts w:hint="eastAsia" w:ascii="宋体"/>
          <w:b/>
          <w:color w:val="auto"/>
          <w:sz w:val="22"/>
          <w:szCs w:val="22"/>
          <w:highlight w:val="none"/>
          <w:u w:val="single"/>
        </w:rPr>
        <w:t>行、保险公司等金融机构出具的预付款保函）。</w:t>
      </w:r>
    </w:p>
    <w:p>
      <w:pPr>
        <w:spacing w:line="360" w:lineRule="auto"/>
        <w:ind w:firstLine="221" w:firstLineChars="100"/>
        <w:outlineLvl w:val="0"/>
        <w:rPr>
          <w:rFonts w:hint="eastAsia" w:ascii="宋体" w:hAnsi="宋体"/>
          <w:b/>
          <w:color w:val="auto"/>
          <w:sz w:val="22"/>
          <w:szCs w:val="22"/>
          <w:u w:val="single"/>
        </w:rPr>
      </w:pPr>
      <w:r>
        <w:rPr>
          <w:rFonts w:hint="eastAsia" w:ascii="宋体" w:hAnsi="宋体"/>
          <w:b/>
          <w:color w:val="auto"/>
          <w:sz w:val="22"/>
          <w:szCs w:val="22"/>
          <w:u w:val="single"/>
          <w:lang w:val="en-US" w:eastAsia="zh-CN"/>
        </w:rPr>
        <w:t>3.</w:t>
      </w:r>
      <w:r>
        <w:rPr>
          <w:rFonts w:hint="eastAsia" w:ascii="宋体" w:hAnsi="宋体"/>
          <w:b/>
          <w:color w:val="auto"/>
          <w:sz w:val="22"/>
          <w:szCs w:val="22"/>
          <w:u w:val="single"/>
        </w:rPr>
        <w:t>2.1在签订合同时，中标人明确表示无需预付款或者主动要求降低预付款比例的，采购单位可按中标人的意见执行。</w:t>
      </w:r>
    </w:p>
    <w:p>
      <w:pPr>
        <w:spacing w:line="360" w:lineRule="auto"/>
        <w:ind w:firstLine="221" w:firstLineChars="100"/>
        <w:outlineLvl w:val="0"/>
        <w:rPr>
          <w:rFonts w:hint="eastAsia"/>
          <w:color w:val="auto"/>
        </w:rPr>
      </w:pPr>
      <w:r>
        <w:rPr>
          <w:rFonts w:hint="eastAsia" w:ascii="宋体" w:hAnsi="宋体"/>
          <w:b/>
          <w:color w:val="auto"/>
          <w:sz w:val="22"/>
          <w:szCs w:val="22"/>
          <w:u w:val="single"/>
          <w:lang w:val="en-US" w:eastAsia="zh-CN"/>
        </w:rPr>
        <w:t>3.</w:t>
      </w:r>
      <w:r>
        <w:rPr>
          <w:rFonts w:hint="eastAsia" w:ascii="宋体" w:hAnsi="宋体"/>
          <w:b/>
          <w:color w:val="auto"/>
          <w:sz w:val="22"/>
          <w:szCs w:val="22"/>
          <w:u w:val="single"/>
        </w:rPr>
        <w:t>2.2在签订合同时，中标人要求预付款的。采购单位有权要求中标人提供银行、保险公司等金融机构出具的预付款保函或其他担保措施。</w:t>
      </w:r>
    </w:p>
    <w:p>
      <w:pPr>
        <w:widowControl/>
        <w:snapToGrid w:val="0"/>
        <w:spacing w:line="420" w:lineRule="exact"/>
        <w:jc w:val="left"/>
        <w:rPr>
          <w:rFonts w:hint="eastAsia" w:ascii="宋体" w:hAnsi="宋体" w:cs="宋体"/>
          <w:b/>
          <w:bCs/>
          <w:color w:val="auto"/>
          <w:kern w:val="1"/>
          <w:sz w:val="22"/>
          <w:szCs w:val="22"/>
          <w:highlight w:val="none"/>
          <w:lang w:val="en-US" w:eastAsia="zh-CN"/>
        </w:rPr>
      </w:pPr>
      <w:r>
        <w:rPr>
          <w:rFonts w:hint="eastAsia" w:ascii="宋体"/>
          <w:b/>
          <w:color w:val="auto"/>
          <w:sz w:val="22"/>
          <w:szCs w:val="22"/>
          <w:highlight w:val="none"/>
          <w:u w:val="single"/>
          <w:lang w:val="en-US" w:eastAsia="zh-CN"/>
        </w:rPr>
        <w:t>3.3</w:t>
      </w:r>
      <w:r>
        <w:rPr>
          <w:rFonts w:hint="eastAsia" w:ascii="宋体"/>
          <w:b/>
          <w:color w:val="auto"/>
          <w:sz w:val="22"/>
          <w:szCs w:val="22"/>
          <w:highlight w:val="none"/>
          <w:u w:val="single"/>
        </w:rPr>
        <w:t>签订合同后，本期应支付进度款＝（应支付总价子目合计÷考核总期数）－考核结果应扣款项</w:t>
      </w:r>
      <w:r>
        <w:rPr>
          <w:rFonts w:hint="eastAsia" w:ascii="宋体"/>
          <w:b/>
          <w:color w:val="auto"/>
          <w:sz w:val="22"/>
          <w:szCs w:val="22"/>
          <w:highlight w:val="none"/>
          <w:u w:val="single"/>
          <w:lang w:eastAsia="zh-CN"/>
        </w:rPr>
        <w:t>，</w:t>
      </w:r>
      <w:r>
        <w:rPr>
          <w:rFonts w:hint="eastAsia" w:ascii="宋体"/>
          <w:b/>
          <w:color w:val="auto"/>
          <w:sz w:val="22"/>
          <w:szCs w:val="22"/>
          <w:highlight w:val="none"/>
          <w:u w:val="single"/>
        </w:rPr>
        <w:t>并按比例扣回预付款。</w:t>
      </w:r>
    </w:p>
    <w:p>
      <w:pPr>
        <w:pStyle w:val="14"/>
        <w:spacing w:line="460" w:lineRule="exact"/>
        <w:ind w:left="0" w:leftChars="0" w:firstLine="0" w:firstLineChars="0"/>
        <w:rPr>
          <w:rFonts w:ascii="宋体" w:hAnsi="宋体" w:cs="宋体"/>
          <w:b/>
          <w:bCs/>
          <w:color w:val="auto"/>
          <w:kern w:val="1"/>
          <w:sz w:val="22"/>
          <w:szCs w:val="22"/>
          <w:highlight w:val="none"/>
        </w:rPr>
      </w:pPr>
      <w:r>
        <w:rPr>
          <w:rFonts w:hint="eastAsia" w:ascii="宋体" w:hAnsi="宋体" w:cs="宋体"/>
          <w:b/>
          <w:bCs/>
          <w:color w:val="auto"/>
          <w:kern w:val="1"/>
          <w:sz w:val="22"/>
          <w:szCs w:val="22"/>
          <w:highlight w:val="none"/>
          <w:lang w:val="en-US" w:eastAsia="zh-CN"/>
        </w:rPr>
        <w:t>四</w:t>
      </w:r>
      <w:r>
        <w:rPr>
          <w:rFonts w:hint="eastAsia" w:ascii="宋体" w:hAnsi="宋体" w:cs="宋体"/>
          <w:b/>
          <w:bCs/>
          <w:color w:val="auto"/>
          <w:kern w:val="1"/>
          <w:sz w:val="22"/>
          <w:szCs w:val="22"/>
          <w:highlight w:val="none"/>
        </w:rPr>
        <w:t>、其他要求</w:t>
      </w:r>
    </w:p>
    <w:p>
      <w:pPr>
        <w:snapToGrid w:val="0"/>
        <w:spacing w:line="460" w:lineRule="atLeast"/>
        <w:ind w:firstLine="440" w:firstLineChars="200"/>
        <w:rPr>
          <w:sz w:val="22"/>
          <w:szCs w:val="22"/>
        </w:rPr>
      </w:pPr>
      <w:r>
        <w:rPr>
          <w:rFonts w:hint="eastAsia"/>
          <w:sz w:val="22"/>
          <w:szCs w:val="22"/>
        </w:rPr>
        <w:t>1、中标人应加</w:t>
      </w:r>
      <w:r>
        <w:rPr>
          <w:rFonts w:hint="eastAsia"/>
          <w:color w:val="auto"/>
          <w:sz w:val="22"/>
          <w:szCs w:val="22"/>
        </w:rPr>
        <w:t>强</w:t>
      </w:r>
      <w:r>
        <w:rPr>
          <w:rFonts w:hint="eastAsia"/>
          <w:color w:val="auto"/>
          <w:sz w:val="22"/>
          <w:szCs w:val="22"/>
          <w:lang w:eastAsia="zh-CN"/>
        </w:rPr>
        <w:t>项目实施及后期维护过程中</w:t>
      </w:r>
      <w:r>
        <w:rPr>
          <w:rFonts w:hint="eastAsia"/>
          <w:color w:val="auto"/>
          <w:sz w:val="22"/>
          <w:szCs w:val="22"/>
        </w:rPr>
        <w:t>对员</w:t>
      </w:r>
      <w:r>
        <w:rPr>
          <w:rFonts w:hint="eastAsia"/>
          <w:sz w:val="22"/>
          <w:szCs w:val="22"/>
        </w:rPr>
        <w:t>工的安全教育，工作人员需佩戴安全帽、穿救生服，在服务期内若出现安全事故，中标供应商应自行承担全部责任与采购人无关。</w:t>
      </w:r>
    </w:p>
    <w:p>
      <w:pPr>
        <w:snapToGrid w:val="0"/>
        <w:spacing w:line="460" w:lineRule="atLeast"/>
        <w:ind w:firstLine="440" w:firstLineChars="200"/>
        <w:rPr>
          <w:rFonts w:hint="eastAsia" w:eastAsia="宋体"/>
          <w:lang w:eastAsia="zh-CN"/>
        </w:rPr>
      </w:pPr>
      <w:r>
        <w:rPr>
          <w:rFonts w:hint="eastAsia"/>
          <w:sz w:val="22"/>
          <w:szCs w:val="22"/>
        </w:rPr>
        <w:t>2、供应商应按照国家劳动保护法的规定，定期发给员工必须的劳动保护用品，给工作人员等购买人身安全保险。供应商应加强对危险作业的安全检查，做好安检工作</w:t>
      </w:r>
      <w:r>
        <w:rPr>
          <w:rFonts w:hint="eastAsia"/>
          <w:sz w:val="22"/>
          <w:szCs w:val="22"/>
          <w:lang w:eastAsia="zh-CN"/>
        </w:rPr>
        <w:t>。</w:t>
      </w: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rPr>
          <w:rFonts w:hint="eastAsia" w:ascii="宋体" w:hAnsi="宋体" w:cs="宋体"/>
          <w:lang w:val="zh-CN"/>
        </w:rPr>
      </w:pPr>
    </w:p>
    <w:p>
      <w:pPr>
        <w:pStyle w:val="2"/>
        <w:jc w:val="both"/>
        <w:rPr>
          <w:rFonts w:hint="eastAsia" w:ascii="宋体" w:hAnsi="宋体" w:cs="宋体"/>
          <w:lang w:val="zh-CN"/>
        </w:rPr>
      </w:pPr>
    </w:p>
    <w:p>
      <w:pPr>
        <w:rPr>
          <w:rFonts w:hint="eastAsia" w:ascii="宋体" w:hAnsi="宋体" w:cs="宋体"/>
          <w:lang w:val="zh-CN"/>
        </w:rPr>
      </w:pPr>
    </w:p>
    <w:p>
      <w:pPr>
        <w:pStyle w:val="2"/>
        <w:rPr>
          <w:rFonts w:hint="eastAsia"/>
          <w:lang w:val="zh-CN"/>
        </w:rPr>
      </w:pPr>
    </w:p>
    <w:p>
      <w:pPr>
        <w:pStyle w:val="2"/>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autoSpaceDE w:val="0"/>
        <w:autoSpaceDN w:val="0"/>
        <w:adjustRightInd w:val="0"/>
        <w:snapToGrid w:val="0"/>
        <w:spacing w:line="460" w:lineRule="atLeast"/>
        <w:ind w:firstLine="433" w:firstLineChars="196"/>
        <w:textAlignment w:val="bottom"/>
        <w:rPr>
          <w:rFonts w:ascii="宋体" w:hAnsi="宋体" w:cs="宋体"/>
          <w:b/>
          <w:bCs/>
          <w:sz w:val="22"/>
        </w:rPr>
      </w:pPr>
      <w:r>
        <w:rPr>
          <w:rFonts w:hint="eastAsia" w:ascii="宋体" w:hAnsi="宋体" w:cs="宋体"/>
          <w:b/>
          <w:bCs/>
          <w:sz w:val="22"/>
        </w:rPr>
        <w:t>5、</w:t>
      </w:r>
      <w:r>
        <w:rPr>
          <w:rFonts w:hint="eastAsia"/>
          <w:b/>
          <w:sz w:val="22"/>
          <w:szCs w:val="22"/>
          <w:u w:val="single"/>
        </w:rPr>
        <w:t>本项目采用包干方式，项目实施过程中各项价格不予调整。</w:t>
      </w:r>
      <w:r>
        <w:rPr>
          <w:rFonts w:hint="eastAsia"/>
          <w:b/>
          <w:sz w:val="22"/>
          <w:szCs w:val="22"/>
        </w:rPr>
        <w:t>供应商须自行现场勘察，以求得准确的报价依据。供应商须自行考虑投标报价的风险。</w:t>
      </w:r>
      <w:r>
        <w:rPr>
          <w:rFonts w:hint="eastAsia" w:ascii="宋体" w:hAnsi="宋体"/>
          <w:b/>
          <w:sz w:val="22"/>
          <w:szCs w:val="22"/>
        </w:rPr>
        <w:t>承包总价必须包括在承包区域内提供服务所需的费用（包括工人工资、奖金、房补、劳保福利、社保、意外保险、工伤费、教育培训费、暂住费及处理一切伤亡事故等费用）、机械台班费、水电费、工具材料费、垃圾清运费、安全文明生产装备费（包括工人冬、夏装工作服、反光衣等）、项目相关场地租赁等费用、企业应缴税金和应得利润、应急等完成合同所需的一切本身和不可或缺的所有工作开支、政策性文件规定计合同包含的所有风险、责任等各项全部费用并承担一切风险责任。投标供应商认为完成本招标文件规定的项目承包内容所发生的直接成本、间接成本、利润、税金、政策性文件规定的费用、设备进出场费等一切费用均应计入投标报价，凡未列入的将被认为均已包含在投标总价中，今后不得以任何理由追加或调整。</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6、知识产权</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6.2投标供应商应对采购人在使用该产品时所涉及到的专利权负责，不损害采购人的利益。</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6.3投标报价应包括所有应支付的对专利权和版权、设计或其他知识产权而需要向其他方支付的版税。</w:t>
      </w:r>
    </w:p>
    <w:p>
      <w:pPr>
        <w:autoSpaceDE w:val="0"/>
        <w:autoSpaceDN w:val="0"/>
        <w:adjustRightInd w:val="0"/>
        <w:snapToGrid w:val="0"/>
        <w:spacing w:line="400" w:lineRule="exact"/>
        <w:ind w:firstLine="420" w:firstLineChars="190"/>
        <w:textAlignment w:val="bottom"/>
      </w:pPr>
      <w:r>
        <w:rPr>
          <w:rFonts w:hint="eastAsia"/>
          <w:b/>
          <w:color w:val="000000"/>
          <w:sz w:val="22"/>
          <w:szCs w:val="22"/>
        </w:rPr>
        <w:t>6.4投标供应商提供的货物中如使用其他公司的相关专利，应在标书中出示相关授权，如未出示但使用了其他公司的专利，导致供应商中标而引起相关诉讼，由投标供应商承担。</w:t>
      </w:r>
    </w:p>
    <w:p>
      <w:pPr>
        <w:pStyle w:val="12"/>
        <w:adjustRightInd w:val="0"/>
        <w:snapToGrid w:val="0"/>
        <w:spacing w:line="460" w:lineRule="exact"/>
        <w:ind w:firstLine="442"/>
        <w:rPr>
          <w:rFonts w:ascii="宋体"/>
          <w:b/>
          <w:color w:val="000000"/>
          <w:sz w:val="22"/>
          <w:szCs w:val="22"/>
        </w:rPr>
      </w:pPr>
      <w:r>
        <w:rPr>
          <w:rFonts w:hint="eastAsia" w:ascii="宋体"/>
          <w:b/>
          <w:color w:val="000000"/>
          <w:sz w:val="22"/>
          <w:lang w:val="zh-CN"/>
        </w:rPr>
        <w:t>7、</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snapToGrid w:val="0"/>
        <w:spacing w:line="400" w:lineRule="exact"/>
        <w:ind w:firstLine="420" w:firstLineChars="19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utoSpaceDE w:val="0"/>
        <w:autoSpaceDN w:val="0"/>
        <w:adjustRightInd w:val="0"/>
        <w:snapToGrid w:val="0"/>
        <w:spacing w:line="440" w:lineRule="exact"/>
        <w:ind w:firstLine="420"/>
        <w:textAlignment w:val="bottom"/>
        <w:rPr>
          <w:rFonts w:ascii="宋体" w:hAnsi="宋体"/>
          <w:b/>
          <w:sz w:val="22"/>
          <w:szCs w:val="22"/>
        </w:rPr>
      </w:pPr>
      <w:r>
        <w:rPr>
          <w:rFonts w:hint="eastAsia" w:ascii="宋体" w:cs="宋体"/>
          <w:b/>
          <w:sz w:val="22"/>
          <w:szCs w:val="22"/>
        </w:rPr>
        <w:t>▲</w:t>
      </w:r>
      <w:r>
        <w:rPr>
          <w:rFonts w:hint="eastAsia" w:ascii="宋体" w:hAnsi="宋体" w:cs="宋体"/>
          <w:b/>
          <w:sz w:val="22"/>
          <w:szCs w:val="22"/>
        </w:rPr>
        <w:t>9、</w:t>
      </w:r>
      <w:r>
        <w:rPr>
          <w:rFonts w:hint="eastAsia" w:ascii="宋体" w:hAnsi="宋体"/>
          <w:b/>
          <w:sz w:val="22"/>
          <w:szCs w:val="22"/>
        </w:rPr>
        <w:t>本项目采购最高限价为</w:t>
      </w:r>
      <w:r>
        <w:rPr>
          <w:rFonts w:hint="eastAsia" w:ascii="宋体" w:hAnsi="宋体"/>
          <w:b/>
          <w:sz w:val="22"/>
          <w:szCs w:val="22"/>
          <w:u w:val="single"/>
        </w:rPr>
        <w:t>200</w:t>
      </w:r>
      <w:r>
        <w:rPr>
          <w:rFonts w:hint="eastAsia" w:ascii="宋体" w:hAnsi="宋体"/>
          <w:b/>
          <w:sz w:val="22"/>
          <w:szCs w:val="22"/>
          <w:u w:val="single"/>
          <w:lang w:val="en-US" w:eastAsia="zh-CN"/>
        </w:rPr>
        <w:t>.</w:t>
      </w:r>
      <w:r>
        <w:rPr>
          <w:rFonts w:hint="eastAsia" w:ascii="宋体" w:hAnsi="宋体"/>
          <w:b/>
          <w:sz w:val="22"/>
          <w:szCs w:val="22"/>
          <w:u w:val="single"/>
        </w:rPr>
        <w:t>57</w:t>
      </w:r>
      <w:r>
        <w:rPr>
          <w:rFonts w:hint="eastAsia" w:ascii="宋体" w:hAnsi="宋体" w:cs="宋体"/>
          <w:b/>
          <w:kern w:val="0"/>
          <w:sz w:val="22"/>
          <w:szCs w:val="22"/>
          <w:u w:val="single"/>
        </w:rPr>
        <w:t>万元人民币，</w:t>
      </w:r>
      <w:r>
        <w:rPr>
          <w:rFonts w:hint="eastAsia" w:ascii="宋体" w:hAnsi="宋体"/>
          <w:b/>
          <w:sz w:val="22"/>
          <w:szCs w:val="22"/>
        </w:rPr>
        <w:t>供应商投标报价超出该采购预算，其投标做无效标处理。</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rPr>
        <w:t>10、</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11</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12、为保证供应商顺利投标，供应商须在投标截止前自行登录平阳县公共资源交易中心网站（http://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atLeast"/>
        <w:ind w:firstLine="422" w:firstLineChars="191"/>
        <w:textAlignment w:val="bottom"/>
      </w:pPr>
      <w:r>
        <w:rPr>
          <w:rFonts w:hint="eastAsia" w:cs="黑体"/>
          <w:b/>
          <w:color w:val="000000"/>
          <w:sz w:val="22"/>
          <w:szCs w:val="22"/>
        </w:rPr>
        <w:t>13、</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4" w:name="OLE_LINK8"/>
      <w:r>
        <w:rPr>
          <w:rFonts w:hint="eastAsia" w:ascii="宋体" w:hAnsi="宋体" w:cs="宋体"/>
          <w:b/>
          <w:sz w:val="22"/>
          <w:szCs w:val="22"/>
          <w:u w:val="single"/>
        </w:rPr>
        <w:t>14、</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4"/>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5"/>
        <w:spacing w:before="120" w:after="120"/>
        <w:ind w:left="2" w:leftChars="1" w:firstLine="660" w:firstLineChars="300"/>
      </w:pPr>
      <w:r>
        <w:rPr>
          <w:rFonts w:hint="eastAsia" w:eastAsia="宋体"/>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10）</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rPr>
          <w:sz w:val="22"/>
          <w:szCs w:val="22"/>
          <w:lang w:val="zh-CN"/>
        </w:rPr>
      </w:pPr>
      <w:r>
        <w:rPr>
          <w:rFonts w:hint="eastAsia"/>
          <w:sz w:val="22"/>
          <w:szCs w:val="22"/>
        </w:rPr>
        <w:t>3）</w:t>
      </w:r>
      <w:r>
        <w:rPr>
          <w:rFonts w:hint="eastAsia"/>
          <w:sz w:val="22"/>
          <w:szCs w:val="22"/>
          <w:lang w:val="zh-CN"/>
        </w:rPr>
        <w:t>报价分析明细表</w:t>
      </w:r>
    </w:p>
    <w:p>
      <w:pPr>
        <w:autoSpaceDE w:val="0"/>
        <w:autoSpaceDN w:val="0"/>
        <w:adjustRightInd w:val="0"/>
        <w:snapToGrid w:val="0"/>
        <w:spacing w:line="460" w:lineRule="exact"/>
        <w:ind w:firstLine="440" w:firstLineChars="200"/>
        <w:textAlignment w:val="bottom"/>
      </w:pPr>
      <w:r>
        <w:rPr>
          <w:rFonts w:hint="eastAsia"/>
          <w:sz w:val="22"/>
          <w:szCs w:val="22"/>
        </w:rPr>
        <w:t>4）</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供应商（制造商）质量体系认证证书、供应商相关资质、资信或信用证书（如有则提供）；</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rPr>
        <w:t>9）</w:t>
      </w:r>
      <w:r>
        <w:rPr>
          <w:rFonts w:hint="eastAsia"/>
          <w:b/>
          <w:bCs/>
          <w:sz w:val="22"/>
          <w:szCs w:val="22"/>
        </w:rPr>
        <w:t>供应商自2017年1月1日以来类似业绩证明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43"/>
      </w:pPr>
      <w:r>
        <w:rPr>
          <w:rFonts w:hint="eastAsia" w:ascii="新宋体" w:hAnsi="新宋体" w:eastAsia="新宋体"/>
          <w:sz w:val="22"/>
          <w:szCs w:val="22"/>
        </w:rPr>
        <w:t xml:space="preserve">    11）</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12）</w:t>
      </w:r>
      <w:r>
        <w:rPr>
          <w:rFonts w:hint="eastAsia" w:ascii="宋体" w:hAnsi="宋体"/>
          <w:b/>
          <w:sz w:val="22"/>
          <w:szCs w:val="22"/>
        </w:rPr>
        <w:t>项目实施方案；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13）供应商认为有必要提供的其他材料或说明（如有）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14</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5" w:name="_Toc132122412"/>
      <w:bookmarkStart w:id="6" w:name="_Toc132122115"/>
      <w:r>
        <w:rPr>
          <w:rFonts w:hint="eastAsia" w:cs="Arial"/>
          <w:sz w:val="22"/>
          <w:szCs w:val="22"/>
        </w:rPr>
        <w:t>4.投标报价</w:t>
      </w:r>
      <w:bookmarkEnd w:id="5"/>
      <w:bookmarkEnd w:id="6"/>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7" w:name="_Toc132122117"/>
      <w:bookmarkStart w:id="8" w:name="_Toc132122414"/>
      <w:bookmarkStart w:id="9" w:name="_Toc132122118"/>
      <w:bookmarkStart w:id="10" w:name="_Toc132122415"/>
      <w:r>
        <w:rPr>
          <w:rFonts w:hint="eastAsia" w:cs="Arial"/>
          <w:sz w:val="22"/>
          <w:szCs w:val="22"/>
        </w:rPr>
        <w:t>5、投标文件的有效期</w:t>
      </w:r>
      <w:bookmarkEnd w:id="7"/>
      <w:bookmarkEnd w:id="8"/>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9"/>
    <w:bookmarkEnd w:id="10"/>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6"/>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6"/>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6"/>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527"/>
        <w:rPr>
          <w:rFonts w:cs="Arial"/>
          <w:color w:val="000000"/>
          <w:sz w:val="22"/>
          <w:szCs w:val="22"/>
        </w:rPr>
      </w:pPr>
      <w:r>
        <w:rPr>
          <w:rFonts w:hint="eastAsia" w:cs="Arial"/>
          <w:color w:val="000000"/>
          <w:sz w:val="22"/>
          <w:szCs w:val="22"/>
        </w:rPr>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（2）开启符合性审查、商务技术评审有效投标供应商的《报价文件》，公布开标一览表有关内容</w:t>
      </w:r>
      <w:r>
        <w:rPr>
          <w:rFonts w:cs="Arial"/>
          <w:color w:val="000000"/>
          <w:sz w:val="22"/>
          <w:szCs w:val="22"/>
        </w:rPr>
        <w:t>。</w:t>
      </w:r>
      <w:r>
        <w:rPr>
          <w:rFonts w:hint="eastAsia" w:cs="Arial"/>
          <w:color w:val="000000"/>
          <w:sz w:val="22"/>
          <w:szCs w:val="22"/>
        </w:rPr>
        <w:t>供应商</w:t>
      </w:r>
      <w:r>
        <w:rPr>
          <w:rFonts w:cs="Arial"/>
          <w:color w:val="000000"/>
          <w:sz w:val="22"/>
          <w:szCs w:val="22"/>
        </w:rPr>
        <w:t>签字确认（不予确认的应说明理由，否则视为无异议）唱标结束后，由评标委员会对报价的合理性、准确性等进行审查核实</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（3）评审结束后，公布中标（成交）候选供应商名单，及采购人最终确定中标或成交供应商名单的时间和公告方式等。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1" w:name="_Toc33194393"/>
      <w:bookmarkStart w:id="12" w:name="_Toc24550037"/>
      <w:r>
        <w:rPr>
          <w:rFonts w:hint="eastAsia" w:cs="Arial"/>
          <w:b/>
          <w:sz w:val="22"/>
          <w:szCs w:val="22"/>
        </w:rPr>
        <w:t>4、投标供应商资格审查</w:t>
      </w:r>
      <w:bookmarkEnd w:id="11"/>
      <w:bookmarkEnd w:id="12"/>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6"/>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6"/>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6"/>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6"/>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6"/>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6"/>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6"/>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6"/>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6"/>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6"/>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6"/>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6"/>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080" w:bottom="1440" w:left="1080" w:header="851" w:footer="992" w:gutter="0"/>
          <w:cols w:space="720" w:num="1"/>
          <w:docGrid w:linePitch="312" w:charSpace="0"/>
        </w:sectPr>
      </w:pPr>
      <w:r>
        <w:rPr>
          <w:rFonts w:hint="eastAsia" w:ascii="宋体" w:hAnsi="宋体" w:cs="宋体"/>
          <w:sz w:val="22"/>
          <w:szCs w:val="22"/>
        </w:rPr>
        <w:t>5.2</w:t>
      </w:r>
      <w:r>
        <w:rPr>
          <w:rFonts w:hint="eastAsia" w:ascii="宋体" w:hAnsi="宋体" w:cs="宋体"/>
          <w:sz w:val="22"/>
        </w:rPr>
        <w:t>中标供应商在领取中标通知书时须携带法人代表证明原件或法定代表人授权书原件</w:t>
      </w:r>
      <w:r>
        <w:rPr>
          <w:rFonts w:hint="eastAsia" w:ascii="宋体" w:hAnsi="宋体" w:cs="宋体"/>
          <w:sz w:val="22"/>
          <w:szCs w:val="22"/>
        </w:rPr>
        <w:t>。</w:t>
      </w: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pacing w:line="440" w:lineRule="atLeast"/>
        <w:rPr>
          <w:color w:val="000000"/>
          <w:sz w:val="22"/>
          <w:szCs w:val="22"/>
        </w:rPr>
      </w:pPr>
      <w:r>
        <w:rPr>
          <w:rFonts w:hint="eastAsia"/>
          <w:color w:val="000000"/>
          <w:sz w:val="22"/>
          <w:szCs w:val="22"/>
        </w:rPr>
        <w:t>（1）关于印发《政府采购促进中小企业发展暂行办法》的通知（财库[2011]181号）</w:t>
      </w:r>
    </w:p>
    <w:p>
      <w:pPr>
        <w:spacing w:line="440" w:lineRule="atLeast"/>
        <w:rPr>
          <w:color w:val="000000"/>
          <w:sz w:val="22"/>
          <w:szCs w:val="22"/>
        </w:rPr>
      </w:pPr>
      <w:r>
        <w:rPr>
          <w:rFonts w:hint="eastAsia"/>
          <w:color w:val="000000"/>
          <w:sz w:val="22"/>
          <w:szCs w:val="22"/>
        </w:rPr>
        <w:t>（2）浙江省财政厅转发财政部 工业和信息化部关于印发《政府采购促进中小企业发展暂行办法》的通知（浙财采监[2012]11号）</w:t>
      </w:r>
    </w:p>
    <w:p>
      <w:pPr>
        <w:spacing w:line="440" w:lineRule="atLeast"/>
        <w:rPr>
          <w:color w:val="000000"/>
          <w:sz w:val="22"/>
          <w:szCs w:val="22"/>
        </w:rPr>
      </w:pPr>
      <w:r>
        <w:rPr>
          <w:rFonts w:hint="eastAsia"/>
          <w:color w:val="000000"/>
          <w:sz w:val="22"/>
          <w:szCs w:val="22"/>
        </w:rPr>
        <w:t>（3）浙江省财政厅、浙江省经济和信息化委员会《关于简化中小企业类别确认流程有关事项的通知》(浙财采监[2018]2号)</w:t>
      </w:r>
    </w:p>
    <w:p>
      <w:pPr>
        <w:spacing w:line="440" w:lineRule="atLeast"/>
        <w:rPr>
          <w:color w:val="000000"/>
          <w:sz w:val="22"/>
          <w:szCs w:val="22"/>
        </w:rPr>
      </w:pPr>
      <w:r>
        <w:rPr>
          <w:rFonts w:hint="eastAsia"/>
          <w:color w:val="000000"/>
          <w:sz w:val="22"/>
          <w:szCs w:val="22"/>
        </w:rPr>
        <w:t>（4）浙江省省财政厅《关于开展政府采购供应商网上注册登记和诚信管理工作的通知》（浙财采监〔2010〕8号)</w:t>
      </w:r>
    </w:p>
    <w:p>
      <w:pPr>
        <w:spacing w:line="440" w:lineRule="atLeast"/>
        <w:rPr>
          <w:color w:val="000000"/>
          <w:sz w:val="22"/>
          <w:szCs w:val="22"/>
        </w:rPr>
      </w:pPr>
      <w:r>
        <w:rPr>
          <w:rFonts w:hint="eastAsia"/>
          <w:color w:val="000000"/>
          <w:sz w:val="22"/>
          <w:szCs w:val="22"/>
        </w:rPr>
        <w:t>（5）《工业和信息化部、国家统计局、国家发展和改革委员会、财政部关于印发中小企业划型标准规定的通知》（</w:t>
      </w:r>
      <w:r>
        <w:rPr>
          <w:color w:val="000000"/>
          <w:sz w:val="22"/>
          <w:szCs w:val="22"/>
        </w:rPr>
        <w:t>工信部联企业[2011]300号</w:t>
      </w:r>
      <w:r>
        <w:rPr>
          <w:rFonts w:hint="eastAsia"/>
          <w:color w:val="000000"/>
          <w:sz w:val="22"/>
          <w:szCs w:val="22"/>
        </w:rPr>
        <w:t>）</w:t>
      </w:r>
    </w:p>
    <w:p>
      <w:pPr>
        <w:spacing w:line="440" w:lineRule="atLeast"/>
        <w:rPr>
          <w:color w:val="000000"/>
          <w:sz w:val="22"/>
          <w:szCs w:val="22"/>
        </w:rPr>
      </w:pPr>
      <w:r>
        <w:rPr>
          <w:rFonts w:hint="eastAsia"/>
          <w:color w:val="000000"/>
          <w:sz w:val="22"/>
          <w:szCs w:val="22"/>
        </w:rPr>
        <w:t>（6）财政部、司法部《关于政府采购支持监狱企业发展有关问题的通知》（财库〔2014〕68号）</w:t>
      </w:r>
    </w:p>
    <w:p>
      <w:pPr>
        <w:spacing w:line="440" w:lineRule="atLeast"/>
        <w:rPr>
          <w:color w:val="000000"/>
          <w:sz w:val="22"/>
          <w:szCs w:val="22"/>
        </w:rPr>
      </w:pPr>
      <w:r>
        <w:rPr>
          <w:rFonts w:hint="eastAsia"/>
          <w:color w:val="000000"/>
          <w:sz w:val="22"/>
          <w:szCs w:val="22"/>
        </w:rPr>
        <w:t>（7）《财政部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color w:val="000000"/>
          <w:sz w:val="22"/>
          <w:szCs w:val="22"/>
        </w:rPr>
      </w:pPr>
    </w:p>
    <w:p>
      <w:pPr>
        <w:spacing w:line="440" w:lineRule="atLeast"/>
        <w:jc w:val="center"/>
        <w:rPr>
          <w:color w:val="000000"/>
          <w:sz w:val="22"/>
          <w:szCs w:val="22"/>
        </w:rPr>
      </w:pPr>
      <w:r>
        <w:rPr>
          <w:rFonts w:hint="eastAsia"/>
          <w:color w:val="000000"/>
          <w:sz w:val="22"/>
          <w:szCs w:val="22"/>
        </w:rPr>
        <w:t>中小企业声明函</w:t>
      </w:r>
    </w:p>
    <w:p>
      <w:pPr>
        <w:spacing w:line="440" w:lineRule="atLeast"/>
        <w:rPr>
          <w:color w:val="000000"/>
          <w:sz w:val="22"/>
          <w:szCs w:val="22"/>
        </w:rPr>
      </w:pPr>
      <w:r>
        <w:rPr>
          <w:rFonts w:hint="eastAsia"/>
          <w:color w:val="000000"/>
          <w:sz w:val="22"/>
          <w:szCs w:val="22"/>
        </w:rPr>
        <w:t>本公司郑重声明，根据《政府采购促进中小企业发展暂行办法》（财库[2011]181号）的规定，本公司为______（请填写：中型、小型、微型）企业。即，本公司同时满足以下条件：</w:t>
      </w:r>
      <w:r>
        <w:rPr>
          <w:rFonts w:hint="eastAsia"/>
          <w:color w:val="000000"/>
          <w:sz w:val="22"/>
          <w:szCs w:val="22"/>
        </w:rPr>
        <w:br w:type="textWrapping"/>
      </w:r>
      <w:r>
        <w:rPr>
          <w:rFonts w:hint="eastAsia"/>
          <w:color w:val="000000"/>
          <w:sz w:val="22"/>
          <w:szCs w:val="22"/>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000000"/>
          <w:sz w:val="22"/>
          <w:szCs w:val="22"/>
        </w:rPr>
        <w:br w:type="textWrapping"/>
      </w:r>
      <w:r>
        <w:rPr>
          <w:rFonts w:hint="eastAsia"/>
          <w:color w:val="000000"/>
          <w:sz w:val="22"/>
          <w:szCs w:val="22"/>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color w:val="000000"/>
          <w:sz w:val="22"/>
          <w:szCs w:val="22"/>
        </w:rPr>
        <w:br w:type="textWrapping"/>
      </w:r>
      <w:r>
        <w:rPr>
          <w:rFonts w:hint="eastAsia"/>
          <w:color w:val="000000"/>
          <w:sz w:val="22"/>
          <w:szCs w:val="22"/>
        </w:rPr>
        <w:t>    本公司对上述声明的真实性负责。如有虚假，将依法承担相应责任。</w:t>
      </w:r>
    </w:p>
    <w:p>
      <w:pPr>
        <w:spacing w:line="440" w:lineRule="atLeast"/>
        <w:rPr>
          <w:color w:val="000000"/>
          <w:sz w:val="22"/>
          <w:szCs w:val="22"/>
        </w:rPr>
      </w:pPr>
    </w:p>
    <w:p>
      <w:pPr>
        <w:spacing w:line="440" w:lineRule="atLeast"/>
        <w:rPr>
          <w:color w:val="000000"/>
          <w:sz w:val="22"/>
          <w:szCs w:val="22"/>
        </w:rPr>
      </w:pPr>
      <w:r>
        <w:rPr>
          <w:rFonts w:hint="eastAsia"/>
          <w:color w:val="000000"/>
          <w:sz w:val="22"/>
          <w:szCs w:val="22"/>
        </w:rPr>
        <w:t>投标供应商名称（盖章）：                </w:t>
      </w:r>
      <w:r>
        <w:rPr>
          <w:rFonts w:hint="eastAsia"/>
          <w:color w:val="000000"/>
          <w:sz w:val="22"/>
          <w:szCs w:val="22"/>
        </w:rPr>
        <w:br w:type="textWrapping"/>
      </w:r>
      <w:r>
        <w:rPr>
          <w:rFonts w:hint="eastAsia"/>
          <w:color w:val="000000"/>
          <w:sz w:val="22"/>
          <w:szCs w:val="22"/>
        </w:rPr>
        <w:t>日期：                             　　　　　</w:t>
      </w:r>
    </w:p>
    <w:p>
      <w:pPr>
        <w:spacing w:line="588" w:lineRule="exact"/>
        <w:jc w:val="center"/>
        <w:rPr>
          <w:color w:val="000000"/>
          <w:spacing w:val="6"/>
          <w:sz w:val="22"/>
          <w:szCs w:val="22"/>
        </w:rPr>
      </w:pPr>
      <w:bookmarkStart w:id="13" w:name="OLE_LINK14"/>
      <w:bookmarkStart w:id="14" w:name="OLE_LINK13"/>
      <w:r>
        <w:rPr>
          <w:rFonts w:hint="eastAsia"/>
          <w:color w:val="000000"/>
          <w:spacing w:val="6"/>
          <w:sz w:val="22"/>
          <w:szCs w:val="22"/>
        </w:rPr>
        <w:t>残疾人福利性单位声明函</w:t>
      </w:r>
    </w:p>
    <w:bookmarkEnd w:id="13"/>
    <w:bookmarkEnd w:id="14"/>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spacing w:line="588" w:lineRule="exact"/>
        <w:ind w:firstLine="464" w:firstLineChars="200"/>
        <w:rPr>
          <w:color w:val="000000"/>
          <w:spacing w:val="6"/>
          <w:sz w:val="22"/>
          <w:szCs w:val="22"/>
        </w:rPr>
      </w:pPr>
      <w:r>
        <w:rPr>
          <w:rFonts w:hint="eastAsia"/>
          <w:color w:val="000000"/>
          <w:spacing w:val="6"/>
          <w:sz w:val="22"/>
          <w:szCs w:val="22"/>
        </w:rPr>
        <w:t>备注说明：</w:t>
      </w:r>
    </w:p>
    <w:p>
      <w:pPr>
        <w:spacing w:line="588" w:lineRule="exact"/>
        <w:ind w:firstLine="464" w:firstLineChars="200"/>
        <w:rPr>
          <w:color w:val="000000"/>
          <w:spacing w:val="6"/>
          <w:sz w:val="22"/>
          <w:szCs w:val="22"/>
        </w:rPr>
      </w:pPr>
      <w:r>
        <w:rPr>
          <w:rFonts w:hint="eastAsia"/>
          <w:color w:val="000000"/>
          <w:spacing w:val="6"/>
          <w:sz w:val="22"/>
          <w:szCs w:val="22"/>
        </w:rPr>
        <w:t>1、如中标，将在中标公示中将此残疾人福利性单位声明函予以公示，接受社会监督；</w:t>
      </w:r>
    </w:p>
    <w:p>
      <w:pPr>
        <w:spacing w:line="588" w:lineRule="exact"/>
        <w:ind w:firstLine="464" w:firstLineChars="200"/>
        <w:rPr>
          <w:color w:val="000000"/>
          <w:spacing w:val="6"/>
          <w:sz w:val="22"/>
          <w:szCs w:val="22"/>
        </w:rPr>
      </w:pPr>
      <w:r>
        <w:rPr>
          <w:rFonts w:hint="eastAsia"/>
          <w:color w:val="000000"/>
          <w:spacing w:val="6"/>
          <w:sz w:val="22"/>
          <w:szCs w:val="22"/>
        </w:rPr>
        <w:t>2、供应商提供的《残疾人福利性单位声明函》与事实不符的，依照《政府采购法》第七十七条第一款的规定追究法律责任。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二、节能、环保产品优先（强制）采购政策说明</w:t>
      </w:r>
    </w:p>
    <w:p>
      <w:pPr>
        <w:spacing w:line="588" w:lineRule="exact"/>
        <w:ind w:firstLine="464" w:firstLineChars="200"/>
        <w:rPr>
          <w:color w:val="000000"/>
          <w:spacing w:val="6"/>
          <w:sz w:val="22"/>
          <w:szCs w:val="22"/>
        </w:rPr>
      </w:pPr>
      <w:r>
        <w:rPr>
          <w:rFonts w:hint="eastAsia"/>
          <w:color w:val="000000"/>
          <w:spacing w:val="6"/>
          <w:sz w:val="22"/>
          <w:szCs w:val="22"/>
        </w:rPr>
        <w:t>1、政策依据</w:t>
      </w:r>
    </w:p>
    <w:p>
      <w:pPr>
        <w:spacing w:line="588" w:lineRule="exact"/>
        <w:ind w:firstLine="464" w:firstLineChars="200"/>
        <w:rPr>
          <w:color w:val="000000"/>
          <w:spacing w:val="6"/>
          <w:sz w:val="22"/>
          <w:szCs w:val="22"/>
        </w:rPr>
      </w:pPr>
      <w:r>
        <w:rPr>
          <w:rFonts w:hint="eastAsia"/>
          <w:color w:val="000000"/>
          <w:spacing w:val="6"/>
          <w:sz w:val="22"/>
          <w:szCs w:val="22"/>
        </w:rPr>
        <w:t>（一）《国务院办公厅关于建立政府强制采购节能产品制度的通知》(国办发[2007]51号)</w:t>
      </w:r>
    </w:p>
    <w:p>
      <w:pPr>
        <w:spacing w:line="588" w:lineRule="exact"/>
        <w:ind w:firstLine="464" w:firstLineChars="200"/>
        <w:rPr>
          <w:color w:val="000000"/>
          <w:spacing w:val="6"/>
          <w:sz w:val="22"/>
          <w:szCs w:val="22"/>
        </w:rPr>
      </w:pPr>
      <w:r>
        <w:rPr>
          <w:rFonts w:hint="eastAsia"/>
          <w:color w:val="000000"/>
          <w:spacing w:val="6"/>
          <w:sz w:val="22"/>
          <w:szCs w:val="22"/>
        </w:rPr>
        <w:t>（二）财政部、发展改革委发布的《节能产品政府采购实施意见》(财库[2004]185号)</w:t>
      </w:r>
    </w:p>
    <w:p>
      <w:pPr>
        <w:spacing w:line="588" w:lineRule="exact"/>
        <w:ind w:firstLine="464" w:firstLineChars="200"/>
        <w:rPr>
          <w:color w:val="000000"/>
          <w:spacing w:val="6"/>
          <w:sz w:val="22"/>
          <w:szCs w:val="22"/>
        </w:rPr>
      </w:pPr>
      <w:r>
        <w:rPr>
          <w:rFonts w:hint="eastAsia"/>
          <w:color w:val="000000"/>
          <w:spacing w:val="6"/>
          <w:sz w:val="22"/>
          <w:szCs w:val="22"/>
        </w:rPr>
        <w:t>（三）财政部、原环保总局印发的《环境标志产品政府采购实施的意见》（财库 [2006]90号）</w:t>
      </w:r>
    </w:p>
    <w:p>
      <w:pPr>
        <w:spacing w:line="588" w:lineRule="exact"/>
        <w:ind w:firstLine="464" w:firstLineChars="200"/>
        <w:rPr>
          <w:color w:val="000000"/>
          <w:spacing w:val="6"/>
          <w:sz w:val="22"/>
          <w:szCs w:val="22"/>
        </w:rPr>
      </w:pPr>
      <w:r>
        <w:rPr>
          <w:rFonts w:hint="eastAsia"/>
          <w:color w:val="000000"/>
          <w:spacing w:val="6"/>
          <w:sz w:val="22"/>
          <w:szCs w:val="22"/>
        </w:rPr>
        <w:t>2、供应商投标货物属于节能、环保优先（强制）采购范围的，须提供相关证明材料。</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41"/>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373" w:type="dxa"/>
          </w:tcPr>
          <w:p>
            <w:pPr>
              <w:pStyle w:val="6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6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6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41"/>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1668" w:type="dxa"/>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1668" w:type="dxa"/>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64"/>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1668" w:type="dxa"/>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64"/>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6204" w:type="dxa"/>
            <w:gridSpan w:val="4"/>
            <w:vAlign w:val="center"/>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6204" w:type="dxa"/>
            <w:gridSpan w:val="4"/>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6204" w:type="dxa"/>
            <w:gridSpan w:val="4"/>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6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64"/>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9"/>
        <w:ind w:firstLine="360"/>
        <w:rPr>
          <w:rFonts w:ascii="宋体" w:hAnsi="宋体"/>
          <w:sz w:val="36"/>
        </w:rPr>
      </w:pPr>
    </w:p>
    <w:p>
      <w:pPr>
        <w:spacing w:line="588" w:lineRule="exact"/>
        <w:ind w:firstLine="464" w:firstLineChars="200"/>
        <w:rPr>
          <w:color w:val="000000"/>
          <w:spacing w:val="6"/>
          <w:sz w:val="22"/>
          <w:szCs w:val="22"/>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9"/>
        <w:ind w:firstLine="360"/>
        <w:rPr>
          <w:rFonts w:ascii="宋体" w:hAnsi="宋体"/>
          <w:sz w:val="36"/>
        </w:rPr>
      </w:pPr>
    </w:p>
    <w:p>
      <w:pPr>
        <w:pStyle w:val="11"/>
        <w:rPr>
          <w:rFonts w:ascii="宋体" w:hAnsi="宋体"/>
          <w:sz w:val="36"/>
        </w:rPr>
      </w:pPr>
    </w:p>
    <w:p>
      <w:pPr>
        <w:rPr>
          <w:rFonts w:ascii="宋体" w:hAnsi="宋体"/>
          <w:sz w:val="36"/>
        </w:rPr>
      </w:pPr>
    </w:p>
    <w:p>
      <w:pPr>
        <w:pStyle w:val="43"/>
        <w:rPr>
          <w:rFonts w:ascii="宋体" w:hAnsi="宋体"/>
          <w:sz w:val="36"/>
        </w:rPr>
      </w:pPr>
    </w:p>
    <w:p>
      <w:pPr>
        <w:pStyle w:val="10"/>
      </w:pPr>
    </w:p>
    <w:p>
      <w:pPr>
        <w:pStyle w:val="9"/>
        <w:ind w:firstLine="360"/>
        <w:rPr>
          <w:rFonts w:ascii="宋体" w:hAnsi="宋体"/>
          <w:sz w:val="36"/>
        </w:rPr>
      </w:pPr>
    </w:p>
    <w:p>
      <w:pPr>
        <w:pStyle w:val="9"/>
        <w:ind w:firstLine="360"/>
        <w:rPr>
          <w:rFonts w:ascii="宋体" w:hAnsi="宋体"/>
          <w:sz w:val="36"/>
        </w:rPr>
      </w:pPr>
    </w:p>
    <w:p>
      <w:pPr>
        <w:widowControl/>
        <w:autoSpaceDE w:val="0"/>
        <w:autoSpaceDN w:val="0"/>
        <w:snapToGrid w:val="0"/>
        <w:spacing w:line="420" w:lineRule="exact"/>
        <w:ind w:firstLine="450"/>
        <w:jc w:val="center"/>
        <w:rPr>
          <w:color w:val="000000"/>
          <w:sz w:val="32"/>
          <w:szCs w:val="22"/>
        </w:rPr>
      </w:pPr>
    </w:p>
    <w:p>
      <w:pPr>
        <w:widowControl/>
        <w:autoSpaceDE w:val="0"/>
        <w:autoSpaceDN w:val="0"/>
        <w:snapToGrid w:val="0"/>
        <w:spacing w:line="420" w:lineRule="exact"/>
        <w:ind w:firstLine="450"/>
        <w:jc w:val="center"/>
        <w:rPr>
          <w:rFonts w:hint="eastAsia"/>
          <w:color w:val="000000"/>
          <w:sz w:val="32"/>
          <w:szCs w:val="22"/>
        </w:rPr>
      </w:pPr>
      <w:r>
        <w:rPr>
          <w:color w:val="000000"/>
          <w:sz w:val="32"/>
          <w:szCs w:val="22"/>
        </w:rPr>
        <w:t>第</w:t>
      </w:r>
      <w:r>
        <w:rPr>
          <w:rFonts w:hint="eastAsia"/>
          <w:color w:val="000000"/>
          <w:sz w:val="32"/>
          <w:szCs w:val="22"/>
        </w:rPr>
        <w:t>五</w:t>
      </w:r>
      <w:r>
        <w:rPr>
          <w:color w:val="000000"/>
          <w:sz w:val="32"/>
          <w:szCs w:val="22"/>
        </w:rPr>
        <w:t>部分  合同条款</w:t>
      </w:r>
      <w:r>
        <w:rPr>
          <w:rFonts w:hint="eastAsia"/>
          <w:color w:val="000000"/>
          <w:sz w:val="32"/>
          <w:szCs w:val="22"/>
        </w:rPr>
        <w:t>（供参考）</w:t>
      </w:r>
    </w:p>
    <w:p>
      <w:pPr>
        <w:rPr>
          <w:rFonts w:hint="eastAsia"/>
        </w:rPr>
      </w:pPr>
    </w:p>
    <w:p>
      <w:pPr>
        <w:spacing w:line="440" w:lineRule="exact"/>
        <w:jc w:val="left"/>
      </w:pPr>
      <w:r>
        <w:rPr>
          <w:rFonts w:hint="eastAsia"/>
          <w:b/>
          <w:u w:val="single"/>
        </w:rPr>
        <w:t>平阳县水利局</w:t>
      </w:r>
      <w:r>
        <w:rPr>
          <w:rFonts w:hint="eastAsia"/>
        </w:rPr>
        <w:t>（发包人名称，以下简称“发包人”）为实施</w:t>
      </w:r>
      <w:r>
        <w:rPr>
          <w:rFonts w:hint="eastAsia"/>
          <w:u w:val="single"/>
          <w:lang w:eastAsia="zh-CN"/>
        </w:rPr>
        <w:t>2021年至2022年平阳县水利工程物业化管理采购项目</w:t>
      </w:r>
      <w:r>
        <w:rPr>
          <w:rFonts w:hint="eastAsia"/>
        </w:rPr>
        <w:t>物业化管理工作，已接受</w:t>
      </w:r>
      <w:r>
        <w:rPr>
          <w:rFonts w:hint="eastAsia"/>
          <w:u w:val="single"/>
        </w:rPr>
        <w:t xml:space="preserve">          </w:t>
      </w:r>
      <w:r>
        <w:rPr>
          <w:rFonts w:hint="eastAsia"/>
        </w:rPr>
        <w:t>（承包人名称，以下简称“承包人”）对该项目的投标。发包人和承包人共同达成如下协议。</w:t>
      </w:r>
    </w:p>
    <w:p>
      <w:pPr>
        <w:snapToGrid w:val="0"/>
        <w:spacing w:line="360" w:lineRule="auto"/>
        <w:ind w:firstLine="420" w:firstLineChars="200"/>
      </w:pPr>
      <w:r>
        <w:t>1.</w:t>
      </w:r>
      <w:r>
        <w:rPr>
          <w:rFonts w:hint="eastAsia"/>
        </w:rPr>
        <w:t>本协议书与下列文件一起构成合同文件：</w:t>
      </w:r>
    </w:p>
    <w:p>
      <w:pPr>
        <w:snapToGrid w:val="0"/>
        <w:spacing w:line="360" w:lineRule="auto"/>
        <w:ind w:firstLine="420" w:firstLineChars="200"/>
      </w:pPr>
      <w:r>
        <w:rPr>
          <w:rFonts w:hint="eastAsia"/>
        </w:rPr>
        <w:t>⑴</w:t>
      </w:r>
      <w:r>
        <w:t xml:space="preserve"> </w:t>
      </w:r>
      <w:r>
        <w:rPr>
          <w:rFonts w:hint="eastAsia"/>
        </w:rPr>
        <w:t>中标通知书；</w:t>
      </w:r>
    </w:p>
    <w:p>
      <w:pPr>
        <w:snapToGrid w:val="0"/>
        <w:spacing w:line="360" w:lineRule="auto"/>
        <w:ind w:firstLine="420" w:firstLineChars="200"/>
      </w:pPr>
      <w:r>
        <w:rPr>
          <w:rFonts w:hint="eastAsia"/>
        </w:rPr>
        <w:t>⑵</w:t>
      </w:r>
      <w:r>
        <w:t xml:space="preserve"> 采购</w:t>
      </w:r>
      <w:r>
        <w:rPr>
          <w:rFonts w:hint="eastAsia"/>
        </w:rPr>
        <w:t>文件、投标函及投标函附录；</w:t>
      </w:r>
    </w:p>
    <w:p>
      <w:pPr>
        <w:snapToGrid w:val="0"/>
        <w:spacing w:line="360" w:lineRule="auto"/>
        <w:ind w:firstLine="420" w:firstLineChars="200"/>
      </w:pPr>
      <w:r>
        <w:rPr>
          <w:rFonts w:hint="eastAsia"/>
        </w:rPr>
        <w:t>⑷</w:t>
      </w:r>
      <w:r>
        <w:t xml:space="preserve"> </w:t>
      </w:r>
      <w:r>
        <w:rPr>
          <w:rFonts w:hint="eastAsia"/>
        </w:rPr>
        <w:t>合同条款；</w:t>
      </w:r>
    </w:p>
    <w:p>
      <w:pPr>
        <w:snapToGrid w:val="0"/>
        <w:spacing w:line="360" w:lineRule="auto"/>
        <w:ind w:firstLine="420" w:firstLineChars="200"/>
      </w:pPr>
      <w:r>
        <w:rPr>
          <w:rFonts w:hint="eastAsia"/>
        </w:rPr>
        <w:t>⑸</w:t>
      </w:r>
      <w:r>
        <w:t xml:space="preserve"> </w:t>
      </w:r>
      <w:r>
        <w:rPr>
          <w:rFonts w:hint="eastAsia"/>
        </w:rPr>
        <w:t>物业化管理工作要求与技术标准</w:t>
      </w:r>
      <w:r>
        <w:t>;</w:t>
      </w:r>
    </w:p>
    <w:p>
      <w:pPr>
        <w:snapToGrid w:val="0"/>
        <w:spacing w:line="360" w:lineRule="auto"/>
        <w:ind w:firstLine="420" w:firstLineChars="200"/>
      </w:pPr>
      <w:r>
        <w:rPr>
          <w:rFonts w:hint="eastAsia"/>
        </w:rPr>
        <w:t>⑹</w:t>
      </w:r>
      <w:r>
        <w:t xml:space="preserve"> </w:t>
      </w:r>
      <w:r>
        <w:rPr>
          <w:rFonts w:hint="eastAsia"/>
        </w:rPr>
        <w:t>图纸；</w:t>
      </w:r>
    </w:p>
    <w:p>
      <w:pPr>
        <w:snapToGrid w:val="0"/>
        <w:spacing w:line="360" w:lineRule="auto"/>
        <w:ind w:firstLine="420" w:firstLineChars="200"/>
      </w:pPr>
      <w:r>
        <w:rPr>
          <w:rFonts w:hint="eastAsia"/>
        </w:rPr>
        <w:t>⑺其他合同文件。</w:t>
      </w:r>
    </w:p>
    <w:p>
      <w:pPr>
        <w:snapToGrid w:val="0"/>
        <w:spacing w:line="360" w:lineRule="auto"/>
        <w:ind w:firstLine="420" w:firstLineChars="200"/>
      </w:pPr>
      <w:r>
        <w:t>2.</w:t>
      </w:r>
      <w:r>
        <w:rPr>
          <w:rFonts w:hint="eastAsia"/>
        </w:rPr>
        <w:t>签约合同价：人民币（大写）</w:t>
      </w:r>
      <w:r>
        <w:rPr>
          <w:rFonts w:hint="eastAsia"/>
          <w:u w:val="single"/>
        </w:rPr>
        <w:t xml:space="preserve">            </w:t>
      </w:r>
      <w:r>
        <w:rPr>
          <w:rFonts w:hint="eastAsia"/>
        </w:rPr>
        <w:t>元（￥</w:t>
      </w:r>
      <w:r>
        <w:rPr>
          <w:u w:val="single"/>
        </w:rPr>
        <w:t xml:space="preserve"> </w:t>
      </w:r>
      <w:r>
        <w:rPr>
          <w:rFonts w:hint="eastAsia"/>
          <w:u w:val="single"/>
        </w:rPr>
        <w:t xml:space="preserve">         </w:t>
      </w:r>
      <w:r>
        <w:rPr>
          <w:rFonts w:hint="eastAsia"/>
        </w:rPr>
        <w:t>元）。</w:t>
      </w:r>
    </w:p>
    <w:p>
      <w:pPr>
        <w:snapToGrid w:val="0"/>
        <w:spacing w:line="360" w:lineRule="auto"/>
        <w:ind w:firstLine="420" w:firstLineChars="200"/>
        <w:rPr>
          <w:rFonts w:hint="eastAsia"/>
        </w:rPr>
      </w:pPr>
      <w:r>
        <w:t>3.</w:t>
      </w:r>
      <w:r>
        <w:rPr>
          <w:rFonts w:hint="eastAsia"/>
        </w:rPr>
        <w:t>承包方项目负责人：</w:t>
      </w:r>
      <w:r>
        <w:rPr>
          <w:rFonts w:hint="eastAsia"/>
          <w:u w:val="single"/>
        </w:rPr>
        <w:t xml:space="preserve">      </w:t>
      </w:r>
      <w:r>
        <w:rPr>
          <w:u w:val="single"/>
        </w:rPr>
        <w:t xml:space="preserve"> </w:t>
      </w:r>
      <w:r>
        <w:rPr>
          <w:rFonts w:hint="eastAsia"/>
        </w:rPr>
        <w:t>；技术负责人：</w:t>
      </w:r>
      <w:r>
        <w:rPr>
          <w:rFonts w:hint="eastAsia"/>
          <w:u w:val="single"/>
        </w:rPr>
        <w:t xml:space="preserve">       </w:t>
      </w:r>
      <w:r>
        <w:rPr>
          <w:rFonts w:hint="eastAsia"/>
        </w:rPr>
        <w:t>。</w:t>
      </w:r>
    </w:p>
    <w:p>
      <w:pPr>
        <w:snapToGrid w:val="0"/>
        <w:spacing w:line="360" w:lineRule="auto"/>
        <w:ind w:firstLine="420" w:firstLineChars="200"/>
        <w:rPr>
          <w:rFonts w:ascii="Times New Roman" w:hAnsi="Times New Roman" w:eastAsia="宋体" w:cs="Times New Roman"/>
          <w:b w:val="0"/>
          <w:spacing w:val="0"/>
          <w:kern w:val="2"/>
          <w:sz w:val="21"/>
          <w:szCs w:val="24"/>
          <w:lang w:val="en-US" w:eastAsia="zh-CN" w:bidi="ar-SA"/>
        </w:rPr>
      </w:pPr>
      <w:r>
        <w:rPr>
          <w:rFonts w:hint="eastAsia"/>
          <w:lang w:val="en-US" w:eastAsia="zh-CN"/>
        </w:rPr>
        <w:t>4.</w:t>
      </w:r>
      <w:r>
        <w:rPr>
          <w:rFonts w:hint="eastAsia" w:ascii="Times New Roman" w:hAnsi="Times New Roman" w:eastAsia="宋体" w:cs="Times New Roman"/>
          <w:b w:val="0"/>
          <w:spacing w:val="0"/>
          <w:kern w:val="2"/>
          <w:sz w:val="21"/>
          <w:szCs w:val="24"/>
          <w:lang w:val="en-US" w:eastAsia="zh-CN" w:bidi="ar-SA"/>
        </w:rPr>
        <w:t>自2021年1月1日以来至合同签订时间止，该期间的物业化管理及保洁人员的工资由中标供应商支付，包括在投标总价中。</w:t>
      </w:r>
    </w:p>
    <w:p>
      <w:pPr>
        <w:snapToGrid w:val="0"/>
        <w:spacing w:line="360" w:lineRule="auto"/>
        <w:ind w:firstLine="420" w:firstLineChars="200"/>
      </w:pPr>
      <w:r>
        <w:rPr>
          <w:rFonts w:hint="eastAsia"/>
          <w:lang w:val="en-US" w:eastAsia="zh-CN"/>
        </w:rPr>
        <w:t>5</w:t>
      </w:r>
      <w:r>
        <w:t>.</w:t>
      </w:r>
      <w:r>
        <w:rPr>
          <w:rFonts w:hint="eastAsia"/>
        </w:rPr>
        <w:t>承包人承诺按合同约定承担工程的物业管理工作，并承担合同约定的全部义务和责任。</w:t>
      </w:r>
    </w:p>
    <w:p>
      <w:pPr>
        <w:snapToGrid w:val="0"/>
        <w:spacing w:line="360" w:lineRule="auto"/>
        <w:ind w:firstLine="420" w:firstLineChars="200"/>
      </w:pPr>
      <w:r>
        <w:rPr>
          <w:rFonts w:hint="eastAsia"/>
          <w:lang w:val="en-US" w:eastAsia="zh-CN"/>
        </w:rPr>
        <w:t>6</w:t>
      </w:r>
      <w:r>
        <w:t>.</w:t>
      </w:r>
      <w:r>
        <w:rPr>
          <w:rFonts w:hint="eastAsia"/>
        </w:rPr>
        <w:t>发包人承诺按合同约定的条件、时间和方式向承包人支付合同价款，并承担合同约定的全部义务和责任。</w:t>
      </w:r>
    </w:p>
    <w:p>
      <w:pPr>
        <w:snapToGrid w:val="0"/>
        <w:spacing w:line="360" w:lineRule="auto"/>
        <w:ind w:firstLine="420" w:firstLineChars="200"/>
      </w:pPr>
      <w:r>
        <w:rPr>
          <w:rFonts w:hint="eastAsia"/>
          <w:lang w:val="en-US" w:eastAsia="zh-CN"/>
        </w:rPr>
        <w:t>7</w:t>
      </w:r>
      <w:r>
        <w:t>.</w:t>
      </w:r>
      <w:r>
        <w:rPr>
          <w:rFonts w:hint="eastAsia"/>
        </w:rPr>
        <w:t>本合同经双方法定代表人或委托代理人签名并加盖本单位公章后生效。</w:t>
      </w:r>
    </w:p>
    <w:p>
      <w:pPr>
        <w:snapToGrid w:val="0"/>
        <w:spacing w:line="360" w:lineRule="auto"/>
        <w:ind w:firstLine="420" w:firstLineChars="200"/>
      </w:pPr>
      <w:r>
        <w:rPr>
          <w:rFonts w:hint="eastAsia"/>
          <w:lang w:val="en-US" w:eastAsia="zh-CN"/>
        </w:rPr>
        <w:t>8</w:t>
      </w:r>
      <w:r>
        <w:t>.</w:t>
      </w:r>
      <w:r>
        <w:rPr>
          <w:rFonts w:hint="eastAsia"/>
        </w:rPr>
        <w:t>本合同期限为</w:t>
      </w:r>
      <w:r>
        <w:rPr>
          <w:rFonts w:hint="eastAsia"/>
          <w:b/>
          <w:u w:val="single"/>
        </w:rPr>
        <w:t xml:space="preserve"> </w:t>
      </w:r>
      <w:r>
        <w:rPr>
          <w:rFonts w:hint="eastAsia"/>
          <w:b/>
          <w:u w:val="single"/>
          <w:lang w:val="en-US" w:eastAsia="zh-CN"/>
        </w:rPr>
        <w:t>2</w:t>
      </w:r>
      <w:r>
        <w:rPr>
          <w:b/>
          <w:u w:val="single"/>
        </w:rPr>
        <w:t xml:space="preserve"> </w:t>
      </w:r>
      <w:r>
        <w:rPr>
          <w:rFonts w:hint="eastAsia"/>
        </w:rPr>
        <w:t>年，自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snapToGrid w:val="0"/>
        <w:spacing w:line="360" w:lineRule="auto"/>
        <w:ind w:firstLine="420" w:firstLineChars="200"/>
      </w:pPr>
      <w:r>
        <w:rPr>
          <w:rFonts w:hint="eastAsia"/>
          <w:lang w:val="en-US" w:eastAsia="zh-CN"/>
        </w:rPr>
        <w:t>9</w:t>
      </w:r>
      <w:r>
        <w:t>.</w:t>
      </w:r>
      <w:r>
        <w:rPr>
          <w:rFonts w:hint="eastAsia"/>
        </w:rPr>
        <w:t>本协议书一式</w:t>
      </w:r>
      <w:r>
        <w:rPr>
          <w:rFonts w:hint="eastAsia"/>
          <w:b/>
          <w:u w:val="single"/>
        </w:rPr>
        <w:t xml:space="preserve"> 拾贰 </w:t>
      </w:r>
      <w:r>
        <w:rPr>
          <w:rFonts w:hint="eastAsia"/>
        </w:rPr>
        <w:t>份，双方各执</w:t>
      </w:r>
      <w:r>
        <w:rPr>
          <w:rFonts w:hint="eastAsia"/>
          <w:b/>
        </w:rPr>
        <w:t>陆</w:t>
      </w:r>
      <w:r>
        <w:rPr>
          <w:rFonts w:hint="eastAsia"/>
        </w:rPr>
        <w:t>份。</w:t>
      </w:r>
    </w:p>
    <w:p>
      <w:pPr>
        <w:snapToGrid w:val="0"/>
        <w:spacing w:line="360" w:lineRule="auto"/>
        <w:ind w:firstLine="420" w:firstLineChars="200"/>
      </w:pPr>
      <w:r>
        <w:rPr>
          <w:rFonts w:hint="eastAsia"/>
          <w:lang w:val="en-US" w:eastAsia="zh-CN"/>
        </w:rPr>
        <w:t>10</w:t>
      </w:r>
      <w:r>
        <w:t>.</w:t>
      </w:r>
      <w:r>
        <w:rPr>
          <w:rFonts w:hint="eastAsia"/>
        </w:rPr>
        <w:t>合同未尽事宜，双方另行签订补充协议。补充协议是合同的组成部分。</w:t>
      </w:r>
    </w:p>
    <w:p>
      <w:pPr>
        <w:snapToGrid w:val="0"/>
        <w:rPr>
          <w:rFonts w:hint="eastAsia"/>
        </w:rPr>
      </w:pPr>
    </w:p>
    <w:p>
      <w:pPr>
        <w:snapToGrid w:val="0"/>
        <w:rPr>
          <w:rFonts w:hint="eastAsia"/>
          <w:b/>
          <w:u w:val="single"/>
        </w:rPr>
      </w:pPr>
      <w:r>
        <w:rPr>
          <w:rFonts w:hint="eastAsia"/>
        </w:rPr>
        <w:t>发包人：</w:t>
      </w:r>
      <w:r>
        <w:rPr>
          <w:rFonts w:hint="eastAsia"/>
          <w:b/>
          <w:u w:val="single"/>
        </w:rPr>
        <w:t>平阳县水利局</w:t>
      </w:r>
      <w:r>
        <w:rPr>
          <w:rFonts w:hint="eastAsia"/>
          <w:b/>
        </w:rPr>
        <w:t xml:space="preserve">                        </w:t>
      </w:r>
      <w:r>
        <w:rPr>
          <w:rFonts w:hint="eastAsia"/>
        </w:rPr>
        <w:t>承包人：</w:t>
      </w:r>
      <w:r>
        <w:rPr>
          <w:rFonts w:hint="eastAsia"/>
          <w:u w:val="single"/>
        </w:rPr>
        <w:t>（承包单位名称）</w:t>
      </w:r>
      <w:r>
        <w:rPr>
          <w:rFonts w:hint="eastAsia"/>
          <w:b/>
          <w:u w:val="single"/>
        </w:rPr>
        <w:t xml:space="preserve"> </w:t>
      </w:r>
    </w:p>
    <w:p>
      <w:pPr>
        <w:snapToGrid w:val="0"/>
        <w:spacing w:line="360" w:lineRule="auto"/>
        <w:ind w:firstLine="1260" w:firstLineChars="600"/>
      </w:pPr>
      <w:r>
        <w:rPr>
          <w:rFonts w:hint="eastAsia"/>
        </w:rPr>
        <w:t>（盖单位章）                           （盖单位章</w:t>
      </w:r>
      <w:r>
        <w:t>）</w:t>
      </w:r>
    </w:p>
    <w:p>
      <w:pPr>
        <w:snapToGrid w:val="0"/>
        <w:spacing w:line="360" w:lineRule="auto"/>
      </w:pPr>
      <w:r>
        <w:rPr>
          <w:rFonts w:hint="eastAsia"/>
        </w:rPr>
        <w:t>法定代表人：</w:t>
      </w:r>
      <w:r>
        <w:rPr>
          <w:rFonts w:hint="eastAsia"/>
          <w:u w:val="single"/>
        </w:rPr>
        <w:t xml:space="preserve">                </w:t>
      </w:r>
      <w:r>
        <w:rPr>
          <w:rFonts w:hint="eastAsia"/>
        </w:rPr>
        <w:t xml:space="preserve">         </w:t>
      </w:r>
      <w:r>
        <w:t xml:space="preserve"> </w:t>
      </w:r>
      <w:r>
        <w:rPr>
          <w:rFonts w:hint="eastAsia"/>
        </w:rPr>
        <w:t xml:space="preserve">      法定代表人：</w:t>
      </w:r>
      <w:r>
        <w:rPr>
          <w:rFonts w:hint="eastAsia"/>
          <w:u w:val="single"/>
        </w:rPr>
        <w:t xml:space="preserve">                   </w:t>
      </w:r>
    </w:p>
    <w:p>
      <w:pPr>
        <w:snapToGrid w:val="0"/>
        <w:spacing w:line="360" w:lineRule="auto"/>
      </w:pPr>
      <w:r>
        <w:rPr>
          <w:rFonts w:hint="eastAsia"/>
        </w:rPr>
        <w:t>或委托代理人：</w:t>
      </w:r>
      <w:r>
        <w:rPr>
          <w:u w:val="single"/>
        </w:rPr>
        <w:t xml:space="preserve"> </w:t>
      </w:r>
      <w:r>
        <w:rPr>
          <w:rFonts w:hint="eastAsia"/>
          <w:u w:val="single"/>
        </w:rPr>
        <w:t xml:space="preserve">             </w:t>
      </w:r>
      <w:r>
        <w:rPr>
          <w:rFonts w:hint="eastAsia"/>
        </w:rPr>
        <w:t xml:space="preserve">（签字） </w:t>
      </w:r>
      <w:r>
        <w:t xml:space="preserve"> </w:t>
      </w:r>
      <w:r>
        <w:rPr>
          <w:rFonts w:hint="eastAsia"/>
        </w:rPr>
        <w:t xml:space="preserve">      或委托代理人：</w:t>
      </w:r>
      <w:r>
        <w:rPr>
          <w:u w:val="single"/>
        </w:rPr>
        <w:t xml:space="preserve"> </w:t>
      </w:r>
      <w:r>
        <w:rPr>
          <w:rFonts w:hint="eastAsia"/>
          <w:u w:val="single"/>
        </w:rPr>
        <w:t xml:space="preserve">               </w:t>
      </w:r>
      <w:r>
        <w:rPr>
          <w:rFonts w:hint="eastAsia"/>
        </w:rPr>
        <w:t>（签字）</w:t>
      </w:r>
    </w:p>
    <w:p>
      <w:pPr>
        <w:snapToGrid w:val="0"/>
        <w:spacing w:line="360" w:lineRule="auto"/>
        <w:ind w:firstLine="1316" w:firstLineChars="627"/>
        <w:rPr>
          <w:rFonts w:hint="eastAsia"/>
        </w:rPr>
      </w:pPr>
      <w:r>
        <w:rPr>
          <w:rFonts w:hint="eastAsia"/>
        </w:rPr>
        <w:t>201 年   月   日                             201  年   月   日</w:t>
      </w:r>
    </w:p>
    <w:p>
      <w:pPr>
        <w:ind w:firstLine="1260" w:firstLineChars="600"/>
        <w:rPr>
          <w:rFonts w:hint="eastAsia"/>
        </w:rPr>
      </w:pPr>
    </w:p>
    <w:p>
      <w:pPr>
        <w:ind w:firstLine="1260" w:firstLineChars="600"/>
        <w:rPr>
          <w:rFonts w:hint="eastAsia"/>
        </w:rPr>
      </w:pPr>
    </w:p>
    <w:p>
      <w:pPr>
        <w:ind w:firstLine="1260" w:firstLineChars="600"/>
        <w:rPr>
          <w:rFonts w:hint="eastAsia"/>
        </w:rPr>
      </w:pPr>
    </w:p>
    <w:p>
      <w:pPr>
        <w:ind w:firstLine="1260" w:firstLineChars="600"/>
        <w:rPr>
          <w:rFonts w:hint="eastAsia"/>
        </w:rPr>
      </w:pPr>
    </w:p>
    <w:p>
      <w:pPr>
        <w:ind w:firstLine="1260" w:firstLineChars="600"/>
        <w:rPr>
          <w:rFonts w:hint="eastAsia"/>
        </w:rPr>
      </w:pPr>
    </w:p>
    <w:p>
      <w:pPr>
        <w:ind w:firstLine="1260" w:firstLineChars="600"/>
        <w:rPr>
          <w:rFonts w:hint="eastAsia"/>
        </w:rPr>
      </w:pPr>
    </w:p>
    <w:p>
      <w:pPr>
        <w:ind w:firstLine="1260" w:firstLineChars="600"/>
        <w:rPr>
          <w:rFonts w:hint="eastAsia"/>
        </w:rPr>
      </w:pPr>
    </w:p>
    <w:p>
      <w:pPr>
        <w:ind w:firstLine="1260" w:firstLineChars="600"/>
        <w:rPr>
          <w:rFonts w:hint="eastAsia"/>
        </w:rPr>
      </w:pPr>
    </w:p>
    <w:p>
      <w:pPr>
        <w:rPr>
          <w:rFonts w:hint="eastAsia"/>
        </w:rPr>
      </w:pPr>
    </w:p>
    <w:p>
      <w:pPr>
        <w:pStyle w:val="4"/>
        <w:tabs>
          <w:tab w:val="left" w:pos="576"/>
        </w:tabs>
        <w:spacing w:before="0" w:after="0"/>
        <w:jc w:val="center"/>
        <w:rPr>
          <w:rFonts w:hint="eastAsia"/>
          <w:bCs w:val="0"/>
        </w:rPr>
      </w:pPr>
      <w:bookmarkStart w:id="15" w:name="_Toc166549393"/>
      <w:r>
        <w:rPr>
          <w:bCs w:val="0"/>
        </w:rPr>
        <w:t>合同条款</w:t>
      </w:r>
      <w:bookmarkEnd w:id="15"/>
    </w:p>
    <w:p>
      <w:pPr>
        <w:pStyle w:val="5"/>
        <w:tabs>
          <w:tab w:val="left" w:pos="3600"/>
        </w:tabs>
        <w:spacing w:before="0"/>
        <w:rPr>
          <w:rFonts w:hint="eastAsia"/>
          <w:snapToGrid w:val="0"/>
          <w:szCs w:val="24"/>
        </w:rPr>
      </w:pPr>
      <w:bookmarkStart w:id="16" w:name="_Toc166549394"/>
      <w:r>
        <w:rPr>
          <w:snapToGrid w:val="0"/>
          <w:szCs w:val="24"/>
        </w:rPr>
        <w:t xml:space="preserve">1. </w:t>
      </w:r>
      <w:r>
        <w:rPr>
          <w:rFonts w:hint="eastAsia"/>
          <w:snapToGrid w:val="0"/>
          <w:szCs w:val="24"/>
        </w:rPr>
        <w:t>基本情况</w:t>
      </w:r>
      <w:bookmarkEnd w:id="16"/>
    </w:p>
    <w:p>
      <w:pPr>
        <w:pStyle w:val="6"/>
        <w:tabs>
          <w:tab w:val="left" w:pos="864"/>
        </w:tabs>
        <w:rPr>
          <w:rFonts w:hint="eastAsia"/>
          <w:szCs w:val="24"/>
        </w:rPr>
      </w:pPr>
      <w:r>
        <w:rPr>
          <w:szCs w:val="24"/>
        </w:rPr>
        <w:t xml:space="preserve">1.1 </w:t>
      </w:r>
      <w:r>
        <w:rPr>
          <w:rFonts w:hint="eastAsia"/>
          <w:szCs w:val="24"/>
        </w:rPr>
        <w:t>合同工程及管理范围</w:t>
      </w:r>
    </w:p>
    <w:p>
      <w:pPr>
        <w:pStyle w:val="12"/>
        <w:spacing w:line="360" w:lineRule="auto"/>
        <w:ind w:left="420" w:firstLine="0" w:firstLineChars="0"/>
      </w:pPr>
      <w:r>
        <w:rPr>
          <w:rFonts w:hint="eastAsia"/>
        </w:rPr>
        <w:t>1.1工程概况</w:t>
      </w:r>
    </w:p>
    <w:p>
      <w:pPr>
        <w:spacing w:line="360" w:lineRule="auto"/>
        <w:ind w:firstLine="420" w:firstLineChars="200"/>
      </w:pPr>
      <w:r>
        <w:rPr>
          <w:rFonts w:hint="eastAsia"/>
        </w:rPr>
        <w:t>一、草池水库：</w:t>
      </w:r>
    </w:p>
    <w:p>
      <w:pPr>
        <w:spacing w:line="360" w:lineRule="auto"/>
        <w:ind w:firstLine="420" w:firstLineChars="200"/>
      </w:pPr>
      <w:r>
        <w:rPr>
          <w:rFonts w:hint="eastAsia"/>
        </w:rPr>
        <w:t>草池水库位于平阳县鳌江镇荆仙村，于1956年10月开始动工兴建，1957年5月竣工。竣工运行后曾在1974年、1985年和1987年分别对大坝上、下游坝坡和放水涵洞进行修理。该水库坝址以上集雨面积0.25km2，水库总库容为14.05万m3，水库枢纽由拦水坝、溢洪道和放水涵洞等建筑物组成。2007年6月对该水库进行了工程保安加固措施包括：坝顶整修、上下游坝坡整修、溢洪道导水墙加固、原放水涵洞封堵、虹吸管布置、坝基和坝体防渗加固处理、增设工程观测设施、增设管理费及上坝道路、进行白蚁防治以及对库区清淤。改水库属小（2）型Ⅴ等5 级工程，是一座以灌溉为主的小型水利工程，现有灌溉农田面积为 3000 亩。</w:t>
      </w:r>
    </w:p>
    <w:p>
      <w:pPr>
        <w:spacing w:line="360" w:lineRule="auto"/>
        <w:ind w:firstLine="420" w:firstLineChars="200"/>
      </w:pPr>
      <w:r>
        <w:rPr>
          <w:rFonts w:hint="eastAsia"/>
        </w:rPr>
        <w:t>二、仙岩水库：</w:t>
      </w:r>
    </w:p>
    <w:p>
      <w:pPr>
        <w:spacing w:line="360" w:lineRule="auto"/>
        <w:ind w:firstLine="420" w:firstLineChars="200"/>
      </w:pPr>
      <w:r>
        <w:rPr>
          <w:rFonts w:hint="eastAsia"/>
        </w:rPr>
        <w:t>位于平阳县鳌江镇荆仙村荆溪山北麓，于1957年6 月动工兴建，竣工于 1964 年 5 月。水库总库容 50.29 万m3，坝址以上集雨面积 1.30km2。水库枢纽由拦水坝、溢洪道和输水涵洞等建筑物组成。拦水坝原为粘土心墙坝，根据钻孔取样土工试验资料分析认定，该坝型为均质土坝，最大坝高 28m，上游坝坡 1:2.15，下游坝坡分为三级，在高程 85.03m 处设置马道，马道以上坝坡坡比为1:1.90，马道以下至高程 74.56m 坝坡坡比为 1.255，高程 74.56m 至71.56m 坝坡为铅直面，上下游坝面为干砌块石护坡；输水涵洞位于坝体右岸，断面尺寸为 0.6m(宽) ×1.0m（高），洞长 88m，为浆砌条石结构；溢洪道形式为岸坡正槽开敞式溢洪道，它位于大坝左岸，由溢流堰、泄槽、陡坡三部分组成。该水库属小（2）型Ⅴ等 5 级工程，是一座以生活与工业用水为主结合灌溉的水库，现有灌溉农田面积为1800 余亩。</w:t>
      </w:r>
    </w:p>
    <w:p>
      <w:pPr>
        <w:spacing w:line="360" w:lineRule="auto"/>
        <w:ind w:firstLine="420" w:firstLineChars="200"/>
      </w:pPr>
      <w:r>
        <w:rPr>
          <w:rFonts w:hint="eastAsia"/>
        </w:rPr>
        <w:t>三、</w:t>
      </w:r>
      <w:r>
        <w:rPr>
          <w:rFonts w:hint="eastAsia"/>
          <w:lang w:eastAsia="zh-CN"/>
        </w:rPr>
        <w:t>杨文广坦</w:t>
      </w:r>
      <w:r>
        <w:rPr>
          <w:rFonts w:hint="eastAsia"/>
        </w:rPr>
        <w:t>水库：</w:t>
      </w:r>
    </w:p>
    <w:p>
      <w:pPr>
        <w:spacing w:line="360" w:lineRule="auto"/>
        <w:ind w:firstLine="420" w:firstLineChars="200"/>
        <w:rPr>
          <w:b/>
        </w:rPr>
      </w:pPr>
      <w:r>
        <w:rPr>
          <w:rFonts w:hint="eastAsia"/>
        </w:rPr>
        <w:t>位于平阳县鳌江镇西塘社区西塘村，水库控制集雨面积为 0.25km²，总库容为 11.50 万 m³，于 1957-1959 年开始建成，1985 年由于涵洞渗漏引起外坡沉陷，已于 1987 年修复加固。由于当时大坝建设缺乏必要的施工技术指导，建设后存在多处漏水，垮塌现象。其后水库经历历年来的大小维修后形成现有规模。2011 年 7 月对该水库进行了除险加固措施包括：1、整修坝顶，统一坝顶高程和宽度。2、对老涵洞进行封堵，另行设计一条输水隧洞。3、对溢洪道右侧山体方向进行拓宽，对护底、左侧导水墙进行加固处理，并清理溢洪道的渣草植物。4、整修上、下游护坡，增设上游山体与坝坡交界处的隔墙及下游坝坡与山体交界处的排水设施。5、在下坝脚处设置一贴坡排水体，在排水体内侧设反滤设施，分别为 300g/m²的土工布、碎石层厚 20cm和中砂层厚 20cm，达到排水反滤的要求。6、增设沉降、位移、水位等观测设施和新建管理房，加强对水库大坝的安全监测，以确保大坝安全运行。7、对大坝白蚁进一步进行检查与防治。8、明确工程管理范围，健全规章制度、档案管理等。9、增设水库上坝道路，其中通村公路 2500m，上坝道路 545m。该水库属小（2）型Ⅴ等 5 级工程，是一座以灌溉为主兼顾防洪的小型水利工程，现有灌溉农田面积为800余亩。</w:t>
      </w:r>
    </w:p>
    <w:p>
      <w:pPr>
        <w:spacing w:line="360" w:lineRule="auto"/>
        <w:ind w:firstLine="420" w:firstLineChars="200"/>
      </w:pPr>
      <w:r>
        <w:rPr>
          <w:rFonts w:hint="eastAsia"/>
        </w:rPr>
        <w:t>四、罗垟水库：</w:t>
      </w:r>
    </w:p>
    <w:p>
      <w:pPr>
        <w:spacing w:line="360" w:lineRule="auto"/>
        <w:ind w:firstLine="420" w:firstLineChars="200"/>
      </w:pPr>
      <w:r>
        <w:rPr>
          <w:rFonts w:hint="eastAsia"/>
        </w:rPr>
        <w:t>位于平阳县鳌江镇罗垟村，于1957年11月开始动工兴建，1962 年正式交付使用。水库坝址以上集雨面积0.56km2，水库总库容为30.40万m3。水库枢纽由拦水坝、溢洪道和放水涵洞等建筑物组成。2007 年 8 月对该水库进行了保安工程设计包括：1、在满足防洪安全的前提下，对坝顶进行整修，统一坝顶高程，同时拆除副坝顶违章建筑物。2、对原坝下放水涵洞进行封堵，另行设计放水设施。3、对溢洪道内杂草进行清理，以改善溢洪道泄洪时水流流态。同时溢洪道的护底、两侧导水墙进行加固处理，并清理溢洪道的杂草植物。4、对上、下游护坡进行整修，在满足灌溉功能上同时考虑美观要求，同时增设下游坝体与坝坡的排水设施及下游坝坡与山体交界处的排水设施。5、对大坝坝体、坝基防渗进行加固处理。6、在水库大坝适当位置增设渗流量、沉降、位移、水位等观测设施和新建管理房，加强对水库大坝的安全监测，以确保大坝安全运行。7、对大坝白蚁进一步进行检查与防治。8、明确工程管理范围，健全规章制度、档案管理等。该水库属小（2）型Ⅴ等 5 级工程，是一座以灌溉为主的小型水利工程，现有灌溉农田面积为 3800 余亩。</w:t>
      </w:r>
    </w:p>
    <w:p>
      <w:pPr>
        <w:spacing w:line="360" w:lineRule="auto"/>
        <w:ind w:firstLine="420" w:firstLineChars="200"/>
      </w:pPr>
      <w:r>
        <w:rPr>
          <w:rFonts w:hint="eastAsia"/>
        </w:rPr>
        <w:t>五、岩庵水库</w:t>
      </w:r>
    </w:p>
    <w:p>
      <w:pPr>
        <w:spacing w:line="360" w:lineRule="auto"/>
        <w:ind w:firstLine="420" w:firstLineChars="200"/>
      </w:pPr>
      <w:r>
        <w:rPr>
          <w:rFonts w:hint="eastAsia"/>
        </w:rPr>
        <w:t>位于平阳县鳌江镇钱仓社区白水村，水系属鳌江支流梅溪流域，水库控制集雨面积1.03km2，总库容为 61.1 万 m3。岩庵水库于1957年12月动工，1958年7月建成。在20世纪80年代，整修溢洪道，加固迎水坡、背水坡；涵洞进口段漏水封堵，维修启闭机。1990年10月至1991年4月，拆除启闭机房，更新启闭机。1994年12月至1995年4月，对溢洪道进行全面维修。1997年1月至3月，发现涵洞进口处漏水并作了开挖处理。2003年，对坝内涵洞进行了封堵，并在坝体右侧的山体开凿隧道，重建启闭机房。大坝上游坡为干砌块石护坡，下游坡为土坡；溢洪道位于大坝左侧，为正槽开敞式溢洪道，进口底高程 101.50m，宽度为 11m，溢洪道全长 168m；输水隧道位于大坝右侧山体内，为圆拱直墙式，洞长 82.5m，洞径 1.8×1.5m，进口处设置 1 扇插板式闸门和 1 台螺杆式启闭机。该水库属小（2）型Ⅴ等 5 级工程，是一座以生活用水供给为主要功能的水库。</w:t>
      </w:r>
    </w:p>
    <w:p>
      <w:pPr>
        <w:spacing w:line="360" w:lineRule="auto"/>
        <w:ind w:firstLine="420" w:firstLineChars="200"/>
      </w:pPr>
      <w:r>
        <w:rPr>
          <w:rFonts w:hint="eastAsia"/>
        </w:rPr>
        <w:t>六、夹坑水库：位于平阳县鳌江镇梅溪社区溪头村，水系属鳌江中下游的梅溪小流域。该水库总库容 23 万 m3，坝址以上集雨面积2.23km2。水库枢纽水库枢纽由拦水坝、溢洪道和放水涵洞等建筑物组成。2010 年 2 月对该水库进行了除险加固设计包括：1、对坝顶进行整修，拆除原防浪墙并重新砌筑，同时对上下游坝坡按要求进行整修。2、在下游坝脚增设排水设施。3、对坝体及坝基进行防渗处理。3、对坝体及坝基进行防渗处理。4、对放水涵洞进行封堵，并另行设计放水设施。5、对溢洪道进行修整。6、增设渗流、沉降、位移、水位等观测设施。7、增设管理房，明确工程管理范围、健全规章制度、档案管理等。该水库属小（2）型Ⅴ等 5 级工程，是一座以灌溉为主的小型水利工程，现有灌溉农田面积为 560 余亩。</w:t>
      </w:r>
    </w:p>
    <w:p>
      <w:pPr>
        <w:spacing w:line="360" w:lineRule="auto"/>
        <w:ind w:firstLine="420" w:firstLineChars="200"/>
      </w:pPr>
      <w:r>
        <w:rPr>
          <w:rFonts w:hint="eastAsia"/>
        </w:rPr>
        <w:t>七、墨城水闸</w:t>
      </w:r>
    </w:p>
    <w:p>
      <w:pPr>
        <w:spacing w:line="360" w:lineRule="auto"/>
        <w:ind w:firstLine="420" w:firstLineChars="200"/>
        <w:rPr>
          <w:rFonts w:hint="eastAsia"/>
        </w:rPr>
      </w:pPr>
      <w:r>
        <w:rPr>
          <w:rFonts w:hint="eastAsia"/>
        </w:rPr>
        <w:t>墨城水闸位于平阳县鳌江镇墨城</w:t>
      </w:r>
      <w:r>
        <w:rPr>
          <w:rFonts w:hint="eastAsia"/>
          <w:lang w:val="en-US" w:eastAsia="zh-CN"/>
        </w:rPr>
        <w:t>社区海城村</w:t>
      </w:r>
      <w:r>
        <w:rPr>
          <w:rFonts w:hint="eastAsia"/>
        </w:rPr>
        <w:t>，是平阳县中型出江水闸之一，为该片区的骨干排涝工程，其主要功能为挡潮、排涝、蓄水灌溉。2005年7月开工，2007年7月完工。墨城水闸共3孔，每孔4m,总净宽12m，内部排涝标准20年一遇，挡潮标准50年一遇，设计最大过闸流量185.6m3/s。</w:t>
      </w:r>
    </w:p>
    <w:p>
      <w:pPr>
        <w:spacing w:line="360" w:lineRule="auto"/>
        <w:ind w:firstLine="420" w:firstLineChars="200"/>
        <w:rPr>
          <w:rFonts w:hint="eastAsia"/>
        </w:rPr>
      </w:pPr>
      <w:r>
        <w:rPr>
          <w:rFonts w:hint="eastAsia"/>
        </w:rPr>
        <w:t>八、梅浦水闸</w:t>
      </w:r>
    </w:p>
    <w:p>
      <w:pPr>
        <w:spacing w:line="360" w:lineRule="auto"/>
        <w:ind w:firstLine="420" w:firstLineChars="200"/>
        <w:outlineLvl w:val="2"/>
      </w:pPr>
      <w:r>
        <w:rPr>
          <w:rFonts w:hint="eastAsia"/>
        </w:rPr>
        <w:t>梅浦水闸位于</w:t>
      </w:r>
      <w:r>
        <w:rPr>
          <w:rFonts w:hint="eastAsia"/>
          <w:lang w:val="en-US" w:eastAsia="zh-CN"/>
        </w:rPr>
        <w:t>鳌江镇钱仓社区</w:t>
      </w:r>
      <w:r>
        <w:rPr>
          <w:rFonts w:hint="eastAsia"/>
        </w:rPr>
        <w:t>梅浦村，为梅溪小流域出江水闸，共计6孔，过闸流量120m3/s，其功能是排涝和蓄水，受益面积6000亩。水闸分东、西二闸室，分二期建成，其中东闸建于1957年，西闸建于1963年，安装6台手摇式启闭机，1977年冬，改用手摇式为机动式，并建启闭机操作房，1982年和1983年水闸有过维修，1991年在水闸下游进行抛石防坍，1997年和1998年水闸有过维修，2001年对水闸下游海漫进行维修加固和启闭机操作房的改造，2007年对水闸进行维修加固并运行直今。</w:t>
      </w:r>
    </w:p>
    <w:p>
      <w:pPr>
        <w:spacing w:line="360" w:lineRule="auto"/>
        <w:ind w:firstLine="420" w:firstLineChars="200"/>
        <w:rPr>
          <w:rFonts w:hint="eastAsia"/>
          <w:bCs/>
        </w:rPr>
      </w:pPr>
      <w:r>
        <w:rPr>
          <w:rFonts w:hint="eastAsia"/>
        </w:rPr>
        <w:t>九、</w:t>
      </w:r>
      <w:r>
        <w:rPr>
          <w:rFonts w:hint="eastAsia"/>
          <w:bCs/>
        </w:rPr>
        <w:t>宋埠海塘宋埠段</w:t>
      </w:r>
    </w:p>
    <w:p>
      <w:pPr>
        <w:spacing w:line="360" w:lineRule="auto"/>
        <w:ind w:firstLine="420" w:firstLineChars="200"/>
      </w:pPr>
      <w:r>
        <w:rPr>
          <w:rFonts w:hint="eastAsia"/>
          <w:bCs/>
          <w:szCs w:val="28"/>
        </w:rPr>
        <w:t>始建于1955年，南自西湾海滨村山脚（旧称派田），北至宋埠长桥村，全长3.2千米，经3次续建，于1964年建成土堤。建有排水闸3座4孔，总净宽11.50米，过闸流量52.0立方米每秒。1994年受17号台风大潮袭击，堤塘全线冲垮。1995-1996年，按20年一遇防潮标准进行重建。2000年9月，建造宋埠标准海塘，按III级堤塘50年一遇潮位设计，断面形式为土石混合重力式结构，设计堤顶高程6.42米（85高程下同），现状堤顶高程在5.77m-6.29m,设计防浪墙顶高程7.62米，现状防浪墙高程在6.91m-7.51m。工程于2001年11月全部建成，总投资为1033.5万元。保护3万多人口，2.5万亩农田，以及几十家企业的安全。</w:t>
      </w:r>
    </w:p>
    <w:p>
      <w:pPr>
        <w:spacing w:line="360" w:lineRule="auto"/>
        <w:ind w:firstLine="420" w:firstLineChars="200"/>
      </w:pPr>
      <w:r>
        <w:rPr>
          <w:rFonts w:hint="eastAsia"/>
        </w:rPr>
        <w:t>十、鳌江标准堤镇区段</w:t>
      </w:r>
    </w:p>
    <w:p>
      <w:pPr>
        <w:spacing w:line="360" w:lineRule="auto"/>
        <w:ind w:firstLine="420" w:firstLineChars="200"/>
      </w:pPr>
      <w:r>
        <w:rPr>
          <w:rFonts w:hint="eastAsia"/>
        </w:rPr>
        <w:t>鳌江标准堤镇区段工程上游起于雁门水闸，下游至下埠水闸，总长约3.684km，防洪标准为50年一遇，工程始建于2001年，2011年11月由温州市水利局鉴定为“三类塘”，后于2015年9月25日进行除险加固工作。鳌江标准堤镇区段是保护鳌江镇区人民生命财产安全生命线的重要组成部分。</w:t>
      </w:r>
    </w:p>
    <w:p>
      <w:pPr>
        <w:spacing w:line="360" w:lineRule="auto"/>
        <w:ind w:firstLine="420" w:firstLineChars="200"/>
      </w:pPr>
      <w:r>
        <w:rPr>
          <w:rFonts w:hint="eastAsia"/>
        </w:rPr>
        <w:t>十一、鳌江标准堤垂杨段</w:t>
      </w:r>
    </w:p>
    <w:p>
      <w:pPr>
        <w:spacing w:line="360" w:lineRule="auto"/>
        <w:ind w:firstLine="420" w:firstLineChars="200"/>
      </w:pPr>
      <w:r>
        <w:rPr>
          <w:rFonts w:hint="eastAsia"/>
        </w:rPr>
        <w:t>鳌江标准堤垂杨段工程上游起于龙港大桥附件，下游至雁门水闸，总长约2.11km，工程始建于2000年7月份，于2001年1月竣工，当时防洪标准为20年一遇，2012年1月由温州市水利局鉴定为“三类塘”，后于2015年9月25日进行除险加固工作，防洪标准提升为50年一遇。工程沿线主要水闸有雁门水闸，工程沿线码头众多，涉及的旱闸共有8座。</w:t>
      </w:r>
    </w:p>
    <w:p>
      <w:pPr>
        <w:spacing w:line="360" w:lineRule="auto"/>
        <w:ind w:firstLine="420" w:firstLineChars="200"/>
      </w:pPr>
      <w:r>
        <w:rPr>
          <w:rFonts w:hint="eastAsia"/>
        </w:rPr>
        <w:t>十二、鳌江标准堤下埠段</w:t>
      </w:r>
    </w:p>
    <w:p>
      <w:pPr>
        <w:spacing w:line="360" w:lineRule="auto"/>
        <w:ind w:firstLine="420" w:firstLineChars="200"/>
      </w:pPr>
      <w:r>
        <w:rPr>
          <w:rFonts w:hint="eastAsia"/>
        </w:rPr>
        <w:t>鳌江标准堤下埠段工程上游起于下埠水闸，下游至红砖厂，全长：2.32km，该工程防洪标准化为50年一遇，工程具有防洪的任务，工程始建于1998年3月，于1998年12月份竣工，2011年11月由温州市水利局鉴定为“三类塘”，后于2015年9月25日进行除险加固工作。工程沿线主要水闸有下埠水闸及三座小涵闸。</w:t>
      </w:r>
    </w:p>
    <w:p>
      <w:pPr>
        <w:spacing w:line="360" w:lineRule="auto"/>
        <w:ind w:firstLine="420" w:firstLineChars="200"/>
        <w:rPr>
          <w:rFonts w:hint="eastAsia"/>
        </w:rPr>
      </w:pPr>
      <w:r>
        <w:rPr>
          <w:rFonts w:hint="eastAsia"/>
        </w:rPr>
        <w:t>十三、梅里山塘</w:t>
      </w:r>
    </w:p>
    <w:p>
      <w:pPr>
        <w:spacing w:line="360" w:lineRule="auto"/>
        <w:ind w:firstLine="560"/>
      </w:pPr>
      <w:r>
        <w:rPr>
          <w:rFonts w:hint="eastAsia"/>
        </w:rPr>
        <w:t>平阳县鳌江镇梅里山塘位于平阳县鳌江镇梅溪社区梅里村所有权归属梅里村村民委员会，距离梅里村约1.0km。坝址以上集雨面积0.339k㎡，山塘主流长度0.644km，主流平均坡降为18.79%，山塘总库容为9.6万m³，根据《浙江省山塘综合整治技术导则（试行）》规定，工程规模为山（1）型，工程等别属VI等，主要建筑物为6级，次要建筑物为6级。</w:t>
      </w:r>
    </w:p>
    <w:p>
      <w:pPr>
        <w:snapToGrid w:val="0"/>
        <w:spacing w:line="360" w:lineRule="auto"/>
        <w:rPr>
          <w:rFonts w:hint="eastAsia"/>
        </w:rPr>
      </w:pPr>
      <w:r>
        <w:rPr>
          <w:rFonts w:hint="eastAsia"/>
        </w:rPr>
        <w:t xml:space="preserve">   </w:t>
      </w:r>
      <w:r>
        <w:t xml:space="preserve">1.1.2 </w:t>
      </w:r>
      <w:r>
        <w:rPr>
          <w:rFonts w:hint="eastAsia"/>
        </w:rPr>
        <w:t>管理范围：</w:t>
      </w:r>
    </w:p>
    <w:p>
      <w:pPr>
        <w:spacing w:line="360" w:lineRule="auto"/>
        <w:ind w:firstLine="420" w:firstLineChars="200"/>
        <w:rPr>
          <w:rFonts w:hint="eastAsia"/>
        </w:rPr>
      </w:pPr>
      <w:r>
        <w:rPr>
          <w:rFonts w:hint="eastAsia"/>
        </w:rPr>
        <w:t>（1）此次物业化的六座水库均为小型水库，根据《浙江省水利工程管理范围和保护范围标准划定》文件内容，小型水库大坝管理管理范围为大坝两端以外五十米的地带（或者以山头、岗地脊线为界），以及大坝背水坡以外五十米的地带；保护范围为管理范围以外二十米的地带。</w:t>
      </w:r>
    </w:p>
    <w:p>
      <w:pPr>
        <w:spacing w:line="360" w:lineRule="auto"/>
        <w:ind w:firstLine="420" w:firstLineChars="200"/>
      </w:pPr>
      <w:r>
        <w:rPr>
          <w:rFonts w:hint="eastAsia"/>
        </w:rPr>
        <w:t>（2）水闸、海塘管理范围：</w:t>
      </w:r>
    </w:p>
    <w:tbl>
      <w:tblPr>
        <w:tblStyle w:val="41"/>
        <w:tblW w:w="92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754"/>
        <w:gridCol w:w="1255"/>
        <w:gridCol w:w="753"/>
        <w:gridCol w:w="167"/>
        <w:gridCol w:w="920"/>
        <w:gridCol w:w="921"/>
        <w:gridCol w:w="2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restart"/>
            <w:tcMar>
              <w:left w:w="57" w:type="dxa"/>
              <w:right w:w="57" w:type="dxa"/>
            </w:tcMar>
            <w:vAlign w:val="center"/>
          </w:tcPr>
          <w:p>
            <w:pPr>
              <w:jc w:val="center"/>
              <w:rPr>
                <w:b/>
              </w:rPr>
            </w:pPr>
            <w:r>
              <w:rPr>
                <w:rFonts w:hint="eastAsia"/>
                <w:b/>
              </w:rPr>
              <w:t>序号</w:t>
            </w:r>
          </w:p>
        </w:tc>
        <w:tc>
          <w:tcPr>
            <w:tcW w:w="1754" w:type="dxa"/>
            <w:vMerge w:val="restart"/>
            <w:tcMar>
              <w:left w:w="57" w:type="dxa"/>
              <w:right w:w="57" w:type="dxa"/>
            </w:tcMar>
            <w:vAlign w:val="center"/>
          </w:tcPr>
          <w:p>
            <w:pPr>
              <w:jc w:val="center"/>
              <w:rPr>
                <w:b/>
              </w:rPr>
            </w:pPr>
            <w:r>
              <w:rPr>
                <w:rFonts w:hint="eastAsia"/>
                <w:b/>
              </w:rPr>
              <w:t>名称</w:t>
            </w:r>
          </w:p>
        </w:tc>
        <w:tc>
          <w:tcPr>
            <w:tcW w:w="4016" w:type="dxa"/>
            <w:gridSpan w:val="5"/>
            <w:tcMar>
              <w:left w:w="57" w:type="dxa"/>
              <w:right w:w="57" w:type="dxa"/>
            </w:tcMar>
            <w:vAlign w:val="center"/>
          </w:tcPr>
          <w:p>
            <w:pPr>
              <w:jc w:val="center"/>
              <w:rPr>
                <w:b/>
              </w:rPr>
            </w:pPr>
            <w:r>
              <w:rPr>
                <w:rFonts w:hint="eastAsia"/>
                <w:b/>
              </w:rPr>
              <w:t>区域（米）</w:t>
            </w:r>
          </w:p>
        </w:tc>
        <w:tc>
          <w:tcPr>
            <w:tcW w:w="2680" w:type="dxa"/>
            <w:vMerge w:val="restart"/>
            <w:tcMar>
              <w:left w:w="57" w:type="dxa"/>
              <w:right w:w="57" w:type="dxa"/>
            </w:tcMar>
            <w:vAlign w:val="center"/>
          </w:tcPr>
          <w:p>
            <w:pPr>
              <w:jc w:val="center"/>
              <w:rPr>
                <w:b/>
              </w:rPr>
            </w:pPr>
            <w:r>
              <w:rPr>
                <w:rFonts w:hint="eastAsia"/>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continue"/>
            <w:tcMar>
              <w:left w:w="57" w:type="dxa"/>
              <w:right w:w="57" w:type="dxa"/>
            </w:tcMar>
            <w:vAlign w:val="center"/>
          </w:tcPr>
          <w:p>
            <w:pPr>
              <w:jc w:val="center"/>
              <w:rPr>
                <w:b/>
              </w:rPr>
            </w:pPr>
          </w:p>
        </w:tc>
        <w:tc>
          <w:tcPr>
            <w:tcW w:w="1754" w:type="dxa"/>
            <w:vMerge w:val="continue"/>
            <w:tcMar>
              <w:left w:w="57" w:type="dxa"/>
              <w:right w:w="57" w:type="dxa"/>
            </w:tcMar>
            <w:vAlign w:val="center"/>
          </w:tcPr>
          <w:p>
            <w:pPr>
              <w:jc w:val="center"/>
              <w:rPr>
                <w:b/>
              </w:rPr>
            </w:pPr>
          </w:p>
        </w:tc>
        <w:tc>
          <w:tcPr>
            <w:tcW w:w="1255" w:type="dxa"/>
            <w:tcMar>
              <w:left w:w="57" w:type="dxa"/>
              <w:right w:w="57" w:type="dxa"/>
            </w:tcMar>
            <w:vAlign w:val="center"/>
          </w:tcPr>
          <w:p>
            <w:pPr>
              <w:jc w:val="center"/>
              <w:rPr>
                <w:b/>
              </w:rPr>
            </w:pPr>
            <w:r>
              <w:rPr>
                <w:rFonts w:hint="eastAsia"/>
                <w:b/>
              </w:rPr>
              <w:t>上游</w:t>
            </w:r>
          </w:p>
        </w:tc>
        <w:tc>
          <w:tcPr>
            <w:tcW w:w="920" w:type="dxa"/>
            <w:gridSpan w:val="2"/>
            <w:tcMar>
              <w:left w:w="57" w:type="dxa"/>
              <w:right w:w="57" w:type="dxa"/>
            </w:tcMar>
            <w:vAlign w:val="center"/>
          </w:tcPr>
          <w:p>
            <w:pPr>
              <w:jc w:val="center"/>
              <w:rPr>
                <w:b/>
              </w:rPr>
            </w:pPr>
            <w:r>
              <w:rPr>
                <w:rFonts w:hint="eastAsia"/>
                <w:b/>
              </w:rPr>
              <w:t>下游</w:t>
            </w:r>
          </w:p>
        </w:tc>
        <w:tc>
          <w:tcPr>
            <w:tcW w:w="920" w:type="dxa"/>
            <w:tcMar>
              <w:left w:w="57" w:type="dxa"/>
              <w:right w:w="57" w:type="dxa"/>
            </w:tcMar>
            <w:vAlign w:val="center"/>
          </w:tcPr>
          <w:p>
            <w:pPr>
              <w:jc w:val="center"/>
              <w:rPr>
                <w:b/>
              </w:rPr>
            </w:pPr>
            <w:r>
              <w:rPr>
                <w:rFonts w:hint="eastAsia"/>
                <w:b/>
              </w:rPr>
              <w:t>左岸</w:t>
            </w:r>
          </w:p>
        </w:tc>
        <w:tc>
          <w:tcPr>
            <w:tcW w:w="921" w:type="dxa"/>
            <w:tcMar>
              <w:left w:w="57" w:type="dxa"/>
              <w:right w:w="57" w:type="dxa"/>
            </w:tcMar>
            <w:vAlign w:val="center"/>
          </w:tcPr>
          <w:p>
            <w:pPr>
              <w:jc w:val="center"/>
              <w:rPr>
                <w:b/>
              </w:rPr>
            </w:pPr>
            <w:r>
              <w:rPr>
                <w:rFonts w:hint="eastAsia"/>
                <w:b/>
              </w:rPr>
              <w:t>右岸</w:t>
            </w:r>
          </w:p>
        </w:tc>
        <w:tc>
          <w:tcPr>
            <w:tcW w:w="2680" w:type="dxa"/>
            <w:vMerge w:val="continue"/>
            <w:tcMar>
              <w:left w:w="57" w:type="dxa"/>
              <w:right w:w="57" w:type="dxa"/>
            </w:tcMar>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tcMar>
              <w:left w:w="57" w:type="dxa"/>
              <w:right w:w="57" w:type="dxa"/>
            </w:tcMar>
            <w:vAlign w:val="center"/>
          </w:tcPr>
          <w:p>
            <w:pPr>
              <w:jc w:val="center"/>
            </w:pPr>
            <w:r>
              <w:t>1</w:t>
            </w:r>
          </w:p>
        </w:tc>
        <w:tc>
          <w:tcPr>
            <w:tcW w:w="1754" w:type="dxa"/>
            <w:tcMar>
              <w:left w:w="57" w:type="dxa"/>
              <w:right w:w="57" w:type="dxa"/>
            </w:tcMar>
            <w:vAlign w:val="center"/>
          </w:tcPr>
          <w:p>
            <w:pPr>
              <w:jc w:val="center"/>
            </w:pPr>
            <w:r>
              <w:rPr>
                <w:rFonts w:hint="eastAsia"/>
                <w:b/>
                <w:bCs/>
                <w:sz w:val="22"/>
                <w:szCs w:val="22"/>
              </w:rPr>
              <w:t>墨城水闸</w:t>
            </w:r>
          </w:p>
        </w:tc>
        <w:tc>
          <w:tcPr>
            <w:tcW w:w="1255" w:type="dxa"/>
            <w:tcMar>
              <w:left w:w="57" w:type="dxa"/>
              <w:right w:w="57" w:type="dxa"/>
            </w:tcMar>
            <w:vAlign w:val="center"/>
          </w:tcPr>
          <w:p>
            <w:pPr>
              <w:jc w:val="center"/>
            </w:pPr>
            <w:r>
              <w:rPr>
                <w:rFonts w:hint="eastAsia"/>
              </w:rPr>
              <w:t>100</w:t>
            </w:r>
          </w:p>
        </w:tc>
        <w:tc>
          <w:tcPr>
            <w:tcW w:w="920" w:type="dxa"/>
            <w:gridSpan w:val="2"/>
            <w:tcMar>
              <w:left w:w="57" w:type="dxa"/>
              <w:right w:w="57" w:type="dxa"/>
            </w:tcMar>
            <w:vAlign w:val="center"/>
          </w:tcPr>
          <w:p>
            <w:pPr>
              <w:jc w:val="center"/>
            </w:pPr>
            <w:r>
              <w:rPr>
                <w:rFonts w:hint="eastAsia"/>
              </w:rPr>
              <w:t>100</w:t>
            </w:r>
          </w:p>
        </w:tc>
        <w:tc>
          <w:tcPr>
            <w:tcW w:w="920" w:type="dxa"/>
            <w:tcMar>
              <w:left w:w="57" w:type="dxa"/>
              <w:right w:w="57" w:type="dxa"/>
            </w:tcMar>
            <w:vAlign w:val="center"/>
          </w:tcPr>
          <w:p>
            <w:pPr>
              <w:jc w:val="center"/>
            </w:pPr>
            <w:r>
              <w:rPr>
                <w:rFonts w:hint="eastAsia"/>
              </w:rPr>
              <w:t>25</w:t>
            </w:r>
          </w:p>
        </w:tc>
        <w:tc>
          <w:tcPr>
            <w:tcW w:w="921" w:type="dxa"/>
            <w:tcMar>
              <w:left w:w="57" w:type="dxa"/>
              <w:right w:w="57" w:type="dxa"/>
            </w:tcMar>
            <w:vAlign w:val="center"/>
          </w:tcPr>
          <w:p>
            <w:pPr>
              <w:jc w:val="center"/>
            </w:pPr>
            <w:r>
              <w:rPr>
                <w:rFonts w:hint="eastAsia"/>
              </w:rPr>
              <w:t>25</w:t>
            </w:r>
          </w:p>
        </w:tc>
        <w:tc>
          <w:tcPr>
            <w:tcW w:w="2680" w:type="dxa"/>
            <w:tcMar>
              <w:left w:w="57" w:type="dxa"/>
              <w:right w:w="57" w:type="dxa"/>
            </w:tcMar>
            <w:vAlign w:val="center"/>
          </w:tcPr>
          <w:p>
            <w:pPr>
              <w:jc w:val="center"/>
            </w:pPr>
            <w:r>
              <w:rPr>
                <w:rFonts w:hint="eastAsia"/>
              </w:rPr>
              <w:t>详参照工程定界图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tcMar>
              <w:left w:w="57" w:type="dxa"/>
              <w:right w:w="57" w:type="dxa"/>
            </w:tcMar>
            <w:vAlign w:val="center"/>
          </w:tcPr>
          <w:p>
            <w:pPr>
              <w:jc w:val="center"/>
            </w:pPr>
            <w:r>
              <w:rPr>
                <w:rFonts w:hint="eastAsia"/>
              </w:rPr>
              <w:t>2</w:t>
            </w:r>
          </w:p>
        </w:tc>
        <w:tc>
          <w:tcPr>
            <w:tcW w:w="1754" w:type="dxa"/>
            <w:tcMar>
              <w:left w:w="57" w:type="dxa"/>
              <w:right w:w="57" w:type="dxa"/>
            </w:tcMar>
            <w:vAlign w:val="center"/>
          </w:tcPr>
          <w:p>
            <w:pPr>
              <w:jc w:val="center"/>
              <w:rPr>
                <w:rFonts w:hint="eastAsia"/>
                <w:b/>
                <w:bCs/>
                <w:sz w:val="22"/>
                <w:szCs w:val="22"/>
              </w:rPr>
            </w:pPr>
            <w:r>
              <w:rPr>
                <w:rFonts w:hint="eastAsia"/>
              </w:rPr>
              <w:t>梅浦水闸</w:t>
            </w:r>
          </w:p>
        </w:tc>
        <w:tc>
          <w:tcPr>
            <w:tcW w:w="1255" w:type="dxa"/>
            <w:tcMar>
              <w:left w:w="57" w:type="dxa"/>
              <w:right w:w="57" w:type="dxa"/>
            </w:tcMar>
            <w:vAlign w:val="center"/>
          </w:tcPr>
          <w:p>
            <w:pPr>
              <w:jc w:val="center"/>
            </w:pPr>
            <w:r>
              <w:rPr>
                <w:rFonts w:hint="eastAsia"/>
              </w:rPr>
              <w:t>100</w:t>
            </w:r>
          </w:p>
        </w:tc>
        <w:tc>
          <w:tcPr>
            <w:tcW w:w="920" w:type="dxa"/>
            <w:gridSpan w:val="2"/>
            <w:tcMar>
              <w:left w:w="57" w:type="dxa"/>
              <w:right w:w="57" w:type="dxa"/>
            </w:tcMar>
            <w:vAlign w:val="center"/>
          </w:tcPr>
          <w:p>
            <w:pPr>
              <w:jc w:val="center"/>
            </w:pPr>
            <w:r>
              <w:rPr>
                <w:rFonts w:hint="eastAsia"/>
              </w:rPr>
              <w:t>100</w:t>
            </w:r>
          </w:p>
        </w:tc>
        <w:tc>
          <w:tcPr>
            <w:tcW w:w="920" w:type="dxa"/>
            <w:tcMar>
              <w:left w:w="57" w:type="dxa"/>
              <w:right w:w="57" w:type="dxa"/>
            </w:tcMar>
            <w:vAlign w:val="center"/>
          </w:tcPr>
          <w:p>
            <w:pPr>
              <w:jc w:val="center"/>
            </w:pPr>
            <w:r>
              <w:rPr>
                <w:rFonts w:hint="eastAsia"/>
              </w:rPr>
              <w:t>25</w:t>
            </w:r>
          </w:p>
        </w:tc>
        <w:tc>
          <w:tcPr>
            <w:tcW w:w="921" w:type="dxa"/>
            <w:tcMar>
              <w:left w:w="57" w:type="dxa"/>
              <w:right w:w="57" w:type="dxa"/>
            </w:tcMar>
            <w:vAlign w:val="center"/>
          </w:tcPr>
          <w:p>
            <w:pPr>
              <w:jc w:val="center"/>
            </w:pPr>
            <w:r>
              <w:rPr>
                <w:rFonts w:hint="eastAsia"/>
              </w:rPr>
              <w:t>25</w:t>
            </w:r>
          </w:p>
        </w:tc>
        <w:tc>
          <w:tcPr>
            <w:tcW w:w="2680" w:type="dxa"/>
            <w:tcMar>
              <w:left w:w="57" w:type="dxa"/>
              <w:right w:w="57" w:type="dxa"/>
            </w:tcMar>
            <w:vAlign w:val="center"/>
          </w:tcPr>
          <w:p>
            <w:pPr>
              <w:jc w:val="center"/>
            </w:pPr>
            <w:r>
              <w:rPr>
                <w:rFonts w:hint="eastAsia"/>
              </w:rPr>
              <w:t>详参照工程定界图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restart"/>
            <w:tcMar>
              <w:left w:w="57" w:type="dxa"/>
              <w:right w:w="57" w:type="dxa"/>
            </w:tcMar>
            <w:vAlign w:val="center"/>
          </w:tcPr>
          <w:p>
            <w:pPr>
              <w:jc w:val="center"/>
              <w:rPr>
                <w:b/>
              </w:rPr>
            </w:pPr>
            <w:r>
              <w:rPr>
                <w:rFonts w:hint="eastAsia"/>
                <w:b/>
              </w:rPr>
              <w:t>序号</w:t>
            </w:r>
          </w:p>
        </w:tc>
        <w:tc>
          <w:tcPr>
            <w:tcW w:w="1754" w:type="dxa"/>
            <w:vMerge w:val="restart"/>
            <w:tcMar>
              <w:left w:w="57" w:type="dxa"/>
              <w:right w:w="57" w:type="dxa"/>
            </w:tcMar>
            <w:vAlign w:val="center"/>
          </w:tcPr>
          <w:p>
            <w:pPr>
              <w:jc w:val="center"/>
              <w:rPr>
                <w:b/>
              </w:rPr>
            </w:pPr>
            <w:r>
              <w:rPr>
                <w:rFonts w:hint="eastAsia"/>
                <w:b/>
              </w:rPr>
              <w:t>名称</w:t>
            </w:r>
          </w:p>
        </w:tc>
        <w:tc>
          <w:tcPr>
            <w:tcW w:w="4016" w:type="dxa"/>
            <w:gridSpan w:val="5"/>
            <w:tcMar>
              <w:left w:w="57" w:type="dxa"/>
              <w:right w:w="57" w:type="dxa"/>
            </w:tcMar>
            <w:vAlign w:val="center"/>
          </w:tcPr>
          <w:p>
            <w:pPr>
              <w:jc w:val="center"/>
              <w:rPr>
                <w:b/>
              </w:rPr>
            </w:pPr>
            <w:r>
              <w:rPr>
                <w:rFonts w:hint="eastAsia"/>
                <w:b/>
              </w:rPr>
              <w:t>区域（米）</w:t>
            </w:r>
          </w:p>
        </w:tc>
        <w:tc>
          <w:tcPr>
            <w:tcW w:w="2680" w:type="dxa"/>
            <w:vMerge w:val="restart"/>
            <w:tcMar>
              <w:left w:w="57" w:type="dxa"/>
              <w:right w:w="57" w:type="dxa"/>
            </w:tcMar>
            <w:vAlign w:val="center"/>
          </w:tcPr>
          <w:p>
            <w:pPr>
              <w:jc w:val="center"/>
              <w:rPr>
                <w:b/>
              </w:rPr>
            </w:pPr>
            <w:r>
              <w:rPr>
                <w:rFonts w:hint="eastAsia"/>
                <w:b/>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continue"/>
            <w:tcMar>
              <w:left w:w="57" w:type="dxa"/>
              <w:right w:w="57" w:type="dxa"/>
            </w:tcMar>
            <w:vAlign w:val="center"/>
          </w:tcPr>
          <w:p>
            <w:pPr>
              <w:jc w:val="center"/>
              <w:rPr>
                <w:b/>
              </w:rPr>
            </w:pPr>
          </w:p>
        </w:tc>
        <w:tc>
          <w:tcPr>
            <w:tcW w:w="1754" w:type="dxa"/>
            <w:vMerge w:val="continue"/>
            <w:tcMar>
              <w:left w:w="57" w:type="dxa"/>
              <w:right w:w="57" w:type="dxa"/>
            </w:tcMar>
            <w:vAlign w:val="center"/>
          </w:tcPr>
          <w:p>
            <w:pPr>
              <w:jc w:val="center"/>
              <w:rPr>
                <w:b/>
              </w:rPr>
            </w:pPr>
          </w:p>
        </w:tc>
        <w:tc>
          <w:tcPr>
            <w:tcW w:w="2008" w:type="dxa"/>
            <w:gridSpan w:val="2"/>
            <w:tcMar>
              <w:left w:w="57" w:type="dxa"/>
              <w:right w:w="57" w:type="dxa"/>
            </w:tcMar>
            <w:vAlign w:val="center"/>
          </w:tcPr>
          <w:p>
            <w:pPr>
              <w:jc w:val="center"/>
              <w:rPr>
                <w:b/>
              </w:rPr>
            </w:pPr>
            <w:r>
              <w:rPr>
                <w:rFonts w:hint="eastAsia"/>
                <w:b/>
              </w:rPr>
              <w:t>背水坡脚向外延伸</w:t>
            </w:r>
          </w:p>
        </w:tc>
        <w:tc>
          <w:tcPr>
            <w:tcW w:w="2008" w:type="dxa"/>
            <w:gridSpan w:val="3"/>
            <w:tcMar>
              <w:left w:w="57" w:type="dxa"/>
              <w:right w:w="57" w:type="dxa"/>
            </w:tcMar>
            <w:vAlign w:val="center"/>
          </w:tcPr>
          <w:p>
            <w:pPr>
              <w:jc w:val="center"/>
              <w:rPr>
                <w:b/>
              </w:rPr>
            </w:pPr>
            <w:r>
              <w:rPr>
                <w:rFonts w:hint="eastAsia"/>
                <w:b/>
              </w:rPr>
              <w:t>迎水坡脚向外延伸</w:t>
            </w:r>
          </w:p>
        </w:tc>
        <w:tc>
          <w:tcPr>
            <w:tcW w:w="2680" w:type="dxa"/>
            <w:vMerge w:val="continue"/>
            <w:tcMar>
              <w:left w:w="57" w:type="dxa"/>
              <w:right w:w="57" w:type="dxa"/>
            </w:tcMar>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tcMar>
              <w:left w:w="57" w:type="dxa"/>
              <w:right w:w="57" w:type="dxa"/>
            </w:tcMar>
            <w:vAlign w:val="center"/>
          </w:tcPr>
          <w:p>
            <w:pPr>
              <w:jc w:val="center"/>
            </w:pPr>
            <w:r>
              <w:t>1</w:t>
            </w:r>
          </w:p>
        </w:tc>
        <w:tc>
          <w:tcPr>
            <w:tcW w:w="1754" w:type="dxa"/>
            <w:tcMar>
              <w:left w:w="57" w:type="dxa"/>
              <w:right w:w="57" w:type="dxa"/>
            </w:tcMar>
            <w:vAlign w:val="center"/>
          </w:tcPr>
          <w:p>
            <w:pPr>
              <w:jc w:val="center"/>
            </w:pPr>
            <w:r>
              <w:rPr>
                <w:rFonts w:hint="eastAsia"/>
              </w:rPr>
              <w:t>海塘</w:t>
            </w:r>
          </w:p>
        </w:tc>
        <w:tc>
          <w:tcPr>
            <w:tcW w:w="2008" w:type="dxa"/>
            <w:gridSpan w:val="2"/>
            <w:tcMar>
              <w:left w:w="57" w:type="dxa"/>
              <w:right w:w="57" w:type="dxa"/>
            </w:tcMar>
            <w:vAlign w:val="center"/>
          </w:tcPr>
          <w:p>
            <w:pPr>
              <w:jc w:val="center"/>
            </w:pPr>
            <w:r>
              <w:rPr>
                <w:rFonts w:hint="eastAsia"/>
              </w:rPr>
              <w:t>30</w:t>
            </w:r>
          </w:p>
        </w:tc>
        <w:tc>
          <w:tcPr>
            <w:tcW w:w="2008" w:type="dxa"/>
            <w:gridSpan w:val="3"/>
            <w:tcMar>
              <w:left w:w="57" w:type="dxa"/>
              <w:right w:w="57" w:type="dxa"/>
            </w:tcMar>
            <w:vAlign w:val="center"/>
          </w:tcPr>
          <w:p>
            <w:pPr>
              <w:jc w:val="center"/>
            </w:pPr>
            <w:r>
              <w:rPr>
                <w:rFonts w:hint="eastAsia"/>
              </w:rPr>
              <w:t>70</w:t>
            </w:r>
          </w:p>
        </w:tc>
        <w:tc>
          <w:tcPr>
            <w:tcW w:w="2680" w:type="dxa"/>
            <w:tcMar>
              <w:left w:w="57" w:type="dxa"/>
              <w:right w:w="57" w:type="dxa"/>
            </w:tcMar>
            <w:vAlign w:val="center"/>
          </w:tcPr>
          <w:p>
            <w:pPr>
              <w:jc w:val="center"/>
            </w:pPr>
          </w:p>
        </w:tc>
      </w:tr>
    </w:tbl>
    <w:p>
      <w:pPr>
        <w:spacing w:line="360" w:lineRule="auto"/>
        <w:ind w:firstLine="420" w:firstLineChars="200"/>
        <w:rPr>
          <w:rFonts w:hint="eastAsia"/>
        </w:rPr>
      </w:pPr>
      <w:r>
        <w:rPr>
          <w:rFonts w:hint="eastAsia"/>
        </w:rPr>
        <w:t>（3）山塘库区管理范围为设计洪水位，不设置保护范围，大坝两端管理范围为两端以外不少于10米的地带，背水坡脚外管理范围为：坝高≤10米的，为10米范围内地带，坝高＞10米的，为坝高值范围内地带。</w:t>
      </w:r>
    </w:p>
    <w:p>
      <w:pPr>
        <w:snapToGrid w:val="0"/>
        <w:spacing w:line="360" w:lineRule="auto"/>
        <w:ind w:firstLine="420" w:firstLineChars="200"/>
        <w:rPr>
          <w:rFonts w:hint="eastAsia"/>
        </w:rPr>
      </w:pPr>
      <w:r>
        <w:t>1.1.</w:t>
      </w:r>
      <w:r>
        <w:rPr>
          <w:rFonts w:hint="eastAsia"/>
        </w:rPr>
        <w:t>3</w:t>
      </w:r>
      <w:r>
        <w:t xml:space="preserve"> </w:t>
      </w:r>
      <w:r>
        <w:rPr>
          <w:rFonts w:hint="eastAsia"/>
        </w:rPr>
        <w:t>巡查范围：</w:t>
      </w:r>
    </w:p>
    <w:p>
      <w:pPr>
        <w:snapToGrid w:val="0"/>
        <w:spacing w:line="360" w:lineRule="auto"/>
        <w:ind w:firstLine="420" w:firstLineChars="200"/>
        <w:rPr>
          <w:rFonts w:hint="eastAsia"/>
        </w:rPr>
      </w:pPr>
      <w:r>
        <w:rPr>
          <w:rFonts w:hint="eastAsia"/>
        </w:rPr>
        <w:t>（1）根据《小型水库安全巡查制度》要求，巡查范围为：挡水建筑物（大坝）、泄水建筑物（溢洪道）、输水建筑物（隧道、涵管）及其保护范围、水库水面、集雨区内的山体等。</w:t>
      </w:r>
    </w:p>
    <w:p>
      <w:pPr>
        <w:snapToGrid w:val="0"/>
        <w:spacing w:line="360" w:lineRule="auto"/>
        <w:ind w:firstLine="420" w:firstLineChars="200"/>
      </w:pPr>
      <w:r>
        <w:rPr>
          <w:rFonts w:hint="eastAsia"/>
        </w:rPr>
        <w:t>（2）水闸、海塘巡查范围：</w:t>
      </w:r>
    </w:p>
    <w:tbl>
      <w:tblPr>
        <w:tblStyle w:val="41"/>
        <w:tblW w:w="92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754"/>
        <w:gridCol w:w="1255"/>
        <w:gridCol w:w="753"/>
        <w:gridCol w:w="167"/>
        <w:gridCol w:w="920"/>
        <w:gridCol w:w="921"/>
        <w:gridCol w:w="2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restart"/>
            <w:tcMar>
              <w:left w:w="57" w:type="dxa"/>
              <w:right w:w="57" w:type="dxa"/>
            </w:tcMar>
            <w:vAlign w:val="center"/>
          </w:tcPr>
          <w:p>
            <w:pPr>
              <w:jc w:val="center"/>
              <w:rPr>
                <w:b/>
              </w:rPr>
            </w:pPr>
            <w:r>
              <w:rPr>
                <w:rFonts w:hint="eastAsia"/>
                <w:b/>
              </w:rPr>
              <w:t>序号</w:t>
            </w:r>
          </w:p>
        </w:tc>
        <w:tc>
          <w:tcPr>
            <w:tcW w:w="1754" w:type="dxa"/>
            <w:vMerge w:val="restart"/>
            <w:tcMar>
              <w:left w:w="57" w:type="dxa"/>
              <w:right w:w="57" w:type="dxa"/>
            </w:tcMar>
            <w:vAlign w:val="center"/>
          </w:tcPr>
          <w:p>
            <w:pPr>
              <w:jc w:val="center"/>
              <w:rPr>
                <w:b/>
              </w:rPr>
            </w:pPr>
            <w:r>
              <w:rPr>
                <w:rFonts w:hint="eastAsia"/>
                <w:b/>
              </w:rPr>
              <w:t>名称</w:t>
            </w:r>
          </w:p>
        </w:tc>
        <w:tc>
          <w:tcPr>
            <w:tcW w:w="4016" w:type="dxa"/>
            <w:gridSpan w:val="5"/>
            <w:tcMar>
              <w:left w:w="57" w:type="dxa"/>
              <w:right w:w="57" w:type="dxa"/>
            </w:tcMar>
            <w:vAlign w:val="center"/>
          </w:tcPr>
          <w:p>
            <w:pPr>
              <w:jc w:val="center"/>
              <w:rPr>
                <w:b/>
              </w:rPr>
            </w:pPr>
            <w:r>
              <w:rPr>
                <w:rFonts w:hint="eastAsia"/>
                <w:b/>
              </w:rPr>
              <w:t>区域（米）</w:t>
            </w:r>
          </w:p>
        </w:tc>
        <w:tc>
          <w:tcPr>
            <w:tcW w:w="2680" w:type="dxa"/>
            <w:vMerge w:val="restart"/>
            <w:tcMar>
              <w:left w:w="57" w:type="dxa"/>
              <w:right w:w="57" w:type="dxa"/>
            </w:tcMar>
            <w:vAlign w:val="center"/>
          </w:tcPr>
          <w:p>
            <w:pPr>
              <w:jc w:val="center"/>
              <w:rPr>
                <w:b/>
              </w:rPr>
            </w:pPr>
            <w:r>
              <w:rPr>
                <w:rFonts w:hint="eastAsia"/>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continue"/>
            <w:tcMar>
              <w:left w:w="57" w:type="dxa"/>
              <w:right w:w="57" w:type="dxa"/>
            </w:tcMar>
            <w:vAlign w:val="center"/>
          </w:tcPr>
          <w:p>
            <w:pPr>
              <w:jc w:val="center"/>
              <w:rPr>
                <w:b/>
              </w:rPr>
            </w:pPr>
          </w:p>
        </w:tc>
        <w:tc>
          <w:tcPr>
            <w:tcW w:w="1754" w:type="dxa"/>
            <w:vMerge w:val="continue"/>
            <w:tcMar>
              <w:left w:w="57" w:type="dxa"/>
              <w:right w:w="57" w:type="dxa"/>
            </w:tcMar>
            <w:vAlign w:val="center"/>
          </w:tcPr>
          <w:p>
            <w:pPr>
              <w:jc w:val="center"/>
              <w:rPr>
                <w:b/>
              </w:rPr>
            </w:pPr>
          </w:p>
        </w:tc>
        <w:tc>
          <w:tcPr>
            <w:tcW w:w="1255" w:type="dxa"/>
            <w:tcMar>
              <w:left w:w="57" w:type="dxa"/>
              <w:right w:w="57" w:type="dxa"/>
            </w:tcMar>
            <w:vAlign w:val="center"/>
          </w:tcPr>
          <w:p>
            <w:pPr>
              <w:jc w:val="center"/>
              <w:rPr>
                <w:b/>
              </w:rPr>
            </w:pPr>
            <w:r>
              <w:rPr>
                <w:rFonts w:hint="eastAsia"/>
                <w:b/>
              </w:rPr>
              <w:t>上游</w:t>
            </w:r>
          </w:p>
        </w:tc>
        <w:tc>
          <w:tcPr>
            <w:tcW w:w="920" w:type="dxa"/>
            <w:gridSpan w:val="2"/>
            <w:tcMar>
              <w:left w:w="57" w:type="dxa"/>
              <w:right w:w="57" w:type="dxa"/>
            </w:tcMar>
            <w:vAlign w:val="center"/>
          </w:tcPr>
          <w:p>
            <w:pPr>
              <w:jc w:val="center"/>
              <w:rPr>
                <w:b/>
              </w:rPr>
            </w:pPr>
            <w:r>
              <w:rPr>
                <w:rFonts w:hint="eastAsia"/>
                <w:b/>
              </w:rPr>
              <w:t>下游</w:t>
            </w:r>
          </w:p>
        </w:tc>
        <w:tc>
          <w:tcPr>
            <w:tcW w:w="920" w:type="dxa"/>
            <w:tcMar>
              <w:left w:w="57" w:type="dxa"/>
              <w:right w:w="57" w:type="dxa"/>
            </w:tcMar>
            <w:vAlign w:val="center"/>
          </w:tcPr>
          <w:p>
            <w:pPr>
              <w:jc w:val="center"/>
              <w:rPr>
                <w:b/>
              </w:rPr>
            </w:pPr>
            <w:r>
              <w:rPr>
                <w:rFonts w:hint="eastAsia"/>
                <w:b/>
              </w:rPr>
              <w:t>左岸</w:t>
            </w:r>
          </w:p>
        </w:tc>
        <w:tc>
          <w:tcPr>
            <w:tcW w:w="921" w:type="dxa"/>
            <w:tcMar>
              <w:left w:w="57" w:type="dxa"/>
              <w:right w:w="57" w:type="dxa"/>
            </w:tcMar>
            <w:vAlign w:val="center"/>
          </w:tcPr>
          <w:p>
            <w:pPr>
              <w:jc w:val="center"/>
              <w:rPr>
                <w:b/>
              </w:rPr>
            </w:pPr>
            <w:r>
              <w:rPr>
                <w:rFonts w:hint="eastAsia"/>
                <w:b/>
              </w:rPr>
              <w:t>右岸</w:t>
            </w:r>
          </w:p>
        </w:tc>
        <w:tc>
          <w:tcPr>
            <w:tcW w:w="2680" w:type="dxa"/>
            <w:vMerge w:val="continue"/>
            <w:tcMar>
              <w:left w:w="57" w:type="dxa"/>
              <w:right w:w="57" w:type="dxa"/>
            </w:tcMar>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tcMar>
              <w:left w:w="57" w:type="dxa"/>
              <w:right w:w="57" w:type="dxa"/>
            </w:tcMar>
            <w:vAlign w:val="center"/>
          </w:tcPr>
          <w:p>
            <w:pPr>
              <w:jc w:val="center"/>
            </w:pPr>
            <w:r>
              <w:t>1</w:t>
            </w:r>
          </w:p>
        </w:tc>
        <w:tc>
          <w:tcPr>
            <w:tcW w:w="1754" w:type="dxa"/>
            <w:tcMar>
              <w:left w:w="57" w:type="dxa"/>
              <w:right w:w="57" w:type="dxa"/>
            </w:tcMar>
            <w:vAlign w:val="center"/>
          </w:tcPr>
          <w:p>
            <w:pPr>
              <w:jc w:val="center"/>
            </w:pPr>
            <w:r>
              <w:rPr>
                <w:rFonts w:hint="eastAsia"/>
                <w:b/>
                <w:bCs/>
                <w:sz w:val="22"/>
                <w:szCs w:val="22"/>
              </w:rPr>
              <w:t>墨城水闸</w:t>
            </w:r>
          </w:p>
        </w:tc>
        <w:tc>
          <w:tcPr>
            <w:tcW w:w="1255" w:type="dxa"/>
            <w:tcMar>
              <w:left w:w="57" w:type="dxa"/>
              <w:right w:w="57" w:type="dxa"/>
            </w:tcMar>
            <w:vAlign w:val="center"/>
          </w:tcPr>
          <w:p>
            <w:pPr>
              <w:jc w:val="center"/>
            </w:pPr>
            <w:r>
              <w:rPr>
                <w:rFonts w:hint="eastAsia"/>
              </w:rPr>
              <w:t>120</w:t>
            </w:r>
          </w:p>
        </w:tc>
        <w:tc>
          <w:tcPr>
            <w:tcW w:w="920" w:type="dxa"/>
            <w:gridSpan w:val="2"/>
            <w:tcMar>
              <w:left w:w="57" w:type="dxa"/>
              <w:right w:w="57" w:type="dxa"/>
            </w:tcMar>
            <w:vAlign w:val="center"/>
          </w:tcPr>
          <w:p>
            <w:pPr>
              <w:jc w:val="center"/>
              <w:rPr>
                <w:rFonts w:hint="default" w:eastAsia="宋体"/>
                <w:lang w:val="en-US" w:eastAsia="zh-CN"/>
              </w:rPr>
            </w:pPr>
            <w:r>
              <w:rPr>
                <w:rFonts w:hint="eastAsia"/>
                <w:color w:val="auto"/>
                <w:lang w:val="en-US" w:eastAsia="zh-CN"/>
              </w:rPr>
              <w:t>120</w:t>
            </w:r>
          </w:p>
        </w:tc>
        <w:tc>
          <w:tcPr>
            <w:tcW w:w="920" w:type="dxa"/>
            <w:tcMar>
              <w:left w:w="57" w:type="dxa"/>
              <w:right w:w="57" w:type="dxa"/>
            </w:tcMar>
            <w:vAlign w:val="center"/>
          </w:tcPr>
          <w:p>
            <w:pPr>
              <w:jc w:val="center"/>
            </w:pPr>
            <w:r>
              <w:rPr>
                <w:rFonts w:hint="eastAsia"/>
              </w:rPr>
              <w:t>45</w:t>
            </w:r>
          </w:p>
        </w:tc>
        <w:tc>
          <w:tcPr>
            <w:tcW w:w="921" w:type="dxa"/>
            <w:tcMar>
              <w:left w:w="57" w:type="dxa"/>
              <w:right w:w="57" w:type="dxa"/>
            </w:tcMar>
            <w:vAlign w:val="center"/>
          </w:tcPr>
          <w:p>
            <w:pPr>
              <w:jc w:val="center"/>
            </w:pPr>
            <w:r>
              <w:rPr>
                <w:rFonts w:hint="eastAsia"/>
              </w:rPr>
              <w:t>45</w:t>
            </w:r>
          </w:p>
        </w:tc>
        <w:tc>
          <w:tcPr>
            <w:tcW w:w="2680" w:type="dxa"/>
            <w:tcMar>
              <w:left w:w="57" w:type="dxa"/>
              <w:right w:w="57" w:type="dxa"/>
            </w:tcMar>
            <w:vAlign w:val="center"/>
          </w:tcPr>
          <w:p>
            <w:pPr>
              <w:jc w:val="center"/>
            </w:pPr>
            <w:r>
              <w:rPr>
                <w:rFonts w:hint="eastAsia"/>
              </w:rPr>
              <w:t>开闸前巡查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restart"/>
            <w:tcMar>
              <w:left w:w="57" w:type="dxa"/>
              <w:right w:w="57" w:type="dxa"/>
            </w:tcMar>
            <w:vAlign w:val="center"/>
          </w:tcPr>
          <w:p>
            <w:pPr>
              <w:jc w:val="center"/>
              <w:rPr>
                <w:b/>
              </w:rPr>
            </w:pPr>
            <w:r>
              <w:rPr>
                <w:rFonts w:hint="eastAsia"/>
                <w:b/>
              </w:rPr>
              <w:t>序号</w:t>
            </w:r>
          </w:p>
        </w:tc>
        <w:tc>
          <w:tcPr>
            <w:tcW w:w="1754" w:type="dxa"/>
            <w:vMerge w:val="restart"/>
            <w:tcMar>
              <w:left w:w="57" w:type="dxa"/>
              <w:right w:w="57" w:type="dxa"/>
            </w:tcMar>
            <w:vAlign w:val="center"/>
          </w:tcPr>
          <w:p>
            <w:pPr>
              <w:jc w:val="center"/>
              <w:rPr>
                <w:b/>
              </w:rPr>
            </w:pPr>
            <w:r>
              <w:rPr>
                <w:rFonts w:hint="eastAsia"/>
                <w:b/>
              </w:rPr>
              <w:t>名称</w:t>
            </w:r>
          </w:p>
        </w:tc>
        <w:tc>
          <w:tcPr>
            <w:tcW w:w="4016" w:type="dxa"/>
            <w:gridSpan w:val="5"/>
            <w:tcMar>
              <w:left w:w="57" w:type="dxa"/>
              <w:right w:w="57" w:type="dxa"/>
            </w:tcMar>
            <w:vAlign w:val="center"/>
          </w:tcPr>
          <w:p>
            <w:pPr>
              <w:jc w:val="center"/>
              <w:rPr>
                <w:b/>
              </w:rPr>
            </w:pPr>
            <w:r>
              <w:rPr>
                <w:rFonts w:hint="eastAsia"/>
                <w:b/>
              </w:rPr>
              <w:t>区域（米）</w:t>
            </w:r>
          </w:p>
        </w:tc>
        <w:tc>
          <w:tcPr>
            <w:tcW w:w="2680" w:type="dxa"/>
            <w:vMerge w:val="restart"/>
            <w:tcMar>
              <w:left w:w="57" w:type="dxa"/>
              <w:right w:w="57" w:type="dxa"/>
            </w:tcMar>
            <w:vAlign w:val="center"/>
          </w:tcPr>
          <w:p>
            <w:pPr>
              <w:jc w:val="center"/>
              <w:rPr>
                <w:b/>
              </w:rPr>
            </w:pPr>
            <w:r>
              <w:rPr>
                <w:rFonts w:hint="eastAsia"/>
                <w:b/>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vMerge w:val="continue"/>
            <w:tcMar>
              <w:left w:w="57" w:type="dxa"/>
              <w:right w:w="57" w:type="dxa"/>
            </w:tcMar>
            <w:vAlign w:val="center"/>
          </w:tcPr>
          <w:p>
            <w:pPr>
              <w:jc w:val="center"/>
              <w:rPr>
                <w:b/>
              </w:rPr>
            </w:pPr>
          </w:p>
        </w:tc>
        <w:tc>
          <w:tcPr>
            <w:tcW w:w="1754" w:type="dxa"/>
            <w:vMerge w:val="continue"/>
            <w:tcMar>
              <w:left w:w="57" w:type="dxa"/>
              <w:right w:w="57" w:type="dxa"/>
            </w:tcMar>
            <w:vAlign w:val="center"/>
          </w:tcPr>
          <w:p>
            <w:pPr>
              <w:jc w:val="center"/>
              <w:rPr>
                <w:b/>
              </w:rPr>
            </w:pPr>
          </w:p>
        </w:tc>
        <w:tc>
          <w:tcPr>
            <w:tcW w:w="2008" w:type="dxa"/>
            <w:gridSpan w:val="2"/>
            <w:tcMar>
              <w:left w:w="57" w:type="dxa"/>
              <w:right w:w="57" w:type="dxa"/>
            </w:tcMar>
            <w:vAlign w:val="center"/>
          </w:tcPr>
          <w:p>
            <w:pPr>
              <w:jc w:val="center"/>
              <w:rPr>
                <w:b/>
              </w:rPr>
            </w:pPr>
            <w:r>
              <w:rPr>
                <w:rFonts w:hint="eastAsia"/>
                <w:b/>
              </w:rPr>
              <w:t>背水坡脚向外延伸</w:t>
            </w:r>
          </w:p>
        </w:tc>
        <w:tc>
          <w:tcPr>
            <w:tcW w:w="2008" w:type="dxa"/>
            <w:gridSpan w:val="3"/>
            <w:tcMar>
              <w:left w:w="57" w:type="dxa"/>
              <w:right w:w="57" w:type="dxa"/>
            </w:tcMar>
            <w:vAlign w:val="center"/>
          </w:tcPr>
          <w:p>
            <w:pPr>
              <w:jc w:val="center"/>
              <w:rPr>
                <w:b/>
              </w:rPr>
            </w:pPr>
            <w:r>
              <w:rPr>
                <w:rFonts w:hint="eastAsia"/>
                <w:b/>
              </w:rPr>
              <w:t>迎水坡脚向外延伸</w:t>
            </w:r>
          </w:p>
        </w:tc>
        <w:tc>
          <w:tcPr>
            <w:tcW w:w="2680" w:type="dxa"/>
            <w:vMerge w:val="continue"/>
            <w:tcMar>
              <w:left w:w="57" w:type="dxa"/>
              <w:right w:w="57" w:type="dxa"/>
            </w:tcMar>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813" w:type="dxa"/>
            <w:tcMar>
              <w:left w:w="57" w:type="dxa"/>
              <w:right w:w="57" w:type="dxa"/>
            </w:tcMar>
            <w:vAlign w:val="center"/>
          </w:tcPr>
          <w:p>
            <w:pPr>
              <w:jc w:val="center"/>
            </w:pPr>
            <w:r>
              <w:t>1</w:t>
            </w:r>
          </w:p>
        </w:tc>
        <w:tc>
          <w:tcPr>
            <w:tcW w:w="1754" w:type="dxa"/>
            <w:tcMar>
              <w:left w:w="57" w:type="dxa"/>
              <w:right w:w="57" w:type="dxa"/>
            </w:tcMar>
            <w:vAlign w:val="center"/>
          </w:tcPr>
          <w:p>
            <w:pPr>
              <w:jc w:val="center"/>
            </w:pPr>
            <w:r>
              <w:rPr>
                <w:rFonts w:hint="eastAsia"/>
              </w:rPr>
              <w:t>海塘</w:t>
            </w:r>
          </w:p>
        </w:tc>
        <w:tc>
          <w:tcPr>
            <w:tcW w:w="2008" w:type="dxa"/>
            <w:gridSpan w:val="2"/>
            <w:tcMar>
              <w:left w:w="57" w:type="dxa"/>
              <w:right w:w="57" w:type="dxa"/>
            </w:tcMar>
            <w:vAlign w:val="center"/>
          </w:tcPr>
          <w:p>
            <w:pPr>
              <w:jc w:val="center"/>
            </w:pPr>
            <w:r>
              <w:rPr>
                <w:rFonts w:hint="eastAsia"/>
              </w:rPr>
              <w:t>50</w:t>
            </w:r>
          </w:p>
        </w:tc>
        <w:tc>
          <w:tcPr>
            <w:tcW w:w="2008" w:type="dxa"/>
            <w:gridSpan w:val="3"/>
            <w:tcMar>
              <w:left w:w="57" w:type="dxa"/>
              <w:right w:w="57" w:type="dxa"/>
            </w:tcMar>
            <w:vAlign w:val="center"/>
          </w:tcPr>
          <w:p>
            <w:pPr>
              <w:jc w:val="center"/>
            </w:pPr>
            <w:r>
              <w:rPr>
                <w:rFonts w:hint="eastAsia"/>
              </w:rPr>
              <w:t>90</w:t>
            </w:r>
          </w:p>
        </w:tc>
        <w:tc>
          <w:tcPr>
            <w:tcW w:w="2680" w:type="dxa"/>
            <w:tcMar>
              <w:left w:w="57" w:type="dxa"/>
              <w:right w:w="57" w:type="dxa"/>
            </w:tcMar>
            <w:vAlign w:val="center"/>
          </w:tcPr>
          <w:p>
            <w:pPr>
              <w:jc w:val="center"/>
            </w:pPr>
            <w:r>
              <w:rPr>
                <w:rFonts w:hint="eastAsia"/>
              </w:rPr>
              <w:t>日常巡查</w:t>
            </w:r>
          </w:p>
        </w:tc>
      </w:tr>
    </w:tbl>
    <w:p>
      <w:pPr>
        <w:snapToGrid w:val="0"/>
        <w:spacing w:line="360" w:lineRule="auto"/>
        <w:ind w:firstLine="210" w:firstLineChars="100"/>
        <w:rPr>
          <w:rFonts w:hint="eastAsia"/>
        </w:rPr>
      </w:pPr>
      <w:r>
        <w:rPr>
          <w:rFonts w:hint="eastAsia"/>
        </w:rPr>
        <w:t>（3）根据《浙江省山塘巡查管理办法》要求，巡查范围为：包括坝体、坝址区、输（泄）水建筑物、近坝岸坡以及水体、水质等。</w:t>
      </w:r>
    </w:p>
    <w:p>
      <w:pPr>
        <w:pStyle w:val="5"/>
        <w:tabs>
          <w:tab w:val="left" w:pos="3600"/>
        </w:tabs>
        <w:spacing w:before="0"/>
        <w:rPr>
          <w:snapToGrid w:val="0"/>
          <w:szCs w:val="24"/>
        </w:rPr>
      </w:pPr>
      <w:r>
        <w:rPr>
          <w:snapToGrid w:val="0"/>
          <w:szCs w:val="24"/>
        </w:rPr>
        <w:t xml:space="preserve">  </w:t>
      </w:r>
      <w:bookmarkStart w:id="17" w:name="_Toc166549395"/>
      <w:r>
        <w:rPr>
          <w:rFonts w:hint="eastAsia"/>
          <w:snapToGrid w:val="0"/>
          <w:szCs w:val="24"/>
        </w:rPr>
        <w:t>2</w:t>
      </w:r>
      <w:r>
        <w:rPr>
          <w:snapToGrid w:val="0"/>
          <w:szCs w:val="24"/>
        </w:rPr>
        <w:t xml:space="preserve">. </w:t>
      </w:r>
      <w:r>
        <w:rPr>
          <w:rFonts w:hint="eastAsia"/>
          <w:snapToGrid w:val="0"/>
          <w:szCs w:val="24"/>
        </w:rPr>
        <w:t>发包人义务</w:t>
      </w:r>
      <w:bookmarkEnd w:id="17"/>
    </w:p>
    <w:p>
      <w:pPr>
        <w:pStyle w:val="6"/>
        <w:tabs>
          <w:tab w:val="left" w:pos="864"/>
        </w:tabs>
        <w:rPr>
          <w:szCs w:val="24"/>
        </w:rPr>
      </w:pPr>
      <w:r>
        <w:rPr>
          <w:rFonts w:hint="eastAsia"/>
          <w:szCs w:val="24"/>
        </w:rPr>
        <w:t>2</w:t>
      </w:r>
      <w:r>
        <w:rPr>
          <w:szCs w:val="24"/>
        </w:rPr>
        <w:t xml:space="preserve">.1 </w:t>
      </w:r>
      <w:r>
        <w:rPr>
          <w:rFonts w:hint="eastAsia"/>
          <w:szCs w:val="24"/>
        </w:rPr>
        <w:t>遵守法律</w:t>
      </w:r>
    </w:p>
    <w:p>
      <w:pPr>
        <w:snapToGrid w:val="0"/>
        <w:spacing w:line="360" w:lineRule="auto"/>
        <w:ind w:firstLine="420" w:firstLineChars="200"/>
      </w:pPr>
      <w:r>
        <w:rPr>
          <w:rFonts w:hint="eastAsia"/>
        </w:rPr>
        <w:t>发包人在履行合同过程中应遵守法律，并保证承包人免于承担因发包人违反法律而引起的任何责任。</w:t>
      </w:r>
    </w:p>
    <w:p>
      <w:pPr>
        <w:pStyle w:val="6"/>
        <w:tabs>
          <w:tab w:val="left" w:pos="864"/>
        </w:tabs>
        <w:rPr>
          <w:szCs w:val="24"/>
        </w:rPr>
      </w:pPr>
      <w:r>
        <w:rPr>
          <w:rFonts w:hint="eastAsia"/>
          <w:szCs w:val="24"/>
        </w:rPr>
        <w:t>2</w:t>
      </w:r>
      <w:r>
        <w:rPr>
          <w:szCs w:val="24"/>
        </w:rPr>
        <w:t xml:space="preserve">.2 </w:t>
      </w:r>
      <w:r>
        <w:rPr>
          <w:rFonts w:hint="eastAsia"/>
          <w:szCs w:val="24"/>
        </w:rPr>
        <w:t>提交技术资料及交底</w:t>
      </w:r>
    </w:p>
    <w:p>
      <w:pPr>
        <w:snapToGrid w:val="0"/>
        <w:spacing w:line="360" w:lineRule="auto"/>
        <w:ind w:firstLine="420" w:firstLineChars="200"/>
      </w:pPr>
      <w:r>
        <w:rPr>
          <w:rFonts w:hint="eastAsia"/>
        </w:rPr>
        <w:t>签订合同后</w:t>
      </w:r>
      <w:r>
        <w:t xml:space="preserve">7 </w:t>
      </w:r>
      <w:r>
        <w:rPr>
          <w:rFonts w:hint="eastAsia"/>
        </w:rPr>
        <w:t>天内，进行技术交底，同时向承包人提交与工程物业管理相关的技术资料，对技术资料准确性和完整性负责，办理移交手续。</w:t>
      </w:r>
    </w:p>
    <w:p>
      <w:pPr>
        <w:pStyle w:val="6"/>
        <w:tabs>
          <w:tab w:val="left" w:pos="864"/>
        </w:tabs>
        <w:rPr>
          <w:szCs w:val="24"/>
        </w:rPr>
      </w:pPr>
      <w:r>
        <w:rPr>
          <w:rFonts w:hint="eastAsia"/>
          <w:szCs w:val="24"/>
        </w:rPr>
        <w:t>2</w:t>
      </w:r>
      <w:r>
        <w:rPr>
          <w:szCs w:val="24"/>
        </w:rPr>
        <w:t xml:space="preserve">.3 </w:t>
      </w:r>
      <w:r>
        <w:rPr>
          <w:rFonts w:hint="eastAsia"/>
          <w:szCs w:val="24"/>
        </w:rPr>
        <w:t>审批计划</w:t>
      </w:r>
    </w:p>
    <w:p>
      <w:pPr>
        <w:snapToGrid w:val="0"/>
        <w:spacing w:line="360" w:lineRule="auto"/>
        <w:ind w:firstLine="420" w:firstLineChars="200"/>
      </w:pPr>
      <w:r>
        <w:rPr>
          <w:rFonts w:hint="eastAsia"/>
        </w:rPr>
        <w:t>2</w:t>
      </w:r>
      <w:r>
        <w:t xml:space="preserve">.3.1 </w:t>
      </w:r>
      <w:r>
        <w:rPr>
          <w:rFonts w:hint="eastAsia"/>
        </w:rPr>
        <w:t>收到承包人按</w:t>
      </w:r>
      <w:r>
        <w:t xml:space="preserve">4.1 </w:t>
      </w:r>
      <w:r>
        <w:rPr>
          <w:rFonts w:hint="eastAsia"/>
        </w:rPr>
        <w:t>款约定编报的工程物业管理实施性组织计划和工程维修施工计划后，发包人</w:t>
      </w:r>
      <w:r>
        <w:rPr>
          <w:b/>
          <w:u w:val="single"/>
        </w:rPr>
        <w:t xml:space="preserve"> </w:t>
      </w:r>
      <w:r>
        <w:rPr>
          <w:rFonts w:hint="eastAsia"/>
          <w:b/>
          <w:u w:val="single"/>
        </w:rPr>
        <w:t xml:space="preserve">14 </w:t>
      </w:r>
      <w:r>
        <w:rPr>
          <w:rFonts w:hint="eastAsia"/>
        </w:rPr>
        <w:t>天内予以批准或提出修改意见，逾期不批的，可视为该实施计划已经批准。</w:t>
      </w:r>
    </w:p>
    <w:p>
      <w:pPr>
        <w:snapToGrid w:val="0"/>
        <w:spacing w:line="360" w:lineRule="auto"/>
        <w:ind w:firstLine="420" w:firstLineChars="200"/>
      </w:pPr>
      <w:r>
        <w:rPr>
          <w:rFonts w:hint="eastAsia"/>
        </w:rPr>
        <w:t>2</w:t>
      </w:r>
      <w:r>
        <w:t xml:space="preserve">.3.2 </w:t>
      </w:r>
      <w:r>
        <w:rPr>
          <w:rFonts w:hint="eastAsia"/>
        </w:rPr>
        <w:t>根据工程运行情况可向承包人提出维修任务书。</w:t>
      </w:r>
    </w:p>
    <w:p>
      <w:pPr>
        <w:pStyle w:val="5"/>
        <w:tabs>
          <w:tab w:val="left" w:pos="3600"/>
        </w:tabs>
        <w:spacing w:before="0"/>
        <w:rPr>
          <w:snapToGrid w:val="0"/>
          <w:szCs w:val="24"/>
        </w:rPr>
      </w:pPr>
      <w:bookmarkStart w:id="18" w:name="_Toc166549396"/>
      <w:r>
        <w:rPr>
          <w:rFonts w:hint="eastAsia"/>
          <w:snapToGrid w:val="0"/>
          <w:szCs w:val="24"/>
        </w:rPr>
        <w:t>3</w:t>
      </w:r>
      <w:r>
        <w:rPr>
          <w:snapToGrid w:val="0"/>
          <w:szCs w:val="24"/>
        </w:rPr>
        <w:t xml:space="preserve">. </w:t>
      </w:r>
      <w:r>
        <w:rPr>
          <w:rFonts w:hint="eastAsia"/>
          <w:snapToGrid w:val="0"/>
          <w:szCs w:val="24"/>
        </w:rPr>
        <w:t>承包人义务</w:t>
      </w:r>
      <w:bookmarkEnd w:id="18"/>
    </w:p>
    <w:p>
      <w:pPr>
        <w:pStyle w:val="6"/>
        <w:tabs>
          <w:tab w:val="left" w:pos="864"/>
        </w:tabs>
        <w:rPr>
          <w:szCs w:val="24"/>
        </w:rPr>
      </w:pPr>
      <w:r>
        <w:rPr>
          <w:rFonts w:hint="eastAsia"/>
          <w:szCs w:val="24"/>
        </w:rPr>
        <w:t>3</w:t>
      </w:r>
      <w:r>
        <w:rPr>
          <w:szCs w:val="24"/>
        </w:rPr>
        <w:t xml:space="preserve">.1 </w:t>
      </w:r>
      <w:r>
        <w:rPr>
          <w:rFonts w:hint="eastAsia"/>
          <w:szCs w:val="24"/>
        </w:rPr>
        <w:t>承包人一般义务</w:t>
      </w:r>
    </w:p>
    <w:p>
      <w:pPr>
        <w:snapToGrid w:val="0"/>
        <w:spacing w:line="360" w:lineRule="auto"/>
        <w:ind w:firstLine="420" w:firstLineChars="200"/>
      </w:pPr>
      <w:r>
        <w:rPr>
          <w:rFonts w:hint="eastAsia"/>
        </w:rPr>
        <w:t>3</w:t>
      </w:r>
      <w:r>
        <w:t xml:space="preserve">.1.1 </w:t>
      </w:r>
      <w:r>
        <w:rPr>
          <w:rFonts w:hint="eastAsia"/>
        </w:rPr>
        <w:t>遵守法律</w:t>
      </w:r>
    </w:p>
    <w:p>
      <w:pPr>
        <w:snapToGrid w:val="0"/>
        <w:spacing w:line="360" w:lineRule="auto"/>
        <w:ind w:firstLine="420" w:firstLineChars="200"/>
      </w:pPr>
      <w:r>
        <w:rPr>
          <w:rFonts w:hint="eastAsia"/>
        </w:rPr>
        <w:t>承包人在履行合同过程中应遵守法律法规，并保证发包人免于承担因承包人违反法律而引起的任何责任。</w:t>
      </w:r>
    </w:p>
    <w:p>
      <w:pPr>
        <w:snapToGrid w:val="0"/>
        <w:spacing w:line="360" w:lineRule="auto"/>
        <w:ind w:firstLine="420" w:firstLineChars="200"/>
      </w:pPr>
      <w:r>
        <w:t xml:space="preserve">3.1.2 </w:t>
      </w:r>
      <w:r>
        <w:rPr>
          <w:rFonts w:hint="eastAsia"/>
        </w:rPr>
        <w:t>完成各项承包工作</w:t>
      </w:r>
    </w:p>
    <w:p>
      <w:pPr>
        <w:snapToGrid w:val="0"/>
        <w:spacing w:line="360" w:lineRule="auto"/>
        <w:ind w:firstLine="420" w:firstLineChars="200"/>
        <w:rPr>
          <w:rFonts w:hint="eastAsia"/>
        </w:rPr>
      </w:pPr>
      <w:r>
        <w:rPr>
          <w:rFonts w:hint="eastAsia"/>
        </w:rPr>
        <w:t>承包人应按合同约定完成全部工程物业管理工作，为合同工作提供所需的劳务、材料、设备和其他物料。除专业项目的技术维修工作经发包人同意可分包给第三人外，其他工作不得转包或分包。</w:t>
      </w:r>
    </w:p>
    <w:p>
      <w:pPr>
        <w:snapToGrid w:val="0"/>
        <w:spacing w:line="360" w:lineRule="auto"/>
        <w:ind w:firstLine="420" w:firstLineChars="200"/>
      </w:pPr>
      <w:r>
        <w:rPr>
          <w:rFonts w:hint="eastAsia"/>
        </w:rPr>
        <w:t>3</w:t>
      </w:r>
      <w:r>
        <w:t xml:space="preserve">.1.3 </w:t>
      </w:r>
      <w:r>
        <w:rPr>
          <w:rFonts w:hint="eastAsia"/>
        </w:rPr>
        <w:t>保持工程的设计功能</w:t>
      </w:r>
    </w:p>
    <w:p>
      <w:pPr>
        <w:snapToGrid w:val="0"/>
        <w:spacing w:line="360" w:lineRule="auto"/>
        <w:ind w:firstLine="420" w:firstLineChars="200"/>
      </w:pPr>
      <w:r>
        <w:rPr>
          <w:rFonts w:hint="eastAsia"/>
        </w:rPr>
        <w:t>在合同实施期间承包人应保持工程的设计功能，对工程设施等进行保护和管理，未经发包人同意，在合同管理范围内不得从事经营性活动。</w:t>
      </w:r>
    </w:p>
    <w:p>
      <w:pPr>
        <w:snapToGrid w:val="0"/>
        <w:spacing w:line="360" w:lineRule="auto"/>
        <w:ind w:firstLine="420" w:firstLineChars="200"/>
      </w:pPr>
      <w:r>
        <w:rPr>
          <w:rFonts w:hint="eastAsia"/>
        </w:rPr>
        <w:t>3</w:t>
      </w:r>
      <w:r>
        <w:t xml:space="preserve">.1.4 </w:t>
      </w:r>
      <w:r>
        <w:rPr>
          <w:rFonts w:hint="eastAsia"/>
        </w:rPr>
        <w:t>执行调度指令</w:t>
      </w:r>
    </w:p>
    <w:p>
      <w:pPr>
        <w:snapToGrid w:val="0"/>
        <w:spacing w:line="360" w:lineRule="auto"/>
        <w:ind w:firstLine="420" w:firstLineChars="200"/>
      </w:pPr>
      <w:r>
        <w:rPr>
          <w:rFonts w:hint="eastAsia"/>
        </w:rPr>
        <w:t>在合同履行期间，编制防汛安全应急预案，严格执行发包人的调度指令，保证工程安全运行。需要操控泄洪排涝和台风期间必须做到全天候有人值守，确保工程正常运行。</w:t>
      </w:r>
    </w:p>
    <w:p>
      <w:pPr>
        <w:snapToGrid w:val="0"/>
        <w:spacing w:line="360" w:lineRule="auto"/>
        <w:ind w:firstLine="420" w:firstLineChars="200"/>
      </w:pPr>
      <w:r>
        <w:rPr>
          <w:rFonts w:hint="eastAsia"/>
        </w:rPr>
        <w:t>3</w:t>
      </w:r>
      <w:r>
        <w:t xml:space="preserve">.1.5 </w:t>
      </w:r>
      <w:r>
        <w:rPr>
          <w:rFonts w:hint="eastAsia"/>
        </w:rPr>
        <w:t>环境保护</w:t>
      </w:r>
    </w:p>
    <w:p>
      <w:pPr>
        <w:snapToGrid w:val="0"/>
        <w:spacing w:line="360" w:lineRule="auto"/>
        <w:ind w:firstLine="420" w:firstLineChars="200"/>
      </w:pPr>
      <w:r>
        <w:rPr>
          <w:rFonts w:hint="eastAsia"/>
        </w:rPr>
        <w:t>防止因对噪音、扬尘、废水、废油不进行控制和治理及生活垃圾不及时清除而造成环境破坏及人员伤害和财产损失。</w:t>
      </w:r>
    </w:p>
    <w:p>
      <w:pPr>
        <w:snapToGrid w:val="0"/>
        <w:spacing w:line="360" w:lineRule="auto"/>
        <w:ind w:firstLine="420" w:firstLineChars="200"/>
      </w:pPr>
      <w:r>
        <w:rPr>
          <w:rFonts w:hint="eastAsia"/>
        </w:rPr>
        <w:t>3</w:t>
      </w:r>
      <w:r>
        <w:t xml:space="preserve">.1.6 </w:t>
      </w:r>
      <w:r>
        <w:rPr>
          <w:rFonts w:hint="eastAsia"/>
        </w:rPr>
        <w:t>异常情况报告</w:t>
      </w:r>
    </w:p>
    <w:p>
      <w:pPr>
        <w:snapToGrid w:val="0"/>
        <w:spacing w:line="360" w:lineRule="auto"/>
        <w:ind w:firstLine="420" w:firstLineChars="200"/>
      </w:pPr>
      <w:r>
        <w:rPr>
          <w:rFonts w:hint="eastAsia"/>
        </w:rPr>
        <w:t>在合同实施期间如发生事故、发现水位超限、发生影响工程安全运行隐患、险情或第三者违章侵占合同管理范围的异常情况时，必须及时向发包人报告，如有必要必须自行及时采取应急处置措施。</w:t>
      </w:r>
    </w:p>
    <w:p>
      <w:pPr>
        <w:snapToGrid w:val="0"/>
        <w:spacing w:line="360" w:lineRule="auto"/>
        <w:ind w:firstLine="420" w:firstLineChars="200"/>
      </w:pPr>
      <w:r>
        <w:rPr>
          <w:rFonts w:hint="eastAsia"/>
        </w:rPr>
        <w:t>3</w:t>
      </w:r>
      <w:r>
        <w:t xml:space="preserve">.1.7 </w:t>
      </w:r>
      <w:r>
        <w:rPr>
          <w:rFonts w:hint="eastAsia"/>
        </w:rPr>
        <w:t>避免施工对公众与他人的利益造成损害</w:t>
      </w:r>
    </w:p>
    <w:p>
      <w:pPr>
        <w:snapToGrid w:val="0"/>
        <w:spacing w:line="360" w:lineRule="auto"/>
        <w:ind w:firstLine="420" w:firstLineChars="200"/>
      </w:pPr>
      <w:r>
        <w:rPr>
          <w:rFonts w:hint="eastAsia"/>
        </w:rPr>
        <w:t>负责承包范围内所有工程及设施的保护工作。维修养护时做好工作现场地下管线和邻近建筑物或构筑物的保护，造成损坏时承担因损坏而发生的一切费用。</w:t>
      </w:r>
    </w:p>
    <w:p>
      <w:pPr>
        <w:snapToGrid w:val="0"/>
        <w:spacing w:line="360" w:lineRule="auto"/>
        <w:ind w:firstLine="420" w:firstLineChars="200"/>
      </w:pPr>
      <w:r>
        <w:rPr>
          <w:rFonts w:hint="eastAsia"/>
        </w:rPr>
        <w:t>3</w:t>
      </w:r>
      <w:r>
        <w:t xml:space="preserve">.1.8 </w:t>
      </w:r>
      <w:r>
        <w:rPr>
          <w:rFonts w:hint="eastAsia"/>
        </w:rPr>
        <w:t>归还物业移交工程档案</w:t>
      </w:r>
    </w:p>
    <w:p>
      <w:pPr>
        <w:snapToGrid w:val="0"/>
        <w:spacing w:line="360" w:lineRule="auto"/>
        <w:ind w:firstLine="420" w:firstLineChars="200"/>
      </w:pPr>
      <w:r>
        <w:rPr>
          <w:rFonts w:hint="eastAsia"/>
        </w:rPr>
        <w:t>合同终止时，归还发包人托管的全部物业，移交</w:t>
      </w:r>
      <w:r>
        <w:t xml:space="preserve">2.2 </w:t>
      </w:r>
      <w:r>
        <w:rPr>
          <w:rFonts w:hint="eastAsia"/>
        </w:rPr>
        <w:t>款发包人提交的技术资料和合同实施期间产生的技术档案。</w:t>
      </w:r>
    </w:p>
    <w:p>
      <w:pPr>
        <w:pStyle w:val="6"/>
        <w:tabs>
          <w:tab w:val="left" w:pos="864"/>
        </w:tabs>
        <w:rPr>
          <w:szCs w:val="24"/>
        </w:rPr>
      </w:pPr>
      <w:r>
        <w:rPr>
          <w:rFonts w:hint="eastAsia"/>
          <w:szCs w:val="24"/>
        </w:rPr>
        <w:t>3</w:t>
      </w:r>
      <w:r>
        <w:rPr>
          <w:szCs w:val="24"/>
        </w:rPr>
        <w:t xml:space="preserve">.2 </w:t>
      </w:r>
      <w:r>
        <w:rPr>
          <w:rFonts w:hint="eastAsia"/>
          <w:szCs w:val="24"/>
        </w:rPr>
        <w:t>履约担保</w:t>
      </w:r>
    </w:p>
    <w:p>
      <w:pPr>
        <w:snapToGrid w:val="0"/>
        <w:spacing w:line="360" w:lineRule="auto"/>
        <w:ind w:firstLine="420" w:firstLineChars="200"/>
        <w:rPr>
          <w:rFonts w:hint="eastAsia"/>
        </w:rPr>
      </w:pPr>
      <w:r>
        <w:rPr>
          <w:rFonts w:hint="eastAsia"/>
        </w:rPr>
        <w:t>3.2.1 首次签订合同</w:t>
      </w:r>
      <w:r>
        <w:rPr>
          <w:rFonts w:hint="eastAsia"/>
          <w:lang w:val="en-US" w:eastAsia="zh-CN"/>
        </w:rPr>
        <w:t>后</w:t>
      </w:r>
      <w:r>
        <w:rPr>
          <w:rFonts w:hint="eastAsia"/>
        </w:rPr>
        <w:t>，承包人应提供履约担保，保证金为年签约合同价</w:t>
      </w:r>
      <w:r>
        <w:rPr>
          <w:snapToGrid w:val="0"/>
        </w:rPr>
        <w:t>（扣除</w:t>
      </w:r>
      <w:r>
        <w:rPr>
          <w:rFonts w:hint="eastAsia"/>
          <w:snapToGrid w:val="0"/>
        </w:rPr>
        <w:t>备用金</w:t>
      </w:r>
      <w:r>
        <w:rPr>
          <w:snapToGrid w:val="0"/>
        </w:rPr>
        <w:t>后）的</w:t>
      </w:r>
      <w:r>
        <w:rPr>
          <w:snapToGrid w:val="0"/>
          <w:u w:val="single"/>
        </w:rPr>
        <w:t xml:space="preserve"> </w:t>
      </w:r>
      <w:r>
        <w:rPr>
          <w:rFonts w:hint="eastAsia"/>
          <w:b/>
          <w:snapToGrid w:val="0"/>
          <w:u w:val="single"/>
        </w:rPr>
        <w:t>5</w:t>
      </w:r>
      <w:r>
        <w:rPr>
          <w:b/>
          <w:snapToGrid w:val="0"/>
          <w:u w:val="single"/>
        </w:rPr>
        <w:t>%</w:t>
      </w:r>
      <w:r>
        <w:rPr>
          <w:rFonts w:hint="eastAsia"/>
          <w:b/>
          <w:snapToGrid w:val="0"/>
          <w:u w:val="single"/>
        </w:rPr>
        <w:t xml:space="preserve"> </w:t>
      </w:r>
      <w:r>
        <w:rPr>
          <w:rFonts w:hint="eastAsia"/>
        </w:rPr>
        <w:t>。承包人应保证其履约担保在合同履行期内一直有效。发包人应在合同期满验收后</w:t>
      </w:r>
      <w:r>
        <w:t>28</w:t>
      </w:r>
      <w:r>
        <w:rPr>
          <w:rFonts w:hint="eastAsia"/>
        </w:rPr>
        <w:t>天内将履约担保退还给承包人。</w:t>
      </w:r>
    </w:p>
    <w:p>
      <w:pPr>
        <w:snapToGrid w:val="0"/>
        <w:spacing w:line="360" w:lineRule="auto"/>
        <w:ind w:firstLine="420" w:firstLineChars="200"/>
        <w:rPr>
          <w:rFonts w:hint="eastAsia"/>
        </w:rPr>
      </w:pPr>
      <w:r>
        <w:rPr>
          <w:rFonts w:hint="eastAsia"/>
          <w:snapToGrid w:val="0"/>
        </w:rPr>
        <w:t>3.2.2 续签合同前，承包人应参照3.2.1项</w:t>
      </w:r>
      <w:r>
        <w:rPr>
          <w:snapToGrid w:val="0"/>
        </w:rPr>
        <w:t>要求提交履约担保</w:t>
      </w:r>
      <w:r>
        <w:rPr>
          <w:rFonts w:hint="eastAsia"/>
          <w:snapToGrid w:val="0"/>
        </w:rPr>
        <w:t>。</w:t>
      </w:r>
    </w:p>
    <w:p>
      <w:pPr>
        <w:pStyle w:val="6"/>
        <w:tabs>
          <w:tab w:val="left" w:pos="864"/>
        </w:tabs>
        <w:rPr>
          <w:szCs w:val="24"/>
        </w:rPr>
      </w:pPr>
      <w:r>
        <w:rPr>
          <w:rFonts w:hint="eastAsia"/>
          <w:szCs w:val="24"/>
        </w:rPr>
        <w:t>3</w:t>
      </w:r>
      <w:r>
        <w:rPr>
          <w:szCs w:val="24"/>
        </w:rPr>
        <w:t xml:space="preserve">.3 </w:t>
      </w:r>
      <w:r>
        <w:rPr>
          <w:rFonts w:hint="eastAsia"/>
          <w:szCs w:val="24"/>
        </w:rPr>
        <w:t>承包人项目负责人</w:t>
      </w:r>
    </w:p>
    <w:p>
      <w:pPr>
        <w:snapToGrid w:val="0"/>
        <w:spacing w:line="360" w:lineRule="auto"/>
        <w:ind w:firstLine="420" w:firstLineChars="200"/>
        <w:rPr>
          <w:rFonts w:hint="eastAsia"/>
        </w:rPr>
      </w:pPr>
      <w:r>
        <w:rPr>
          <w:rFonts w:hint="eastAsia"/>
        </w:rPr>
        <w:t>3</w:t>
      </w:r>
      <w:r>
        <w:t xml:space="preserve">.3.1 </w:t>
      </w:r>
      <w:r>
        <w:rPr>
          <w:rFonts w:hint="eastAsia"/>
        </w:rPr>
        <w:t>承包人应指定本合同的项目负责人，并在约定的期限内到职。承包人更换项目负责人应事先征得发包人同意，并应在更换</w:t>
      </w:r>
      <w:r>
        <w:t>14</w:t>
      </w:r>
      <w:r>
        <w:rPr>
          <w:rFonts w:hint="eastAsia"/>
        </w:rPr>
        <w:t>天前通知发包人。</w:t>
      </w:r>
    </w:p>
    <w:p>
      <w:pPr>
        <w:snapToGrid w:val="0"/>
        <w:spacing w:line="360" w:lineRule="auto"/>
        <w:ind w:firstLine="420" w:firstLineChars="200"/>
        <w:rPr>
          <w:rFonts w:hint="eastAsia"/>
          <w:snapToGrid w:val="0"/>
        </w:rPr>
      </w:pPr>
      <w:r>
        <w:rPr>
          <w:rFonts w:hint="eastAsia"/>
        </w:rPr>
        <w:t>1）</w:t>
      </w:r>
      <w:r>
        <w:rPr>
          <w:rFonts w:hint="eastAsia"/>
          <w:snapToGrid w:val="0"/>
        </w:rPr>
        <w:t>若承包人事先未征得发包人同意擅自更换项目负责人，则承包人必须支付壹拾万元的违约金，且发包人有权终止合同。</w:t>
      </w:r>
    </w:p>
    <w:p>
      <w:pPr>
        <w:snapToGrid w:val="0"/>
        <w:spacing w:line="360" w:lineRule="auto"/>
        <w:ind w:firstLine="420" w:firstLineChars="200"/>
        <w:rPr>
          <w:rFonts w:hint="eastAsia"/>
          <w:snapToGrid w:val="0"/>
        </w:rPr>
      </w:pPr>
      <w:r>
        <w:rPr>
          <w:rFonts w:hint="eastAsia"/>
          <w:snapToGrid w:val="0"/>
        </w:rPr>
        <w:t>2）承包人事先征得发包人同意后更换项目负责人，若原项目负责人职称为中级职称的，则承包人支付叁万元的违约金；若原项目负责人职称为高级职称的，则承包人支付伍万元的违约金。</w:t>
      </w:r>
    </w:p>
    <w:p>
      <w:pPr>
        <w:snapToGrid w:val="0"/>
        <w:spacing w:line="360" w:lineRule="auto"/>
        <w:ind w:firstLine="420" w:firstLineChars="200"/>
        <w:rPr>
          <w:rFonts w:hint="eastAsia"/>
          <w:snapToGrid w:val="0"/>
        </w:rPr>
      </w:pPr>
      <w:r>
        <w:rPr>
          <w:rFonts w:hint="eastAsia"/>
          <w:snapToGrid w:val="0"/>
        </w:rPr>
        <w:t>3）若发包人认为项目负责人不能胜任本合同，发包人有权要求承包人更换符合要求的项目负责人，且承包人须支付叁万元的违约金。</w:t>
      </w:r>
    </w:p>
    <w:p>
      <w:pPr>
        <w:snapToGrid w:val="0"/>
        <w:spacing w:line="360" w:lineRule="auto"/>
        <w:ind w:firstLine="420" w:firstLineChars="200"/>
        <w:rPr>
          <w:rFonts w:hint="eastAsia"/>
          <w:snapToGrid w:val="0"/>
        </w:rPr>
      </w:pPr>
      <w:r>
        <w:rPr>
          <w:rFonts w:hint="eastAsia"/>
          <w:snapToGrid w:val="0"/>
        </w:rPr>
        <w:t>4）项目负责人每月驻项目部的天数不少于18天，项目负责人每少一天罚款2000元；项目负责人连续2个月及以上每月驻项目部的天数少于15天，发包人有权解除合同。</w:t>
      </w:r>
    </w:p>
    <w:p>
      <w:pPr>
        <w:spacing w:line="360" w:lineRule="auto"/>
        <w:ind w:firstLine="420" w:firstLineChars="200"/>
        <w:rPr>
          <w:rFonts w:hint="eastAsia"/>
          <w:snapToGrid w:val="0"/>
        </w:rPr>
      </w:pPr>
      <w:r>
        <w:rPr>
          <w:rFonts w:hint="eastAsia"/>
          <w:snapToGrid w:val="0"/>
        </w:rPr>
        <w:t>上述违约金在当季度工程进度款中直接扣除，在项目部工作天数按发包人实际考勤记录为准。</w:t>
      </w:r>
    </w:p>
    <w:p>
      <w:pPr>
        <w:snapToGrid w:val="0"/>
        <w:spacing w:line="360" w:lineRule="auto"/>
        <w:ind w:firstLine="420" w:firstLineChars="200"/>
      </w:pPr>
      <w:r>
        <w:rPr>
          <w:rFonts w:hint="eastAsia"/>
        </w:rPr>
        <w:t>3</w:t>
      </w:r>
      <w:r>
        <w:t xml:space="preserve">.3.2 </w:t>
      </w:r>
      <w:r>
        <w:rPr>
          <w:rFonts w:hint="eastAsia"/>
        </w:rPr>
        <w:t>承包人为履行合同发出的一切函件均应盖有承包人单位印章，并由承包人项目负责人签名。</w:t>
      </w:r>
    </w:p>
    <w:p>
      <w:pPr>
        <w:snapToGrid w:val="0"/>
        <w:spacing w:line="360" w:lineRule="auto"/>
        <w:ind w:firstLine="420" w:firstLineChars="200"/>
        <w:rPr>
          <w:rFonts w:hint="eastAsia"/>
        </w:rPr>
      </w:pPr>
      <w:r>
        <w:rPr>
          <w:rFonts w:hint="eastAsia"/>
        </w:rPr>
        <w:t>3</w:t>
      </w:r>
      <w:r>
        <w:t xml:space="preserve">.3.3 </w:t>
      </w:r>
      <w:r>
        <w:rPr>
          <w:rFonts w:hint="eastAsia"/>
        </w:rPr>
        <w:t>承包人保证派驻本工程值守岗位人员相对稳定，持有相应的上岗证书，并接受发包人的考勤。由物业管理公司结合劳动法合理安排上下班时间、值班时间，并做好防盗、防火等安全生产工作。</w:t>
      </w:r>
    </w:p>
    <w:p>
      <w:pPr>
        <w:snapToGrid w:val="0"/>
        <w:spacing w:line="360" w:lineRule="auto"/>
        <w:ind w:firstLine="420" w:firstLineChars="200"/>
        <w:rPr>
          <w:rFonts w:hint="eastAsia"/>
        </w:rPr>
      </w:pPr>
      <w:r>
        <w:rPr>
          <w:rFonts w:hint="eastAsia"/>
        </w:rPr>
        <w:t>注：如遇暴雨天（按防汛办4级响应标准）、台风期间，项目负责人、技术负责人、水闸运行工、标准堤和堤防专职管理员必须在岗。</w:t>
      </w:r>
    </w:p>
    <w:p>
      <w:pPr>
        <w:pStyle w:val="6"/>
        <w:tabs>
          <w:tab w:val="left" w:pos="864"/>
        </w:tabs>
        <w:rPr>
          <w:szCs w:val="24"/>
        </w:rPr>
      </w:pPr>
      <w:r>
        <w:rPr>
          <w:rFonts w:hint="eastAsia"/>
          <w:szCs w:val="24"/>
        </w:rPr>
        <w:t>3.4</w:t>
      </w:r>
      <w:r>
        <w:rPr>
          <w:szCs w:val="24"/>
        </w:rPr>
        <w:t xml:space="preserve"> 承包人</w:t>
      </w:r>
      <w:r>
        <w:rPr>
          <w:rFonts w:hint="eastAsia"/>
          <w:szCs w:val="24"/>
        </w:rPr>
        <w:t>项目部人员的管理</w:t>
      </w:r>
    </w:p>
    <w:p>
      <w:pPr>
        <w:snapToGrid w:val="0"/>
        <w:spacing w:line="360" w:lineRule="auto"/>
        <w:ind w:firstLine="420"/>
        <w:rPr>
          <w:rFonts w:hint="eastAsia"/>
          <w:szCs w:val="21"/>
        </w:rPr>
      </w:pPr>
      <w:r>
        <w:rPr>
          <w:rFonts w:hint="eastAsia" w:ascii="ˎ̥" w:hAnsi="ˎ̥"/>
          <w:szCs w:val="21"/>
        </w:rPr>
        <w:t xml:space="preserve">3.4.1 </w:t>
      </w:r>
      <w:r>
        <w:rPr>
          <w:rFonts w:hint="eastAsia"/>
          <w:szCs w:val="21"/>
        </w:rPr>
        <w:t>项目技术负责人每月在工地天数应不少于22天（特殊情况经发包人批准例外）。</w:t>
      </w:r>
    </w:p>
    <w:p>
      <w:pPr>
        <w:snapToGrid w:val="0"/>
        <w:spacing w:line="360" w:lineRule="auto"/>
        <w:ind w:firstLine="420" w:firstLineChars="200"/>
        <w:rPr>
          <w:rFonts w:hint="eastAsia"/>
          <w:snapToGrid w:val="0"/>
        </w:rPr>
      </w:pPr>
      <w:r>
        <w:rPr>
          <w:rFonts w:hint="eastAsia"/>
        </w:rPr>
        <w:t>1）</w:t>
      </w:r>
      <w:r>
        <w:rPr>
          <w:rFonts w:hint="eastAsia"/>
          <w:snapToGrid w:val="0"/>
        </w:rPr>
        <w:t>若承包人事先未征得发包人同意擅自更换项目技术负责人，则承包人必须支付壹拾万元的违约金，且发包人有权终止合同。</w:t>
      </w:r>
    </w:p>
    <w:p>
      <w:pPr>
        <w:snapToGrid w:val="0"/>
        <w:spacing w:line="360" w:lineRule="auto"/>
        <w:ind w:firstLine="420" w:firstLineChars="200"/>
        <w:rPr>
          <w:rFonts w:hint="eastAsia"/>
          <w:snapToGrid w:val="0"/>
        </w:rPr>
      </w:pPr>
      <w:r>
        <w:rPr>
          <w:rFonts w:hint="eastAsia"/>
          <w:snapToGrid w:val="0"/>
        </w:rPr>
        <w:t>2）承包人事先征得发包人同意后更换项目技术负责人，若原项目技术负责人职称为初级职称的，则承包人支付贰万元的违约金；若原项目技术负责人职称为中级职称的，则承包人支付叁万元的违约金；若原项目技术负责人职称为高级职称的，则承包人支付伍万元的违约金。</w:t>
      </w:r>
    </w:p>
    <w:p>
      <w:pPr>
        <w:snapToGrid w:val="0"/>
        <w:spacing w:line="360" w:lineRule="auto"/>
        <w:ind w:firstLine="420" w:firstLineChars="200"/>
        <w:rPr>
          <w:rFonts w:hint="eastAsia"/>
          <w:snapToGrid w:val="0"/>
        </w:rPr>
      </w:pPr>
      <w:r>
        <w:rPr>
          <w:rFonts w:hint="eastAsia"/>
          <w:snapToGrid w:val="0"/>
        </w:rPr>
        <w:t>3）若发包人认为项目技术负责人不能胜任本合同，发包人有权要求承包人更换符合要求的项目技术负责人，且承包人须支付叁拾万元的违约金。</w:t>
      </w:r>
    </w:p>
    <w:p>
      <w:pPr>
        <w:snapToGrid w:val="0"/>
        <w:spacing w:line="360" w:lineRule="auto"/>
        <w:ind w:firstLine="420" w:firstLineChars="200"/>
        <w:rPr>
          <w:rFonts w:hint="eastAsia"/>
          <w:snapToGrid w:val="0"/>
        </w:rPr>
      </w:pPr>
      <w:r>
        <w:rPr>
          <w:rFonts w:hint="eastAsia"/>
          <w:snapToGrid w:val="0"/>
        </w:rPr>
        <w:t>4）项目负责人每月驻办事处的月到岗率不少于18天。</w:t>
      </w:r>
      <w:r>
        <w:rPr>
          <w:rFonts w:hint="eastAsia"/>
          <w:snapToGrid w:val="0"/>
          <w:lang w:val="en-US" w:eastAsia="zh-CN"/>
        </w:rPr>
        <w:t>项目</w:t>
      </w:r>
      <w:r>
        <w:rPr>
          <w:rFonts w:hint="eastAsia"/>
          <w:snapToGrid w:val="0"/>
        </w:rPr>
        <w:t>技术负责人的每月驻办事处的月到岗率不少于22天，并执行刷脸考勤，考勤记录附当月台账后。</w:t>
      </w:r>
      <w:r>
        <w:rPr>
          <w:rFonts w:hint="eastAsia"/>
          <w:snapToGrid w:val="0"/>
          <w:lang w:val="en-US" w:eastAsia="zh-CN"/>
        </w:rPr>
        <w:t>如发现项目负责人不到位的，每天扣2000元；项目技术负责人不到位的，每天扣1000元。罚款总额不超过合同总金额的2%。</w:t>
      </w:r>
      <w:r>
        <w:rPr>
          <w:rFonts w:hint="eastAsia"/>
          <w:snapToGrid w:val="0"/>
        </w:rPr>
        <w:t>发包人有权解除合同。</w:t>
      </w:r>
    </w:p>
    <w:p>
      <w:pPr>
        <w:pStyle w:val="6"/>
        <w:tabs>
          <w:tab w:val="left" w:pos="864"/>
        </w:tabs>
        <w:ind w:firstLine="426" w:firstLineChars="203"/>
        <w:rPr>
          <w:rFonts w:hint="eastAsia" w:ascii="ˎ̥" w:hAnsi="ˎ̥" w:eastAsia="宋体" w:cs="Times New Roman"/>
          <w:b w:val="0"/>
          <w:bCs w:val="0"/>
          <w:kern w:val="2"/>
          <w:sz w:val="21"/>
          <w:szCs w:val="21"/>
          <w:lang w:val="en-US" w:eastAsia="zh-CN" w:bidi="ar-SA"/>
        </w:rPr>
      </w:pPr>
      <w:bookmarkStart w:id="19" w:name="_Toc55455403"/>
      <w:r>
        <w:rPr>
          <w:rFonts w:hint="eastAsia" w:ascii="ˎ̥" w:hAnsi="ˎ̥" w:eastAsia="宋体" w:cs="Times New Roman"/>
          <w:b w:val="0"/>
          <w:bCs w:val="0"/>
          <w:kern w:val="2"/>
          <w:sz w:val="21"/>
          <w:szCs w:val="21"/>
          <w:lang w:val="en-US" w:eastAsia="zh-CN" w:bidi="ar-SA"/>
        </w:rPr>
        <w:t>3.4.2 承包人的主要管理人员驻工地时间等考核</w:t>
      </w:r>
      <w:bookmarkEnd w:id="19"/>
    </w:p>
    <w:p>
      <w:pPr>
        <w:pStyle w:val="16"/>
        <w:spacing w:line="360" w:lineRule="auto"/>
        <w:ind w:firstLine="420" w:firstLineChars="200"/>
        <w:rPr>
          <w:rFonts w:hint="eastAsia" w:ascii="Times New Roman" w:hAnsi="Times New Roman"/>
          <w:snapToGrid w:val="0"/>
        </w:rPr>
      </w:pPr>
      <w:r>
        <w:rPr>
          <w:rFonts w:hint="eastAsia" w:ascii="Times New Roman" w:hAnsi="Times New Roman"/>
          <w:snapToGrid w:val="0"/>
        </w:rPr>
        <w:t>（1）项目负责人和项目技术负责人严禁同时缺勤，如果同时缺勤，每一天每人扣违约金3000元，特殊情况经发包人同意除外。</w:t>
      </w:r>
    </w:p>
    <w:p>
      <w:pPr>
        <w:pStyle w:val="16"/>
        <w:spacing w:line="360" w:lineRule="auto"/>
        <w:ind w:firstLine="315" w:firstLineChars="150"/>
        <w:rPr>
          <w:rFonts w:hint="eastAsia" w:ascii="Times New Roman" w:hAnsi="Times New Roman"/>
          <w:snapToGrid w:val="0"/>
        </w:rPr>
      </w:pPr>
      <w:r>
        <w:rPr>
          <w:rFonts w:hint="eastAsia" w:ascii="Times New Roman" w:hAnsi="Times New Roman"/>
          <w:snapToGrid w:val="0"/>
        </w:rPr>
        <w:t>（2）特种工人员每月驻工地天数各不得少于22天，每少一天支付违约金1000元。</w:t>
      </w:r>
    </w:p>
    <w:p>
      <w:pPr>
        <w:pStyle w:val="16"/>
        <w:spacing w:line="360" w:lineRule="auto"/>
        <w:ind w:firstLine="315" w:firstLineChars="150"/>
        <w:rPr>
          <w:rFonts w:hint="eastAsia" w:ascii="Times New Roman" w:hAnsi="Times New Roman"/>
          <w:snapToGrid w:val="0"/>
        </w:rPr>
      </w:pPr>
      <w:r>
        <w:rPr>
          <w:rFonts w:hint="eastAsia" w:ascii="Times New Roman" w:hAnsi="Times New Roman"/>
          <w:snapToGrid w:val="0"/>
        </w:rPr>
        <w:t>（3）项目负责人和项目技术负责人离开工地3天以上，必须报发包人同意。</w:t>
      </w:r>
    </w:p>
    <w:p>
      <w:pPr>
        <w:pStyle w:val="16"/>
        <w:spacing w:line="360" w:lineRule="auto"/>
        <w:rPr>
          <w:rFonts w:hint="eastAsia" w:ascii="Times New Roman" w:hAnsi="Times New Roman"/>
          <w:snapToGrid w:val="0"/>
        </w:rPr>
      </w:pPr>
      <w:r>
        <w:rPr>
          <w:rFonts w:hint="eastAsia" w:ascii="Times New Roman" w:hAnsi="Times New Roman"/>
          <w:snapToGrid w:val="0"/>
        </w:rPr>
        <w:t xml:space="preserve">   （4）违约金每季度算一次，从工程进度款中索扣（税后）。如工程进度款不足，则直接从承包人提供的履约保证金中扣除。</w:t>
      </w:r>
    </w:p>
    <w:p>
      <w:pPr>
        <w:snapToGrid w:val="0"/>
        <w:spacing w:line="360" w:lineRule="auto"/>
        <w:ind w:firstLine="315" w:firstLineChars="150"/>
        <w:rPr>
          <w:rFonts w:hint="eastAsia"/>
          <w:snapToGrid w:val="0"/>
        </w:rPr>
      </w:pPr>
      <w:r>
        <w:rPr>
          <w:rFonts w:hint="eastAsia"/>
          <w:snapToGrid w:val="0"/>
        </w:rPr>
        <w:t>（5）考勤：承包人应接受发包人制定的考勤制度，服从发包人的考勤。考勤结果每月的25日整理上报发包人，在作为季度工程进度款申请单附件报发包人，并在工程进度款中索扣违约金。发包人管理人员可作不定时抽查，以掌握承包人主要管理人员到位情况。</w:t>
      </w:r>
    </w:p>
    <w:p>
      <w:pPr>
        <w:pStyle w:val="6"/>
        <w:tabs>
          <w:tab w:val="left" w:pos="864"/>
        </w:tabs>
        <w:rPr>
          <w:szCs w:val="24"/>
        </w:rPr>
      </w:pPr>
      <w:r>
        <w:rPr>
          <w:rFonts w:hint="eastAsia"/>
          <w:szCs w:val="24"/>
        </w:rPr>
        <w:t>3</w:t>
      </w:r>
      <w:r>
        <w:rPr>
          <w:szCs w:val="24"/>
        </w:rPr>
        <w:t>.</w:t>
      </w:r>
      <w:r>
        <w:rPr>
          <w:rFonts w:hint="eastAsia"/>
          <w:szCs w:val="24"/>
        </w:rPr>
        <w:t>5</w:t>
      </w:r>
      <w:r>
        <w:rPr>
          <w:szCs w:val="24"/>
        </w:rPr>
        <w:t xml:space="preserve"> </w:t>
      </w:r>
      <w:r>
        <w:rPr>
          <w:rFonts w:hint="eastAsia"/>
          <w:szCs w:val="24"/>
        </w:rPr>
        <w:t>保障承包人人员的合法权益</w:t>
      </w:r>
    </w:p>
    <w:p>
      <w:pPr>
        <w:snapToGrid w:val="0"/>
        <w:spacing w:line="360" w:lineRule="auto"/>
        <w:ind w:firstLine="420" w:firstLineChars="200"/>
      </w:pPr>
      <w:r>
        <w:rPr>
          <w:rFonts w:hint="eastAsia"/>
        </w:rPr>
        <w:t>3</w:t>
      </w:r>
      <w:r>
        <w:t>.</w:t>
      </w:r>
      <w:r>
        <w:rPr>
          <w:rFonts w:hint="eastAsia"/>
        </w:rPr>
        <w:t>5</w:t>
      </w:r>
      <w:r>
        <w:t xml:space="preserve">.1 </w:t>
      </w:r>
      <w:r>
        <w:rPr>
          <w:rFonts w:hint="eastAsia"/>
        </w:rPr>
        <w:t>承包人应与其雇佣的人员签订劳动合同，按时发放工资，并为其雇佣人员办理工伤保险和人身意外伤害保险。</w:t>
      </w:r>
    </w:p>
    <w:p>
      <w:pPr>
        <w:snapToGrid w:val="0"/>
        <w:spacing w:line="360" w:lineRule="auto"/>
        <w:ind w:firstLine="420" w:firstLineChars="200"/>
      </w:pPr>
      <w:r>
        <w:rPr>
          <w:rFonts w:hint="eastAsia"/>
        </w:rPr>
        <w:t>3</w:t>
      </w:r>
      <w:r>
        <w:t>.</w:t>
      </w:r>
      <w:r>
        <w:rPr>
          <w:rFonts w:hint="eastAsia"/>
        </w:rPr>
        <w:t>5</w:t>
      </w:r>
      <w:r>
        <w:t xml:space="preserve">.2 </w:t>
      </w:r>
      <w:r>
        <w:rPr>
          <w:rFonts w:hint="eastAsia"/>
        </w:rPr>
        <w:t>承包人应按劳动法的规定安排工作时间，保证其雇佣人员享有休息和休假的权利。因工程物业管理工作的特殊需要占用休假日或延长工作时间的，应不超过法律规定的限度，并按法律规定给予补休或付酬。</w:t>
      </w:r>
    </w:p>
    <w:p>
      <w:pPr>
        <w:snapToGrid w:val="0"/>
        <w:spacing w:line="360" w:lineRule="auto"/>
        <w:ind w:firstLine="420" w:firstLineChars="200"/>
      </w:pPr>
      <w:r>
        <w:rPr>
          <w:rFonts w:hint="eastAsia"/>
        </w:rPr>
        <w:t>3</w:t>
      </w:r>
      <w:r>
        <w:t>.</w:t>
      </w:r>
      <w:r>
        <w:rPr>
          <w:rFonts w:hint="eastAsia"/>
        </w:rPr>
        <w:t>5</w:t>
      </w:r>
      <w:r>
        <w:t xml:space="preserve">.3 </w:t>
      </w:r>
      <w:r>
        <w:rPr>
          <w:rFonts w:hint="eastAsia"/>
        </w:rPr>
        <w:t>承包人应按第9</w:t>
      </w:r>
      <w:r>
        <w:t>.1</w:t>
      </w:r>
      <w:r>
        <w:rPr>
          <w:rFonts w:hint="eastAsia"/>
        </w:rPr>
        <w:t>款约定采取安全生产措施，确保有关人员的人身和财产安全，防止造成人身伤害和财产损失。</w:t>
      </w:r>
    </w:p>
    <w:p>
      <w:pPr>
        <w:snapToGrid w:val="0"/>
        <w:spacing w:line="360" w:lineRule="auto"/>
        <w:ind w:firstLine="420" w:firstLineChars="200"/>
      </w:pPr>
      <w:r>
        <w:rPr>
          <w:rFonts w:hint="eastAsia"/>
        </w:rPr>
        <w:t>3</w:t>
      </w:r>
      <w:r>
        <w:t>.</w:t>
      </w:r>
      <w:r>
        <w:rPr>
          <w:rFonts w:hint="eastAsia"/>
        </w:rPr>
        <w:t>5</w:t>
      </w:r>
      <w:r>
        <w:t xml:space="preserve">.4 </w:t>
      </w:r>
      <w:r>
        <w:rPr>
          <w:rFonts w:hint="eastAsia"/>
        </w:rPr>
        <w:t>承包人应负责处理其雇佣人员因工伤亡事故的善后事宜。</w:t>
      </w:r>
    </w:p>
    <w:p>
      <w:pPr>
        <w:pStyle w:val="6"/>
        <w:tabs>
          <w:tab w:val="left" w:pos="864"/>
        </w:tabs>
        <w:rPr>
          <w:szCs w:val="24"/>
        </w:rPr>
      </w:pPr>
      <w:r>
        <w:rPr>
          <w:rFonts w:hint="eastAsia"/>
          <w:szCs w:val="24"/>
        </w:rPr>
        <w:t>3</w:t>
      </w:r>
      <w:r>
        <w:rPr>
          <w:szCs w:val="24"/>
        </w:rPr>
        <w:t>.</w:t>
      </w:r>
      <w:r>
        <w:rPr>
          <w:rFonts w:hint="eastAsia"/>
          <w:szCs w:val="24"/>
        </w:rPr>
        <w:t>6</w:t>
      </w:r>
      <w:r>
        <w:rPr>
          <w:szCs w:val="24"/>
        </w:rPr>
        <w:t xml:space="preserve"> </w:t>
      </w:r>
      <w:r>
        <w:rPr>
          <w:rFonts w:hint="eastAsia"/>
          <w:szCs w:val="24"/>
        </w:rPr>
        <w:t>合同价款应专款专用</w:t>
      </w:r>
    </w:p>
    <w:p>
      <w:pPr>
        <w:snapToGrid w:val="0"/>
        <w:spacing w:line="360" w:lineRule="auto"/>
        <w:ind w:firstLine="420" w:firstLineChars="200"/>
        <w:rPr>
          <w:rFonts w:hint="eastAsia"/>
        </w:rPr>
      </w:pPr>
      <w:r>
        <w:rPr>
          <w:rFonts w:hint="eastAsia"/>
        </w:rPr>
        <w:t>发包人按合同约定支付给承包人的各项价款应专用于本合同工程物业管理。</w:t>
      </w:r>
    </w:p>
    <w:p>
      <w:pPr>
        <w:pStyle w:val="5"/>
        <w:tabs>
          <w:tab w:val="left" w:pos="3600"/>
        </w:tabs>
        <w:spacing w:before="0"/>
        <w:rPr>
          <w:snapToGrid w:val="0"/>
          <w:szCs w:val="24"/>
        </w:rPr>
      </w:pPr>
      <w:bookmarkStart w:id="20" w:name="_Toc166549397"/>
      <w:r>
        <w:rPr>
          <w:rFonts w:hint="eastAsia"/>
          <w:snapToGrid w:val="0"/>
          <w:szCs w:val="24"/>
        </w:rPr>
        <w:t>4</w:t>
      </w:r>
      <w:r>
        <w:rPr>
          <w:snapToGrid w:val="0"/>
          <w:szCs w:val="24"/>
        </w:rPr>
        <w:t xml:space="preserve">. </w:t>
      </w:r>
      <w:r>
        <w:rPr>
          <w:rFonts w:hint="eastAsia"/>
          <w:snapToGrid w:val="0"/>
          <w:szCs w:val="24"/>
        </w:rPr>
        <w:t>工作进度</w:t>
      </w:r>
      <w:bookmarkEnd w:id="20"/>
    </w:p>
    <w:p>
      <w:pPr>
        <w:pStyle w:val="6"/>
        <w:tabs>
          <w:tab w:val="left" w:pos="864"/>
        </w:tabs>
        <w:rPr>
          <w:szCs w:val="24"/>
        </w:rPr>
      </w:pPr>
      <w:r>
        <w:rPr>
          <w:rFonts w:hint="eastAsia"/>
          <w:szCs w:val="24"/>
        </w:rPr>
        <w:t>4</w:t>
      </w:r>
      <w:r>
        <w:rPr>
          <w:szCs w:val="24"/>
        </w:rPr>
        <w:t xml:space="preserve">.1 </w:t>
      </w:r>
      <w:r>
        <w:rPr>
          <w:rFonts w:hint="eastAsia"/>
          <w:szCs w:val="24"/>
        </w:rPr>
        <w:t>实施计划</w:t>
      </w:r>
    </w:p>
    <w:p>
      <w:pPr>
        <w:snapToGrid w:val="0"/>
        <w:spacing w:line="360" w:lineRule="auto"/>
        <w:ind w:firstLine="420" w:firstLineChars="200"/>
      </w:pPr>
      <w:r>
        <w:rPr>
          <w:rFonts w:hint="eastAsia"/>
        </w:rPr>
        <w:t>4</w:t>
      </w:r>
      <w:r>
        <w:t xml:space="preserve">.1.1 </w:t>
      </w:r>
      <w:r>
        <w:rPr>
          <w:rFonts w:hint="eastAsia"/>
        </w:rPr>
        <w:t>承包人签订合同后</w:t>
      </w:r>
      <w:r>
        <w:rPr>
          <w:rFonts w:hint="eastAsia"/>
          <w:b/>
          <w:u w:val="single"/>
        </w:rPr>
        <w:t xml:space="preserve"> 14 </w:t>
      </w:r>
      <w:r>
        <w:rPr>
          <w:rFonts w:hint="eastAsia"/>
        </w:rPr>
        <w:t>天内，按照物业化管理工作要求与技术标准的规定，编制实施性的工程运行操作、维修养护组织计划，报送发包人。发包人在</w:t>
      </w:r>
      <w:r>
        <w:t xml:space="preserve">2.3 </w:t>
      </w:r>
      <w:r>
        <w:rPr>
          <w:rFonts w:hint="eastAsia"/>
        </w:rPr>
        <w:t>款约定时间内予以批复。跨年度的合同，应在每年</w:t>
      </w:r>
      <w:r>
        <w:t>10</w:t>
      </w:r>
      <w:r>
        <w:rPr>
          <w:rFonts w:hint="eastAsia"/>
        </w:rPr>
        <w:t>月底编报下年度实施性的组织计划。</w:t>
      </w:r>
    </w:p>
    <w:p>
      <w:pPr>
        <w:snapToGrid w:val="0"/>
        <w:spacing w:line="360" w:lineRule="auto"/>
        <w:ind w:firstLine="420" w:firstLineChars="200"/>
      </w:pPr>
      <w:r>
        <w:rPr>
          <w:rFonts w:hint="eastAsia"/>
        </w:rPr>
        <w:t>4</w:t>
      </w:r>
      <w:r>
        <w:t xml:space="preserve">.1.2 </w:t>
      </w:r>
      <w:r>
        <w:rPr>
          <w:rFonts w:hint="eastAsia"/>
        </w:rPr>
        <w:t>承包人收到发包人提出工程维修任务书后，应在</w:t>
      </w:r>
      <w:r>
        <w:rPr>
          <w:b/>
          <w:u w:val="single"/>
        </w:rPr>
        <w:t xml:space="preserve"> </w:t>
      </w:r>
      <w:r>
        <w:rPr>
          <w:rFonts w:hint="eastAsia"/>
          <w:b/>
          <w:u w:val="single"/>
        </w:rPr>
        <w:t xml:space="preserve">7 </w:t>
      </w:r>
      <w:r>
        <w:rPr>
          <w:rFonts w:hint="eastAsia"/>
        </w:rPr>
        <w:t>天内按维修任务书的具体内容和技术要求编制施工计划，报发包人批准后方可实施。</w:t>
      </w:r>
    </w:p>
    <w:p>
      <w:pPr>
        <w:snapToGrid w:val="0"/>
        <w:spacing w:line="360" w:lineRule="auto"/>
        <w:ind w:firstLine="420" w:firstLineChars="200"/>
      </w:pPr>
      <w:r>
        <w:rPr>
          <w:rFonts w:hint="eastAsia"/>
        </w:rPr>
        <w:t>4</w:t>
      </w:r>
      <w:r>
        <w:t xml:space="preserve">.1.3 </w:t>
      </w:r>
      <w:r>
        <w:rPr>
          <w:rFonts w:hint="eastAsia"/>
        </w:rPr>
        <w:t>延误开工</w:t>
      </w:r>
    </w:p>
    <w:p>
      <w:pPr>
        <w:snapToGrid w:val="0"/>
        <w:spacing w:line="360" w:lineRule="auto"/>
        <w:ind w:firstLine="420" w:firstLineChars="200"/>
      </w:pPr>
      <w:r>
        <w:rPr>
          <w:rFonts w:hint="eastAsia"/>
        </w:rPr>
        <w:t>发包人未能按合同约定时间向承包人提供开工条件的，承包人的合同期限应予以相应的延长。</w:t>
      </w:r>
    </w:p>
    <w:p>
      <w:pPr>
        <w:pStyle w:val="6"/>
        <w:tabs>
          <w:tab w:val="left" w:pos="864"/>
        </w:tabs>
        <w:rPr>
          <w:szCs w:val="24"/>
        </w:rPr>
      </w:pPr>
      <w:r>
        <w:rPr>
          <w:rFonts w:hint="eastAsia"/>
          <w:szCs w:val="24"/>
        </w:rPr>
        <w:t>4</w:t>
      </w:r>
      <w:r>
        <w:rPr>
          <w:szCs w:val="24"/>
        </w:rPr>
        <w:t xml:space="preserve">.2 </w:t>
      </w:r>
      <w:r>
        <w:rPr>
          <w:rFonts w:hint="eastAsia"/>
          <w:szCs w:val="24"/>
        </w:rPr>
        <w:t>暂停工作</w:t>
      </w:r>
    </w:p>
    <w:p>
      <w:pPr>
        <w:snapToGrid w:val="0"/>
        <w:spacing w:line="360" w:lineRule="auto"/>
        <w:ind w:firstLine="420" w:firstLineChars="200"/>
        <w:rPr>
          <w:rFonts w:hint="eastAsia"/>
        </w:rPr>
      </w:pPr>
      <w:r>
        <w:rPr>
          <w:rFonts w:hint="eastAsia"/>
        </w:rPr>
        <w:t>4</w:t>
      </w:r>
      <w:r>
        <w:t xml:space="preserve">.2.1 </w:t>
      </w:r>
      <w:r>
        <w:rPr>
          <w:rFonts w:hint="eastAsia"/>
        </w:rPr>
        <w:t>发包人认为工程继续运行可能存在安全隐患时，可向承包人发出暂停全部或部分物业管理工作的通知，承包人应按发包人通知立即停止工作。无论由于何种原因引起的暂停工作期间，承包人均应妥善保护工程和提供安全保障。除暂停工作属承包人原因外，该期间的费用调整由承发包双方协商确定。</w:t>
      </w:r>
    </w:p>
    <w:p>
      <w:pPr>
        <w:snapToGrid w:val="0"/>
        <w:spacing w:line="360" w:lineRule="auto"/>
        <w:ind w:firstLine="420" w:firstLineChars="200"/>
        <w:rPr>
          <w:rFonts w:hint="eastAsia"/>
        </w:rPr>
      </w:pPr>
      <w:r>
        <w:rPr>
          <w:rFonts w:hint="eastAsia"/>
        </w:rPr>
        <w:t>4</w:t>
      </w:r>
      <w:r>
        <w:t>.2.</w:t>
      </w:r>
      <w:r>
        <w:rPr>
          <w:rFonts w:hint="eastAsia"/>
        </w:rPr>
        <w:t>2</w:t>
      </w:r>
      <w:r>
        <w:t xml:space="preserve"> </w:t>
      </w:r>
      <w:r>
        <w:rPr>
          <w:rFonts w:hint="eastAsia"/>
        </w:rPr>
        <w:t>当物业管理工作具备复工条件时，发包人将发出复工通知。若承包人无故拖延和拒绝复工，由此增加的费用和工期延误责任由承包人承担。</w:t>
      </w:r>
    </w:p>
    <w:p>
      <w:pPr>
        <w:pStyle w:val="6"/>
        <w:tabs>
          <w:tab w:val="left" w:pos="864"/>
        </w:tabs>
        <w:rPr>
          <w:color w:val="auto"/>
          <w:szCs w:val="24"/>
        </w:rPr>
      </w:pPr>
      <w:r>
        <w:rPr>
          <w:rFonts w:hint="eastAsia"/>
          <w:color w:val="auto"/>
          <w:szCs w:val="24"/>
        </w:rPr>
        <w:t>4</w:t>
      </w:r>
      <w:r>
        <w:rPr>
          <w:color w:val="auto"/>
          <w:szCs w:val="24"/>
        </w:rPr>
        <w:t xml:space="preserve">.3 </w:t>
      </w:r>
      <w:r>
        <w:rPr>
          <w:rFonts w:hint="eastAsia"/>
          <w:color w:val="auto"/>
          <w:szCs w:val="24"/>
        </w:rPr>
        <w:t>提前终止合同</w:t>
      </w:r>
    </w:p>
    <w:p>
      <w:pPr>
        <w:snapToGrid w:val="0"/>
        <w:spacing w:line="360" w:lineRule="auto"/>
        <w:ind w:left="105" w:leftChars="50" w:firstLine="315" w:firstLineChars="150"/>
        <w:rPr>
          <w:rFonts w:hint="eastAsia"/>
          <w:color w:val="auto"/>
        </w:rPr>
      </w:pPr>
      <w:r>
        <w:rPr>
          <w:rFonts w:hint="eastAsia"/>
          <w:color w:val="auto"/>
        </w:rPr>
        <w:t xml:space="preserve">若发生以下几种情况，发包人有权提前终止合同，承包人承担违约责任、无条件退出工程现场，承包人同时应支付违约金 </w:t>
      </w:r>
      <w:r>
        <w:rPr>
          <w:rFonts w:hint="eastAsia"/>
          <w:b/>
          <w:color w:val="auto"/>
          <w:u w:val="single"/>
        </w:rPr>
        <w:t>20万</w:t>
      </w:r>
      <w:r>
        <w:rPr>
          <w:rFonts w:hint="eastAsia"/>
          <w:color w:val="auto"/>
        </w:rPr>
        <w:t>元：</w:t>
      </w:r>
    </w:p>
    <w:p>
      <w:pPr>
        <w:snapToGrid w:val="0"/>
        <w:spacing w:line="360" w:lineRule="auto"/>
        <w:ind w:firstLine="420" w:firstLineChars="200"/>
        <w:rPr>
          <w:rFonts w:hint="eastAsia"/>
          <w:color w:val="auto"/>
        </w:rPr>
      </w:pPr>
      <w:r>
        <w:rPr>
          <w:rFonts w:hint="eastAsia"/>
          <w:color w:val="auto"/>
        </w:rPr>
        <w:t>4</w:t>
      </w:r>
      <w:r>
        <w:rPr>
          <w:color w:val="auto"/>
        </w:rPr>
        <w:t>.3.</w:t>
      </w:r>
      <w:r>
        <w:rPr>
          <w:rFonts w:hint="eastAsia"/>
          <w:color w:val="auto"/>
        </w:rPr>
        <w:t>1</w:t>
      </w:r>
      <w:r>
        <w:rPr>
          <w:color w:val="auto"/>
        </w:rPr>
        <w:t xml:space="preserve"> </w:t>
      </w:r>
      <w:r>
        <w:rPr>
          <w:rFonts w:hint="eastAsia"/>
          <w:color w:val="auto"/>
        </w:rPr>
        <w:t>如承包人工作质量按</w:t>
      </w:r>
      <w:r>
        <w:rPr>
          <w:color w:val="auto"/>
        </w:rPr>
        <w:t xml:space="preserve">5.3 </w:t>
      </w:r>
      <w:r>
        <w:rPr>
          <w:rFonts w:hint="eastAsia"/>
          <w:color w:val="auto"/>
        </w:rPr>
        <w:t>款约定在合同年度内累计二个季度考核不合格或未按要求整改的。</w:t>
      </w:r>
    </w:p>
    <w:p>
      <w:pPr>
        <w:snapToGrid w:val="0"/>
        <w:spacing w:line="360" w:lineRule="auto"/>
        <w:ind w:firstLine="420" w:firstLineChars="200"/>
        <w:rPr>
          <w:rFonts w:hint="eastAsia"/>
          <w:color w:val="auto"/>
        </w:rPr>
      </w:pPr>
      <w:r>
        <w:rPr>
          <w:rFonts w:hint="eastAsia"/>
          <w:color w:val="auto"/>
        </w:rPr>
        <w:t>4.3.2 如承包人工作质量按</w:t>
      </w:r>
      <w:r>
        <w:rPr>
          <w:color w:val="auto"/>
        </w:rPr>
        <w:t xml:space="preserve">5.3 </w:t>
      </w:r>
      <w:r>
        <w:rPr>
          <w:rFonts w:hint="eastAsia"/>
          <w:color w:val="auto"/>
        </w:rPr>
        <w:t>款约定月考核分率低于80%。</w:t>
      </w:r>
    </w:p>
    <w:p>
      <w:pPr>
        <w:snapToGrid w:val="0"/>
        <w:spacing w:line="360" w:lineRule="auto"/>
        <w:ind w:firstLine="420" w:firstLineChars="200"/>
        <w:rPr>
          <w:rFonts w:hint="eastAsia"/>
          <w:color w:val="auto"/>
        </w:rPr>
      </w:pPr>
      <w:r>
        <w:rPr>
          <w:rFonts w:hint="eastAsia"/>
          <w:color w:val="auto"/>
        </w:rPr>
        <w:t>4.3.3 如承包人工作质量按5.3款约定水闸或水库或堤防合同年度平均考核得分率（指水库、水闸、海塘、堤防合计的4个季度考核得分的平均值）在85%以下的。</w:t>
      </w:r>
    </w:p>
    <w:p>
      <w:pPr>
        <w:snapToGrid w:val="0"/>
        <w:spacing w:line="360" w:lineRule="auto"/>
        <w:rPr>
          <w:rFonts w:hint="eastAsia"/>
          <w:color w:val="auto"/>
        </w:rPr>
      </w:pPr>
      <w:r>
        <w:rPr>
          <w:rFonts w:hint="eastAsia"/>
          <w:color w:val="auto"/>
        </w:rPr>
        <w:t xml:space="preserve">    4.3.4 因承包人责任，发生人员伤亡的安全责任事故的，承包人承担安全事故责任和经济赔偿。 </w:t>
      </w:r>
    </w:p>
    <w:p>
      <w:pPr>
        <w:pStyle w:val="5"/>
        <w:tabs>
          <w:tab w:val="left" w:pos="3600"/>
        </w:tabs>
        <w:spacing w:before="0"/>
        <w:rPr>
          <w:snapToGrid w:val="0"/>
          <w:szCs w:val="24"/>
        </w:rPr>
      </w:pPr>
      <w:bookmarkStart w:id="21" w:name="_Toc166549398"/>
      <w:r>
        <w:rPr>
          <w:rFonts w:hint="eastAsia"/>
          <w:snapToGrid w:val="0"/>
          <w:szCs w:val="24"/>
        </w:rPr>
        <w:t>5. 质量与考核</w:t>
      </w:r>
      <w:bookmarkEnd w:id="21"/>
    </w:p>
    <w:p>
      <w:pPr>
        <w:pStyle w:val="6"/>
        <w:tabs>
          <w:tab w:val="left" w:pos="864"/>
        </w:tabs>
        <w:rPr>
          <w:szCs w:val="24"/>
        </w:rPr>
      </w:pPr>
      <w:r>
        <w:rPr>
          <w:rFonts w:hint="eastAsia"/>
          <w:szCs w:val="24"/>
        </w:rPr>
        <w:t>5</w:t>
      </w:r>
      <w:r>
        <w:rPr>
          <w:szCs w:val="24"/>
        </w:rPr>
        <w:t xml:space="preserve">.1 </w:t>
      </w:r>
      <w:r>
        <w:rPr>
          <w:rFonts w:hint="eastAsia"/>
          <w:szCs w:val="24"/>
        </w:rPr>
        <w:t>质量要求</w:t>
      </w:r>
    </w:p>
    <w:p>
      <w:pPr>
        <w:snapToGrid w:val="0"/>
        <w:spacing w:line="360" w:lineRule="auto"/>
        <w:ind w:firstLine="420" w:firstLineChars="200"/>
      </w:pPr>
      <w:r>
        <w:rPr>
          <w:rFonts w:hint="eastAsia"/>
        </w:rPr>
        <w:t>5</w:t>
      </w:r>
      <w:r>
        <w:t xml:space="preserve">.1.1 </w:t>
      </w:r>
      <w:r>
        <w:rPr>
          <w:rFonts w:hint="eastAsia"/>
        </w:rPr>
        <w:t>工程物业管理工作质量考核必须达到合格标准。</w:t>
      </w:r>
    </w:p>
    <w:p>
      <w:pPr>
        <w:snapToGrid w:val="0"/>
        <w:spacing w:line="360" w:lineRule="auto"/>
        <w:ind w:firstLine="420" w:firstLineChars="200"/>
      </w:pPr>
      <w:r>
        <w:rPr>
          <w:rFonts w:hint="eastAsia"/>
        </w:rPr>
        <w:t>5</w:t>
      </w:r>
      <w:r>
        <w:t xml:space="preserve">.1.2 </w:t>
      </w:r>
      <w:r>
        <w:rPr>
          <w:rFonts w:hint="eastAsia"/>
        </w:rPr>
        <w:t>因承包人原因工程物业管理质量达不到约定的管理工作要求与技术标准的，发包人有权要求承包人返工直至符合合同要求为止，由此造成的费用由承包人承担。</w:t>
      </w:r>
    </w:p>
    <w:p>
      <w:pPr>
        <w:snapToGrid w:val="0"/>
        <w:spacing w:line="360" w:lineRule="auto"/>
        <w:ind w:firstLine="420" w:firstLineChars="200"/>
      </w:pPr>
      <w:r>
        <w:rPr>
          <w:rFonts w:hint="eastAsia"/>
        </w:rPr>
        <w:t>5</w:t>
      </w:r>
      <w:r>
        <w:t xml:space="preserve">.1.4 </w:t>
      </w:r>
      <w:r>
        <w:rPr>
          <w:rFonts w:hint="eastAsia"/>
        </w:rPr>
        <w:t>非承包人原因达不到约定的管理工作要求与技术标准，发生的返工费用由发包人承担。</w:t>
      </w:r>
    </w:p>
    <w:p>
      <w:pPr>
        <w:pStyle w:val="6"/>
        <w:tabs>
          <w:tab w:val="left" w:pos="864"/>
        </w:tabs>
        <w:rPr>
          <w:szCs w:val="24"/>
        </w:rPr>
      </w:pPr>
      <w:r>
        <w:rPr>
          <w:rFonts w:hint="eastAsia"/>
          <w:szCs w:val="24"/>
        </w:rPr>
        <w:t>5</w:t>
      </w:r>
      <w:r>
        <w:rPr>
          <w:szCs w:val="24"/>
        </w:rPr>
        <w:t xml:space="preserve">.2 </w:t>
      </w:r>
      <w:r>
        <w:rPr>
          <w:rFonts w:hint="eastAsia"/>
          <w:szCs w:val="24"/>
        </w:rPr>
        <w:t>承包人质量管理</w:t>
      </w:r>
    </w:p>
    <w:p>
      <w:pPr>
        <w:snapToGrid w:val="0"/>
        <w:spacing w:line="360" w:lineRule="auto"/>
        <w:ind w:firstLine="420" w:firstLineChars="200"/>
      </w:pPr>
      <w:r>
        <w:rPr>
          <w:rFonts w:hint="eastAsia"/>
        </w:rPr>
        <w:t>5</w:t>
      </w:r>
      <w:r>
        <w:t xml:space="preserve">.2.1 </w:t>
      </w:r>
      <w:r>
        <w:rPr>
          <w:rFonts w:hint="eastAsia"/>
        </w:rPr>
        <w:t>承包人应加强质量监控，严格按照物业化管理工作要求与技术标准的工作频率和发包人的调度指令开展工作。</w:t>
      </w:r>
    </w:p>
    <w:p>
      <w:pPr>
        <w:snapToGrid w:val="0"/>
        <w:spacing w:line="360" w:lineRule="auto"/>
        <w:ind w:firstLine="420" w:firstLineChars="200"/>
      </w:pPr>
      <w:r>
        <w:rPr>
          <w:rFonts w:hint="eastAsia"/>
        </w:rPr>
        <w:t>5</w:t>
      </w:r>
      <w:r>
        <w:t xml:space="preserve">.2.2 </w:t>
      </w:r>
      <w:r>
        <w:rPr>
          <w:rFonts w:hint="eastAsia"/>
        </w:rPr>
        <w:t>工程运行操作、检查观测和维修养护的工作记录必须按物业化管理工作要求与技术标准的规定及时、真实、准确地完成，并整理归档。日常工作的各类工作报表和报告，非汛期每月</w:t>
      </w:r>
      <w:r>
        <w:t xml:space="preserve">28 </w:t>
      </w:r>
      <w:r>
        <w:rPr>
          <w:rFonts w:hint="eastAsia"/>
        </w:rPr>
        <w:t>日报送给发包人，汛期每月</w:t>
      </w:r>
      <w:r>
        <w:t>13</w:t>
      </w:r>
      <w:r>
        <w:rPr>
          <w:rFonts w:hint="eastAsia"/>
        </w:rPr>
        <w:t>日增加一次报告。</w:t>
      </w:r>
    </w:p>
    <w:p>
      <w:pPr>
        <w:snapToGrid w:val="0"/>
        <w:spacing w:line="360" w:lineRule="auto"/>
        <w:ind w:firstLine="420" w:firstLineChars="200"/>
      </w:pPr>
      <w:r>
        <w:rPr>
          <w:rFonts w:hint="eastAsia"/>
        </w:rPr>
        <w:t>5</w:t>
      </w:r>
      <w:r>
        <w:t xml:space="preserve">.2.3 </w:t>
      </w:r>
      <w:r>
        <w:rPr>
          <w:rFonts w:hint="eastAsia"/>
        </w:rPr>
        <w:t>承包人必须确保工程维修工作质量达到物业化管理工作要求与技术标准。加强原材料质量控制，严禁使用不合格材料。</w:t>
      </w:r>
    </w:p>
    <w:p>
      <w:pPr>
        <w:pStyle w:val="6"/>
        <w:tabs>
          <w:tab w:val="left" w:pos="864"/>
        </w:tabs>
        <w:rPr>
          <w:b/>
          <w:bCs/>
          <w:color w:val="auto"/>
          <w:szCs w:val="24"/>
          <w:highlight w:val="none"/>
        </w:rPr>
      </w:pPr>
      <w:r>
        <w:rPr>
          <w:rFonts w:hint="eastAsia"/>
          <w:b/>
          <w:bCs/>
          <w:color w:val="auto"/>
          <w:szCs w:val="24"/>
          <w:highlight w:val="none"/>
        </w:rPr>
        <w:t>5</w:t>
      </w:r>
      <w:r>
        <w:rPr>
          <w:b/>
          <w:bCs/>
          <w:color w:val="auto"/>
          <w:szCs w:val="24"/>
          <w:highlight w:val="none"/>
        </w:rPr>
        <w:t xml:space="preserve">.3 </w:t>
      </w:r>
      <w:r>
        <w:rPr>
          <w:rFonts w:hint="eastAsia"/>
          <w:b/>
          <w:bCs/>
          <w:color w:val="auto"/>
          <w:szCs w:val="24"/>
          <w:highlight w:val="none"/>
        </w:rPr>
        <w:t>发包人质量管理</w:t>
      </w:r>
    </w:p>
    <w:p>
      <w:pPr>
        <w:snapToGrid w:val="0"/>
        <w:spacing w:line="360" w:lineRule="auto"/>
        <w:ind w:firstLine="422" w:firstLineChars="200"/>
        <w:rPr>
          <w:rFonts w:hint="eastAsia"/>
          <w:b/>
          <w:bCs/>
          <w:color w:val="auto"/>
          <w:highlight w:val="none"/>
        </w:rPr>
      </w:pPr>
      <w:r>
        <w:rPr>
          <w:rFonts w:hint="eastAsia"/>
          <w:b/>
          <w:bCs/>
          <w:color w:val="auto"/>
          <w:highlight w:val="none"/>
        </w:rPr>
        <w:t>5</w:t>
      </w:r>
      <w:r>
        <w:rPr>
          <w:b/>
          <w:bCs/>
          <w:color w:val="auto"/>
          <w:highlight w:val="none"/>
        </w:rPr>
        <w:t xml:space="preserve">.3.1 </w:t>
      </w:r>
      <w:r>
        <w:rPr>
          <w:rFonts w:hint="eastAsia"/>
          <w:b/>
          <w:bCs/>
          <w:color w:val="auto"/>
          <w:highlight w:val="none"/>
        </w:rPr>
        <w:t>发包人按合同约定对物业管理工作质量进行检查和考核，主要是查阅运行操作、检查观测、维修养护等各类资料和查看工程状况。</w:t>
      </w:r>
    </w:p>
    <w:p>
      <w:pPr>
        <w:snapToGrid w:val="0"/>
        <w:spacing w:line="360" w:lineRule="auto"/>
        <w:ind w:firstLine="422" w:firstLineChars="200"/>
        <w:rPr>
          <w:rFonts w:hint="eastAsia"/>
          <w:b/>
          <w:bCs/>
          <w:color w:val="auto"/>
          <w:highlight w:val="none"/>
          <w:u w:val="single"/>
        </w:rPr>
      </w:pPr>
      <w:r>
        <w:rPr>
          <w:rFonts w:hint="eastAsia"/>
          <w:b/>
          <w:bCs/>
          <w:color w:val="auto"/>
          <w:highlight w:val="none"/>
          <w:u w:val="single"/>
        </w:rPr>
        <w:t>物业工作实施每月不定期抽查和季度定期考核相结合的检查制度。每月不定期抽查由采购人择时进行，一般每月一次（季度考核月不进行不定期抽查），检查发现的问题，作为季度考核该项目赋分的百分之三十；季度定期考核由</w:t>
      </w:r>
      <w:r>
        <w:rPr>
          <w:rFonts w:hint="eastAsia"/>
          <w:b/>
          <w:bCs/>
          <w:color w:val="auto"/>
          <w:sz w:val="22"/>
          <w:szCs w:val="22"/>
          <w:highlight w:val="none"/>
          <w:u w:val="single"/>
        </w:rPr>
        <w:t>采购人</w:t>
      </w:r>
      <w:r>
        <w:rPr>
          <w:rFonts w:hint="eastAsia"/>
          <w:b/>
          <w:bCs/>
          <w:color w:val="auto"/>
          <w:highlight w:val="none"/>
          <w:u w:val="single"/>
        </w:rPr>
        <w:t>随机确定，打分作为季度考核分的百分之七十。考核标准详见 “物业化管理工作要求与技术标准”及相关省级印发的水库、水闸、海塘、山塘的规程。</w:t>
      </w:r>
    </w:p>
    <w:p>
      <w:pPr>
        <w:snapToGrid w:val="0"/>
        <w:spacing w:line="360" w:lineRule="auto"/>
        <w:ind w:firstLine="422" w:firstLineChars="200"/>
        <w:rPr>
          <w:rFonts w:hint="eastAsia"/>
          <w:b/>
          <w:bCs/>
          <w:color w:val="auto"/>
          <w:highlight w:val="none"/>
          <w:u w:val="single"/>
        </w:rPr>
      </w:pPr>
      <w:r>
        <w:rPr>
          <w:rFonts w:hint="eastAsia"/>
          <w:b/>
          <w:bCs/>
          <w:color w:val="auto"/>
          <w:highlight w:val="none"/>
          <w:u w:val="single"/>
        </w:rPr>
        <w:t>季度考核分在85%（含）以上为合格，85%以下为不合格。季度考核分在85分以下每扣除1分从当期应付合同金额中扣除1000元,以此类推。</w:t>
      </w:r>
    </w:p>
    <w:p>
      <w:pPr>
        <w:spacing w:line="360" w:lineRule="auto"/>
        <w:ind w:firstLine="442" w:firstLineChars="200"/>
        <w:rPr>
          <w:rFonts w:hint="eastAsia"/>
          <w:b/>
          <w:bCs/>
          <w:color w:val="auto"/>
          <w:kern w:val="0"/>
          <w:sz w:val="22"/>
          <w:szCs w:val="22"/>
          <w:highlight w:val="none"/>
        </w:rPr>
      </w:pPr>
      <w:r>
        <w:rPr>
          <w:rFonts w:hint="eastAsia"/>
          <w:b/>
          <w:bCs/>
          <w:color w:val="auto"/>
          <w:kern w:val="0"/>
          <w:sz w:val="22"/>
          <w:szCs w:val="22"/>
          <w:highlight w:val="none"/>
        </w:rPr>
        <w:t>保洁处罚标准：①工程区域内发现周边环境、绿化区等未进行除草、清扫、扶育等工作，发现一次扣</w:t>
      </w:r>
      <w:r>
        <w:rPr>
          <w:rFonts w:hint="eastAsia"/>
          <w:b/>
          <w:bCs/>
          <w:color w:val="auto"/>
          <w:kern w:val="0"/>
          <w:sz w:val="22"/>
          <w:szCs w:val="22"/>
          <w:highlight w:val="none"/>
          <w:lang w:val="en-US" w:eastAsia="zh-CN"/>
        </w:rPr>
        <w:t>2000</w:t>
      </w:r>
      <w:r>
        <w:rPr>
          <w:rFonts w:hint="eastAsia"/>
          <w:b/>
          <w:bCs/>
          <w:color w:val="auto"/>
          <w:kern w:val="0"/>
          <w:sz w:val="22"/>
          <w:szCs w:val="22"/>
          <w:highlight w:val="none"/>
        </w:rPr>
        <w:t>元；②工程区域内发现未做好巡回保洁，工程表面发现有堆积物、垃圾、杂草等，发现一次扣</w:t>
      </w:r>
      <w:r>
        <w:rPr>
          <w:rFonts w:hint="eastAsia"/>
          <w:b/>
          <w:bCs/>
          <w:color w:val="auto"/>
          <w:kern w:val="0"/>
          <w:sz w:val="22"/>
          <w:szCs w:val="22"/>
          <w:highlight w:val="none"/>
          <w:lang w:val="en-US" w:eastAsia="zh-CN"/>
        </w:rPr>
        <w:t>2000</w:t>
      </w:r>
      <w:r>
        <w:rPr>
          <w:rFonts w:hint="eastAsia"/>
          <w:b/>
          <w:bCs/>
          <w:color w:val="auto"/>
          <w:kern w:val="0"/>
          <w:sz w:val="22"/>
          <w:szCs w:val="22"/>
          <w:highlight w:val="none"/>
        </w:rPr>
        <w:t>元；③工程区域内附属设施、标志标牌、宣传标语等没有保持完好，发现一次扣</w:t>
      </w:r>
      <w:r>
        <w:rPr>
          <w:rFonts w:hint="eastAsia"/>
          <w:b/>
          <w:bCs/>
          <w:color w:val="auto"/>
          <w:kern w:val="0"/>
          <w:sz w:val="22"/>
          <w:szCs w:val="22"/>
          <w:highlight w:val="none"/>
          <w:lang w:val="en-US" w:eastAsia="zh-CN"/>
        </w:rPr>
        <w:t>2000</w:t>
      </w:r>
      <w:r>
        <w:rPr>
          <w:rFonts w:hint="eastAsia"/>
          <w:b/>
          <w:bCs/>
          <w:color w:val="auto"/>
          <w:kern w:val="0"/>
          <w:sz w:val="22"/>
          <w:szCs w:val="22"/>
          <w:highlight w:val="none"/>
        </w:rPr>
        <w:t>元；④未做好苗树修剪，未及时清除灌（乔）木场地内杂草及垃圾、未及时治虫、喷药剂、未做好苗木保暖工作等情况，发现一次扣</w:t>
      </w:r>
      <w:r>
        <w:rPr>
          <w:rFonts w:hint="eastAsia"/>
          <w:b/>
          <w:bCs/>
          <w:color w:val="auto"/>
          <w:kern w:val="0"/>
          <w:sz w:val="22"/>
          <w:szCs w:val="22"/>
          <w:highlight w:val="none"/>
          <w:lang w:val="en-US" w:eastAsia="zh-CN"/>
        </w:rPr>
        <w:t>2000</w:t>
      </w:r>
      <w:r>
        <w:rPr>
          <w:rFonts w:hint="eastAsia"/>
          <w:b/>
          <w:bCs/>
          <w:color w:val="auto"/>
          <w:kern w:val="0"/>
          <w:sz w:val="22"/>
          <w:szCs w:val="22"/>
          <w:highlight w:val="none"/>
        </w:rPr>
        <w:t>元；如出现以上四项情况，罚款额直接在进度款中扣除。</w:t>
      </w:r>
    </w:p>
    <w:p>
      <w:pPr>
        <w:snapToGrid w:val="0"/>
        <w:spacing w:line="360" w:lineRule="auto"/>
        <w:ind w:firstLine="422" w:firstLineChars="200"/>
        <w:rPr>
          <w:b/>
          <w:bCs/>
          <w:color w:val="auto"/>
          <w:highlight w:val="none"/>
        </w:rPr>
      </w:pPr>
      <w:r>
        <w:rPr>
          <w:rFonts w:hint="eastAsia"/>
          <w:b/>
          <w:bCs/>
          <w:color w:val="auto"/>
          <w:highlight w:val="none"/>
        </w:rPr>
        <w:t>5</w:t>
      </w:r>
      <w:r>
        <w:rPr>
          <w:b/>
          <w:bCs/>
          <w:color w:val="auto"/>
          <w:highlight w:val="none"/>
        </w:rPr>
        <w:t xml:space="preserve">.3.2 </w:t>
      </w:r>
      <w:r>
        <w:rPr>
          <w:rFonts w:hint="eastAsia"/>
          <w:b/>
          <w:bCs/>
          <w:color w:val="auto"/>
          <w:highlight w:val="none"/>
        </w:rPr>
        <w:t>定期检查时发现承包人的工作质量不合格的，发包人应发出整改通知，针对问题及时跟踪，监督整改落实，承包人按要求立即采取整改措施，直至达到合同要求。发现承包人的工作质量不合格后，发包人将停止支付工程款，经承包人整改完成并通过发包人验收确认后才支付该付进度款。</w:t>
      </w:r>
    </w:p>
    <w:p>
      <w:pPr>
        <w:snapToGrid w:val="0"/>
        <w:spacing w:line="360" w:lineRule="auto"/>
        <w:ind w:firstLine="422" w:firstLineChars="200"/>
        <w:rPr>
          <w:b/>
          <w:bCs/>
          <w:color w:val="auto"/>
          <w:highlight w:val="none"/>
        </w:rPr>
      </w:pPr>
      <w:r>
        <w:rPr>
          <w:rFonts w:hint="eastAsia"/>
          <w:b/>
          <w:bCs/>
          <w:color w:val="auto"/>
          <w:highlight w:val="none"/>
        </w:rPr>
        <w:t>5</w:t>
      </w:r>
      <w:r>
        <w:rPr>
          <w:b/>
          <w:bCs/>
          <w:color w:val="auto"/>
          <w:highlight w:val="none"/>
        </w:rPr>
        <w:t xml:space="preserve">.3.3 </w:t>
      </w:r>
      <w:r>
        <w:rPr>
          <w:rFonts w:hint="eastAsia"/>
          <w:b/>
          <w:bCs/>
          <w:color w:val="auto"/>
          <w:highlight w:val="none"/>
        </w:rPr>
        <w:t>工程运行操作、检查观测和养护工作质量季度考核达不到约定的合格的，承包人应向发包人支付违约金</w:t>
      </w:r>
      <w:r>
        <w:rPr>
          <w:b/>
          <w:bCs/>
          <w:color w:val="auto"/>
          <w:highlight w:val="none"/>
          <w:u w:val="single"/>
        </w:rPr>
        <w:t xml:space="preserve"> </w:t>
      </w:r>
      <w:r>
        <w:rPr>
          <w:rFonts w:hint="eastAsia"/>
          <w:b/>
          <w:bCs/>
          <w:color w:val="auto"/>
          <w:highlight w:val="none"/>
          <w:u w:val="single"/>
        </w:rPr>
        <w:t xml:space="preserve">2万 </w:t>
      </w:r>
      <w:r>
        <w:rPr>
          <w:rFonts w:hint="eastAsia"/>
          <w:b/>
          <w:bCs/>
          <w:color w:val="auto"/>
          <w:highlight w:val="none"/>
        </w:rPr>
        <w:t>元/次。工程维修质量验收不合格的，承包人必须无条件返工。违约金每季结算一次，从工程进度款中索扣（税后）。如工程进度款不足，则直接从承包人提供的履约保证金中扣除；</w:t>
      </w:r>
    </w:p>
    <w:p>
      <w:pPr>
        <w:pStyle w:val="5"/>
        <w:tabs>
          <w:tab w:val="left" w:pos="3600"/>
        </w:tabs>
        <w:spacing w:before="0"/>
        <w:rPr>
          <w:snapToGrid w:val="0"/>
          <w:szCs w:val="24"/>
        </w:rPr>
      </w:pPr>
      <w:bookmarkStart w:id="22" w:name="_Toc166549399"/>
      <w:r>
        <w:rPr>
          <w:rFonts w:hint="eastAsia"/>
          <w:snapToGrid w:val="0"/>
          <w:szCs w:val="24"/>
        </w:rPr>
        <w:t>6</w:t>
      </w:r>
      <w:r>
        <w:rPr>
          <w:snapToGrid w:val="0"/>
          <w:szCs w:val="24"/>
        </w:rPr>
        <w:t>.</w:t>
      </w:r>
      <w:r>
        <w:rPr>
          <w:rFonts w:hint="eastAsia"/>
          <w:snapToGrid w:val="0"/>
          <w:szCs w:val="24"/>
        </w:rPr>
        <w:t xml:space="preserve"> 合同价款与支付</w:t>
      </w:r>
      <w:bookmarkEnd w:id="22"/>
    </w:p>
    <w:p>
      <w:pPr>
        <w:pStyle w:val="6"/>
        <w:tabs>
          <w:tab w:val="left" w:pos="864"/>
        </w:tabs>
        <w:rPr>
          <w:szCs w:val="24"/>
        </w:rPr>
      </w:pPr>
      <w:r>
        <w:rPr>
          <w:rFonts w:hint="eastAsia"/>
          <w:szCs w:val="24"/>
        </w:rPr>
        <w:t>6</w:t>
      </w:r>
      <w:r>
        <w:rPr>
          <w:szCs w:val="24"/>
        </w:rPr>
        <w:t xml:space="preserve">.1 </w:t>
      </w:r>
      <w:r>
        <w:rPr>
          <w:rFonts w:hint="eastAsia"/>
          <w:szCs w:val="24"/>
        </w:rPr>
        <w:t>合同价格</w:t>
      </w:r>
    </w:p>
    <w:p>
      <w:pPr>
        <w:snapToGrid w:val="0"/>
        <w:spacing w:line="360" w:lineRule="auto"/>
        <w:ind w:firstLine="420" w:firstLineChars="200"/>
      </w:pPr>
      <w:r>
        <w:rPr>
          <w:rFonts w:hint="eastAsia"/>
        </w:rPr>
        <w:t>本工程采用总价承包，价格中包括了为完成合同工作所需人工费、机械使用费、材料费、其他（运杂费、质检费、保险费，以及合同明示或暗示的风险、责任和义务等），以及管理费、利润、税金等。</w:t>
      </w:r>
    </w:p>
    <w:p>
      <w:pPr>
        <w:pStyle w:val="6"/>
        <w:tabs>
          <w:tab w:val="left" w:pos="864"/>
        </w:tabs>
        <w:rPr>
          <w:szCs w:val="24"/>
        </w:rPr>
      </w:pPr>
      <w:r>
        <w:rPr>
          <w:rFonts w:hint="eastAsia"/>
          <w:szCs w:val="24"/>
        </w:rPr>
        <w:t>6</w:t>
      </w:r>
      <w:r>
        <w:rPr>
          <w:szCs w:val="24"/>
        </w:rPr>
        <w:t xml:space="preserve">.2 </w:t>
      </w:r>
      <w:r>
        <w:rPr>
          <w:rFonts w:hint="eastAsia"/>
          <w:szCs w:val="24"/>
        </w:rPr>
        <w:t>计量与支付</w:t>
      </w:r>
    </w:p>
    <w:p>
      <w:pPr>
        <w:snapToGrid w:val="0"/>
        <w:spacing w:line="360" w:lineRule="auto"/>
        <w:ind w:firstLine="422" w:firstLineChars="200"/>
        <w:rPr>
          <w:rFonts w:hint="default" w:eastAsia="宋体"/>
          <w:b/>
          <w:bCs/>
          <w:color w:val="auto"/>
          <w:highlight w:val="none"/>
          <w:lang w:val="en-US" w:eastAsia="zh-CN"/>
        </w:rPr>
      </w:pPr>
      <w:r>
        <w:rPr>
          <w:rFonts w:hint="eastAsia"/>
          <w:b/>
          <w:bCs/>
          <w:color w:val="auto"/>
          <w:highlight w:val="none"/>
        </w:rPr>
        <w:t>本工程运行操作、检查观测和工程维修养护均为总价承包项目，合同签订后七个工作日内，采购人向中标供应商支付合同金额10%的预付款（中标供应商需要提供银行、保险公司等金融机构出具的预付款保函），总价子目以季度为周期结算的方式进行支付。即每季度最后一个月</w:t>
      </w:r>
      <w:r>
        <w:rPr>
          <w:rFonts w:hint="eastAsia"/>
          <w:b/>
          <w:bCs/>
          <w:color w:val="auto"/>
          <w:highlight w:val="none"/>
          <w:u w:val="single"/>
        </w:rPr>
        <w:t xml:space="preserve"> 10 </w:t>
      </w:r>
      <w:r>
        <w:rPr>
          <w:rFonts w:hint="eastAsia"/>
          <w:b/>
          <w:bCs/>
          <w:color w:val="auto"/>
          <w:highlight w:val="none"/>
        </w:rPr>
        <w:t>日前，按</w:t>
      </w:r>
      <w:r>
        <w:rPr>
          <w:b/>
          <w:bCs/>
          <w:color w:val="auto"/>
          <w:highlight w:val="none"/>
        </w:rPr>
        <w:t xml:space="preserve">5.3 </w:t>
      </w:r>
      <w:r>
        <w:rPr>
          <w:rFonts w:hint="eastAsia"/>
          <w:b/>
          <w:bCs/>
          <w:color w:val="auto"/>
          <w:highlight w:val="none"/>
        </w:rPr>
        <w:t>款约定的考核周期和考核结果进行结算，扣除考核结果应扣款项，作本期合同进度款支付给承包人。</w:t>
      </w:r>
      <w:r>
        <w:rPr>
          <w:rFonts w:hint="eastAsia"/>
          <w:b/>
          <w:bCs/>
          <w:color w:val="auto"/>
          <w:highlight w:val="none"/>
          <w:lang w:val="en-US" w:eastAsia="zh-CN"/>
        </w:rPr>
        <w:t>并按比例扣回预付款</w:t>
      </w:r>
    </w:p>
    <w:p>
      <w:pPr>
        <w:snapToGrid w:val="0"/>
        <w:spacing w:line="360" w:lineRule="auto"/>
        <w:ind w:firstLine="422" w:firstLineChars="200"/>
        <w:rPr>
          <w:rFonts w:hint="eastAsia"/>
          <w:b/>
          <w:bCs/>
          <w:color w:val="auto"/>
          <w:highlight w:val="none"/>
        </w:rPr>
      </w:pPr>
      <w:r>
        <w:rPr>
          <w:rFonts w:hint="eastAsia"/>
          <w:b/>
          <w:bCs/>
          <w:color w:val="auto"/>
          <w:highlight w:val="none"/>
        </w:rPr>
        <w:t>本期应支付进度款</w:t>
      </w:r>
      <w:r>
        <w:rPr>
          <w:rFonts w:hint="eastAsia"/>
          <w:b/>
          <w:bCs/>
          <w:color w:val="auto"/>
          <w:highlight w:val="none"/>
          <w:lang w:val="en-US" w:eastAsia="zh-CN"/>
        </w:rPr>
        <w:t>=</w:t>
      </w:r>
      <w:r>
        <w:rPr>
          <w:rFonts w:hint="eastAsia"/>
          <w:b/>
          <w:bCs/>
          <w:color w:val="auto"/>
          <w:highlight w:val="none"/>
        </w:rPr>
        <w:t>（应支付总价子目合计÷考核总期数）－考核结果应扣款项</w:t>
      </w:r>
    </w:p>
    <w:p>
      <w:pPr>
        <w:pStyle w:val="6"/>
        <w:tabs>
          <w:tab w:val="left" w:pos="864"/>
        </w:tabs>
        <w:rPr>
          <w:szCs w:val="24"/>
        </w:rPr>
      </w:pPr>
      <w:r>
        <w:rPr>
          <w:rFonts w:hint="eastAsia"/>
          <w:szCs w:val="24"/>
        </w:rPr>
        <w:t>6</w:t>
      </w:r>
      <w:r>
        <w:rPr>
          <w:szCs w:val="24"/>
        </w:rPr>
        <w:t>.</w:t>
      </w:r>
      <w:r>
        <w:rPr>
          <w:rFonts w:hint="eastAsia"/>
          <w:szCs w:val="24"/>
        </w:rPr>
        <w:t>3</w:t>
      </w:r>
      <w:r>
        <w:rPr>
          <w:szCs w:val="24"/>
        </w:rPr>
        <w:t xml:space="preserve"> </w:t>
      </w:r>
      <w:r>
        <w:rPr>
          <w:rFonts w:hint="eastAsia"/>
          <w:szCs w:val="24"/>
        </w:rPr>
        <w:t>保证金</w:t>
      </w:r>
    </w:p>
    <w:p>
      <w:pPr>
        <w:snapToGrid w:val="0"/>
        <w:spacing w:line="360" w:lineRule="auto"/>
        <w:ind w:firstLine="420" w:firstLineChars="200"/>
      </w:pPr>
      <w:r>
        <w:rPr>
          <w:rFonts w:hint="eastAsia"/>
        </w:rPr>
        <w:t>履约保证金为年合同价的5</w:t>
      </w:r>
      <w:r>
        <w:t>%</w:t>
      </w:r>
      <w:r>
        <w:rPr>
          <w:rFonts w:hint="eastAsia"/>
        </w:rPr>
        <w:t>，应以现金</w:t>
      </w:r>
      <w:r>
        <w:rPr>
          <w:rFonts w:hint="eastAsia"/>
          <w:lang w:val="en-US" w:eastAsia="zh-CN"/>
        </w:rPr>
        <w:t>或保函的方式</w:t>
      </w:r>
      <w:r>
        <w:rPr>
          <w:rFonts w:hint="eastAsia"/>
        </w:rPr>
        <w:t>在合同签订</w:t>
      </w:r>
      <w:r>
        <w:rPr>
          <w:rFonts w:hint="eastAsia"/>
          <w:lang w:val="en-US" w:eastAsia="zh-CN"/>
        </w:rPr>
        <w:t>后7日内提交给采购人</w:t>
      </w:r>
      <w:r>
        <w:rPr>
          <w:rFonts w:hint="eastAsia"/>
        </w:rPr>
        <w:t>。合同工程物业管理工期结束并通过</w:t>
      </w:r>
      <w:r>
        <w:t xml:space="preserve">8.2 </w:t>
      </w:r>
      <w:r>
        <w:rPr>
          <w:rFonts w:hint="eastAsia"/>
        </w:rPr>
        <w:t>项验收合格后，确认承包人没有工作缺陷的质量责任时，发包人在办理完合同价款结算后无息返还全部保证金。发包人有权扣留未完工作所需金额相应的保证金余额，直至完成剩余工作为止。</w:t>
      </w:r>
    </w:p>
    <w:p>
      <w:pPr>
        <w:pStyle w:val="6"/>
        <w:tabs>
          <w:tab w:val="left" w:pos="864"/>
        </w:tabs>
        <w:rPr>
          <w:szCs w:val="24"/>
        </w:rPr>
      </w:pPr>
      <w:r>
        <w:rPr>
          <w:rFonts w:hint="eastAsia"/>
          <w:szCs w:val="24"/>
        </w:rPr>
        <w:t>6.4</w:t>
      </w:r>
      <w:r>
        <w:rPr>
          <w:szCs w:val="24"/>
        </w:rPr>
        <w:t xml:space="preserve"> </w:t>
      </w:r>
      <w:r>
        <w:rPr>
          <w:rFonts w:hint="eastAsia"/>
          <w:szCs w:val="24"/>
        </w:rPr>
        <w:t>合同价款结算</w:t>
      </w:r>
    </w:p>
    <w:p>
      <w:pPr>
        <w:snapToGrid w:val="0"/>
        <w:spacing w:line="360" w:lineRule="auto"/>
        <w:ind w:firstLine="420" w:firstLineChars="200"/>
      </w:pPr>
      <w:r>
        <w:rPr>
          <w:rFonts w:hint="eastAsia"/>
        </w:rPr>
        <w:t>合同工程物业管理工期结束并通过7</w:t>
      </w:r>
      <w:r>
        <w:t xml:space="preserve">.2 </w:t>
      </w:r>
      <w:r>
        <w:rPr>
          <w:rFonts w:hint="eastAsia"/>
        </w:rPr>
        <w:t>款的完工验收合格后</w:t>
      </w:r>
      <w:r>
        <w:t xml:space="preserve">14 </w:t>
      </w:r>
      <w:r>
        <w:rPr>
          <w:rFonts w:hint="eastAsia"/>
        </w:rPr>
        <w:t>天内，承包人应按有关规定向发包人提交完工结算报告。发包人收到报告应在</w:t>
      </w:r>
      <w:r>
        <w:t xml:space="preserve">14 </w:t>
      </w:r>
      <w:r>
        <w:rPr>
          <w:rFonts w:hint="eastAsia"/>
        </w:rPr>
        <w:t>天内办理结算。</w:t>
      </w:r>
    </w:p>
    <w:p>
      <w:pPr>
        <w:pStyle w:val="6"/>
        <w:tabs>
          <w:tab w:val="left" w:pos="864"/>
        </w:tabs>
        <w:rPr>
          <w:szCs w:val="24"/>
        </w:rPr>
      </w:pPr>
      <w:r>
        <w:rPr>
          <w:rFonts w:hint="eastAsia"/>
          <w:szCs w:val="24"/>
        </w:rPr>
        <w:t>6.5</w:t>
      </w:r>
      <w:r>
        <w:rPr>
          <w:szCs w:val="24"/>
        </w:rPr>
        <w:t xml:space="preserve"> </w:t>
      </w:r>
      <w:r>
        <w:rPr>
          <w:rFonts w:hint="eastAsia"/>
          <w:szCs w:val="24"/>
        </w:rPr>
        <w:t>合同价格调整</w:t>
      </w:r>
    </w:p>
    <w:p>
      <w:pPr>
        <w:snapToGrid w:val="0"/>
        <w:spacing w:line="360" w:lineRule="auto"/>
        <w:rPr>
          <w:rFonts w:hint="eastAsia"/>
        </w:rPr>
      </w:pPr>
      <w:r>
        <w:rPr>
          <w:rFonts w:hint="eastAsia"/>
        </w:rPr>
        <w:t>在合同执行期间（包括工期延长期间），一切费用均不予以调整。</w:t>
      </w:r>
    </w:p>
    <w:p>
      <w:pPr>
        <w:pStyle w:val="5"/>
        <w:tabs>
          <w:tab w:val="left" w:pos="3600"/>
        </w:tabs>
        <w:spacing w:before="0"/>
        <w:rPr>
          <w:snapToGrid w:val="0"/>
          <w:szCs w:val="24"/>
        </w:rPr>
      </w:pPr>
      <w:bookmarkStart w:id="23" w:name="_Toc166549401"/>
      <w:r>
        <w:rPr>
          <w:rFonts w:hint="eastAsia"/>
          <w:snapToGrid w:val="0"/>
          <w:szCs w:val="24"/>
        </w:rPr>
        <w:t>7</w:t>
      </w:r>
      <w:r>
        <w:rPr>
          <w:snapToGrid w:val="0"/>
          <w:szCs w:val="24"/>
        </w:rPr>
        <w:t>.</w:t>
      </w:r>
      <w:r>
        <w:rPr>
          <w:rFonts w:hint="eastAsia"/>
          <w:snapToGrid w:val="0"/>
          <w:szCs w:val="24"/>
        </w:rPr>
        <w:t xml:space="preserve"> 合同验收</w:t>
      </w:r>
      <w:bookmarkEnd w:id="23"/>
    </w:p>
    <w:p>
      <w:pPr>
        <w:snapToGrid w:val="0"/>
        <w:spacing w:line="360" w:lineRule="auto"/>
        <w:ind w:firstLine="420" w:firstLineChars="200"/>
      </w:pPr>
      <w:r>
        <w:rPr>
          <w:rFonts w:hint="eastAsia"/>
        </w:rPr>
        <w:t>在承包人合同期满并完成合同全部工作内容后发包人应组织进行合同验收。</w:t>
      </w:r>
    </w:p>
    <w:p>
      <w:pPr>
        <w:pStyle w:val="6"/>
        <w:tabs>
          <w:tab w:val="left" w:pos="864"/>
        </w:tabs>
        <w:rPr>
          <w:szCs w:val="24"/>
        </w:rPr>
      </w:pPr>
      <w:r>
        <w:rPr>
          <w:rFonts w:hint="eastAsia"/>
          <w:szCs w:val="24"/>
        </w:rPr>
        <w:t>7</w:t>
      </w:r>
      <w:r>
        <w:rPr>
          <w:szCs w:val="24"/>
        </w:rPr>
        <w:t xml:space="preserve">.1 </w:t>
      </w:r>
      <w:r>
        <w:rPr>
          <w:rFonts w:hint="eastAsia"/>
          <w:szCs w:val="24"/>
        </w:rPr>
        <w:t>合同验收申请</w:t>
      </w:r>
    </w:p>
    <w:p>
      <w:pPr>
        <w:snapToGrid w:val="0"/>
        <w:spacing w:line="360" w:lineRule="auto"/>
        <w:ind w:firstLine="420" w:firstLineChars="200"/>
      </w:pPr>
      <w:r>
        <w:rPr>
          <w:rFonts w:hint="eastAsia"/>
        </w:rPr>
        <w:t>当工程具备以下条件时，承包人即可向发包人报送合同验收申请报告。</w:t>
      </w:r>
    </w:p>
    <w:p>
      <w:pPr>
        <w:snapToGrid w:val="0"/>
        <w:spacing w:line="360" w:lineRule="auto"/>
        <w:ind w:firstLine="420" w:firstLineChars="200"/>
      </w:pPr>
      <w:r>
        <w:rPr>
          <w:rFonts w:hint="eastAsia"/>
        </w:rPr>
        <w:t>7</w:t>
      </w:r>
      <w:r>
        <w:t xml:space="preserve">.1.1 </w:t>
      </w:r>
      <w:r>
        <w:rPr>
          <w:rFonts w:hint="eastAsia"/>
        </w:rPr>
        <w:t>历次检查、考核发现的问题已经整改到位；</w:t>
      </w:r>
    </w:p>
    <w:p>
      <w:pPr>
        <w:snapToGrid w:val="0"/>
        <w:spacing w:line="360" w:lineRule="auto"/>
        <w:ind w:firstLine="420" w:firstLineChars="200"/>
      </w:pPr>
      <w:r>
        <w:rPr>
          <w:rFonts w:hint="eastAsia"/>
        </w:rPr>
        <w:t>7</w:t>
      </w:r>
      <w:r>
        <w:t xml:space="preserve">.1.2 </w:t>
      </w:r>
      <w:r>
        <w:rPr>
          <w:rFonts w:hint="eastAsia"/>
        </w:rPr>
        <w:t>承包人按合同物业化管理工作要求与技术标准自行组织验收考核且达到合格标准；</w:t>
      </w:r>
    </w:p>
    <w:p>
      <w:pPr>
        <w:snapToGrid w:val="0"/>
        <w:spacing w:line="360" w:lineRule="auto"/>
        <w:ind w:firstLine="420" w:firstLineChars="200"/>
      </w:pPr>
      <w:r>
        <w:rPr>
          <w:rFonts w:hint="eastAsia"/>
        </w:rPr>
        <w:t>7</w:t>
      </w:r>
      <w:r>
        <w:t xml:space="preserve">.1.3 </w:t>
      </w:r>
      <w:r>
        <w:rPr>
          <w:rFonts w:hint="eastAsia"/>
        </w:rPr>
        <w:t>已按合同物业化管理工作要求与技术标准规定的内容和份数备齐了符合要求的验收资料。</w:t>
      </w:r>
    </w:p>
    <w:p>
      <w:pPr>
        <w:pStyle w:val="6"/>
        <w:tabs>
          <w:tab w:val="left" w:pos="864"/>
        </w:tabs>
        <w:rPr>
          <w:szCs w:val="24"/>
        </w:rPr>
      </w:pPr>
      <w:r>
        <w:rPr>
          <w:rFonts w:hint="eastAsia"/>
          <w:szCs w:val="24"/>
        </w:rPr>
        <w:t>7</w:t>
      </w:r>
      <w:r>
        <w:rPr>
          <w:szCs w:val="24"/>
        </w:rPr>
        <w:t xml:space="preserve">.2 </w:t>
      </w:r>
      <w:r>
        <w:rPr>
          <w:rFonts w:hint="eastAsia"/>
          <w:szCs w:val="24"/>
        </w:rPr>
        <w:t>验收</w:t>
      </w:r>
    </w:p>
    <w:p>
      <w:pPr>
        <w:snapToGrid w:val="0"/>
        <w:spacing w:line="360" w:lineRule="auto"/>
        <w:ind w:firstLine="420" w:firstLineChars="200"/>
        <w:rPr>
          <w:rFonts w:hint="eastAsia"/>
        </w:rPr>
      </w:pPr>
      <w:r>
        <w:rPr>
          <w:rFonts w:hint="eastAsia"/>
        </w:rPr>
        <w:t>发包人在收到承包人提交的完工验收申请报告后10天内组织验收，验收合格由发包人签发验收报告。</w:t>
      </w:r>
    </w:p>
    <w:p>
      <w:pPr>
        <w:pStyle w:val="5"/>
        <w:tabs>
          <w:tab w:val="left" w:pos="3600"/>
        </w:tabs>
        <w:spacing w:before="0"/>
        <w:rPr>
          <w:snapToGrid w:val="0"/>
          <w:szCs w:val="24"/>
        </w:rPr>
      </w:pPr>
      <w:bookmarkStart w:id="24" w:name="_Toc166549402"/>
      <w:r>
        <w:rPr>
          <w:rFonts w:hint="eastAsia"/>
          <w:snapToGrid w:val="0"/>
          <w:szCs w:val="24"/>
        </w:rPr>
        <w:t>8</w:t>
      </w:r>
      <w:r>
        <w:rPr>
          <w:snapToGrid w:val="0"/>
          <w:szCs w:val="24"/>
        </w:rPr>
        <w:t>.</w:t>
      </w:r>
      <w:r>
        <w:rPr>
          <w:rFonts w:hint="eastAsia"/>
          <w:snapToGrid w:val="0"/>
          <w:szCs w:val="24"/>
        </w:rPr>
        <w:t xml:space="preserve"> 争议、违约和索赔</w:t>
      </w:r>
      <w:bookmarkEnd w:id="24"/>
    </w:p>
    <w:p>
      <w:pPr>
        <w:pStyle w:val="6"/>
        <w:tabs>
          <w:tab w:val="left" w:pos="864"/>
        </w:tabs>
        <w:rPr>
          <w:szCs w:val="24"/>
        </w:rPr>
      </w:pPr>
      <w:r>
        <w:rPr>
          <w:rFonts w:hint="eastAsia"/>
          <w:szCs w:val="24"/>
        </w:rPr>
        <w:t>8</w:t>
      </w:r>
      <w:r>
        <w:rPr>
          <w:szCs w:val="24"/>
        </w:rPr>
        <w:t xml:space="preserve">.1 </w:t>
      </w:r>
      <w:r>
        <w:rPr>
          <w:rFonts w:hint="eastAsia"/>
          <w:szCs w:val="24"/>
        </w:rPr>
        <w:t>争议的解决</w:t>
      </w:r>
    </w:p>
    <w:p>
      <w:pPr>
        <w:snapToGrid w:val="0"/>
        <w:spacing w:line="360" w:lineRule="auto"/>
        <w:ind w:firstLine="420" w:firstLineChars="200"/>
      </w:pPr>
      <w:r>
        <w:rPr>
          <w:rFonts w:hint="eastAsia"/>
        </w:rPr>
        <w:t>发包人和承包人在履行合同中发生争议的，合同当事人友好协商解决不成、不愿提请争议评审时，可采用仲裁委员会申请仲裁或向有管辖权的人民法院提起诉讼的方式解决。</w:t>
      </w:r>
    </w:p>
    <w:p>
      <w:pPr>
        <w:pStyle w:val="6"/>
        <w:tabs>
          <w:tab w:val="left" w:pos="864"/>
        </w:tabs>
        <w:rPr>
          <w:szCs w:val="24"/>
        </w:rPr>
      </w:pPr>
      <w:r>
        <w:rPr>
          <w:rFonts w:hint="eastAsia"/>
          <w:szCs w:val="24"/>
        </w:rPr>
        <w:t>8</w:t>
      </w:r>
      <w:r>
        <w:rPr>
          <w:szCs w:val="24"/>
        </w:rPr>
        <w:t xml:space="preserve">.2 </w:t>
      </w:r>
      <w:r>
        <w:rPr>
          <w:rFonts w:hint="eastAsia"/>
          <w:szCs w:val="24"/>
        </w:rPr>
        <w:t>违约</w:t>
      </w:r>
    </w:p>
    <w:p>
      <w:pPr>
        <w:snapToGrid w:val="0"/>
        <w:spacing w:line="360" w:lineRule="auto"/>
        <w:ind w:firstLine="420" w:firstLineChars="200"/>
      </w:pPr>
      <w:r>
        <w:rPr>
          <w:rFonts w:hint="eastAsia"/>
        </w:rPr>
        <w:t>8</w:t>
      </w:r>
      <w:r>
        <w:t xml:space="preserve">.2.1 </w:t>
      </w:r>
      <w:r>
        <w:rPr>
          <w:rFonts w:hint="eastAsia"/>
        </w:rPr>
        <w:t>发包人不能按合同约定履行自己的义务及发生其他使合同无法履行的行为，承包人应及时向发包人提出书面通知，要求发包人在期限内履行合同，否则有权暂停物业管理工作，直至解除合同。发包人应承担违约责任，并支付违约导致承包人增加的费用和赔偿给承包人因此所造成的损失。</w:t>
      </w:r>
    </w:p>
    <w:p>
      <w:pPr>
        <w:snapToGrid w:val="0"/>
        <w:spacing w:line="360" w:lineRule="auto"/>
        <w:ind w:firstLine="420" w:firstLineChars="200"/>
      </w:pPr>
      <w:r>
        <w:rPr>
          <w:rFonts w:hint="eastAsia"/>
        </w:rPr>
        <w:t>8</w:t>
      </w:r>
      <w:r>
        <w:t xml:space="preserve">.2.2 </w:t>
      </w:r>
      <w:r>
        <w:rPr>
          <w:rFonts w:hint="eastAsia"/>
        </w:rPr>
        <w:t>承包人不能按发包人批准的进度计划实施、物业管理质量标准达不到合同约定的要求，或发生不能履行合同约定的义务以及使合同无法履行的行为时，发包人可对承包人发出书面警告限期整改，暂停支付合同价款，直至解除合同。承包人应承担违约责任，并承担采取改正措施所增加的费用，按合同约定支付违约金，并赔偿给发包人因此所造成的损失。</w:t>
      </w:r>
    </w:p>
    <w:p>
      <w:pPr>
        <w:snapToGrid w:val="0"/>
        <w:spacing w:line="360" w:lineRule="auto"/>
        <w:ind w:firstLine="420" w:firstLineChars="200"/>
      </w:pPr>
      <w:r>
        <w:rPr>
          <w:rFonts w:hint="eastAsia"/>
        </w:rPr>
        <w:t>8</w:t>
      </w:r>
      <w:r>
        <w:t xml:space="preserve">.2.3 </w:t>
      </w:r>
      <w:r>
        <w:rPr>
          <w:rFonts w:hint="eastAsia"/>
        </w:rPr>
        <w:t>除非双方协议将合同终止，因一方违约使合同无法履行，违约方承担上述违约责任后仍应继续履行合同；另一方欲终止合同，应提前</w:t>
      </w:r>
      <w:r>
        <w:t xml:space="preserve">14 </w:t>
      </w:r>
      <w:r>
        <w:rPr>
          <w:rFonts w:hint="eastAsia"/>
        </w:rPr>
        <w:t>天通知违约方后，方可中止或解除合同，由违约方承担违约责任。</w:t>
      </w:r>
    </w:p>
    <w:p>
      <w:pPr>
        <w:pStyle w:val="6"/>
        <w:tabs>
          <w:tab w:val="left" w:pos="864"/>
        </w:tabs>
        <w:rPr>
          <w:szCs w:val="24"/>
        </w:rPr>
      </w:pPr>
      <w:r>
        <w:rPr>
          <w:rFonts w:hint="eastAsia"/>
          <w:szCs w:val="24"/>
        </w:rPr>
        <w:t>8</w:t>
      </w:r>
      <w:r>
        <w:rPr>
          <w:szCs w:val="24"/>
        </w:rPr>
        <w:t xml:space="preserve">.3 </w:t>
      </w:r>
      <w:r>
        <w:rPr>
          <w:rFonts w:hint="eastAsia"/>
          <w:szCs w:val="24"/>
        </w:rPr>
        <w:t>索赔</w:t>
      </w:r>
    </w:p>
    <w:p>
      <w:pPr>
        <w:snapToGrid w:val="0"/>
        <w:spacing w:line="360" w:lineRule="auto"/>
        <w:ind w:firstLine="420" w:firstLineChars="200"/>
      </w:pPr>
      <w:r>
        <w:rPr>
          <w:rFonts w:hint="eastAsia"/>
        </w:rPr>
        <w:t>8</w:t>
      </w:r>
      <w:r>
        <w:t xml:space="preserve">.3.1 </w:t>
      </w:r>
      <w:r>
        <w:rPr>
          <w:rFonts w:hint="eastAsia"/>
        </w:rPr>
        <w:t>索赔事件发生后</w:t>
      </w:r>
      <w:r>
        <w:t xml:space="preserve">14 </w:t>
      </w:r>
      <w:r>
        <w:rPr>
          <w:rFonts w:hint="eastAsia"/>
        </w:rPr>
        <w:t>天内，发包人或承包人向对方当事人递交索赔通知书，说明发生索赔事件的事由和索赔理由以及追加的付款金额，并附相关索赔费用的计算依据和证据等材料。</w:t>
      </w:r>
    </w:p>
    <w:p>
      <w:pPr>
        <w:snapToGrid w:val="0"/>
        <w:spacing w:line="360" w:lineRule="auto"/>
        <w:ind w:firstLine="420" w:firstLineChars="200"/>
        <w:rPr>
          <w:rFonts w:hint="eastAsia"/>
        </w:rPr>
      </w:pPr>
      <w:r>
        <w:rPr>
          <w:rFonts w:hint="eastAsia"/>
        </w:rPr>
        <w:t>8</w:t>
      </w:r>
      <w:r>
        <w:t xml:space="preserve">.3.2 </w:t>
      </w:r>
      <w:r>
        <w:rPr>
          <w:rFonts w:hint="eastAsia"/>
        </w:rPr>
        <w:t>发包人或承包人收到对方当事人的索赔通知后，应在</w:t>
      </w:r>
      <w:r>
        <w:t xml:space="preserve">14 </w:t>
      </w:r>
      <w:r>
        <w:rPr>
          <w:rFonts w:hint="eastAsia"/>
        </w:rPr>
        <w:t>天内答复索赔处理结果完成赔付。对方当事人不接受索赔处理结果的，按第8</w:t>
      </w:r>
      <w:r>
        <w:t>.1</w:t>
      </w:r>
      <w:r>
        <w:rPr>
          <w:rFonts w:hint="eastAsia"/>
        </w:rPr>
        <w:t>款的约定办理。</w:t>
      </w:r>
    </w:p>
    <w:p>
      <w:pPr>
        <w:pStyle w:val="5"/>
        <w:tabs>
          <w:tab w:val="left" w:pos="3600"/>
        </w:tabs>
        <w:spacing w:before="0"/>
        <w:rPr>
          <w:snapToGrid w:val="0"/>
          <w:szCs w:val="24"/>
        </w:rPr>
      </w:pPr>
      <w:bookmarkStart w:id="25" w:name="_Toc166549403"/>
      <w:r>
        <w:rPr>
          <w:rFonts w:hint="eastAsia"/>
          <w:snapToGrid w:val="0"/>
          <w:szCs w:val="24"/>
        </w:rPr>
        <w:t>9</w:t>
      </w:r>
      <w:r>
        <w:rPr>
          <w:snapToGrid w:val="0"/>
          <w:szCs w:val="24"/>
        </w:rPr>
        <w:t>.</w:t>
      </w:r>
      <w:r>
        <w:rPr>
          <w:rFonts w:hint="eastAsia"/>
          <w:snapToGrid w:val="0"/>
          <w:szCs w:val="24"/>
        </w:rPr>
        <w:t xml:space="preserve"> 其他</w:t>
      </w:r>
      <w:bookmarkEnd w:id="25"/>
    </w:p>
    <w:p>
      <w:pPr>
        <w:pStyle w:val="6"/>
        <w:tabs>
          <w:tab w:val="left" w:pos="864"/>
        </w:tabs>
        <w:rPr>
          <w:szCs w:val="24"/>
        </w:rPr>
      </w:pPr>
      <w:r>
        <w:rPr>
          <w:rFonts w:hint="eastAsia"/>
          <w:szCs w:val="24"/>
        </w:rPr>
        <w:t>9</w:t>
      </w:r>
      <w:r>
        <w:rPr>
          <w:szCs w:val="24"/>
        </w:rPr>
        <w:t xml:space="preserve">.1 </w:t>
      </w:r>
      <w:r>
        <w:rPr>
          <w:rFonts w:hint="eastAsia"/>
          <w:szCs w:val="24"/>
        </w:rPr>
        <w:t>安全生产</w:t>
      </w:r>
    </w:p>
    <w:p>
      <w:pPr>
        <w:snapToGrid w:val="0"/>
        <w:spacing w:line="360" w:lineRule="auto"/>
        <w:ind w:firstLine="420" w:firstLineChars="200"/>
      </w:pPr>
      <w:r>
        <w:rPr>
          <w:rFonts w:hint="eastAsia"/>
        </w:rPr>
        <w:t>9</w:t>
      </w:r>
      <w:r>
        <w:t xml:space="preserve">.1.1 </w:t>
      </w:r>
      <w:r>
        <w:rPr>
          <w:rFonts w:hint="eastAsia"/>
        </w:rPr>
        <w:t>承包人应严格按照国家安全标准制定安全操作规程，配备必要的安全生产和劳动保护设施，加强对承包人人员的安全教育，并发放安全工作手册和劳动保护用具，切实保护好雇佣人员的人身和财产安全。承包人按有关规定和合同约定，承担由于自身安全措施不力造成事故的责任和因此发生的费用。</w:t>
      </w:r>
    </w:p>
    <w:p>
      <w:pPr>
        <w:snapToGrid w:val="0"/>
        <w:spacing w:line="360" w:lineRule="auto"/>
        <w:ind w:firstLine="420" w:firstLineChars="200"/>
      </w:pPr>
      <w:r>
        <w:rPr>
          <w:rFonts w:hint="eastAsia"/>
        </w:rPr>
        <w:t>9</w:t>
      </w:r>
      <w:r>
        <w:t xml:space="preserve">.1.2 </w:t>
      </w:r>
      <w:r>
        <w:rPr>
          <w:rFonts w:hint="eastAsia"/>
        </w:rPr>
        <w:t>承包人应对其履行合同所雇佣的全部人员的工伤事故承担责任，但由于发包人原因造成承包人人员工伤事故的，应由发包人承担责任。由于承包人原因在施工场地内及其毗邻地带造成的第三者人员伤亡和财产损失，由承包人负责赔偿。</w:t>
      </w:r>
    </w:p>
    <w:p>
      <w:pPr>
        <w:snapToGrid w:val="0"/>
        <w:spacing w:line="360" w:lineRule="auto"/>
        <w:ind w:firstLine="420" w:firstLineChars="200"/>
      </w:pPr>
      <w:r>
        <w:rPr>
          <w:rFonts w:hint="eastAsia"/>
        </w:rPr>
        <w:t>9</w:t>
      </w:r>
      <w:r>
        <w:t xml:space="preserve">.1.3 </w:t>
      </w:r>
      <w:r>
        <w:rPr>
          <w:rFonts w:hint="eastAsia"/>
        </w:rPr>
        <w:t>发包人应按合同约定履行安全职责，监督、检查承包人安全工作的实施，组织承包人和有关单位进行安全检查。</w:t>
      </w:r>
    </w:p>
    <w:p>
      <w:pPr>
        <w:pStyle w:val="6"/>
        <w:tabs>
          <w:tab w:val="left" w:pos="864"/>
        </w:tabs>
        <w:rPr>
          <w:szCs w:val="24"/>
        </w:rPr>
      </w:pPr>
      <w:r>
        <w:rPr>
          <w:rFonts w:hint="eastAsia"/>
          <w:szCs w:val="24"/>
        </w:rPr>
        <w:t>9</w:t>
      </w:r>
      <w:r>
        <w:rPr>
          <w:szCs w:val="24"/>
        </w:rPr>
        <w:t xml:space="preserve">.2 </w:t>
      </w:r>
      <w:r>
        <w:rPr>
          <w:rFonts w:hint="eastAsia"/>
          <w:szCs w:val="24"/>
        </w:rPr>
        <w:t>不可抗力</w:t>
      </w:r>
    </w:p>
    <w:p>
      <w:pPr>
        <w:snapToGrid w:val="0"/>
        <w:spacing w:line="360" w:lineRule="auto"/>
        <w:ind w:firstLine="420" w:firstLineChars="200"/>
      </w:pPr>
      <w:r>
        <w:rPr>
          <w:rFonts w:hint="eastAsia"/>
        </w:rPr>
        <w:t>9</w:t>
      </w:r>
      <w:r>
        <w:t xml:space="preserve">.2.1 </w:t>
      </w:r>
      <w:r>
        <w:rPr>
          <w:rFonts w:hint="eastAsia"/>
        </w:rPr>
        <w:t>不可抗力的确定</w:t>
      </w:r>
    </w:p>
    <w:p>
      <w:pPr>
        <w:snapToGrid w:val="0"/>
        <w:spacing w:line="360" w:lineRule="auto"/>
        <w:ind w:firstLine="420" w:firstLineChars="200"/>
      </w:pPr>
      <w:r>
        <w:rPr>
          <w:rFonts w:hint="eastAsia"/>
        </w:rPr>
        <w:t>不可抗力是指承发包双方订立合同时不可预见，在合同实施过程中不可避免发生并不能克服的自然灾害，指超过设计标准的地震、台风、水灾等情形。</w:t>
      </w:r>
    </w:p>
    <w:p>
      <w:pPr>
        <w:snapToGrid w:val="0"/>
        <w:spacing w:line="360" w:lineRule="auto"/>
        <w:ind w:firstLine="420" w:firstLineChars="200"/>
      </w:pPr>
      <w:r>
        <w:rPr>
          <w:rFonts w:hint="eastAsia"/>
        </w:rPr>
        <w:t>不可抗力发生后，发包人和承包人应及时认真统计所造成的损失，收集不可抗力造成损失的证据。合同双方对是否属于不可抗力或其损失的意见不一致的，发生争议时，按8</w:t>
      </w:r>
      <w:r>
        <w:t xml:space="preserve">.1 </w:t>
      </w:r>
      <w:r>
        <w:rPr>
          <w:rFonts w:hint="eastAsia"/>
        </w:rPr>
        <w:t>款的约定办理。</w:t>
      </w:r>
    </w:p>
    <w:p>
      <w:pPr>
        <w:snapToGrid w:val="0"/>
        <w:spacing w:line="360" w:lineRule="auto"/>
        <w:ind w:firstLine="420" w:firstLineChars="200"/>
      </w:pPr>
      <w:r>
        <w:rPr>
          <w:rFonts w:hint="eastAsia"/>
        </w:rPr>
        <w:t>9</w:t>
      </w:r>
      <w:r>
        <w:t xml:space="preserve">.2.2 </w:t>
      </w:r>
      <w:r>
        <w:rPr>
          <w:rFonts w:hint="eastAsia"/>
        </w:rPr>
        <w:t>不可抗力通知</w:t>
      </w:r>
    </w:p>
    <w:p>
      <w:pPr>
        <w:snapToGrid w:val="0"/>
        <w:spacing w:line="360" w:lineRule="auto"/>
        <w:ind w:firstLine="420" w:firstLineChars="200"/>
        <w:rPr>
          <w:rFonts w:hint="eastAsia"/>
        </w:rPr>
      </w:pPr>
      <w:r>
        <w:rPr>
          <w:rFonts w:hint="eastAsia"/>
        </w:rPr>
        <w:t>合同一方当事人遇到不可抗力事件，使其履行合同义务受到阻碍时，应立即通知合同另一方当事人，书面说明不可抗力和受阻的详细情况，并提供必要的证明。</w:t>
      </w:r>
    </w:p>
    <w:p>
      <w:pPr>
        <w:snapToGrid w:val="0"/>
        <w:spacing w:line="360" w:lineRule="auto"/>
        <w:ind w:firstLine="420" w:firstLineChars="200"/>
      </w:pPr>
      <w:r>
        <w:rPr>
          <w:rFonts w:hint="eastAsia"/>
        </w:rPr>
        <w:t>9</w:t>
      </w:r>
      <w:r>
        <w:t xml:space="preserve">.2.3 </w:t>
      </w:r>
      <w:r>
        <w:rPr>
          <w:rFonts w:hint="eastAsia"/>
        </w:rPr>
        <w:t>不可抗力后果及其处理</w:t>
      </w:r>
    </w:p>
    <w:p>
      <w:pPr>
        <w:snapToGrid w:val="0"/>
        <w:spacing w:line="360" w:lineRule="auto"/>
        <w:ind w:firstLine="420" w:firstLineChars="200"/>
      </w:pPr>
      <w:r>
        <w:rPr>
          <w:rFonts w:hint="eastAsia"/>
        </w:rPr>
        <w:t>不可抗力导致的人员伤亡、财产损失、费用增加等后果，由合同双方按以下原则承担：</w:t>
      </w:r>
    </w:p>
    <w:p>
      <w:pPr>
        <w:snapToGrid w:val="0"/>
        <w:spacing w:line="360" w:lineRule="auto"/>
        <w:ind w:firstLine="420" w:firstLineChars="200"/>
      </w:pPr>
      <w:r>
        <w:rPr>
          <w:rFonts w:hint="eastAsia"/>
        </w:rPr>
        <w:t>⑴</w:t>
      </w:r>
      <w:r>
        <w:t xml:space="preserve"> </w:t>
      </w:r>
      <w:r>
        <w:rPr>
          <w:rFonts w:hint="eastAsia"/>
        </w:rPr>
        <w:t>工程本身的损害，以及因工程损害造成第三者人员伤亡和财产损失由发包人承担。</w:t>
      </w:r>
    </w:p>
    <w:p>
      <w:pPr>
        <w:snapToGrid w:val="0"/>
        <w:spacing w:line="360" w:lineRule="auto"/>
        <w:ind w:firstLine="420" w:firstLineChars="200"/>
      </w:pPr>
      <w:r>
        <w:rPr>
          <w:rFonts w:hint="eastAsia"/>
        </w:rPr>
        <w:t>⑵</w:t>
      </w:r>
      <w:r>
        <w:t xml:space="preserve"> </w:t>
      </w:r>
      <w:r>
        <w:rPr>
          <w:rFonts w:hint="eastAsia"/>
        </w:rPr>
        <w:t>发包人和承包人各自承担其人员伤亡和其他财产损失及相关费用。</w:t>
      </w:r>
    </w:p>
    <w:p>
      <w:pPr>
        <w:pStyle w:val="6"/>
        <w:tabs>
          <w:tab w:val="left" w:pos="864"/>
        </w:tabs>
        <w:rPr>
          <w:szCs w:val="24"/>
        </w:rPr>
      </w:pPr>
      <w:r>
        <w:rPr>
          <w:rFonts w:hint="eastAsia"/>
          <w:szCs w:val="24"/>
        </w:rPr>
        <w:t>9</w:t>
      </w:r>
      <w:r>
        <w:rPr>
          <w:szCs w:val="24"/>
        </w:rPr>
        <w:t xml:space="preserve">.3 </w:t>
      </w:r>
      <w:r>
        <w:rPr>
          <w:rFonts w:hint="eastAsia"/>
          <w:szCs w:val="24"/>
        </w:rPr>
        <w:t>合同的生效与终止</w:t>
      </w:r>
    </w:p>
    <w:p>
      <w:pPr>
        <w:snapToGrid w:val="0"/>
        <w:spacing w:line="360" w:lineRule="auto"/>
        <w:ind w:firstLine="420" w:firstLineChars="200"/>
      </w:pPr>
      <w:r>
        <w:rPr>
          <w:rFonts w:hint="eastAsia"/>
        </w:rPr>
        <w:t>9.3.1本合同自发包人和承包人的法定代表人或其授权代理人在合同书上签字并盖公章后生效。承包期满，物业管理工作终止。未完承包工作内容按合同约定的方式处理后，并且除此之外合同双方均未遗留按合同规定应履行的其他义务时，合同自然终止。</w:t>
      </w:r>
    </w:p>
    <w:p>
      <w:pPr>
        <w:snapToGrid w:val="0"/>
        <w:spacing w:line="360" w:lineRule="auto"/>
        <w:ind w:firstLine="420" w:firstLineChars="200"/>
        <w:jc w:val="center"/>
        <w:rPr>
          <w:rFonts w:hint="eastAsia" w:eastAsia="黑体"/>
          <w:bCs/>
          <w:kern w:val="0"/>
          <w:sz w:val="30"/>
        </w:rPr>
      </w:pPr>
      <w:r>
        <w:br w:type="page"/>
      </w:r>
      <w:r>
        <w:rPr>
          <w:rFonts w:hint="eastAsia" w:eastAsia="黑体"/>
          <w:bCs/>
          <w:kern w:val="0"/>
          <w:sz w:val="30"/>
        </w:rPr>
        <w:t>物业化管理工作要求与技术标准</w:t>
      </w:r>
    </w:p>
    <w:p>
      <w:pPr>
        <w:pStyle w:val="6"/>
        <w:tabs>
          <w:tab w:val="left" w:pos="864"/>
        </w:tabs>
        <w:rPr>
          <w:rFonts w:hint="eastAsia"/>
          <w:szCs w:val="24"/>
        </w:rPr>
      </w:pPr>
      <w:r>
        <w:rPr>
          <w:rFonts w:hint="eastAsia"/>
          <w:szCs w:val="24"/>
        </w:rPr>
        <w:t>1</w:t>
      </w:r>
      <w:r>
        <w:rPr>
          <w:szCs w:val="24"/>
        </w:rPr>
        <w:t xml:space="preserve"> </w:t>
      </w:r>
      <w:r>
        <w:rPr>
          <w:rFonts w:hint="eastAsia"/>
          <w:szCs w:val="24"/>
        </w:rPr>
        <w:t>物业管理工作要求</w:t>
      </w:r>
    </w:p>
    <w:p>
      <w:pPr>
        <w:pStyle w:val="12"/>
        <w:ind w:firstLine="480"/>
        <w:rPr>
          <w:rFonts w:hint="eastAsia"/>
        </w:rPr>
      </w:pPr>
      <w:r>
        <w:rPr>
          <w:rFonts w:hint="eastAsia"/>
        </w:rPr>
        <w:t>1.1工作内容</w:t>
      </w:r>
    </w:p>
    <w:p>
      <w:pPr>
        <w:snapToGrid w:val="0"/>
        <w:spacing w:line="360" w:lineRule="auto"/>
        <w:ind w:firstLine="480"/>
      </w:pPr>
      <w:r>
        <w:rPr>
          <w:rFonts w:hint="eastAsia"/>
        </w:rPr>
        <w:t>（</w:t>
      </w:r>
      <w:r>
        <w:t>1</w:t>
      </w:r>
      <w:r>
        <w:rPr>
          <w:rFonts w:hint="eastAsia"/>
        </w:rPr>
        <w:t>）工程日常运行管理的内容</w:t>
      </w:r>
    </w:p>
    <w:p>
      <w:pPr>
        <w:snapToGrid w:val="0"/>
        <w:spacing w:line="360" w:lineRule="auto"/>
        <w:ind w:firstLine="480"/>
      </w:pPr>
      <w:r>
        <w:rPr>
          <w:rFonts w:hint="eastAsia"/>
        </w:rPr>
        <w:t>主要有工程的检查（巡查）、观测、记录与报告、工程保护、卫生保洁、水闸启闭及控制运用、汛期值班、参与工程抢险及物资保管等工作。</w:t>
      </w:r>
    </w:p>
    <w:p>
      <w:pPr>
        <w:snapToGrid w:val="0"/>
        <w:spacing w:line="360" w:lineRule="auto"/>
        <w:ind w:firstLine="420" w:firstLineChars="200"/>
      </w:pPr>
      <w:r>
        <w:rPr>
          <w:rFonts w:hint="eastAsia"/>
        </w:rPr>
        <w:t>（</w:t>
      </w:r>
      <w:r>
        <w:t>2</w:t>
      </w:r>
      <w:r>
        <w:rPr>
          <w:rFonts w:hint="eastAsia"/>
        </w:rPr>
        <w:t>）工程日常维修养护的内容</w:t>
      </w:r>
    </w:p>
    <w:p>
      <w:pPr>
        <w:snapToGrid w:val="0"/>
        <w:spacing w:line="360" w:lineRule="auto"/>
        <w:ind w:firstLine="480"/>
      </w:pPr>
      <w:r>
        <w:rPr>
          <w:rFonts w:hint="eastAsia"/>
        </w:rPr>
        <w:t>堤防、水库、水闸工程的主要内容包括土方养护、堤顶路面维修养护、堤坡维修养护、防浪墙维修养护、管理房维修养护、附属设施维修养护等。</w:t>
      </w:r>
    </w:p>
    <w:p>
      <w:pPr>
        <w:snapToGrid w:val="0"/>
        <w:spacing w:line="360" w:lineRule="auto"/>
        <w:ind w:firstLine="480"/>
      </w:pPr>
      <w:r>
        <w:rPr>
          <w:rFonts w:hint="eastAsia"/>
        </w:rPr>
        <w:t>水闸工程的主要内容包括水工建筑物维修养护、闸门维修养护、机电设备维修养护、自动控制设施维修养护、自备发电机组维修养护、闸室清淤、附属设施维修养护及物料动力消耗等。</w:t>
      </w:r>
    </w:p>
    <w:p>
      <w:pPr>
        <w:pStyle w:val="12"/>
        <w:spacing w:line="360" w:lineRule="auto"/>
        <w:ind w:firstLine="480"/>
      </w:pPr>
      <w:r>
        <w:rPr>
          <w:rFonts w:hint="eastAsia"/>
        </w:rPr>
        <w:t>负责工程管理范围内的绿化养护、保洁、观测、巡查、保卫、附属设施（运行观测设施、标志牌、宣传牌、警示牌、界桩、护栏等）的维修养护。</w:t>
      </w:r>
    </w:p>
    <w:p>
      <w:pPr>
        <w:pStyle w:val="12"/>
        <w:ind w:firstLine="480"/>
      </w:pPr>
      <w:r>
        <w:rPr>
          <w:rFonts w:hint="eastAsia"/>
        </w:rPr>
        <w:t>1.2工作要求</w:t>
      </w:r>
    </w:p>
    <w:p>
      <w:pPr>
        <w:pStyle w:val="12"/>
        <w:spacing w:line="360" w:lineRule="auto"/>
        <w:ind w:firstLine="480"/>
      </w:pPr>
      <w:r>
        <w:rPr>
          <w:rFonts w:hint="eastAsia"/>
        </w:rPr>
        <w:t>1.2.1 承包人应根据合同约定的要求，按年度或分阶段制定工程物业管理计划，报发包人批准后执行。</w:t>
      </w:r>
    </w:p>
    <w:p>
      <w:pPr>
        <w:pStyle w:val="12"/>
        <w:spacing w:line="360" w:lineRule="auto"/>
        <w:ind w:firstLine="480"/>
      </w:pPr>
      <w:r>
        <w:t>1.</w:t>
      </w:r>
      <w:r>
        <w:rPr>
          <w:rFonts w:hint="eastAsia"/>
        </w:rPr>
        <w:t>2.2管理机构及人员</w:t>
      </w:r>
    </w:p>
    <w:p>
      <w:pPr>
        <w:pStyle w:val="12"/>
        <w:spacing w:line="360" w:lineRule="auto"/>
        <w:ind w:firstLine="480"/>
      </w:pPr>
      <w:r>
        <w:rPr>
          <w:rFonts w:hint="eastAsia"/>
        </w:rPr>
        <w:t>（1） 承包人应根据要求组建相应的物业管理项目部，配备相应的人员和设备。</w:t>
      </w:r>
    </w:p>
    <w:p>
      <w:pPr>
        <w:pStyle w:val="12"/>
        <w:spacing w:line="360" w:lineRule="auto"/>
        <w:ind w:firstLine="480"/>
      </w:pPr>
      <w:r>
        <w:rPr>
          <w:rFonts w:hint="eastAsia"/>
        </w:rPr>
        <w:t>（2） 物业管理项目部要建立值班制度，向有关单位、社会公众公布联系电话，保证24小时值班人员的电话畅通，且特殊情况保证</w:t>
      </w:r>
      <w:r>
        <w:t>24</w:t>
      </w:r>
      <w:r>
        <w:rPr>
          <w:rFonts w:hint="eastAsia"/>
        </w:rPr>
        <w:t>小时有人值守。</w:t>
      </w:r>
    </w:p>
    <w:p>
      <w:pPr>
        <w:pStyle w:val="12"/>
        <w:spacing w:line="360" w:lineRule="auto"/>
        <w:ind w:firstLine="480"/>
      </w:pPr>
      <w:r>
        <w:rPr>
          <w:rFonts w:hint="eastAsia"/>
        </w:rPr>
        <w:t>（3） 物业管理项目部的主要人员应持有相应的岗位合格证书，应加强知识更新和培训，并保持人员的相对固定。</w:t>
      </w:r>
    </w:p>
    <w:p>
      <w:pPr>
        <w:pStyle w:val="12"/>
        <w:spacing w:line="360" w:lineRule="auto"/>
        <w:ind w:firstLine="480"/>
        <w:rPr>
          <w:rFonts w:hint="eastAsia"/>
        </w:rPr>
      </w:pPr>
      <w:r>
        <w:rPr>
          <w:rFonts w:hint="eastAsia"/>
        </w:rPr>
        <w:t>（4） 运行管理岗位人员的任职条件应按《浙江省水利工程管理单位定岗标准（试行）》规定，持有相应专业技术职称任职资格，并经相应岗位培训合格；岗位及定员应根据以下的规定和工程实际进行设置，报发包人审批后执行。</w:t>
      </w:r>
    </w:p>
    <w:p>
      <w:pPr>
        <w:pStyle w:val="12"/>
        <w:spacing w:line="360" w:lineRule="auto"/>
        <w:ind w:firstLine="480"/>
      </w:pPr>
      <w:r>
        <w:t>1.3</w:t>
      </w:r>
      <w:r>
        <w:rPr>
          <w:rFonts w:hint="eastAsia"/>
        </w:rPr>
        <w:t xml:space="preserve"> 运行操作</w:t>
      </w:r>
    </w:p>
    <w:p>
      <w:pPr>
        <w:pStyle w:val="12"/>
        <w:spacing w:line="360" w:lineRule="auto"/>
        <w:ind w:firstLine="480"/>
      </w:pPr>
      <w:r>
        <w:rPr>
          <w:rFonts w:hint="eastAsia"/>
        </w:rPr>
        <w:t>1</w:t>
      </w:r>
      <w:r>
        <w:t>.</w:t>
      </w:r>
      <w:r>
        <w:rPr>
          <w:rFonts w:hint="eastAsia"/>
        </w:rPr>
        <w:t>3</w:t>
      </w:r>
      <w:r>
        <w:t>.1</w:t>
      </w:r>
      <w:r>
        <w:rPr>
          <w:rFonts w:hint="eastAsia"/>
        </w:rPr>
        <w:t xml:space="preserve"> 承包人应根据本要求和技术标准，结合工程实际，制定工程运行操作管理规章制度和操作规程，报发包人审批，并贯彻执行。</w:t>
      </w:r>
    </w:p>
    <w:p>
      <w:pPr>
        <w:pStyle w:val="12"/>
        <w:spacing w:line="360" w:lineRule="auto"/>
        <w:ind w:firstLine="480"/>
      </w:pPr>
      <w:r>
        <w:rPr>
          <w:rFonts w:hint="eastAsia"/>
        </w:rPr>
        <w:t>1</w:t>
      </w:r>
      <w:r>
        <w:t>.</w:t>
      </w:r>
      <w:r>
        <w:rPr>
          <w:rFonts w:hint="eastAsia"/>
        </w:rPr>
        <w:t>3</w:t>
      </w:r>
      <w:r>
        <w:t>.2</w:t>
      </w:r>
      <w:r>
        <w:rPr>
          <w:rFonts w:hint="eastAsia"/>
        </w:rPr>
        <w:t xml:space="preserve"> 运行管理应按照批准的运行操作计划和合同约定的有调度权的主管部门指令进行，不得接受其它任何单位和个人指令。</w:t>
      </w:r>
    </w:p>
    <w:p>
      <w:pPr>
        <w:pStyle w:val="12"/>
        <w:spacing w:line="360" w:lineRule="auto"/>
        <w:ind w:firstLine="480"/>
      </w:pPr>
      <w:r>
        <w:rPr>
          <w:rFonts w:hint="eastAsia"/>
        </w:rPr>
        <w:t>1</w:t>
      </w:r>
      <w:r>
        <w:t>.</w:t>
      </w:r>
      <w:r>
        <w:rPr>
          <w:rFonts w:hint="eastAsia"/>
        </w:rPr>
        <w:t>3</w:t>
      </w:r>
      <w:r>
        <w:t>.3</w:t>
      </w:r>
      <w:r>
        <w:rPr>
          <w:rFonts w:hint="eastAsia"/>
        </w:rPr>
        <w:t xml:space="preserve"> 在水闸、涵闸等开启放（泄）水等运行期间和汛期，运行管理相应岗位的工作人员不得擅离岗位；操作人员完成当班操作任务后，应认真填写运行记录。运行记录应包括：设施（设备）运行情况，故障处理，运行相关技术指标。当班人员应逐人签字，以示负责。</w:t>
      </w:r>
    </w:p>
    <w:p>
      <w:pPr>
        <w:pStyle w:val="12"/>
        <w:spacing w:line="360" w:lineRule="auto"/>
        <w:ind w:firstLine="480"/>
      </w:pPr>
      <w:r>
        <w:rPr>
          <w:rFonts w:hint="eastAsia"/>
        </w:rPr>
        <w:t>1</w:t>
      </w:r>
      <w:r>
        <w:t>.</w:t>
      </w:r>
      <w:r>
        <w:rPr>
          <w:rFonts w:hint="eastAsia"/>
        </w:rPr>
        <w:t>3.</w:t>
      </w:r>
      <w:r>
        <w:t>4</w:t>
      </w:r>
      <w:r>
        <w:rPr>
          <w:rFonts w:hint="eastAsia"/>
        </w:rPr>
        <w:t xml:space="preserve"> 承包人应按合同约定的要求，制订工程运行管理应急抢险预案，报发包人批准后执行。</w:t>
      </w:r>
    </w:p>
    <w:p>
      <w:pPr>
        <w:pStyle w:val="12"/>
        <w:spacing w:line="360" w:lineRule="auto"/>
        <w:ind w:firstLine="480"/>
      </w:pPr>
      <w:r>
        <w:t xml:space="preserve">1.4 </w:t>
      </w:r>
      <w:r>
        <w:rPr>
          <w:rFonts w:hint="eastAsia"/>
        </w:rPr>
        <w:t>检查、观（监）测</w:t>
      </w:r>
    </w:p>
    <w:p>
      <w:pPr>
        <w:pStyle w:val="12"/>
        <w:spacing w:line="360" w:lineRule="auto"/>
        <w:ind w:firstLine="480"/>
      </w:pPr>
      <w:r>
        <w:t xml:space="preserve">1.4.1 </w:t>
      </w:r>
      <w:r>
        <w:rPr>
          <w:rFonts w:hint="eastAsia"/>
        </w:rPr>
        <w:t>检查</w:t>
      </w:r>
    </w:p>
    <w:p>
      <w:pPr>
        <w:pStyle w:val="12"/>
        <w:spacing w:line="360" w:lineRule="auto"/>
        <w:ind w:firstLine="480"/>
      </w:pPr>
      <w:r>
        <w:t xml:space="preserve">（1） </w:t>
      </w:r>
      <w:r>
        <w:rPr>
          <w:rFonts w:hint="eastAsia"/>
        </w:rPr>
        <w:t>检查分为日常检（巡）查、定期检查、特别检查。根据物业管理需要和工程类型或工况不同情况也可提出专项检查。</w:t>
      </w:r>
    </w:p>
    <w:p>
      <w:pPr>
        <w:pStyle w:val="12"/>
        <w:spacing w:line="360" w:lineRule="auto"/>
        <w:ind w:firstLine="480"/>
      </w:pPr>
      <w:r>
        <w:t>1</w:t>
      </w:r>
      <w:r>
        <w:rPr>
          <w:rFonts w:hint="eastAsia"/>
        </w:rPr>
        <w:t>）承包人应根据本工作要求与技术标准，确定检查频次、项目和内容；日常检（巡）查必须每天一次。</w:t>
      </w:r>
    </w:p>
    <w:p>
      <w:pPr>
        <w:pStyle w:val="12"/>
        <w:spacing w:line="360" w:lineRule="auto"/>
        <w:ind w:firstLine="480"/>
      </w:pPr>
      <w:r>
        <w:t>2</w:t>
      </w:r>
      <w:r>
        <w:rPr>
          <w:rFonts w:hint="eastAsia"/>
        </w:rPr>
        <w:t>）检查应由经验丰富、熟悉物业工程情况的专业人员执行，检查人员应相对固定。特殊专业经发包人批准可委托有资质的专业单位进行检查。</w:t>
      </w:r>
    </w:p>
    <w:p>
      <w:pPr>
        <w:pStyle w:val="12"/>
        <w:spacing w:line="360" w:lineRule="auto"/>
        <w:ind w:firstLine="480"/>
      </w:pPr>
      <w:r>
        <w:t>3</w:t>
      </w:r>
      <w:r>
        <w:rPr>
          <w:rFonts w:hint="eastAsia"/>
        </w:rPr>
        <w:t>）检查应逐项进行，并做好记录，对异常情况发生和损坏部位应有详细记录和说明，必要时进行图像记录。</w:t>
      </w:r>
    </w:p>
    <w:p>
      <w:pPr>
        <w:pStyle w:val="12"/>
        <w:spacing w:line="360" w:lineRule="auto"/>
        <w:ind w:firstLine="480"/>
        <w:rPr>
          <w:rFonts w:hint="eastAsia"/>
        </w:rPr>
      </w:pPr>
      <w:r>
        <w:t>4</w:t>
      </w:r>
      <w:r>
        <w:rPr>
          <w:rFonts w:hint="eastAsia"/>
        </w:rPr>
        <w:t>）检查结果和处理措施，均应做好书面记录，经审核后，归档保存。检查记录表格式参见附录</w:t>
      </w:r>
      <w:r>
        <w:t>A</w:t>
      </w:r>
      <w:r>
        <w:rPr>
          <w:rFonts w:hint="eastAsia"/>
        </w:rPr>
        <w:t>表（一）至表（四）。</w:t>
      </w:r>
    </w:p>
    <w:p>
      <w:pPr>
        <w:pStyle w:val="12"/>
        <w:spacing w:line="360" w:lineRule="auto"/>
        <w:ind w:firstLine="480"/>
      </w:pPr>
      <w:r>
        <w:t xml:space="preserve">1.4.2 </w:t>
      </w:r>
      <w:r>
        <w:rPr>
          <w:rFonts w:hint="eastAsia"/>
        </w:rPr>
        <w:t>观（监）测</w:t>
      </w:r>
    </w:p>
    <w:p>
      <w:pPr>
        <w:pStyle w:val="12"/>
        <w:spacing w:line="360" w:lineRule="auto"/>
        <w:ind w:firstLine="480"/>
      </w:pPr>
      <w:r>
        <w:t xml:space="preserve">（1） </w:t>
      </w:r>
      <w:r>
        <w:rPr>
          <w:rFonts w:hint="eastAsia"/>
        </w:rPr>
        <w:t>观测主要包括工程的垂直、水平位移、水位（潮位）以及每年的基准点校测等观测。必要时可按合同约定增加观测项目，以及科研需要的其他观测项目。</w:t>
      </w:r>
    </w:p>
    <w:p>
      <w:pPr>
        <w:pStyle w:val="12"/>
        <w:spacing w:line="360" w:lineRule="auto"/>
        <w:ind w:firstLine="480"/>
      </w:pPr>
      <w:r>
        <w:t>1</w:t>
      </w:r>
      <w:r>
        <w:rPr>
          <w:rFonts w:hint="eastAsia"/>
        </w:rPr>
        <w:t>）观测应根据本工作要求与技术标准并经发包人批准的观测方案定期进行。</w:t>
      </w:r>
    </w:p>
    <w:p>
      <w:pPr>
        <w:pStyle w:val="12"/>
        <w:spacing w:line="360" w:lineRule="auto"/>
        <w:ind w:firstLine="480"/>
      </w:pPr>
      <w:r>
        <w:t>2</w:t>
      </w:r>
      <w:r>
        <w:rPr>
          <w:rFonts w:hint="eastAsia"/>
        </w:rPr>
        <w:t>）观测资料应保持完整性和延续性，并及时整理归档。观测记录表格式参见规程附件。</w:t>
      </w:r>
    </w:p>
    <w:p>
      <w:pPr>
        <w:pStyle w:val="12"/>
        <w:spacing w:line="360" w:lineRule="auto"/>
        <w:ind w:firstLine="480"/>
      </w:pPr>
      <w:r>
        <w:t xml:space="preserve">1.4.3 </w:t>
      </w:r>
      <w:r>
        <w:rPr>
          <w:rFonts w:hint="eastAsia"/>
        </w:rPr>
        <w:t>检查、观（监）测报告</w:t>
      </w:r>
    </w:p>
    <w:p>
      <w:pPr>
        <w:pStyle w:val="12"/>
        <w:spacing w:line="360" w:lineRule="auto"/>
        <w:ind w:firstLine="480"/>
      </w:pPr>
      <w:r>
        <w:t xml:space="preserve">（1） </w:t>
      </w:r>
      <w:r>
        <w:rPr>
          <w:rFonts w:hint="eastAsia"/>
        </w:rPr>
        <w:t>检查、观测结果以报告的形式按以下规定向发包人报告。</w:t>
      </w:r>
    </w:p>
    <w:p>
      <w:pPr>
        <w:pStyle w:val="12"/>
        <w:spacing w:line="360" w:lineRule="auto"/>
        <w:ind w:firstLine="480"/>
      </w:pPr>
      <w:r>
        <w:t>1</w:t>
      </w:r>
      <w:r>
        <w:rPr>
          <w:rFonts w:hint="eastAsia"/>
        </w:rPr>
        <w:t>）日常检（巡）查：非汛期每月报告</w:t>
      </w:r>
      <w:r>
        <w:t>1</w:t>
      </w:r>
      <w:r>
        <w:rPr>
          <w:rFonts w:hint="eastAsia"/>
        </w:rPr>
        <w:t>次，台汛期每半月报告</w:t>
      </w:r>
      <w:r>
        <w:t>1</w:t>
      </w:r>
      <w:r>
        <w:rPr>
          <w:rFonts w:hint="eastAsia"/>
        </w:rPr>
        <w:t>次。</w:t>
      </w:r>
    </w:p>
    <w:p>
      <w:pPr>
        <w:pStyle w:val="12"/>
        <w:spacing w:line="360" w:lineRule="auto"/>
        <w:ind w:firstLine="480"/>
      </w:pPr>
      <w:r>
        <w:t>2</w:t>
      </w:r>
      <w:r>
        <w:rPr>
          <w:rFonts w:hint="eastAsia"/>
        </w:rPr>
        <w:t>）定期检查：定期检查结束后，编制定期检查报告，</w:t>
      </w:r>
      <w:r>
        <w:t>2</w:t>
      </w:r>
      <w:r>
        <w:rPr>
          <w:rFonts w:hint="eastAsia"/>
        </w:rPr>
        <w:t>天内报发包人；每年的年末和合同期满要提交年度和合同期满检查报告。</w:t>
      </w:r>
    </w:p>
    <w:p>
      <w:pPr>
        <w:pStyle w:val="12"/>
        <w:spacing w:line="360" w:lineRule="auto"/>
        <w:ind w:firstLine="480"/>
      </w:pPr>
      <w:r>
        <w:t>3</w:t>
      </w:r>
      <w:r>
        <w:rPr>
          <w:rFonts w:hint="eastAsia"/>
        </w:rPr>
        <w:t>）特别检查：遇台风暴潮等灾害性天气或突发性事件，应随时报告检查情况，</w:t>
      </w:r>
      <w:r>
        <w:t>1</w:t>
      </w:r>
      <w:r>
        <w:rPr>
          <w:rFonts w:hint="eastAsia"/>
        </w:rPr>
        <w:t>天内形成书面报告并报送。</w:t>
      </w:r>
    </w:p>
    <w:p>
      <w:pPr>
        <w:pStyle w:val="12"/>
        <w:spacing w:line="360" w:lineRule="auto"/>
        <w:ind w:firstLine="480"/>
      </w:pPr>
      <w:r>
        <w:t>4</w:t>
      </w:r>
      <w:r>
        <w:rPr>
          <w:rFonts w:hint="eastAsia"/>
        </w:rPr>
        <w:t>）观（监）测报告：非汛期每月报告</w:t>
      </w:r>
      <w:r>
        <w:t>1</w:t>
      </w:r>
      <w:r>
        <w:rPr>
          <w:rFonts w:hint="eastAsia"/>
        </w:rPr>
        <w:t>次，台汛期每半月报告</w:t>
      </w:r>
      <w:r>
        <w:t>1</w:t>
      </w:r>
      <w:r>
        <w:rPr>
          <w:rFonts w:hint="eastAsia"/>
        </w:rPr>
        <w:t>次，并进行初步分析；每年的年末和合同期满要提交年度和合同期满观测分析报告。</w:t>
      </w:r>
    </w:p>
    <w:p>
      <w:pPr>
        <w:pStyle w:val="12"/>
        <w:spacing w:line="360" w:lineRule="auto"/>
        <w:ind w:firstLine="480"/>
      </w:pPr>
      <w:r>
        <w:t xml:space="preserve">（2） </w:t>
      </w:r>
      <w:r>
        <w:rPr>
          <w:rFonts w:hint="eastAsia"/>
        </w:rPr>
        <w:t>运行、</w:t>
      </w:r>
      <w:r>
        <w:t xml:space="preserve"> </w:t>
      </w:r>
      <w:r>
        <w:rPr>
          <w:rFonts w:hint="eastAsia"/>
        </w:rPr>
        <w:t>检查、观测中发现异常现象、违章和严重隐患，应立即向发包人报告，并作好记录，必要时在</w:t>
      </w:r>
      <w:r>
        <w:t>24</w:t>
      </w:r>
      <w:r>
        <w:rPr>
          <w:rFonts w:hint="eastAsia"/>
        </w:rPr>
        <w:t>小时内提交书面报告。发包人的有关通知和处理、执行情况等要做好记录归档备查。</w:t>
      </w:r>
    </w:p>
    <w:p>
      <w:pPr>
        <w:pStyle w:val="12"/>
        <w:spacing w:line="360" w:lineRule="auto"/>
        <w:ind w:firstLine="480"/>
      </w:pPr>
      <w:r>
        <w:t xml:space="preserve">1.5 </w:t>
      </w:r>
      <w:r>
        <w:rPr>
          <w:rFonts w:hint="eastAsia"/>
        </w:rPr>
        <w:t>维修养护</w:t>
      </w:r>
    </w:p>
    <w:p>
      <w:pPr>
        <w:pStyle w:val="12"/>
        <w:spacing w:line="360" w:lineRule="auto"/>
        <w:ind w:firstLine="480"/>
      </w:pPr>
      <w:r>
        <w:t xml:space="preserve">1.5.1 </w:t>
      </w:r>
      <w:r>
        <w:rPr>
          <w:rFonts w:hint="eastAsia"/>
        </w:rPr>
        <w:t>承包人要按合同的约定对所承包的工程及附属设施（设备）进行经常性保养和维护，及时处理局部、表面、轻微的缺陷和损坏，保持工程的完整和正常运行。受损部位维修，其标准不低于原结构设计标准，并使新老结构良好结合。</w:t>
      </w:r>
    </w:p>
    <w:p>
      <w:pPr>
        <w:pStyle w:val="12"/>
        <w:spacing w:line="360" w:lineRule="auto"/>
        <w:ind w:firstLine="480"/>
        <w:rPr>
          <w:color w:val="FF0000"/>
        </w:rPr>
      </w:pPr>
      <w:r>
        <w:t xml:space="preserve">1.5.2 </w:t>
      </w:r>
      <w:r>
        <w:rPr>
          <w:rFonts w:hint="eastAsia"/>
        </w:rPr>
        <w:t>维修养护要做好记录，并编制定期报表，资料应完整详细，按照工程档案管理规定及时归档备查。维修养护报表格式参见规程附件。</w:t>
      </w:r>
    </w:p>
    <w:p>
      <w:pPr>
        <w:pStyle w:val="12"/>
        <w:spacing w:line="360" w:lineRule="auto"/>
        <w:ind w:firstLine="480"/>
      </w:pPr>
      <w:r>
        <w:t>1.5.3</w:t>
      </w:r>
      <w:r>
        <w:rPr>
          <w:rFonts w:hint="eastAsia"/>
        </w:rPr>
        <w:t xml:space="preserve"> 保洁：承包人应根据发包人批准的工程物业管理计划对合同范围内的工程的表层、周边环境、绿化区等进行清洗、除草、清扫、扶育等工作，确保工程的整洁、完好。</w:t>
      </w:r>
    </w:p>
    <w:p>
      <w:pPr>
        <w:pStyle w:val="12"/>
        <w:spacing w:line="360" w:lineRule="auto"/>
        <w:ind w:firstLine="480"/>
      </w:pPr>
      <w:r>
        <w:t>（1）</w:t>
      </w:r>
      <w:r>
        <w:rPr>
          <w:rFonts w:hint="eastAsia"/>
        </w:rPr>
        <w:t>工程所在地人流量大和特殊地段的每周至少清扫</w:t>
      </w:r>
      <w:r>
        <w:t>2</w:t>
      </w:r>
      <w:r>
        <w:rPr>
          <w:rFonts w:hint="eastAsia"/>
        </w:rPr>
        <w:t>～</w:t>
      </w:r>
      <w:r>
        <w:t xml:space="preserve">3 </w:t>
      </w:r>
      <w:r>
        <w:rPr>
          <w:rFonts w:hint="eastAsia"/>
        </w:rPr>
        <w:t>次，人流量少每周至少清扫</w:t>
      </w:r>
      <w:r>
        <w:t xml:space="preserve">1 </w:t>
      </w:r>
      <w:r>
        <w:rPr>
          <w:rFonts w:hint="eastAsia"/>
        </w:rPr>
        <w:t>次；要保证防汛道路及管理区内道路、供排水、通讯及照明设施、迎水面（护面）、闸门等表面无堆积物、垃圾、杂草等，外表整洁美观；管理办公用房、生活用房应整洁、完好。</w:t>
      </w:r>
    </w:p>
    <w:p>
      <w:pPr>
        <w:pStyle w:val="12"/>
        <w:spacing w:line="360" w:lineRule="auto"/>
        <w:ind w:firstLine="480"/>
      </w:pPr>
      <w:r>
        <w:t>（2）</w:t>
      </w:r>
      <w:r>
        <w:rPr>
          <w:rFonts w:hint="eastAsia"/>
        </w:rPr>
        <w:t>工程标牌（包括界桩、界牌、安全警示牌、宣传牌）、观测、监控设施应保持完好、醒目、美观。</w:t>
      </w:r>
    </w:p>
    <w:p>
      <w:pPr>
        <w:pStyle w:val="12"/>
        <w:spacing w:line="360" w:lineRule="auto"/>
        <w:ind w:firstLine="480"/>
      </w:pPr>
      <w:r>
        <w:t>（3）</w:t>
      </w:r>
      <w:r>
        <w:rPr>
          <w:rFonts w:hint="eastAsia"/>
        </w:rPr>
        <w:t>承包管理范围内绿化区的树木、花卉应及时浇水、施肥、除害、修剪，如缺损或枯萎时应及时补植或灌水养护；发现有杂草或灌木等有害植物时及时清除；保证绿化区树木、花卉成活率达</w:t>
      </w:r>
      <w:r>
        <w:t>85%</w:t>
      </w:r>
      <w:r>
        <w:rPr>
          <w:rFonts w:hint="eastAsia"/>
        </w:rPr>
        <w:t>以上。花木修剪、造型每月</w:t>
      </w:r>
      <w:r>
        <w:t>1</w:t>
      </w:r>
      <w:r>
        <w:rPr>
          <w:rFonts w:hint="eastAsia"/>
        </w:rPr>
        <w:t>—</w:t>
      </w:r>
      <w:r>
        <w:t xml:space="preserve">2 </w:t>
      </w:r>
      <w:r>
        <w:rPr>
          <w:rFonts w:hint="eastAsia"/>
        </w:rPr>
        <w:t>次。</w:t>
      </w:r>
    </w:p>
    <w:p>
      <w:pPr>
        <w:pStyle w:val="12"/>
        <w:spacing w:line="360" w:lineRule="auto"/>
        <w:ind w:firstLine="482"/>
      </w:pPr>
      <w:r>
        <w:rPr>
          <w:b/>
          <w:bCs/>
        </w:rPr>
        <w:t xml:space="preserve">1.6 </w:t>
      </w:r>
      <w:r>
        <w:rPr>
          <w:rFonts w:hint="eastAsia"/>
        </w:rPr>
        <w:t>技术档案管理</w:t>
      </w:r>
    </w:p>
    <w:p>
      <w:pPr>
        <w:pStyle w:val="12"/>
        <w:spacing w:line="360" w:lineRule="auto"/>
        <w:ind w:firstLine="480"/>
      </w:pPr>
      <w:r>
        <w:t xml:space="preserve">1.6.1 </w:t>
      </w:r>
      <w:r>
        <w:rPr>
          <w:rFonts w:hint="eastAsia"/>
        </w:rPr>
        <w:t>建立健全技术档案管理制度，由熟悉或了解工程管理并掌握档案管理知识的人员管理档案，档案设施齐全、清洁、完好。</w:t>
      </w:r>
    </w:p>
    <w:p>
      <w:pPr>
        <w:pStyle w:val="12"/>
        <w:spacing w:line="360" w:lineRule="auto"/>
        <w:ind w:firstLine="480"/>
      </w:pPr>
      <w:r>
        <w:t xml:space="preserve">1.6.2 </w:t>
      </w:r>
      <w:r>
        <w:rPr>
          <w:rFonts w:hint="eastAsia"/>
        </w:rPr>
        <w:t>要妥善保管发包人移交的物业管理相关的技术档案资料，并对其安全、保密负责，在项目实施过程中要及时补充完善；在合同期满验收时，同测量基准点、基准线、水准点及其基本资料和数据、图件、照片等一并归还，并对其准确性和完整性负责。</w:t>
      </w:r>
    </w:p>
    <w:p>
      <w:pPr>
        <w:pStyle w:val="12"/>
        <w:spacing w:line="360" w:lineRule="auto"/>
        <w:ind w:firstLine="480"/>
      </w:pPr>
      <w:r>
        <w:t xml:space="preserve">1.6.3 </w:t>
      </w:r>
      <w:r>
        <w:rPr>
          <w:rFonts w:hint="eastAsia"/>
        </w:rPr>
        <w:t>档案管理应根据《浙江省水利厅水利基本建设项目（工程）档案资料管理规定》的要求建立完整的技术档案，及时整理归档各类技术资料，内容包括：</w:t>
      </w:r>
    </w:p>
    <w:p>
      <w:pPr>
        <w:pStyle w:val="12"/>
        <w:spacing w:line="360" w:lineRule="auto"/>
        <w:ind w:firstLine="480"/>
      </w:pPr>
      <w:r>
        <w:t>（1）</w:t>
      </w:r>
      <w:r>
        <w:rPr>
          <w:rFonts w:hint="eastAsia"/>
        </w:rPr>
        <w:t>国家有关的方针政策，上级批示和有关的协议等。</w:t>
      </w:r>
    </w:p>
    <w:p>
      <w:pPr>
        <w:pStyle w:val="12"/>
        <w:spacing w:line="360" w:lineRule="auto"/>
        <w:ind w:firstLine="480"/>
      </w:pPr>
      <w:r>
        <w:t>（2）</w:t>
      </w:r>
      <w:r>
        <w:rPr>
          <w:rFonts w:hint="eastAsia"/>
        </w:rPr>
        <w:t>工程运行管理、维修养护等技术文件。</w:t>
      </w:r>
    </w:p>
    <w:p>
      <w:pPr>
        <w:pStyle w:val="12"/>
        <w:spacing w:line="360" w:lineRule="auto"/>
        <w:ind w:firstLine="480"/>
        <w:rPr>
          <w:rFonts w:hint="eastAsia"/>
        </w:rPr>
      </w:pPr>
      <w:r>
        <w:t>（3）</w:t>
      </w:r>
      <w:r>
        <w:rPr>
          <w:rFonts w:hint="eastAsia"/>
        </w:rPr>
        <w:t>检查观测，维修养护等系列技术文件、信件等资料和成果。</w:t>
      </w:r>
    </w:p>
    <w:p>
      <w:pPr>
        <w:pStyle w:val="12"/>
        <w:spacing w:line="360" w:lineRule="auto"/>
        <w:ind w:firstLine="480"/>
      </w:pPr>
      <w:r>
        <w:t xml:space="preserve">1.6.4 </w:t>
      </w:r>
      <w:r>
        <w:rPr>
          <w:rFonts w:hint="eastAsia"/>
        </w:rPr>
        <w:t>技术档案包括文字、图表等纸质件及音像、电子文档等形式存在的各类资料。努力实现档案的数字化计算机管理。</w:t>
      </w:r>
    </w:p>
    <w:p>
      <w:pPr>
        <w:pStyle w:val="12"/>
        <w:spacing w:line="360" w:lineRule="auto"/>
        <w:ind w:firstLine="480"/>
      </w:pPr>
      <w:r>
        <w:t xml:space="preserve">1.6.5 </w:t>
      </w:r>
      <w:r>
        <w:rPr>
          <w:rFonts w:hint="eastAsia"/>
        </w:rPr>
        <w:t>各类工程和设备均应建档立卡，技术档案、图表资料等应规范齐全，分类清楚，存放有序，按时归档。</w:t>
      </w:r>
    </w:p>
    <w:p>
      <w:pPr>
        <w:pStyle w:val="12"/>
        <w:spacing w:line="360" w:lineRule="auto"/>
        <w:ind w:firstLine="482"/>
      </w:pPr>
      <w:r>
        <w:rPr>
          <w:b/>
          <w:bCs/>
        </w:rPr>
        <w:t xml:space="preserve">1.7 </w:t>
      </w:r>
      <w:r>
        <w:rPr>
          <w:rFonts w:hint="eastAsia"/>
        </w:rPr>
        <w:t>质量管理</w:t>
      </w:r>
    </w:p>
    <w:p>
      <w:pPr>
        <w:pStyle w:val="12"/>
        <w:spacing w:line="360" w:lineRule="auto"/>
        <w:ind w:firstLine="480"/>
      </w:pPr>
      <w:r>
        <w:t xml:space="preserve">1.7.1 </w:t>
      </w:r>
      <w:r>
        <w:rPr>
          <w:rFonts w:hint="eastAsia"/>
        </w:rPr>
        <w:t>承包人应建立质量保证体系，选派有经验的运行管理和维修养护技术人员对运行操作、维修养护工作的各个环节的质量进行检查监督，按合同约定和要求及时向发包人报告检查结果。</w:t>
      </w:r>
    </w:p>
    <w:p>
      <w:pPr>
        <w:pStyle w:val="12"/>
        <w:spacing w:line="360" w:lineRule="auto"/>
        <w:ind w:firstLine="480"/>
      </w:pPr>
      <w:r>
        <w:t>1.7.2</w:t>
      </w:r>
      <w:r>
        <w:rPr>
          <w:rFonts w:hint="eastAsia"/>
        </w:rPr>
        <w:t xml:space="preserve"> 发包人按合同的约定以本工作要求与技术标准、省级印发的工程相应规程对承包人的物业管理工作质量进行检查和考核。</w:t>
      </w:r>
    </w:p>
    <w:p>
      <w:pPr>
        <w:pStyle w:val="12"/>
        <w:spacing w:line="360" w:lineRule="auto"/>
        <w:ind w:firstLine="480"/>
      </w:pPr>
      <w:r>
        <w:t>（1）</w:t>
      </w:r>
      <w:r>
        <w:rPr>
          <w:rFonts w:hint="eastAsia"/>
        </w:rPr>
        <w:t>检查和考核的周期分为定期和不定期，定期的检查和考核周期由合同约定；不定期（抽查）检查和考核由发包人根据工作需要随机确定。</w:t>
      </w:r>
    </w:p>
    <w:p>
      <w:pPr>
        <w:pStyle w:val="12"/>
        <w:spacing w:line="360" w:lineRule="auto"/>
        <w:ind w:firstLine="480"/>
      </w:pPr>
      <w:r>
        <w:t>（2）</w:t>
      </w:r>
      <w:r>
        <w:rPr>
          <w:rFonts w:hint="eastAsia"/>
        </w:rPr>
        <w:t>在一个周期结束前</w:t>
      </w:r>
      <w:r>
        <w:t>5</w:t>
      </w:r>
      <w:r>
        <w:rPr>
          <w:rFonts w:hint="eastAsia"/>
        </w:rPr>
        <w:t>日，承包人应按本工作要求与技术标准、省级印发的工程相应规程向发包人提交有关资料并提请周期检查和考核。</w:t>
      </w:r>
    </w:p>
    <w:p>
      <w:pPr>
        <w:pStyle w:val="12"/>
        <w:spacing w:line="360" w:lineRule="auto"/>
        <w:ind w:firstLine="480"/>
      </w:pPr>
      <w:r>
        <w:t>（3）</w:t>
      </w:r>
      <w:r>
        <w:rPr>
          <w:rFonts w:hint="eastAsia"/>
        </w:rPr>
        <w:t>合同期满验收，由承包人在合同期满期</w:t>
      </w:r>
      <w:r>
        <w:t xml:space="preserve">20 </w:t>
      </w:r>
      <w:r>
        <w:rPr>
          <w:rFonts w:hint="eastAsia"/>
        </w:rPr>
        <w:t>日内向发包人提交有关合同期满验收资料，并提请期满验收。合同期满当月的周期验收与合同期满验收可同时进行。</w:t>
      </w:r>
    </w:p>
    <w:p>
      <w:pPr>
        <w:pStyle w:val="12"/>
        <w:spacing w:line="360" w:lineRule="auto"/>
        <w:ind w:firstLine="480"/>
      </w:pPr>
      <w:r>
        <w:t xml:space="preserve">1.7.3 </w:t>
      </w:r>
      <w:r>
        <w:rPr>
          <w:rFonts w:hint="eastAsia"/>
        </w:rPr>
        <w:t>检查和考核主要提交件</w:t>
      </w:r>
    </w:p>
    <w:p>
      <w:pPr>
        <w:pStyle w:val="12"/>
        <w:spacing w:line="360" w:lineRule="auto"/>
        <w:ind w:firstLine="480"/>
      </w:pPr>
      <w:r>
        <w:t>（1）</w:t>
      </w:r>
      <w:r>
        <w:rPr>
          <w:rFonts w:hint="eastAsia"/>
        </w:rPr>
        <w:t>周期检查考核资料，承包人应按合同条款约定的时间提供本周期检查和考核的有关资料，包括：</w:t>
      </w:r>
    </w:p>
    <w:p>
      <w:pPr>
        <w:pStyle w:val="12"/>
        <w:spacing w:line="360" w:lineRule="auto"/>
        <w:ind w:firstLine="480"/>
      </w:pPr>
      <w:r>
        <w:t>1）</w:t>
      </w:r>
      <w:r>
        <w:rPr>
          <w:rFonts w:hint="eastAsia"/>
        </w:rPr>
        <w:t>有关会议纪要，往来信件</w:t>
      </w:r>
    </w:p>
    <w:p>
      <w:pPr>
        <w:pStyle w:val="12"/>
        <w:spacing w:line="360" w:lineRule="auto"/>
        <w:ind w:firstLine="480"/>
      </w:pPr>
      <w:r>
        <w:t>2）</w:t>
      </w:r>
      <w:r>
        <w:rPr>
          <w:rFonts w:hint="eastAsia"/>
        </w:rPr>
        <w:t>运行管理记录</w:t>
      </w:r>
    </w:p>
    <w:p>
      <w:pPr>
        <w:pStyle w:val="12"/>
        <w:spacing w:line="360" w:lineRule="auto"/>
        <w:ind w:firstLine="480"/>
      </w:pPr>
      <w:r>
        <w:t>3）</w:t>
      </w:r>
      <w:r>
        <w:rPr>
          <w:rFonts w:hint="eastAsia"/>
        </w:rPr>
        <w:t>维修养护记录和验收合格证明</w:t>
      </w:r>
    </w:p>
    <w:p>
      <w:pPr>
        <w:pStyle w:val="12"/>
        <w:spacing w:line="360" w:lineRule="auto"/>
        <w:ind w:firstLine="480"/>
      </w:pPr>
      <w:r>
        <w:t>4）</w:t>
      </w:r>
      <w:r>
        <w:rPr>
          <w:rFonts w:hint="eastAsia"/>
        </w:rPr>
        <w:t>质量整改落实记录</w:t>
      </w:r>
    </w:p>
    <w:p>
      <w:pPr>
        <w:pStyle w:val="12"/>
        <w:spacing w:line="360" w:lineRule="auto"/>
        <w:ind w:firstLine="480"/>
      </w:pPr>
      <w:r>
        <w:t>5）</w:t>
      </w:r>
      <w:r>
        <w:rPr>
          <w:rFonts w:hint="eastAsia"/>
        </w:rPr>
        <w:t>检查、观测记录（登记）表</w:t>
      </w:r>
    </w:p>
    <w:p>
      <w:pPr>
        <w:pStyle w:val="12"/>
        <w:spacing w:line="360" w:lineRule="auto"/>
        <w:ind w:firstLine="480"/>
      </w:pPr>
      <w:r>
        <w:t>6）</w:t>
      </w:r>
      <w:r>
        <w:rPr>
          <w:rFonts w:hint="eastAsia"/>
        </w:rPr>
        <w:t>期间不定期检（抽）查考核证明材料</w:t>
      </w:r>
    </w:p>
    <w:p>
      <w:pPr>
        <w:pStyle w:val="12"/>
        <w:spacing w:line="360" w:lineRule="auto"/>
        <w:ind w:firstLine="480"/>
      </w:pPr>
      <w:r>
        <w:t>7）</w:t>
      </w:r>
      <w:r>
        <w:rPr>
          <w:rFonts w:hint="eastAsia"/>
        </w:rPr>
        <w:t>考核自评表</w:t>
      </w:r>
    </w:p>
    <w:p>
      <w:pPr>
        <w:pStyle w:val="12"/>
        <w:spacing w:line="360" w:lineRule="auto"/>
        <w:ind w:firstLine="480"/>
        <w:rPr>
          <w:rFonts w:hint="eastAsia"/>
        </w:rPr>
      </w:pPr>
      <w:r>
        <w:t>8）</w:t>
      </w:r>
      <w:r>
        <w:rPr>
          <w:rFonts w:hint="eastAsia"/>
        </w:rPr>
        <w:t>周期工作总结报告</w:t>
      </w:r>
    </w:p>
    <w:p>
      <w:pPr>
        <w:pStyle w:val="12"/>
        <w:spacing w:line="360" w:lineRule="auto"/>
        <w:ind w:firstLine="480"/>
      </w:pPr>
      <w:r>
        <w:t>9）</w:t>
      </w:r>
      <w:r>
        <w:rPr>
          <w:rFonts w:hint="eastAsia"/>
        </w:rPr>
        <w:t>申请周期考核验收报告</w:t>
      </w:r>
    </w:p>
    <w:p>
      <w:pPr>
        <w:pStyle w:val="12"/>
        <w:spacing w:line="360" w:lineRule="auto"/>
        <w:ind w:firstLine="480"/>
      </w:pPr>
      <w:r>
        <w:t>（2）</w:t>
      </w:r>
      <w:r>
        <w:rPr>
          <w:rFonts w:hint="eastAsia"/>
        </w:rPr>
        <w:t>合同期满验收资料，承包人应按约定的承包期满期20日内提供验收考核资料，包括：</w:t>
      </w:r>
    </w:p>
    <w:p>
      <w:pPr>
        <w:pStyle w:val="12"/>
        <w:spacing w:line="360" w:lineRule="auto"/>
        <w:ind w:firstLine="480"/>
      </w:pPr>
      <w:r>
        <w:t>1</w:t>
      </w:r>
      <w:r>
        <w:rPr>
          <w:rFonts w:hint="eastAsia"/>
        </w:rPr>
        <w:t>）承包期内的历次周期检查考核验收结论</w:t>
      </w:r>
    </w:p>
    <w:p>
      <w:pPr>
        <w:pStyle w:val="12"/>
        <w:spacing w:line="360" w:lineRule="auto"/>
        <w:ind w:firstLine="480"/>
      </w:pPr>
      <w:r>
        <w:t>2</w:t>
      </w:r>
      <w:r>
        <w:rPr>
          <w:rFonts w:hint="eastAsia"/>
        </w:rPr>
        <w:t>）检查、观测原始记录（登记）表及初步分析成果材料</w:t>
      </w:r>
    </w:p>
    <w:p>
      <w:pPr>
        <w:pStyle w:val="12"/>
        <w:spacing w:line="360" w:lineRule="auto"/>
        <w:ind w:firstLine="480"/>
      </w:pPr>
      <w:r>
        <w:t>3</w:t>
      </w:r>
      <w:r>
        <w:rPr>
          <w:rFonts w:hint="eastAsia"/>
        </w:rPr>
        <w:t>）本阶段检查考核材料</w:t>
      </w:r>
    </w:p>
    <w:p>
      <w:pPr>
        <w:pStyle w:val="12"/>
        <w:spacing w:line="360" w:lineRule="auto"/>
        <w:ind w:firstLine="480"/>
      </w:pPr>
      <w:r>
        <w:t>4</w:t>
      </w:r>
      <w:r>
        <w:rPr>
          <w:rFonts w:hint="eastAsia"/>
        </w:rPr>
        <w:t>）技术档案资料，</w:t>
      </w:r>
    </w:p>
    <w:p>
      <w:pPr>
        <w:pStyle w:val="12"/>
        <w:spacing w:line="360" w:lineRule="auto"/>
        <w:ind w:firstLine="480"/>
      </w:pPr>
      <w:r>
        <w:t>5</w:t>
      </w:r>
      <w:r>
        <w:rPr>
          <w:rFonts w:hint="eastAsia"/>
        </w:rPr>
        <w:t>）考核自评表</w:t>
      </w:r>
    </w:p>
    <w:p>
      <w:pPr>
        <w:pStyle w:val="12"/>
        <w:spacing w:line="360" w:lineRule="auto"/>
        <w:ind w:firstLine="480"/>
      </w:pPr>
      <w:r>
        <w:t>6）</w:t>
      </w:r>
      <w:r>
        <w:rPr>
          <w:rFonts w:hint="eastAsia"/>
        </w:rPr>
        <w:t>合同期工作总结报告</w:t>
      </w:r>
    </w:p>
    <w:p>
      <w:pPr>
        <w:pStyle w:val="12"/>
        <w:spacing w:line="360" w:lineRule="auto"/>
        <w:ind w:firstLine="480"/>
      </w:pPr>
      <w:r>
        <w:t>7</w:t>
      </w:r>
      <w:r>
        <w:rPr>
          <w:rFonts w:hint="eastAsia"/>
        </w:rPr>
        <w:t>）申请合同期满验收报告</w:t>
      </w:r>
    </w:p>
    <w:p>
      <w:pPr>
        <w:pStyle w:val="12"/>
        <w:spacing w:line="360" w:lineRule="auto"/>
        <w:ind w:firstLine="480"/>
      </w:pPr>
      <w:r>
        <w:t>1.7.4</w:t>
      </w:r>
      <w:r>
        <w:rPr>
          <w:rFonts w:hint="eastAsia"/>
        </w:rPr>
        <w:t xml:space="preserve"> 考核方式，以承包人为考核对象，采取自评、抽查、检查和考核等方式进行。</w:t>
      </w:r>
    </w:p>
    <w:p>
      <w:pPr>
        <w:pStyle w:val="12"/>
        <w:spacing w:line="360" w:lineRule="auto"/>
        <w:ind w:firstLine="480"/>
      </w:pPr>
      <w:r>
        <w:t>（1）</w:t>
      </w:r>
      <w:r>
        <w:rPr>
          <w:rFonts w:hint="eastAsia"/>
        </w:rPr>
        <w:t>自评。由承包人负责对合同约定的工作内容进行自查，填写检查考核评分表，经汇总后计算自评得分，编写自评报告。</w:t>
      </w:r>
    </w:p>
    <w:p>
      <w:pPr>
        <w:pStyle w:val="12"/>
        <w:spacing w:line="360" w:lineRule="auto"/>
        <w:ind w:firstLine="480"/>
      </w:pPr>
      <w:r>
        <w:t>（2）</w:t>
      </w:r>
      <w:r>
        <w:rPr>
          <w:rFonts w:hint="eastAsia"/>
        </w:rPr>
        <w:t>抽查。不定期或随机抽查相结合，对承包人管理的工作（工程）质量随机进行抽查评分并填写评分表。</w:t>
      </w:r>
    </w:p>
    <w:p>
      <w:pPr>
        <w:pStyle w:val="12"/>
        <w:spacing w:line="360" w:lineRule="auto"/>
        <w:ind w:firstLine="480"/>
      </w:pPr>
      <w:r>
        <w:t>（3）</w:t>
      </w:r>
      <w:r>
        <w:rPr>
          <w:rFonts w:hint="eastAsia"/>
        </w:rPr>
        <w:t>检查和考核。结合自评、抽查、定期的全面检查和考核，确定检查和考核结果。</w:t>
      </w:r>
    </w:p>
    <w:p>
      <w:pPr>
        <w:pStyle w:val="12"/>
        <w:spacing w:line="360" w:lineRule="auto"/>
        <w:ind w:firstLine="480"/>
      </w:pPr>
      <w:r>
        <w:t>1.7.5</w:t>
      </w:r>
      <w:r>
        <w:rPr>
          <w:rFonts w:hint="eastAsia"/>
        </w:rPr>
        <w:t xml:space="preserve"> 凡有下列情况之一的，检查考核直接定为不合格：</w:t>
      </w:r>
    </w:p>
    <w:p>
      <w:pPr>
        <w:pStyle w:val="12"/>
        <w:spacing w:line="360" w:lineRule="auto"/>
        <w:ind w:firstLine="480"/>
      </w:pPr>
      <w:r>
        <w:t>（1）</w:t>
      </w:r>
      <w:r>
        <w:rPr>
          <w:rFonts w:hint="eastAsia"/>
        </w:rPr>
        <w:t>未能按合同约定的时间提交有关资料申请验收的；</w:t>
      </w:r>
    </w:p>
    <w:p>
      <w:pPr>
        <w:pStyle w:val="12"/>
        <w:spacing w:line="360" w:lineRule="auto"/>
        <w:ind w:firstLine="480"/>
      </w:pPr>
      <w:r>
        <w:t>（2）</w:t>
      </w:r>
      <w:r>
        <w:rPr>
          <w:rFonts w:hint="eastAsia"/>
        </w:rPr>
        <w:t>被终止合同的；</w:t>
      </w:r>
    </w:p>
    <w:p>
      <w:pPr>
        <w:pStyle w:val="12"/>
        <w:spacing w:line="360" w:lineRule="auto"/>
        <w:ind w:firstLine="480"/>
      </w:pPr>
      <w:r>
        <w:t>（3）</w:t>
      </w:r>
      <w:r>
        <w:rPr>
          <w:rFonts w:hint="eastAsia"/>
        </w:rPr>
        <w:t>因管理问题发生工程、人员重大安全责任事故的；</w:t>
      </w:r>
    </w:p>
    <w:p>
      <w:pPr>
        <w:pStyle w:val="12"/>
        <w:spacing w:line="360" w:lineRule="auto"/>
        <w:ind w:firstLine="480"/>
      </w:pPr>
      <w:r>
        <w:t>（4）</w:t>
      </w:r>
      <w:r>
        <w:rPr>
          <w:rFonts w:hint="eastAsia"/>
        </w:rPr>
        <w:t>因管理问题发生较大经济损失和社会影响的；</w:t>
      </w:r>
    </w:p>
    <w:p>
      <w:pPr>
        <w:pStyle w:val="12"/>
        <w:spacing w:line="360" w:lineRule="auto"/>
        <w:ind w:firstLine="480"/>
      </w:pPr>
      <w:r>
        <w:t>（5）</w:t>
      </w:r>
      <w:r>
        <w:rPr>
          <w:rFonts w:hint="eastAsia"/>
        </w:rPr>
        <w:t>拖欠职工工资违反人事劳动法律法规，影响合同执行和发包人荣誉的；</w:t>
      </w:r>
    </w:p>
    <w:p>
      <w:pPr>
        <w:pStyle w:val="12"/>
        <w:spacing w:line="360" w:lineRule="auto"/>
        <w:ind w:firstLine="480"/>
      </w:pPr>
      <w:r>
        <w:t>（6）</w:t>
      </w:r>
      <w:r>
        <w:rPr>
          <w:rFonts w:hint="eastAsia"/>
        </w:rPr>
        <w:t>发现在考核中有弄虚作假等舞弊行为的。</w:t>
      </w:r>
    </w:p>
    <w:p>
      <w:pPr>
        <w:pStyle w:val="12"/>
        <w:spacing w:line="360" w:lineRule="auto"/>
        <w:ind w:firstLine="480"/>
      </w:pPr>
      <w:r>
        <w:t>1.7.6</w:t>
      </w:r>
      <w:r>
        <w:rPr>
          <w:rFonts w:hint="eastAsia"/>
        </w:rPr>
        <w:t xml:space="preserve"> 检查考核内容：</w:t>
      </w:r>
    </w:p>
    <w:p>
      <w:pPr>
        <w:pStyle w:val="12"/>
        <w:spacing w:line="360" w:lineRule="auto"/>
        <w:ind w:firstLine="480"/>
      </w:pPr>
      <w:r>
        <w:t>（1）</w:t>
      </w:r>
      <w:r>
        <w:rPr>
          <w:rFonts w:hint="eastAsia"/>
        </w:rPr>
        <w:t>组织管理。包括管理机构设置、人员到位情况，管理制度制订、责任制落实情况，技术档案资料归档和分析及信息的管理等；</w:t>
      </w:r>
    </w:p>
    <w:p>
      <w:pPr>
        <w:pStyle w:val="12"/>
        <w:spacing w:line="360" w:lineRule="auto"/>
        <w:ind w:firstLine="480"/>
      </w:pPr>
      <w:r>
        <w:t>（2）</w:t>
      </w:r>
      <w:r>
        <w:rPr>
          <w:rFonts w:hint="eastAsia"/>
        </w:rPr>
        <w:t>运行操作。包括控制运用、检查观测以及检查报告等；</w:t>
      </w:r>
    </w:p>
    <w:p>
      <w:pPr>
        <w:pStyle w:val="12"/>
        <w:spacing w:line="360" w:lineRule="auto"/>
        <w:ind w:firstLine="480"/>
      </w:pPr>
      <w:r>
        <w:t>（3）</w:t>
      </w:r>
      <w:r>
        <w:rPr>
          <w:rFonts w:hint="eastAsia"/>
        </w:rPr>
        <w:t>维修养护。包括管理范围和保护范围内工程的日常养护、维修、保洁；</w:t>
      </w:r>
    </w:p>
    <w:p>
      <w:pPr>
        <w:pStyle w:val="12"/>
        <w:spacing w:line="360" w:lineRule="auto"/>
        <w:ind w:firstLine="480"/>
      </w:pPr>
      <w:r>
        <w:t>（4）</w:t>
      </w:r>
      <w:r>
        <w:rPr>
          <w:rFonts w:hint="eastAsia"/>
        </w:rPr>
        <w:t>安全管理。包括违章管理、防汛检查、防汛组织及安全生产等。</w:t>
      </w:r>
    </w:p>
    <w:p>
      <w:pPr>
        <w:pStyle w:val="12"/>
        <w:spacing w:line="360" w:lineRule="auto"/>
        <w:ind w:firstLine="480"/>
      </w:pPr>
      <w:r>
        <w:t>1.7.7</w:t>
      </w:r>
      <w:r>
        <w:rPr>
          <w:rFonts w:hint="eastAsia"/>
        </w:rPr>
        <w:t xml:space="preserve"> 检查考核评分标准</w:t>
      </w:r>
    </w:p>
    <w:p>
      <w:pPr>
        <w:pStyle w:val="12"/>
        <w:spacing w:line="360" w:lineRule="auto"/>
        <w:ind w:firstLine="480"/>
      </w:pPr>
      <w:r>
        <w:t>（1）</w:t>
      </w:r>
      <w:r>
        <w:rPr>
          <w:rFonts w:hint="eastAsia"/>
        </w:rPr>
        <w:t>检查和考核采取百分率评分法，得分率85%以上者为合格。</w:t>
      </w:r>
    </w:p>
    <w:p>
      <w:pPr>
        <w:pStyle w:val="12"/>
        <w:spacing w:line="360" w:lineRule="auto"/>
        <w:ind w:firstLine="480"/>
      </w:pPr>
      <w:r>
        <w:t>（2）</w:t>
      </w:r>
      <w:r>
        <w:rPr>
          <w:rFonts w:hint="eastAsia"/>
        </w:rPr>
        <w:t>合同期满考核为历次周期检查和考核加权平均计算得分。</w:t>
      </w:r>
    </w:p>
    <w:p>
      <w:pPr>
        <w:pStyle w:val="6"/>
        <w:tabs>
          <w:tab w:val="left" w:pos="864"/>
        </w:tabs>
        <w:rPr>
          <w:rFonts w:ascii="Times New Roman" w:hAnsi="Times New Roman" w:eastAsia="宋体"/>
          <w:sz w:val="21"/>
        </w:rPr>
      </w:pPr>
      <w:r>
        <w:rPr>
          <w:rFonts w:hint="eastAsia" w:ascii="Times New Roman" w:hAnsi="Times New Roman" w:eastAsia="宋体"/>
          <w:sz w:val="21"/>
        </w:rPr>
        <w:t>1.8安全管理</w:t>
      </w:r>
    </w:p>
    <w:p>
      <w:pPr>
        <w:pStyle w:val="12"/>
        <w:spacing w:line="360" w:lineRule="auto"/>
        <w:ind w:firstLine="480"/>
      </w:pPr>
      <w:r>
        <w:rPr>
          <w:rFonts w:hint="eastAsia"/>
        </w:rPr>
        <w:t>1.8</w:t>
      </w:r>
      <w:r>
        <w:t xml:space="preserve">.1 </w:t>
      </w:r>
      <w:r>
        <w:rPr>
          <w:rFonts w:hint="eastAsia"/>
        </w:rPr>
        <w:t>承包人必须执行国家和合同约定的有关规定履行其安全管理责任。承包人应在管理工作开工后</w:t>
      </w:r>
      <w:r>
        <w:t xml:space="preserve">7 </w:t>
      </w:r>
      <w:r>
        <w:rPr>
          <w:rFonts w:hint="eastAsia"/>
        </w:rPr>
        <w:t>天内编制一份工程物业管理安全措施文件（包括组建安全管理机构、配备专职人员，制定防火、防毒、防噪声、防洪、救护、警报、治安、爆破和炸药管理等）报发包人审批，并遵照执行。</w:t>
      </w:r>
    </w:p>
    <w:p>
      <w:pPr>
        <w:pStyle w:val="12"/>
        <w:spacing w:line="360" w:lineRule="auto"/>
        <w:ind w:firstLine="480"/>
      </w:pPr>
      <w:r>
        <w:rPr>
          <w:rFonts w:hint="eastAsia"/>
        </w:rPr>
        <w:t>1.8</w:t>
      </w:r>
      <w:r>
        <w:t xml:space="preserve">.2 </w:t>
      </w:r>
      <w:r>
        <w:rPr>
          <w:rFonts w:hint="eastAsia"/>
        </w:rPr>
        <w:t>承包人的安全保护责任</w:t>
      </w:r>
    </w:p>
    <w:p>
      <w:pPr>
        <w:pStyle w:val="12"/>
        <w:spacing w:line="360" w:lineRule="auto"/>
        <w:ind w:firstLine="480"/>
      </w:pPr>
      <w:r>
        <w:t>（1）</w:t>
      </w:r>
      <w:r>
        <w:rPr>
          <w:rFonts w:hint="eastAsia"/>
        </w:rPr>
        <w:t>承包人应教育物业管理相关人员遵纪守法，维护管理范围内的社会治安，协助治安管理机构做好治安保卫工作。</w:t>
      </w:r>
    </w:p>
    <w:p>
      <w:pPr>
        <w:pStyle w:val="12"/>
        <w:spacing w:line="360" w:lineRule="auto"/>
        <w:ind w:firstLine="480"/>
      </w:pPr>
      <w:r>
        <w:t>（2）</w:t>
      </w:r>
      <w:r>
        <w:rPr>
          <w:rFonts w:hint="eastAsia"/>
        </w:rPr>
        <w:t>承包人必须遵守国家颁布的有关安全规程。若承包人责任区内发生重大安全事故时，应立即如实通告发包人，并按有规定向发包人提交事故情况的书面报告。</w:t>
      </w:r>
    </w:p>
    <w:p>
      <w:pPr>
        <w:pStyle w:val="12"/>
        <w:spacing w:line="360" w:lineRule="auto"/>
        <w:ind w:firstLine="480"/>
      </w:pPr>
      <w:r>
        <w:t>（3）</w:t>
      </w:r>
      <w:r>
        <w:rPr>
          <w:rFonts w:hint="eastAsia"/>
        </w:rPr>
        <w:t>承包人应加强安全生产管理工作，加强劳动保护、照明安全、消防等安全防护工作，并制定安全防护规程，定期召开安全会议进行安全教育，避免发生重大责任事故；在工作范围内设置必要的标志和信号。</w:t>
      </w:r>
    </w:p>
    <w:p>
      <w:pPr>
        <w:pStyle w:val="12"/>
        <w:spacing w:line="360" w:lineRule="auto"/>
        <w:ind w:firstLine="480"/>
      </w:pPr>
      <w:r>
        <w:t>（4）</w:t>
      </w:r>
      <w:r>
        <w:rPr>
          <w:rFonts w:hint="eastAsia"/>
        </w:rPr>
        <w:t>加强管理范围内的违章管理，确保承包范围内无违章建筑，无危害工程安全活动，发现问题及时报告和妥善处理。</w:t>
      </w:r>
    </w:p>
    <w:p>
      <w:pPr>
        <w:pStyle w:val="12"/>
        <w:spacing w:line="360" w:lineRule="auto"/>
        <w:ind w:firstLine="480"/>
      </w:pPr>
      <w:r>
        <w:rPr>
          <w:rFonts w:hint="eastAsia"/>
        </w:rPr>
        <w:t>1.8</w:t>
      </w:r>
      <w:r>
        <w:t xml:space="preserve">.3 </w:t>
      </w:r>
      <w:r>
        <w:rPr>
          <w:rFonts w:hint="eastAsia"/>
        </w:rPr>
        <w:t>防汛检查和安全</w:t>
      </w:r>
    </w:p>
    <w:p>
      <w:pPr>
        <w:pStyle w:val="12"/>
        <w:spacing w:line="360" w:lineRule="auto"/>
        <w:ind w:firstLine="480"/>
      </w:pPr>
      <w:r>
        <w:t>（1）</w:t>
      </w:r>
      <w:r>
        <w:rPr>
          <w:rFonts w:hint="eastAsia"/>
        </w:rPr>
        <w:t>承包人应根据合同约定的职责，编制防汛应急预案，重要险工段有抢险和人材物的转移预案，报发包人批准并落实。</w:t>
      </w:r>
    </w:p>
    <w:p>
      <w:pPr>
        <w:pStyle w:val="12"/>
        <w:spacing w:line="360" w:lineRule="auto"/>
        <w:ind w:firstLine="480"/>
      </w:pPr>
      <w:r>
        <w:t>（2）</w:t>
      </w:r>
      <w:r>
        <w:rPr>
          <w:rFonts w:hint="eastAsia"/>
        </w:rPr>
        <w:t>要组建应急抢险队伍，加强抢险知识教育，配备必要通讯和交通设施。防汛期间要加强巡查和值守，做好报告和记录工作。</w:t>
      </w:r>
    </w:p>
    <w:p>
      <w:pPr>
        <w:pStyle w:val="12"/>
        <w:spacing w:line="360" w:lineRule="auto"/>
        <w:ind w:firstLine="480"/>
      </w:pPr>
      <w:r>
        <w:t>（3）</w:t>
      </w:r>
      <w:r>
        <w:rPr>
          <w:rFonts w:hint="eastAsia"/>
        </w:rPr>
        <w:t>加强防汛物料的准备和保管工作，对于防汛物料要有专人负责管理、建档立卡，确保防汛物料与设施等设备完好、运行可靠。</w:t>
      </w:r>
    </w:p>
    <w:p>
      <w:pPr>
        <w:pStyle w:val="6"/>
        <w:tabs>
          <w:tab w:val="left" w:pos="864"/>
        </w:tabs>
        <w:rPr>
          <w:rFonts w:ascii="Times New Roman" w:hAnsi="Times New Roman" w:eastAsia="宋体"/>
          <w:sz w:val="21"/>
        </w:rPr>
      </w:pPr>
      <w:r>
        <w:rPr>
          <w:rFonts w:hint="eastAsia" w:ascii="Times New Roman" w:hAnsi="Times New Roman" w:eastAsia="宋体"/>
          <w:sz w:val="21"/>
        </w:rPr>
        <w:t>1.9</w:t>
      </w:r>
      <w:r>
        <w:rPr>
          <w:rFonts w:ascii="Times New Roman" w:hAnsi="Times New Roman" w:eastAsia="宋体"/>
          <w:sz w:val="21"/>
        </w:rPr>
        <w:t xml:space="preserve"> </w:t>
      </w:r>
      <w:r>
        <w:rPr>
          <w:rFonts w:hint="eastAsia" w:ascii="Times New Roman" w:hAnsi="Times New Roman" w:eastAsia="宋体"/>
          <w:sz w:val="21"/>
        </w:rPr>
        <w:t>环境保护</w:t>
      </w:r>
    </w:p>
    <w:p>
      <w:pPr>
        <w:pStyle w:val="12"/>
        <w:spacing w:line="360" w:lineRule="auto"/>
        <w:ind w:firstLine="480"/>
      </w:pPr>
      <w:r>
        <w:rPr>
          <w:rFonts w:hint="eastAsia"/>
        </w:rPr>
        <w:t>1.9</w:t>
      </w:r>
      <w:r>
        <w:t xml:space="preserve">.1 </w:t>
      </w:r>
      <w:r>
        <w:rPr>
          <w:rFonts w:hint="eastAsia"/>
        </w:rPr>
        <w:t>承包人应遵守国家和地方有关环境保护的法规、规章，禁止随意弃土、堆放材料，禁止在河道内清洗装贮过油类或者有毒污染物的车辆、容器，不得使有害物质（扬尘、废水、废油）污染土地、河流。若因违反环境的有关规定而受到处罚或要求赔偿，承包人应负全部责任。</w:t>
      </w:r>
    </w:p>
    <w:p>
      <w:pPr>
        <w:pStyle w:val="12"/>
        <w:spacing w:line="360" w:lineRule="auto"/>
        <w:ind w:firstLine="480"/>
      </w:pPr>
      <w:r>
        <w:rPr>
          <w:rFonts w:hint="eastAsia"/>
        </w:rPr>
        <w:t>1.9</w:t>
      </w:r>
      <w:r>
        <w:t xml:space="preserve">.2 </w:t>
      </w:r>
      <w:r>
        <w:rPr>
          <w:rFonts w:hint="eastAsia"/>
        </w:rPr>
        <w:t>承包人应保持物业管理合同范围内的环境卫生，设置足够的临时卫生设施，定期清理维修养护废弃物和垃圾，并将其运至指定地点进行处理。</w:t>
      </w:r>
    </w:p>
    <w:p>
      <w:pPr>
        <w:pStyle w:val="12"/>
        <w:spacing w:line="360" w:lineRule="auto"/>
        <w:ind w:firstLine="480"/>
        <w:rPr>
          <w:rFonts w:hint="eastAsia"/>
        </w:rPr>
      </w:pPr>
      <w:r>
        <w:rPr>
          <w:rFonts w:hint="eastAsia"/>
        </w:rPr>
        <w:t>1.9</w:t>
      </w:r>
      <w:r>
        <w:t xml:space="preserve">.3 </w:t>
      </w:r>
      <w:r>
        <w:rPr>
          <w:rFonts w:hint="eastAsia"/>
        </w:rPr>
        <w:t>在全部维修养护工作完成后，已征得发包人同意的除外，承包人必须拆除一切应该拆除的临时维修养护设施和临时生活设施。拆除后的场地应彻底清理。凡发包人决定保留的设施，由发包人与承包人协商解决处理的办法。</w:t>
      </w:r>
      <w:bookmarkStart w:id="26" w:name="_Toc166549413"/>
    </w:p>
    <w:p>
      <w:pPr>
        <w:pStyle w:val="6"/>
        <w:tabs>
          <w:tab w:val="left" w:pos="864"/>
        </w:tabs>
        <w:rPr>
          <w:rFonts w:hint="eastAsia"/>
          <w:szCs w:val="24"/>
        </w:rPr>
      </w:pPr>
      <w:r>
        <w:rPr>
          <w:rFonts w:hint="eastAsia"/>
          <w:szCs w:val="24"/>
        </w:rPr>
        <w:t>2 山塘工程</w:t>
      </w:r>
      <w:bookmarkEnd w:id="26"/>
    </w:p>
    <w:p>
      <w:pPr>
        <w:pStyle w:val="12"/>
        <w:spacing w:line="360" w:lineRule="auto"/>
        <w:ind w:firstLine="480"/>
        <w:rPr>
          <w:rFonts w:hint="eastAsia"/>
          <w:szCs w:val="22"/>
        </w:rPr>
      </w:pPr>
      <w:r>
        <w:rPr>
          <w:rFonts w:hint="eastAsia"/>
          <w:szCs w:val="22"/>
        </w:rPr>
        <w:t>2.1运行操作</w:t>
      </w:r>
    </w:p>
    <w:p>
      <w:pPr>
        <w:pStyle w:val="12"/>
        <w:spacing w:line="360" w:lineRule="auto"/>
        <w:ind w:firstLine="480"/>
        <w:rPr>
          <w:rFonts w:hint="eastAsia"/>
          <w:szCs w:val="22"/>
        </w:rPr>
      </w:pPr>
      <w:r>
        <w:rPr>
          <w:rFonts w:hint="eastAsia"/>
          <w:szCs w:val="22"/>
        </w:rPr>
        <w:t>2.1.1 运行管理</w:t>
      </w:r>
    </w:p>
    <w:p>
      <w:pPr>
        <w:pStyle w:val="12"/>
        <w:spacing w:line="360" w:lineRule="auto"/>
        <w:ind w:firstLine="480"/>
        <w:rPr>
          <w:rFonts w:hint="eastAsia"/>
          <w:szCs w:val="22"/>
        </w:rPr>
      </w:pPr>
      <w:r>
        <w:rPr>
          <w:rFonts w:hint="eastAsia"/>
          <w:szCs w:val="22"/>
        </w:rPr>
        <w:t>为保障山塘在设计标准内安全运行，充分发挥山塘功能和效益，对已建成运行的山塘实施检查观测、维修养护、调度运行等一系列的管理活动。</w:t>
      </w:r>
    </w:p>
    <w:p>
      <w:pPr>
        <w:pStyle w:val="12"/>
        <w:spacing w:line="360" w:lineRule="auto"/>
        <w:ind w:firstLine="480"/>
        <w:rPr>
          <w:rFonts w:hint="eastAsia"/>
          <w:szCs w:val="22"/>
        </w:rPr>
      </w:pPr>
      <w:r>
        <w:rPr>
          <w:rFonts w:hint="eastAsia"/>
          <w:szCs w:val="22"/>
        </w:rPr>
        <w:t>4.1.2 每座山塘至少配备一名巡查员，其工作内容为：</w:t>
      </w:r>
    </w:p>
    <w:p>
      <w:pPr>
        <w:pStyle w:val="12"/>
        <w:spacing w:line="360" w:lineRule="auto"/>
        <w:ind w:firstLine="480"/>
        <w:rPr>
          <w:rFonts w:hint="eastAsia"/>
          <w:szCs w:val="22"/>
        </w:rPr>
      </w:pPr>
      <w:r>
        <w:rPr>
          <w:rFonts w:hint="eastAsia"/>
          <w:szCs w:val="22"/>
        </w:rPr>
        <w:t>（1）按规定做好山塘巡视检查和记录；</w:t>
      </w:r>
    </w:p>
    <w:p>
      <w:pPr>
        <w:pStyle w:val="12"/>
        <w:spacing w:line="360" w:lineRule="auto"/>
        <w:ind w:firstLine="480"/>
        <w:rPr>
          <w:rFonts w:hint="eastAsia"/>
          <w:szCs w:val="22"/>
        </w:rPr>
      </w:pPr>
      <w:r>
        <w:rPr>
          <w:rFonts w:hint="eastAsia"/>
          <w:szCs w:val="22"/>
        </w:rPr>
        <w:t>（2）发现险情（异常情况）立即向主管部门（业主）或上级报告；</w:t>
      </w:r>
    </w:p>
    <w:p>
      <w:pPr>
        <w:pStyle w:val="12"/>
        <w:spacing w:line="360" w:lineRule="auto"/>
        <w:ind w:firstLine="480"/>
        <w:rPr>
          <w:rFonts w:hint="eastAsia"/>
          <w:szCs w:val="22"/>
        </w:rPr>
      </w:pPr>
      <w:r>
        <w:rPr>
          <w:rFonts w:hint="eastAsia"/>
          <w:szCs w:val="22"/>
        </w:rPr>
        <w:t>（3）劝阻有危害工程安全的行为，并立即向主管部门（业主）或上级报告；</w:t>
      </w:r>
    </w:p>
    <w:p>
      <w:pPr>
        <w:pStyle w:val="12"/>
        <w:spacing w:line="360" w:lineRule="auto"/>
        <w:ind w:firstLine="480"/>
        <w:rPr>
          <w:rFonts w:hint="eastAsia"/>
          <w:szCs w:val="22"/>
        </w:rPr>
      </w:pPr>
      <w:r>
        <w:rPr>
          <w:rFonts w:hint="eastAsia"/>
          <w:szCs w:val="22"/>
        </w:rPr>
        <w:t>（4）遇台风、暴雨、地震等紧急情况，按上级要求做好有关工作。</w:t>
      </w:r>
    </w:p>
    <w:p>
      <w:pPr>
        <w:pStyle w:val="12"/>
        <w:spacing w:line="360" w:lineRule="auto"/>
        <w:ind w:firstLine="480"/>
        <w:rPr>
          <w:rFonts w:hint="eastAsia"/>
          <w:szCs w:val="22"/>
        </w:rPr>
      </w:pPr>
      <w:r>
        <w:rPr>
          <w:rFonts w:hint="eastAsia"/>
          <w:szCs w:val="22"/>
        </w:rPr>
        <w:t>4.2 工程检查</w:t>
      </w:r>
    </w:p>
    <w:p>
      <w:pPr>
        <w:pStyle w:val="12"/>
        <w:spacing w:line="360" w:lineRule="auto"/>
        <w:ind w:firstLine="480"/>
        <w:rPr>
          <w:rFonts w:hint="eastAsia"/>
          <w:szCs w:val="22"/>
        </w:rPr>
      </w:pPr>
      <w:r>
        <w:rPr>
          <w:rFonts w:hint="eastAsia"/>
          <w:szCs w:val="22"/>
        </w:rPr>
        <w:t>4.2.1一般规定：工程检查分为日常巡查、汛前检查、年度检查和特别检查。日常检查为汛期每天一次，非汛期三天一次，每周不少于3次；汛期检查需在每年4月15日前开展；年度检查需在每年10月15日后开展；不定期开展特别检查。</w:t>
      </w:r>
    </w:p>
    <w:p>
      <w:pPr>
        <w:pStyle w:val="12"/>
        <w:spacing w:line="360" w:lineRule="auto"/>
        <w:ind w:firstLine="480"/>
        <w:rPr>
          <w:rFonts w:hint="eastAsia"/>
          <w:szCs w:val="22"/>
        </w:rPr>
      </w:pPr>
      <w:r>
        <w:rPr>
          <w:rFonts w:hint="eastAsia"/>
          <w:szCs w:val="22"/>
        </w:rPr>
        <w:t>4.2.2检查范围：</w:t>
      </w:r>
      <w:r>
        <w:rPr>
          <w:rFonts w:hint="eastAsia"/>
        </w:rPr>
        <w:t>包括坝体、坝址区、输（泄）水建筑物、近坝岸坡以及水体、水质等。</w:t>
      </w:r>
    </w:p>
    <w:p>
      <w:pPr>
        <w:pStyle w:val="12"/>
        <w:spacing w:line="360" w:lineRule="auto"/>
        <w:ind w:firstLine="480"/>
        <w:rPr>
          <w:rFonts w:hint="eastAsia"/>
          <w:szCs w:val="22"/>
        </w:rPr>
      </w:pPr>
      <w:r>
        <w:rPr>
          <w:rFonts w:hint="eastAsia"/>
          <w:szCs w:val="22"/>
        </w:rPr>
        <w:t>4.3安全监测</w:t>
      </w:r>
    </w:p>
    <w:p>
      <w:pPr>
        <w:pStyle w:val="12"/>
        <w:spacing w:line="360" w:lineRule="auto"/>
        <w:ind w:firstLine="480"/>
        <w:rPr>
          <w:rFonts w:hint="eastAsia"/>
          <w:szCs w:val="22"/>
        </w:rPr>
      </w:pPr>
      <w:r>
        <w:rPr>
          <w:rFonts w:hint="eastAsia"/>
        </w:rPr>
        <w:t>4.3.1</w:t>
      </w:r>
      <w:r>
        <w:rPr>
          <w:rFonts w:hint="eastAsia"/>
          <w:szCs w:val="22"/>
        </w:rPr>
        <w:t>观测人员应及时整理监测成果并与前次监测成果进行对比，发现情况应及时分析，并开展复测工作。</w:t>
      </w:r>
    </w:p>
    <w:p>
      <w:pPr>
        <w:pStyle w:val="12"/>
        <w:spacing w:line="360" w:lineRule="auto"/>
        <w:ind w:firstLine="480"/>
        <w:rPr>
          <w:rFonts w:hint="eastAsia"/>
          <w:szCs w:val="22"/>
        </w:rPr>
      </w:pPr>
      <w:r>
        <w:rPr>
          <w:rFonts w:hint="eastAsia"/>
          <w:szCs w:val="22"/>
        </w:rPr>
        <w:t>4.4维修养护</w:t>
      </w:r>
    </w:p>
    <w:p>
      <w:pPr>
        <w:pStyle w:val="12"/>
        <w:spacing w:line="360" w:lineRule="auto"/>
        <w:ind w:firstLine="480"/>
        <w:rPr>
          <w:rFonts w:hint="eastAsia"/>
        </w:rPr>
      </w:pPr>
      <w:r>
        <w:rPr>
          <w:rFonts w:hint="eastAsia"/>
          <w:szCs w:val="22"/>
        </w:rPr>
        <w:t>4.4.1维修</w:t>
      </w:r>
      <w:r>
        <w:rPr>
          <w:rFonts w:hint="eastAsia"/>
        </w:rPr>
        <w:t>养护要求</w:t>
      </w:r>
    </w:p>
    <w:p>
      <w:pPr>
        <w:pStyle w:val="12"/>
        <w:spacing w:line="360" w:lineRule="auto"/>
        <w:ind w:firstLine="480"/>
        <w:rPr>
          <w:rFonts w:hint="eastAsia"/>
          <w:szCs w:val="22"/>
        </w:rPr>
      </w:pPr>
      <w:r>
        <w:rPr>
          <w:rFonts w:hint="eastAsia"/>
        </w:rPr>
        <w:t>（1）坝体</w:t>
      </w:r>
      <w:r>
        <w:rPr>
          <w:rFonts w:hint="eastAsia"/>
          <w:szCs w:val="22"/>
        </w:rPr>
        <w:t>、</w:t>
      </w:r>
      <w:r>
        <w:rPr>
          <w:rFonts w:hint="eastAsia"/>
        </w:rPr>
        <w:t>坝址区</w:t>
      </w:r>
      <w:r>
        <w:rPr>
          <w:rFonts w:hint="eastAsia"/>
          <w:szCs w:val="22"/>
        </w:rPr>
        <w:t>、</w:t>
      </w:r>
      <w:r>
        <w:rPr>
          <w:rFonts w:hint="eastAsia"/>
        </w:rPr>
        <w:t>输（泄）水建筑物</w:t>
      </w:r>
      <w:r>
        <w:rPr>
          <w:rFonts w:hint="eastAsia"/>
          <w:szCs w:val="22"/>
        </w:rPr>
        <w:t>等水工建筑物无明显的裂缝、滑坡、孔洞、破损、渗水、冲刷等现象。</w:t>
      </w:r>
    </w:p>
    <w:p>
      <w:pPr>
        <w:pStyle w:val="12"/>
        <w:spacing w:line="360" w:lineRule="auto"/>
        <w:ind w:firstLine="480"/>
        <w:rPr>
          <w:rFonts w:hint="eastAsia"/>
          <w:szCs w:val="22"/>
        </w:rPr>
      </w:pPr>
      <w:r>
        <w:rPr>
          <w:rFonts w:hint="eastAsia"/>
          <w:szCs w:val="22"/>
        </w:rPr>
        <w:t>（2）坝顶面整洁，无杂物、杂草等，排水沟畅通；廊道整洁，无积水、杂物等；</w:t>
      </w:r>
    </w:p>
    <w:p>
      <w:pPr>
        <w:pStyle w:val="12"/>
        <w:spacing w:line="360" w:lineRule="auto"/>
        <w:ind w:firstLine="480"/>
        <w:rPr>
          <w:rFonts w:hint="eastAsia"/>
          <w:szCs w:val="22"/>
        </w:rPr>
      </w:pPr>
      <w:r>
        <w:rPr>
          <w:rFonts w:hint="eastAsia"/>
          <w:szCs w:val="22"/>
        </w:rPr>
        <w:t>（3）溢洪道无堆积物等行水障碍物，过水通畅；</w:t>
      </w:r>
    </w:p>
    <w:p>
      <w:pPr>
        <w:pStyle w:val="12"/>
        <w:spacing w:line="360" w:lineRule="auto"/>
        <w:ind w:firstLine="480"/>
        <w:rPr>
          <w:rFonts w:hint="eastAsia"/>
          <w:szCs w:val="22"/>
        </w:rPr>
      </w:pPr>
      <w:r>
        <w:rPr>
          <w:rFonts w:hint="eastAsia"/>
          <w:szCs w:val="22"/>
        </w:rPr>
        <w:t>（4）边坡无危岩、大体积掉块及滑动迹象；</w:t>
      </w:r>
    </w:p>
    <w:p>
      <w:pPr>
        <w:pStyle w:val="12"/>
        <w:spacing w:line="360" w:lineRule="auto"/>
        <w:ind w:firstLine="480"/>
        <w:rPr>
          <w:rFonts w:hint="eastAsia"/>
          <w:szCs w:val="22"/>
        </w:rPr>
      </w:pPr>
      <w:r>
        <w:rPr>
          <w:rFonts w:hint="eastAsia"/>
          <w:szCs w:val="22"/>
        </w:rPr>
        <w:t>（5）钢闸门、拉杆表面无锈蚀及异常变形，启闭灵活，止水有效；</w:t>
      </w:r>
    </w:p>
    <w:p>
      <w:pPr>
        <w:pStyle w:val="12"/>
        <w:spacing w:line="360" w:lineRule="auto"/>
        <w:ind w:firstLine="480"/>
        <w:rPr>
          <w:rFonts w:hint="eastAsia"/>
          <w:szCs w:val="22"/>
        </w:rPr>
      </w:pPr>
      <w:r>
        <w:rPr>
          <w:rFonts w:hint="eastAsia"/>
          <w:szCs w:val="22"/>
        </w:rPr>
        <w:t>（6）启闭机外观整洁，保护装置可靠；电气设备、备用电源未超过使用年限，安全可靠，正常工作，有接地设施；</w:t>
      </w:r>
    </w:p>
    <w:p>
      <w:pPr>
        <w:pStyle w:val="12"/>
        <w:spacing w:line="360" w:lineRule="auto"/>
        <w:ind w:firstLine="480"/>
        <w:rPr>
          <w:rFonts w:hint="eastAsia"/>
          <w:szCs w:val="22"/>
        </w:rPr>
      </w:pPr>
      <w:r>
        <w:rPr>
          <w:rFonts w:hint="eastAsia"/>
          <w:szCs w:val="22"/>
        </w:rPr>
        <w:t>（7）管理房、启闭机房结构安全，室内整洁，照明设施工作正常，无漏水现象；</w:t>
      </w:r>
    </w:p>
    <w:p>
      <w:pPr>
        <w:pStyle w:val="12"/>
        <w:spacing w:line="360" w:lineRule="auto"/>
        <w:ind w:firstLine="480"/>
        <w:rPr>
          <w:rFonts w:hint="eastAsia"/>
          <w:szCs w:val="22"/>
        </w:rPr>
      </w:pPr>
      <w:r>
        <w:rPr>
          <w:rFonts w:hint="eastAsia"/>
          <w:szCs w:val="22"/>
        </w:rPr>
        <w:t>（8）水位尺完整，标识清晰；遥测设施工作正常，避雷装置有效；大坝观测基点及测点、仪器设备及其保护装置完好；</w:t>
      </w:r>
    </w:p>
    <w:p>
      <w:pPr>
        <w:pStyle w:val="12"/>
        <w:spacing w:line="360" w:lineRule="auto"/>
        <w:ind w:firstLine="480"/>
        <w:rPr>
          <w:rFonts w:hint="eastAsia"/>
          <w:szCs w:val="22"/>
        </w:rPr>
      </w:pPr>
      <w:r>
        <w:rPr>
          <w:rFonts w:hint="eastAsia"/>
          <w:szCs w:val="22"/>
        </w:rPr>
        <w:t>（9）标识标牌完整无缺失，字迹清晰；</w:t>
      </w:r>
    </w:p>
    <w:p>
      <w:pPr>
        <w:pStyle w:val="12"/>
        <w:spacing w:line="360" w:lineRule="auto"/>
        <w:ind w:firstLine="480"/>
        <w:rPr>
          <w:rFonts w:hint="eastAsia"/>
          <w:szCs w:val="22"/>
        </w:rPr>
      </w:pPr>
      <w:r>
        <w:rPr>
          <w:rFonts w:hint="eastAsia"/>
          <w:szCs w:val="22"/>
        </w:rPr>
        <w:t>（10）信息数据传输设施完好，监控无损坏现象，系统运行稳定；</w:t>
      </w:r>
    </w:p>
    <w:p>
      <w:pPr>
        <w:rPr>
          <w:rFonts w:hint="eastAsia"/>
          <w:sz w:val="24"/>
          <w:szCs w:val="22"/>
        </w:rPr>
      </w:pPr>
      <w:r>
        <w:rPr>
          <w:rFonts w:hint="eastAsia"/>
          <w:sz w:val="24"/>
          <w:szCs w:val="22"/>
        </w:rPr>
        <w:t>4.5其余未尽事项须</w:t>
      </w:r>
      <w:r>
        <w:rPr>
          <w:rFonts w:hint="eastAsia"/>
          <w:color w:val="auto"/>
          <w:sz w:val="24"/>
          <w:szCs w:val="22"/>
        </w:rPr>
        <w:t>参照《山塘运行管理规程》。</w:t>
      </w:r>
    </w:p>
    <w:p>
      <w:pPr>
        <w:pStyle w:val="6"/>
        <w:tabs>
          <w:tab w:val="left" w:pos="864"/>
        </w:tabs>
        <w:rPr>
          <w:szCs w:val="24"/>
        </w:rPr>
      </w:pPr>
      <w:bookmarkStart w:id="27" w:name="_Toc166549414"/>
      <w:r>
        <w:rPr>
          <w:rFonts w:hint="eastAsia"/>
          <w:szCs w:val="24"/>
        </w:rPr>
        <w:t>3 水闸工程</w:t>
      </w:r>
      <w:bookmarkEnd w:id="27"/>
    </w:p>
    <w:p>
      <w:pPr>
        <w:pStyle w:val="6"/>
        <w:tabs>
          <w:tab w:val="left" w:pos="864"/>
        </w:tabs>
        <w:rPr>
          <w:rFonts w:ascii="Times New Roman" w:hAnsi="Times New Roman" w:eastAsia="宋体"/>
          <w:sz w:val="21"/>
        </w:rPr>
      </w:pPr>
      <w:r>
        <w:rPr>
          <w:rFonts w:hint="eastAsia" w:ascii="Times New Roman" w:hAnsi="Times New Roman" w:eastAsia="宋体"/>
          <w:sz w:val="21"/>
        </w:rPr>
        <w:t>3.</w:t>
      </w:r>
      <w:r>
        <w:rPr>
          <w:rFonts w:ascii="Times New Roman" w:hAnsi="Times New Roman" w:eastAsia="宋体"/>
          <w:sz w:val="21"/>
        </w:rPr>
        <w:t xml:space="preserve">1 </w:t>
      </w:r>
      <w:r>
        <w:rPr>
          <w:rFonts w:hint="eastAsia" w:ascii="Times New Roman" w:hAnsi="Times New Roman" w:eastAsia="宋体"/>
          <w:sz w:val="21"/>
        </w:rPr>
        <w:t>运行操作</w:t>
      </w:r>
    </w:p>
    <w:p>
      <w:pPr>
        <w:pStyle w:val="12"/>
        <w:spacing w:line="360" w:lineRule="auto"/>
        <w:ind w:firstLine="480"/>
      </w:pPr>
      <w:r>
        <w:rPr>
          <w:rFonts w:hint="eastAsia"/>
        </w:rPr>
        <w:t>3</w:t>
      </w:r>
      <w:r>
        <w:t xml:space="preserve">.1.1 </w:t>
      </w:r>
      <w:r>
        <w:rPr>
          <w:rFonts w:hint="eastAsia"/>
        </w:rPr>
        <w:t>运用控制</w:t>
      </w:r>
    </w:p>
    <w:p>
      <w:pPr>
        <w:pStyle w:val="12"/>
        <w:spacing w:line="360" w:lineRule="auto"/>
        <w:ind w:firstLine="480"/>
      </w:pPr>
      <w:r>
        <w:rPr>
          <w:rFonts w:hint="eastAsia"/>
        </w:rPr>
        <w:t>3</w:t>
      </w:r>
      <w:r>
        <w:t xml:space="preserve">.1.1.1 </w:t>
      </w:r>
      <w:r>
        <w:rPr>
          <w:rFonts w:hint="eastAsia"/>
        </w:rPr>
        <w:t>运用控制应按照批准的水闸控制运用计划和合同约定的发包人指令进行，不得接受其它任何单位和个人指令。</w:t>
      </w:r>
    </w:p>
    <w:p>
      <w:pPr>
        <w:pStyle w:val="12"/>
        <w:spacing w:line="360" w:lineRule="auto"/>
        <w:ind w:firstLine="480"/>
      </w:pPr>
      <w:r>
        <w:rPr>
          <w:rFonts w:hint="eastAsia"/>
        </w:rPr>
        <w:t>3</w:t>
      </w:r>
      <w:r>
        <w:t xml:space="preserve">.1.1.2 </w:t>
      </w:r>
      <w:r>
        <w:rPr>
          <w:rFonts w:hint="eastAsia"/>
        </w:rPr>
        <w:t>各类水闸运用控制要求</w:t>
      </w:r>
    </w:p>
    <w:p>
      <w:pPr>
        <w:pStyle w:val="12"/>
        <w:spacing w:line="360" w:lineRule="auto"/>
        <w:ind w:firstLine="480"/>
      </w:pPr>
      <w:r>
        <w:t>（1）</w:t>
      </w:r>
      <w:r>
        <w:rPr>
          <w:rFonts w:hint="eastAsia"/>
        </w:rPr>
        <w:t>挡潮排涝闸</w:t>
      </w:r>
    </w:p>
    <w:p>
      <w:pPr>
        <w:pStyle w:val="12"/>
        <w:spacing w:line="360" w:lineRule="auto"/>
        <w:ind w:firstLine="480"/>
      </w:pPr>
      <w:r>
        <w:t>1</w:t>
      </w:r>
      <w:r>
        <w:rPr>
          <w:rFonts w:hint="eastAsia"/>
        </w:rPr>
        <w:t>）排水应在潮位削落至与闸上水位相平后开闸，在潮位回涨至接近闸上水位时（前）关闸，防止海水倒灌；</w:t>
      </w:r>
    </w:p>
    <w:p>
      <w:pPr>
        <w:pStyle w:val="12"/>
        <w:spacing w:line="360" w:lineRule="auto"/>
        <w:ind w:firstLine="480"/>
      </w:pPr>
      <w:r>
        <w:t>2</w:t>
      </w:r>
      <w:r>
        <w:rPr>
          <w:rFonts w:hint="eastAsia"/>
        </w:rPr>
        <w:t>）应根据不同季节供水与排水要求，控制适宜内河水位；汛期有暴雨预报，应适时预降内河水位；</w:t>
      </w:r>
    </w:p>
    <w:p>
      <w:pPr>
        <w:pStyle w:val="12"/>
        <w:spacing w:line="360" w:lineRule="auto"/>
        <w:ind w:firstLine="480"/>
      </w:pPr>
      <w:r>
        <w:t>3</w:t>
      </w:r>
      <w:r>
        <w:rPr>
          <w:rFonts w:hint="eastAsia"/>
        </w:rPr>
        <w:t>）汛期应充分利用泄水冲淤；非汛期有冲淤水源，宜在大潮期退潮时冲淤。</w:t>
      </w:r>
    </w:p>
    <w:p>
      <w:pPr>
        <w:pStyle w:val="12"/>
        <w:spacing w:line="360" w:lineRule="auto"/>
        <w:ind w:firstLine="480"/>
      </w:pPr>
      <w:r>
        <w:t>4</w:t>
      </w:r>
      <w:r>
        <w:rPr>
          <w:rFonts w:hint="eastAsia"/>
        </w:rPr>
        <w:t>）合理开闸调度，防止引起局部淤积或冲刷。</w:t>
      </w:r>
    </w:p>
    <w:p>
      <w:pPr>
        <w:pStyle w:val="12"/>
        <w:spacing w:line="360" w:lineRule="auto"/>
        <w:ind w:firstLine="480"/>
      </w:pPr>
      <w:r>
        <w:t>（2）</w:t>
      </w:r>
      <w:r>
        <w:rPr>
          <w:rFonts w:hint="eastAsia"/>
        </w:rPr>
        <w:t>节制闸</w:t>
      </w:r>
    </w:p>
    <w:p>
      <w:pPr>
        <w:pStyle w:val="12"/>
        <w:spacing w:line="360" w:lineRule="auto"/>
        <w:ind w:firstLine="480"/>
      </w:pPr>
      <w:r>
        <w:t>1</w:t>
      </w:r>
      <w:r>
        <w:rPr>
          <w:rFonts w:hint="eastAsia"/>
        </w:rPr>
        <w:t>）根据区域降水、河道来水和工农业生产用水情况，适时调节上下游水位和下泄流量；</w:t>
      </w:r>
    </w:p>
    <w:p>
      <w:pPr>
        <w:pStyle w:val="12"/>
        <w:spacing w:line="360" w:lineRule="auto"/>
        <w:ind w:firstLine="480"/>
      </w:pPr>
      <w:r>
        <w:t>2</w:t>
      </w:r>
      <w:r>
        <w:rPr>
          <w:rFonts w:hint="eastAsia"/>
        </w:rPr>
        <w:t>）当出现洪水时，根据水闸过流能力及河道行洪能力，及时泄洪；汛末根据水情预报，在不影响后期防洪安全情况下，适时拦蓄尾水，抬高上游水位，合理利用洪水资源；</w:t>
      </w:r>
    </w:p>
    <w:p>
      <w:pPr>
        <w:pStyle w:val="12"/>
        <w:spacing w:line="360" w:lineRule="auto"/>
        <w:ind w:firstLine="480"/>
      </w:pPr>
      <w:r>
        <w:t>3</w:t>
      </w:r>
      <w:r>
        <w:rPr>
          <w:rFonts w:hint="eastAsia"/>
        </w:rPr>
        <w:t>）根据水环境和防污要求，协同做好调度工作。</w:t>
      </w:r>
    </w:p>
    <w:p>
      <w:pPr>
        <w:pStyle w:val="12"/>
        <w:spacing w:line="360" w:lineRule="auto"/>
        <w:ind w:firstLine="480"/>
      </w:pPr>
      <w:r>
        <w:t>（3）</w:t>
      </w:r>
      <w:r>
        <w:rPr>
          <w:rFonts w:hint="eastAsia"/>
        </w:rPr>
        <w:t>引水闸</w:t>
      </w:r>
    </w:p>
    <w:p>
      <w:pPr>
        <w:pStyle w:val="12"/>
        <w:spacing w:line="360" w:lineRule="auto"/>
        <w:ind w:firstLine="480"/>
      </w:pPr>
      <w:r>
        <w:t>1</w:t>
      </w:r>
      <w:r>
        <w:rPr>
          <w:rFonts w:hint="eastAsia"/>
        </w:rPr>
        <w:t>）</w:t>
      </w:r>
      <w:r>
        <w:t xml:space="preserve"> </w:t>
      </w:r>
      <w:r>
        <w:rPr>
          <w:rFonts w:hint="eastAsia"/>
        </w:rPr>
        <w:t>根据水源、需水要求，有计划地进行引水换水；</w:t>
      </w:r>
    </w:p>
    <w:p>
      <w:pPr>
        <w:pStyle w:val="12"/>
        <w:spacing w:line="360" w:lineRule="auto"/>
        <w:ind w:firstLine="480"/>
      </w:pPr>
      <w:r>
        <w:t>2</w:t>
      </w:r>
      <w:r>
        <w:rPr>
          <w:rFonts w:hint="eastAsia"/>
        </w:rPr>
        <w:t>）引水时密切关注水质状况，根据水质要求，根据水质要求，调整引水流量，防止污染事件的发生。</w:t>
      </w:r>
    </w:p>
    <w:p>
      <w:pPr>
        <w:pStyle w:val="12"/>
        <w:spacing w:line="360" w:lineRule="auto"/>
        <w:ind w:firstLine="480"/>
      </w:pPr>
      <w:r>
        <w:t>（4）</w:t>
      </w:r>
      <w:r>
        <w:rPr>
          <w:rFonts w:hint="eastAsia"/>
        </w:rPr>
        <w:t>分（蓄）洪闸</w:t>
      </w:r>
    </w:p>
    <w:p>
      <w:pPr>
        <w:pStyle w:val="12"/>
        <w:spacing w:line="360" w:lineRule="auto"/>
        <w:ind w:firstLine="480"/>
      </w:pPr>
      <w:r>
        <w:t>1</w:t>
      </w:r>
      <w:r>
        <w:rPr>
          <w:rFonts w:hint="eastAsia"/>
        </w:rPr>
        <w:t>）根据水情和蓄（滞）洪区控制运用条件，及时做好各项分洪准备工作；</w:t>
      </w:r>
    </w:p>
    <w:p>
      <w:pPr>
        <w:pStyle w:val="12"/>
        <w:spacing w:line="360" w:lineRule="auto"/>
        <w:ind w:firstLine="480"/>
      </w:pPr>
      <w:r>
        <w:t>2</w:t>
      </w:r>
      <w:r>
        <w:rPr>
          <w:rFonts w:hint="eastAsia"/>
        </w:rPr>
        <w:t>）根据发包方的调度指令，按要求做好分（蓄）洪预警和闸门控制；</w:t>
      </w:r>
    </w:p>
    <w:p>
      <w:pPr>
        <w:pStyle w:val="12"/>
        <w:spacing w:line="360" w:lineRule="auto"/>
        <w:ind w:firstLine="480"/>
      </w:pPr>
      <w:r>
        <w:t>3</w:t>
      </w:r>
      <w:r>
        <w:rPr>
          <w:rFonts w:hint="eastAsia"/>
        </w:rPr>
        <w:t>）分洪初期，应严格按照实施细则中有关规定进行操作，始流状态严禁大开度提升闸门，启闭过程中严密监视下游消能防冲设施安全状况；</w:t>
      </w:r>
    </w:p>
    <w:p>
      <w:pPr>
        <w:pStyle w:val="12"/>
        <w:spacing w:line="360" w:lineRule="auto"/>
        <w:ind w:firstLine="482"/>
      </w:pPr>
      <w:r>
        <w:rPr>
          <w:b/>
          <w:bCs/>
        </w:rPr>
        <w:t>（5）</w:t>
      </w:r>
      <w:r>
        <w:rPr>
          <w:rFonts w:hint="eastAsia"/>
        </w:rPr>
        <w:t>通航孔</w:t>
      </w:r>
    </w:p>
    <w:p>
      <w:pPr>
        <w:pStyle w:val="12"/>
        <w:spacing w:line="360" w:lineRule="auto"/>
        <w:ind w:firstLine="480"/>
      </w:pPr>
      <w:r>
        <w:t>1</w:t>
      </w:r>
      <w:r>
        <w:rPr>
          <w:rFonts w:hint="eastAsia"/>
        </w:rPr>
        <w:t>）开闸通航宜充分利用白天时间，通航时水位差，应以保证通航和建筑物安全为原则；</w:t>
      </w:r>
    </w:p>
    <w:p>
      <w:pPr>
        <w:pStyle w:val="12"/>
        <w:spacing w:line="360" w:lineRule="auto"/>
        <w:ind w:firstLine="480"/>
      </w:pPr>
      <w:r>
        <w:t>2</w:t>
      </w:r>
      <w:r>
        <w:rPr>
          <w:rFonts w:hint="eastAsia"/>
        </w:rPr>
        <w:t>）遇有大风、大雪、大雾、暴雨等不适宜通航情况，应及时停止通航。</w:t>
      </w:r>
    </w:p>
    <w:p>
      <w:pPr>
        <w:pStyle w:val="12"/>
        <w:spacing w:line="360" w:lineRule="auto"/>
        <w:ind w:firstLine="480"/>
      </w:pPr>
      <w:r>
        <w:rPr>
          <w:rFonts w:hint="eastAsia"/>
        </w:rPr>
        <w:t>3</w:t>
      </w:r>
      <w:r>
        <w:t xml:space="preserve">.1.1.3 </w:t>
      </w:r>
      <w:r>
        <w:rPr>
          <w:rFonts w:hint="eastAsia"/>
        </w:rPr>
        <w:t>闸门操作运用</w:t>
      </w:r>
    </w:p>
    <w:p>
      <w:pPr>
        <w:pStyle w:val="12"/>
        <w:spacing w:line="360" w:lineRule="auto"/>
        <w:ind w:firstLine="482"/>
      </w:pPr>
      <w:r>
        <w:rPr>
          <w:b/>
          <w:bCs/>
        </w:rPr>
        <w:t>（1）</w:t>
      </w:r>
      <w:r>
        <w:rPr>
          <w:rFonts w:hint="eastAsia"/>
        </w:rPr>
        <w:t>闸门操作运用基本要求：</w:t>
      </w:r>
    </w:p>
    <w:p>
      <w:pPr>
        <w:pStyle w:val="12"/>
        <w:spacing w:line="360" w:lineRule="auto"/>
        <w:ind w:firstLine="480"/>
      </w:pPr>
      <w:r>
        <w:t>1</w:t>
      </w:r>
      <w:r>
        <w:rPr>
          <w:rFonts w:hint="eastAsia"/>
        </w:rPr>
        <w:t>）过闸流量应与下游水位相适应，使水跃发生在消力池内；</w:t>
      </w:r>
    </w:p>
    <w:p>
      <w:pPr>
        <w:pStyle w:val="12"/>
        <w:spacing w:line="360" w:lineRule="auto"/>
        <w:ind w:firstLine="480"/>
      </w:pPr>
      <w:r>
        <w:t>2</w:t>
      </w:r>
      <w:r>
        <w:rPr>
          <w:rFonts w:hint="eastAsia"/>
        </w:rPr>
        <w:t>）过闸水流应平稳，避免发生集中水流、折冲水流、回流、漩涡等不良流态；</w:t>
      </w:r>
    </w:p>
    <w:p>
      <w:pPr>
        <w:pStyle w:val="12"/>
        <w:spacing w:line="360" w:lineRule="auto"/>
        <w:ind w:firstLine="480"/>
      </w:pPr>
      <w:r>
        <w:t>3</w:t>
      </w:r>
      <w:r>
        <w:rPr>
          <w:rFonts w:hint="eastAsia"/>
        </w:rPr>
        <w:t>）关闸或减少过闸流量，应避免下游河道水位降落过快；</w:t>
      </w:r>
    </w:p>
    <w:p>
      <w:pPr>
        <w:pStyle w:val="12"/>
        <w:spacing w:line="360" w:lineRule="auto"/>
        <w:ind w:firstLine="480"/>
      </w:pPr>
      <w:r>
        <w:t>4</w:t>
      </w:r>
      <w:r>
        <w:rPr>
          <w:rFonts w:hint="eastAsia"/>
        </w:rPr>
        <w:t>）应避免闸门开启高度在发生振动位置。</w:t>
      </w:r>
    </w:p>
    <w:p>
      <w:pPr>
        <w:pStyle w:val="12"/>
        <w:spacing w:line="360" w:lineRule="auto"/>
        <w:ind w:firstLine="480"/>
      </w:pPr>
      <w:r>
        <w:t>5</w:t>
      </w:r>
      <w:r>
        <w:rPr>
          <w:rFonts w:hint="eastAsia"/>
        </w:rPr>
        <w:t>）在不开闸时，应将闸门恢复到“正确的起始状态”位置，并切断总操作电源。</w:t>
      </w:r>
    </w:p>
    <w:p>
      <w:pPr>
        <w:pStyle w:val="12"/>
        <w:spacing w:line="360" w:lineRule="auto"/>
        <w:ind w:firstLine="482"/>
      </w:pPr>
      <w:r>
        <w:rPr>
          <w:b/>
          <w:bCs/>
        </w:rPr>
        <w:t>（2）</w:t>
      </w:r>
      <w:r>
        <w:rPr>
          <w:rFonts w:hint="eastAsia"/>
        </w:rPr>
        <w:t>闸门启闭前应作好下列准备工作：</w:t>
      </w:r>
    </w:p>
    <w:p>
      <w:pPr>
        <w:pStyle w:val="12"/>
        <w:spacing w:line="360" w:lineRule="auto"/>
        <w:ind w:firstLine="480"/>
      </w:pPr>
      <w:r>
        <w:t>1</w:t>
      </w:r>
      <w:r>
        <w:rPr>
          <w:rFonts w:hint="eastAsia"/>
        </w:rPr>
        <w:t>）承包人应当根据水闸放水预案和发包人的指令，在闸门启闭前做好相应准备工作；</w:t>
      </w:r>
    </w:p>
    <w:p>
      <w:pPr>
        <w:pStyle w:val="12"/>
        <w:spacing w:line="360" w:lineRule="auto"/>
        <w:ind w:firstLine="480"/>
      </w:pPr>
      <w:r>
        <w:t>2</w:t>
      </w:r>
      <w:r>
        <w:rPr>
          <w:rFonts w:hint="eastAsia"/>
        </w:rPr>
        <w:t>）检查并妥善处理上、下游管理范围和安全警戒区内船只、漂浮物或其它阻水障碍；位于通航河道上水闸应按规定设置助航标志；</w:t>
      </w:r>
    </w:p>
    <w:p>
      <w:pPr>
        <w:pStyle w:val="12"/>
        <w:spacing w:line="360" w:lineRule="auto"/>
        <w:ind w:firstLine="480"/>
      </w:pPr>
      <w:r>
        <w:t>3</w:t>
      </w:r>
      <w:r>
        <w:rPr>
          <w:rFonts w:hint="eastAsia"/>
        </w:rPr>
        <w:t>）检查闸门启、闭状态，有无卡阻；</w:t>
      </w:r>
    </w:p>
    <w:p>
      <w:pPr>
        <w:pStyle w:val="12"/>
        <w:spacing w:line="360" w:lineRule="auto"/>
        <w:ind w:firstLine="480"/>
      </w:pPr>
      <w:r>
        <w:t>4</w:t>
      </w:r>
      <w:r>
        <w:rPr>
          <w:rFonts w:hint="eastAsia"/>
        </w:rPr>
        <w:t>）检查机电等启闭设备是否符合安全运行要求；</w:t>
      </w:r>
    </w:p>
    <w:p>
      <w:pPr>
        <w:pStyle w:val="12"/>
        <w:spacing w:line="360" w:lineRule="auto"/>
        <w:ind w:firstLine="480"/>
      </w:pPr>
      <w:r>
        <w:t>5</w:t>
      </w:r>
      <w:r>
        <w:rPr>
          <w:rFonts w:hint="eastAsia"/>
        </w:rPr>
        <w:t>）观察上、下游水位、流态，查对流量。</w:t>
      </w:r>
    </w:p>
    <w:p>
      <w:pPr>
        <w:pStyle w:val="12"/>
        <w:spacing w:line="360" w:lineRule="auto"/>
        <w:ind w:firstLine="480"/>
      </w:pPr>
      <w:r>
        <w:t>（3）</w:t>
      </w:r>
      <w:r>
        <w:rPr>
          <w:rFonts w:hint="eastAsia"/>
        </w:rPr>
        <w:t>多孔水闸闸门操作运用应符合下列规定：</w:t>
      </w:r>
    </w:p>
    <w:p>
      <w:pPr>
        <w:pStyle w:val="12"/>
        <w:spacing w:line="360" w:lineRule="auto"/>
        <w:ind w:firstLine="480"/>
      </w:pPr>
      <w:r>
        <w:t>1</w:t>
      </w:r>
      <w:r>
        <w:rPr>
          <w:rFonts w:hint="eastAsia"/>
        </w:rPr>
        <w:t>）多孔闸闸门应按设计提供的启闭要求或可按成熟管理运用经验进行操作运行，一般应同时分级均匀启闭，不能同时启闭时，应由中间向两边依次对称开启，由两边向中间依次对称关闭；</w:t>
      </w:r>
    </w:p>
    <w:p>
      <w:pPr>
        <w:pStyle w:val="12"/>
        <w:spacing w:line="360" w:lineRule="auto"/>
        <w:ind w:firstLine="480"/>
      </w:pPr>
      <w:r>
        <w:t>2）</w:t>
      </w:r>
      <w:r>
        <w:rPr>
          <w:rFonts w:hint="eastAsia"/>
        </w:rPr>
        <w:t>多孔闸闸下河道淤积严重时，可开启单孔或少数孔闸门进行适度冲淤，但应加强监视，严防消能防冲设施遭受损坏；</w:t>
      </w:r>
    </w:p>
    <w:p>
      <w:pPr>
        <w:pStyle w:val="12"/>
        <w:spacing w:line="360" w:lineRule="auto"/>
        <w:ind w:firstLine="480"/>
      </w:pPr>
      <w:r>
        <w:rPr>
          <w:rFonts w:hint="eastAsia"/>
        </w:rPr>
        <w:t>3</w:t>
      </w:r>
      <w:r>
        <w:t xml:space="preserve">.1.1.4 </w:t>
      </w:r>
      <w:r>
        <w:rPr>
          <w:rFonts w:hint="eastAsia"/>
        </w:rPr>
        <w:t>闸门操作应遵守下列规定：</w:t>
      </w:r>
    </w:p>
    <w:p>
      <w:pPr>
        <w:pStyle w:val="12"/>
        <w:spacing w:line="360" w:lineRule="auto"/>
        <w:ind w:firstLine="480"/>
      </w:pPr>
      <w:r>
        <w:t>（1）</w:t>
      </w:r>
      <w:r>
        <w:rPr>
          <w:rFonts w:hint="eastAsia"/>
        </w:rPr>
        <w:t>每次操作运用工作人员应为</w:t>
      </w:r>
      <w:r>
        <w:t xml:space="preserve">2 </w:t>
      </w:r>
      <w:r>
        <w:rPr>
          <w:rFonts w:hint="eastAsia"/>
        </w:rPr>
        <w:t>人（中型水闸至少</w:t>
      </w:r>
      <w:r>
        <w:t>2</w:t>
      </w:r>
      <w:r>
        <w:rPr>
          <w:rFonts w:hint="eastAsia"/>
        </w:rPr>
        <w:t>），其中</w:t>
      </w:r>
      <w:r>
        <w:t xml:space="preserve">1 </w:t>
      </w:r>
      <w:r>
        <w:rPr>
          <w:rFonts w:hint="eastAsia"/>
        </w:rPr>
        <w:t>人操作，</w:t>
      </w:r>
      <w:r>
        <w:t xml:space="preserve">1 </w:t>
      </w:r>
      <w:r>
        <w:rPr>
          <w:rFonts w:hint="eastAsia"/>
        </w:rPr>
        <w:t>人监护和协助。宜由持证的闸门运行工进行操作、监护，固定岗位，明确职责，做到准确及时；</w:t>
      </w:r>
    </w:p>
    <w:p>
      <w:pPr>
        <w:pStyle w:val="12"/>
        <w:spacing w:line="360" w:lineRule="auto"/>
        <w:ind w:firstLine="480"/>
      </w:pPr>
      <w:r>
        <w:t>（2）</w:t>
      </w:r>
      <w:r>
        <w:rPr>
          <w:rFonts w:hint="eastAsia"/>
        </w:rPr>
        <w:t>电动、手摇两用启闭机人工操作前，必须先断开电源；闭门时严禁松开制动器使闸门自由下落；操作结束应立即取下摇柄；</w:t>
      </w:r>
    </w:p>
    <w:p>
      <w:pPr>
        <w:pStyle w:val="12"/>
        <w:spacing w:line="360" w:lineRule="auto"/>
        <w:ind w:firstLine="480"/>
      </w:pPr>
      <w:r>
        <w:t>（3）</w:t>
      </w:r>
      <w:r>
        <w:rPr>
          <w:rFonts w:hint="eastAsia"/>
        </w:rPr>
        <w:t>有锁定装置的闸门，闭门前应先打开锁定装置；闸门开启完毕后，待锁定可靠后，才能进行下一孔操作；</w:t>
      </w:r>
    </w:p>
    <w:p>
      <w:pPr>
        <w:pStyle w:val="12"/>
        <w:spacing w:line="360" w:lineRule="auto"/>
        <w:ind w:firstLine="480"/>
      </w:pPr>
      <w:r>
        <w:t>（4）</w:t>
      </w:r>
      <w:r>
        <w:rPr>
          <w:rFonts w:hint="eastAsia"/>
        </w:rPr>
        <w:t>两台启闭机控制一扇闸门，应严格保持同步；</w:t>
      </w:r>
    </w:p>
    <w:p>
      <w:pPr>
        <w:pStyle w:val="12"/>
        <w:spacing w:line="360" w:lineRule="auto"/>
        <w:ind w:firstLine="480"/>
      </w:pPr>
      <w:r>
        <w:t>（5）</w:t>
      </w:r>
      <w:r>
        <w:rPr>
          <w:rFonts w:hint="eastAsia"/>
        </w:rPr>
        <w:t>运行时如发现异常现象，如沉重、停滞、卡阻、杂声等，应立即停止运行，待检查处理后再运行；</w:t>
      </w:r>
    </w:p>
    <w:p>
      <w:pPr>
        <w:pStyle w:val="12"/>
        <w:spacing w:line="360" w:lineRule="auto"/>
        <w:ind w:firstLine="480"/>
      </w:pPr>
      <w:r>
        <w:t>（6）</w:t>
      </w:r>
      <w:r>
        <w:rPr>
          <w:rFonts w:hint="eastAsia"/>
        </w:rPr>
        <w:t>闸门正在启闭时，不得按反向按钮，如需反向运行，应先按停止按钮，然后才能反向运行；</w:t>
      </w:r>
    </w:p>
    <w:p>
      <w:pPr>
        <w:pStyle w:val="12"/>
        <w:spacing w:line="360" w:lineRule="auto"/>
        <w:ind w:firstLine="480"/>
      </w:pPr>
      <w:r>
        <w:t>（7）</w:t>
      </w:r>
      <w:r>
        <w:rPr>
          <w:rFonts w:hint="eastAsia"/>
        </w:rPr>
        <w:t>使用液压启闭机，当闸门开启到达预定位置，压力仍然升高时，应立即控制油压；</w:t>
      </w:r>
    </w:p>
    <w:p>
      <w:pPr>
        <w:pStyle w:val="12"/>
        <w:spacing w:line="360" w:lineRule="auto"/>
        <w:ind w:firstLine="480"/>
      </w:pPr>
      <w:r>
        <w:t>（8）</w:t>
      </w:r>
      <w:r>
        <w:rPr>
          <w:rFonts w:hint="eastAsia"/>
        </w:rPr>
        <w:t>当闸门开启接近最大开度或关闭接近底板门槛时，应加强观察并及时停止运行；遇有闸门关闭不严现象，应查明原因进行处理；使用螺杆启闭机的，禁止强行顶压</w:t>
      </w:r>
      <w:r>
        <w:t>;</w:t>
      </w:r>
    </w:p>
    <w:p>
      <w:pPr>
        <w:pStyle w:val="6"/>
        <w:tabs>
          <w:tab w:val="left" w:pos="864"/>
        </w:tabs>
        <w:rPr>
          <w:rFonts w:ascii="Times New Roman" w:hAnsi="Times New Roman" w:eastAsia="宋体"/>
          <w:sz w:val="21"/>
        </w:rPr>
      </w:pPr>
      <w:r>
        <w:rPr>
          <w:rFonts w:hint="eastAsia" w:ascii="Times New Roman" w:hAnsi="Times New Roman" w:eastAsia="宋体"/>
          <w:sz w:val="21"/>
        </w:rPr>
        <w:t>3</w:t>
      </w:r>
      <w:r>
        <w:rPr>
          <w:rFonts w:ascii="Times New Roman" w:hAnsi="Times New Roman" w:eastAsia="宋体"/>
          <w:sz w:val="21"/>
        </w:rPr>
        <w:t xml:space="preserve">.2 </w:t>
      </w:r>
      <w:r>
        <w:rPr>
          <w:rFonts w:hint="eastAsia" w:ascii="Times New Roman" w:hAnsi="Times New Roman" w:eastAsia="宋体"/>
          <w:sz w:val="21"/>
        </w:rPr>
        <w:t>工程检查</w:t>
      </w:r>
    </w:p>
    <w:p>
      <w:pPr>
        <w:pStyle w:val="12"/>
        <w:spacing w:line="360" w:lineRule="auto"/>
        <w:ind w:firstLine="480"/>
      </w:pPr>
      <w:r>
        <w:rPr>
          <w:rFonts w:hint="eastAsia"/>
        </w:rPr>
        <w:t>3</w:t>
      </w:r>
      <w:r>
        <w:t xml:space="preserve">.2.1 </w:t>
      </w:r>
      <w:r>
        <w:rPr>
          <w:rFonts w:hint="eastAsia"/>
        </w:rPr>
        <w:t>日常检查：建成初期宜每周二次；正常运行期不得少于每月一次，其中闸门、启闭机、机电设备每周一次；汛期增加检查次数，至少每天一次；当水闸达到设计水位运行时，每次放水后要仔细检查。</w:t>
      </w:r>
    </w:p>
    <w:p>
      <w:pPr>
        <w:pStyle w:val="12"/>
        <w:spacing w:line="360" w:lineRule="auto"/>
        <w:ind w:firstLine="480"/>
      </w:pPr>
      <w:r>
        <w:rPr>
          <w:rFonts w:hint="eastAsia"/>
        </w:rPr>
        <w:t>3</w:t>
      </w:r>
      <w:r>
        <w:t xml:space="preserve">.2.1.1 </w:t>
      </w:r>
      <w:r>
        <w:rPr>
          <w:rFonts w:hint="eastAsia"/>
        </w:rPr>
        <w:t>下列情况应加强检查：</w:t>
      </w:r>
    </w:p>
    <w:p>
      <w:pPr>
        <w:pStyle w:val="12"/>
        <w:spacing w:line="360" w:lineRule="auto"/>
        <w:ind w:firstLine="480"/>
      </w:pPr>
      <w:r>
        <w:t>（1）</w:t>
      </w:r>
      <w:r>
        <w:rPr>
          <w:rFonts w:hint="eastAsia"/>
        </w:rPr>
        <w:t>新建和加固工程在运行初期由于地基沉陷、机电设备、金属结构等多方面存在不稳定因素，应加强日常检查工作；</w:t>
      </w:r>
    </w:p>
    <w:p>
      <w:pPr>
        <w:pStyle w:val="12"/>
        <w:spacing w:line="360" w:lineRule="auto"/>
        <w:ind w:firstLine="480"/>
      </w:pPr>
      <w:r>
        <w:t>（2）</w:t>
      </w:r>
      <w:r>
        <w:rPr>
          <w:rFonts w:hint="eastAsia"/>
        </w:rPr>
        <w:t>涵闸已运行多年，安全隐患多，应加强日常检查工作；</w:t>
      </w:r>
    </w:p>
    <w:p>
      <w:pPr>
        <w:pStyle w:val="12"/>
        <w:spacing w:line="360" w:lineRule="auto"/>
        <w:ind w:firstLine="480"/>
      </w:pPr>
      <w:r>
        <w:t>（3）</w:t>
      </w:r>
      <w:r>
        <w:rPr>
          <w:rFonts w:hint="eastAsia"/>
        </w:rPr>
        <w:t>水闸开启放水期间应加强日常检查工作；</w:t>
      </w:r>
    </w:p>
    <w:p>
      <w:pPr>
        <w:pStyle w:val="12"/>
        <w:spacing w:line="360" w:lineRule="auto"/>
        <w:ind w:firstLine="480"/>
      </w:pPr>
      <w:r>
        <w:t>（4）</w:t>
      </w:r>
      <w:r>
        <w:rPr>
          <w:rFonts w:hint="eastAsia"/>
        </w:rPr>
        <w:t>主汛期，水闸应用频繁，水位较高且水位变化较快，流量较大，需加强检查；台风以及暴风雨或地震影响本区时，应增加检查次数；</w:t>
      </w:r>
    </w:p>
    <w:p>
      <w:pPr>
        <w:pStyle w:val="12"/>
        <w:spacing w:line="360" w:lineRule="auto"/>
        <w:ind w:firstLine="480"/>
      </w:pPr>
      <w:r>
        <w:t>（5）</w:t>
      </w:r>
      <w:r>
        <w:rPr>
          <w:rFonts w:hint="eastAsia"/>
        </w:rPr>
        <w:t>水闸关闭且上下游水位差较大期间要加强日常检查工作。</w:t>
      </w:r>
    </w:p>
    <w:p>
      <w:pPr>
        <w:pStyle w:val="12"/>
        <w:spacing w:line="360" w:lineRule="auto"/>
        <w:ind w:firstLine="480"/>
      </w:pPr>
      <w:r>
        <w:rPr>
          <w:rFonts w:hint="eastAsia"/>
        </w:rPr>
        <w:t>3</w:t>
      </w:r>
      <w:r>
        <w:t xml:space="preserve">.2.1.2 </w:t>
      </w:r>
      <w:r>
        <w:rPr>
          <w:rFonts w:hint="eastAsia"/>
        </w:rPr>
        <w:t>日常检查内容：</w:t>
      </w:r>
    </w:p>
    <w:p>
      <w:pPr>
        <w:pStyle w:val="12"/>
        <w:spacing w:line="360" w:lineRule="auto"/>
        <w:ind w:firstLine="480"/>
      </w:pPr>
      <w:r>
        <w:t>（1）</w:t>
      </w:r>
      <w:r>
        <w:rPr>
          <w:rFonts w:hint="eastAsia"/>
        </w:rPr>
        <w:t>土方工程包括水闸两岸堤顶、堤坡、翼墙后填土有无雨淋沟、坑口、裂缝；堤身有无挖坑、取土、缺口、耕种农作物等人为破坏现象；是否有害虫、害兽活动痕迹；排水、导渗、减压设施有无损坏、沙石淤积堵塞、失效；高水位期间，检查堤闸接头、背水坡、堤脚等处有无散浸、漏水、管涌、流土等现象；减压井、反滤设施等渗水是否有异常变化，是否浑浊或有别的颜色，如发现异常，要加强观察。</w:t>
      </w:r>
    </w:p>
    <w:p>
      <w:pPr>
        <w:pStyle w:val="12"/>
        <w:spacing w:line="360" w:lineRule="auto"/>
        <w:ind w:firstLine="480"/>
      </w:pPr>
      <w:r>
        <w:t>（2）</w:t>
      </w:r>
      <w:r>
        <w:rPr>
          <w:rFonts w:hint="eastAsia"/>
        </w:rPr>
        <w:t>石方工程包括块石护坡、护岸，检查有无块石翻起、松动、塌陷、缺失、垫层流失、底部掏空、风化等破坏现象；对上、下游翼墙或挡土墙等，主要检查墙体有无倾斜、滑动、勾缝脱落；排水管有无堵塞、损坏等现象；高水位时，注意墙体有无渗水，渗水是否浑浊。</w:t>
      </w:r>
    </w:p>
    <w:p>
      <w:pPr>
        <w:pStyle w:val="12"/>
        <w:spacing w:line="360" w:lineRule="auto"/>
        <w:ind w:firstLine="480"/>
      </w:pPr>
      <w:r>
        <w:t>（3）</w:t>
      </w:r>
      <w:r>
        <w:rPr>
          <w:rFonts w:hint="eastAsia"/>
        </w:rPr>
        <w:t>混凝土工程包括混凝土建筑物有无裂缝、腐蚀、磨损、剥蚀、露筋及钢筋锈蚀等情况；伸缩缝止水有无损坏、漏水及填充物流失等情况；公路桥桥面、栏杆等安全设施有无损毁。</w:t>
      </w:r>
    </w:p>
    <w:p>
      <w:pPr>
        <w:pStyle w:val="12"/>
        <w:spacing w:line="360" w:lineRule="auto"/>
        <w:ind w:firstLine="480"/>
      </w:pPr>
      <w:r>
        <w:t>（4）</w:t>
      </w:r>
      <w:r>
        <w:rPr>
          <w:rFonts w:hint="eastAsia"/>
        </w:rPr>
        <w:t>闸门表面有无附着水生物、杂草污物、涂层剥落，门体有无变形、锈蚀、焊缝开裂或螺栓、铆钉松动；支承行走机构是否运转灵活；止水装置是否完好等。</w:t>
      </w:r>
    </w:p>
    <w:p>
      <w:pPr>
        <w:pStyle w:val="12"/>
        <w:spacing w:line="360" w:lineRule="auto"/>
        <w:ind w:firstLine="480"/>
      </w:pPr>
      <w:r>
        <w:t>（5）</w:t>
      </w:r>
      <w:r>
        <w:rPr>
          <w:rFonts w:hint="eastAsia"/>
        </w:rPr>
        <w:t>启闭机是否运转灵活、制动准确可靠，有无腐蚀和异常声响；钢丝绳有无断丝、磨损、锈蚀、接头松动、变形；零部件有无缺损、裂纹、磨损及螺杆有无弯曲变形；油路是否通畅，油量、油质是否符合规定要求等。</w:t>
      </w:r>
    </w:p>
    <w:p>
      <w:pPr>
        <w:pStyle w:val="12"/>
        <w:spacing w:line="360" w:lineRule="auto"/>
        <w:ind w:firstLine="480"/>
      </w:pPr>
      <w:r>
        <w:t>（6）</w:t>
      </w:r>
      <w:r>
        <w:rPr>
          <w:rFonts w:hint="eastAsia"/>
        </w:rPr>
        <w:t>电力变压器的日常巡视与检查，每天不少于</w:t>
      </w:r>
      <w:r>
        <w:t xml:space="preserve">1 </w:t>
      </w:r>
      <w:r>
        <w:rPr>
          <w:rFonts w:hint="eastAsia"/>
        </w:rPr>
        <w:t>次，夜间巡视每周至少</w:t>
      </w:r>
      <w:r>
        <w:t xml:space="preserve">1 </w:t>
      </w:r>
      <w:r>
        <w:rPr>
          <w:rFonts w:hint="eastAsia"/>
        </w:rPr>
        <w:t>次，在特殊情况下应增加巡视次数；</w:t>
      </w:r>
      <w:r>
        <w:t xml:space="preserve"> </w:t>
      </w:r>
      <w:r>
        <w:rPr>
          <w:rFonts w:hint="eastAsia"/>
        </w:rPr>
        <w:t>机电设备、线路是否正常，接头是否牢固，安全保护装置是否可靠，指示仪表是否指示正确，接地是否可靠，绝缘电阻值是否符合规定，备用电源是否完好；自动监控系统是否正常、可靠，精度是否满足要求；启闭机房是否完好等。</w:t>
      </w:r>
    </w:p>
    <w:p>
      <w:pPr>
        <w:pStyle w:val="12"/>
        <w:spacing w:line="360" w:lineRule="auto"/>
        <w:ind w:firstLine="480"/>
      </w:pPr>
      <w:r>
        <w:t>（7）</w:t>
      </w:r>
      <w:r>
        <w:rPr>
          <w:rFonts w:hint="eastAsia"/>
        </w:rPr>
        <w:t>其它方面包括水流形态，应注意观察水流是否平顺，水跃是否发生在消力池内，有无折冲水流、回流、漩涡等不良流态；引河水质有无污染。远程控制、监控系统是否正常；预警系统是否正常；办公自动化系统是否正常；照明、通讯、安全防护设施及信号、标志是否完好。</w:t>
      </w:r>
    </w:p>
    <w:p>
      <w:pPr>
        <w:pStyle w:val="12"/>
        <w:spacing w:line="360" w:lineRule="auto"/>
        <w:ind w:firstLine="482"/>
      </w:pPr>
      <w:r>
        <w:rPr>
          <w:rFonts w:hint="eastAsia"/>
          <w:b/>
          <w:bCs/>
        </w:rPr>
        <w:t>3</w:t>
      </w:r>
      <w:r>
        <w:rPr>
          <w:b/>
          <w:bCs/>
        </w:rPr>
        <w:t xml:space="preserve">.2.2 </w:t>
      </w:r>
      <w:r>
        <w:rPr>
          <w:rFonts w:hint="eastAsia"/>
        </w:rPr>
        <w:t>定期检查：每年汛前、汛后对水闸各部位及各项设施进行全面、系统检查；对闸门、启闭机等，应做动水试运转观察，闸前无水时，也应做试运转检查观察。</w:t>
      </w:r>
    </w:p>
    <w:p>
      <w:pPr>
        <w:pStyle w:val="12"/>
        <w:spacing w:line="360" w:lineRule="auto"/>
        <w:ind w:firstLine="480"/>
      </w:pPr>
      <w:r>
        <w:rPr>
          <w:rFonts w:hint="eastAsia"/>
        </w:rPr>
        <w:t>3</w:t>
      </w:r>
      <w:r>
        <w:t xml:space="preserve">.2.2.1 </w:t>
      </w:r>
      <w:r>
        <w:rPr>
          <w:rFonts w:hint="eastAsia"/>
        </w:rPr>
        <w:t>定期检查内容：</w:t>
      </w:r>
    </w:p>
    <w:p>
      <w:pPr>
        <w:pStyle w:val="12"/>
        <w:spacing w:line="360" w:lineRule="auto"/>
        <w:ind w:firstLine="480"/>
      </w:pPr>
      <w:r>
        <w:rPr>
          <w:rFonts w:hint="eastAsia"/>
        </w:rPr>
        <w:t>定期检查内容包括日常检查所有内容外还要进行如下检查：工作闸门每年至少进行</w:t>
      </w:r>
      <w:r>
        <w:t xml:space="preserve">1 </w:t>
      </w:r>
      <w:r>
        <w:rPr>
          <w:rFonts w:hint="eastAsia"/>
        </w:rPr>
        <w:t>次全面检查；平面钢闸门要吊出门槽进行；弧形闸门及其它不能吊出闸门，要进行无水检查；检查中发现焊缝存在较多裂缝，要进行焊缝探伤检查；对运用频繁启闭机，每年至少</w:t>
      </w:r>
      <w:r>
        <w:t xml:space="preserve">1 </w:t>
      </w:r>
      <w:r>
        <w:rPr>
          <w:rFonts w:hint="eastAsia"/>
        </w:rPr>
        <w:t>次将启闭机减速箱进行解体检查，运用较少启闭机，则每</w:t>
      </w:r>
      <w:r>
        <w:t xml:space="preserve">2 </w:t>
      </w:r>
      <w:r>
        <w:rPr>
          <w:rFonts w:hint="eastAsia"/>
        </w:rPr>
        <w:t>年至少进行</w:t>
      </w:r>
      <w:r>
        <w:t xml:space="preserve">1 </w:t>
      </w:r>
      <w:r>
        <w:rPr>
          <w:rFonts w:hint="eastAsia"/>
        </w:rPr>
        <w:t>次；检查润滑油质量是否变质，放油沉淀，清除杂物和水分，清理油孔、油槽、油道；每年汛前对防雷设施接地电阻进行</w:t>
      </w:r>
      <w:r>
        <w:t xml:space="preserve">1 </w:t>
      </w:r>
      <w:r>
        <w:rPr>
          <w:rFonts w:hint="eastAsia"/>
        </w:rPr>
        <w:t>次全面检查；变压器应每年汛前进行</w:t>
      </w:r>
      <w:r>
        <w:t xml:space="preserve">1 </w:t>
      </w:r>
      <w:r>
        <w:rPr>
          <w:rFonts w:hint="eastAsia"/>
        </w:rPr>
        <w:t>次线圈绝缘电阻测量，定期检查有关变压器的油质、油位是否符合要求；一般每</w:t>
      </w:r>
      <w:r>
        <w:t xml:space="preserve">2 </w:t>
      </w:r>
      <w:r>
        <w:rPr>
          <w:rFonts w:hint="eastAsia"/>
        </w:rPr>
        <w:t>年进行</w:t>
      </w:r>
      <w:r>
        <w:t xml:space="preserve">1 </w:t>
      </w:r>
      <w:r>
        <w:rPr>
          <w:rFonts w:hint="eastAsia"/>
        </w:rPr>
        <w:t>次水下检查，重点检查水下工程损坏情况。</w:t>
      </w:r>
    </w:p>
    <w:p>
      <w:pPr>
        <w:pStyle w:val="12"/>
        <w:spacing w:line="360" w:lineRule="auto"/>
        <w:ind w:firstLine="482"/>
      </w:pPr>
      <w:r>
        <w:rPr>
          <w:rFonts w:hint="eastAsia"/>
          <w:b/>
          <w:bCs/>
        </w:rPr>
        <w:t>3</w:t>
      </w:r>
      <w:r>
        <w:rPr>
          <w:b/>
          <w:bCs/>
        </w:rPr>
        <w:t xml:space="preserve">. 2.3 </w:t>
      </w:r>
      <w:r>
        <w:rPr>
          <w:rFonts w:hint="eastAsia"/>
        </w:rPr>
        <w:t>特别检查：当水闸遭受特大洪水、风暴潮、强烈地震和发生重大工程事故时，承包人及时报告发包人，由发包人组织对工程进行特别检查，应对发现情况和问题进行分析，制定相应应急处置方案和修复计划。</w:t>
      </w:r>
    </w:p>
    <w:p>
      <w:pPr>
        <w:pStyle w:val="12"/>
        <w:spacing w:line="360" w:lineRule="auto"/>
        <w:ind w:firstLine="480"/>
      </w:pPr>
      <w:r>
        <w:t xml:space="preserve">（1） </w:t>
      </w:r>
      <w:r>
        <w:rPr>
          <w:rFonts w:hint="eastAsia"/>
        </w:rPr>
        <w:t>特别检查内容及范围：闸门、启闭机必须进行一次安全检测并做试运行观察；土石方、混凝土工程、水下部分及上下游河道冲刷应进行</w:t>
      </w:r>
      <w:r>
        <w:t>1</w:t>
      </w:r>
      <w:r>
        <w:rPr>
          <w:rFonts w:hint="eastAsia"/>
        </w:rPr>
        <w:t>次全面检查。</w:t>
      </w:r>
    </w:p>
    <w:p>
      <w:pPr>
        <w:pStyle w:val="6"/>
        <w:tabs>
          <w:tab w:val="left" w:pos="864"/>
        </w:tabs>
        <w:rPr>
          <w:rFonts w:ascii="Times New Roman" w:hAnsi="Times New Roman" w:eastAsia="宋体"/>
          <w:sz w:val="21"/>
        </w:rPr>
      </w:pPr>
      <w:r>
        <w:rPr>
          <w:rFonts w:hint="eastAsia" w:ascii="Times New Roman" w:hAnsi="Times New Roman" w:eastAsia="宋体"/>
          <w:sz w:val="21"/>
        </w:rPr>
        <w:t>3</w:t>
      </w:r>
      <w:r>
        <w:rPr>
          <w:rFonts w:ascii="Times New Roman" w:hAnsi="Times New Roman" w:eastAsia="宋体"/>
          <w:sz w:val="21"/>
        </w:rPr>
        <w:t xml:space="preserve">.3 </w:t>
      </w:r>
      <w:r>
        <w:rPr>
          <w:rFonts w:hint="eastAsia" w:ascii="Times New Roman" w:hAnsi="Times New Roman" w:eastAsia="宋体"/>
          <w:sz w:val="21"/>
        </w:rPr>
        <w:t>工程观测</w:t>
      </w:r>
    </w:p>
    <w:p>
      <w:pPr>
        <w:pStyle w:val="12"/>
        <w:spacing w:line="360" w:lineRule="auto"/>
        <w:ind w:firstLine="482"/>
        <w:rPr>
          <w:rFonts w:hint="eastAsia"/>
        </w:rPr>
      </w:pPr>
      <w:r>
        <w:rPr>
          <w:rFonts w:hint="eastAsia"/>
          <w:b/>
          <w:bCs/>
        </w:rPr>
        <w:t>3</w:t>
      </w:r>
      <w:r>
        <w:rPr>
          <w:b/>
          <w:bCs/>
        </w:rPr>
        <w:t xml:space="preserve">.3.1 </w:t>
      </w:r>
      <w:r>
        <w:rPr>
          <w:rFonts w:hint="eastAsia"/>
        </w:rPr>
        <w:t>观测项目：</w:t>
      </w:r>
    </w:p>
    <w:p>
      <w:pPr>
        <w:pStyle w:val="12"/>
        <w:spacing w:line="360" w:lineRule="auto"/>
        <w:ind w:firstLine="480"/>
      </w:pPr>
      <w:r>
        <w:rPr>
          <w:rFonts w:hint="eastAsia"/>
        </w:rPr>
        <w:t>3</w:t>
      </w:r>
      <w:r>
        <w:t xml:space="preserve">.3.1.1 </w:t>
      </w:r>
      <w:r>
        <w:rPr>
          <w:rFonts w:hint="eastAsia"/>
        </w:rPr>
        <w:t>观测项目包括一般性观测项目和专门性观测项目，观测项目应根据设计和水闸实际情况确定。</w:t>
      </w:r>
    </w:p>
    <w:p>
      <w:pPr>
        <w:pStyle w:val="12"/>
        <w:spacing w:line="360" w:lineRule="auto"/>
        <w:ind w:firstLine="480"/>
      </w:pPr>
      <w:r>
        <w:rPr>
          <w:rFonts w:hint="eastAsia"/>
        </w:rPr>
        <w:t>3</w:t>
      </w:r>
      <w:r>
        <w:t xml:space="preserve">.3.1.2 </w:t>
      </w:r>
      <w:r>
        <w:rPr>
          <w:rFonts w:hint="eastAsia"/>
        </w:rPr>
        <w:t>观测测次和要求：</w:t>
      </w:r>
    </w:p>
    <w:p>
      <w:pPr>
        <w:pStyle w:val="12"/>
        <w:spacing w:line="360" w:lineRule="auto"/>
        <w:ind w:firstLine="480"/>
      </w:pPr>
      <w:r>
        <w:t>（1）</w:t>
      </w:r>
      <w:r>
        <w:rPr>
          <w:rFonts w:hint="eastAsia"/>
        </w:rPr>
        <w:t>沉降、水平位移观测：工程完工验收后两年内每季度观测一次，经资料分析已趋稳定后，可改为每年汛前、汛后各观测</w:t>
      </w:r>
      <w:r>
        <w:t xml:space="preserve">1 </w:t>
      </w:r>
      <w:r>
        <w:rPr>
          <w:rFonts w:hint="eastAsia"/>
        </w:rPr>
        <w:t>次，</w:t>
      </w:r>
      <w:r>
        <w:t xml:space="preserve">5 </w:t>
      </w:r>
      <w:r>
        <w:rPr>
          <w:rFonts w:hint="eastAsia"/>
        </w:rPr>
        <w:t>年后改为每年汛后观测</w:t>
      </w:r>
      <w:r>
        <w:t xml:space="preserve">1 </w:t>
      </w:r>
      <w:r>
        <w:rPr>
          <w:rFonts w:hint="eastAsia"/>
        </w:rPr>
        <w:t>次；</w:t>
      </w:r>
      <w:r>
        <w:t xml:space="preserve"> </w:t>
      </w:r>
      <w:r>
        <w:rPr>
          <w:rFonts w:hint="eastAsia"/>
        </w:rPr>
        <w:t>当发生地震或者超过设计最高水位、最大水位差时，应增加测次；</w:t>
      </w:r>
      <w:r>
        <w:t xml:space="preserve"> </w:t>
      </w:r>
      <w:r>
        <w:rPr>
          <w:rFonts w:hint="eastAsia"/>
        </w:rPr>
        <w:t>应同时观测内、外河水位及气温等；</w:t>
      </w:r>
    </w:p>
    <w:p>
      <w:pPr>
        <w:pStyle w:val="12"/>
        <w:spacing w:line="360" w:lineRule="auto"/>
        <w:ind w:firstLine="480"/>
      </w:pPr>
      <w:r>
        <w:t>（2）</w:t>
      </w:r>
      <w:r>
        <w:rPr>
          <w:rFonts w:hint="eastAsia"/>
        </w:rPr>
        <w:t>裂缝观测：裂缝发展初期每周观测</w:t>
      </w:r>
      <w:r>
        <w:t>1</w:t>
      </w:r>
      <w:r>
        <w:rPr>
          <w:rFonts w:hint="eastAsia"/>
        </w:rPr>
        <w:t>～</w:t>
      </w:r>
      <w:r>
        <w:t xml:space="preserve">2 </w:t>
      </w:r>
      <w:r>
        <w:rPr>
          <w:rFonts w:hint="eastAsia"/>
        </w:rPr>
        <w:t>次，裂缝发展缓慢后，可适当减少测次，但在出现最高（低）气温、发生强烈震动、超标准运用或者裂缝有显著发展时，均应增加测次；判明裂缝已不再发展，则恢复正常观测每月</w:t>
      </w:r>
      <w:r>
        <w:t xml:space="preserve">1 </w:t>
      </w:r>
      <w:r>
        <w:rPr>
          <w:rFonts w:hint="eastAsia"/>
        </w:rPr>
        <w:t>次；同时观测内外河水位、气温和水温及结构荷载情况。</w:t>
      </w:r>
    </w:p>
    <w:p>
      <w:pPr>
        <w:pStyle w:val="12"/>
        <w:spacing w:line="360" w:lineRule="auto"/>
        <w:ind w:firstLine="480"/>
      </w:pPr>
      <w:r>
        <w:t>（3）</w:t>
      </w:r>
      <w:r>
        <w:rPr>
          <w:rFonts w:hint="eastAsia"/>
        </w:rPr>
        <w:t>河床变形观测：观测范围包括水闸上下游引河段、水闸本身（包括上下游连接段）。上下游引河观测长度可根据具体情况确定；下游消能防冲应包括消力池、海漫、防冲槽等；河床变形观测每年进行</w:t>
      </w:r>
      <w:r>
        <w:t xml:space="preserve">1 </w:t>
      </w:r>
      <w:r>
        <w:rPr>
          <w:rFonts w:hint="eastAsia"/>
        </w:rPr>
        <w:t>次，当冲刷或淤积较严重、泄放大流量或者超标准运用、冲刷尚未处理而运用较多时，应增加测次；断面间距以能反映引河的冲刷、淤积变化为原则，一般情况为</w:t>
      </w:r>
      <w:r>
        <w:t xml:space="preserve">50 </w:t>
      </w:r>
      <w:r>
        <w:rPr>
          <w:rFonts w:hint="eastAsia"/>
        </w:rPr>
        <w:t>米。在两岸设置固定断面桩标明断面位置；断面测量宜选择中等潮位、风力较小、闸门关闭或者船舶较少，泄量较小时进行，并同步观测水位；断面测量后将观测结果绘制成河床断面图或地形图，并计算淤积量、冲刷量变化。</w:t>
      </w:r>
    </w:p>
    <w:p>
      <w:pPr>
        <w:pStyle w:val="12"/>
        <w:spacing w:line="360" w:lineRule="auto"/>
        <w:ind w:firstLine="480"/>
      </w:pPr>
      <w:r>
        <w:t>（4）</w:t>
      </w:r>
      <w:r>
        <w:rPr>
          <w:rFonts w:hint="eastAsia"/>
        </w:rPr>
        <w:t>扬压力、水位、流量观测：扬压力观测项目按水利部《水闸技术管理规程》（</w:t>
      </w:r>
      <w:r>
        <w:t>SL75-94</w:t>
      </w:r>
      <w:r>
        <w:rPr>
          <w:rFonts w:hint="eastAsia"/>
        </w:rPr>
        <w:t>）规定执行；水位、流量等项目的观测可参照现行水文观测规范的有关规定执行，也可直接采用同期水文观测资料。</w:t>
      </w:r>
    </w:p>
    <w:p>
      <w:pPr>
        <w:pStyle w:val="6"/>
        <w:tabs>
          <w:tab w:val="left" w:pos="864"/>
        </w:tabs>
        <w:rPr>
          <w:rFonts w:ascii="Times New Roman" w:hAnsi="Times New Roman" w:eastAsia="宋体"/>
          <w:sz w:val="21"/>
        </w:rPr>
      </w:pPr>
      <w:r>
        <w:rPr>
          <w:rFonts w:hint="eastAsia" w:ascii="Times New Roman" w:hAnsi="Times New Roman" w:eastAsia="宋体"/>
          <w:sz w:val="21"/>
        </w:rPr>
        <w:t>3</w:t>
      </w:r>
      <w:r>
        <w:rPr>
          <w:rFonts w:ascii="Times New Roman" w:hAnsi="Times New Roman" w:eastAsia="宋体"/>
          <w:sz w:val="21"/>
        </w:rPr>
        <w:t xml:space="preserve">.4 </w:t>
      </w:r>
      <w:r>
        <w:rPr>
          <w:rFonts w:hint="eastAsia" w:ascii="Times New Roman" w:hAnsi="Times New Roman" w:eastAsia="宋体"/>
          <w:sz w:val="21"/>
        </w:rPr>
        <w:t>维修养护</w:t>
      </w:r>
    </w:p>
    <w:p>
      <w:pPr>
        <w:pStyle w:val="12"/>
        <w:spacing w:line="360" w:lineRule="auto"/>
        <w:ind w:firstLine="480"/>
      </w:pPr>
      <w:r>
        <w:rPr>
          <w:rFonts w:hint="eastAsia"/>
        </w:rPr>
        <w:t>3</w:t>
      </w:r>
      <w:r>
        <w:t xml:space="preserve">.4.1 </w:t>
      </w:r>
      <w:r>
        <w:rPr>
          <w:rFonts w:hint="eastAsia"/>
        </w:rPr>
        <w:t>混凝土工程维修养护：</w:t>
      </w:r>
    </w:p>
    <w:p>
      <w:pPr>
        <w:pStyle w:val="12"/>
        <w:spacing w:line="360" w:lineRule="auto"/>
        <w:ind w:firstLine="480"/>
      </w:pPr>
      <w:r>
        <w:rPr>
          <w:rFonts w:hint="eastAsia"/>
        </w:rPr>
        <w:t>3</w:t>
      </w:r>
      <w:r>
        <w:t xml:space="preserve">.4.1.1 </w:t>
      </w:r>
      <w:r>
        <w:rPr>
          <w:rFonts w:hint="eastAsia"/>
        </w:rPr>
        <w:t>混凝土结构的局部破损（包括磨损、空蚀损坏、钢筋腐蚀等），应及时修补。</w:t>
      </w:r>
    </w:p>
    <w:p>
      <w:pPr>
        <w:pStyle w:val="12"/>
        <w:spacing w:line="360" w:lineRule="auto"/>
        <w:ind w:firstLine="480"/>
      </w:pPr>
      <w:r>
        <w:rPr>
          <w:rFonts w:hint="eastAsia"/>
        </w:rPr>
        <w:t>3</w:t>
      </w:r>
      <w:r>
        <w:t xml:space="preserve">.4.1.2 </w:t>
      </w:r>
      <w:r>
        <w:rPr>
          <w:rFonts w:hint="eastAsia"/>
        </w:rPr>
        <w:t>混凝土结构表面裂缝、碳化、氯离子或其它酸碱盐轻微侵蚀，应用涂料封闭保护；</w:t>
      </w:r>
    </w:p>
    <w:p>
      <w:pPr>
        <w:pStyle w:val="12"/>
        <w:spacing w:line="360" w:lineRule="auto"/>
        <w:ind w:firstLine="480"/>
      </w:pPr>
      <w:r>
        <w:rPr>
          <w:rFonts w:hint="eastAsia"/>
        </w:rPr>
        <w:t>3</w:t>
      </w:r>
      <w:r>
        <w:t xml:space="preserve">.4.1.3 </w:t>
      </w:r>
      <w:r>
        <w:rPr>
          <w:rFonts w:hint="eastAsia"/>
        </w:rPr>
        <w:t>栏杆、人行道板等混凝土构件破损、断裂、严重碳化（钢筋腐蚀）等，应及时更换。</w:t>
      </w:r>
    </w:p>
    <w:p>
      <w:pPr>
        <w:pStyle w:val="12"/>
        <w:spacing w:line="360" w:lineRule="auto"/>
        <w:ind w:firstLine="480"/>
      </w:pPr>
      <w:r>
        <w:rPr>
          <w:rFonts w:hint="eastAsia"/>
        </w:rPr>
        <w:t>3</w:t>
      </w:r>
      <w:r>
        <w:t xml:space="preserve">.4.1.4 </w:t>
      </w:r>
      <w:r>
        <w:rPr>
          <w:rFonts w:hint="eastAsia"/>
        </w:rPr>
        <w:t>混凝土永久缝充填物老化脱落，应及时充填封堵。</w:t>
      </w:r>
    </w:p>
    <w:p>
      <w:pPr>
        <w:pStyle w:val="12"/>
        <w:spacing w:line="360" w:lineRule="auto"/>
        <w:ind w:firstLine="480"/>
      </w:pPr>
      <w:r>
        <w:rPr>
          <w:rFonts w:hint="eastAsia"/>
        </w:rPr>
        <w:t>3</w:t>
      </w:r>
      <w:r>
        <w:t xml:space="preserve">.4.1.5 </w:t>
      </w:r>
      <w:r>
        <w:rPr>
          <w:rFonts w:hint="eastAsia"/>
        </w:rPr>
        <w:t>混凝土工程出现裂缝、渗透破坏、倾斜、滑动等严重受损，不能保证运行安全时，应及时向发包人报告，拆除并修复损坏部分。</w:t>
      </w:r>
    </w:p>
    <w:p>
      <w:pPr>
        <w:pStyle w:val="12"/>
        <w:spacing w:line="360" w:lineRule="auto"/>
        <w:ind w:firstLine="480"/>
      </w:pPr>
      <w:r>
        <w:rPr>
          <w:rFonts w:hint="eastAsia"/>
        </w:rPr>
        <w:t>3</w:t>
      </w:r>
      <w:r>
        <w:t xml:space="preserve">.4.2 </w:t>
      </w:r>
      <w:r>
        <w:rPr>
          <w:rFonts w:hint="eastAsia"/>
        </w:rPr>
        <w:t>砌石工程维修养护</w:t>
      </w:r>
    </w:p>
    <w:p>
      <w:pPr>
        <w:pStyle w:val="12"/>
        <w:spacing w:line="360" w:lineRule="auto"/>
        <w:ind w:firstLine="480"/>
      </w:pPr>
      <w:r>
        <w:rPr>
          <w:rFonts w:hint="eastAsia"/>
        </w:rPr>
        <w:t>3</w:t>
      </w:r>
      <w:r>
        <w:t xml:space="preserve">.4.2.1 </w:t>
      </w:r>
      <w:r>
        <w:rPr>
          <w:rFonts w:hint="eastAsia"/>
        </w:rPr>
        <w:t>浆砌石闸墩、底板、涵洞（管）、翼墙、消力池等出现塌陷、松动、隆起、底部淘空、垫层散失的应及时修补；</w:t>
      </w:r>
    </w:p>
    <w:p>
      <w:pPr>
        <w:pStyle w:val="12"/>
        <w:spacing w:line="360" w:lineRule="auto"/>
        <w:ind w:firstLine="480"/>
      </w:pPr>
      <w:r>
        <w:rPr>
          <w:rFonts w:hint="eastAsia"/>
        </w:rPr>
        <w:t>3</w:t>
      </w:r>
      <w:r>
        <w:t xml:space="preserve">.4.2.2 </w:t>
      </w:r>
      <w:r>
        <w:rPr>
          <w:rFonts w:hint="eastAsia"/>
        </w:rPr>
        <w:t>浆砌石挡土墙、地基等出现渗透、渗流迹象（冒沙冒水现象）时，应及时分析原因并处理。</w:t>
      </w:r>
    </w:p>
    <w:p>
      <w:pPr>
        <w:pStyle w:val="12"/>
        <w:spacing w:line="360" w:lineRule="auto"/>
        <w:ind w:firstLine="480"/>
      </w:pPr>
      <w:r>
        <w:rPr>
          <w:rFonts w:hint="eastAsia"/>
        </w:rPr>
        <w:t>3</w:t>
      </w:r>
      <w:r>
        <w:t xml:space="preserve">.4.2.3 </w:t>
      </w:r>
      <w:r>
        <w:rPr>
          <w:rFonts w:hint="eastAsia"/>
        </w:rPr>
        <w:t>浆砌石工程出现裂缝，勾缝脱落的，要及时修补处理。</w:t>
      </w:r>
    </w:p>
    <w:p>
      <w:pPr>
        <w:pStyle w:val="12"/>
        <w:spacing w:line="360" w:lineRule="auto"/>
        <w:ind w:firstLine="480"/>
      </w:pPr>
      <w:r>
        <w:rPr>
          <w:rFonts w:hint="eastAsia"/>
        </w:rPr>
        <w:t>3</w:t>
      </w:r>
      <w:r>
        <w:t xml:space="preserve">.4.2.4 </w:t>
      </w:r>
      <w:r>
        <w:rPr>
          <w:rFonts w:hint="eastAsia"/>
        </w:rPr>
        <w:t>干、浆砌石（混凝土预制块）或现浇混凝土护坡出现滑动、局部塌陷、隆起、破损以及砌块松动等，应将损坏部分拆除修复；</w:t>
      </w:r>
    </w:p>
    <w:p>
      <w:pPr>
        <w:pStyle w:val="12"/>
        <w:spacing w:line="360" w:lineRule="auto"/>
        <w:ind w:firstLine="480"/>
      </w:pPr>
      <w:r>
        <w:rPr>
          <w:rFonts w:hint="eastAsia"/>
        </w:rPr>
        <w:t>3</w:t>
      </w:r>
      <w:r>
        <w:t xml:space="preserve">.4.2.5 </w:t>
      </w:r>
      <w:r>
        <w:rPr>
          <w:rFonts w:hint="eastAsia"/>
        </w:rPr>
        <w:t>干、浆砌石（混凝土预制块）基础被淘空的迹象的要及时修补。</w:t>
      </w:r>
    </w:p>
    <w:p>
      <w:pPr>
        <w:pStyle w:val="12"/>
        <w:spacing w:line="360" w:lineRule="auto"/>
        <w:ind w:firstLine="480"/>
      </w:pPr>
      <w:r>
        <w:rPr>
          <w:rFonts w:hint="eastAsia"/>
        </w:rPr>
        <w:t>3</w:t>
      </w:r>
      <w:r>
        <w:t xml:space="preserve">.4.2.6 </w:t>
      </w:r>
      <w:r>
        <w:rPr>
          <w:rFonts w:hint="eastAsia"/>
        </w:rPr>
        <w:t>块石、石笼等抛石护底（护脚）塌陷、冲失，应及时补充抛石到原设计断面；</w:t>
      </w:r>
    </w:p>
    <w:p>
      <w:pPr>
        <w:pStyle w:val="12"/>
        <w:spacing w:line="360" w:lineRule="auto"/>
        <w:ind w:firstLine="480"/>
      </w:pPr>
      <w:r>
        <w:rPr>
          <w:rFonts w:hint="eastAsia"/>
        </w:rPr>
        <w:t>3</w:t>
      </w:r>
      <w:r>
        <w:t xml:space="preserve">.4.3 </w:t>
      </w:r>
      <w:r>
        <w:rPr>
          <w:rFonts w:hint="eastAsia"/>
        </w:rPr>
        <w:t>防渗、排水、永久缝及观测设施维修养护</w:t>
      </w:r>
    </w:p>
    <w:p>
      <w:pPr>
        <w:pStyle w:val="12"/>
        <w:spacing w:line="360" w:lineRule="auto"/>
        <w:ind w:firstLine="480"/>
      </w:pPr>
      <w:r>
        <w:rPr>
          <w:rFonts w:hint="eastAsia"/>
        </w:rPr>
        <w:t>3</w:t>
      </w:r>
      <w:r>
        <w:t xml:space="preserve">.4.3.1 </w:t>
      </w:r>
      <w:r>
        <w:rPr>
          <w:rFonts w:hint="eastAsia"/>
        </w:rPr>
        <w:t>混凝土铺盖、粘土铺盖局部冲蚀损坏，应及时修补。</w:t>
      </w:r>
    </w:p>
    <w:p>
      <w:pPr>
        <w:pStyle w:val="12"/>
        <w:spacing w:line="360" w:lineRule="auto"/>
        <w:ind w:firstLine="480"/>
      </w:pPr>
      <w:r>
        <w:rPr>
          <w:rFonts w:hint="eastAsia"/>
        </w:rPr>
        <w:t>3</w:t>
      </w:r>
      <w:r>
        <w:t xml:space="preserve">.4.3.2 </w:t>
      </w:r>
      <w:r>
        <w:rPr>
          <w:rFonts w:hint="eastAsia"/>
        </w:rPr>
        <w:t>消力池、护坦上的排水井（沟、孔）或翼墙、护坡上的排水管应保持畅通，如滤层淤塞或失效，应重新补设排水井（沟、孔、管）。</w:t>
      </w:r>
    </w:p>
    <w:p>
      <w:pPr>
        <w:pStyle w:val="12"/>
        <w:spacing w:line="360" w:lineRule="auto"/>
        <w:ind w:firstLine="480"/>
      </w:pPr>
      <w:r>
        <w:rPr>
          <w:rFonts w:hint="eastAsia"/>
        </w:rPr>
        <w:t>3</w:t>
      </w:r>
      <w:r>
        <w:t xml:space="preserve">.4.3.3 </w:t>
      </w:r>
      <w:r>
        <w:rPr>
          <w:rFonts w:hint="eastAsia"/>
        </w:rPr>
        <w:t>永久缝充填物老化脱落，应及时充填封堵。沥青井的井口（出流管、盖板等）应经常保养，并应按规定加热、补灌沥青。</w:t>
      </w:r>
    </w:p>
    <w:p>
      <w:pPr>
        <w:pStyle w:val="12"/>
        <w:spacing w:line="360" w:lineRule="auto"/>
        <w:ind w:firstLine="480"/>
      </w:pPr>
      <w:r>
        <w:rPr>
          <w:rFonts w:hint="eastAsia"/>
        </w:rPr>
        <w:t>3</w:t>
      </w:r>
      <w:r>
        <w:t xml:space="preserve">.4.3.4 </w:t>
      </w:r>
      <w:r>
        <w:rPr>
          <w:rFonts w:hint="eastAsia"/>
        </w:rPr>
        <w:t>永久缝充填物流失、干缩等，重新填塞（填塞深度按设计要求实施）。</w:t>
      </w:r>
    </w:p>
    <w:p>
      <w:pPr>
        <w:pStyle w:val="12"/>
        <w:spacing w:line="360" w:lineRule="auto"/>
        <w:ind w:firstLine="480"/>
      </w:pPr>
      <w:r>
        <w:rPr>
          <w:rFonts w:hint="eastAsia"/>
        </w:rPr>
        <w:t>3</w:t>
      </w:r>
      <w:r>
        <w:t xml:space="preserve">.4.3.5 </w:t>
      </w:r>
      <w:r>
        <w:rPr>
          <w:rFonts w:hint="eastAsia"/>
        </w:rPr>
        <w:t>金属或塑料片止水失效，宜采用嵌填弹性嵌缝材料、弹性聚氨酯灌浆、锚固橡胶或金属片材等修补方法处理。</w:t>
      </w:r>
    </w:p>
    <w:p>
      <w:pPr>
        <w:pStyle w:val="12"/>
        <w:spacing w:line="360" w:lineRule="auto"/>
        <w:ind w:firstLine="480"/>
      </w:pPr>
      <w:r>
        <w:rPr>
          <w:rFonts w:hint="eastAsia"/>
        </w:rPr>
        <w:t>3</w:t>
      </w:r>
      <w:r>
        <w:t xml:space="preserve">.4.3.6 </w:t>
      </w:r>
      <w:r>
        <w:rPr>
          <w:rFonts w:hint="eastAsia"/>
        </w:rPr>
        <w:t>沥青井止水的永久缝渗漏，应先加热处理；加热处理无效，再采用其它方法。</w:t>
      </w:r>
    </w:p>
    <w:p>
      <w:pPr>
        <w:pStyle w:val="12"/>
        <w:spacing w:line="360" w:lineRule="auto"/>
        <w:ind w:firstLine="480"/>
      </w:pPr>
      <w:r>
        <w:rPr>
          <w:rFonts w:hint="eastAsia"/>
        </w:rPr>
        <w:t>3</w:t>
      </w:r>
      <w:r>
        <w:t xml:space="preserve">.4.3.7 </w:t>
      </w:r>
      <w:r>
        <w:rPr>
          <w:rFonts w:hint="eastAsia"/>
        </w:rPr>
        <w:t>观测设施（包括人工观测及自动化观测）应保持完好，如有故障或损坏，应及时调整、更换零部件和修复。</w:t>
      </w:r>
    </w:p>
    <w:p>
      <w:pPr>
        <w:pStyle w:val="12"/>
        <w:spacing w:line="360" w:lineRule="auto"/>
        <w:ind w:firstLine="480"/>
      </w:pPr>
      <w:r>
        <w:rPr>
          <w:rFonts w:hint="eastAsia"/>
        </w:rPr>
        <w:t>3</w:t>
      </w:r>
      <w:r>
        <w:t xml:space="preserve">.4.4 </w:t>
      </w:r>
      <w:r>
        <w:rPr>
          <w:rFonts w:hint="eastAsia"/>
        </w:rPr>
        <w:t>水闸地基及两岸防护工程维修养护</w:t>
      </w:r>
    </w:p>
    <w:p>
      <w:pPr>
        <w:pStyle w:val="12"/>
        <w:spacing w:line="360" w:lineRule="auto"/>
        <w:ind w:firstLine="480"/>
      </w:pPr>
      <w:r>
        <w:rPr>
          <w:rFonts w:hint="eastAsia"/>
        </w:rPr>
        <w:t>3</w:t>
      </w:r>
      <w:r>
        <w:t xml:space="preserve">.4.4.1 </w:t>
      </w:r>
      <w:r>
        <w:rPr>
          <w:rFonts w:hint="eastAsia"/>
        </w:rPr>
        <w:t>岩基上水闸，防渗帷幕失效，应重建帷幕。</w:t>
      </w:r>
    </w:p>
    <w:p>
      <w:pPr>
        <w:pStyle w:val="12"/>
        <w:spacing w:line="360" w:lineRule="auto"/>
        <w:ind w:firstLine="480"/>
      </w:pPr>
      <w:r>
        <w:rPr>
          <w:rFonts w:hint="eastAsia"/>
        </w:rPr>
        <w:t>3</w:t>
      </w:r>
      <w:r>
        <w:t xml:space="preserve">.4.4.2 </w:t>
      </w:r>
      <w:r>
        <w:rPr>
          <w:rFonts w:hint="eastAsia"/>
        </w:rPr>
        <w:t>水闸基础与基岩接触面发生渗漏时，应及时修补。</w:t>
      </w:r>
    </w:p>
    <w:p>
      <w:pPr>
        <w:pStyle w:val="12"/>
        <w:spacing w:line="360" w:lineRule="auto"/>
        <w:ind w:firstLine="480"/>
      </w:pPr>
      <w:r>
        <w:rPr>
          <w:rFonts w:hint="eastAsia"/>
        </w:rPr>
        <w:t>3</w:t>
      </w:r>
      <w:r>
        <w:t xml:space="preserve">.4.4.3 </w:t>
      </w:r>
      <w:r>
        <w:rPr>
          <w:rFonts w:hint="eastAsia"/>
        </w:rPr>
        <w:t>土基上水闸，水平段和出口段渗流坡降超过允许值时，应查明原因及时进行处理。</w:t>
      </w:r>
    </w:p>
    <w:p>
      <w:pPr>
        <w:pStyle w:val="12"/>
        <w:spacing w:line="360" w:lineRule="auto"/>
        <w:ind w:firstLine="480"/>
      </w:pPr>
      <w:r>
        <w:rPr>
          <w:rFonts w:hint="eastAsia"/>
        </w:rPr>
        <w:t>3</w:t>
      </w:r>
      <w:r>
        <w:t xml:space="preserve">.4.4.4 </w:t>
      </w:r>
      <w:r>
        <w:rPr>
          <w:rFonts w:hint="eastAsia"/>
        </w:rPr>
        <w:t>水闸基础下有液化土层或有潜在液化危险的部位，应根据可能的条件及时处理。</w:t>
      </w:r>
    </w:p>
    <w:p>
      <w:pPr>
        <w:pStyle w:val="12"/>
        <w:spacing w:line="360" w:lineRule="auto"/>
        <w:ind w:firstLine="480"/>
      </w:pPr>
      <w:r>
        <w:rPr>
          <w:rFonts w:hint="eastAsia"/>
        </w:rPr>
        <w:t>3</w:t>
      </w:r>
      <w:r>
        <w:t xml:space="preserve">.4.4.5 </w:t>
      </w:r>
      <w:r>
        <w:rPr>
          <w:rFonts w:hint="eastAsia"/>
        </w:rPr>
        <w:t>水闸两岸山体岩石破碎、裂隙发育或岩溶渗漏，应及时处理。</w:t>
      </w:r>
    </w:p>
    <w:p>
      <w:pPr>
        <w:pStyle w:val="12"/>
        <w:spacing w:line="360" w:lineRule="auto"/>
        <w:ind w:firstLine="480"/>
      </w:pPr>
      <w:r>
        <w:rPr>
          <w:rFonts w:hint="eastAsia"/>
        </w:rPr>
        <w:t>3</w:t>
      </w:r>
      <w:r>
        <w:t xml:space="preserve">.4.4.6 </w:t>
      </w:r>
      <w:r>
        <w:rPr>
          <w:rFonts w:hint="eastAsia"/>
        </w:rPr>
        <w:t>水闸两端为土质堤岸的绕渗可能形成渗透破坏时，应及时处理。</w:t>
      </w:r>
    </w:p>
    <w:p>
      <w:pPr>
        <w:pStyle w:val="12"/>
        <w:spacing w:line="360" w:lineRule="auto"/>
        <w:ind w:firstLine="480"/>
      </w:pPr>
      <w:r>
        <w:rPr>
          <w:rFonts w:hint="eastAsia"/>
        </w:rPr>
        <w:t>3</w:t>
      </w:r>
      <w:r>
        <w:t xml:space="preserve">.4.4.7 </w:t>
      </w:r>
      <w:r>
        <w:rPr>
          <w:rFonts w:hint="eastAsia"/>
        </w:rPr>
        <w:t>水闸与土质堤岸接合部位渗漏可能形成接触冲刷时，应及时处理。</w:t>
      </w:r>
    </w:p>
    <w:p>
      <w:pPr>
        <w:pStyle w:val="12"/>
        <w:spacing w:line="360" w:lineRule="auto"/>
        <w:ind w:firstLine="480"/>
      </w:pPr>
      <w:r>
        <w:rPr>
          <w:rFonts w:hint="eastAsia"/>
        </w:rPr>
        <w:t>3</w:t>
      </w:r>
      <w:r>
        <w:t xml:space="preserve">.4.4.8 </w:t>
      </w:r>
      <w:r>
        <w:rPr>
          <w:rFonts w:hint="eastAsia"/>
        </w:rPr>
        <w:t>建筑物与堤（坝）结合部位出现集中渗漏（接触冲刷），应及时处理。</w:t>
      </w:r>
    </w:p>
    <w:p>
      <w:pPr>
        <w:pStyle w:val="12"/>
        <w:spacing w:line="360" w:lineRule="auto"/>
        <w:ind w:firstLine="480"/>
      </w:pPr>
      <w:r>
        <w:rPr>
          <w:rFonts w:hint="eastAsia"/>
        </w:rPr>
        <w:t>3</w:t>
      </w:r>
      <w:r>
        <w:t xml:space="preserve">.4.5 </w:t>
      </w:r>
      <w:r>
        <w:rPr>
          <w:rFonts w:hint="eastAsia"/>
        </w:rPr>
        <w:t>闸区堤岸工程和堤顶路面维修养护</w:t>
      </w:r>
    </w:p>
    <w:p>
      <w:pPr>
        <w:pStyle w:val="12"/>
        <w:spacing w:line="360" w:lineRule="auto"/>
        <w:ind w:firstLine="480"/>
      </w:pPr>
      <w:r>
        <w:rPr>
          <w:rFonts w:hint="eastAsia"/>
        </w:rPr>
        <w:t>3</w:t>
      </w:r>
      <w:r>
        <w:t xml:space="preserve">.4.5.1 </w:t>
      </w:r>
      <w:r>
        <w:rPr>
          <w:rFonts w:hint="eastAsia"/>
        </w:rPr>
        <w:t>参照本技术规定和要求水库（堤防）工程有关章节。</w:t>
      </w:r>
    </w:p>
    <w:p>
      <w:pPr>
        <w:pStyle w:val="12"/>
        <w:spacing w:line="360" w:lineRule="auto"/>
        <w:ind w:firstLine="480"/>
      </w:pPr>
      <w:r>
        <w:rPr>
          <w:rFonts w:hint="eastAsia"/>
        </w:rPr>
        <w:t>3</w:t>
      </w:r>
      <w:r>
        <w:t xml:space="preserve">.4.5.2 </w:t>
      </w:r>
      <w:r>
        <w:rPr>
          <w:rFonts w:hint="eastAsia"/>
        </w:rPr>
        <w:t>遇蚁穴、鼠洞等动物危害时，应参照有关标准处理。</w:t>
      </w:r>
    </w:p>
    <w:p>
      <w:pPr>
        <w:pStyle w:val="12"/>
        <w:spacing w:line="360" w:lineRule="auto"/>
        <w:ind w:firstLine="480"/>
      </w:pPr>
      <w:r>
        <w:rPr>
          <w:rFonts w:hint="eastAsia"/>
        </w:rPr>
        <w:t>3</w:t>
      </w:r>
      <w:r>
        <w:t xml:space="preserve">.4.6 </w:t>
      </w:r>
      <w:r>
        <w:rPr>
          <w:rFonts w:hint="eastAsia"/>
        </w:rPr>
        <w:t>闸门维修养护</w:t>
      </w:r>
    </w:p>
    <w:p>
      <w:pPr>
        <w:pStyle w:val="12"/>
        <w:spacing w:line="360" w:lineRule="auto"/>
        <w:ind w:firstLine="480"/>
      </w:pPr>
      <w:r>
        <w:rPr>
          <w:rFonts w:hint="eastAsia"/>
        </w:rPr>
        <w:t>3</w:t>
      </w:r>
      <w:r>
        <w:t xml:space="preserve">.4.6.1 </w:t>
      </w:r>
      <w:r>
        <w:rPr>
          <w:rFonts w:hint="eastAsia"/>
        </w:rPr>
        <w:t>闸门的养护包括清洁、紧固、润滑、调整、防腐蚀涂膜局部损坏的修复、闸门埋件二期混凝土局部破损的修补及闸门前后预防结冰的措施等。</w:t>
      </w:r>
    </w:p>
    <w:p>
      <w:pPr>
        <w:pStyle w:val="12"/>
        <w:spacing w:line="360" w:lineRule="auto"/>
        <w:ind w:firstLine="480"/>
      </w:pPr>
      <w:r>
        <w:rPr>
          <w:rFonts w:hint="eastAsia"/>
        </w:rPr>
        <w:t>3</w:t>
      </w:r>
      <w:r>
        <w:t xml:space="preserve">.4.6.2 </w:t>
      </w:r>
      <w:r>
        <w:rPr>
          <w:rFonts w:hint="eastAsia"/>
        </w:rPr>
        <w:t>闸门修理宜就地进行；凡经修理的闸门构件、部位，均应做好防腐蚀处理。修理后必须经过试运行，符合各项技术要求后方可验收，正式投入运行。</w:t>
      </w:r>
    </w:p>
    <w:p>
      <w:pPr>
        <w:pStyle w:val="12"/>
        <w:spacing w:line="360" w:lineRule="auto"/>
        <w:ind w:firstLine="480"/>
      </w:pPr>
      <w:r>
        <w:rPr>
          <w:rFonts w:hint="eastAsia"/>
        </w:rPr>
        <w:t>3</w:t>
      </w:r>
      <w:r>
        <w:t xml:space="preserve">.4.6.3 </w:t>
      </w:r>
      <w:r>
        <w:rPr>
          <w:rFonts w:hint="eastAsia"/>
        </w:rPr>
        <w:t>门叶的维修养护应包括如下内容：</w:t>
      </w:r>
    </w:p>
    <w:p>
      <w:pPr>
        <w:pStyle w:val="12"/>
        <w:spacing w:line="360" w:lineRule="auto"/>
        <w:ind w:firstLine="480"/>
      </w:pPr>
      <w:r>
        <w:t>（1）</w:t>
      </w:r>
      <w:r>
        <w:rPr>
          <w:rFonts w:hint="eastAsia"/>
        </w:rPr>
        <w:t>养护</w:t>
      </w:r>
    </w:p>
    <w:p>
      <w:pPr>
        <w:pStyle w:val="12"/>
        <w:spacing w:line="360" w:lineRule="auto"/>
        <w:ind w:firstLine="480"/>
      </w:pPr>
      <w:r>
        <w:t>1</w:t>
      </w:r>
      <w:r>
        <w:rPr>
          <w:rFonts w:hint="eastAsia"/>
        </w:rPr>
        <w:t>）经常清除面板、梁系及支臂上的淤泥、油污及附着水生物；门体上的落水孔应保持畅通，梁格间不得有积水。</w:t>
      </w:r>
    </w:p>
    <w:p>
      <w:pPr>
        <w:pStyle w:val="12"/>
        <w:spacing w:line="360" w:lineRule="auto"/>
        <w:ind w:firstLine="480"/>
      </w:pPr>
      <w:r>
        <w:t>2）</w:t>
      </w:r>
      <w:r>
        <w:rPr>
          <w:rFonts w:hint="eastAsia"/>
        </w:rPr>
        <w:t>构件连接螺栓松动或丢失，应及时紧固、配齐。</w:t>
      </w:r>
    </w:p>
    <w:p>
      <w:pPr>
        <w:pStyle w:val="12"/>
        <w:spacing w:line="360" w:lineRule="auto"/>
        <w:ind w:firstLine="480"/>
      </w:pPr>
      <w:r>
        <w:t>3）</w:t>
      </w:r>
      <w:r>
        <w:rPr>
          <w:rFonts w:hint="eastAsia"/>
        </w:rPr>
        <w:t>门叶位移和倾斜，应及时调整找正。</w:t>
      </w:r>
    </w:p>
    <w:p>
      <w:pPr>
        <w:pStyle w:val="12"/>
        <w:spacing w:line="360" w:lineRule="auto"/>
        <w:ind w:firstLine="480"/>
      </w:pPr>
      <w:r>
        <w:t>4）</w:t>
      </w:r>
      <w:r>
        <w:rPr>
          <w:rFonts w:hint="eastAsia"/>
        </w:rPr>
        <w:t>闸门运行中发生强烈振动，应针对引起振动原因，采取措施消除或减轻。</w:t>
      </w:r>
    </w:p>
    <w:p>
      <w:pPr>
        <w:pStyle w:val="12"/>
        <w:spacing w:line="360" w:lineRule="auto"/>
        <w:ind w:firstLine="480"/>
      </w:pPr>
      <w:r>
        <w:t>5）</w:t>
      </w:r>
      <w:r>
        <w:rPr>
          <w:rFonts w:hint="eastAsia"/>
        </w:rPr>
        <w:t>防腐蚀涂膜局部裂纹（较深裂纹面积</w:t>
      </w:r>
      <w:r>
        <w:t>10%</w:t>
      </w:r>
      <w:r>
        <w:rPr>
          <w:rFonts w:hint="eastAsia"/>
        </w:rPr>
        <w:t>以下）、生锈鼓包（锈点面积</w:t>
      </w:r>
      <w:r>
        <w:t>2%</w:t>
      </w:r>
      <w:r>
        <w:rPr>
          <w:rFonts w:hint="eastAsia"/>
        </w:rPr>
        <w:t>以下）、脱落（起皮剥落面积</w:t>
      </w:r>
      <w:r>
        <w:t>1%</w:t>
      </w:r>
      <w:r>
        <w:rPr>
          <w:rFonts w:hint="eastAsia"/>
        </w:rPr>
        <w:t>以下）、粉化（手指轻擦沾满颜料，但未露底）等，应及时处理（注意新、老涂层间的配套性能）。</w:t>
      </w:r>
    </w:p>
    <w:p>
      <w:pPr>
        <w:pStyle w:val="12"/>
        <w:spacing w:line="360" w:lineRule="auto"/>
        <w:ind w:firstLine="480"/>
      </w:pPr>
      <w:r>
        <w:t>6）</w:t>
      </w:r>
      <w:r>
        <w:rPr>
          <w:rFonts w:hint="eastAsia"/>
        </w:rPr>
        <w:t>牺牲阳极与闸门的固定及短路连接应保持良好，牺牲阳极的工作面不得沾有油漆、油污。</w:t>
      </w:r>
    </w:p>
    <w:p>
      <w:pPr>
        <w:pStyle w:val="12"/>
        <w:spacing w:line="360" w:lineRule="auto"/>
        <w:ind w:firstLine="480"/>
      </w:pPr>
      <w:r>
        <w:t>（2）</w:t>
      </w:r>
      <w:r>
        <w:rPr>
          <w:rFonts w:hint="eastAsia"/>
        </w:rPr>
        <w:t>钢闸门维修</w:t>
      </w:r>
    </w:p>
    <w:p>
      <w:pPr>
        <w:pStyle w:val="12"/>
        <w:spacing w:line="360" w:lineRule="auto"/>
        <w:ind w:firstLine="480"/>
      </w:pPr>
      <w:r>
        <w:t>1</w:t>
      </w:r>
      <w:r>
        <w:rPr>
          <w:rFonts w:hint="eastAsia"/>
        </w:rPr>
        <w:t>）闸门整体安全度不能满足设计要求时，应全面补强或更新。</w:t>
      </w:r>
    </w:p>
    <w:p>
      <w:pPr>
        <w:pStyle w:val="12"/>
        <w:spacing w:line="360" w:lineRule="auto"/>
        <w:ind w:firstLine="480"/>
      </w:pPr>
      <w:r>
        <w:t>2</w:t>
      </w:r>
      <w:r>
        <w:rPr>
          <w:rFonts w:hint="eastAsia"/>
        </w:rPr>
        <w:t>）闸门构件强度、刚度或蚀余厚度不足，应补强或更换同材质新件（重要工程按设计修复）。</w:t>
      </w:r>
    </w:p>
    <w:p>
      <w:pPr>
        <w:pStyle w:val="12"/>
        <w:spacing w:line="360" w:lineRule="auto"/>
        <w:ind w:firstLine="480"/>
      </w:pPr>
      <w:r>
        <w:t>3</w:t>
      </w:r>
      <w:r>
        <w:rPr>
          <w:rFonts w:hint="eastAsia"/>
        </w:rPr>
        <w:t>）闸门构件变形，宜矫正，也可更换同材质新件。</w:t>
      </w:r>
    </w:p>
    <w:p>
      <w:pPr>
        <w:pStyle w:val="12"/>
        <w:spacing w:line="360" w:lineRule="auto"/>
        <w:ind w:firstLine="480"/>
      </w:pPr>
      <w:r>
        <w:t>4</w:t>
      </w:r>
      <w:r>
        <w:rPr>
          <w:rFonts w:hint="eastAsia"/>
        </w:rPr>
        <w:t>）门叶的一、二类焊缝开裂，确定深度和范围后补焊、处理。</w:t>
      </w:r>
    </w:p>
    <w:p>
      <w:pPr>
        <w:pStyle w:val="12"/>
        <w:spacing w:line="360" w:lineRule="auto"/>
        <w:ind w:firstLine="480"/>
      </w:pPr>
      <w:r>
        <w:t>5</w:t>
      </w:r>
      <w:r>
        <w:rPr>
          <w:rFonts w:hint="eastAsia"/>
        </w:rPr>
        <w:t>）门叶连接螺栓孔腐蚀，可扩孔并配大一级螺栓。</w:t>
      </w:r>
    </w:p>
    <w:p>
      <w:pPr>
        <w:pStyle w:val="12"/>
        <w:spacing w:line="360" w:lineRule="auto"/>
        <w:ind w:firstLine="480"/>
      </w:pPr>
      <w:r>
        <w:rPr>
          <w:rFonts w:hint="eastAsia"/>
        </w:rPr>
        <w:t>3</w:t>
      </w:r>
      <w:r>
        <w:t>.</w:t>
      </w:r>
      <w:r>
        <w:rPr>
          <w:rFonts w:hint="eastAsia"/>
        </w:rPr>
        <w:t>4</w:t>
      </w:r>
      <w:r>
        <w:t xml:space="preserve">.6.4 </w:t>
      </w:r>
      <w:r>
        <w:rPr>
          <w:rFonts w:hint="eastAsia"/>
        </w:rPr>
        <w:t>闸门行走支撑装置的维修养护应包括如下内容：</w:t>
      </w:r>
    </w:p>
    <w:p>
      <w:pPr>
        <w:pStyle w:val="12"/>
        <w:spacing w:line="360" w:lineRule="auto"/>
        <w:ind w:firstLine="480"/>
      </w:pPr>
      <w:r>
        <w:t>（1）</w:t>
      </w:r>
      <w:r>
        <w:rPr>
          <w:rFonts w:hint="eastAsia"/>
        </w:rPr>
        <w:t>养护</w:t>
      </w:r>
    </w:p>
    <w:p>
      <w:pPr>
        <w:pStyle w:val="12"/>
        <w:spacing w:line="360" w:lineRule="auto"/>
        <w:ind w:firstLine="480"/>
      </w:pPr>
      <w:r>
        <w:t>1</w:t>
      </w:r>
      <w:r>
        <w:rPr>
          <w:rFonts w:hint="eastAsia"/>
        </w:rPr>
        <w:t>）定期清理行走支撑装置表面和内部的淤泥、漂浮物及附着物。</w:t>
      </w:r>
    </w:p>
    <w:p>
      <w:pPr>
        <w:pStyle w:val="12"/>
        <w:spacing w:line="360" w:lineRule="auto"/>
        <w:ind w:firstLine="480"/>
      </w:pPr>
      <w:r>
        <w:t>2</w:t>
      </w:r>
      <w:r>
        <w:rPr>
          <w:rFonts w:hint="eastAsia"/>
        </w:rPr>
        <w:t>）行走支撑装置的滚轮、支铰、门枢、胶木滑块等及其零部件均应完好，与门体连接牢固可靠。</w:t>
      </w:r>
    </w:p>
    <w:p>
      <w:pPr>
        <w:pStyle w:val="12"/>
        <w:spacing w:line="360" w:lineRule="auto"/>
        <w:ind w:firstLine="480"/>
      </w:pPr>
      <w:r>
        <w:t>3</w:t>
      </w:r>
      <w:r>
        <w:rPr>
          <w:rFonts w:hint="eastAsia"/>
        </w:rPr>
        <w:t>）各转动部位的注油设施完好，油路畅通，并定期注油；无注油装置的滚轮、销轴等，应定期拆卸、清洗、涂油。</w:t>
      </w:r>
    </w:p>
    <w:p>
      <w:pPr>
        <w:pStyle w:val="12"/>
        <w:spacing w:line="360" w:lineRule="auto"/>
        <w:ind w:firstLine="480"/>
      </w:pPr>
      <w:r>
        <w:t>4</w:t>
      </w:r>
      <w:r>
        <w:rPr>
          <w:rFonts w:hint="eastAsia"/>
        </w:rPr>
        <w:t>）水润滑或含油轴承，应密封良好；封水圈损坏及时更换。</w:t>
      </w:r>
    </w:p>
    <w:p>
      <w:pPr>
        <w:pStyle w:val="12"/>
        <w:spacing w:line="360" w:lineRule="auto"/>
        <w:ind w:firstLine="480"/>
      </w:pPr>
      <w:r>
        <w:t>（2）</w:t>
      </w:r>
      <w:r>
        <w:rPr>
          <w:rFonts w:hint="eastAsia"/>
        </w:rPr>
        <w:t>维修</w:t>
      </w:r>
    </w:p>
    <w:p>
      <w:pPr>
        <w:pStyle w:val="12"/>
        <w:spacing w:line="360" w:lineRule="auto"/>
        <w:ind w:firstLine="480"/>
      </w:pPr>
      <w:r>
        <w:t>1</w:t>
      </w:r>
      <w:r>
        <w:rPr>
          <w:rFonts w:hint="eastAsia"/>
        </w:rPr>
        <w:t>）各滚轮或支铰轴油孔、油槽堵塞，应拆卸、清洗、装复。</w:t>
      </w:r>
    </w:p>
    <w:p>
      <w:pPr>
        <w:pStyle w:val="12"/>
        <w:spacing w:line="360" w:lineRule="auto"/>
        <w:ind w:firstLine="480"/>
        <w:rPr>
          <w:rFonts w:hint="eastAsia"/>
        </w:rPr>
      </w:pPr>
      <w:r>
        <w:t>2</w:t>
      </w:r>
      <w:r>
        <w:rPr>
          <w:rFonts w:hint="eastAsia"/>
        </w:rPr>
        <w:t>）各轴销磨损、腐蚀量超过设计标准时，应及时修复或更新。</w:t>
      </w:r>
    </w:p>
    <w:p>
      <w:pPr>
        <w:pStyle w:val="12"/>
        <w:spacing w:line="360" w:lineRule="auto"/>
        <w:ind w:firstLine="480"/>
      </w:pPr>
      <w:r>
        <w:t>3</w:t>
      </w:r>
      <w:r>
        <w:rPr>
          <w:rFonts w:hint="eastAsia"/>
        </w:rPr>
        <w:t>）轮轴与轴套间隙超过设计标准一倍时，应更换新套。</w:t>
      </w:r>
    </w:p>
    <w:p>
      <w:pPr>
        <w:pStyle w:val="12"/>
        <w:spacing w:line="360" w:lineRule="auto"/>
        <w:ind w:firstLine="480"/>
      </w:pPr>
      <w:r>
        <w:t>4</w:t>
      </w:r>
      <w:r>
        <w:rPr>
          <w:rFonts w:hint="eastAsia"/>
        </w:rPr>
        <w:t>）滚轮踏面磨损可焊接修补；滚轮、滑块夹槽、支铰发生裂纹，应更新，确认不影响安全时，也可焊接修补。</w:t>
      </w:r>
    </w:p>
    <w:p>
      <w:pPr>
        <w:pStyle w:val="12"/>
        <w:spacing w:line="360" w:lineRule="auto"/>
        <w:ind w:firstLine="480"/>
      </w:pPr>
      <w:r>
        <w:t>5</w:t>
      </w:r>
      <w:r>
        <w:rPr>
          <w:rFonts w:hint="eastAsia"/>
        </w:rPr>
        <w:t>）各轴承磨损，应更换新件。</w:t>
      </w:r>
    </w:p>
    <w:p>
      <w:pPr>
        <w:pStyle w:val="12"/>
        <w:spacing w:line="360" w:lineRule="auto"/>
        <w:ind w:firstLine="480"/>
      </w:pPr>
      <w:r>
        <w:t>6</w:t>
      </w:r>
      <w:r>
        <w:rPr>
          <w:rFonts w:hint="eastAsia"/>
        </w:rPr>
        <w:t>）胶木滑块裂纹超标（缝宽大于</w:t>
      </w:r>
      <w:r>
        <w:t>0.2mm</w:t>
      </w:r>
      <w:r>
        <w:rPr>
          <w:rFonts w:hint="eastAsia"/>
        </w:rPr>
        <w:t>，缝深大于</w:t>
      </w:r>
      <w:r>
        <w:t>5 mm</w:t>
      </w:r>
      <w:r>
        <w:rPr>
          <w:rFonts w:hint="eastAsia"/>
        </w:rPr>
        <w:t>），应更换新件；尚未超标，可上刨、下垫处理。</w:t>
      </w:r>
    </w:p>
    <w:p>
      <w:pPr>
        <w:pStyle w:val="12"/>
        <w:spacing w:line="360" w:lineRule="auto"/>
        <w:ind w:firstLine="480"/>
      </w:pPr>
      <w:r>
        <w:t>7</w:t>
      </w:r>
      <w:r>
        <w:rPr>
          <w:rFonts w:hint="eastAsia"/>
        </w:rPr>
        <w:t>）人字门底枢蘑菇头及顶盖轴承磨损，使门轴柱中心位置偏差大于</w:t>
      </w:r>
      <w:r>
        <w:t>2mm</w:t>
      </w:r>
      <w:r>
        <w:rPr>
          <w:rFonts w:hint="eastAsia"/>
        </w:rPr>
        <w:t>、门柱下沉大于</w:t>
      </w:r>
      <w:r>
        <w:t xml:space="preserve">5mm </w:t>
      </w:r>
      <w:r>
        <w:rPr>
          <w:rFonts w:hint="eastAsia"/>
        </w:rPr>
        <w:t>时，应更换轴套。</w:t>
      </w:r>
    </w:p>
    <w:p>
      <w:pPr>
        <w:pStyle w:val="12"/>
        <w:spacing w:line="360" w:lineRule="auto"/>
        <w:ind w:firstLine="480"/>
      </w:pPr>
      <w:r>
        <w:rPr>
          <w:rFonts w:hint="eastAsia"/>
        </w:rPr>
        <w:t>3</w:t>
      </w:r>
      <w:r>
        <w:t>.</w:t>
      </w:r>
      <w:r>
        <w:rPr>
          <w:rFonts w:hint="eastAsia"/>
        </w:rPr>
        <w:t>4</w:t>
      </w:r>
      <w:r>
        <w:t xml:space="preserve">.6.5 </w:t>
      </w:r>
      <w:r>
        <w:rPr>
          <w:rFonts w:hint="eastAsia"/>
        </w:rPr>
        <w:t>吊耳、吊杆及锁定等装置维修养护应包括如下内容：</w:t>
      </w:r>
    </w:p>
    <w:p>
      <w:pPr>
        <w:pStyle w:val="12"/>
        <w:spacing w:line="360" w:lineRule="auto"/>
        <w:ind w:firstLine="480"/>
      </w:pPr>
      <w:r>
        <w:t>（1）</w:t>
      </w:r>
      <w:r>
        <w:rPr>
          <w:rFonts w:hint="eastAsia"/>
        </w:rPr>
        <w:t>养护</w:t>
      </w:r>
    </w:p>
    <w:p>
      <w:pPr>
        <w:pStyle w:val="12"/>
        <w:spacing w:line="360" w:lineRule="auto"/>
        <w:ind w:firstLine="480"/>
      </w:pPr>
      <w:r>
        <w:t>1</w:t>
      </w:r>
      <w:r>
        <w:rPr>
          <w:rFonts w:hint="eastAsia"/>
        </w:rPr>
        <w:t>）吊耳、吊杆及锁定等装置应保持清洁，零部件完好；存放时应防止变形和腐蚀。</w:t>
      </w:r>
    </w:p>
    <w:p>
      <w:pPr>
        <w:pStyle w:val="12"/>
        <w:spacing w:line="360" w:lineRule="auto"/>
        <w:ind w:firstLine="480"/>
      </w:pPr>
      <w:r>
        <w:t>2</w:t>
      </w:r>
      <w:r>
        <w:rPr>
          <w:rFonts w:hint="eastAsia"/>
        </w:rPr>
        <w:t>）吊耳及锁定的座板与门体连接牢固可靠。</w:t>
      </w:r>
    </w:p>
    <w:p>
      <w:pPr>
        <w:pStyle w:val="12"/>
        <w:spacing w:line="360" w:lineRule="auto"/>
        <w:ind w:firstLine="480"/>
      </w:pPr>
      <w:r>
        <w:t>3</w:t>
      </w:r>
      <w:r>
        <w:rPr>
          <w:rFonts w:hint="eastAsia"/>
        </w:rPr>
        <w:t>）弧门和翻转门的吊耳轴销，定期清洗和涂油，保持转动灵活。</w:t>
      </w:r>
    </w:p>
    <w:p>
      <w:pPr>
        <w:pStyle w:val="12"/>
        <w:spacing w:line="360" w:lineRule="auto"/>
        <w:ind w:firstLine="480"/>
      </w:pPr>
      <w:r>
        <w:t>（2）</w:t>
      </w:r>
      <w:r>
        <w:rPr>
          <w:rFonts w:hint="eastAsia"/>
        </w:rPr>
        <w:t>维修</w:t>
      </w:r>
    </w:p>
    <w:p>
      <w:pPr>
        <w:pStyle w:val="12"/>
        <w:spacing w:line="360" w:lineRule="auto"/>
        <w:ind w:firstLine="480"/>
      </w:pPr>
      <w:r>
        <w:t>1</w:t>
      </w:r>
      <w:r>
        <w:rPr>
          <w:rFonts w:hint="eastAsia"/>
        </w:rPr>
        <w:t>）吊耳、吊杆及锁定的构件变形，可矫正，但不得出现裂纹、开焊。</w:t>
      </w:r>
    </w:p>
    <w:p>
      <w:pPr>
        <w:pStyle w:val="12"/>
        <w:spacing w:line="360" w:lineRule="auto"/>
        <w:ind w:firstLine="480"/>
      </w:pPr>
      <w:r>
        <w:t>2</w:t>
      </w:r>
      <w:r>
        <w:rPr>
          <w:rFonts w:hint="eastAsia"/>
        </w:rPr>
        <w:t>）吊耳、吊杆及锁定的轴销裂纹或磨损、腐蚀量超过原直径的</w:t>
      </w:r>
      <w:r>
        <w:t>10%</w:t>
      </w:r>
      <w:r>
        <w:rPr>
          <w:rFonts w:hint="eastAsia"/>
        </w:rPr>
        <w:t>，应更换新件。</w:t>
      </w:r>
    </w:p>
    <w:p>
      <w:pPr>
        <w:pStyle w:val="12"/>
        <w:spacing w:line="360" w:lineRule="auto"/>
        <w:ind w:firstLine="480"/>
      </w:pPr>
      <w:r>
        <w:t>3</w:t>
      </w:r>
      <w:r>
        <w:rPr>
          <w:rFonts w:hint="eastAsia"/>
        </w:rPr>
        <w:t>）吊耳及锁定的连接螺栓、螺栓孔腐蚀，应更换新件。</w:t>
      </w:r>
    </w:p>
    <w:p>
      <w:pPr>
        <w:pStyle w:val="12"/>
        <w:spacing w:line="360" w:lineRule="auto"/>
        <w:ind w:firstLine="480"/>
      </w:pPr>
      <w:r>
        <w:t>4</w:t>
      </w:r>
      <w:r>
        <w:rPr>
          <w:rFonts w:hint="eastAsia"/>
        </w:rPr>
        <w:t>）受力拉板或撑板腐蚀量超过原厚度的</w:t>
      </w:r>
      <w:r>
        <w:t>10%</w:t>
      </w:r>
      <w:r>
        <w:rPr>
          <w:rFonts w:hint="eastAsia"/>
        </w:rPr>
        <w:t>，应更换新件。</w:t>
      </w:r>
    </w:p>
    <w:p>
      <w:pPr>
        <w:pStyle w:val="12"/>
        <w:spacing w:line="360" w:lineRule="auto"/>
        <w:ind w:firstLine="480"/>
      </w:pPr>
      <w:r>
        <w:rPr>
          <w:rFonts w:hint="eastAsia"/>
        </w:rPr>
        <w:t>3</w:t>
      </w:r>
      <w:r>
        <w:t xml:space="preserve">.4.6.6 </w:t>
      </w:r>
      <w:r>
        <w:rPr>
          <w:rFonts w:hint="eastAsia"/>
        </w:rPr>
        <w:t>止水装置的维修养护应包括如下内容：</w:t>
      </w:r>
    </w:p>
    <w:p>
      <w:pPr>
        <w:pStyle w:val="12"/>
        <w:spacing w:line="360" w:lineRule="auto"/>
        <w:ind w:firstLine="480"/>
      </w:pPr>
      <w:r>
        <w:t>（1）</w:t>
      </w:r>
      <w:r>
        <w:rPr>
          <w:rFonts w:hint="eastAsia"/>
        </w:rPr>
        <w:t>维修</w:t>
      </w:r>
    </w:p>
    <w:p>
      <w:pPr>
        <w:pStyle w:val="12"/>
        <w:spacing w:line="360" w:lineRule="auto"/>
        <w:ind w:firstLine="480"/>
      </w:pPr>
      <w:r>
        <w:t>1</w:t>
      </w:r>
      <w:r>
        <w:rPr>
          <w:rFonts w:hint="eastAsia"/>
        </w:rPr>
        <w:t>）闸门止水应完好，设计水头下渗漏量不得大于</w:t>
      </w:r>
      <w:r>
        <w:t>0.2L/s.m</w:t>
      </w:r>
      <w:r>
        <w:rPr>
          <w:rFonts w:hint="eastAsia"/>
        </w:rPr>
        <w:t>，门后无水流散射现象。</w:t>
      </w:r>
    </w:p>
    <w:p>
      <w:pPr>
        <w:pStyle w:val="12"/>
        <w:spacing w:line="360" w:lineRule="auto"/>
        <w:ind w:firstLine="480"/>
      </w:pPr>
      <w:r>
        <w:t>2</w:t>
      </w:r>
      <w:r>
        <w:rPr>
          <w:rFonts w:hint="eastAsia"/>
        </w:rPr>
        <w:t>）止水橡皮应定期调整，保持适当的预压量。止水橡皮与座板间干燥时，开闸前应浇水润滑。如有专门水润滑管路应保持完好、畅通。</w:t>
      </w:r>
    </w:p>
    <w:p>
      <w:pPr>
        <w:pStyle w:val="12"/>
        <w:spacing w:line="360" w:lineRule="auto"/>
        <w:ind w:firstLine="480"/>
      </w:pPr>
      <w:r>
        <w:t>3</w:t>
      </w:r>
      <w:r>
        <w:rPr>
          <w:rFonts w:hint="eastAsia"/>
        </w:rPr>
        <w:t>）潜孔闸门顶止水，应采取措施防止翻卷或撕裂。</w:t>
      </w:r>
    </w:p>
    <w:p>
      <w:pPr>
        <w:pStyle w:val="12"/>
        <w:spacing w:line="360" w:lineRule="auto"/>
        <w:ind w:firstLine="480"/>
        <w:rPr>
          <w:rFonts w:hint="eastAsia"/>
        </w:rPr>
      </w:pPr>
      <w:r>
        <w:t>4</w:t>
      </w:r>
      <w:r>
        <w:rPr>
          <w:rFonts w:hint="eastAsia"/>
        </w:rPr>
        <w:t>）止水橡皮的非摩擦面，可涂防老化涂料。</w:t>
      </w:r>
    </w:p>
    <w:p>
      <w:pPr>
        <w:pStyle w:val="12"/>
        <w:spacing w:line="360" w:lineRule="auto"/>
        <w:ind w:firstLine="480"/>
      </w:pPr>
      <w:r>
        <w:rPr>
          <w:rFonts w:hint="eastAsia"/>
        </w:rPr>
        <w:t>3</w:t>
      </w:r>
      <w:r>
        <w:t xml:space="preserve">.4.6.7 </w:t>
      </w:r>
      <w:r>
        <w:rPr>
          <w:rFonts w:hint="eastAsia"/>
        </w:rPr>
        <w:t>闸门埋件的维修养护应包括如下内容：</w:t>
      </w:r>
    </w:p>
    <w:p>
      <w:pPr>
        <w:pStyle w:val="12"/>
        <w:spacing w:line="360" w:lineRule="auto"/>
        <w:ind w:firstLine="480"/>
      </w:pPr>
      <w:r>
        <w:t>（1）</w:t>
      </w:r>
      <w:r>
        <w:rPr>
          <w:rFonts w:hint="eastAsia"/>
        </w:rPr>
        <w:t>养护</w:t>
      </w:r>
    </w:p>
    <w:p>
      <w:pPr>
        <w:pStyle w:val="12"/>
        <w:spacing w:line="360" w:lineRule="auto"/>
        <w:ind w:firstLine="480"/>
      </w:pPr>
      <w:r>
        <w:t>1</w:t>
      </w:r>
      <w:r>
        <w:rPr>
          <w:rFonts w:hint="eastAsia"/>
        </w:rPr>
        <w:t>）定期清理门槽内的淤泥、漂浮物及附着物。</w:t>
      </w:r>
    </w:p>
    <w:p>
      <w:pPr>
        <w:pStyle w:val="12"/>
        <w:spacing w:line="360" w:lineRule="auto"/>
        <w:ind w:firstLine="480"/>
      </w:pPr>
      <w:r>
        <w:t>2</w:t>
      </w:r>
      <w:r>
        <w:rPr>
          <w:rFonts w:hint="eastAsia"/>
        </w:rPr>
        <w:t>）埋件防腐涂层局部脱落，应及时修补。</w:t>
      </w:r>
    </w:p>
    <w:p>
      <w:pPr>
        <w:pStyle w:val="12"/>
        <w:spacing w:line="360" w:lineRule="auto"/>
        <w:ind w:firstLine="480"/>
      </w:pPr>
      <w:r>
        <w:t>3</w:t>
      </w:r>
      <w:r>
        <w:rPr>
          <w:rFonts w:hint="eastAsia"/>
        </w:rPr>
        <w:t>）埋件的二期混凝土出现破损小孔洞，应及时处理。</w:t>
      </w:r>
    </w:p>
    <w:p>
      <w:pPr>
        <w:pStyle w:val="12"/>
        <w:spacing w:line="360" w:lineRule="auto"/>
        <w:ind w:firstLine="480"/>
      </w:pPr>
      <w:r>
        <w:t>（2）</w:t>
      </w:r>
      <w:r>
        <w:rPr>
          <w:rFonts w:hint="eastAsia"/>
        </w:rPr>
        <w:t>维修</w:t>
      </w:r>
    </w:p>
    <w:p>
      <w:pPr>
        <w:pStyle w:val="12"/>
        <w:spacing w:line="360" w:lineRule="auto"/>
        <w:ind w:firstLine="480"/>
      </w:pPr>
      <w:r>
        <w:t>1</w:t>
      </w:r>
      <w:r>
        <w:rPr>
          <w:rFonts w:hint="eastAsia"/>
        </w:rPr>
        <w:t>）埋件破损面积超过</w:t>
      </w:r>
      <w:r>
        <w:t>30%</w:t>
      </w:r>
      <w:r>
        <w:rPr>
          <w:rFonts w:hint="eastAsia"/>
        </w:rPr>
        <w:t>时，应全部更换。</w:t>
      </w:r>
    </w:p>
    <w:p>
      <w:pPr>
        <w:pStyle w:val="12"/>
        <w:spacing w:line="360" w:lineRule="auto"/>
        <w:ind w:firstLine="480"/>
      </w:pPr>
      <w:r>
        <w:t>2</w:t>
      </w:r>
      <w:r>
        <w:rPr>
          <w:rFonts w:hint="eastAsia"/>
        </w:rPr>
        <w:t>）埋件局部变形、脱落，应局部更换。</w:t>
      </w:r>
    </w:p>
    <w:p>
      <w:pPr>
        <w:pStyle w:val="12"/>
        <w:spacing w:line="360" w:lineRule="auto"/>
        <w:ind w:firstLine="480"/>
      </w:pPr>
      <w:r>
        <w:t>3</w:t>
      </w:r>
      <w:r>
        <w:rPr>
          <w:rFonts w:hint="eastAsia"/>
        </w:rPr>
        <w:t>）主轨工作面磨损、腐蚀，可补焊、喷镀、贴补。</w:t>
      </w:r>
    </w:p>
    <w:p>
      <w:pPr>
        <w:pStyle w:val="12"/>
        <w:spacing w:line="360" w:lineRule="auto"/>
        <w:ind w:firstLine="480"/>
      </w:pPr>
      <w:r>
        <w:t>4</w:t>
      </w:r>
      <w:r>
        <w:rPr>
          <w:rFonts w:hint="eastAsia"/>
        </w:rPr>
        <w:t>）止水座板出现蚀坑，可涂刷树脂基材料或喷镀不锈钢材料整平。</w:t>
      </w:r>
    </w:p>
    <w:p>
      <w:pPr>
        <w:pStyle w:val="12"/>
        <w:spacing w:line="360" w:lineRule="auto"/>
        <w:ind w:firstLine="480"/>
      </w:pPr>
      <w:r>
        <w:t>5</w:t>
      </w:r>
      <w:r>
        <w:rPr>
          <w:rFonts w:hint="eastAsia"/>
        </w:rPr>
        <w:t>）埋件的二期混凝土破损，应及时修复。</w:t>
      </w:r>
    </w:p>
    <w:p>
      <w:pPr>
        <w:pStyle w:val="12"/>
        <w:spacing w:line="360" w:lineRule="auto"/>
        <w:ind w:firstLine="480"/>
      </w:pPr>
      <w:r>
        <w:rPr>
          <w:rFonts w:hint="eastAsia"/>
        </w:rPr>
        <w:t>3</w:t>
      </w:r>
      <w:r>
        <w:t xml:space="preserve">.4.6.8 </w:t>
      </w:r>
      <w:r>
        <w:rPr>
          <w:rFonts w:hint="eastAsia"/>
        </w:rPr>
        <w:t>闸门防腐蚀的要求如下：</w:t>
      </w:r>
    </w:p>
    <w:p>
      <w:pPr>
        <w:pStyle w:val="12"/>
        <w:spacing w:line="360" w:lineRule="auto"/>
        <w:ind w:firstLine="480"/>
      </w:pPr>
      <w:r>
        <w:t>（1）</w:t>
      </w:r>
      <w:r>
        <w:rPr>
          <w:rFonts w:hint="eastAsia"/>
        </w:rPr>
        <w:t>闸门防腐蚀施工前应做出防腐蚀设计，采用新技术、新工艺、新材料必须经过充分论证。</w:t>
      </w:r>
    </w:p>
    <w:p>
      <w:pPr>
        <w:pStyle w:val="12"/>
        <w:spacing w:line="360" w:lineRule="auto"/>
        <w:ind w:firstLine="480"/>
      </w:pPr>
      <w:r>
        <w:t>（2）</w:t>
      </w:r>
      <w:r>
        <w:rPr>
          <w:rFonts w:hint="eastAsia"/>
        </w:rPr>
        <w:t>钢闸门表面预处理的方法、适用范围、处理等级标准、质量检查等均应按照</w:t>
      </w:r>
      <w:r>
        <w:t>SL105</w:t>
      </w:r>
      <w:r>
        <w:rPr>
          <w:rFonts w:hint="eastAsia"/>
        </w:rPr>
        <w:t>—</w:t>
      </w:r>
      <w:r>
        <w:t xml:space="preserve">95 </w:t>
      </w:r>
      <w:r>
        <w:rPr>
          <w:rFonts w:hint="eastAsia"/>
        </w:rPr>
        <w:t>并参照</w:t>
      </w:r>
      <w:r>
        <w:t>JTJ230</w:t>
      </w:r>
      <w:r>
        <w:rPr>
          <w:rFonts w:hint="eastAsia"/>
        </w:rPr>
        <w:t>—</w:t>
      </w:r>
      <w:r>
        <w:t xml:space="preserve">89 </w:t>
      </w:r>
      <w:r>
        <w:rPr>
          <w:rFonts w:hint="eastAsia"/>
        </w:rPr>
        <w:t>的有关规定执行；混凝土及其它材料的闸门表面应喷毛并清理干净。</w:t>
      </w:r>
    </w:p>
    <w:p>
      <w:pPr>
        <w:pStyle w:val="12"/>
        <w:spacing w:line="360" w:lineRule="auto"/>
        <w:ind w:firstLine="480"/>
      </w:pPr>
      <w:r>
        <w:t>（3）</w:t>
      </w:r>
      <w:r>
        <w:rPr>
          <w:rFonts w:hint="eastAsia"/>
        </w:rPr>
        <w:t>钢闸门可采用喷涂涂料、喷镀金属并涂层保护的防腐蚀措施，施工技术要求按</w:t>
      </w:r>
      <w:r>
        <w:t>SL105</w:t>
      </w:r>
      <w:r>
        <w:rPr>
          <w:rFonts w:hint="eastAsia"/>
        </w:rPr>
        <w:t>—</w:t>
      </w:r>
      <w:r>
        <w:t xml:space="preserve">95 </w:t>
      </w:r>
      <w:r>
        <w:rPr>
          <w:rFonts w:hint="eastAsia"/>
        </w:rPr>
        <w:t>及</w:t>
      </w:r>
      <w:r>
        <w:t>JTJ230</w:t>
      </w:r>
      <w:r>
        <w:rPr>
          <w:rFonts w:hint="eastAsia"/>
        </w:rPr>
        <w:t>—</w:t>
      </w:r>
      <w:r>
        <w:t xml:space="preserve">89 </w:t>
      </w:r>
      <w:r>
        <w:rPr>
          <w:rFonts w:hint="eastAsia"/>
        </w:rPr>
        <w:t>等有关规定执行；沿海地区的钢闸门，如采用涂膜—牺牲阳极联合保护的防腐蚀措施，应选好阳极材料、科学设计、严格施工。</w:t>
      </w:r>
    </w:p>
    <w:p>
      <w:pPr>
        <w:pStyle w:val="12"/>
        <w:spacing w:line="360" w:lineRule="auto"/>
        <w:ind w:firstLine="480"/>
      </w:pPr>
      <w:r>
        <w:t>（4）</w:t>
      </w:r>
      <w:r>
        <w:rPr>
          <w:rFonts w:hint="eastAsia"/>
        </w:rPr>
        <w:t>钢闸门采用喷涂涂料保护的涂膜老化，有下列情形之一的应重新防腐蚀：</w:t>
      </w:r>
    </w:p>
    <w:p>
      <w:pPr>
        <w:pStyle w:val="12"/>
        <w:spacing w:line="360" w:lineRule="auto"/>
        <w:ind w:firstLine="480"/>
      </w:pPr>
      <w:r>
        <w:t>1</w:t>
      </w:r>
      <w:r>
        <w:rPr>
          <w:rFonts w:hint="eastAsia"/>
        </w:rPr>
        <w:t>）防腐蚀涂层裂纹较深面积的</w:t>
      </w:r>
      <w:r>
        <w:t>10%</w:t>
      </w:r>
      <w:r>
        <w:rPr>
          <w:rFonts w:hint="eastAsia"/>
        </w:rPr>
        <w:t>以上或已出现深达金属基面的裂纹。</w:t>
      </w:r>
    </w:p>
    <w:p>
      <w:pPr>
        <w:pStyle w:val="12"/>
        <w:spacing w:line="360" w:lineRule="auto"/>
        <w:ind w:firstLine="480"/>
      </w:pPr>
      <w:r>
        <w:t>2</w:t>
      </w:r>
      <w:r>
        <w:rPr>
          <w:rFonts w:hint="eastAsia"/>
        </w:rPr>
        <w:t>）生锈鼓包的锈点面积超过</w:t>
      </w:r>
      <w:r>
        <w:t>2%</w:t>
      </w:r>
      <w:r>
        <w:rPr>
          <w:rFonts w:hint="eastAsia"/>
        </w:rPr>
        <w:t>。</w:t>
      </w:r>
    </w:p>
    <w:p>
      <w:pPr>
        <w:pStyle w:val="12"/>
        <w:spacing w:line="360" w:lineRule="auto"/>
        <w:ind w:firstLine="480"/>
      </w:pPr>
      <w:r>
        <w:t>3</w:t>
      </w:r>
      <w:r>
        <w:rPr>
          <w:rFonts w:hint="eastAsia"/>
        </w:rPr>
        <w:t>）脱落、起皮面积超过</w:t>
      </w:r>
      <w:r>
        <w:t>1%</w:t>
      </w:r>
      <w:r>
        <w:rPr>
          <w:rFonts w:hint="eastAsia"/>
        </w:rPr>
        <w:t>以上。</w:t>
      </w:r>
    </w:p>
    <w:p>
      <w:pPr>
        <w:pStyle w:val="12"/>
        <w:spacing w:line="360" w:lineRule="auto"/>
        <w:ind w:firstLine="480"/>
      </w:pPr>
      <w:r>
        <w:t>4</w:t>
      </w:r>
      <w:r>
        <w:rPr>
          <w:rFonts w:hint="eastAsia"/>
        </w:rPr>
        <w:t>）粉化，以手指轻擦涂膜，沾满颜料或手指轻擦即露底。</w:t>
      </w:r>
    </w:p>
    <w:p>
      <w:pPr>
        <w:pStyle w:val="12"/>
        <w:spacing w:line="360" w:lineRule="auto"/>
        <w:ind w:firstLine="480"/>
      </w:pPr>
      <w:r>
        <w:t>（5）</w:t>
      </w:r>
      <w:r>
        <w:rPr>
          <w:rFonts w:hint="eastAsia"/>
        </w:rPr>
        <w:t>钢闸门采用喷涂涂料保护的涂膜面层老化（裂纹、粉化），应重新涂装面层（如更换涂料，须注意新、老涂层间的配套性能）。</w:t>
      </w:r>
    </w:p>
    <w:p>
      <w:pPr>
        <w:pStyle w:val="12"/>
        <w:spacing w:line="360" w:lineRule="auto"/>
        <w:ind w:firstLine="480"/>
      </w:pPr>
      <w:r>
        <w:t>（6）</w:t>
      </w:r>
      <w:r>
        <w:rPr>
          <w:rFonts w:hint="eastAsia"/>
        </w:rPr>
        <w:t>钢闸门喷镀金属层的蚀余厚度不足原设计厚度的</w:t>
      </w:r>
      <w:r>
        <w:t xml:space="preserve">1/4 </w:t>
      </w:r>
      <w:r>
        <w:rPr>
          <w:rFonts w:hint="eastAsia"/>
        </w:rPr>
        <w:t>时，应重新防腐蚀；表面保护涂层老化，应重新涂装（如更换涂料，须注意新、老涂层间的配套性能）。</w:t>
      </w:r>
    </w:p>
    <w:p>
      <w:pPr>
        <w:pStyle w:val="12"/>
        <w:spacing w:line="360" w:lineRule="auto"/>
        <w:ind w:firstLine="480"/>
      </w:pPr>
      <w:r>
        <w:t>（7）</w:t>
      </w:r>
      <w:r>
        <w:rPr>
          <w:rFonts w:hint="eastAsia"/>
        </w:rPr>
        <w:t>采用涂膜—牺牲阳极联合保护的钢闸门，如保护电位不合格（静、动海水保护电流密度分别低于</w:t>
      </w:r>
      <w:r>
        <w:t xml:space="preserve">20 </w:t>
      </w:r>
      <w:r>
        <w:rPr>
          <w:rFonts w:hint="eastAsia"/>
        </w:rPr>
        <w:t>及</w:t>
      </w:r>
      <w:r>
        <w:t>30mA/m2</w:t>
      </w:r>
      <w:r>
        <w:rPr>
          <w:rFonts w:hint="eastAsia"/>
        </w:rPr>
        <w:t>）时，可重焊、更换或增补牺牲阳极。</w:t>
      </w:r>
    </w:p>
    <w:p>
      <w:pPr>
        <w:pStyle w:val="12"/>
        <w:spacing w:line="360" w:lineRule="auto"/>
        <w:ind w:firstLine="480"/>
      </w:pPr>
      <w:r>
        <w:t>（8）</w:t>
      </w:r>
      <w:r>
        <w:rPr>
          <w:rFonts w:hint="eastAsia"/>
        </w:rPr>
        <w:t>钢闸门防腐蚀的设计、施工的具体要求见本规程附录</w:t>
      </w:r>
      <w:r>
        <w:t>C</w:t>
      </w:r>
      <w:r>
        <w:rPr>
          <w:rFonts w:hint="eastAsia"/>
        </w:rPr>
        <w:t>。</w:t>
      </w:r>
    </w:p>
    <w:p>
      <w:pPr>
        <w:pStyle w:val="12"/>
        <w:spacing w:line="360" w:lineRule="auto"/>
        <w:ind w:firstLine="480"/>
      </w:pPr>
      <w:r>
        <w:t>（9）</w:t>
      </w:r>
      <w:r>
        <w:rPr>
          <w:rFonts w:hint="eastAsia"/>
        </w:rPr>
        <w:t>混凝土闸门，可采用喷涂涂料保护。</w:t>
      </w:r>
    </w:p>
    <w:p>
      <w:pPr>
        <w:pStyle w:val="12"/>
        <w:spacing w:line="360" w:lineRule="auto"/>
        <w:ind w:firstLine="480"/>
      </w:pPr>
      <w:r>
        <w:t>（10）</w:t>
      </w:r>
      <w:r>
        <w:rPr>
          <w:rFonts w:hint="eastAsia"/>
        </w:rPr>
        <w:t>混凝土闸门防腐蚀涂膜老化，应重新涂装（如更换涂料，须注意新、老涂层间的配套性能）。</w:t>
      </w:r>
    </w:p>
    <w:p>
      <w:pPr>
        <w:pStyle w:val="12"/>
        <w:spacing w:line="360" w:lineRule="auto"/>
        <w:ind w:firstLine="480"/>
      </w:pPr>
      <w:r>
        <w:t xml:space="preserve">4.4.6.9 </w:t>
      </w:r>
      <w:r>
        <w:rPr>
          <w:rFonts w:hint="eastAsia"/>
        </w:rPr>
        <w:t>混凝土闸门修理的项目及要求如下：</w:t>
      </w:r>
    </w:p>
    <w:p>
      <w:pPr>
        <w:pStyle w:val="12"/>
        <w:spacing w:line="360" w:lineRule="auto"/>
        <w:ind w:firstLine="480"/>
      </w:pPr>
      <w:r>
        <w:t>（1）</w:t>
      </w:r>
      <w:r>
        <w:rPr>
          <w:rFonts w:hint="eastAsia"/>
        </w:rPr>
        <w:t>不影响安全运行的局部破损，可采用树脂砂浆或聚合物砂浆修补。</w:t>
      </w:r>
    </w:p>
    <w:p>
      <w:pPr>
        <w:pStyle w:val="12"/>
        <w:spacing w:line="360" w:lineRule="auto"/>
        <w:ind w:firstLine="480"/>
      </w:pPr>
      <w:r>
        <w:t>（2）</w:t>
      </w:r>
      <w:r>
        <w:rPr>
          <w:rFonts w:hint="eastAsia"/>
        </w:rPr>
        <w:t>闸门预埋的起吊构件严重腐蚀、不能保证安全运行的，应另行补设；不能补设时，该闸门应报废。</w:t>
      </w:r>
    </w:p>
    <w:p>
      <w:pPr>
        <w:pStyle w:val="12"/>
        <w:spacing w:line="360" w:lineRule="auto"/>
        <w:ind w:firstLine="480"/>
      </w:pPr>
      <w:r>
        <w:t>（3）</w:t>
      </w:r>
      <w:r>
        <w:rPr>
          <w:rFonts w:hint="eastAsia"/>
        </w:rPr>
        <w:t>闸门局部露筋、轻微碳化或表面裂缝可采用表面喷涂防护涂料的方法处理；表面裂缝开度达于</w:t>
      </w:r>
      <w:r>
        <w:t xml:space="preserve">0.3mm </w:t>
      </w:r>
      <w:r>
        <w:rPr>
          <w:rFonts w:hint="eastAsia"/>
        </w:rPr>
        <w:t>时，宜采用表面粘贴片材（或玻璃丝布）的方法处理。</w:t>
      </w:r>
    </w:p>
    <w:p>
      <w:pPr>
        <w:pStyle w:val="12"/>
        <w:spacing w:line="360" w:lineRule="auto"/>
        <w:ind w:firstLine="480"/>
      </w:pPr>
      <w:r>
        <w:t>（4）</w:t>
      </w:r>
      <w:r>
        <w:rPr>
          <w:rFonts w:hint="eastAsia"/>
        </w:rPr>
        <w:t>钢筋严重腐蚀或门体严重破损的闸门，应于更新。</w:t>
      </w:r>
    </w:p>
    <w:p>
      <w:pPr>
        <w:pStyle w:val="12"/>
        <w:spacing w:line="360" w:lineRule="auto"/>
        <w:ind w:firstLine="480"/>
      </w:pPr>
      <w:r>
        <w:rPr>
          <w:rFonts w:hint="eastAsia"/>
        </w:rPr>
        <w:t>3</w:t>
      </w:r>
      <w:r>
        <w:t xml:space="preserve">.4.7 </w:t>
      </w:r>
      <w:r>
        <w:rPr>
          <w:rFonts w:hint="eastAsia"/>
        </w:rPr>
        <w:t>启闭机维修养护</w:t>
      </w:r>
    </w:p>
    <w:p>
      <w:pPr>
        <w:pStyle w:val="12"/>
        <w:spacing w:line="360" w:lineRule="auto"/>
        <w:ind w:firstLine="480"/>
      </w:pPr>
      <w:r>
        <w:rPr>
          <w:rFonts w:hint="eastAsia"/>
        </w:rPr>
        <w:t>3</w:t>
      </w:r>
      <w:r>
        <w:t xml:space="preserve">.4.7.1 </w:t>
      </w:r>
      <w:r>
        <w:rPr>
          <w:rFonts w:hint="eastAsia"/>
        </w:rPr>
        <w:t>卷扬式启闭机养护应包括如下内容：</w:t>
      </w:r>
    </w:p>
    <w:p>
      <w:pPr>
        <w:pStyle w:val="12"/>
        <w:spacing w:line="360" w:lineRule="auto"/>
        <w:ind w:firstLine="480"/>
      </w:pPr>
      <w:r>
        <w:t>（1）</w:t>
      </w:r>
      <w:r>
        <w:rPr>
          <w:rFonts w:hint="eastAsia"/>
        </w:rPr>
        <w:t>防护罩、机体表面应保持清洁，除转动部位的工作面外，均应定期采用涂料保护；启闭机的联接件应保持坚固，不得有松动现象。</w:t>
      </w:r>
    </w:p>
    <w:p>
      <w:pPr>
        <w:pStyle w:val="12"/>
        <w:spacing w:line="360" w:lineRule="auto"/>
        <w:ind w:firstLine="480"/>
      </w:pPr>
      <w:r>
        <w:t>（2）</w:t>
      </w:r>
      <w:r>
        <w:rPr>
          <w:rFonts w:hint="eastAsia"/>
        </w:rPr>
        <w:t>传动件的传动部位应加强润滑，油量要充足、油质须合格、注油应及时。</w:t>
      </w:r>
    </w:p>
    <w:p>
      <w:pPr>
        <w:pStyle w:val="12"/>
        <w:spacing w:line="360" w:lineRule="auto"/>
        <w:ind w:firstLine="480"/>
        <w:rPr>
          <w:rFonts w:hint="eastAsia"/>
        </w:rPr>
      </w:pPr>
      <w:r>
        <w:t>（3）</w:t>
      </w:r>
      <w:r>
        <w:rPr>
          <w:rFonts w:hint="eastAsia"/>
        </w:rPr>
        <w:t>定期清理钢丝绳并涂脂保护；钢丝绳两端固定部件应紧固、可靠；双吊点启闭机钢丝绳两吊轴高差超标时，应及时调整。</w:t>
      </w:r>
    </w:p>
    <w:p>
      <w:pPr>
        <w:pStyle w:val="12"/>
        <w:spacing w:line="360" w:lineRule="auto"/>
        <w:ind w:firstLine="480"/>
      </w:pPr>
      <w:r>
        <w:t>（4）</w:t>
      </w:r>
      <w:r>
        <w:rPr>
          <w:rFonts w:hint="eastAsia"/>
        </w:rPr>
        <w:t>保持卷筒清洁，不得附着油垢；无机房的启闭机，卷筒内部应定期清扫。</w:t>
      </w:r>
    </w:p>
    <w:p>
      <w:pPr>
        <w:pStyle w:val="12"/>
        <w:spacing w:line="360" w:lineRule="auto"/>
        <w:ind w:firstLine="480"/>
      </w:pPr>
      <w:r>
        <w:t>（5）</w:t>
      </w:r>
      <w:r>
        <w:rPr>
          <w:rFonts w:hint="eastAsia"/>
        </w:rPr>
        <w:t>电磁制动器应保持清洁、动作灵活、制动可靠；油压电磁制动器应及时补油、定期清洗、换油。</w:t>
      </w:r>
    </w:p>
    <w:p>
      <w:pPr>
        <w:pStyle w:val="12"/>
        <w:spacing w:line="360" w:lineRule="auto"/>
        <w:ind w:firstLine="480"/>
      </w:pPr>
      <w:r>
        <w:t>（6）</w:t>
      </w:r>
      <w:r>
        <w:rPr>
          <w:rFonts w:hint="eastAsia"/>
        </w:rPr>
        <w:t>棘爪棘轮制动器应保持清洁；棘爪在棘轮上移动灵活；棘爪弹簧应保持弹力。</w:t>
      </w:r>
    </w:p>
    <w:p>
      <w:pPr>
        <w:pStyle w:val="12"/>
        <w:spacing w:line="360" w:lineRule="auto"/>
        <w:ind w:firstLine="480"/>
      </w:pPr>
      <w:r>
        <w:t>（7）</w:t>
      </w:r>
      <w:r>
        <w:rPr>
          <w:rFonts w:hint="eastAsia"/>
        </w:rPr>
        <w:t>滑轮组心轴应保持润滑；滑轮槽应保持清洁；钢丝绳通过滑轮组如出现卡阻、偏磨应及时调整。</w:t>
      </w:r>
    </w:p>
    <w:p>
      <w:pPr>
        <w:pStyle w:val="12"/>
        <w:spacing w:line="360" w:lineRule="auto"/>
        <w:ind w:firstLine="480"/>
      </w:pPr>
      <w:r>
        <w:t>（8）</w:t>
      </w:r>
      <w:r>
        <w:rPr>
          <w:rFonts w:hint="eastAsia"/>
        </w:rPr>
        <w:t>无机房的启闭机应固定牢靠；保持罩体完好，防腐涂膜局部脱落，应及时补漆。</w:t>
      </w:r>
    </w:p>
    <w:p>
      <w:pPr>
        <w:pStyle w:val="12"/>
        <w:spacing w:line="360" w:lineRule="auto"/>
        <w:ind w:firstLine="480"/>
      </w:pPr>
      <w:r>
        <w:t>（9）</w:t>
      </w:r>
      <w:r>
        <w:rPr>
          <w:rFonts w:hint="eastAsia"/>
        </w:rPr>
        <w:t>移动式启闭机行走机构的转动部件（含夹轨器），保持润滑、灵活；行走轨道不得松动、横向位移，接头偏差超标应及时调整；扫轨板、行程开关等安全装置须动作灵活、可靠。</w:t>
      </w:r>
    </w:p>
    <w:p>
      <w:pPr>
        <w:pStyle w:val="12"/>
        <w:spacing w:line="360" w:lineRule="auto"/>
        <w:ind w:firstLine="480"/>
      </w:pPr>
      <w:r>
        <w:t>（10）</w:t>
      </w:r>
      <w:r>
        <w:rPr>
          <w:rFonts w:hint="eastAsia"/>
        </w:rPr>
        <w:t>移动式启闭机的抓梁（挂脱自如式、钩环式、液压穿销式）的转动部分应保持润滑、灵活，防腐蚀涂膜局部脱落及时补漆，穿销式的信号反馈装置故障应及时排除。</w:t>
      </w:r>
    </w:p>
    <w:p>
      <w:pPr>
        <w:pStyle w:val="12"/>
        <w:spacing w:line="360" w:lineRule="auto"/>
        <w:ind w:firstLine="480"/>
      </w:pPr>
      <w:r>
        <w:t xml:space="preserve">（11） </w:t>
      </w:r>
      <w:r>
        <w:rPr>
          <w:rFonts w:hint="eastAsia"/>
        </w:rPr>
        <w:t>移动式启闭机的电缆卷筒、架立式电缆应及时保养或更换零件，防止漏电；安全滑触线（导管、导轨及接头、集电器电刷及弹簧、集电器滚轮、悬吊器及悬吊夹等）应及时保养或更换零件，防止失电。</w:t>
      </w:r>
    </w:p>
    <w:p>
      <w:pPr>
        <w:pStyle w:val="12"/>
        <w:spacing w:line="360" w:lineRule="auto"/>
        <w:ind w:firstLine="480"/>
      </w:pPr>
      <w:r>
        <w:rPr>
          <w:rFonts w:hint="eastAsia"/>
        </w:rPr>
        <w:t>3</w:t>
      </w:r>
      <w:r>
        <w:t xml:space="preserve">.4.7.2 </w:t>
      </w:r>
      <w:r>
        <w:rPr>
          <w:rFonts w:hint="eastAsia"/>
        </w:rPr>
        <w:t>液压启闭机的养护维护应包括如下内容：</w:t>
      </w:r>
    </w:p>
    <w:p>
      <w:pPr>
        <w:pStyle w:val="12"/>
        <w:spacing w:line="360" w:lineRule="auto"/>
        <w:ind w:firstLine="480"/>
      </w:pPr>
      <w:r>
        <w:t>（1）</w:t>
      </w:r>
      <w:r>
        <w:rPr>
          <w:rFonts w:hint="eastAsia"/>
        </w:rPr>
        <w:t>油箱油位应保持在允许范围内；吸油管和回油管口必须保持在油面以下；按规定抽验、过滤、更换油液。</w:t>
      </w:r>
    </w:p>
    <w:p>
      <w:pPr>
        <w:pStyle w:val="12"/>
        <w:spacing w:line="360" w:lineRule="auto"/>
        <w:ind w:firstLine="480"/>
      </w:pPr>
      <w:r>
        <w:t>（2）</w:t>
      </w:r>
      <w:r>
        <w:rPr>
          <w:rFonts w:hint="eastAsia"/>
        </w:rPr>
        <w:t>定期清洗滤油器；结合油箱滤油、换油，清洗管路。</w:t>
      </w:r>
    </w:p>
    <w:p>
      <w:pPr>
        <w:pStyle w:val="12"/>
        <w:spacing w:line="360" w:lineRule="auto"/>
        <w:ind w:firstLine="480"/>
      </w:pPr>
      <w:r>
        <w:t>（3）</w:t>
      </w:r>
      <w:r>
        <w:rPr>
          <w:rFonts w:hint="eastAsia"/>
        </w:rPr>
        <w:t>发现油压系统有滴、冒、漏现象时，应及时调整或更换密封件。</w:t>
      </w:r>
    </w:p>
    <w:p>
      <w:pPr>
        <w:pStyle w:val="12"/>
        <w:spacing w:line="360" w:lineRule="auto"/>
        <w:ind w:firstLine="480"/>
      </w:pPr>
      <w:r>
        <w:t>（4）</w:t>
      </w:r>
      <w:r>
        <w:rPr>
          <w:rFonts w:hint="eastAsia"/>
        </w:rPr>
        <w:t>供、排油管路的色标，应保持清晰，并保持敷设牢固。</w:t>
      </w:r>
    </w:p>
    <w:p>
      <w:pPr>
        <w:pStyle w:val="12"/>
        <w:spacing w:line="360" w:lineRule="auto"/>
        <w:ind w:firstLine="480"/>
      </w:pPr>
      <w:r>
        <w:t>（5）</w:t>
      </w:r>
      <w:r>
        <w:rPr>
          <w:rFonts w:hint="eastAsia"/>
        </w:rPr>
        <w:t>油缸支架或活塞杆横架与机体连接应保持牢固；活塞杆外露部分应予防护。</w:t>
      </w:r>
    </w:p>
    <w:p>
      <w:pPr>
        <w:pStyle w:val="12"/>
        <w:spacing w:line="360" w:lineRule="auto"/>
        <w:ind w:firstLine="480"/>
        <w:rPr>
          <w:rFonts w:hint="eastAsia"/>
        </w:rPr>
      </w:pPr>
      <w:r>
        <w:t>（6）</w:t>
      </w:r>
      <w:r>
        <w:rPr>
          <w:rFonts w:hint="eastAsia"/>
        </w:rPr>
        <w:t>定期校验调控装置及监测仪表。</w:t>
      </w:r>
    </w:p>
    <w:p>
      <w:pPr>
        <w:pStyle w:val="12"/>
        <w:spacing w:line="360" w:lineRule="auto"/>
        <w:ind w:firstLine="480"/>
      </w:pPr>
      <w:r>
        <w:t>（7）</w:t>
      </w:r>
      <w:r>
        <w:rPr>
          <w:rFonts w:hint="eastAsia"/>
        </w:rPr>
        <w:t>水压式启闭机维护除参照上述各款外，应及时调整、更换高压水泵的盘根，及时更换叶轮（片）。</w:t>
      </w:r>
    </w:p>
    <w:p>
      <w:pPr>
        <w:pStyle w:val="12"/>
        <w:spacing w:line="360" w:lineRule="auto"/>
        <w:ind w:firstLine="480"/>
      </w:pPr>
      <w:r>
        <w:rPr>
          <w:rFonts w:hint="eastAsia"/>
        </w:rPr>
        <w:t>3</w:t>
      </w:r>
      <w:r>
        <w:t xml:space="preserve">.4.7.3 </w:t>
      </w:r>
      <w:r>
        <w:rPr>
          <w:rFonts w:hint="eastAsia"/>
        </w:rPr>
        <w:t>螺杆启闭机的养护包括如下内容：</w:t>
      </w:r>
    </w:p>
    <w:p>
      <w:pPr>
        <w:pStyle w:val="12"/>
        <w:spacing w:line="360" w:lineRule="auto"/>
        <w:ind w:firstLine="480"/>
      </w:pPr>
      <w:r>
        <w:t>（1）</w:t>
      </w:r>
      <w:r>
        <w:rPr>
          <w:rFonts w:hint="eastAsia"/>
        </w:rPr>
        <w:t>定期补充、更换润滑油。</w:t>
      </w:r>
    </w:p>
    <w:p>
      <w:pPr>
        <w:pStyle w:val="12"/>
        <w:spacing w:line="360" w:lineRule="auto"/>
        <w:ind w:firstLine="480"/>
      </w:pPr>
      <w:r>
        <w:t>（2）</w:t>
      </w:r>
      <w:r>
        <w:rPr>
          <w:rFonts w:hint="eastAsia"/>
        </w:rPr>
        <w:t>定期清洗螺杆并涂脂保护；条件允许可配防护罩。</w:t>
      </w:r>
    </w:p>
    <w:p>
      <w:pPr>
        <w:pStyle w:val="12"/>
        <w:spacing w:line="360" w:lineRule="auto"/>
        <w:ind w:firstLine="480"/>
      </w:pPr>
      <w:r>
        <w:t>（3）</w:t>
      </w:r>
      <w:r>
        <w:rPr>
          <w:rFonts w:hint="eastAsia"/>
        </w:rPr>
        <w:t>定期校验、调整闸门开度指示和限位装置。</w:t>
      </w:r>
    </w:p>
    <w:p>
      <w:pPr>
        <w:pStyle w:val="12"/>
        <w:spacing w:line="360" w:lineRule="auto"/>
        <w:ind w:firstLine="480"/>
      </w:pPr>
      <w:r>
        <w:rPr>
          <w:rFonts w:hint="eastAsia"/>
        </w:rPr>
        <w:t>3</w:t>
      </w:r>
      <w:r>
        <w:t xml:space="preserve">.4.7.4 </w:t>
      </w:r>
      <w:r>
        <w:rPr>
          <w:rFonts w:hint="eastAsia"/>
        </w:rPr>
        <w:t>卷扬式启闭机维修的项目如下：</w:t>
      </w:r>
    </w:p>
    <w:p>
      <w:pPr>
        <w:pStyle w:val="12"/>
        <w:spacing w:line="360" w:lineRule="auto"/>
        <w:ind w:firstLine="480"/>
      </w:pPr>
      <w:r>
        <w:t>（1）</w:t>
      </w:r>
      <w:r>
        <w:rPr>
          <w:rFonts w:hint="eastAsia"/>
        </w:rPr>
        <w:t>减速器轴承与箱体座孔配合间隙超过规定数值，箱体上各螺孔螺纹损伤，减速器齿轮磨损超过允许值，应修复或更换新件。</w:t>
      </w:r>
    </w:p>
    <w:p>
      <w:pPr>
        <w:pStyle w:val="12"/>
        <w:spacing w:line="360" w:lineRule="auto"/>
        <w:ind w:firstLine="480"/>
      </w:pPr>
      <w:r>
        <w:t>（2）</w:t>
      </w:r>
      <w:r>
        <w:rPr>
          <w:rFonts w:hint="eastAsia"/>
        </w:rPr>
        <w:t>弹性联轴器的销子与橡胶圈间隙或橡胶圈与联轴器间隙超过允许值，齿形联轴器的齿偏磨或断裂，应更换新件。</w:t>
      </w:r>
    </w:p>
    <w:p>
      <w:pPr>
        <w:pStyle w:val="12"/>
        <w:spacing w:line="360" w:lineRule="auto"/>
        <w:ind w:firstLine="480"/>
      </w:pPr>
      <w:r>
        <w:t>（3）</w:t>
      </w:r>
      <w:r>
        <w:rPr>
          <w:rFonts w:hint="eastAsia"/>
        </w:rPr>
        <w:t>制动器制动轮工作面磨损在允许值以内，可维修；制动轮出现裂纹、砂眼等缺陷，必须进行整修或更换；制动带磨损严重，应予更换；制动带的铆钉或螺钉断裂、脱落，应立即更换补齐；主弹簧变形，失去弹性时，应予更换。</w:t>
      </w:r>
    </w:p>
    <w:p>
      <w:pPr>
        <w:pStyle w:val="12"/>
        <w:spacing w:line="360" w:lineRule="auto"/>
        <w:ind w:firstLine="480"/>
      </w:pPr>
      <w:r>
        <w:t>（4）</w:t>
      </w:r>
      <w:r>
        <w:rPr>
          <w:rFonts w:hint="eastAsia"/>
        </w:rPr>
        <w:t>卷筒绳槽磨损在允许值以内，可维修；超过允许值或出现裂纹，应更换新件。</w:t>
      </w:r>
    </w:p>
    <w:p>
      <w:pPr>
        <w:pStyle w:val="12"/>
        <w:spacing w:line="360" w:lineRule="auto"/>
        <w:ind w:firstLine="480"/>
      </w:pPr>
      <w:r>
        <w:t>（5）</w:t>
      </w:r>
      <w:r>
        <w:rPr>
          <w:rFonts w:hint="eastAsia"/>
        </w:rPr>
        <w:t>钢丝绳断丝超过允许值，宜更换新绳；如钢丝绳与闸门连接端断丝超过允许值，但断丝范围不超过预绕圈长度的</w:t>
      </w:r>
      <w:r>
        <w:t xml:space="preserve">1/2 </w:t>
      </w:r>
      <w:r>
        <w:rPr>
          <w:rFonts w:hint="eastAsia"/>
        </w:rPr>
        <w:t>时，可调头使用；更换钢丝绳时，缠绕在卷筒上的预绕圈数，应符合设计要求；无规定时，应大于</w:t>
      </w:r>
      <w:r>
        <w:t xml:space="preserve">5 </w:t>
      </w:r>
      <w:r>
        <w:rPr>
          <w:rFonts w:hint="eastAsia"/>
        </w:rPr>
        <w:t>圈，如压板螺栓设在卷筒翼缘侧面又用鸡心铁挤压的，则应大于</w:t>
      </w:r>
      <w:r>
        <w:t xml:space="preserve">2.5 </w:t>
      </w:r>
      <w:r>
        <w:rPr>
          <w:rFonts w:hint="eastAsia"/>
        </w:rPr>
        <w:t>圈。</w:t>
      </w:r>
    </w:p>
    <w:p>
      <w:pPr>
        <w:pStyle w:val="12"/>
        <w:spacing w:line="360" w:lineRule="auto"/>
        <w:ind w:firstLine="480"/>
      </w:pPr>
      <w:r>
        <w:t>（6）</w:t>
      </w:r>
      <w:r>
        <w:rPr>
          <w:rFonts w:hint="eastAsia"/>
        </w:rPr>
        <w:t>滑轮组轮缘裂纹、破伤以及滑轮槽磨损超过允许值，应更换新件。</w:t>
      </w:r>
    </w:p>
    <w:p>
      <w:pPr>
        <w:pStyle w:val="12"/>
        <w:spacing w:line="360" w:lineRule="auto"/>
        <w:ind w:firstLine="480"/>
      </w:pPr>
      <w:r>
        <w:t>（7）</w:t>
      </w:r>
      <w:r>
        <w:rPr>
          <w:rFonts w:hint="eastAsia"/>
        </w:rPr>
        <w:t>滑动轴承的轴瓦、轴颈，出现划痕或拉毛时应修刮平滑。轴与轴瓦配合间隙超过规定时，应更换轴瓦。滚动轴承的滚子及其配件，出现损伤、变形或磨损严重时，应更换。</w:t>
      </w:r>
    </w:p>
    <w:p>
      <w:pPr>
        <w:pStyle w:val="12"/>
        <w:spacing w:line="360" w:lineRule="auto"/>
        <w:ind w:firstLine="480"/>
        <w:rPr>
          <w:rFonts w:hint="eastAsia"/>
        </w:rPr>
      </w:pPr>
      <w:r>
        <w:t>（8）</w:t>
      </w:r>
      <w:r>
        <w:rPr>
          <w:rFonts w:hint="eastAsia"/>
        </w:rPr>
        <w:t>机架（含门架、台车架）焊缝裂纹、脱焊、假焊，可补焊（消除内应力、补漆）。</w:t>
      </w:r>
    </w:p>
    <w:p>
      <w:pPr>
        <w:pStyle w:val="12"/>
        <w:spacing w:line="360" w:lineRule="auto"/>
        <w:ind w:firstLine="480"/>
      </w:pPr>
      <w:r>
        <w:t>（9）</w:t>
      </w:r>
      <w:r>
        <w:rPr>
          <w:rFonts w:hint="eastAsia"/>
        </w:rPr>
        <w:t>移动式启闭机行走机构的车轮磨损未超过允许值，可修复；车轮磨损超过允许值以及出现裂纹、变形时，应更换新件；行走台车架裂纹，可挖补修复。</w:t>
      </w:r>
    </w:p>
    <w:p>
      <w:pPr>
        <w:pStyle w:val="12"/>
        <w:spacing w:line="360" w:lineRule="auto"/>
        <w:ind w:firstLine="480"/>
      </w:pPr>
      <w:r>
        <w:t>（10）</w:t>
      </w:r>
      <w:r>
        <w:rPr>
          <w:rFonts w:hint="eastAsia"/>
        </w:rPr>
        <w:t>移动式启闭机的机架（门架）、无机房的启闭机护罩，应定期防腐蚀处理。</w:t>
      </w:r>
    </w:p>
    <w:p>
      <w:pPr>
        <w:pStyle w:val="12"/>
        <w:spacing w:line="360" w:lineRule="auto"/>
        <w:ind w:firstLine="480"/>
      </w:pPr>
      <w:r>
        <w:t>（11）</w:t>
      </w:r>
      <w:r>
        <w:rPr>
          <w:rFonts w:hint="eastAsia"/>
        </w:rPr>
        <w:t>移动式启闭机的抓梁（挂脱自如式、钩环式、液压穿销式）表面裂纹、损伤、变形，可修复或更新；穿销式信号反馈装置损坏应及时修复或更新。</w:t>
      </w:r>
    </w:p>
    <w:p>
      <w:pPr>
        <w:pStyle w:val="12"/>
        <w:spacing w:line="360" w:lineRule="auto"/>
        <w:ind w:firstLine="480"/>
      </w:pPr>
      <w:r>
        <w:t>（12）</w:t>
      </w:r>
      <w:r>
        <w:rPr>
          <w:rFonts w:hint="eastAsia"/>
        </w:rPr>
        <w:t>移动式启闭机的电缆卷筒、架立式电缆破损或老化，宜更换部件；安全滑触线（导管、导轨及接头、集电器电刷及弹簧、集电器滚轮、悬吊器及悬吊夹等）破损或磨损，宜更换部件。</w:t>
      </w:r>
    </w:p>
    <w:p>
      <w:pPr>
        <w:pStyle w:val="12"/>
        <w:spacing w:line="360" w:lineRule="auto"/>
        <w:ind w:firstLine="480"/>
      </w:pPr>
      <w:r>
        <w:rPr>
          <w:rFonts w:hint="eastAsia"/>
        </w:rPr>
        <w:t>3</w:t>
      </w:r>
      <w:r>
        <w:t xml:space="preserve">.4.7.5 </w:t>
      </w:r>
      <w:r>
        <w:rPr>
          <w:rFonts w:hint="eastAsia"/>
        </w:rPr>
        <w:t>液压启闭机维修的项目如下：</w:t>
      </w:r>
    </w:p>
    <w:p>
      <w:pPr>
        <w:pStyle w:val="12"/>
        <w:spacing w:line="360" w:lineRule="auto"/>
        <w:ind w:firstLine="480"/>
      </w:pPr>
      <w:r>
        <w:t>（1）</w:t>
      </w:r>
      <w:r>
        <w:rPr>
          <w:rFonts w:hint="eastAsia"/>
        </w:rPr>
        <w:t>液压零件（如阀杆、阀孔、活塞、液压缸等）裂纹及其工作面划伤，阀体、液压缸等铸钢件有气孔、沙眼，应更换新件。</w:t>
      </w:r>
    </w:p>
    <w:p>
      <w:pPr>
        <w:pStyle w:val="12"/>
        <w:spacing w:line="360" w:lineRule="auto"/>
        <w:ind w:firstLine="480"/>
      </w:pPr>
      <w:r>
        <w:t>（2）</w:t>
      </w:r>
      <w:r>
        <w:rPr>
          <w:rFonts w:hint="eastAsia"/>
        </w:rPr>
        <w:t>液压管路出现焊缝脱落、管壁裂纹，应及时维修或更换；维修前应先将管内油液排净后方可进行施焊。严禁在未拆卸管件的管路上补焊；管路需要更换时，应与原设计规格相一致。</w:t>
      </w:r>
    </w:p>
    <w:p>
      <w:pPr>
        <w:pStyle w:val="12"/>
        <w:spacing w:line="360" w:lineRule="auto"/>
        <w:ind w:firstLine="480"/>
      </w:pPr>
      <w:r>
        <w:t>（3）</w:t>
      </w:r>
      <w:r>
        <w:rPr>
          <w:rFonts w:hint="eastAsia"/>
        </w:rPr>
        <w:t>液压启闭机的活塞环、油封出现断裂，失去弹性、变形或磨损严重，应更换。</w:t>
      </w:r>
    </w:p>
    <w:p>
      <w:pPr>
        <w:pStyle w:val="12"/>
        <w:spacing w:line="360" w:lineRule="auto"/>
        <w:ind w:firstLine="480"/>
      </w:pPr>
      <w:r>
        <w:rPr>
          <w:rFonts w:hint="eastAsia"/>
        </w:rPr>
        <w:t>3</w:t>
      </w:r>
      <w:r>
        <w:t xml:space="preserve">.4.7.6 </w:t>
      </w:r>
      <w:r>
        <w:rPr>
          <w:rFonts w:hint="eastAsia"/>
        </w:rPr>
        <w:t>螺杆启闭机维修的项目如下：</w:t>
      </w:r>
    </w:p>
    <w:p>
      <w:pPr>
        <w:pStyle w:val="12"/>
        <w:spacing w:line="360" w:lineRule="auto"/>
        <w:ind w:firstLine="480"/>
      </w:pPr>
      <w:r>
        <w:t>（1）</w:t>
      </w:r>
      <w:r>
        <w:rPr>
          <w:rFonts w:hint="eastAsia"/>
        </w:rPr>
        <w:t>螺杆的不直度（直线度公差）超过允许值，应矫正调直并检修推力轴承；螺杆螺纹擦伤，可修复；螺杆螺纹厚度磨损超限，应更换新件。</w:t>
      </w:r>
    </w:p>
    <w:p>
      <w:pPr>
        <w:pStyle w:val="12"/>
        <w:spacing w:line="360" w:lineRule="auto"/>
        <w:ind w:firstLine="480"/>
      </w:pPr>
      <w:r>
        <w:t>（2）</w:t>
      </w:r>
      <w:r>
        <w:rPr>
          <w:rFonts w:hint="eastAsia"/>
        </w:rPr>
        <w:t>承重螺母螺纹破碎、裂纹及螺纹厚度磨损超过允许值，应更换新件。</w:t>
      </w:r>
    </w:p>
    <w:p>
      <w:pPr>
        <w:pStyle w:val="12"/>
        <w:spacing w:line="360" w:lineRule="auto"/>
        <w:ind w:firstLine="480"/>
      </w:pPr>
      <w:r>
        <w:t>（3）</w:t>
      </w:r>
      <w:r>
        <w:rPr>
          <w:rFonts w:hint="eastAsia"/>
        </w:rPr>
        <w:t>推力轴承的保持架变形、滚道磨损点蚀、滚体磨损等，应更换新件。</w:t>
      </w:r>
    </w:p>
    <w:p>
      <w:pPr>
        <w:pStyle w:val="12"/>
        <w:spacing w:line="360" w:lineRule="auto"/>
        <w:ind w:firstLine="480"/>
      </w:pPr>
      <w:r>
        <w:rPr>
          <w:rFonts w:hint="eastAsia"/>
        </w:rPr>
        <w:t>3</w:t>
      </w:r>
      <w:r>
        <w:t xml:space="preserve">.4.8 </w:t>
      </w:r>
      <w:r>
        <w:rPr>
          <w:rFonts w:hint="eastAsia"/>
        </w:rPr>
        <w:t>电气设备维修养护</w:t>
      </w:r>
    </w:p>
    <w:p>
      <w:pPr>
        <w:pStyle w:val="12"/>
        <w:spacing w:line="360" w:lineRule="auto"/>
        <w:ind w:firstLine="480"/>
        <w:rPr>
          <w:rFonts w:hint="eastAsia"/>
        </w:rPr>
      </w:pPr>
      <w:r>
        <w:rPr>
          <w:rFonts w:hint="eastAsia"/>
        </w:rPr>
        <w:t>3</w:t>
      </w:r>
      <w:r>
        <w:t xml:space="preserve">.4.8.1 </w:t>
      </w:r>
      <w:r>
        <w:rPr>
          <w:rFonts w:hint="eastAsia"/>
        </w:rPr>
        <w:t>电动机的养护应符合下列规定：</w:t>
      </w:r>
    </w:p>
    <w:p>
      <w:pPr>
        <w:pStyle w:val="12"/>
        <w:spacing w:line="360" w:lineRule="auto"/>
        <w:ind w:firstLine="480"/>
      </w:pPr>
      <w:r>
        <w:t>（1）</w:t>
      </w:r>
      <w:r>
        <w:rPr>
          <w:rFonts w:hint="eastAsia"/>
        </w:rPr>
        <w:t>电动机的养护每季不少于一次；</w:t>
      </w:r>
    </w:p>
    <w:p>
      <w:pPr>
        <w:pStyle w:val="12"/>
        <w:spacing w:line="360" w:lineRule="auto"/>
        <w:ind w:firstLine="480"/>
      </w:pPr>
      <w:r>
        <w:t>（2）</w:t>
      </w:r>
      <w:r>
        <w:rPr>
          <w:rFonts w:hint="eastAsia"/>
        </w:rPr>
        <w:t>电动机的外壳应清洁，保持无灰尘、无污垢、无锈蚀；</w:t>
      </w:r>
    </w:p>
    <w:p>
      <w:pPr>
        <w:pStyle w:val="12"/>
        <w:spacing w:line="360" w:lineRule="auto"/>
        <w:ind w:firstLine="480"/>
      </w:pPr>
      <w:r>
        <w:t>（3）</w:t>
      </w:r>
      <w:r>
        <w:rPr>
          <w:rFonts w:hint="eastAsia"/>
        </w:rPr>
        <w:t>电动机接线盒应防雨水溅入、防潮气侵入，接线螺栓应保持紧固；</w:t>
      </w:r>
    </w:p>
    <w:p>
      <w:pPr>
        <w:pStyle w:val="12"/>
        <w:spacing w:line="360" w:lineRule="auto"/>
        <w:ind w:firstLine="480"/>
      </w:pPr>
      <w:r>
        <w:t>（4）</w:t>
      </w:r>
      <w:r>
        <w:rPr>
          <w:rFonts w:hint="eastAsia"/>
        </w:rPr>
        <w:t>电动机外壳接地牢固可靠，接地电阻应符合规范技术要求；</w:t>
      </w:r>
    </w:p>
    <w:p>
      <w:pPr>
        <w:pStyle w:val="12"/>
        <w:spacing w:line="360" w:lineRule="auto"/>
        <w:ind w:firstLine="480"/>
      </w:pPr>
      <w:r>
        <w:t>（5）</w:t>
      </w:r>
      <w:r>
        <w:rPr>
          <w:rFonts w:hint="eastAsia"/>
        </w:rPr>
        <w:t>电动机运行中应无异常噪声与振动；</w:t>
      </w:r>
    </w:p>
    <w:p>
      <w:pPr>
        <w:pStyle w:val="12"/>
        <w:spacing w:line="360" w:lineRule="auto"/>
        <w:ind w:firstLine="480"/>
      </w:pPr>
      <w:r>
        <w:t>（6）</w:t>
      </w:r>
      <w:r>
        <w:rPr>
          <w:rFonts w:hint="eastAsia"/>
        </w:rPr>
        <w:t>电动机在运行中电流应在额定电流范围内，温升与轴承温度应符合要求；</w:t>
      </w:r>
    </w:p>
    <w:p>
      <w:pPr>
        <w:pStyle w:val="12"/>
        <w:spacing w:line="360" w:lineRule="auto"/>
        <w:ind w:firstLine="480"/>
      </w:pPr>
      <w:r>
        <w:t>（7）</w:t>
      </w:r>
      <w:r>
        <w:rPr>
          <w:rFonts w:hint="eastAsia"/>
        </w:rPr>
        <w:t>检测电动机定子绕组绝缘电阻，应符合产品规定。在潮湿天气应加强检测。</w:t>
      </w:r>
    </w:p>
    <w:p>
      <w:pPr>
        <w:pStyle w:val="12"/>
        <w:spacing w:line="360" w:lineRule="auto"/>
        <w:ind w:firstLine="480"/>
      </w:pPr>
      <w:r>
        <w:rPr>
          <w:rFonts w:hint="eastAsia"/>
        </w:rPr>
        <w:t>3</w:t>
      </w:r>
      <w:r>
        <w:t xml:space="preserve">.4.8.2 </w:t>
      </w:r>
      <w:r>
        <w:rPr>
          <w:rFonts w:hint="eastAsia"/>
        </w:rPr>
        <w:t>电动机的维修应符合下列规定：</w:t>
      </w:r>
    </w:p>
    <w:p>
      <w:pPr>
        <w:pStyle w:val="12"/>
        <w:spacing w:line="360" w:lineRule="auto"/>
        <w:ind w:firstLine="480"/>
      </w:pPr>
      <w:r>
        <w:t>（1）</w:t>
      </w:r>
      <w:r>
        <w:rPr>
          <w:rFonts w:hint="eastAsia"/>
        </w:rPr>
        <w:t>经常运行的电动机每年维修</w:t>
      </w:r>
      <w:r>
        <w:t xml:space="preserve">1 </w:t>
      </w:r>
      <w:r>
        <w:rPr>
          <w:rFonts w:hint="eastAsia"/>
        </w:rPr>
        <w:t>次，不经常运行的电动机</w:t>
      </w:r>
      <w:r>
        <w:t xml:space="preserve">3 </w:t>
      </w:r>
      <w:r>
        <w:rPr>
          <w:rFonts w:hint="eastAsia"/>
        </w:rPr>
        <w:t>年应维修</w:t>
      </w:r>
      <w:r>
        <w:t xml:space="preserve">1 </w:t>
      </w:r>
      <w:r>
        <w:rPr>
          <w:rFonts w:hint="eastAsia"/>
        </w:rPr>
        <w:t>次；</w:t>
      </w:r>
    </w:p>
    <w:p>
      <w:pPr>
        <w:pStyle w:val="12"/>
        <w:spacing w:line="360" w:lineRule="auto"/>
        <w:ind w:firstLine="480"/>
      </w:pPr>
      <w:r>
        <w:t>（2）</w:t>
      </w:r>
      <w:r>
        <w:rPr>
          <w:rFonts w:hint="eastAsia"/>
        </w:rPr>
        <w:t>清除电动机内部灰尘，检查绕组绑线应牢固，定子铁芯应无松动，风扇紧固良好；</w:t>
      </w:r>
    </w:p>
    <w:p>
      <w:pPr>
        <w:pStyle w:val="12"/>
        <w:spacing w:line="360" w:lineRule="auto"/>
        <w:ind w:firstLine="480"/>
      </w:pPr>
      <w:r>
        <w:t>（3）</w:t>
      </w:r>
      <w:r>
        <w:rPr>
          <w:rFonts w:hint="eastAsia"/>
        </w:rPr>
        <w:t>检查轴承并清洗换油，如有较大松动、磨损、破碎等现象应及时更换。轴承内的润滑脂应保持在填满空腔内</w:t>
      </w:r>
      <w:r>
        <w:t xml:space="preserve"> 1 / 2 </w:t>
      </w:r>
      <w:r>
        <w:rPr>
          <w:rFonts w:hint="eastAsia"/>
        </w:rPr>
        <w:t>一</w:t>
      </w:r>
      <w:r>
        <w:t xml:space="preserve"> 2 / 3 </w:t>
      </w:r>
      <w:r>
        <w:rPr>
          <w:rFonts w:hint="eastAsia"/>
        </w:rPr>
        <w:t>范围。润滑脂规格、质量应符合要求；</w:t>
      </w:r>
    </w:p>
    <w:p>
      <w:pPr>
        <w:pStyle w:val="12"/>
        <w:spacing w:line="360" w:lineRule="auto"/>
        <w:ind w:firstLine="480"/>
      </w:pPr>
      <w:r>
        <w:t>（4）</w:t>
      </w:r>
      <w:r>
        <w:rPr>
          <w:rFonts w:hint="eastAsia"/>
        </w:rPr>
        <w:t>经常测量绕组的绝缘电阻，如低于规定时，应进行烘燥处理。如处理后仍达不到要求，则应维修或更换；</w:t>
      </w:r>
    </w:p>
    <w:p>
      <w:pPr>
        <w:pStyle w:val="12"/>
        <w:spacing w:line="360" w:lineRule="auto"/>
        <w:ind w:firstLine="480"/>
      </w:pPr>
      <w:r>
        <w:t>（5）</w:t>
      </w:r>
      <w:r>
        <w:rPr>
          <w:rFonts w:hint="eastAsia"/>
        </w:rPr>
        <w:t>电动机解体维修后，装配中必须保证定、转子间隙均匀，转子转动灵活轻松；</w:t>
      </w:r>
    </w:p>
    <w:p>
      <w:pPr>
        <w:pStyle w:val="12"/>
        <w:spacing w:line="360" w:lineRule="auto"/>
        <w:ind w:firstLine="480"/>
      </w:pPr>
      <w:r>
        <w:t>（6）</w:t>
      </w:r>
      <w:r>
        <w:rPr>
          <w:rFonts w:hint="eastAsia"/>
        </w:rPr>
        <w:t>电动机解体维修后，应做电气试验及试运转，合格后方可投入运行。</w:t>
      </w:r>
    </w:p>
    <w:p>
      <w:pPr>
        <w:pStyle w:val="12"/>
        <w:spacing w:line="360" w:lineRule="auto"/>
        <w:ind w:firstLine="480"/>
      </w:pPr>
      <w:r>
        <w:rPr>
          <w:rFonts w:hint="eastAsia"/>
        </w:rPr>
        <w:t>3</w:t>
      </w:r>
      <w:r>
        <w:t xml:space="preserve">.4.8.3 </w:t>
      </w:r>
      <w:r>
        <w:rPr>
          <w:rFonts w:hint="eastAsia"/>
        </w:rPr>
        <w:t>配电设备维修养护，应符合下列规定：</w:t>
      </w:r>
    </w:p>
    <w:p>
      <w:pPr>
        <w:pStyle w:val="12"/>
        <w:spacing w:line="360" w:lineRule="auto"/>
        <w:ind w:firstLine="480"/>
      </w:pPr>
      <w:r>
        <w:t>（1）</w:t>
      </w:r>
      <w:r>
        <w:rPr>
          <w:rFonts w:hint="eastAsia"/>
        </w:rPr>
        <w:t>高低压开关设备的维修与养护每年不少于</w:t>
      </w:r>
      <w:r>
        <w:t xml:space="preserve">1 </w:t>
      </w:r>
      <w:r>
        <w:rPr>
          <w:rFonts w:hint="eastAsia"/>
        </w:rPr>
        <w:t>次</w:t>
      </w:r>
    </w:p>
    <w:p>
      <w:pPr>
        <w:pStyle w:val="12"/>
        <w:spacing w:line="360" w:lineRule="auto"/>
        <w:ind w:firstLine="480"/>
      </w:pPr>
      <w:r>
        <w:t>（2）</w:t>
      </w:r>
      <w:r>
        <w:rPr>
          <w:rFonts w:hint="eastAsia"/>
        </w:rPr>
        <w:t>油浸式电力变压器及变压器间清扫每季不少于</w:t>
      </w:r>
      <w:r>
        <w:t xml:space="preserve">1 </w:t>
      </w:r>
      <w:r>
        <w:rPr>
          <w:rFonts w:hint="eastAsia"/>
        </w:rPr>
        <w:t>次；</w:t>
      </w:r>
    </w:p>
    <w:p>
      <w:pPr>
        <w:pStyle w:val="12"/>
        <w:spacing w:line="360" w:lineRule="auto"/>
        <w:ind w:firstLine="480"/>
        <w:rPr>
          <w:rFonts w:hint="eastAsia"/>
        </w:rPr>
      </w:pPr>
      <w:r>
        <w:t>（3）</w:t>
      </w:r>
      <w:r>
        <w:rPr>
          <w:rFonts w:hint="eastAsia"/>
        </w:rPr>
        <w:t>油浸式电力变压器正式投入运行后</w:t>
      </w:r>
      <w:r>
        <w:t xml:space="preserve">5 </w:t>
      </w:r>
      <w:r>
        <w:rPr>
          <w:rFonts w:hint="eastAsia"/>
        </w:rPr>
        <w:t>年及以后的每</w:t>
      </w:r>
      <w:r>
        <w:t xml:space="preserve">10 </w:t>
      </w:r>
      <w:r>
        <w:rPr>
          <w:rFonts w:hint="eastAsia"/>
        </w:rPr>
        <w:t>年，必须进行定期维修；</w:t>
      </w:r>
    </w:p>
    <w:p>
      <w:pPr>
        <w:pStyle w:val="12"/>
        <w:spacing w:line="360" w:lineRule="auto"/>
        <w:ind w:firstLine="480"/>
      </w:pPr>
      <w:r>
        <w:t>（4）</w:t>
      </w:r>
      <w:r>
        <w:rPr>
          <w:rFonts w:hint="eastAsia"/>
        </w:rPr>
        <w:t>干式电力变压器及外罩与变压器间清扫每季不少于</w:t>
      </w:r>
      <w:r>
        <w:t xml:space="preserve">1 </w:t>
      </w:r>
      <w:r>
        <w:rPr>
          <w:rFonts w:hint="eastAsia"/>
        </w:rPr>
        <w:t>次；</w:t>
      </w:r>
    </w:p>
    <w:p>
      <w:pPr>
        <w:pStyle w:val="12"/>
        <w:spacing w:line="360" w:lineRule="auto"/>
        <w:ind w:firstLine="480"/>
      </w:pPr>
      <w:r>
        <w:rPr>
          <w:rFonts w:hint="eastAsia"/>
        </w:rPr>
        <w:t>3</w:t>
      </w:r>
      <w:r>
        <w:t xml:space="preserve">.4.8.4 </w:t>
      </w:r>
      <w:r>
        <w:rPr>
          <w:rFonts w:hint="eastAsia"/>
        </w:rPr>
        <w:t>操作设备的养护应符合下列规定：</w:t>
      </w:r>
    </w:p>
    <w:p>
      <w:pPr>
        <w:pStyle w:val="12"/>
        <w:spacing w:line="360" w:lineRule="auto"/>
        <w:ind w:firstLine="480"/>
      </w:pPr>
      <w:r>
        <w:t>（1）</w:t>
      </w:r>
      <w:r>
        <w:rPr>
          <w:rFonts w:hint="eastAsia"/>
        </w:rPr>
        <w:t>操作设备的检查与养护每月不少于</w:t>
      </w:r>
      <w:r>
        <w:t xml:space="preserve">1 </w:t>
      </w:r>
      <w:r>
        <w:rPr>
          <w:rFonts w:hint="eastAsia"/>
        </w:rPr>
        <w:t>次；</w:t>
      </w:r>
    </w:p>
    <w:p>
      <w:pPr>
        <w:pStyle w:val="12"/>
        <w:spacing w:line="360" w:lineRule="auto"/>
        <w:ind w:firstLine="480"/>
      </w:pPr>
      <w:r>
        <w:t>（2）</w:t>
      </w:r>
      <w:r>
        <w:rPr>
          <w:rFonts w:hint="eastAsia"/>
        </w:rPr>
        <w:t>配电柜、动力柜、照明柜、启闭机操作箱、检修电源箱等设备的外壳应经常做好清洁工作，保持箱内整洁；</w:t>
      </w:r>
    </w:p>
    <w:p>
      <w:pPr>
        <w:pStyle w:val="12"/>
        <w:spacing w:line="360" w:lineRule="auto"/>
        <w:ind w:firstLine="480"/>
      </w:pPr>
      <w:r>
        <w:t>（3）</w:t>
      </w:r>
      <w:r>
        <w:rPr>
          <w:rFonts w:hint="eastAsia"/>
        </w:rPr>
        <w:t>户外柜箱应做好防雨、防潮；</w:t>
      </w:r>
    </w:p>
    <w:p>
      <w:pPr>
        <w:pStyle w:val="12"/>
        <w:spacing w:line="360" w:lineRule="auto"/>
        <w:ind w:firstLine="480"/>
      </w:pPr>
      <w:r>
        <w:t>（4）</w:t>
      </w:r>
      <w:r>
        <w:rPr>
          <w:rFonts w:hint="eastAsia"/>
        </w:rPr>
        <w:t>各种柜箱内电气线路应无破损、受潮、老化等异常现象，绝缘电阻符合规定要求；</w:t>
      </w:r>
    </w:p>
    <w:p>
      <w:pPr>
        <w:pStyle w:val="12"/>
        <w:spacing w:line="360" w:lineRule="auto"/>
        <w:ind w:firstLine="480"/>
      </w:pPr>
      <w:r>
        <w:t>（5）</w:t>
      </w:r>
      <w:r>
        <w:rPr>
          <w:rFonts w:hint="eastAsia"/>
        </w:rPr>
        <w:t>各种柜箱外壳的接地必须牢固可靠，接地电阻符合规定要求；</w:t>
      </w:r>
    </w:p>
    <w:p>
      <w:pPr>
        <w:pStyle w:val="12"/>
        <w:spacing w:line="360" w:lineRule="auto"/>
        <w:ind w:firstLine="480"/>
      </w:pPr>
      <w:r>
        <w:t>（6）</w:t>
      </w:r>
      <w:r>
        <w:rPr>
          <w:rFonts w:hint="eastAsia"/>
        </w:rPr>
        <w:t>各种开关、继电保护装置应保持清洁，触点接触良好，接头连接牢靠。如有接触不良，应及时养护与维修或者更换。开关与继电器整定值应符合规定；</w:t>
      </w:r>
    </w:p>
    <w:p>
      <w:pPr>
        <w:pStyle w:val="12"/>
        <w:spacing w:line="360" w:lineRule="auto"/>
        <w:ind w:firstLine="480"/>
      </w:pPr>
      <w:r>
        <w:t>（7）</w:t>
      </w:r>
      <w:r>
        <w:rPr>
          <w:rFonts w:hint="eastAsia"/>
        </w:rPr>
        <w:t>检查与清扫交流接触器。及时修整烧毛的触头，清除灭弧罩内的铜粒子，清理与调整铁芯的接触面；</w:t>
      </w:r>
    </w:p>
    <w:p>
      <w:pPr>
        <w:pStyle w:val="12"/>
        <w:spacing w:line="360" w:lineRule="auto"/>
        <w:ind w:firstLine="480"/>
      </w:pPr>
      <w:r>
        <w:t>（8）</w:t>
      </w:r>
      <w:r>
        <w:rPr>
          <w:rFonts w:hint="eastAsia"/>
        </w:rPr>
        <w:t>闸门开度仪、主令控制器及限位开关装置应经常检查、养护和校核，确保限位准确可靠。上、下限位装置应分别与闸门最高、最低位置一致。上、下扉闸门的联动装置应动作灵活，必须确保可靠；</w:t>
      </w:r>
    </w:p>
    <w:p>
      <w:pPr>
        <w:pStyle w:val="12"/>
        <w:spacing w:line="360" w:lineRule="auto"/>
        <w:ind w:firstLine="480"/>
      </w:pPr>
      <w:r>
        <w:t>（9）</w:t>
      </w:r>
      <w:r>
        <w:rPr>
          <w:rFonts w:hint="eastAsia"/>
        </w:rPr>
        <w:t>熔断器的熔芯或熔丝规格必须符合被保护设备的要求。熔芯或熔丝熔断后应先检查原因，不得改用较大规格的熔芯或熔丝更换；</w:t>
      </w:r>
    </w:p>
    <w:p>
      <w:pPr>
        <w:pStyle w:val="12"/>
        <w:spacing w:line="360" w:lineRule="auto"/>
        <w:ind w:firstLine="480"/>
      </w:pPr>
      <w:r>
        <w:t>（10）</w:t>
      </w:r>
      <w:r>
        <w:rPr>
          <w:rFonts w:hint="eastAsia"/>
        </w:rPr>
        <w:t>各种指示信号应完好无缺。各种仪表应定期检验，保证表计指示正确，如有失灵，应及时检修或更换。</w:t>
      </w:r>
    </w:p>
    <w:p>
      <w:pPr>
        <w:pStyle w:val="12"/>
        <w:spacing w:line="360" w:lineRule="auto"/>
        <w:ind w:firstLine="480"/>
      </w:pPr>
      <w:r>
        <w:rPr>
          <w:rFonts w:hint="eastAsia"/>
        </w:rPr>
        <w:t>3</w:t>
      </w:r>
      <w:r>
        <w:t xml:space="preserve">.4.8.5 </w:t>
      </w:r>
      <w:r>
        <w:rPr>
          <w:rFonts w:hint="eastAsia"/>
        </w:rPr>
        <w:t>线缆的养护应符合下列规定：</w:t>
      </w:r>
    </w:p>
    <w:p>
      <w:pPr>
        <w:pStyle w:val="12"/>
        <w:spacing w:line="360" w:lineRule="auto"/>
        <w:ind w:firstLine="480"/>
      </w:pPr>
      <w:r>
        <w:t>（1）</w:t>
      </w:r>
      <w:r>
        <w:rPr>
          <w:rFonts w:hint="eastAsia"/>
        </w:rPr>
        <w:t>线缆的养护每月</w:t>
      </w:r>
      <w:r>
        <w:t xml:space="preserve">1 </w:t>
      </w:r>
      <w:r>
        <w:rPr>
          <w:rFonts w:hint="eastAsia"/>
        </w:rPr>
        <w:t>次；</w:t>
      </w:r>
    </w:p>
    <w:p>
      <w:pPr>
        <w:pStyle w:val="12"/>
        <w:spacing w:line="360" w:lineRule="auto"/>
        <w:ind w:firstLine="480"/>
      </w:pPr>
      <w:r>
        <w:t>（2）</w:t>
      </w:r>
      <w:r>
        <w:rPr>
          <w:rFonts w:hint="eastAsia"/>
        </w:rPr>
        <w:t>电气线路及电缆应防止发生短路、断路、漏电、联接松动等现象；</w:t>
      </w:r>
    </w:p>
    <w:p>
      <w:pPr>
        <w:pStyle w:val="12"/>
        <w:spacing w:line="360" w:lineRule="auto"/>
        <w:ind w:firstLine="480"/>
      </w:pPr>
      <w:r>
        <w:t>（3）</w:t>
      </w:r>
      <w:r>
        <w:rPr>
          <w:rFonts w:hint="eastAsia"/>
        </w:rPr>
        <w:t>架空线路接头联接应良好，经常清除架空线路下的树障，保持线路畅通。采取措施避免大风引起的架空线刮断及碰线引起的短路；</w:t>
      </w:r>
    </w:p>
    <w:p>
      <w:pPr>
        <w:pStyle w:val="12"/>
        <w:spacing w:line="360" w:lineRule="auto"/>
        <w:ind w:firstLine="480"/>
      </w:pPr>
      <w:r>
        <w:t>（4）</w:t>
      </w:r>
      <w:r>
        <w:rPr>
          <w:rFonts w:hint="eastAsia"/>
        </w:rPr>
        <w:t>户外照明灯具防潮应可靠，灯泡损坏后应及时调换；</w:t>
      </w:r>
    </w:p>
    <w:p>
      <w:pPr>
        <w:pStyle w:val="12"/>
        <w:spacing w:line="360" w:lineRule="auto"/>
        <w:ind w:firstLine="480"/>
      </w:pPr>
      <w:r>
        <w:t>（5）</w:t>
      </w:r>
      <w:r>
        <w:rPr>
          <w:rFonts w:hint="eastAsia"/>
        </w:rPr>
        <w:t>线缆维修后必须确保线路相序正确、接地可靠，接地电阻应，接地电阻应≤</w:t>
      </w:r>
      <w:r>
        <w:t>4</w:t>
      </w:r>
      <w:r>
        <w:rPr>
          <w:rFonts w:hint="eastAsia"/>
        </w:rPr>
        <w:t>Ω；</w:t>
      </w:r>
    </w:p>
    <w:p>
      <w:pPr>
        <w:pStyle w:val="12"/>
        <w:spacing w:line="360" w:lineRule="auto"/>
        <w:ind w:firstLine="480"/>
      </w:pPr>
      <w:r>
        <w:t>（6）</w:t>
      </w:r>
      <w:r>
        <w:rPr>
          <w:rFonts w:hint="eastAsia"/>
        </w:rPr>
        <w:t>定期测量导线的绝缘电阻，导线对地及导线间的绝缘电阻应≥</w:t>
      </w:r>
      <w:r>
        <w:t>0.5M</w:t>
      </w:r>
      <w:r>
        <w:rPr>
          <w:rFonts w:hint="eastAsia"/>
        </w:rPr>
        <w:t>Ω；</w:t>
      </w:r>
    </w:p>
    <w:p>
      <w:pPr>
        <w:pStyle w:val="12"/>
        <w:spacing w:line="360" w:lineRule="auto"/>
        <w:ind w:firstLine="480"/>
      </w:pPr>
      <w:r>
        <w:t>（7）</w:t>
      </w:r>
      <w:r>
        <w:rPr>
          <w:rFonts w:hint="eastAsia"/>
        </w:rPr>
        <w:t>电缆沟内积水应及时排除，电缆不得浸入水中；</w:t>
      </w:r>
    </w:p>
    <w:p>
      <w:pPr>
        <w:pStyle w:val="12"/>
        <w:spacing w:line="360" w:lineRule="auto"/>
        <w:ind w:firstLine="480"/>
      </w:pPr>
      <w:r>
        <w:t>（8）</w:t>
      </w:r>
      <w:r>
        <w:rPr>
          <w:rFonts w:hint="eastAsia"/>
        </w:rPr>
        <w:t>线路上的避雷器应每年做</w:t>
      </w:r>
      <w:r>
        <w:t xml:space="preserve">1 </w:t>
      </w:r>
      <w:r>
        <w:rPr>
          <w:rFonts w:hint="eastAsia"/>
        </w:rPr>
        <w:t>次预防性试验，并应在雷雨季节前完成。避雷器如试验不合格应及时更换。</w:t>
      </w:r>
    </w:p>
    <w:p>
      <w:pPr>
        <w:pStyle w:val="12"/>
        <w:spacing w:line="360" w:lineRule="auto"/>
        <w:ind w:firstLine="480"/>
      </w:pPr>
      <w:r>
        <w:rPr>
          <w:rFonts w:hint="eastAsia"/>
        </w:rPr>
        <w:t>3</w:t>
      </w:r>
      <w:r>
        <w:t xml:space="preserve">.4.8.6 </w:t>
      </w:r>
      <w:r>
        <w:rPr>
          <w:rFonts w:hint="eastAsia"/>
        </w:rPr>
        <w:t>防雷与接地装置的养护应符合下列规定：</w:t>
      </w:r>
    </w:p>
    <w:p>
      <w:pPr>
        <w:pStyle w:val="12"/>
        <w:spacing w:line="360" w:lineRule="auto"/>
        <w:ind w:firstLine="480"/>
      </w:pPr>
      <w:r>
        <w:t>（1）</w:t>
      </w:r>
      <w:r>
        <w:rPr>
          <w:rFonts w:hint="eastAsia"/>
        </w:rPr>
        <w:t>防雷与接地装置的养护每年</w:t>
      </w:r>
      <w:r>
        <w:t xml:space="preserve">1 </w:t>
      </w:r>
      <w:r>
        <w:rPr>
          <w:rFonts w:hint="eastAsia"/>
        </w:rPr>
        <w:t>次，应在雷雨季节前完成；</w:t>
      </w:r>
    </w:p>
    <w:p>
      <w:pPr>
        <w:pStyle w:val="12"/>
        <w:spacing w:line="360" w:lineRule="auto"/>
        <w:ind w:firstLine="480"/>
      </w:pPr>
      <w:r>
        <w:t>（2）</w:t>
      </w:r>
      <w:r>
        <w:rPr>
          <w:rFonts w:hint="eastAsia"/>
        </w:rPr>
        <w:t>避雷针（线、带）及引下线应无断裂、锈蚀，焊接应牢靠；</w:t>
      </w:r>
    </w:p>
    <w:p>
      <w:pPr>
        <w:pStyle w:val="12"/>
        <w:spacing w:line="360" w:lineRule="auto"/>
        <w:ind w:firstLine="480"/>
      </w:pPr>
      <w:r>
        <w:t>（3）</w:t>
      </w:r>
      <w:r>
        <w:rPr>
          <w:rFonts w:hint="eastAsia"/>
        </w:rPr>
        <w:t>检查接地装置各连接点的接触情况，焊接点或螺栓接头如有脱焊或松动，应补焊或紧固；</w:t>
      </w:r>
    </w:p>
    <w:p>
      <w:pPr>
        <w:pStyle w:val="12"/>
        <w:spacing w:line="360" w:lineRule="auto"/>
        <w:ind w:firstLine="480"/>
      </w:pPr>
      <w:r>
        <w:t>（4）</w:t>
      </w:r>
      <w:r>
        <w:rPr>
          <w:rFonts w:hint="eastAsia"/>
        </w:rPr>
        <w:t>防雷设施的接地装置的接地电阻应符合设计规定，如超过规定值</w:t>
      </w:r>
      <w:r>
        <w:t xml:space="preserve">20% </w:t>
      </w:r>
      <w:r>
        <w:rPr>
          <w:rFonts w:hint="eastAsia"/>
        </w:rPr>
        <w:t>时，应增补接地极；</w:t>
      </w:r>
    </w:p>
    <w:p>
      <w:pPr>
        <w:pStyle w:val="12"/>
        <w:spacing w:line="360" w:lineRule="auto"/>
        <w:ind w:firstLine="480"/>
      </w:pPr>
      <w:r>
        <w:t>（5）</w:t>
      </w:r>
      <w:r>
        <w:rPr>
          <w:rFonts w:hint="eastAsia"/>
        </w:rPr>
        <w:t>防雷设施的构架上，严禁架设低压线、广播线及通讯线；</w:t>
      </w:r>
    </w:p>
    <w:p>
      <w:pPr>
        <w:pStyle w:val="12"/>
        <w:spacing w:line="360" w:lineRule="auto"/>
        <w:ind w:firstLine="480"/>
      </w:pPr>
      <w:r>
        <w:t>（6）</w:t>
      </w:r>
      <w:r>
        <w:rPr>
          <w:rFonts w:hint="eastAsia"/>
        </w:rPr>
        <w:t>电气设备的防雷设施，必须每年做</w:t>
      </w:r>
      <w:r>
        <w:t xml:space="preserve">1 </w:t>
      </w:r>
      <w:r>
        <w:rPr>
          <w:rFonts w:hint="eastAsia"/>
        </w:rPr>
        <w:t>次预防性试验，并应在每年雷雨季节前完成，如试验不合格应及时更换。</w:t>
      </w:r>
    </w:p>
    <w:p>
      <w:pPr>
        <w:pStyle w:val="12"/>
        <w:spacing w:line="360" w:lineRule="auto"/>
        <w:ind w:firstLine="480"/>
      </w:pPr>
      <w:r>
        <w:rPr>
          <w:rFonts w:hint="eastAsia"/>
        </w:rPr>
        <w:t>3</w:t>
      </w:r>
      <w:r>
        <w:t xml:space="preserve">.4.8.7 </w:t>
      </w:r>
      <w:r>
        <w:rPr>
          <w:rFonts w:hint="eastAsia"/>
        </w:rPr>
        <w:t>备用电源的柴（汽）油发电机组，应按有关规定定期养护检修。如需与电网联网必须征得电业部门同意后方可进行，严禁擅自联网。</w:t>
      </w:r>
    </w:p>
    <w:p>
      <w:pPr>
        <w:pStyle w:val="12"/>
        <w:spacing w:line="360" w:lineRule="auto"/>
        <w:ind w:firstLine="480"/>
      </w:pPr>
      <w:r>
        <w:rPr>
          <w:rFonts w:hint="eastAsia"/>
        </w:rPr>
        <w:t>3</w:t>
      </w:r>
      <w:r>
        <w:t xml:space="preserve">.4.8.8 </w:t>
      </w:r>
      <w:r>
        <w:rPr>
          <w:rFonts w:hint="eastAsia"/>
        </w:rPr>
        <w:t>测量仪表、广播通讯、专用设备的养护维修应按专门规定执行。</w:t>
      </w:r>
    </w:p>
    <w:p>
      <w:pPr>
        <w:pStyle w:val="12"/>
        <w:spacing w:line="360" w:lineRule="auto"/>
        <w:ind w:firstLine="480"/>
        <w:rPr>
          <w:rFonts w:hint="eastAsia"/>
        </w:rPr>
      </w:pPr>
      <w:r>
        <w:rPr>
          <w:rFonts w:hint="eastAsia"/>
        </w:rPr>
        <w:t>3</w:t>
      </w:r>
      <w:r>
        <w:t xml:space="preserve">.4.8.9 </w:t>
      </w:r>
      <w:r>
        <w:rPr>
          <w:rFonts w:hint="eastAsia"/>
        </w:rPr>
        <w:t>电气安全用具与消防器材的维修养护应按专门规定执行。</w:t>
      </w:r>
    </w:p>
    <w:p>
      <w:pPr>
        <w:pStyle w:val="6"/>
        <w:tabs>
          <w:tab w:val="left" w:pos="864"/>
        </w:tabs>
        <w:rPr>
          <w:rFonts w:hint="eastAsia"/>
          <w:szCs w:val="24"/>
        </w:rPr>
      </w:pPr>
      <w:r>
        <w:rPr>
          <w:rFonts w:hint="eastAsia"/>
          <w:szCs w:val="24"/>
        </w:rPr>
        <w:t>4 水库工程</w:t>
      </w:r>
    </w:p>
    <w:p>
      <w:pPr>
        <w:pStyle w:val="12"/>
        <w:spacing w:line="360" w:lineRule="auto"/>
        <w:ind w:firstLine="480"/>
        <w:rPr>
          <w:rFonts w:hint="eastAsia"/>
          <w:szCs w:val="22"/>
        </w:rPr>
      </w:pPr>
      <w:r>
        <w:rPr>
          <w:rFonts w:hint="eastAsia"/>
          <w:szCs w:val="22"/>
        </w:rPr>
        <w:t>4.1运行操作</w:t>
      </w:r>
    </w:p>
    <w:p>
      <w:pPr>
        <w:pStyle w:val="12"/>
        <w:spacing w:line="360" w:lineRule="auto"/>
        <w:ind w:firstLine="480"/>
        <w:rPr>
          <w:rFonts w:hint="eastAsia"/>
          <w:szCs w:val="22"/>
        </w:rPr>
      </w:pPr>
      <w:r>
        <w:rPr>
          <w:rFonts w:hint="eastAsia"/>
          <w:szCs w:val="22"/>
        </w:rPr>
        <w:t>4.1.1 运行管理</w:t>
      </w:r>
    </w:p>
    <w:p>
      <w:pPr>
        <w:pStyle w:val="12"/>
        <w:spacing w:line="360" w:lineRule="auto"/>
        <w:ind w:firstLine="480"/>
        <w:rPr>
          <w:rFonts w:hint="eastAsia"/>
          <w:szCs w:val="22"/>
        </w:rPr>
      </w:pPr>
      <w:r>
        <w:rPr>
          <w:rFonts w:hint="eastAsia"/>
          <w:szCs w:val="22"/>
        </w:rPr>
        <w:t>为保障小型水库在设计标准内安全运行，充分发挥水库功能和效益，对已建成运行的水库实施检查观测、维修养护、调度运行等一系列的管理活动。</w:t>
      </w:r>
    </w:p>
    <w:p>
      <w:pPr>
        <w:pStyle w:val="12"/>
        <w:spacing w:line="360" w:lineRule="auto"/>
        <w:ind w:firstLine="480"/>
        <w:rPr>
          <w:rFonts w:hint="eastAsia"/>
          <w:szCs w:val="22"/>
        </w:rPr>
      </w:pPr>
      <w:r>
        <w:rPr>
          <w:rFonts w:hint="eastAsia"/>
          <w:szCs w:val="22"/>
        </w:rPr>
        <w:t>4.1.2 每座水库至少配备一名巡查员，其工作内容为：</w:t>
      </w:r>
    </w:p>
    <w:p>
      <w:pPr>
        <w:pStyle w:val="12"/>
        <w:spacing w:line="360" w:lineRule="auto"/>
        <w:ind w:firstLine="480"/>
        <w:rPr>
          <w:rFonts w:hint="eastAsia"/>
          <w:szCs w:val="22"/>
        </w:rPr>
      </w:pPr>
      <w:r>
        <w:rPr>
          <w:rFonts w:hint="eastAsia"/>
          <w:szCs w:val="22"/>
        </w:rPr>
        <w:t>（1）按规定做好水库大坝巡视检查和记录；</w:t>
      </w:r>
    </w:p>
    <w:p>
      <w:pPr>
        <w:pStyle w:val="12"/>
        <w:spacing w:line="360" w:lineRule="auto"/>
        <w:ind w:firstLine="480"/>
        <w:rPr>
          <w:rFonts w:hint="eastAsia"/>
          <w:szCs w:val="22"/>
        </w:rPr>
      </w:pPr>
      <w:r>
        <w:rPr>
          <w:rFonts w:hint="eastAsia"/>
          <w:szCs w:val="22"/>
        </w:rPr>
        <w:t>（2）发现险情（异常情况）立即向主管部门（业主）或上级报告；</w:t>
      </w:r>
    </w:p>
    <w:p>
      <w:pPr>
        <w:pStyle w:val="12"/>
        <w:spacing w:line="360" w:lineRule="auto"/>
        <w:ind w:firstLine="480"/>
        <w:rPr>
          <w:rFonts w:hint="eastAsia"/>
          <w:szCs w:val="22"/>
        </w:rPr>
      </w:pPr>
      <w:r>
        <w:rPr>
          <w:rFonts w:hint="eastAsia"/>
          <w:szCs w:val="22"/>
        </w:rPr>
        <w:t>（3）劝阻有危害工程安全的行为，并立即向主管部门（业主）或上级报告；</w:t>
      </w:r>
    </w:p>
    <w:p>
      <w:pPr>
        <w:pStyle w:val="12"/>
        <w:spacing w:line="360" w:lineRule="auto"/>
        <w:ind w:firstLine="480"/>
        <w:rPr>
          <w:rFonts w:hint="eastAsia"/>
          <w:szCs w:val="22"/>
        </w:rPr>
      </w:pPr>
      <w:r>
        <w:rPr>
          <w:rFonts w:hint="eastAsia"/>
          <w:szCs w:val="22"/>
        </w:rPr>
        <w:t>（4）遇台风、暴雨、地震等紧急情况，按上级要求做好有关工作。</w:t>
      </w:r>
    </w:p>
    <w:p>
      <w:pPr>
        <w:pStyle w:val="12"/>
        <w:spacing w:line="360" w:lineRule="auto"/>
        <w:ind w:firstLine="480"/>
        <w:rPr>
          <w:rFonts w:hint="eastAsia"/>
          <w:szCs w:val="22"/>
        </w:rPr>
      </w:pPr>
      <w:r>
        <w:rPr>
          <w:rFonts w:hint="eastAsia"/>
          <w:szCs w:val="22"/>
        </w:rPr>
        <w:t>4.2 工程检查</w:t>
      </w:r>
    </w:p>
    <w:p>
      <w:pPr>
        <w:pStyle w:val="12"/>
        <w:spacing w:line="360" w:lineRule="auto"/>
        <w:ind w:firstLine="480"/>
        <w:rPr>
          <w:rFonts w:hint="eastAsia"/>
          <w:szCs w:val="22"/>
        </w:rPr>
      </w:pPr>
      <w:r>
        <w:rPr>
          <w:rFonts w:hint="eastAsia"/>
          <w:szCs w:val="22"/>
        </w:rPr>
        <w:t>4.2.1一般规定：工程检查分为日常巡查、汛前检查、年度检查和特别检查。日常检查为汛期每天一次，非汛期三天一次，每周不少于3次；汛期检查需在每年4月15日前开展；年度检查需在每年10月15日后开展；不定期开展特别检查。</w:t>
      </w:r>
    </w:p>
    <w:p>
      <w:pPr>
        <w:pStyle w:val="12"/>
        <w:spacing w:line="360" w:lineRule="auto"/>
        <w:ind w:firstLine="480"/>
        <w:rPr>
          <w:rFonts w:hint="eastAsia"/>
          <w:szCs w:val="22"/>
        </w:rPr>
      </w:pPr>
      <w:r>
        <w:rPr>
          <w:rFonts w:hint="eastAsia"/>
          <w:szCs w:val="22"/>
        </w:rPr>
        <w:t>4.2.2检查范围：包括坝体、坝址区、溢洪道、输（泄）水涵（管、洞）、管埋设施、运行资料、监测设施以及近坝岸坡和库区等。</w:t>
      </w:r>
    </w:p>
    <w:p>
      <w:pPr>
        <w:pStyle w:val="12"/>
        <w:spacing w:line="360" w:lineRule="auto"/>
        <w:ind w:firstLine="480"/>
        <w:rPr>
          <w:rFonts w:hint="eastAsia"/>
          <w:szCs w:val="22"/>
        </w:rPr>
      </w:pPr>
      <w:r>
        <w:rPr>
          <w:rFonts w:hint="eastAsia"/>
          <w:szCs w:val="22"/>
        </w:rPr>
        <w:t>4.2.3检查项目和内容：</w:t>
      </w:r>
    </w:p>
    <w:p>
      <w:pPr>
        <w:pStyle w:val="12"/>
        <w:numPr>
          <w:ilvl w:val="0"/>
          <w:numId w:val="6"/>
        </w:numPr>
        <w:spacing w:after="0" w:line="360" w:lineRule="auto"/>
        <w:ind w:firstLine="480"/>
        <w:rPr>
          <w:rFonts w:hint="eastAsia"/>
          <w:szCs w:val="22"/>
        </w:rPr>
      </w:pPr>
      <w:r>
        <w:rPr>
          <w:rFonts w:hint="eastAsia"/>
          <w:szCs w:val="22"/>
        </w:rPr>
        <w:t>坝体：主要检查有无渗漏、裂缝、塌坑、凹陷、隆起、蚁害及动物洞穴；近坝水面有无冒泡、漩涡等异常现象等；</w:t>
      </w:r>
    </w:p>
    <w:p>
      <w:pPr>
        <w:pStyle w:val="12"/>
        <w:numPr>
          <w:ilvl w:val="0"/>
          <w:numId w:val="6"/>
        </w:numPr>
        <w:spacing w:after="0" w:line="360" w:lineRule="auto"/>
        <w:ind w:firstLine="480"/>
        <w:rPr>
          <w:rFonts w:hint="eastAsia"/>
          <w:szCs w:val="22"/>
        </w:rPr>
      </w:pPr>
      <w:r>
        <w:rPr>
          <w:rFonts w:hint="eastAsia"/>
          <w:szCs w:val="22"/>
        </w:rPr>
        <w:t>坝址区：主要检查有无渗漏、裂缝、塌坑、凹陷、隆起等现象；</w:t>
      </w:r>
    </w:p>
    <w:p>
      <w:pPr>
        <w:pStyle w:val="12"/>
        <w:numPr>
          <w:ilvl w:val="0"/>
          <w:numId w:val="6"/>
        </w:numPr>
        <w:spacing w:after="0" w:line="360" w:lineRule="auto"/>
        <w:ind w:firstLine="480"/>
        <w:rPr>
          <w:rFonts w:hint="eastAsia"/>
          <w:szCs w:val="22"/>
        </w:rPr>
      </w:pPr>
      <w:r>
        <w:rPr>
          <w:rFonts w:hint="eastAsia"/>
          <w:szCs w:val="22"/>
        </w:rPr>
        <w:t>溢洪道：主要检查有无堵塞、拦鱼网，岸坡及边墙是否稳定，溢洪时是否会冲刷坝体及下游坝脚等；</w:t>
      </w:r>
    </w:p>
    <w:p>
      <w:pPr>
        <w:pStyle w:val="12"/>
        <w:numPr>
          <w:ilvl w:val="0"/>
          <w:numId w:val="6"/>
        </w:numPr>
        <w:spacing w:after="0" w:line="360" w:lineRule="auto"/>
        <w:ind w:firstLine="480"/>
        <w:rPr>
          <w:rFonts w:hint="eastAsia"/>
          <w:szCs w:val="22"/>
        </w:rPr>
      </w:pPr>
      <w:r>
        <w:rPr>
          <w:rFonts w:hint="eastAsia"/>
          <w:szCs w:val="22"/>
        </w:rPr>
        <w:t>输、泄水涵（洞、虹吸管）：主要检查进、出口有无渗漏，管（洞）身有无断裂、损坏及渗漏等情况；</w:t>
      </w:r>
    </w:p>
    <w:p>
      <w:pPr>
        <w:pStyle w:val="12"/>
        <w:numPr>
          <w:ilvl w:val="0"/>
          <w:numId w:val="6"/>
        </w:numPr>
        <w:spacing w:after="0" w:line="360" w:lineRule="auto"/>
        <w:ind w:firstLine="480"/>
        <w:rPr>
          <w:rFonts w:hint="eastAsia"/>
          <w:szCs w:val="22"/>
        </w:rPr>
      </w:pPr>
      <w:r>
        <w:rPr>
          <w:rFonts w:hint="eastAsia"/>
          <w:szCs w:val="22"/>
        </w:rPr>
        <w:t>闸门及启闭设施：闸门启闭设施有无锈蚀、弯曲、操作是否灵活，电气设备及备用电源状况是否完好；</w:t>
      </w:r>
    </w:p>
    <w:p>
      <w:pPr>
        <w:pStyle w:val="12"/>
        <w:numPr>
          <w:ilvl w:val="0"/>
          <w:numId w:val="6"/>
        </w:numPr>
        <w:spacing w:after="0" w:line="360" w:lineRule="auto"/>
        <w:ind w:firstLine="480"/>
        <w:rPr>
          <w:rFonts w:hint="eastAsia"/>
          <w:szCs w:val="22"/>
        </w:rPr>
      </w:pPr>
      <w:r>
        <w:rPr>
          <w:rFonts w:hint="eastAsia"/>
          <w:szCs w:val="22"/>
        </w:rPr>
        <w:t>近坝岸坡：主要检查有无崩塌及滑坡等迹象；</w:t>
      </w:r>
    </w:p>
    <w:p>
      <w:pPr>
        <w:pStyle w:val="12"/>
        <w:numPr>
          <w:ilvl w:val="0"/>
          <w:numId w:val="6"/>
        </w:numPr>
        <w:spacing w:after="0" w:line="360" w:lineRule="auto"/>
        <w:ind w:firstLine="480"/>
        <w:rPr>
          <w:rFonts w:hint="eastAsia"/>
          <w:szCs w:val="22"/>
        </w:rPr>
      </w:pPr>
      <w:r>
        <w:rPr>
          <w:rFonts w:hint="eastAsia"/>
          <w:szCs w:val="22"/>
        </w:rPr>
        <w:t>管理设施：检查管理房屋顶是否漏水，墙体是否开裂；检查上坝道路路面是否完好，有无影响通车的障碍物；</w:t>
      </w:r>
    </w:p>
    <w:p>
      <w:pPr>
        <w:pStyle w:val="12"/>
        <w:numPr>
          <w:ilvl w:val="0"/>
          <w:numId w:val="6"/>
        </w:numPr>
        <w:spacing w:after="0" w:line="360" w:lineRule="auto"/>
        <w:ind w:firstLine="480"/>
        <w:rPr>
          <w:rFonts w:hint="eastAsia"/>
          <w:szCs w:val="22"/>
        </w:rPr>
      </w:pPr>
      <w:r>
        <w:rPr>
          <w:rFonts w:hint="eastAsia"/>
          <w:szCs w:val="22"/>
        </w:rPr>
        <w:t>监测设施：检查大坝位移、渗流、水雨情监测设施、视频监控设施是否完好；</w:t>
      </w:r>
    </w:p>
    <w:p>
      <w:pPr>
        <w:pStyle w:val="12"/>
        <w:numPr>
          <w:ilvl w:val="0"/>
          <w:numId w:val="6"/>
        </w:numPr>
        <w:spacing w:after="0" w:line="360" w:lineRule="auto"/>
        <w:ind w:firstLine="480"/>
        <w:rPr>
          <w:rFonts w:hint="eastAsia"/>
          <w:szCs w:val="22"/>
        </w:rPr>
      </w:pPr>
      <w:r>
        <w:rPr>
          <w:rFonts w:hint="eastAsia"/>
          <w:szCs w:val="22"/>
        </w:rPr>
        <w:t>运行资料：检查水库日常运行中的检查监测、维修养护的成果记录资料是否完整；</w:t>
      </w:r>
    </w:p>
    <w:p>
      <w:pPr>
        <w:pStyle w:val="12"/>
        <w:numPr>
          <w:ilvl w:val="0"/>
          <w:numId w:val="6"/>
        </w:numPr>
        <w:spacing w:after="0" w:line="360" w:lineRule="auto"/>
        <w:ind w:firstLine="480"/>
        <w:rPr>
          <w:rFonts w:hint="eastAsia"/>
          <w:szCs w:val="22"/>
        </w:rPr>
      </w:pPr>
      <w:r>
        <w:rPr>
          <w:rFonts w:hint="eastAsia"/>
          <w:szCs w:val="22"/>
        </w:rPr>
        <w:t>库区：检查水库区是否存在占用水域和违法取土、软倒垃圾等现象；</w:t>
      </w:r>
    </w:p>
    <w:p>
      <w:pPr>
        <w:pStyle w:val="12"/>
        <w:numPr>
          <w:ilvl w:val="0"/>
          <w:numId w:val="6"/>
        </w:numPr>
        <w:spacing w:after="0" w:line="360" w:lineRule="auto"/>
        <w:ind w:firstLine="480"/>
        <w:rPr>
          <w:rFonts w:hint="eastAsia"/>
          <w:szCs w:val="22"/>
        </w:rPr>
      </w:pPr>
      <w:r>
        <w:rPr>
          <w:rFonts w:hint="eastAsia"/>
          <w:szCs w:val="22"/>
        </w:rPr>
        <w:t>标识、标牌是否完整、清晰。</w:t>
      </w:r>
    </w:p>
    <w:p>
      <w:pPr>
        <w:pStyle w:val="12"/>
        <w:spacing w:line="360" w:lineRule="auto"/>
        <w:ind w:firstLine="480"/>
        <w:rPr>
          <w:rFonts w:hint="eastAsia"/>
          <w:szCs w:val="22"/>
        </w:rPr>
      </w:pPr>
      <w:r>
        <w:rPr>
          <w:rFonts w:hint="eastAsia"/>
          <w:szCs w:val="22"/>
        </w:rPr>
        <w:t>4.3安全监测</w:t>
      </w:r>
    </w:p>
    <w:p>
      <w:pPr>
        <w:pStyle w:val="12"/>
        <w:spacing w:line="360" w:lineRule="auto"/>
        <w:ind w:firstLine="480"/>
        <w:rPr>
          <w:rFonts w:hint="eastAsia"/>
          <w:szCs w:val="22"/>
        </w:rPr>
      </w:pPr>
      <w:r>
        <w:rPr>
          <w:rFonts w:hint="eastAsia"/>
          <w:szCs w:val="22"/>
        </w:rPr>
        <w:t>4.3.1监测项目</w:t>
      </w:r>
    </w:p>
    <w:p>
      <w:pPr>
        <w:pStyle w:val="12"/>
        <w:numPr>
          <w:ilvl w:val="0"/>
          <w:numId w:val="7"/>
        </w:numPr>
        <w:spacing w:after="0" w:line="360" w:lineRule="auto"/>
        <w:ind w:firstLine="480"/>
        <w:rPr>
          <w:rFonts w:hint="eastAsia"/>
          <w:szCs w:val="22"/>
        </w:rPr>
      </w:pPr>
      <w:r>
        <w:rPr>
          <w:rFonts w:hint="eastAsia"/>
          <w:szCs w:val="22"/>
        </w:rPr>
        <w:t>库水位观测、溢流水深观测；</w:t>
      </w:r>
    </w:p>
    <w:p>
      <w:pPr>
        <w:pStyle w:val="12"/>
        <w:numPr>
          <w:ilvl w:val="0"/>
          <w:numId w:val="7"/>
        </w:numPr>
        <w:spacing w:after="0" w:line="360" w:lineRule="auto"/>
        <w:ind w:firstLine="480"/>
        <w:rPr>
          <w:rFonts w:hint="eastAsia"/>
          <w:szCs w:val="22"/>
        </w:rPr>
      </w:pPr>
      <w:r>
        <w:rPr>
          <w:rFonts w:hint="eastAsia"/>
          <w:szCs w:val="22"/>
        </w:rPr>
        <w:t>渗流量及渗水浑浊度观测；</w:t>
      </w:r>
    </w:p>
    <w:p>
      <w:pPr>
        <w:pStyle w:val="12"/>
        <w:numPr>
          <w:ilvl w:val="0"/>
          <w:numId w:val="7"/>
        </w:numPr>
        <w:spacing w:after="0" w:line="360" w:lineRule="auto"/>
        <w:ind w:firstLine="480"/>
        <w:rPr>
          <w:rFonts w:hint="eastAsia"/>
          <w:szCs w:val="22"/>
        </w:rPr>
      </w:pPr>
      <w:r>
        <w:rPr>
          <w:rFonts w:hint="eastAsia"/>
          <w:szCs w:val="22"/>
        </w:rPr>
        <w:t>下游河道水位直接影响大坝水库安全的，应设置下游河道水位监测设施。</w:t>
      </w:r>
    </w:p>
    <w:p>
      <w:pPr>
        <w:pStyle w:val="12"/>
        <w:numPr>
          <w:ilvl w:val="0"/>
          <w:numId w:val="7"/>
        </w:numPr>
        <w:spacing w:after="0" w:line="360" w:lineRule="auto"/>
        <w:ind w:firstLine="480"/>
        <w:rPr>
          <w:rFonts w:hint="eastAsia"/>
        </w:rPr>
      </w:pPr>
      <w:r>
        <w:rPr>
          <w:rFonts w:hint="eastAsia"/>
          <w:szCs w:val="22"/>
        </w:rPr>
        <w:t>混凝土坝应设置气温观测设施。</w:t>
      </w:r>
    </w:p>
    <w:p>
      <w:pPr>
        <w:pStyle w:val="12"/>
        <w:numPr>
          <w:ilvl w:val="0"/>
          <w:numId w:val="7"/>
        </w:numPr>
        <w:spacing w:after="0" w:line="360" w:lineRule="auto"/>
        <w:ind w:firstLine="480"/>
        <w:rPr>
          <w:rFonts w:hint="eastAsia"/>
        </w:rPr>
      </w:pPr>
      <w:r>
        <w:rPr>
          <w:rFonts w:hint="eastAsia"/>
          <w:szCs w:val="22"/>
        </w:rPr>
        <w:t>大坝位移沉降观测。</w:t>
      </w:r>
    </w:p>
    <w:p>
      <w:pPr>
        <w:pStyle w:val="12"/>
        <w:spacing w:line="360" w:lineRule="auto"/>
        <w:ind w:firstLine="480"/>
        <w:rPr>
          <w:rFonts w:hint="eastAsia"/>
          <w:szCs w:val="22"/>
        </w:rPr>
      </w:pPr>
      <w:r>
        <w:rPr>
          <w:rFonts w:hint="eastAsia"/>
        </w:rPr>
        <w:t>4.3.2</w:t>
      </w:r>
      <w:r>
        <w:rPr>
          <w:rFonts w:hint="eastAsia"/>
          <w:szCs w:val="22"/>
        </w:rPr>
        <w:t>观测人员应及时整理监测成果并与前次监测成果进行对比，发现情况应及时分析，并开展复测工作。</w:t>
      </w:r>
    </w:p>
    <w:p>
      <w:pPr>
        <w:pStyle w:val="12"/>
        <w:spacing w:line="360" w:lineRule="auto"/>
        <w:ind w:firstLine="480"/>
        <w:rPr>
          <w:rFonts w:hint="eastAsia"/>
          <w:szCs w:val="22"/>
        </w:rPr>
      </w:pPr>
      <w:r>
        <w:rPr>
          <w:rFonts w:hint="eastAsia"/>
          <w:szCs w:val="22"/>
        </w:rPr>
        <w:t>4.4维修养护</w:t>
      </w:r>
    </w:p>
    <w:p>
      <w:pPr>
        <w:pStyle w:val="12"/>
        <w:spacing w:line="360" w:lineRule="auto"/>
        <w:ind w:firstLine="480"/>
        <w:rPr>
          <w:rFonts w:hint="eastAsia"/>
        </w:rPr>
      </w:pPr>
      <w:r>
        <w:rPr>
          <w:rFonts w:hint="eastAsia"/>
          <w:szCs w:val="22"/>
        </w:rPr>
        <w:t>4.4.1维修</w:t>
      </w:r>
      <w:r>
        <w:rPr>
          <w:rFonts w:hint="eastAsia"/>
        </w:rPr>
        <w:t>养护要求</w:t>
      </w:r>
    </w:p>
    <w:p>
      <w:pPr>
        <w:pStyle w:val="12"/>
        <w:spacing w:line="360" w:lineRule="auto"/>
        <w:ind w:firstLine="480"/>
        <w:rPr>
          <w:rFonts w:hint="eastAsia"/>
          <w:szCs w:val="22"/>
        </w:rPr>
      </w:pPr>
      <w:r>
        <w:rPr>
          <w:rFonts w:hint="eastAsia"/>
        </w:rPr>
        <w:t>拦</w:t>
      </w:r>
      <w:r>
        <w:rPr>
          <w:rFonts w:hint="eastAsia"/>
          <w:szCs w:val="22"/>
        </w:rPr>
        <w:t>河坝、溢洪道、输（泄）水涵（管、洞）等水工建筑物无明显的裂缝、滑坡、孔洞、破损、渗水、冲刷等现象。</w:t>
      </w:r>
    </w:p>
    <w:p>
      <w:pPr>
        <w:pStyle w:val="12"/>
        <w:spacing w:line="360" w:lineRule="auto"/>
        <w:ind w:firstLine="480"/>
        <w:rPr>
          <w:rFonts w:hint="eastAsia"/>
          <w:szCs w:val="22"/>
        </w:rPr>
      </w:pPr>
      <w:r>
        <w:rPr>
          <w:rFonts w:hint="eastAsia"/>
          <w:szCs w:val="22"/>
        </w:rPr>
        <w:t>（2）坝顶面整洁，无杂物、杂草等，排水沟畅通；廊道整洁，无积水、杂物等；</w:t>
      </w:r>
    </w:p>
    <w:p>
      <w:pPr>
        <w:pStyle w:val="12"/>
        <w:spacing w:line="360" w:lineRule="auto"/>
        <w:ind w:firstLine="480"/>
        <w:rPr>
          <w:rFonts w:hint="eastAsia"/>
          <w:szCs w:val="22"/>
        </w:rPr>
      </w:pPr>
      <w:r>
        <w:rPr>
          <w:rFonts w:hint="eastAsia"/>
          <w:szCs w:val="22"/>
        </w:rPr>
        <w:t>（3）溢洪道无堆积物等行水障碍物，过水通畅；</w:t>
      </w:r>
    </w:p>
    <w:p>
      <w:pPr>
        <w:pStyle w:val="12"/>
        <w:spacing w:line="360" w:lineRule="auto"/>
        <w:ind w:firstLine="480"/>
        <w:rPr>
          <w:rFonts w:hint="eastAsia"/>
          <w:szCs w:val="22"/>
        </w:rPr>
      </w:pPr>
      <w:r>
        <w:rPr>
          <w:rFonts w:hint="eastAsia"/>
          <w:szCs w:val="22"/>
        </w:rPr>
        <w:t>（4）边坡无危岩、大体积掉块及滑动迹象；</w:t>
      </w:r>
    </w:p>
    <w:p>
      <w:pPr>
        <w:pStyle w:val="12"/>
        <w:spacing w:line="360" w:lineRule="auto"/>
        <w:ind w:firstLine="480"/>
        <w:rPr>
          <w:rFonts w:hint="eastAsia"/>
          <w:szCs w:val="22"/>
        </w:rPr>
      </w:pPr>
      <w:r>
        <w:rPr>
          <w:rFonts w:hint="eastAsia"/>
          <w:szCs w:val="22"/>
        </w:rPr>
        <w:t>（5）钢闸门、拉杆表面无锈蚀及异常变形，启闭灵活，止水有效；</w:t>
      </w:r>
    </w:p>
    <w:p>
      <w:pPr>
        <w:pStyle w:val="12"/>
        <w:spacing w:line="360" w:lineRule="auto"/>
        <w:ind w:firstLine="480"/>
        <w:rPr>
          <w:rFonts w:hint="eastAsia"/>
          <w:szCs w:val="22"/>
        </w:rPr>
      </w:pPr>
      <w:r>
        <w:rPr>
          <w:rFonts w:hint="eastAsia"/>
          <w:szCs w:val="22"/>
        </w:rPr>
        <w:t>（6）启闭机外观整洁，保护装置可靠；电气设备、备用电源未超过使用年限，安全可靠，正常工作，有接地设施；</w:t>
      </w:r>
    </w:p>
    <w:p>
      <w:pPr>
        <w:pStyle w:val="12"/>
        <w:spacing w:line="360" w:lineRule="auto"/>
        <w:ind w:firstLine="480"/>
        <w:rPr>
          <w:rFonts w:hint="eastAsia"/>
          <w:szCs w:val="22"/>
        </w:rPr>
      </w:pPr>
      <w:r>
        <w:rPr>
          <w:rFonts w:hint="eastAsia"/>
          <w:szCs w:val="22"/>
        </w:rPr>
        <w:t>（7）管理房、启闭机房结构安全，室内整洁，照明设施工作正常，无漏水现象；</w:t>
      </w:r>
    </w:p>
    <w:p>
      <w:pPr>
        <w:pStyle w:val="12"/>
        <w:spacing w:line="360" w:lineRule="auto"/>
        <w:ind w:firstLine="480"/>
        <w:rPr>
          <w:rFonts w:hint="eastAsia"/>
          <w:szCs w:val="22"/>
        </w:rPr>
      </w:pPr>
      <w:r>
        <w:rPr>
          <w:rFonts w:hint="eastAsia"/>
          <w:szCs w:val="22"/>
        </w:rPr>
        <w:t>（8）水位尺完整，标识清晰；遥测设施工作正常，避雷装置有效；大坝观测基点及测点、仪器设备及其保护装置完好；</w:t>
      </w:r>
    </w:p>
    <w:p>
      <w:pPr>
        <w:pStyle w:val="12"/>
        <w:spacing w:line="360" w:lineRule="auto"/>
        <w:ind w:firstLine="480"/>
        <w:rPr>
          <w:rFonts w:hint="eastAsia"/>
          <w:szCs w:val="22"/>
        </w:rPr>
      </w:pPr>
      <w:r>
        <w:rPr>
          <w:rFonts w:hint="eastAsia"/>
          <w:szCs w:val="22"/>
        </w:rPr>
        <w:t>（9）标识标牌完整无缺失，字迹清晰；</w:t>
      </w:r>
    </w:p>
    <w:p>
      <w:pPr>
        <w:pStyle w:val="12"/>
        <w:spacing w:line="360" w:lineRule="auto"/>
        <w:ind w:firstLine="480"/>
        <w:rPr>
          <w:rFonts w:hint="eastAsia"/>
          <w:szCs w:val="22"/>
        </w:rPr>
      </w:pPr>
      <w:r>
        <w:rPr>
          <w:rFonts w:hint="eastAsia"/>
          <w:szCs w:val="22"/>
        </w:rPr>
        <w:t>（10）信息数据传输设施完好，监控无损坏现象，系统运行稳定；</w:t>
      </w:r>
    </w:p>
    <w:p>
      <w:pPr>
        <w:pStyle w:val="12"/>
        <w:spacing w:line="360" w:lineRule="auto"/>
        <w:ind w:firstLine="480"/>
        <w:rPr>
          <w:rFonts w:hint="eastAsia"/>
          <w:szCs w:val="22"/>
        </w:rPr>
      </w:pPr>
      <w:r>
        <w:rPr>
          <w:rFonts w:hint="eastAsia"/>
          <w:szCs w:val="22"/>
        </w:rPr>
        <w:t>（11）库区应做到库岸稳定无明显滑坡迹象，库区管理范围内无侵占水域、乱挖乱倒行为，水面保持清洁。</w:t>
      </w:r>
    </w:p>
    <w:p>
      <w:pPr>
        <w:pStyle w:val="12"/>
        <w:spacing w:line="360" w:lineRule="auto"/>
        <w:ind w:firstLine="480"/>
        <w:rPr>
          <w:rFonts w:hint="eastAsia"/>
          <w:szCs w:val="22"/>
        </w:rPr>
      </w:pPr>
      <w:r>
        <w:rPr>
          <w:rFonts w:hint="eastAsia"/>
          <w:szCs w:val="22"/>
        </w:rPr>
        <w:t>4.5其余未尽</w:t>
      </w:r>
      <w:r>
        <w:rPr>
          <w:rFonts w:hint="eastAsia"/>
          <w:color w:val="auto"/>
          <w:szCs w:val="22"/>
        </w:rPr>
        <w:t>事项须参照《小型水库管理规程》。</w:t>
      </w:r>
    </w:p>
    <w:p>
      <w:pPr>
        <w:pStyle w:val="16"/>
        <w:adjustRightInd w:val="0"/>
        <w:snapToGrid w:val="0"/>
        <w:spacing w:line="400" w:lineRule="exact"/>
        <w:jc w:val="center"/>
        <w:rPr>
          <w:rFonts w:hint="eastAsia" w:hAnsi="宋体"/>
          <w:sz w:val="36"/>
          <w:szCs w:val="36"/>
        </w:rPr>
      </w:pPr>
    </w:p>
    <w:p>
      <w:pPr>
        <w:pStyle w:val="6"/>
        <w:tabs>
          <w:tab w:val="left" w:pos="864"/>
        </w:tabs>
        <w:rPr>
          <w:szCs w:val="24"/>
        </w:rPr>
      </w:pPr>
      <w:r>
        <w:rPr>
          <w:rFonts w:hint="eastAsia"/>
          <w:szCs w:val="24"/>
        </w:rPr>
        <w:t>5 海塘工程</w:t>
      </w:r>
    </w:p>
    <w:p>
      <w:pPr>
        <w:pStyle w:val="6"/>
        <w:tabs>
          <w:tab w:val="left" w:pos="864"/>
        </w:tabs>
        <w:rPr>
          <w:rFonts w:ascii="Times New Roman" w:hAnsi="Times New Roman" w:eastAsia="宋体"/>
          <w:sz w:val="21"/>
        </w:rPr>
      </w:pPr>
      <w:r>
        <w:rPr>
          <w:rFonts w:hint="eastAsia" w:ascii="Times New Roman" w:hAnsi="Times New Roman" w:eastAsia="宋体"/>
          <w:sz w:val="21"/>
        </w:rPr>
        <w:t>5</w:t>
      </w:r>
      <w:r>
        <w:rPr>
          <w:rFonts w:ascii="Times New Roman" w:hAnsi="Times New Roman" w:eastAsia="宋体"/>
          <w:sz w:val="21"/>
        </w:rPr>
        <w:t xml:space="preserve">.1 </w:t>
      </w:r>
      <w:r>
        <w:rPr>
          <w:rFonts w:hint="eastAsia" w:ascii="Times New Roman" w:hAnsi="Times New Roman" w:eastAsia="宋体"/>
          <w:sz w:val="21"/>
        </w:rPr>
        <w:t>工程检查</w:t>
      </w:r>
    </w:p>
    <w:p>
      <w:pPr>
        <w:pStyle w:val="12"/>
        <w:spacing w:line="360" w:lineRule="auto"/>
        <w:ind w:firstLine="480"/>
      </w:pPr>
      <w:r>
        <w:rPr>
          <w:rFonts w:hint="eastAsia"/>
        </w:rPr>
        <w:t>5</w:t>
      </w:r>
      <w:r>
        <w:t xml:space="preserve">.1.1 </w:t>
      </w:r>
      <w:r>
        <w:rPr>
          <w:rFonts w:hint="eastAsia"/>
        </w:rPr>
        <w:t>检查分类和次数</w:t>
      </w:r>
    </w:p>
    <w:p>
      <w:pPr>
        <w:pStyle w:val="12"/>
        <w:spacing w:line="360" w:lineRule="auto"/>
        <w:ind w:firstLine="480"/>
      </w:pPr>
      <w:r>
        <w:rPr>
          <w:rFonts w:hint="eastAsia"/>
        </w:rPr>
        <w:t>5</w:t>
      </w:r>
      <w:r>
        <w:t xml:space="preserve">.1.1.1 </w:t>
      </w:r>
      <w:r>
        <w:rPr>
          <w:rFonts w:hint="eastAsia"/>
        </w:rPr>
        <w:t>检查分为日常检查、定期检查、特别检查。根据管理需要和海塘（堤防）及交叉建筑物工况变化情况也可提出专项检查。</w:t>
      </w:r>
    </w:p>
    <w:p>
      <w:pPr>
        <w:pStyle w:val="12"/>
        <w:spacing w:line="360" w:lineRule="auto"/>
        <w:ind w:firstLine="480"/>
      </w:pPr>
      <w:r>
        <w:t>（1）</w:t>
      </w:r>
      <w:r>
        <w:rPr>
          <w:rFonts w:hint="eastAsia"/>
        </w:rPr>
        <w:t>日常检查：非汛期每周至少全线检查</w:t>
      </w:r>
      <w:r>
        <w:t>2</w:t>
      </w:r>
      <w:r>
        <w:rPr>
          <w:rFonts w:hint="eastAsia"/>
        </w:rPr>
        <w:t>次，汛期每天至少检查</w:t>
      </w:r>
      <w:r>
        <w:t>1</w:t>
      </w:r>
      <w:r>
        <w:rPr>
          <w:rFonts w:hint="eastAsia"/>
        </w:rPr>
        <w:t>次，高潮位时加密检查。</w:t>
      </w:r>
    </w:p>
    <w:p>
      <w:pPr>
        <w:pStyle w:val="12"/>
        <w:spacing w:line="360" w:lineRule="auto"/>
        <w:ind w:firstLine="480"/>
      </w:pPr>
      <w:r>
        <w:t>（2）</w:t>
      </w:r>
      <w:r>
        <w:rPr>
          <w:rFonts w:hint="eastAsia"/>
        </w:rPr>
        <w:t>定期检查：每年汛前、汛中、汛后分别进行定期的综合性检查。</w:t>
      </w:r>
    </w:p>
    <w:p>
      <w:pPr>
        <w:pStyle w:val="12"/>
        <w:spacing w:line="360" w:lineRule="auto"/>
        <w:ind w:firstLine="480"/>
      </w:pPr>
      <w:r>
        <w:t xml:space="preserve">（3） </w:t>
      </w:r>
      <w:r>
        <w:rPr>
          <w:rFonts w:hint="eastAsia"/>
        </w:rPr>
        <w:t>特别检查：遇台风暴潮等灾害性天气或突发性事件，均应及时进行特别检查。</w:t>
      </w:r>
    </w:p>
    <w:p>
      <w:pPr>
        <w:pStyle w:val="12"/>
        <w:spacing w:line="360" w:lineRule="auto"/>
        <w:ind w:firstLine="480"/>
      </w:pPr>
      <w:r>
        <w:rPr>
          <w:rFonts w:hint="eastAsia"/>
        </w:rPr>
        <w:t>5</w:t>
      </w:r>
      <w:r>
        <w:t xml:space="preserve">.1.2 </w:t>
      </w:r>
      <w:r>
        <w:rPr>
          <w:rFonts w:hint="eastAsia"/>
        </w:rPr>
        <w:t>检查内容和项目</w:t>
      </w:r>
    </w:p>
    <w:p>
      <w:pPr>
        <w:pStyle w:val="12"/>
        <w:spacing w:line="360" w:lineRule="auto"/>
        <w:ind w:firstLine="480"/>
      </w:pPr>
      <w:r>
        <w:rPr>
          <w:rFonts w:hint="eastAsia"/>
        </w:rPr>
        <w:t>5</w:t>
      </w:r>
      <w:r>
        <w:t xml:space="preserve">.1.2.1 </w:t>
      </w:r>
      <w:r>
        <w:rPr>
          <w:rFonts w:hint="eastAsia"/>
        </w:rPr>
        <w:t>检查内容：海塘（堤防）及交叉建筑物工程是否完好、外观是否整洁、海塘（堤防）工程管理及保护范围内有无发生违章违法行为等。</w:t>
      </w:r>
    </w:p>
    <w:p>
      <w:pPr>
        <w:pStyle w:val="12"/>
        <w:spacing w:line="360" w:lineRule="auto"/>
        <w:ind w:firstLine="480"/>
      </w:pPr>
      <w:r>
        <w:rPr>
          <w:rFonts w:hint="eastAsia"/>
        </w:rPr>
        <w:t>5</w:t>
      </w:r>
      <w:r>
        <w:t xml:space="preserve">.1.2.2 </w:t>
      </w:r>
      <w:r>
        <w:rPr>
          <w:rFonts w:hint="eastAsia"/>
        </w:rPr>
        <w:t>检查项目：塘身检查</w:t>
      </w:r>
      <w:r>
        <w:t>（</w:t>
      </w:r>
      <w:r>
        <w:rPr>
          <w:rFonts w:hint="eastAsia"/>
        </w:rPr>
        <w:t>塘身包括塘顶、防浪墙、迎水坡、背水坡、镇压层、消浪防冲设施等</w:t>
      </w:r>
      <w:r>
        <w:t>）</w:t>
      </w:r>
      <w:r>
        <w:rPr>
          <w:rFonts w:hint="eastAsia"/>
        </w:rPr>
        <w:t>、交叉建筑物检查、护塘地与护塘河检查、护塘路与排水沟检查、护塘设施与塘前滩地检查、管理设施检查、管理和保护范围检查等。</w:t>
      </w:r>
    </w:p>
    <w:p>
      <w:pPr>
        <w:pStyle w:val="12"/>
        <w:spacing w:line="360" w:lineRule="auto"/>
        <w:ind w:firstLine="480"/>
      </w:pPr>
      <w:r>
        <w:rPr>
          <w:rFonts w:hint="eastAsia"/>
        </w:rPr>
        <w:t>5</w:t>
      </w:r>
      <w:r>
        <w:t xml:space="preserve">.1.2.3 </w:t>
      </w:r>
      <w:r>
        <w:rPr>
          <w:rFonts w:hint="eastAsia"/>
        </w:rPr>
        <w:t>塘身检查包括：</w:t>
      </w:r>
    </w:p>
    <w:p>
      <w:pPr>
        <w:pStyle w:val="12"/>
        <w:spacing w:line="360" w:lineRule="auto"/>
        <w:ind w:firstLine="480"/>
      </w:pPr>
      <w:r>
        <w:t>（1）</w:t>
      </w:r>
      <w:r>
        <w:rPr>
          <w:rFonts w:hint="eastAsia"/>
        </w:rPr>
        <w:t>塘身外观是否整洁；</w:t>
      </w:r>
    </w:p>
    <w:p>
      <w:pPr>
        <w:pStyle w:val="12"/>
        <w:spacing w:line="360" w:lineRule="auto"/>
        <w:ind w:firstLine="480"/>
      </w:pPr>
      <w:r>
        <w:t>（2）</w:t>
      </w:r>
      <w:r>
        <w:rPr>
          <w:rFonts w:hint="eastAsia"/>
        </w:rPr>
        <w:t>塘身有无雨淋沟、塌陷、裂缝、洞穴、渗漏和滑坡等现象；</w:t>
      </w:r>
    </w:p>
    <w:p>
      <w:pPr>
        <w:pStyle w:val="12"/>
        <w:spacing w:line="360" w:lineRule="auto"/>
        <w:ind w:firstLine="480"/>
      </w:pPr>
      <w:r>
        <w:t>（3）</w:t>
      </w:r>
      <w:r>
        <w:rPr>
          <w:rFonts w:hint="eastAsia"/>
        </w:rPr>
        <w:t>塘身有无明显沉降变形，塘顶是否积水；</w:t>
      </w:r>
    </w:p>
    <w:p>
      <w:pPr>
        <w:pStyle w:val="12"/>
        <w:spacing w:line="360" w:lineRule="auto"/>
        <w:ind w:firstLine="480"/>
      </w:pPr>
      <w:r>
        <w:t>（4）</w:t>
      </w:r>
      <w:r>
        <w:rPr>
          <w:rFonts w:hint="eastAsia"/>
        </w:rPr>
        <w:t>塘身迎潮面、背水坡、塘顶面护面结构有无破损，砌体有无松动、缺失、塌陷等；</w:t>
      </w:r>
    </w:p>
    <w:p>
      <w:pPr>
        <w:pStyle w:val="12"/>
        <w:spacing w:line="360" w:lineRule="auto"/>
        <w:ind w:firstLine="480"/>
      </w:pPr>
      <w:r>
        <w:t>（5）</w:t>
      </w:r>
      <w:r>
        <w:rPr>
          <w:rFonts w:hint="eastAsia"/>
        </w:rPr>
        <w:t>挡浪墙结构是否完好；</w:t>
      </w:r>
    </w:p>
    <w:p>
      <w:pPr>
        <w:pStyle w:val="12"/>
        <w:spacing w:line="360" w:lineRule="auto"/>
        <w:ind w:firstLine="480"/>
      </w:pPr>
      <w:r>
        <w:t>（6）</w:t>
      </w:r>
      <w:r>
        <w:rPr>
          <w:rFonts w:hint="eastAsia"/>
        </w:rPr>
        <w:t>消浪平台等防冲设施是否完好；</w:t>
      </w:r>
    </w:p>
    <w:p>
      <w:pPr>
        <w:pStyle w:val="12"/>
        <w:spacing w:line="360" w:lineRule="auto"/>
        <w:ind w:firstLine="480"/>
      </w:pPr>
      <w:r>
        <w:t>（7）</w:t>
      </w:r>
      <w:r>
        <w:rPr>
          <w:rFonts w:hint="eastAsia"/>
        </w:rPr>
        <w:t>大方脚等结构是否完好，基础有无淘刷下沉；</w:t>
      </w:r>
    </w:p>
    <w:p>
      <w:pPr>
        <w:pStyle w:val="12"/>
        <w:spacing w:line="360" w:lineRule="auto"/>
        <w:ind w:firstLine="480"/>
      </w:pPr>
      <w:r>
        <w:t>（8）</w:t>
      </w:r>
      <w:r>
        <w:rPr>
          <w:rFonts w:hint="eastAsia"/>
        </w:rPr>
        <w:t>镇压层结构是否完整，有无明显沉陷和冲损；</w:t>
      </w:r>
    </w:p>
    <w:p>
      <w:pPr>
        <w:pStyle w:val="12"/>
        <w:spacing w:line="360" w:lineRule="auto"/>
        <w:ind w:firstLine="480"/>
      </w:pPr>
      <w:r>
        <w:t>（9）</w:t>
      </w:r>
      <w:r>
        <w:rPr>
          <w:rFonts w:hint="eastAsia"/>
        </w:rPr>
        <w:t>塘身与涉塘交叉建筑物结合部位是否完好；</w:t>
      </w:r>
    </w:p>
    <w:p>
      <w:pPr>
        <w:pStyle w:val="12"/>
        <w:spacing w:line="360" w:lineRule="auto"/>
        <w:ind w:firstLine="480"/>
      </w:pPr>
      <w:r>
        <w:rPr>
          <w:rFonts w:hint="eastAsia"/>
        </w:rPr>
        <w:t>5</w:t>
      </w:r>
      <w:r>
        <w:t xml:space="preserve">.1.2.4 </w:t>
      </w:r>
      <w:r>
        <w:rPr>
          <w:rFonts w:hint="eastAsia"/>
        </w:rPr>
        <w:t>交叉建筑物检查包括：</w:t>
      </w:r>
    </w:p>
    <w:p>
      <w:pPr>
        <w:pStyle w:val="12"/>
        <w:spacing w:line="360" w:lineRule="auto"/>
        <w:ind w:firstLine="480"/>
      </w:pPr>
      <w:r>
        <w:rPr>
          <w:rFonts w:hint="eastAsia"/>
        </w:rPr>
        <w:t>可参照《浙东海塘工程维修养护技术规定（试行）》的相关章节内容。</w:t>
      </w:r>
    </w:p>
    <w:p>
      <w:pPr>
        <w:pStyle w:val="12"/>
        <w:spacing w:line="360" w:lineRule="auto"/>
        <w:ind w:firstLine="480"/>
      </w:pPr>
      <w:r>
        <w:rPr>
          <w:rFonts w:hint="eastAsia"/>
        </w:rPr>
        <w:t>5</w:t>
      </w:r>
      <w:r>
        <w:t xml:space="preserve">.1.2.5 </w:t>
      </w:r>
      <w:r>
        <w:rPr>
          <w:rFonts w:hint="eastAsia"/>
        </w:rPr>
        <w:t>护塘地与护塘河检查包括：</w:t>
      </w:r>
    </w:p>
    <w:p>
      <w:pPr>
        <w:pStyle w:val="12"/>
        <w:spacing w:line="360" w:lineRule="auto"/>
        <w:ind w:firstLine="480"/>
      </w:pPr>
      <w:r>
        <w:t>（1）</w:t>
      </w:r>
      <w:r>
        <w:rPr>
          <w:rFonts w:hint="eastAsia"/>
        </w:rPr>
        <w:t>护塘地有无被侵占、漫水、破坏现象；</w:t>
      </w:r>
    </w:p>
    <w:p>
      <w:pPr>
        <w:pStyle w:val="12"/>
        <w:spacing w:line="360" w:lineRule="auto"/>
        <w:ind w:firstLine="480"/>
      </w:pPr>
      <w:r>
        <w:t>（2）</w:t>
      </w:r>
      <w:r>
        <w:rPr>
          <w:rFonts w:hint="eastAsia"/>
        </w:rPr>
        <w:t>护塘地高程和宽度是否满足要求；</w:t>
      </w:r>
    </w:p>
    <w:p>
      <w:pPr>
        <w:pStyle w:val="12"/>
        <w:spacing w:line="360" w:lineRule="auto"/>
        <w:ind w:firstLine="480"/>
      </w:pPr>
      <w:r>
        <w:t>（3）</w:t>
      </w:r>
      <w:r>
        <w:rPr>
          <w:rFonts w:hint="eastAsia"/>
        </w:rPr>
        <w:t>护塘地绿化是否完好；</w:t>
      </w:r>
    </w:p>
    <w:p>
      <w:pPr>
        <w:pStyle w:val="12"/>
        <w:spacing w:line="360" w:lineRule="auto"/>
        <w:ind w:firstLine="480"/>
      </w:pPr>
      <w:r>
        <w:t>（4）</w:t>
      </w:r>
      <w:r>
        <w:rPr>
          <w:rFonts w:hint="eastAsia"/>
        </w:rPr>
        <w:t>护塘河有否随意挖深拓宽，塘河水位是否经常漫灌骤降；</w:t>
      </w:r>
    </w:p>
    <w:p>
      <w:pPr>
        <w:pStyle w:val="12"/>
        <w:spacing w:line="360" w:lineRule="auto"/>
        <w:ind w:firstLine="480"/>
      </w:pPr>
      <w:r>
        <w:t>（5）</w:t>
      </w:r>
      <w:r>
        <w:rPr>
          <w:rFonts w:hint="eastAsia"/>
        </w:rPr>
        <w:t>护塘河驳坎是否完好和稳定。</w:t>
      </w:r>
    </w:p>
    <w:p>
      <w:pPr>
        <w:pStyle w:val="12"/>
        <w:spacing w:line="360" w:lineRule="auto"/>
        <w:ind w:firstLine="480"/>
      </w:pPr>
      <w:r>
        <w:rPr>
          <w:rFonts w:hint="eastAsia"/>
        </w:rPr>
        <w:t>5</w:t>
      </w:r>
      <w:r>
        <w:t xml:space="preserve">.1.2.6 </w:t>
      </w:r>
      <w:r>
        <w:rPr>
          <w:rFonts w:hint="eastAsia"/>
        </w:rPr>
        <w:t>护塘路与排水沟检查</w:t>
      </w:r>
    </w:p>
    <w:p>
      <w:pPr>
        <w:pStyle w:val="12"/>
        <w:spacing w:line="360" w:lineRule="auto"/>
        <w:ind w:firstLine="480"/>
      </w:pPr>
      <w:r>
        <w:t>（1）</w:t>
      </w:r>
      <w:r>
        <w:rPr>
          <w:rFonts w:hint="eastAsia"/>
        </w:rPr>
        <w:t>护塘路是否平整，排水沟是否完好。</w:t>
      </w:r>
    </w:p>
    <w:p>
      <w:pPr>
        <w:pStyle w:val="12"/>
        <w:spacing w:line="360" w:lineRule="auto"/>
        <w:ind w:firstLine="480"/>
      </w:pPr>
      <w:r>
        <w:rPr>
          <w:rFonts w:hint="eastAsia"/>
        </w:rPr>
        <w:t>5</w:t>
      </w:r>
      <w:r>
        <w:t xml:space="preserve">.1.2.7 </w:t>
      </w:r>
      <w:r>
        <w:rPr>
          <w:rFonts w:hint="eastAsia"/>
        </w:rPr>
        <w:t>护塘设施与塘前滩地检查</w:t>
      </w:r>
    </w:p>
    <w:p>
      <w:pPr>
        <w:pStyle w:val="12"/>
        <w:spacing w:line="360" w:lineRule="auto"/>
        <w:ind w:firstLine="480"/>
      </w:pPr>
      <w:r>
        <w:t>（1）</w:t>
      </w:r>
      <w:r>
        <w:rPr>
          <w:rFonts w:hint="eastAsia"/>
        </w:rPr>
        <w:t>塘前抛石、混凝土异型块体和丁坝等护塘设施是否完好，有无冲损、移位和填堵；</w:t>
      </w:r>
    </w:p>
    <w:p>
      <w:pPr>
        <w:pStyle w:val="12"/>
        <w:spacing w:line="360" w:lineRule="auto"/>
        <w:ind w:firstLine="480"/>
      </w:pPr>
      <w:r>
        <w:t>（2）</w:t>
      </w:r>
      <w:r>
        <w:rPr>
          <w:rFonts w:hint="eastAsia"/>
        </w:rPr>
        <w:t>塘前滩地一定范围内有无明显冲刷和淤积等变化。</w:t>
      </w:r>
    </w:p>
    <w:p>
      <w:pPr>
        <w:pStyle w:val="12"/>
        <w:spacing w:line="360" w:lineRule="auto"/>
        <w:ind w:firstLine="480"/>
      </w:pPr>
      <w:r>
        <w:rPr>
          <w:rFonts w:hint="eastAsia"/>
        </w:rPr>
        <w:t>5</w:t>
      </w:r>
      <w:r>
        <w:t xml:space="preserve">.1.2.8 </w:t>
      </w:r>
      <w:r>
        <w:rPr>
          <w:rFonts w:hint="eastAsia"/>
        </w:rPr>
        <w:t>管理设施检查包括：</w:t>
      </w:r>
    </w:p>
    <w:p>
      <w:pPr>
        <w:pStyle w:val="12"/>
        <w:spacing w:line="360" w:lineRule="auto"/>
        <w:ind w:firstLine="480"/>
      </w:pPr>
      <w:r>
        <w:t>（1）</w:t>
      </w:r>
      <w:r>
        <w:rPr>
          <w:rFonts w:hint="eastAsia"/>
        </w:rPr>
        <w:t>观测和监控设施是否完好；</w:t>
      </w:r>
    </w:p>
    <w:p>
      <w:pPr>
        <w:pStyle w:val="12"/>
        <w:spacing w:line="360" w:lineRule="auto"/>
        <w:ind w:firstLine="480"/>
      </w:pPr>
      <w:r>
        <w:t>（2）</w:t>
      </w:r>
      <w:r>
        <w:rPr>
          <w:rFonts w:hint="eastAsia"/>
        </w:rPr>
        <w:t>里程碑、界桩、宣传（告示）牌等是否完好；</w:t>
      </w:r>
    </w:p>
    <w:p>
      <w:pPr>
        <w:pStyle w:val="12"/>
        <w:spacing w:line="360" w:lineRule="auto"/>
        <w:ind w:firstLine="480"/>
      </w:pPr>
      <w:r>
        <w:t>（3）</w:t>
      </w:r>
      <w:r>
        <w:rPr>
          <w:rFonts w:hint="eastAsia"/>
        </w:rPr>
        <w:t>管理房是否完好和美观、整洁；</w:t>
      </w:r>
    </w:p>
    <w:p>
      <w:pPr>
        <w:pStyle w:val="12"/>
        <w:spacing w:line="360" w:lineRule="auto"/>
        <w:ind w:firstLine="480"/>
      </w:pPr>
      <w:r>
        <w:t>（4）</w:t>
      </w:r>
      <w:r>
        <w:rPr>
          <w:rFonts w:hint="eastAsia"/>
        </w:rPr>
        <w:t>通讯、供电和交通设施是否完好；</w:t>
      </w:r>
    </w:p>
    <w:p>
      <w:pPr>
        <w:pStyle w:val="12"/>
        <w:spacing w:line="360" w:lineRule="auto"/>
        <w:ind w:firstLine="480"/>
      </w:pPr>
      <w:r>
        <w:t>（5）</w:t>
      </w:r>
      <w:r>
        <w:rPr>
          <w:rFonts w:hint="eastAsia"/>
        </w:rPr>
        <w:t>防汛物资储备是否充足，抢险器材是否完好、正常。</w:t>
      </w:r>
    </w:p>
    <w:p>
      <w:pPr>
        <w:pStyle w:val="12"/>
        <w:spacing w:line="360" w:lineRule="auto"/>
        <w:ind w:firstLine="480"/>
      </w:pPr>
      <w:r>
        <w:rPr>
          <w:rFonts w:hint="eastAsia"/>
        </w:rPr>
        <w:t>5</w:t>
      </w:r>
      <w:r>
        <w:t xml:space="preserve">.1.2.9 </w:t>
      </w:r>
      <w:r>
        <w:rPr>
          <w:rFonts w:hint="eastAsia"/>
        </w:rPr>
        <w:t>管理范围检查</w:t>
      </w:r>
    </w:p>
    <w:p>
      <w:pPr>
        <w:pStyle w:val="12"/>
        <w:spacing w:line="360" w:lineRule="auto"/>
        <w:ind w:firstLine="480"/>
      </w:pPr>
      <w:r>
        <w:rPr>
          <w:rFonts w:hint="eastAsia"/>
        </w:rPr>
        <w:t>管理范围内有无发生爆破、打井挖塘、打桩、采石取土、挖坑开沟、随意抛锚、系船、违章停船修船、建房、翻挖、堆物、垦种等危害海塘（堤防）安全的活动。有无随意破塘开缺等，塘顶有无随意行驶机动车辆。</w:t>
      </w:r>
    </w:p>
    <w:p>
      <w:pPr>
        <w:pStyle w:val="12"/>
        <w:spacing w:line="360" w:lineRule="auto"/>
        <w:ind w:firstLine="480"/>
      </w:pPr>
      <w:r>
        <w:rPr>
          <w:rFonts w:hint="eastAsia"/>
        </w:rPr>
        <w:t>5</w:t>
      </w:r>
      <w:r>
        <w:t xml:space="preserve">.1.2.10 </w:t>
      </w:r>
      <w:r>
        <w:rPr>
          <w:rFonts w:hint="eastAsia"/>
        </w:rPr>
        <w:t>保护范围检查</w:t>
      </w:r>
    </w:p>
    <w:p>
      <w:pPr>
        <w:pStyle w:val="12"/>
        <w:spacing w:line="360" w:lineRule="auto"/>
        <w:ind w:firstLine="480"/>
      </w:pPr>
      <w:r>
        <w:rPr>
          <w:rFonts w:hint="eastAsia"/>
        </w:rPr>
        <w:t>保护范围内有无发生爆破、打井挖塘、采石取土、建房等危害海塘（堤防）安全的活动。</w:t>
      </w:r>
    </w:p>
    <w:p>
      <w:pPr>
        <w:pStyle w:val="6"/>
        <w:tabs>
          <w:tab w:val="left" w:pos="864"/>
        </w:tabs>
        <w:rPr>
          <w:rFonts w:ascii="Times New Roman" w:hAnsi="Times New Roman" w:eastAsia="宋体"/>
          <w:sz w:val="21"/>
        </w:rPr>
      </w:pPr>
      <w:r>
        <w:rPr>
          <w:rFonts w:hint="eastAsia" w:ascii="Times New Roman" w:hAnsi="Times New Roman" w:eastAsia="宋体"/>
          <w:sz w:val="21"/>
        </w:rPr>
        <w:t>5</w:t>
      </w:r>
      <w:r>
        <w:rPr>
          <w:rFonts w:ascii="Times New Roman" w:hAnsi="Times New Roman" w:eastAsia="宋体"/>
          <w:sz w:val="21"/>
        </w:rPr>
        <w:t xml:space="preserve">. 2 </w:t>
      </w:r>
      <w:r>
        <w:rPr>
          <w:rFonts w:hint="eastAsia" w:ascii="Times New Roman" w:hAnsi="Times New Roman" w:eastAsia="宋体"/>
          <w:sz w:val="21"/>
        </w:rPr>
        <w:t>工程观测</w:t>
      </w:r>
    </w:p>
    <w:p>
      <w:pPr>
        <w:pStyle w:val="12"/>
        <w:spacing w:line="360" w:lineRule="auto"/>
        <w:ind w:firstLine="480"/>
      </w:pPr>
      <w:r>
        <w:rPr>
          <w:rFonts w:hint="eastAsia"/>
        </w:rPr>
        <w:t>5</w:t>
      </w:r>
      <w:r>
        <w:t xml:space="preserve">.2.1 </w:t>
      </w:r>
      <w:r>
        <w:rPr>
          <w:rFonts w:hint="eastAsia"/>
        </w:rPr>
        <w:t>观测主要包括沉降变形、潮位、裂缝、渗流等观测。必要时可增加水平位移、滩地冲淤、固结观测，以及科研需要的其他观测项目。</w:t>
      </w:r>
    </w:p>
    <w:p>
      <w:pPr>
        <w:pStyle w:val="12"/>
        <w:spacing w:line="360" w:lineRule="auto"/>
        <w:ind w:firstLine="480"/>
      </w:pPr>
      <w:r>
        <w:rPr>
          <w:rFonts w:hint="eastAsia"/>
        </w:rPr>
        <w:t>5</w:t>
      </w:r>
      <w:r>
        <w:t xml:space="preserve">.2.1.1 </w:t>
      </w:r>
      <w:r>
        <w:rPr>
          <w:rFonts w:hint="eastAsia"/>
        </w:rPr>
        <w:t>沉降变形观测每</w:t>
      </w:r>
      <w:r>
        <w:t>200</w:t>
      </w:r>
      <w:r>
        <w:rPr>
          <w:rFonts w:hint="eastAsia"/>
        </w:rPr>
        <w:t>～</w:t>
      </w:r>
      <w:r>
        <w:t xml:space="preserve">500 </w:t>
      </w:r>
      <w:r>
        <w:rPr>
          <w:rFonts w:hint="eastAsia"/>
        </w:rPr>
        <w:t>米设一观测断面，新建海塘（堤防）每月观测</w:t>
      </w:r>
      <w:r>
        <w:t xml:space="preserve">1 </w:t>
      </w:r>
      <w:r>
        <w:rPr>
          <w:rFonts w:hint="eastAsia"/>
        </w:rPr>
        <w:t>次，老海塘（堤防）每年观测</w:t>
      </w:r>
      <w:r>
        <w:t>1</w:t>
      </w:r>
      <w:r>
        <w:rPr>
          <w:rFonts w:hint="eastAsia"/>
        </w:rPr>
        <w:t>～</w:t>
      </w:r>
      <w:r>
        <w:t xml:space="preserve">2 </w:t>
      </w:r>
      <w:r>
        <w:rPr>
          <w:rFonts w:hint="eastAsia"/>
        </w:rPr>
        <w:t>次。重要或变形异常地段适当加密并补充水平位移观测。</w:t>
      </w:r>
    </w:p>
    <w:p>
      <w:pPr>
        <w:pStyle w:val="12"/>
        <w:spacing w:line="360" w:lineRule="auto"/>
        <w:ind w:firstLine="480"/>
      </w:pPr>
      <w:r>
        <w:rPr>
          <w:rFonts w:hint="eastAsia"/>
        </w:rPr>
        <w:t>5</w:t>
      </w:r>
      <w:r>
        <w:t xml:space="preserve">.2.1.2 </w:t>
      </w:r>
      <w:r>
        <w:rPr>
          <w:rFonts w:hint="eastAsia"/>
        </w:rPr>
        <w:t>潮位观测。对特定点（水闸附近等）每月逢大潮汛日进行高低潮位观测。台风影响时每天观测。</w:t>
      </w:r>
    </w:p>
    <w:p>
      <w:pPr>
        <w:pStyle w:val="12"/>
        <w:spacing w:line="360" w:lineRule="auto"/>
        <w:ind w:firstLine="480"/>
      </w:pPr>
      <w:r>
        <w:rPr>
          <w:rFonts w:hint="eastAsia"/>
        </w:rPr>
        <w:t>5</w:t>
      </w:r>
      <w:r>
        <w:t xml:space="preserve">.2.1.3 </w:t>
      </w:r>
      <w:r>
        <w:rPr>
          <w:rFonts w:hint="eastAsia"/>
        </w:rPr>
        <w:t>裂缝观测。对主要裂缝宽度、长度进行观测，裂缝发展初期每天观测一次，以后每月观测</w:t>
      </w:r>
      <w:r>
        <w:t>1</w:t>
      </w:r>
      <w:r>
        <w:rPr>
          <w:rFonts w:hint="eastAsia"/>
        </w:rPr>
        <w:t>～</w:t>
      </w:r>
      <w:r>
        <w:t xml:space="preserve">2 </w:t>
      </w:r>
      <w:r>
        <w:rPr>
          <w:rFonts w:hint="eastAsia"/>
        </w:rPr>
        <w:t>次。</w:t>
      </w:r>
    </w:p>
    <w:p>
      <w:pPr>
        <w:pStyle w:val="6"/>
        <w:tabs>
          <w:tab w:val="left" w:pos="864"/>
        </w:tabs>
        <w:rPr>
          <w:rFonts w:ascii="Times New Roman" w:hAnsi="Times New Roman" w:eastAsia="宋体"/>
          <w:sz w:val="21"/>
        </w:rPr>
      </w:pPr>
      <w:r>
        <w:rPr>
          <w:rFonts w:hint="eastAsia" w:ascii="Times New Roman" w:hAnsi="Times New Roman" w:eastAsia="宋体"/>
          <w:sz w:val="21"/>
        </w:rPr>
        <w:t>5</w:t>
      </w:r>
      <w:r>
        <w:rPr>
          <w:rFonts w:ascii="Times New Roman" w:hAnsi="Times New Roman" w:eastAsia="宋体"/>
          <w:sz w:val="21"/>
        </w:rPr>
        <w:t xml:space="preserve">.3 </w:t>
      </w:r>
      <w:r>
        <w:rPr>
          <w:rFonts w:hint="eastAsia" w:ascii="Times New Roman" w:hAnsi="Times New Roman" w:eastAsia="宋体"/>
          <w:sz w:val="21"/>
        </w:rPr>
        <w:t>维修养护</w:t>
      </w:r>
    </w:p>
    <w:p>
      <w:pPr>
        <w:pStyle w:val="12"/>
        <w:spacing w:line="360" w:lineRule="auto"/>
        <w:ind w:firstLine="480"/>
      </w:pPr>
      <w:r>
        <w:rPr>
          <w:rFonts w:hint="eastAsia"/>
        </w:rPr>
        <w:t>5</w:t>
      </w:r>
      <w:r>
        <w:t xml:space="preserve">.3.1 </w:t>
      </w:r>
      <w:r>
        <w:rPr>
          <w:rFonts w:hint="eastAsia"/>
        </w:rPr>
        <w:t>维修养护包括：塘身、交叉建筑物、护塘地、护塘河及管理设施等维修养护。</w:t>
      </w:r>
    </w:p>
    <w:p>
      <w:pPr>
        <w:pStyle w:val="12"/>
        <w:spacing w:line="360" w:lineRule="auto"/>
        <w:ind w:firstLine="480"/>
      </w:pPr>
      <w:r>
        <w:rPr>
          <w:rFonts w:hint="eastAsia"/>
        </w:rPr>
        <w:t>5</w:t>
      </w:r>
      <w:r>
        <w:t xml:space="preserve">.3.1.1 </w:t>
      </w:r>
      <w:r>
        <w:rPr>
          <w:rFonts w:hint="eastAsia"/>
        </w:rPr>
        <w:t>塘身维修养护包括塘顶、迎水面、塘脚、背水面等的维修养护。</w:t>
      </w:r>
    </w:p>
    <w:p>
      <w:pPr>
        <w:pStyle w:val="12"/>
        <w:spacing w:line="360" w:lineRule="auto"/>
        <w:ind w:firstLine="480"/>
      </w:pPr>
      <w:r>
        <w:t>（1）</w:t>
      </w:r>
      <w:r>
        <w:rPr>
          <w:rFonts w:hint="eastAsia"/>
        </w:rPr>
        <w:t>塘顶维修养护主要包括：塘顶路面、防浪墙、路肩石等的维修养护，应做到：</w:t>
      </w:r>
    </w:p>
    <w:p>
      <w:pPr>
        <w:pStyle w:val="12"/>
        <w:spacing w:line="360" w:lineRule="auto"/>
        <w:ind w:firstLine="480"/>
      </w:pPr>
      <w:r>
        <w:t>1</w:t>
      </w:r>
      <w:r>
        <w:rPr>
          <w:rFonts w:hint="eastAsia"/>
        </w:rPr>
        <w:t>）塘顶路面积水应及时排除；</w:t>
      </w:r>
    </w:p>
    <w:p>
      <w:pPr>
        <w:pStyle w:val="12"/>
        <w:spacing w:line="360" w:lineRule="auto"/>
        <w:ind w:firstLine="480"/>
      </w:pPr>
      <w:r>
        <w:t>2</w:t>
      </w:r>
      <w:r>
        <w:rPr>
          <w:rFonts w:hint="eastAsia"/>
        </w:rPr>
        <w:t>）塘顶路面有裂缝、塌陷、沥青混凝土起砂等局部破损，应及时修复；</w:t>
      </w:r>
    </w:p>
    <w:p>
      <w:pPr>
        <w:pStyle w:val="12"/>
        <w:spacing w:line="360" w:lineRule="auto"/>
        <w:ind w:firstLine="480"/>
      </w:pPr>
      <w:r>
        <w:t>3</w:t>
      </w:r>
      <w:r>
        <w:rPr>
          <w:rFonts w:hint="eastAsia"/>
        </w:rPr>
        <w:t>）保持防浪墙完好，分缝完整，外观整洁，有破损应及时修复；</w:t>
      </w:r>
    </w:p>
    <w:p>
      <w:pPr>
        <w:pStyle w:val="12"/>
        <w:spacing w:line="360" w:lineRule="auto"/>
        <w:ind w:firstLine="480"/>
      </w:pPr>
      <w:r>
        <w:t>4</w:t>
      </w:r>
      <w:r>
        <w:rPr>
          <w:rFonts w:hint="eastAsia"/>
        </w:rPr>
        <w:t>）路肩石应保持完好，有破损及时修复。</w:t>
      </w:r>
    </w:p>
    <w:p>
      <w:pPr>
        <w:pStyle w:val="12"/>
        <w:spacing w:line="360" w:lineRule="auto"/>
        <w:ind w:firstLine="480"/>
      </w:pPr>
      <w:r>
        <w:t>（2）</w:t>
      </w:r>
      <w:r>
        <w:rPr>
          <w:rFonts w:hint="eastAsia"/>
        </w:rPr>
        <w:t>迎水面（护面）维修养护主要包括：混凝土（墙体、贴面、异型块、隔栅等）、块石砌体、灌（浆）砌石等护面结构等的维修养护，应做到：</w:t>
      </w:r>
    </w:p>
    <w:p>
      <w:pPr>
        <w:pStyle w:val="12"/>
        <w:spacing w:line="360" w:lineRule="auto"/>
        <w:ind w:firstLine="480"/>
      </w:pPr>
      <w:r>
        <w:t>1</w:t>
      </w:r>
      <w:r>
        <w:rPr>
          <w:rFonts w:hint="eastAsia"/>
        </w:rPr>
        <w:t>）护面结构完好，无松动、开裂、破损、鼓起、坍塌、露筋、缺失和磨损等局部破损；勾缝无起翘、剥落；混凝土、砌体护面分缝完整无破损；</w:t>
      </w:r>
    </w:p>
    <w:p>
      <w:pPr>
        <w:pStyle w:val="12"/>
        <w:spacing w:line="360" w:lineRule="auto"/>
        <w:ind w:firstLine="480"/>
      </w:pPr>
      <w:r>
        <w:t>2</w:t>
      </w:r>
      <w:r>
        <w:rPr>
          <w:rFonts w:hint="eastAsia"/>
        </w:rPr>
        <w:t>）排水孔无杂物阻塞现象，并保持排水有效；</w:t>
      </w:r>
    </w:p>
    <w:p>
      <w:pPr>
        <w:pStyle w:val="12"/>
        <w:spacing w:line="360" w:lineRule="auto"/>
        <w:ind w:firstLine="480"/>
      </w:pPr>
      <w:r>
        <w:t>3</w:t>
      </w:r>
      <w:r>
        <w:rPr>
          <w:rFonts w:hint="eastAsia"/>
        </w:rPr>
        <w:t>）护面结构损坏应及时修复；</w:t>
      </w:r>
    </w:p>
    <w:p>
      <w:pPr>
        <w:pStyle w:val="12"/>
        <w:spacing w:line="360" w:lineRule="auto"/>
        <w:ind w:firstLine="480"/>
      </w:pPr>
      <w:r>
        <w:t>4</w:t>
      </w:r>
      <w:r>
        <w:rPr>
          <w:rFonts w:hint="eastAsia"/>
        </w:rPr>
        <w:t>）隔栅、块体填堵后应定期清理。</w:t>
      </w:r>
    </w:p>
    <w:p>
      <w:pPr>
        <w:pStyle w:val="12"/>
        <w:spacing w:line="360" w:lineRule="auto"/>
        <w:ind w:firstLine="480"/>
      </w:pPr>
      <w:r>
        <w:t>（3）</w:t>
      </w:r>
      <w:r>
        <w:rPr>
          <w:rFonts w:hint="eastAsia"/>
        </w:rPr>
        <w:t>塘脚维修养护主要包括：镇压层、桩基、消浪平台、大方脚等的维修养护，应做到：</w:t>
      </w:r>
    </w:p>
    <w:p>
      <w:pPr>
        <w:pStyle w:val="12"/>
        <w:spacing w:line="360" w:lineRule="auto"/>
        <w:ind w:firstLine="480"/>
      </w:pPr>
      <w:r>
        <w:t>1</w:t>
      </w:r>
      <w:r>
        <w:rPr>
          <w:rFonts w:hint="eastAsia"/>
        </w:rPr>
        <w:t>）塘脚应保持结构完好，有裂缝、塌陷、冲损等情况，应及时修复；</w:t>
      </w:r>
    </w:p>
    <w:p>
      <w:pPr>
        <w:pStyle w:val="12"/>
        <w:spacing w:line="360" w:lineRule="auto"/>
        <w:ind w:firstLine="480"/>
      </w:pPr>
      <w:r>
        <w:t>2</w:t>
      </w:r>
      <w:r>
        <w:rPr>
          <w:rFonts w:hint="eastAsia"/>
        </w:rPr>
        <w:t>）消浪平台无损坏，有沉陷、冲损等情况，应及时修复；</w:t>
      </w:r>
    </w:p>
    <w:p>
      <w:pPr>
        <w:pStyle w:val="12"/>
        <w:spacing w:line="360" w:lineRule="auto"/>
        <w:ind w:firstLine="480"/>
      </w:pPr>
      <w:r>
        <w:t>3</w:t>
      </w:r>
      <w:r>
        <w:rPr>
          <w:rFonts w:hint="eastAsia"/>
        </w:rPr>
        <w:t>）塘脚基础稳定，镇压层、大方脚等发现松动和鼓出等情况，应及时采取措施予以加固；</w:t>
      </w:r>
    </w:p>
    <w:p>
      <w:pPr>
        <w:pStyle w:val="12"/>
        <w:spacing w:line="360" w:lineRule="auto"/>
        <w:ind w:firstLine="480"/>
      </w:pPr>
      <w:r>
        <w:t>4</w:t>
      </w:r>
      <w:r>
        <w:rPr>
          <w:rFonts w:hint="eastAsia"/>
        </w:rPr>
        <w:t>）发现塘脚滩地有冲沟时应及时分析原因，并加以处理。</w:t>
      </w:r>
    </w:p>
    <w:p>
      <w:pPr>
        <w:pStyle w:val="12"/>
        <w:spacing w:line="360" w:lineRule="auto"/>
        <w:ind w:firstLine="480"/>
      </w:pPr>
      <w:r>
        <w:t>5</w:t>
      </w:r>
      <w:r>
        <w:rPr>
          <w:rFonts w:hint="eastAsia"/>
        </w:rPr>
        <w:t>）护塘防冲设施应保持结构完好。丁坝、抛石、混凝土块体等出现局部塌陷、冲损、块体散失等影响护塘建筑物安全的，应及时修补。滩地发生严重冲刷的，应及时进行补抛块体等防护措施。</w:t>
      </w:r>
    </w:p>
    <w:p>
      <w:pPr>
        <w:pStyle w:val="12"/>
        <w:spacing w:line="360" w:lineRule="auto"/>
        <w:ind w:firstLine="480"/>
      </w:pPr>
      <w:r>
        <w:t>（4）</w:t>
      </w:r>
      <w:r>
        <w:rPr>
          <w:rFonts w:hint="eastAsia"/>
        </w:rPr>
        <w:t>背水坡维修养护主要包括：混凝土（块）、干砌体等护面的维修养护，应做到：</w:t>
      </w:r>
    </w:p>
    <w:p>
      <w:pPr>
        <w:pStyle w:val="12"/>
        <w:spacing w:line="360" w:lineRule="auto"/>
        <w:ind w:firstLine="480"/>
      </w:pPr>
      <w:r>
        <w:t>1</w:t>
      </w:r>
      <w:r>
        <w:rPr>
          <w:rFonts w:hint="eastAsia"/>
        </w:rPr>
        <w:t>）混凝土（块）、干砌体护面有坍塌、损破、鼓出等情况，应及时修复。</w:t>
      </w:r>
    </w:p>
    <w:p>
      <w:pPr>
        <w:pStyle w:val="12"/>
        <w:spacing w:line="360" w:lineRule="auto"/>
        <w:ind w:firstLine="480"/>
      </w:pPr>
      <w:r>
        <w:t>2</w:t>
      </w:r>
      <w:r>
        <w:rPr>
          <w:rFonts w:hint="eastAsia"/>
        </w:rPr>
        <w:t>）雨淋洞、雨淋沟等土方流失现象，应及时修复。</w:t>
      </w:r>
    </w:p>
    <w:p>
      <w:pPr>
        <w:pStyle w:val="12"/>
        <w:spacing w:line="360" w:lineRule="auto"/>
        <w:ind w:firstLine="480"/>
      </w:pPr>
      <w:r>
        <w:t>3</w:t>
      </w:r>
      <w:r>
        <w:rPr>
          <w:rFonts w:hint="eastAsia"/>
        </w:rPr>
        <w:t>）坡面或堤脚出现渗流时因寻找病因，及时处理。</w:t>
      </w:r>
    </w:p>
    <w:p>
      <w:pPr>
        <w:pStyle w:val="12"/>
        <w:spacing w:line="360" w:lineRule="auto"/>
        <w:ind w:firstLine="480"/>
      </w:pPr>
      <w:r>
        <w:rPr>
          <w:rFonts w:hint="eastAsia"/>
        </w:rPr>
        <w:t>5</w:t>
      </w:r>
      <w:r>
        <w:t xml:space="preserve">.3.1.2 </w:t>
      </w:r>
      <w:r>
        <w:rPr>
          <w:rFonts w:hint="eastAsia"/>
        </w:rPr>
        <w:t>交叉建筑物维修养护包括：道口、旱闸、涵洞、水闸、桥梁、码头、管道等跨塘、穿塘、临塘等设施等的维修养护。</w:t>
      </w:r>
    </w:p>
    <w:p>
      <w:pPr>
        <w:pStyle w:val="12"/>
        <w:spacing w:line="360" w:lineRule="auto"/>
        <w:ind w:firstLine="480"/>
      </w:pPr>
      <w:r>
        <w:t>（1）</w:t>
      </w:r>
      <w:r>
        <w:rPr>
          <w:rFonts w:hint="eastAsia"/>
        </w:rPr>
        <w:t>全面掌握跨塘、穿塘、临塘设施的分布和基本情况，及时更新，资料及时存档。</w:t>
      </w:r>
    </w:p>
    <w:p>
      <w:pPr>
        <w:pStyle w:val="12"/>
        <w:spacing w:line="360" w:lineRule="auto"/>
        <w:ind w:firstLine="480"/>
      </w:pPr>
      <w:r>
        <w:t>（2）</w:t>
      </w:r>
      <w:r>
        <w:rPr>
          <w:rFonts w:hint="eastAsia"/>
        </w:rPr>
        <w:t>水闸、旱闸、涵洞应保持整体完好，安全稳定，闸门能正常启闭。</w:t>
      </w:r>
    </w:p>
    <w:p>
      <w:pPr>
        <w:pStyle w:val="12"/>
        <w:spacing w:line="360" w:lineRule="auto"/>
        <w:ind w:firstLine="480"/>
      </w:pPr>
      <w:r>
        <w:t>（3）</w:t>
      </w:r>
      <w:r>
        <w:rPr>
          <w:rFonts w:hint="eastAsia"/>
        </w:rPr>
        <w:t>水闸、旱闸、涵洞结构部件应保持完好：闸门（板）无锈蚀、无扭变、无破损，止水有效，闸槽无淤塞、无锈蚀扭曲，轨道无松动，无卡闸门现象。</w:t>
      </w:r>
    </w:p>
    <w:p>
      <w:pPr>
        <w:pStyle w:val="12"/>
        <w:spacing w:line="360" w:lineRule="auto"/>
        <w:ind w:firstLine="480"/>
      </w:pPr>
      <w:r>
        <w:t>（4）</w:t>
      </w:r>
      <w:r>
        <w:rPr>
          <w:rFonts w:hint="eastAsia"/>
        </w:rPr>
        <w:t>水闸启闭设施、电气设备等应保持完好，发现老化时应及时更新。</w:t>
      </w:r>
    </w:p>
    <w:p>
      <w:pPr>
        <w:pStyle w:val="12"/>
        <w:spacing w:line="360" w:lineRule="auto"/>
        <w:ind w:firstLine="480"/>
      </w:pPr>
      <w:r>
        <w:t>（5）</w:t>
      </w:r>
      <w:r>
        <w:rPr>
          <w:rFonts w:hint="eastAsia"/>
        </w:rPr>
        <w:t>水闸与塘身结合部位发生破损、沉降、渗漏，应及时修复。</w:t>
      </w:r>
    </w:p>
    <w:p>
      <w:pPr>
        <w:pStyle w:val="12"/>
        <w:spacing w:line="360" w:lineRule="auto"/>
        <w:ind w:firstLine="480"/>
      </w:pPr>
      <w:r>
        <w:t>（6）</w:t>
      </w:r>
      <w:r>
        <w:rPr>
          <w:rFonts w:hint="eastAsia"/>
        </w:rPr>
        <w:t>桥梁、码头和穿塘管道等设施发生破损且影响海塘（堤防）工程正常运行的，应及时修复。</w:t>
      </w:r>
    </w:p>
    <w:p>
      <w:pPr>
        <w:pStyle w:val="12"/>
        <w:spacing w:line="360" w:lineRule="auto"/>
        <w:ind w:firstLine="480"/>
      </w:pPr>
      <w:r>
        <w:rPr>
          <w:rFonts w:hint="eastAsia"/>
        </w:rPr>
        <w:t>5</w:t>
      </w:r>
      <w:r>
        <w:t>.3.1.3</w:t>
      </w:r>
      <w:r>
        <w:rPr>
          <w:rFonts w:hint="eastAsia"/>
        </w:rPr>
        <w:t xml:space="preserve"> 护塘地维修养护</w:t>
      </w:r>
    </w:p>
    <w:p>
      <w:pPr>
        <w:pStyle w:val="12"/>
        <w:spacing w:line="360" w:lineRule="auto"/>
        <w:ind w:firstLine="480"/>
      </w:pPr>
      <w:r>
        <w:t>（1）</w:t>
      </w:r>
      <w:r>
        <w:rPr>
          <w:rFonts w:hint="eastAsia"/>
        </w:rPr>
        <w:t>护塘地的高程和宽度不够时应及时加高加宽，有坍塌、鼓出等情况，应及时采取措施予以加固。结合交通的护塘地下沉严重或路面破损的，要及时进行维修。</w:t>
      </w:r>
    </w:p>
    <w:p>
      <w:pPr>
        <w:pStyle w:val="12"/>
        <w:spacing w:line="360" w:lineRule="auto"/>
        <w:ind w:firstLine="480"/>
      </w:pPr>
      <w:r>
        <w:t>（2）</w:t>
      </w:r>
      <w:r>
        <w:rPr>
          <w:rFonts w:hint="eastAsia"/>
        </w:rPr>
        <w:t>护塘地漫水要及时排干。</w:t>
      </w:r>
    </w:p>
    <w:p>
      <w:pPr>
        <w:pStyle w:val="12"/>
        <w:spacing w:line="360" w:lineRule="auto"/>
        <w:ind w:firstLine="480"/>
      </w:pPr>
      <w:r>
        <w:t>（3）</w:t>
      </w:r>
      <w:r>
        <w:rPr>
          <w:rFonts w:hint="eastAsia"/>
        </w:rPr>
        <w:t>护塘地绿化应保持完好，及时清除杂草，定期修剪和整形，浇水施肥，缺失应适时补植。</w:t>
      </w:r>
    </w:p>
    <w:p>
      <w:pPr>
        <w:pStyle w:val="12"/>
        <w:spacing w:line="360" w:lineRule="auto"/>
        <w:ind w:firstLine="480"/>
      </w:pPr>
      <w:r>
        <w:t>（4）</w:t>
      </w:r>
      <w:r>
        <w:rPr>
          <w:rFonts w:hint="eastAsia"/>
        </w:rPr>
        <w:t>护塘河驳坎下沉失稳、坍塌的要及时修复。</w:t>
      </w:r>
    </w:p>
    <w:p>
      <w:pPr>
        <w:pStyle w:val="12"/>
        <w:spacing w:line="360" w:lineRule="auto"/>
        <w:ind w:firstLine="480"/>
        <w:rPr>
          <w:rFonts w:hint="eastAsia"/>
        </w:rPr>
      </w:pPr>
      <w:r>
        <w:t>（5）</w:t>
      </w:r>
      <w:r>
        <w:rPr>
          <w:rFonts w:hint="eastAsia"/>
        </w:rPr>
        <w:t>排水沟渠有破损、堵塞要及时修复。</w:t>
      </w: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6"/>
        <w:adjustRightInd w:val="0"/>
        <w:snapToGrid w:val="0"/>
        <w:spacing w:line="400" w:lineRule="exact"/>
        <w:rPr>
          <w:rFonts w:hAnsi="宋体" w:cs="宋体"/>
          <w:sz w:val="36"/>
          <w:szCs w:val="36"/>
        </w:rPr>
      </w:pPr>
    </w:p>
    <w:p>
      <w:pPr>
        <w:pStyle w:val="17"/>
        <w:rPr>
          <w:rFonts w:hAnsi="宋体" w:cs="宋体"/>
          <w:sz w:val="36"/>
          <w:szCs w:val="36"/>
        </w:rPr>
      </w:pPr>
    </w:p>
    <w:p>
      <w:pPr>
        <w:rPr>
          <w:rFonts w:hAnsi="宋体" w:cs="宋体"/>
          <w:sz w:val="36"/>
          <w:szCs w:val="36"/>
        </w:rPr>
      </w:pPr>
    </w:p>
    <w:p>
      <w:pPr>
        <w:pStyle w:val="9"/>
        <w:ind w:firstLine="360"/>
        <w:rPr>
          <w:rFonts w:hAnsi="宋体" w:cs="宋体"/>
          <w:sz w:val="36"/>
          <w:szCs w:val="36"/>
        </w:rPr>
      </w:pPr>
    </w:p>
    <w:p>
      <w:pPr>
        <w:pStyle w:val="11"/>
        <w:rPr>
          <w:rFonts w:hAnsi="宋体" w:cs="宋体"/>
          <w:sz w:val="36"/>
          <w:szCs w:val="36"/>
        </w:rPr>
      </w:pPr>
    </w:p>
    <w:p>
      <w:pPr>
        <w:rPr>
          <w:rFonts w:hAnsi="宋体" w:cs="宋体"/>
          <w:sz w:val="36"/>
          <w:szCs w:val="36"/>
        </w:rPr>
      </w:pPr>
    </w:p>
    <w:p>
      <w:pPr>
        <w:pStyle w:val="9"/>
        <w:ind w:firstLine="360"/>
        <w:rPr>
          <w:rFonts w:hAnsi="宋体" w:cs="宋体"/>
          <w:sz w:val="36"/>
          <w:szCs w:val="36"/>
        </w:rPr>
      </w:pPr>
    </w:p>
    <w:p>
      <w:pPr>
        <w:pStyle w:val="11"/>
      </w:pPr>
    </w:p>
    <w:p/>
    <w:p>
      <w:pPr>
        <w:pStyle w:val="9"/>
        <w:ind w:firstLine="210"/>
      </w:pPr>
    </w:p>
    <w:p>
      <w:pPr>
        <w:pStyle w:val="11"/>
      </w:pPr>
    </w:p>
    <w:p/>
    <w:p>
      <w:pPr>
        <w:pStyle w:val="9"/>
        <w:ind w:firstLine="210"/>
      </w:pPr>
    </w:p>
    <w:p>
      <w:pPr>
        <w:pStyle w:val="11"/>
      </w:pPr>
    </w:p>
    <w:p/>
    <w:p>
      <w:pPr>
        <w:pStyle w:val="9"/>
        <w:ind w:left="0" w:leftChars="0" w:firstLine="0" w:firstLineChars="0"/>
      </w:pPr>
    </w:p>
    <w:p>
      <w:pPr>
        <w:pStyle w:val="11"/>
      </w:pPr>
    </w:p>
    <w:p/>
    <w:p>
      <w:pPr>
        <w:pStyle w:val="9"/>
        <w:ind w:firstLine="210"/>
      </w:pPr>
    </w:p>
    <w:p>
      <w:pPr>
        <w:pStyle w:val="11"/>
      </w:pPr>
    </w:p>
    <w:p/>
    <w:p>
      <w:pPr>
        <w:pStyle w:val="16"/>
        <w:adjustRightInd w:val="0"/>
        <w:snapToGrid w:val="0"/>
        <w:spacing w:line="400" w:lineRule="exact"/>
        <w:rPr>
          <w:rFonts w:hAnsi="宋体" w:cs="宋体"/>
          <w:sz w:val="36"/>
          <w:szCs w:val="36"/>
        </w:rPr>
      </w:pPr>
    </w:p>
    <w:p>
      <w:pPr>
        <w:pStyle w:val="16"/>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6"/>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28" w:name="_Toc30408914"/>
      <w:bookmarkStart w:id="29" w:name="_Toc24550049"/>
    </w:p>
    <w:p>
      <w:pPr>
        <w:pStyle w:val="2"/>
        <w:rPr>
          <w:rFonts w:hint="eastAsia" w:ascii="仿宋" w:hAnsi="仿宋" w:eastAsia="仿宋"/>
          <w:b/>
          <w:sz w:val="28"/>
          <w:szCs w:val="28"/>
          <w:u w:val="single"/>
        </w:rPr>
      </w:pPr>
    </w:p>
    <w:p>
      <w:pPr>
        <w:rPr>
          <w:rFonts w:hint="eastAsia" w:ascii="仿宋" w:hAnsi="仿宋" w:eastAsia="仿宋"/>
          <w:b/>
          <w:sz w:val="28"/>
          <w:szCs w:val="28"/>
          <w:u w:val="single"/>
        </w:rPr>
      </w:pPr>
    </w:p>
    <w:p>
      <w:pPr>
        <w:pStyle w:val="2"/>
        <w:rPr>
          <w:rFonts w:hint="eastAsia" w:ascii="仿宋" w:hAnsi="仿宋" w:eastAsia="仿宋"/>
          <w:b/>
          <w:sz w:val="28"/>
          <w:szCs w:val="28"/>
          <w:u w:val="single"/>
        </w:rPr>
      </w:pPr>
    </w:p>
    <w:p/>
    <w:p>
      <w:pPr>
        <w:pStyle w:val="2"/>
      </w:pPr>
    </w:p>
    <w:p>
      <w:pPr>
        <w:pStyle w:val="4"/>
      </w:pPr>
      <w:r>
        <w:rPr>
          <w:rFonts w:hint="eastAsia"/>
        </w:rPr>
        <w:t>一、“资格文件</w:t>
      </w:r>
      <w:r>
        <w:t>”</w:t>
      </w:r>
      <w:r>
        <w:rPr>
          <w:rFonts w:hint="eastAsia"/>
        </w:rPr>
        <w:t>格式</w:t>
      </w:r>
      <w:bookmarkEnd w:id="28"/>
      <w:bookmarkEnd w:id="29"/>
    </w:p>
    <w:p>
      <w:pPr>
        <w:pStyle w:val="5"/>
      </w:pPr>
      <w:r>
        <w:rPr>
          <w:rFonts w:hint="eastAsia"/>
        </w:rPr>
        <w:t>1.1 “资格文件”封面</w:t>
      </w:r>
    </w:p>
    <w:p>
      <w:pPr>
        <w:spacing w:line="360" w:lineRule="auto"/>
        <w:jc w:val="right"/>
        <w:rPr>
          <w:rFonts w:ascii="Arial" w:hAnsi="Arial" w:eastAsia="新宋体" w:cs="Arial"/>
          <w:b/>
          <w:sz w:val="32"/>
          <w:szCs w:val="22"/>
        </w:rPr>
      </w:pPr>
    </w:p>
    <w:p>
      <w:pPr>
        <w:pStyle w:val="43"/>
        <w:rPr>
          <w:rFonts w:hint="eastAsia" w:eastAsia="华文中宋"/>
          <w:lang w:eastAsia="zh-CN"/>
        </w:rPr>
      </w:pPr>
      <w:r>
        <w:rPr>
          <w:rFonts w:hint="eastAsia" w:ascii="华文中宋" w:hAnsi="华文中宋" w:eastAsia="华文中宋" w:cs="Arial"/>
          <w:sz w:val="52"/>
          <w:szCs w:val="18"/>
          <w:lang w:eastAsia="zh-CN"/>
        </w:rPr>
        <w:t>2021年至2022年平阳县水利工程物业化管理采购项目</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41"/>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平阳县水利局</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2021年至2022年平阳县水利工程物业化管理采购项目</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41"/>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41"/>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平阳县水利局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2021年至2022年平阳县水利工程物业化管理采购项目</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3"/>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平阳县水利局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2021年至2022年平阳县水利工程物业化管理采购项目</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平阳县水利局</w:t>
      </w:r>
      <w:r>
        <w:rPr>
          <w:rFonts w:hint="eastAsia" w:ascii="仿宋" w:hAnsi="仿宋" w:eastAsia="仿宋" w:cs="Arial"/>
          <w:b/>
          <w:w w:val="90"/>
          <w:sz w:val="28"/>
          <w:szCs w:val="22"/>
          <w:u w:val="single"/>
        </w:rPr>
        <w:t>：</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2021年至2022年平阳县水利工程物业化管理采购项目</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
      <w:pPr>
        <w:pStyle w:val="5"/>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平阳县水利局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13"/>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lang w:eastAsia="zh-CN"/>
        </w:rPr>
        <w:t>平阳县水利局</w:t>
      </w:r>
      <w:r>
        <w:rPr>
          <w:rFonts w:hint="eastAsia" w:ascii="仿宋" w:hAnsi="仿宋" w:eastAsia="仿宋" w:cs="Arial"/>
          <w:b/>
          <w:w w:val="90"/>
          <w:sz w:val="28"/>
          <w:szCs w:val="22"/>
          <w:u w:val="single"/>
        </w:rPr>
        <w:t>：</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2021年至2022年平阳县水利工程物业化管理采购项目</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2"/>
      </w:pPr>
    </w:p>
    <w:p/>
    <w:p>
      <w:pPr>
        <w:pStyle w:val="2"/>
      </w:pPr>
    </w:p>
    <w:p>
      <w:pPr>
        <w:pStyle w:val="4"/>
      </w:pP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2021年至2022年平阳县水利工程物业化管理采购项目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41"/>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Layout w:type="fixed"/>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pPr>
        <w:pStyle w:val="16"/>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6"/>
        <w:adjustRightInd w:val="0"/>
        <w:snapToGrid w:val="0"/>
        <w:spacing w:line="400" w:lineRule="exact"/>
        <w:jc w:val="center"/>
        <w:rPr>
          <w:rFonts w:hAnsi="宋体"/>
          <w:color w:val="000000"/>
          <w:sz w:val="36"/>
          <w:szCs w:val="36"/>
        </w:rPr>
      </w:pPr>
      <w:r>
        <w:rPr>
          <w:rFonts w:hint="eastAsia" w:hAnsi="宋体"/>
          <w:color w:val="000000"/>
          <w:sz w:val="36"/>
          <w:szCs w:val="36"/>
        </w:rPr>
        <w:t>开标一览表</w:t>
      </w:r>
    </w:p>
    <w:p>
      <w:pPr>
        <w:pStyle w:val="16"/>
        <w:adjustRightInd w:val="0"/>
        <w:snapToGrid w:val="0"/>
        <w:spacing w:line="400" w:lineRule="exact"/>
        <w:rPr>
          <w:rFonts w:hAnsi="宋体"/>
          <w:color w:val="000000"/>
          <w:sz w:val="36"/>
          <w:szCs w:val="36"/>
        </w:rPr>
      </w:pPr>
    </w:p>
    <w:p>
      <w:pPr>
        <w:pStyle w:val="16"/>
        <w:adjustRightInd w:val="0"/>
        <w:snapToGrid w:val="0"/>
        <w:spacing w:line="400" w:lineRule="exact"/>
        <w:rPr>
          <w:rFonts w:hAnsi="宋体"/>
          <w:color w:val="000000"/>
          <w:sz w:val="36"/>
          <w:szCs w:val="36"/>
        </w:rPr>
      </w:pPr>
    </w:p>
    <w:p>
      <w:pPr>
        <w:pStyle w:val="16"/>
        <w:adjustRightInd w:val="0"/>
        <w:snapToGrid w:val="0"/>
        <w:spacing w:line="400" w:lineRule="exact"/>
        <w:rPr>
          <w:rFonts w:hAnsi="宋体"/>
          <w:color w:val="000000"/>
          <w:sz w:val="22"/>
          <w:szCs w:val="22"/>
        </w:rPr>
      </w:pPr>
      <w:r>
        <w:rPr>
          <w:rFonts w:hint="eastAsia" w:hAnsi="宋体"/>
          <w:color w:val="000000"/>
          <w:sz w:val="22"/>
          <w:szCs w:val="22"/>
        </w:rPr>
        <w:t>供应商名称：</w:t>
      </w:r>
      <w:r>
        <w:rPr>
          <w:rFonts w:hAnsi="宋体"/>
          <w:color w:val="000000"/>
          <w:sz w:val="22"/>
          <w:szCs w:val="22"/>
        </w:rPr>
        <w:t xml:space="preserve">                  </w:t>
      </w:r>
      <w:r>
        <w:rPr>
          <w:rFonts w:hint="eastAsia" w:hAnsi="宋体"/>
          <w:color w:val="000000"/>
          <w:sz w:val="22"/>
          <w:szCs w:val="22"/>
        </w:rPr>
        <w:t>招标编号：</w:t>
      </w:r>
      <w:r>
        <w:rPr>
          <w:rFonts w:hAnsi="宋体"/>
          <w:color w:val="000000"/>
          <w:sz w:val="22"/>
          <w:szCs w:val="22"/>
        </w:rPr>
        <w:t xml:space="preserve">          </w:t>
      </w:r>
    </w:p>
    <w:tbl>
      <w:tblPr>
        <w:tblStyle w:val="41"/>
        <w:tblpPr w:leftFromText="180" w:rightFromText="180" w:vertAnchor="page" w:horzAnchor="margin" w:tblpY="3781"/>
        <w:tblW w:w="9503" w:type="dxa"/>
        <w:tblInd w:w="0" w:type="dxa"/>
        <w:tblLayout w:type="fixed"/>
        <w:tblCellMar>
          <w:top w:w="0" w:type="dxa"/>
          <w:left w:w="108" w:type="dxa"/>
          <w:bottom w:w="0" w:type="dxa"/>
          <w:right w:w="108" w:type="dxa"/>
        </w:tblCellMar>
      </w:tblPr>
      <w:tblGrid>
        <w:gridCol w:w="4077"/>
        <w:gridCol w:w="3435"/>
        <w:gridCol w:w="1991"/>
      </w:tblGrid>
      <w:tr>
        <w:tblPrEx>
          <w:tblLayout w:type="fixed"/>
          <w:tblCellMar>
            <w:top w:w="0" w:type="dxa"/>
            <w:left w:w="108" w:type="dxa"/>
            <w:bottom w:w="0" w:type="dxa"/>
            <w:right w:w="108" w:type="dxa"/>
          </w:tblCellMar>
        </w:tblPrEx>
        <w:trPr>
          <w:trHeight w:val="111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项目名称</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color w:val="000000"/>
                <w:sz w:val="22"/>
                <w:szCs w:val="22"/>
              </w:rPr>
            </w:pPr>
            <w:r>
              <w:rPr>
                <w:rFonts w:hint="eastAsia"/>
                <w:b/>
                <w:color w:val="000000"/>
                <w:sz w:val="22"/>
                <w:szCs w:val="22"/>
              </w:rPr>
              <w:t>投标报价（元）</w:t>
            </w: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备注</w:t>
            </w:r>
          </w:p>
        </w:tc>
      </w:tr>
      <w:tr>
        <w:tblPrEx>
          <w:tblLayout w:type="fixed"/>
          <w:tblCellMar>
            <w:top w:w="0" w:type="dxa"/>
            <w:left w:w="108" w:type="dxa"/>
            <w:bottom w:w="0" w:type="dxa"/>
            <w:right w:w="108" w:type="dxa"/>
          </w:tblCellMar>
        </w:tblPrEx>
        <w:trPr>
          <w:cantSplit/>
          <w:trHeight w:val="186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sz w:val="22"/>
                <w:szCs w:val="22"/>
                <w:lang w:eastAsia="zh-CN"/>
              </w:rPr>
            </w:pPr>
            <w:r>
              <w:rPr>
                <w:rFonts w:hint="eastAsia"/>
                <w:color w:val="000000"/>
                <w:sz w:val="22"/>
                <w:szCs w:val="22"/>
                <w:lang w:eastAsia="zh-CN"/>
              </w:rPr>
              <w:t>2021年至2022年平阳县水利工程物业化管理采购项目</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大写：</w:t>
            </w:r>
          </w:p>
          <w:p>
            <w:pPr>
              <w:jc w:val="center"/>
              <w:rPr>
                <w:color w:val="000000"/>
                <w:sz w:val="22"/>
                <w:szCs w:val="22"/>
                <w:u w:val="single"/>
              </w:rPr>
            </w:pPr>
            <w:r>
              <w:rPr>
                <w:rFonts w:hint="eastAsia"/>
                <w:b/>
                <w:color w:val="000000"/>
                <w:sz w:val="22"/>
                <w:szCs w:val="22"/>
              </w:rPr>
              <w:t>小写：</w:t>
            </w: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 xml:space="preserve"> </w:t>
            </w:r>
          </w:p>
        </w:tc>
      </w:tr>
    </w:tbl>
    <w:p>
      <w:pPr>
        <w:widowControl/>
        <w:snapToGrid w:val="0"/>
        <w:spacing w:line="460" w:lineRule="atLeast"/>
        <w:jc w:val="left"/>
        <w:rPr>
          <w:color w:val="000000"/>
          <w:sz w:val="22"/>
        </w:rPr>
      </w:pPr>
      <w:r>
        <w:rPr>
          <w:color w:val="000000"/>
          <w:sz w:val="22"/>
        </w:rPr>
        <w:t>▲</w:t>
      </w:r>
      <w:r>
        <w:rPr>
          <w:rFonts w:hint="eastAsia"/>
          <w:color w:val="000000"/>
          <w:sz w:val="22"/>
          <w:szCs w:val="22"/>
        </w:rPr>
        <w:t>投标报价是指投标供应商在承包区域内提供管理服务所需的人工费、设施维修费、福利、劳保用品、工作服装、保洁工具费及其维修、迎检加班和突发处置费用等作业成本以及适当的管理费用、利润、风险（有关工伤人身意外保险、第三者责任险、处理一切伤亡事故等费用）、招标代理服务费等其他一切费用。</w:t>
      </w:r>
    </w:p>
    <w:p>
      <w:pPr>
        <w:autoSpaceDE w:val="0"/>
        <w:autoSpaceDN w:val="0"/>
        <w:adjustRightInd w:val="0"/>
        <w:spacing w:line="440" w:lineRule="atLeast"/>
        <w:rPr>
          <w:rFonts w:cs="仿宋_GB2312"/>
          <w:color w:val="000000"/>
          <w:sz w:val="22"/>
          <w:szCs w:val="22"/>
          <w:lang w:val="zh-CN"/>
        </w:rPr>
      </w:pPr>
      <w:r>
        <w:rPr>
          <w:rFonts w:hint="eastAsia"/>
          <w:color w:val="000000"/>
          <w:sz w:val="22"/>
          <w:szCs w:val="22"/>
        </w:rPr>
        <w:t>▲不提供此表格的将视为没有实质性响应招标文件。</w:t>
      </w:r>
    </w:p>
    <w:p>
      <w:pPr>
        <w:autoSpaceDE w:val="0"/>
        <w:autoSpaceDN w:val="0"/>
        <w:adjustRightInd w:val="0"/>
        <w:spacing w:line="440" w:lineRule="atLeast"/>
        <w:rPr>
          <w:rFonts w:cs="仿宋_GB2312"/>
          <w:color w:val="000000"/>
          <w:sz w:val="22"/>
          <w:szCs w:val="22"/>
          <w:lang w:val="zh-CN"/>
        </w:rPr>
      </w:pP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法定代表人或授权代表（签字或签章）：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日期：</w:t>
      </w: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sectPr>
          <w:pgSz w:w="11906" w:h="16838"/>
          <w:pgMar w:top="1440" w:right="1080" w:bottom="1440" w:left="1080" w:header="851" w:footer="992" w:gutter="0"/>
          <w:cols w:space="720" w:num="1"/>
          <w:docGrid w:linePitch="312" w:charSpace="0"/>
        </w:sectPr>
      </w:pPr>
    </w:p>
    <w:p>
      <w:pPr>
        <w:pStyle w:val="16"/>
        <w:adjustRightInd w:val="0"/>
        <w:snapToGrid w:val="0"/>
        <w:spacing w:line="460" w:lineRule="atLeast"/>
        <w:rPr>
          <w:rFonts w:hAnsi="宋体"/>
          <w:sz w:val="36"/>
          <w:szCs w:val="36"/>
        </w:rPr>
      </w:pPr>
      <w:r>
        <w:rPr>
          <w:rFonts w:hint="eastAsia" w:hAnsi="宋体"/>
          <w:sz w:val="36"/>
          <w:szCs w:val="36"/>
        </w:rPr>
        <w:t>2.3报价分析明细表</w:t>
      </w:r>
    </w:p>
    <w:p>
      <w:pPr>
        <w:pStyle w:val="16"/>
        <w:spacing w:line="460" w:lineRule="atLeast"/>
        <w:jc w:val="center"/>
        <w:rPr>
          <w:rFonts w:cs="仿宋_GB2312"/>
          <w:b/>
          <w:bCs/>
          <w:sz w:val="36"/>
          <w:szCs w:val="36"/>
          <w:lang w:val="zh-CN"/>
        </w:rPr>
      </w:pPr>
      <w:r>
        <w:rPr>
          <w:rFonts w:hint="eastAsia" w:cs="仿宋_GB2312"/>
          <w:b/>
          <w:bCs/>
          <w:sz w:val="36"/>
          <w:szCs w:val="36"/>
          <w:lang w:val="zh-CN"/>
        </w:rPr>
        <w:t>报价</w:t>
      </w:r>
      <w:r>
        <w:rPr>
          <w:rFonts w:hint="eastAsia" w:cs="仿宋_GB2312"/>
          <w:b/>
          <w:bCs/>
          <w:sz w:val="36"/>
          <w:szCs w:val="36"/>
        </w:rPr>
        <w:t>分项</w:t>
      </w:r>
      <w:r>
        <w:rPr>
          <w:rFonts w:hint="eastAsia" w:cs="仿宋_GB2312"/>
          <w:b/>
          <w:bCs/>
          <w:sz w:val="36"/>
          <w:szCs w:val="36"/>
          <w:lang w:val="zh-CN"/>
        </w:rPr>
        <w:t>明细表</w:t>
      </w:r>
    </w:p>
    <w:p>
      <w:pPr>
        <w:rPr>
          <w:rFonts w:hint="eastAsia"/>
          <w:b/>
          <w:color w:val="000000"/>
          <w:sz w:val="22"/>
          <w:szCs w:val="22"/>
        </w:rPr>
      </w:pPr>
      <w:r>
        <w:rPr>
          <w:rFonts w:hint="eastAsia"/>
          <w:b/>
          <w:color w:val="000000"/>
          <w:sz w:val="22"/>
          <w:szCs w:val="22"/>
        </w:rPr>
        <w:t>项目名称：                            项目编号：           【价格单位：元】</w:t>
      </w:r>
    </w:p>
    <w:tbl>
      <w:tblPr>
        <w:tblStyle w:val="41"/>
        <w:tblW w:w="905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103"/>
        <w:gridCol w:w="660"/>
        <w:gridCol w:w="1216"/>
        <w:gridCol w:w="1719"/>
        <w:gridCol w:w="1890"/>
        <w:gridCol w:w="1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trPr>
        <w:tc>
          <w:tcPr>
            <w:tcW w:w="552" w:type="dxa"/>
            <w:vAlign w:val="center"/>
          </w:tcPr>
          <w:p>
            <w:pPr>
              <w:jc w:val="center"/>
              <w:rPr>
                <w:rFonts w:hint="eastAsia"/>
                <w:b/>
                <w:color w:val="000000"/>
                <w:sz w:val="22"/>
                <w:szCs w:val="22"/>
              </w:rPr>
            </w:pPr>
            <w:r>
              <w:rPr>
                <w:rFonts w:hint="eastAsia"/>
                <w:b/>
                <w:color w:val="000000"/>
                <w:sz w:val="22"/>
                <w:szCs w:val="22"/>
              </w:rPr>
              <w:t>序号</w:t>
            </w:r>
          </w:p>
        </w:tc>
        <w:tc>
          <w:tcPr>
            <w:tcW w:w="2979" w:type="dxa"/>
            <w:gridSpan w:val="3"/>
            <w:vAlign w:val="center"/>
          </w:tcPr>
          <w:p>
            <w:pPr>
              <w:jc w:val="center"/>
              <w:rPr>
                <w:b/>
                <w:color w:val="000000"/>
                <w:sz w:val="22"/>
                <w:szCs w:val="22"/>
              </w:rPr>
            </w:pPr>
            <w:r>
              <w:rPr>
                <w:rFonts w:hint="eastAsia"/>
                <w:b/>
                <w:color w:val="000000"/>
                <w:sz w:val="22"/>
                <w:szCs w:val="22"/>
              </w:rPr>
              <w:t>项</w:t>
            </w:r>
            <w:r>
              <w:rPr>
                <w:b/>
                <w:color w:val="000000"/>
                <w:sz w:val="22"/>
                <w:szCs w:val="22"/>
              </w:rPr>
              <w:t xml:space="preserve">     </w:t>
            </w:r>
            <w:r>
              <w:rPr>
                <w:rFonts w:hint="eastAsia"/>
                <w:b/>
                <w:color w:val="000000"/>
                <w:sz w:val="22"/>
                <w:szCs w:val="22"/>
              </w:rPr>
              <w:t>目</w:t>
            </w:r>
          </w:p>
        </w:tc>
        <w:tc>
          <w:tcPr>
            <w:tcW w:w="1719" w:type="dxa"/>
            <w:vAlign w:val="center"/>
          </w:tcPr>
          <w:p>
            <w:pPr>
              <w:jc w:val="center"/>
              <w:rPr>
                <w:b/>
                <w:color w:val="000000"/>
                <w:sz w:val="22"/>
                <w:szCs w:val="22"/>
              </w:rPr>
            </w:pPr>
            <w:r>
              <w:rPr>
                <w:rFonts w:hint="eastAsia"/>
                <w:b/>
                <w:color w:val="000000"/>
                <w:sz w:val="22"/>
                <w:szCs w:val="22"/>
              </w:rPr>
              <w:t>月支出</w:t>
            </w:r>
          </w:p>
        </w:tc>
        <w:tc>
          <w:tcPr>
            <w:tcW w:w="1890" w:type="dxa"/>
            <w:vAlign w:val="center"/>
          </w:tcPr>
          <w:p>
            <w:pPr>
              <w:jc w:val="center"/>
              <w:rPr>
                <w:b/>
                <w:color w:val="000000"/>
                <w:sz w:val="22"/>
                <w:szCs w:val="22"/>
              </w:rPr>
            </w:pPr>
            <w:r>
              <w:rPr>
                <w:rFonts w:hint="eastAsia"/>
                <w:b/>
                <w:color w:val="000000"/>
                <w:sz w:val="22"/>
                <w:szCs w:val="22"/>
              </w:rPr>
              <w:t>小计支出</w:t>
            </w:r>
          </w:p>
        </w:tc>
        <w:tc>
          <w:tcPr>
            <w:tcW w:w="1911" w:type="dxa"/>
            <w:vAlign w:val="center"/>
          </w:tcPr>
          <w:p>
            <w:pPr>
              <w:jc w:val="center"/>
              <w:rPr>
                <w:b/>
                <w:color w:val="000000"/>
                <w:sz w:val="22"/>
                <w:szCs w:val="22"/>
              </w:rPr>
            </w:pPr>
            <w:r>
              <w:rPr>
                <w:rFonts w:hint="eastAsia"/>
                <w:b/>
                <w:color w:val="000000"/>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trPr>
        <w:tc>
          <w:tcPr>
            <w:tcW w:w="552" w:type="dxa"/>
            <w:vMerge w:val="restart"/>
            <w:vAlign w:val="center"/>
          </w:tcPr>
          <w:p>
            <w:pPr>
              <w:jc w:val="center"/>
              <w:rPr>
                <w:rFonts w:hint="eastAsia"/>
                <w:b/>
                <w:color w:val="000000"/>
                <w:sz w:val="22"/>
                <w:szCs w:val="22"/>
              </w:rPr>
            </w:pPr>
            <w:r>
              <w:rPr>
                <w:rFonts w:hint="eastAsia"/>
                <w:b/>
                <w:color w:val="000000"/>
                <w:sz w:val="22"/>
                <w:szCs w:val="22"/>
              </w:rPr>
              <w:t>一</w:t>
            </w:r>
          </w:p>
        </w:tc>
        <w:tc>
          <w:tcPr>
            <w:tcW w:w="1103" w:type="dxa"/>
            <w:vMerge w:val="restart"/>
            <w:vAlign w:val="center"/>
          </w:tcPr>
          <w:p>
            <w:pPr>
              <w:jc w:val="center"/>
              <w:rPr>
                <w:b/>
                <w:color w:val="000000"/>
                <w:sz w:val="22"/>
                <w:szCs w:val="22"/>
              </w:rPr>
            </w:pPr>
            <w:r>
              <w:rPr>
                <w:rFonts w:hint="eastAsia"/>
                <w:b/>
                <w:color w:val="000000"/>
                <w:sz w:val="22"/>
                <w:szCs w:val="22"/>
              </w:rPr>
              <w:t>人员费用</w:t>
            </w:r>
          </w:p>
        </w:tc>
        <w:tc>
          <w:tcPr>
            <w:tcW w:w="1876" w:type="dxa"/>
            <w:gridSpan w:val="2"/>
            <w:vAlign w:val="center"/>
          </w:tcPr>
          <w:p>
            <w:pPr>
              <w:jc w:val="center"/>
              <w:rPr>
                <w:b/>
                <w:color w:val="000000"/>
                <w:sz w:val="22"/>
                <w:szCs w:val="22"/>
              </w:rPr>
            </w:pPr>
            <w:r>
              <w:rPr>
                <w:rFonts w:hint="eastAsia"/>
                <w:b/>
                <w:color w:val="000000"/>
                <w:sz w:val="22"/>
                <w:szCs w:val="22"/>
              </w:rPr>
              <w:t>项目负责人</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rFonts w:hint="eastAsia"/>
                <w:b/>
                <w:color w:val="000000"/>
                <w:sz w:val="22"/>
                <w:szCs w:val="22"/>
              </w:rPr>
            </w:pPr>
            <w:r>
              <w:rPr>
                <w:rFonts w:hint="eastAsia"/>
                <w:b/>
                <w:color w:val="000000"/>
                <w:sz w:val="22"/>
                <w:szCs w:val="22"/>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552" w:type="dxa"/>
            <w:vMerge w:val="continue"/>
            <w:vAlign w:val="center"/>
          </w:tcPr>
          <w:p>
            <w:pPr>
              <w:jc w:val="center"/>
              <w:rPr>
                <w:b/>
                <w:color w:val="000000"/>
                <w:sz w:val="22"/>
                <w:szCs w:val="22"/>
              </w:rPr>
            </w:pPr>
          </w:p>
        </w:tc>
        <w:tc>
          <w:tcPr>
            <w:tcW w:w="1103" w:type="dxa"/>
            <w:vMerge w:val="continue"/>
            <w:vAlign w:val="center"/>
          </w:tcPr>
          <w:p>
            <w:pPr>
              <w:jc w:val="center"/>
              <w:rPr>
                <w:b/>
                <w:color w:val="000000"/>
                <w:sz w:val="22"/>
                <w:szCs w:val="22"/>
              </w:rPr>
            </w:pPr>
          </w:p>
        </w:tc>
        <w:tc>
          <w:tcPr>
            <w:tcW w:w="1876" w:type="dxa"/>
            <w:gridSpan w:val="2"/>
            <w:vAlign w:val="center"/>
          </w:tcPr>
          <w:p>
            <w:pPr>
              <w:jc w:val="center"/>
              <w:rPr>
                <w:rFonts w:hint="eastAsia"/>
                <w:b/>
                <w:color w:val="000000"/>
                <w:sz w:val="22"/>
                <w:szCs w:val="22"/>
              </w:rPr>
            </w:pPr>
            <w:r>
              <w:rPr>
                <w:rFonts w:hint="eastAsia"/>
                <w:b/>
                <w:color w:val="000000"/>
                <w:sz w:val="22"/>
                <w:szCs w:val="22"/>
              </w:rPr>
              <w:t>技术负责人</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rFonts w:hint="eastAsia"/>
                <w:b/>
                <w:color w:val="000000"/>
                <w:sz w:val="22"/>
                <w:szCs w:val="22"/>
              </w:rPr>
            </w:pPr>
            <w:r>
              <w:rPr>
                <w:rFonts w:hint="eastAsia"/>
                <w:b/>
                <w:color w:val="000000"/>
                <w:sz w:val="22"/>
                <w:szCs w:val="22"/>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552" w:type="dxa"/>
            <w:vMerge w:val="continue"/>
            <w:vAlign w:val="center"/>
          </w:tcPr>
          <w:p>
            <w:pPr>
              <w:jc w:val="center"/>
              <w:rPr>
                <w:b/>
                <w:color w:val="000000"/>
                <w:sz w:val="22"/>
                <w:szCs w:val="22"/>
              </w:rPr>
            </w:pPr>
          </w:p>
        </w:tc>
        <w:tc>
          <w:tcPr>
            <w:tcW w:w="1103" w:type="dxa"/>
            <w:vMerge w:val="continue"/>
            <w:vAlign w:val="center"/>
          </w:tcPr>
          <w:p>
            <w:pPr>
              <w:jc w:val="center"/>
              <w:rPr>
                <w:b/>
                <w:color w:val="000000"/>
                <w:sz w:val="22"/>
                <w:szCs w:val="22"/>
              </w:rPr>
            </w:pPr>
          </w:p>
        </w:tc>
        <w:tc>
          <w:tcPr>
            <w:tcW w:w="1876" w:type="dxa"/>
            <w:gridSpan w:val="2"/>
            <w:vAlign w:val="center"/>
          </w:tcPr>
          <w:p>
            <w:pPr>
              <w:jc w:val="center"/>
              <w:rPr>
                <w:rFonts w:hint="eastAsia"/>
                <w:b/>
                <w:color w:val="000000"/>
                <w:sz w:val="22"/>
                <w:szCs w:val="22"/>
              </w:rPr>
            </w:pPr>
            <w:r>
              <w:rPr>
                <w:rFonts w:hint="eastAsia"/>
                <w:b/>
                <w:color w:val="000000"/>
                <w:sz w:val="22"/>
                <w:szCs w:val="22"/>
              </w:rPr>
              <w:t>维修养护负责人</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rFonts w:hint="eastAsia"/>
                <w:b/>
                <w:color w:val="000000"/>
                <w:sz w:val="22"/>
                <w:szCs w:val="22"/>
              </w:rPr>
            </w:pPr>
            <w:r>
              <w:rPr>
                <w:rFonts w:hint="eastAsia"/>
                <w:b/>
                <w:color w:val="000000"/>
                <w:sz w:val="22"/>
                <w:szCs w:val="22"/>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552" w:type="dxa"/>
            <w:vMerge w:val="continue"/>
            <w:vAlign w:val="center"/>
          </w:tcPr>
          <w:p>
            <w:pPr>
              <w:jc w:val="center"/>
              <w:rPr>
                <w:b/>
                <w:color w:val="000000"/>
                <w:sz w:val="22"/>
                <w:szCs w:val="22"/>
              </w:rPr>
            </w:pPr>
          </w:p>
        </w:tc>
        <w:tc>
          <w:tcPr>
            <w:tcW w:w="1103" w:type="dxa"/>
            <w:vMerge w:val="continue"/>
            <w:vAlign w:val="center"/>
          </w:tcPr>
          <w:p>
            <w:pPr>
              <w:jc w:val="center"/>
              <w:rPr>
                <w:b/>
                <w:color w:val="000000"/>
                <w:sz w:val="22"/>
                <w:szCs w:val="22"/>
              </w:rPr>
            </w:pPr>
          </w:p>
        </w:tc>
        <w:tc>
          <w:tcPr>
            <w:tcW w:w="1876" w:type="dxa"/>
            <w:gridSpan w:val="2"/>
            <w:vAlign w:val="center"/>
          </w:tcPr>
          <w:p>
            <w:pPr>
              <w:jc w:val="center"/>
              <w:rPr>
                <w:rFonts w:hint="eastAsia"/>
                <w:b/>
                <w:color w:val="000000"/>
                <w:sz w:val="22"/>
                <w:szCs w:val="22"/>
              </w:rPr>
            </w:pPr>
            <w:r>
              <w:rPr>
                <w:rFonts w:hint="eastAsia"/>
                <w:b/>
                <w:color w:val="000000"/>
                <w:sz w:val="22"/>
                <w:szCs w:val="22"/>
              </w:rPr>
              <w:t>信息化管理负责人</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rFonts w:hint="eastAsia"/>
                <w:b/>
                <w:color w:val="000000"/>
                <w:sz w:val="22"/>
                <w:szCs w:val="22"/>
              </w:rPr>
            </w:pPr>
            <w:r>
              <w:rPr>
                <w:rFonts w:hint="eastAsia"/>
                <w:b/>
                <w:color w:val="000000"/>
                <w:sz w:val="22"/>
                <w:szCs w:val="22"/>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552" w:type="dxa"/>
            <w:vMerge w:val="continue"/>
            <w:vAlign w:val="center"/>
          </w:tcPr>
          <w:p>
            <w:pPr>
              <w:jc w:val="center"/>
              <w:rPr>
                <w:b/>
                <w:color w:val="000000"/>
                <w:sz w:val="22"/>
                <w:szCs w:val="22"/>
              </w:rPr>
            </w:pPr>
          </w:p>
        </w:tc>
        <w:tc>
          <w:tcPr>
            <w:tcW w:w="1103" w:type="dxa"/>
            <w:vMerge w:val="continue"/>
            <w:vAlign w:val="center"/>
          </w:tcPr>
          <w:p>
            <w:pPr>
              <w:jc w:val="center"/>
              <w:rPr>
                <w:b/>
                <w:color w:val="000000"/>
                <w:sz w:val="22"/>
                <w:szCs w:val="22"/>
              </w:rPr>
            </w:pPr>
          </w:p>
        </w:tc>
        <w:tc>
          <w:tcPr>
            <w:tcW w:w="1876" w:type="dxa"/>
            <w:gridSpan w:val="2"/>
            <w:vAlign w:val="center"/>
          </w:tcPr>
          <w:p>
            <w:pPr>
              <w:jc w:val="center"/>
              <w:rPr>
                <w:rFonts w:hint="eastAsia"/>
                <w:b/>
                <w:color w:val="000000"/>
                <w:sz w:val="22"/>
                <w:szCs w:val="22"/>
              </w:rPr>
            </w:pPr>
            <w:r>
              <w:rPr>
                <w:rFonts w:hint="eastAsia"/>
                <w:b/>
                <w:color w:val="000000"/>
                <w:sz w:val="22"/>
                <w:szCs w:val="22"/>
              </w:rPr>
              <w:t>工程安全管理负责人</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rFonts w:hint="eastAsia"/>
                <w:b/>
                <w:color w:val="000000"/>
                <w:sz w:val="22"/>
                <w:szCs w:val="22"/>
              </w:rPr>
            </w:pPr>
            <w:r>
              <w:rPr>
                <w:rFonts w:hint="eastAsia"/>
                <w:b/>
                <w:color w:val="000000"/>
                <w:sz w:val="22"/>
                <w:szCs w:val="22"/>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552" w:type="dxa"/>
            <w:vMerge w:val="continue"/>
            <w:vAlign w:val="center"/>
          </w:tcPr>
          <w:p>
            <w:pPr>
              <w:jc w:val="center"/>
              <w:rPr>
                <w:b/>
                <w:color w:val="000000"/>
                <w:sz w:val="22"/>
                <w:szCs w:val="22"/>
              </w:rPr>
            </w:pPr>
          </w:p>
        </w:tc>
        <w:tc>
          <w:tcPr>
            <w:tcW w:w="1103" w:type="dxa"/>
            <w:vMerge w:val="continue"/>
            <w:vAlign w:val="center"/>
          </w:tcPr>
          <w:p>
            <w:pPr>
              <w:jc w:val="center"/>
              <w:rPr>
                <w:b/>
                <w:color w:val="000000"/>
                <w:sz w:val="22"/>
                <w:szCs w:val="22"/>
              </w:rPr>
            </w:pPr>
          </w:p>
        </w:tc>
        <w:tc>
          <w:tcPr>
            <w:tcW w:w="660" w:type="dxa"/>
            <w:vAlign w:val="center"/>
          </w:tcPr>
          <w:p>
            <w:pPr>
              <w:jc w:val="center"/>
              <w:rPr>
                <w:rFonts w:hint="eastAsia"/>
                <w:b/>
                <w:color w:val="000000"/>
                <w:sz w:val="22"/>
                <w:szCs w:val="22"/>
              </w:rPr>
            </w:pPr>
            <w:r>
              <w:rPr>
                <w:rFonts w:hint="eastAsia"/>
                <w:b/>
                <w:color w:val="000000"/>
                <w:sz w:val="22"/>
                <w:szCs w:val="22"/>
              </w:rPr>
              <w:t>专业人员</w:t>
            </w:r>
          </w:p>
        </w:tc>
        <w:tc>
          <w:tcPr>
            <w:tcW w:w="1216" w:type="dxa"/>
            <w:vAlign w:val="center"/>
          </w:tcPr>
          <w:p>
            <w:pPr>
              <w:jc w:val="center"/>
              <w:rPr>
                <w:rFonts w:hint="eastAsia"/>
                <w:b/>
                <w:color w:val="000000"/>
                <w:sz w:val="22"/>
                <w:szCs w:val="22"/>
              </w:rPr>
            </w:pPr>
            <w:r>
              <w:rPr>
                <w:rFonts w:hint="eastAsia"/>
                <w:b/>
                <w:color w:val="000000"/>
                <w:sz w:val="22"/>
                <w:szCs w:val="22"/>
              </w:rPr>
              <w:t>管理人员</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rFonts w:hint="eastAsia"/>
                <w:b/>
                <w:color w:val="000000"/>
                <w:sz w:val="22"/>
                <w:szCs w:val="22"/>
              </w:rPr>
            </w:pPr>
            <w:r>
              <w:rPr>
                <w:rFonts w:hint="eastAsia"/>
                <w:b/>
                <w:color w:val="000000"/>
                <w:sz w:val="22"/>
                <w:szCs w:val="22"/>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552" w:type="dxa"/>
            <w:vMerge w:val="continue"/>
            <w:vAlign w:val="center"/>
          </w:tcPr>
          <w:p>
            <w:pPr>
              <w:jc w:val="center"/>
              <w:rPr>
                <w:b/>
                <w:color w:val="000000"/>
                <w:sz w:val="22"/>
                <w:szCs w:val="22"/>
              </w:rPr>
            </w:pPr>
          </w:p>
        </w:tc>
        <w:tc>
          <w:tcPr>
            <w:tcW w:w="1103" w:type="dxa"/>
            <w:vMerge w:val="continue"/>
            <w:vAlign w:val="center"/>
          </w:tcPr>
          <w:p>
            <w:pPr>
              <w:jc w:val="center"/>
              <w:rPr>
                <w:b/>
                <w:color w:val="000000"/>
                <w:sz w:val="22"/>
                <w:szCs w:val="22"/>
              </w:rPr>
            </w:pPr>
          </w:p>
        </w:tc>
        <w:tc>
          <w:tcPr>
            <w:tcW w:w="1876" w:type="dxa"/>
            <w:gridSpan w:val="2"/>
            <w:vAlign w:val="center"/>
          </w:tcPr>
          <w:p>
            <w:pPr>
              <w:jc w:val="center"/>
              <w:rPr>
                <w:rFonts w:hint="eastAsia"/>
                <w:b/>
                <w:color w:val="000000"/>
                <w:sz w:val="22"/>
                <w:szCs w:val="22"/>
              </w:rPr>
            </w:pPr>
            <w:r>
              <w:rPr>
                <w:rFonts w:hint="eastAsia"/>
                <w:b/>
                <w:color w:val="000000"/>
                <w:sz w:val="22"/>
                <w:szCs w:val="22"/>
              </w:rPr>
              <w:t>其他人员</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rFonts w:hint="eastAsia"/>
                <w:b/>
                <w:color w:val="000000"/>
                <w:sz w:val="22"/>
                <w:szCs w:val="22"/>
              </w:rPr>
            </w:pPr>
            <w:r>
              <w:rPr>
                <w:rFonts w:hint="eastAsia"/>
                <w:b/>
                <w:color w:val="000000"/>
                <w:sz w:val="22"/>
                <w:szCs w:val="22"/>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trPr>
        <w:tc>
          <w:tcPr>
            <w:tcW w:w="552" w:type="dxa"/>
            <w:vAlign w:val="center"/>
          </w:tcPr>
          <w:p>
            <w:pPr>
              <w:jc w:val="center"/>
              <w:rPr>
                <w:rFonts w:hint="eastAsia"/>
                <w:b/>
                <w:color w:val="000000"/>
                <w:sz w:val="22"/>
                <w:szCs w:val="22"/>
              </w:rPr>
            </w:pPr>
            <w:r>
              <w:rPr>
                <w:rFonts w:hint="eastAsia"/>
                <w:b/>
                <w:color w:val="000000"/>
                <w:sz w:val="22"/>
                <w:szCs w:val="22"/>
              </w:rPr>
              <w:t>二</w:t>
            </w:r>
          </w:p>
        </w:tc>
        <w:tc>
          <w:tcPr>
            <w:tcW w:w="1103" w:type="dxa"/>
            <w:vAlign w:val="center"/>
          </w:tcPr>
          <w:p>
            <w:pPr>
              <w:jc w:val="center"/>
              <w:rPr>
                <w:b/>
                <w:color w:val="000000"/>
                <w:sz w:val="22"/>
                <w:szCs w:val="22"/>
              </w:rPr>
            </w:pPr>
            <w:r>
              <w:rPr>
                <w:rFonts w:hint="eastAsia"/>
                <w:b/>
                <w:color w:val="000000"/>
                <w:sz w:val="22"/>
                <w:szCs w:val="22"/>
              </w:rPr>
              <w:t>观测</w:t>
            </w:r>
          </w:p>
        </w:tc>
        <w:tc>
          <w:tcPr>
            <w:tcW w:w="1876" w:type="dxa"/>
            <w:gridSpan w:val="2"/>
            <w:vAlign w:val="center"/>
          </w:tcPr>
          <w:p>
            <w:pPr>
              <w:jc w:val="center"/>
              <w:rPr>
                <w:rFonts w:hint="eastAsia"/>
                <w:b/>
                <w:color w:val="000000"/>
                <w:sz w:val="22"/>
                <w:szCs w:val="22"/>
              </w:rPr>
            </w:pPr>
            <w:r>
              <w:rPr>
                <w:rFonts w:hint="eastAsia"/>
                <w:b/>
                <w:color w:val="000000"/>
                <w:sz w:val="22"/>
                <w:szCs w:val="22"/>
              </w:rPr>
              <w:t>水库、水闸、</w:t>
            </w:r>
            <w:r>
              <w:rPr>
                <w:rFonts w:hint="eastAsia"/>
                <w:b/>
                <w:bCs/>
                <w:color w:val="000000"/>
                <w:sz w:val="22"/>
                <w:szCs w:val="22"/>
              </w:rPr>
              <w:t>海塘、山塘</w:t>
            </w:r>
          </w:p>
        </w:tc>
        <w:tc>
          <w:tcPr>
            <w:tcW w:w="1719" w:type="dxa"/>
            <w:vAlign w:val="top"/>
          </w:tcPr>
          <w:p>
            <w:pPr>
              <w:rPr>
                <w:b/>
                <w:color w:val="000000"/>
                <w:sz w:val="22"/>
                <w:szCs w:val="22"/>
              </w:rPr>
            </w:pPr>
          </w:p>
        </w:tc>
        <w:tc>
          <w:tcPr>
            <w:tcW w:w="1890" w:type="dxa"/>
            <w:vAlign w:val="top"/>
          </w:tcPr>
          <w:p>
            <w:pPr>
              <w:rPr>
                <w:b/>
                <w:color w:val="000000"/>
                <w:sz w:val="22"/>
                <w:szCs w:val="22"/>
              </w:rPr>
            </w:pPr>
          </w:p>
        </w:tc>
        <w:tc>
          <w:tcPr>
            <w:tcW w:w="1911" w:type="dxa"/>
            <w:vAlign w:val="center"/>
          </w:tcPr>
          <w:p>
            <w:pPr>
              <w:jc w:val="center"/>
              <w:rPr>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trPr>
        <w:tc>
          <w:tcPr>
            <w:tcW w:w="552" w:type="dxa"/>
            <w:vAlign w:val="center"/>
          </w:tcPr>
          <w:p>
            <w:pPr>
              <w:jc w:val="center"/>
              <w:rPr>
                <w:rFonts w:hint="eastAsia"/>
                <w:b/>
                <w:color w:val="000000"/>
                <w:sz w:val="22"/>
                <w:szCs w:val="22"/>
              </w:rPr>
            </w:pPr>
            <w:r>
              <w:rPr>
                <w:rFonts w:hint="eastAsia"/>
                <w:b/>
                <w:color w:val="000000"/>
                <w:sz w:val="22"/>
                <w:szCs w:val="22"/>
              </w:rPr>
              <w:t>三</w:t>
            </w:r>
          </w:p>
        </w:tc>
        <w:tc>
          <w:tcPr>
            <w:tcW w:w="1103" w:type="dxa"/>
            <w:vAlign w:val="center"/>
          </w:tcPr>
          <w:p>
            <w:pPr>
              <w:jc w:val="center"/>
              <w:rPr>
                <w:b/>
                <w:color w:val="000000"/>
                <w:sz w:val="22"/>
                <w:szCs w:val="22"/>
              </w:rPr>
            </w:pPr>
            <w:r>
              <w:rPr>
                <w:rFonts w:hint="eastAsia"/>
                <w:b/>
                <w:color w:val="000000"/>
                <w:sz w:val="22"/>
                <w:szCs w:val="22"/>
              </w:rPr>
              <w:t>办公费用</w:t>
            </w:r>
          </w:p>
        </w:tc>
        <w:tc>
          <w:tcPr>
            <w:tcW w:w="1876" w:type="dxa"/>
            <w:gridSpan w:val="2"/>
            <w:vAlign w:val="center"/>
          </w:tcPr>
          <w:p>
            <w:pPr>
              <w:jc w:val="center"/>
              <w:rPr>
                <w:rFonts w:hint="eastAsia"/>
                <w:b/>
                <w:color w:val="000000"/>
                <w:sz w:val="22"/>
                <w:szCs w:val="22"/>
              </w:rPr>
            </w:pPr>
            <w:r>
              <w:rPr>
                <w:rFonts w:hint="eastAsia"/>
                <w:b/>
                <w:color w:val="000000"/>
                <w:sz w:val="22"/>
                <w:szCs w:val="22"/>
              </w:rPr>
              <w:t>业务开支</w:t>
            </w:r>
          </w:p>
        </w:tc>
        <w:tc>
          <w:tcPr>
            <w:tcW w:w="1719" w:type="dxa"/>
            <w:vAlign w:val="center"/>
          </w:tcPr>
          <w:p>
            <w:pPr>
              <w:jc w:val="center"/>
              <w:rPr>
                <w:b/>
                <w:color w:val="000000"/>
                <w:sz w:val="22"/>
                <w:szCs w:val="22"/>
              </w:rPr>
            </w:pPr>
          </w:p>
        </w:tc>
        <w:tc>
          <w:tcPr>
            <w:tcW w:w="1890" w:type="dxa"/>
            <w:vAlign w:val="center"/>
          </w:tcPr>
          <w:p>
            <w:pPr>
              <w:jc w:val="center"/>
              <w:rPr>
                <w:b/>
                <w:color w:val="000000"/>
                <w:sz w:val="22"/>
                <w:szCs w:val="22"/>
              </w:rPr>
            </w:pPr>
          </w:p>
        </w:tc>
        <w:tc>
          <w:tcPr>
            <w:tcW w:w="1911" w:type="dxa"/>
            <w:vAlign w:val="center"/>
          </w:tcPr>
          <w:p>
            <w:pPr>
              <w:jc w:val="center"/>
              <w:rPr>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trPr>
        <w:tc>
          <w:tcPr>
            <w:tcW w:w="552" w:type="dxa"/>
            <w:vAlign w:val="center"/>
          </w:tcPr>
          <w:p>
            <w:pPr>
              <w:jc w:val="center"/>
              <w:rPr>
                <w:rFonts w:hint="eastAsia"/>
                <w:b/>
                <w:color w:val="000000"/>
                <w:sz w:val="22"/>
                <w:szCs w:val="22"/>
              </w:rPr>
            </w:pPr>
            <w:r>
              <w:rPr>
                <w:rFonts w:hint="eastAsia"/>
                <w:b/>
                <w:color w:val="000000"/>
                <w:sz w:val="22"/>
                <w:szCs w:val="22"/>
              </w:rPr>
              <w:t>四</w:t>
            </w:r>
          </w:p>
        </w:tc>
        <w:tc>
          <w:tcPr>
            <w:tcW w:w="1103" w:type="dxa"/>
            <w:vAlign w:val="center"/>
          </w:tcPr>
          <w:p>
            <w:pPr>
              <w:jc w:val="center"/>
              <w:rPr>
                <w:rFonts w:hint="eastAsia"/>
                <w:b/>
                <w:color w:val="000000"/>
                <w:sz w:val="22"/>
                <w:szCs w:val="22"/>
              </w:rPr>
            </w:pPr>
            <w:r>
              <w:rPr>
                <w:rFonts w:hint="eastAsia"/>
                <w:b/>
                <w:color w:val="000000"/>
                <w:sz w:val="22"/>
                <w:szCs w:val="22"/>
              </w:rPr>
              <w:t>维修养护</w:t>
            </w:r>
          </w:p>
        </w:tc>
        <w:tc>
          <w:tcPr>
            <w:tcW w:w="5485" w:type="dxa"/>
            <w:gridSpan w:val="4"/>
            <w:vAlign w:val="center"/>
          </w:tcPr>
          <w:p>
            <w:pPr>
              <w:rPr>
                <w:rFonts w:hint="eastAsia"/>
                <w:b/>
                <w:color w:val="000000"/>
                <w:sz w:val="22"/>
                <w:szCs w:val="22"/>
              </w:rPr>
            </w:pPr>
            <w:r>
              <w:rPr>
                <w:rFonts w:hint="eastAsia"/>
                <w:b/>
                <w:color w:val="000000"/>
                <w:sz w:val="22"/>
                <w:szCs w:val="22"/>
              </w:rPr>
              <w:t xml:space="preserve">                 合计：</w:t>
            </w:r>
          </w:p>
        </w:tc>
        <w:tc>
          <w:tcPr>
            <w:tcW w:w="1911" w:type="dxa"/>
            <w:vAlign w:val="center"/>
          </w:tcPr>
          <w:p>
            <w:pPr>
              <w:jc w:val="center"/>
              <w:rPr>
                <w:rFonts w:hint="eastAsia"/>
                <w:b/>
                <w:color w:val="000000"/>
                <w:sz w:val="22"/>
                <w:szCs w:val="22"/>
              </w:rPr>
            </w:pPr>
            <w:r>
              <w:rPr>
                <w:rFonts w:hint="eastAsia"/>
                <w:b/>
                <w:sz w:val="22"/>
                <w:szCs w:val="22"/>
              </w:rPr>
              <w:t>投标供应商须实地考察，充分考虑报价风险，本项为签订合同后服务期内的维修养护费用，采购人不再对此费用做出调整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552" w:type="dxa"/>
            <w:vAlign w:val="center"/>
          </w:tcPr>
          <w:p>
            <w:pPr>
              <w:jc w:val="center"/>
              <w:rPr>
                <w:rFonts w:hint="eastAsia"/>
                <w:b/>
                <w:color w:val="000000"/>
                <w:sz w:val="22"/>
                <w:szCs w:val="22"/>
              </w:rPr>
            </w:pPr>
            <w:r>
              <w:rPr>
                <w:rFonts w:hint="eastAsia"/>
                <w:b/>
                <w:color w:val="000000"/>
                <w:sz w:val="22"/>
                <w:szCs w:val="22"/>
              </w:rPr>
              <w:t>五</w:t>
            </w:r>
          </w:p>
        </w:tc>
        <w:tc>
          <w:tcPr>
            <w:tcW w:w="2979" w:type="dxa"/>
            <w:gridSpan w:val="3"/>
            <w:vAlign w:val="center"/>
          </w:tcPr>
          <w:p>
            <w:pPr>
              <w:ind w:firstLine="649" w:firstLineChars="294"/>
              <w:rPr>
                <w:rFonts w:hint="eastAsia"/>
                <w:b/>
                <w:color w:val="000000"/>
                <w:sz w:val="22"/>
                <w:szCs w:val="22"/>
              </w:rPr>
            </w:pPr>
            <w:r>
              <w:rPr>
                <w:rFonts w:hint="eastAsia"/>
                <w:b/>
                <w:color w:val="000000"/>
                <w:sz w:val="22"/>
                <w:szCs w:val="22"/>
              </w:rPr>
              <w:t>不可预见费</w:t>
            </w:r>
          </w:p>
        </w:tc>
        <w:tc>
          <w:tcPr>
            <w:tcW w:w="1719" w:type="dxa"/>
            <w:vAlign w:val="center"/>
          </w:tcPr>
          <w:p>
            <w:pPr>
              <w:jc w:val="center"/>
              <w:rPr>
                <w:b/>
                <w:color w:val="000000"/>
                <w:sz w:val="22"/>
                <w:szCs w:val="22"/>
              </w:rPr>
            </w:pPr>
          </w:p>
        </w:tc>
        <w:tc>
          <w:tcPr>
            <w:tcW w:w="1890" w:type="dxa"/>
            <w:vAlign w:val="center"/>
          </w:tcPr>
          <w:p>
            <w:pPr>
              <w:jc w:val="center"/>
              <w:rPr>
                <w:b/>
                <w:color w:val="000000"/>
                <w:sz w:val="22"/>
                <w:szCs w:val="22"/>
              </w:rPr>
            </w:pPr>
          </w:p>
        </w:tc>
        <w:tc>
          <w:tcPr>
            <w:tcW w:w="1911" w:type="dxa"/>
            <w:vAlign w:val="center"/>
          </w:tcPr>
          <w:p>
            <w:pPr>
              <w:jc w:val="center"/>
              <w:rPr>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552" w:type="dxa"/>
            <w:vAlign w:val="center"/>
          </w:tcPr>
          <w:p>
            <w:pPr>
              <w:jc w:val="center"/>
              <w:rPr>
                <w:rFonts w:hint="eastAsia"/>
                <w:b/>
                <w:color w:val="000000"/>
                <w:sz w:val="22"/>
                <w:szCs w:val="22"/>
              </w:rPr>
            </w:pPr>
            <w:r>
              <w:rPr>
                <w:rFonts w:hint="eastAsia"/>
                <w:b/>
                <w:color w:val="000000"/>
                <w:sz w:val="22"/>
                <w:szCs w:val="22"/>
              </w:rPr>
              <w:t>六</w:t>
            </w:r>
          </w:p>
        </w:tc>
        <w:tc>
          <w:tcPr>
            <w:tcW w:w="2979" w:type="dxa"/>
            <w:gridSpan w:val="3"/>
            <w:vAlign w:val="center"/>
          </w:tcPr>
          <w:p>
            <w:pPr>
              <w:jc w:val="center"/>
              <w:rPr>
                <w:b/>
                <w:color w:val="000000"/>
                <w:sz w:val="22"/>
                <w:szCs w:val="22"/>
              </w:rPr>
            </w:pPr>
            <w:r>
              <w:rPr>
                <w:rFonts w:hint="eastAsia"/>
                <w:b/>
                <w:color w:val="000000"/>
                <w:sz w:val="22"/>
                <w:szCs w:val="22"/>
              </w:rPr>
              <w:t>经营管理费</w:t>
            </w:r>
          </w:p>
        </w:tc>
        <w:tc>
          <w:tcPr>
            <w:tcW w:w="1719" w:type="dxa"/>
            <w:vAlign w:val="center"/>
          </w:tcPr>
          <w:p>
            <w:pPr>
              <w:jc w:val="center"/>
              <w:rPr>
                <w:b/>
                <w:color w:val="000000"/>
                <w:sz w:val="22"/>
                <w:szCs w:val="22"/>
              </w:rPr>
            </w:pPr>
          </w:p>
        </w:tc>
        <w:tc>
          <w:tcPr>
            <w:tcW w:w="1890" w:type="dxa"/>
            <w:vAlign w:val="center"/>
          </w:tcPr>
          <w:p>
            <w:pPr>
              <w:jc w:val="center"/>
              <w:rPr>
                <w:b/>
                <w:color w:val="000000"/>
                <w:sz w:val="22"/>
                <w:szCs w:val="22"/>
              </w:rPr>
            </w:pPr>
          </w:p>
        </w:tc>
        <w:tc>
          <w:tcPr>
            <w:tcW w:w="1911" w:type="dxa"/>
            <w:vAlign w:val="center"/>
          </w:tcPr>
          <w:p>
            <w:pPr>
              <w:jc w:val="center"/>
              <w:rPr>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552" w:type="dxa"/>
            <w:vAlign w:val="center"/>
          </w:tcPr>
          <w:p>
            <w:pPr>
              <w:jc w:val="center"/>
              <w:rPr>
                <w:rFonts w:hint="eastAsia"/>
                <w:b/>
                <w:color w:val="000000"/>
                <w:sz w:val="22"/>
                <w:szCs w:val="22"/>
              </w:rPr>
            </w:pPr>
            <w:r>
              <w:rPr>
                <w:rFonts w:hint="eastAsia"/>
                <w:b/>
                <w:color w:val="000000"/>
                <w:sz w:val="22"/>
                <w:szCs w:val="22"/>
              </w:rPr>
              <w:t>七</w:t>
            </w:r>
          </w:p>
        </w:tc>
        <w:tc>
          <w:tcPr>
            <w:tcW w:w="2979" w:type="dxa"/>
            <w:gridSpan w:val="3"/>
            <w:vAlign w:val="center"/>
          </w:tcPr>
          <w:p>
            <w:pPr>
              <w:jc w:val="center"/>
              <w:rPr>
                <w:b/>
                <w:color w:val="000000"/>
                <w:sz w:val="22"/>
                <w:szCs w:val="22"/>
              </w:rPr>
            </w:pPr>
            <w:r>
              <w:rPr>
                <w:rFonts w:hint="eastAsia"/>
                <w:b/>
                <w:color w:val="000000"/>
                <w:sz w:val="22"/>
                <w:szCs w:val="22"/>
              </w:rPr>
              <w:t>利润</w:t>
            </w:r>
          </w:p>
        </w:tc>
        <w:tc>
          <w:tcPr>
            <w:tcW w:w="1719" w:type="dxa"/>
            <w:vAlign w:val="center"/>
          </w:tcPr>
          <w:p>
            <w:pPr>
              <w:jc w:val="center"/>
              <w:rPr>
                <w:b/>
                <w:color w:val="000000"/>
                <w:sz w:val="22"/>
                <w:szCs w:val="22"/>
              </w:rPr>
            </w:pPr>
          </w:p>
        </w:tc>
        <w:tc>
          <w:tcPr>
            <w:tcW w:w="1890" w:type="dxa"/>
            <w:vAlign w:val="center"/>
          </w:tcPr>
          <w:p>
            <w:pPr>
              <w:jc w:val="center"/>
              <w:rPr>
                <w:b/>
                <w:color w:val="000000"/>
                <w:sz w:val="22"/>
                <w:szCs w:val="22"/>
              </w:rPr>
            </w:pPr>
          </w:p>
        </w:tc>
        <w:tc>
          <w:tcPr>
            <w:tcW w:w="1911" w:type="dxa"/>
            <w:vAlign w:val="center"/>
          </w:tcPr>
          <w:p>
            <w:pPr>
              <w:jc w:val="center"/>
              <w:rPr>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552" w:type="dxa"/>
            <w:vAlign w:val="center"/>
          </w:tcPr>
          <w:p>
            <w:pPr>
              <w:jc w:val="center"/>
              <w:rPr>
                <w:rFonts w:hint="eastAsia"/>
                <w:b/>
                <w:color w:val="000000"/>
                <w:sz w:val="22"/>
                <w:szCs w:val="22"/>
              </w:rPr>
            </w:pPr>
            <w:r>
              <w:rPr>
                <w:rFonts w:hint="eastAsia"/>
                <w:b/>
                <w:color w:val="000000"/>
                <w:sz w:val="22"/>
                <w:szCs w:val="22"/>
              </w:rPr>
              <w:t>八</w:t>
            </w:r>
          </w:p>
        </w:tc>
        <w:tc>
          <w:tcPr>
            <w:tcW w:w="2979" w:type="dxa"/>
            <w:gridSpan w:val="3"/>
            <w:vAlign w:val="center"/>
          </w:tcPr>
          <w:p>
            <w:pPr>
              <w:jc w:val="center"/>
              <w:rPr>
                <w:rFonts w:hint="eastAsia"/>
                <w:b/>
                <w:color w:val="000000"/>
                <w:sz w:val="22"/>
                <w:szCs w:val="22"/>
              </w:rPr>
            </w:pPr>
            <w:r>
              <w:rPr>
                <w:rFonts w:hint="eastAsia"/>
                <w:b/>
                <w:color w:val="000000"/>
                <w:sz w:val="22"/>
                <w:szCs w:val="22"/>
              </w:rPr>
              <w:t>税金</w:t>
            </w:r>
          </w:p>
        </w:tc>
        <w:tc>
          <w:tcPr>
            <w:tcW w:w="1719" w:type="dxa"/>
            <w:vAlign w:val="center"/>
          </w:tcPr>
          <w:p>
            <w:pPr>
              <w:jc w:val="center"/>
              <w:rPr>
                <w:b/>
                <w:color w:val="000000"/>
                <w:sz w:val="22"/>
                <w:szCs w:val="22"/>
              </w:rPr>
            </w:pPr>
          </w:p>
        </w:tc>
        <w:tc>
          <w:tcPr>
            <w:tcW w:w="1890" w:type="dxa"/>
            <w:vAlign w:val="center"/>
          </w:tcPr>
          <w:p>
            <w:pPr>
              <w:jc w:val="center"/>
              <w:rPr>
                <w:b/>
                <w:color w:val="000000"/>
                <w:sz w:val="22"/>
                <w:szCs w:val="22"/>
              </w:rPr>
            </w:pPr>
          </w:p>
        </w:tc>
        <w:tc>
          <w:tcPr>
            <w:tcW w:w="1911" w:type="dxa"/>
            <w:vAlign w:val="center"/>
          </w:tcPr>
          <w:p>
            <w:pPr>
              <w:jc w:val="center"/>
              <w:rPr>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 w:hRule="atLeast"/>
        </w:trPr>
        <w:tc>
          <w:tcPr>
            <w:tcW w:w="552" w:type="dxa"/>
            <w:vAlign w:val="center"/>
          </w:tcPr>
          <w:p>
            <w:pPr>
              <w:jc w:val="center"/>
              <w:rPr>
                <w:rFonts w:hint="eastAsia"/>
                <w:b/>
                <w:color w:val="000000"/>
                <w:sz w:val="22"/>
                <w:szCs w:val="22"/>
              </w:rPr>
            </w:pPr>
            <w:r>
              <w:rPr>
                <w:rFonts w:hint="eastAsia"/>
                <w:b/>
                <w:color w:val="000000"/>
                <w:sz w:val="22"/>
                <w:szCs w:val="22"/>
              </w:rPr>
              <w:t>九</w:t>
            </w:r>
          </w:p>
        </w:tc>
        <w:tc>
          <w:tcPr>
            <w:tcW w:w="2979" w:type="dxa"/>
            <w:gridSpan w:val="3"/>
            <w:vAlign w:val="center"/>
          </w:tcPr>
          <w:p>
            <w:pPr>
              <w:jc w:val="center"/>
              <w:rPr>
                <w:b/>
                <w:color w:val="000000"/>
                <w:sz w:val="22"/>
                <w:szCs w:val="22"/>
              </w:rPr>
            </w:pPr>
            <w:r>
              <w:rPr>
                <w:rFonts w:hint="eastAsia"/>
                <w:b/>
                <w:color w:val="000000"/>
                <w:sz w:val="22"/>
                <w:szCs w:val="22"/>
              </w:rPr>
              <w:t>其他（招标代理服务费等）</w:t>
            </w:r>
          </w:p>
        </w:tc>
        <w:tc>
          <w:tcPr>
            <w:tcW w:w="1719" w:type="dxa"/>
            <w:vAlign w:val="center"/>
          </w:tcPr>
          <w:p>
            <w:pPr>
              <w:jc w:val="center"/>
              <w:rPr>
                <w:b/>
                <w:color w:val="000000"/>
                <w:sz w:val="22"/>
                <w:szCs w:val="22"/>
              </w:rPr>
            </w:pPr>
          </w:p>
        </w:tc>
        <w:tc>
          <w:tcPr>
            <w:tcW w:w="1890" w:type="dxa"/>
            <w:vAlign w:val="center"/>
          </w:tcPr>
          <w:p>
            <w:pPr>
              <w:jc w:val="center"/>
              <w:rPr>
                <w:b/>
                <w:color w:val="000000"/>
                <w:sz w:val="22"/>
                <w:szCs w:val="22"/>
              </w:rPr>
            </w:pPr>
          </w:p>
        </w:tc>
        <w:tc>
          <w:tcPr>
            <w:tcW w:w="1911" w:type="dxa"/>
            <w:vAlign w:val="center"/>
          </w:tcPr>
          <w:p>
            <w:pPr>
              <w:jc w:val="center"/>
              <w:rPr>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3531" w:type="dxa"/>
            <w:gridSpan w:val="4"/>
            <w:vAlign w:val="center"/>
          </w:tcPr>
          <w:p>
            <w:pPr>
              <w:ind w:firstLine="983" w:firstLineChars="445"/>
              <w:jc w:val="center"/>
              <w:rPr>
                <w:rFonts w:hint="eastAsia"/>
                <w:b/>
                <w:color w:val="000000"/>
                <w:sz w:val="22"/>
                <w:szCs w:val="22"/>
              </w:rPr>
            </w:pPr>
            <w:r>
              <w:rPr>
                <w:rFonts w:hint="eastAsia"/>
                <w:b/>
                <w:color w:val="000000"/>
                <w:sz w:val="22"/>
                <w:szCs w:val="22"/>
              </w:rPr>
              <w:t>总计价</w:t>
            </w:r>
          </w:p>
        </w:tc>
        <w:tc>
          <w:tcPr>
            <w:tcW w:w="5520" w:type="dxa"/>
            <w:gridSpan w:val="3"/>
            <w:vAlign w:val="center"/>
          </w:tcPr>
          <w:p>
            <w:pPr>
              <w:jc w:val="center"/>
              <w:rPr>
                <w:rFonts w:hint="eastAsia"/>
                <w:b/>
                <w:color w:val="000000"/>
                <w:sz w:val="22"/>
                <w:szCs w:val="22"/>
              </w:rPr>
            </w:pPr>
            <w:r>
              <w:rPr>
                <w:rFonts w:hint="eastAsia"/>
                <w:b/>
                <w:color w:val="000000"/>
                <w:sz w:val="22"/>
                <w:szCs w:val="22"/>
              </w:rPr>
              <w:t>元</w:t>
            </w:r>
          </w:p>
        </w:tc>
      </w:tr>
    </w:tbl>
    <w:p>
      <w:pPr>
        <w:spacing w:line="280" w:lineRule="exact"/>
        <w:rPr>
          <w:rFonts w:hint="eastAsia"/>
          <w:color w:val="000000"/>
          <w:szCs w:val="21"/>
          <w:u w:val="single"/>
        </w:rPr>
      </w:pPr>
      <w:r>
        <w:rPr>
          <w:rFonts w:hint="eastAsia"/>
          <w:szCs w:val="21"/>
          <w:lang w:val="en-US" w:eastAsia="zh-CN"/>
        </w:rPr>
        <w:t>注：</w:t>
      </w:r>
      <w:r>
        <w:rPr>
          <w:rFonts w:hint="eastAsia"/>
          <w:szCs w:val="21"/>
        </w:rPr>
        <w:t>1. 总计价应与</w:t>
      </w:r>
      <w:r>
        <w:rPr>
          <w:rFonts w:hint="eastAsia"/>
          <w:szCs w:val="21"/>
          <w:lang w:val="en-US" w:eastAsia="zh-CN"/>
        </w:rPr>
        <w:t>2.2</w:t>
      </w:r>
      <w:r>
        <w:rPr>
          <w:rFonts w:hint="eastAsia"/>
          <w:szCs w:val="21"/>
        </w:rPr>
        <w:t>“开标一览表”中投标报价相一致。</w:t>
      </w:r>
    </w:p>
    <w:p>
      <w:pPr>
        <w:spacing w:line="280" w:lineRule="exact"/>
        <w:ind w:firstLine="411" w:firstLineChars="196"/>
        <w:rPr>
          <w:rFonts w:hint="eastAsia"/>
          <w:color w:val="000000"/>
          <w:szCs w:val="21"/>
        </w:rPr>
      </w:pPr>
      <w:r>
        <w:rPr>
          <w:rFonts w:hint="eastAsia"/>
          <w:color w:val="000000"/>
          <w:szCs w:val="21"/>
        </w:rPr>
        <w:t xml:space="preserve">2. 以上各项费用如已包含在价格中请注明“含”，若免费请注明“免”, 若没有请注明“无”。       </w:t>
      </w:r>
    </w:p>
    <w:p>
      <w:pPr>
        <w:spacing w:line="280" w:lineRule="exact"/>
        <w:ind w:firstLine="409" w:firstLineChars="195"/>
        <w:rPr>
          <w:rFonts w:hint="eastAsia"/>
          <w:color w:val="000000"/>
          <w:szCs w:val="21"/>
        </w:rPr>
      </w:pPr>
      <w:r>
        <w:rPr>
          <w:rFonts w:hint="eastAsia"/>
          <w:color w:val="000000"/>
          <w:szCs w:val="21"/>
        </w:rPr>
        <w:t xml:space="preserve">3. 本表所列费用为本项目的全部费用，除此外，不允许增加任何费用。                    </w:t>
      </w:r>
    </w:p>
    <w:p>
      <w:pPr>
        <w:spacing w:line="280" w:lineRule="exact"/>
        <w:ind w:left="732" w:leftChars="203" w:hanging="306" w:hangingChars="146"/>
        <w:rPr>
          <w:rFonts w:ascii="等线" w:hAnsi="等线" w:eastAsia="等线" w:cs="等线"/>
          <w:b/>
          <w:bCs/>
          <w:sz w:val="22"/>
          <w:szCs w:val="22"/>
        </w:rPr>
      </w:pPr>
      <w:r>
        <w:rPr>
          <w:rFonts w:hint="eastAsia"/>
          <w:color w:val="000000"/>
          <w:szCs w:val="21"/>
        </w:rPr>
        <w:t>▲</w:t>
      </w:r>
      <w:r>
        <w:rPr>
          <w:rFonts w:hint="eastAsia"/>
          <w:b/>
          <w:color w:val="000000"/>
          <w:szCs w:val="21"/>
          <w:u w:val="single"/>
        </w:rPr>
        <w:t>4. 不提供详细分项报价将视为没有实质性响应招标文件。</w:t>
      </w:r>
      <w:r>
        <w:rPr>
          <w:rFonts w:hint="eastAsia" w:ascii="等线" w:hAnsi="等线" w:eastAsia="等线" w:cs="等线"/>
          <w:b/>
          <w:bCs/>
          <w:sz w:val="22"/>
          <w:szCs w:val="22"/>
        </w:rPr>
        <w:t xml:space="preserve">                                             </w:t>
      </w:r>
    </w:p>
    <w:p>
      <w:pPr>
        <w:spacing w:line="380" w:lineRule="exact"/>
        <w:rPr>
          <w:rFonts w:ascii="等线" w:hAnsi="等线" w:eastAsia="等线" w:cs="等线"/>
          <w:b/>
          <w:bCs/>
          <w:sz w:val="22"/>
          <w:szCs w:val="22"/>
        </w:rPr>
      </w:pPr>
      <w:r>
        <w:rPr>
          <w:rFonts w:hint="eastAsia" w:ascii="等线" w:hAnsi="等线" w:eastAsia="等线" w:cs="等线"/>
          <w:b/>
          <w:bCs/>
          <w:sz w:val="22"/>
          <w:szCs w:val="22"/>
        </w:rPr>
        <w:t>供应商全称（盖章）：</w:t>
      </w:r>
    </w:p>
    <w:p>
      <w:pPr>
        <w:spacing w:line="380" w:lineRule="exact"/>
        <w:rPr>
          <w:rFonts w:ascii="等线" w:hAnsi="等线" w:eastAsia="等线" w:cs="等线"/>
          <w:b/>
          <w:bCs/>
          <w:sz w:val="22"/>
          <w:szCs w:val="22"/>
        </w:rPr>
      </w:pPr>
      <w:r>
        <w:rPr>
          <w:rFonts w:hint="eastAsia" w:ascii="等线" w:hAnsi="等线" w:eastAsia="等线" w:cs="等线"/>
          <w:b/>
          <w:bCs/>
          <w:sz w:val="22"/>
          <w:szCs w:val="22"/>
        </w:rPr>
        <w:t>法定代表人或授权代表（签名或盖章）：</w:t>
      </w:r>
    </w:p>
    <w:p>
      <w:pPr>
        <w:spacing w:line="380" w:lineRule="exact"/>
        <w:rPr>
          <w:rFonts w:ascii="等线" w:hAnsi="等线" w:eastAsia="等线" w:cs="等线"/>
          <w:b/>
          <w:bCs/>
          <w:sz w:val="22"/>
          <w:szCs w:val="22"/>
        </w:rPr>
      </w:pPr>
      <w:r>
        <w:rPr>
          <w:rFonts w:hint="eastAsia" w:ascii="等线" w:hAnsi="等线" w:eastAsia="等线" w:cs="等线"/>
          <w:b/>
          <w:bCs/>
          <w:sz w:val="22"/>
          <w:szCs w:val="22"/>
        </w:rPr>
        <w:t>日 期：  年  月  日</w:t>
      </w:r>
    </w:p>
    <w:p>
      <w:pPr>
        <w:pageBreakBefore/>
        <w:shd w:val="clear" w:color="auto" w:fill="FFFFFF"/>
        <w:snapToGrid w:val="0"/>
        <w:spacing w:line="360" w:lineRule="auto"/>
        <w:jc w:val="center"/>
        <w:outlineLvl w:val="2"/>
        <w:rPr>
          <w:sz w:val="36"/>
          <w:szCs w:val="36"/>
        </w:rPr>
      </w:pPr>
      <w:r>
        <w:rPr>
          <w:rFonts w:hint="eastAsia"/>
          <w:sz w:val="36"/>
          <w:szCs w:val="36"/>
        </w:rPr>
        <w:t>2.4中小企业声明函、监狱企业、残疾人福利性单位及其他相关的充分的证明材料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360" w:lineRule="auto"/>
        <w:ind w:firstLine="420" w:firstLineChars="200"/>
      </w:pPr>
      <w:r>
        <w:rPr>
          <w:rFonts w:hint="eastAsia"/>
        </w:rPr>
        <w:t>本公司郑重声明，根据《政府采购促进中小企业发展暂行办法》（财库[2011]181 号）的规定，本公司为的______（请填写：中型、小型、微型）企业。即，本公司同时满足以下条件：</w:t>
      </w:r>
    </w:p>
    <w:p>
      <w:pPr>
        <w:snapToGrid w:val="0"/>
        <w:spacing w:line="360" w:lineRule="auto"/>
        <w:ind w:firstLine="420" w:firstLineChars="200"/>
      </w:pPr>
      <w:r>
        <w:rPr>
          <w:rFonts w:hint="eastAsia"/>
        </w:rPr>
        <w:t>1、根据《工业和信息化部、国家统计局、国家发展和改革委员会、财政部关于印发中小企业划型标准规定的通知》（工信部联企业[2011]300号）规定的划分标准，本公司为</w:t>
      </w:r>
      <w:r>
        <w:rPr>
          <w:rFonts w:hint="eastAsia"/>
          <w:u w:val="single"/>
        </w:rPr>
        <w:t>______</w:t>
      </w:r>
      <w:r>
        <w:rPr>
          <w:rFonts w:hint="eastAsia"/>
        </w:rPr>
        <w:t>（请填写：中型、小型、微型）企业。</w:t>
      </w:r>
    </w:p>
    <w:p>
      <w:pPr>
        <w:snapToGrid w:val="0"/>
        <w:spacing w:line="360" w:lineRule="auto"/>
        <w:ind w:firstLine="420" w:firstLineChars="200"/>
      </w:pPr>
      <w:r>
        <w:rPr>
          <w:rFonts w:hint="eastAsia"/>
        </w:rPr>
        <w:t>2、本公司参加______（采购人）的______（项目名称）______（标项名称）采购活动提供本企业提供服务，或者提供其他______（请填写：中型、小型、微型）企业提供</w:t>
      </w:r>
      <w:r>
        <w:rPr>
          <w:rFonts w:hint="eastAsia"/>
          <w:lang w:val="en-US" w:eastAsia="zh-CN"/>
        </w:rPr>
        <w:t>货物</w:t>
      </w:r>
      <w:r>
        <w:rPr>
          <w:rFonts w:hint="eastAsia"/>
        </w:rPr>
        <w:t>（制造商的中小企业声明函另附）。本条所称货物不包括使用大型企业注册商标的货物。</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pBdr>
          <w:bottom w:val="single" w:color="auto" w:sz="6" w:space="1"/>
        </w:pBd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46"/>
        <w:snapToGrid w:val="0"/>
        <w:spacing w:line="360" w:lineRule="auto"/>
        <w:ind w:left="360" w:firstLine="0" w:firstLineChars="0"/>
        <w:rPr>
          <w:rFonts w:cs="宋体"/>
        </w:rPr>
      </w:pPr>
      <w:r>
        <w:rPr>
          <w:rFonts w:hint="eastAsia" w:cs="宋体"/>
        </w:rPr>
        <w:t>扶持政策说明：</w:t>
      </w:r>
    </w:p>
    <w:p>
      <w:pPr>
        <w:pStyle w:val="46"/>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46"/>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4"/>
      </w:pPr>
      <w:bookmarkStart w:id="30" w:name="_Toc8008423"/>
      <w:bookmarkStart w:id="31" w:name="_Toc424164168"/>
      <w:bookmarkStart w:id="32" w:name="_Toc7988414"/>
      <w:bookmarkStart w:id="33" w:name="_Toc440162800"/>
      <w:bookmarkStart w:id="34" w:name="_Toc24550050"/>
      <w:bookmarkStart w:id="35" w:name="_Toc30408915"/>
      <w:bookmarkStart w:id="36" w:name="_Toc7988468"/>
      <w:r>
        <w:rPr>
          <w:rFonts w:hint="eastAsia"/>
        </w:rPr>
        <w:t>三、“商务技术文件</w:t>
      </w:r>
      <w:r>
        <w:t>”</w:t>
      </w:r>
      <w:r>
        <w:rPr>
          <w:rFonts w:hint="eastAsia"/>
        </w:rPr>
        <w:t>格式</w:t>
      </w:r>
      <w:bookmarkEnd w:id="30"/>
      <w:bookmarkEnd w:id="31"/>
      <w:bookmarkEnd w:id="32"/>
      <w:bookmarkEnd w:id="33"/>
      <w:bookmarkEnd w:id="34"/>
      <w:bookmarkEnd w:id="35"/>
      <w:bookmarkEnd w:id="36"/>
    </w:p>
    <w:p>
      <w:pPr>
        <w:pStyle w:val="5"/>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2021年至2022年平阳县水利工程物业化管理采购项目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41"/>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5"/>
      </w:pPr>
      <w:r>
        <w:br w:type="page"/>
      </w:r>
      <w:r>
        <w:rPr>
          <w:rFonts w:hint="eastAsia"/>
        </w:rPr>
        <w:t>3.2供应商自评分指引表</w:t>
      </w:r>
    </w:p>
    <w:tbl>
      <w:tblPr>
        <w:tblStyle w:val="41"/>
        <w:tblW w:w="9905" w:type="dxa"/>
        <w:tblInd w:w="0" w:type="dxa"/>
        <w:tblLayout w:type="fixed"/>
        <w:tblCellMar>
          <w:top w:w="0" w:type="dxa"/>
          <w:left w:w="0" w:type="dxa"/>
          <w:bottom w:w="0" w:type="dxa"/>
          <w:right w:w="0" w:type="dxa"/>
        </w:tblCellMar>
      </w:tblPr>
      <w:tblGrid>
        <w:gridCol w:w="1095"/>
        <w:gridCol w:w="7470"/>
        <w:gridCol w:w="1340"/>
      </w:tblGrid>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43"/>
      </w:pPr>
    </w:p>
    <w:p>
      <w:pPr>
        <w:snapToGrid w:val="0"/>
        <w:spacing w:line="360" w:lineRule="exact"/>
        <w:jc w:val="center"/>
        <w:rPr>
          <w:b/>
          <w:sz w:val="28"/>
          <w:szCs w:val="22"/>
        </w:rPr>
      </w:pPr>
      <w:r>
        <w:rPr>
          <w:b/>
          <w:sz w:val="28"/>
          <w:szCs w:val="22"/>
        </w:rPr>
        <w:t>供应商参与政府采购活动投标资格声明函</w:t>
      </w:r>
    </w:p>
    <w:tbl>
      <w:tblPr>
        <w:tblStyle w:val="41"/>
        <w:tblW w:w="9612" w:type="dxa"/>
        <w:tblInd w:w="108" w:type="dxa"/>
        <w:tblLayout w:type="fixed"/>
        <w:tblCellMar>
          <w:top w:w="0" w:type="dxa"/>
          <w:left w:w="0" w:type="dxa"/>
          <w:bottom w:w="0" w:type="dxa"/>
          <w:right w:w="0" w:type="dxa"/>
        </w:tblCellMar>
      </w:tblPr>
      <w:tblGrid>
        <w:gridCol w:w="1620"/>
        <w:gridCol w:w="7992"/>
      </w:tblGrid>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Layout w:type="fixed"/>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Layout w:type="fixed"/>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Layout w:type="fixed"/>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Layout w:type="fixed"/>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6"/>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6"/>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平阳县水利局</w:t>
      </w:r>
      <w:r>
        <w:rPr>
          <w:rFonts w:hint="eastAsia" w:hAnsi="宋体"/>
          <w:sz w:val="22"/>
          <w:szCs w:val="22"/>
          <w:u w:val="single"/>
        </w:rPr>
        <w:t>：</w:t>
      </w:r>
    </w:p>
    <w:p>
      <w:pPr>
        <w:pStyle w:val="16"/>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rFonts w:hint="eastAsia"/>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6"/>
        <w:adjustRightInd w:val="0"/>
        <w:snapToGrid w:val="0"/>
        <w:spacing w:line="340" w:lineRule="atLeast"/>
        <w:rPr>
          <w:rFonts w:hAnsi="宋体"/>
          <w:sz w:val="22"/>
          <w:szCs w:val="22"/>
        </w:rPr>
      </w:pPr>
      <w:r>
        <w:rPr>
          <w:rFonts w:hint="eastAsia" w:hAnsi="宋体"/>
          <w:sz w:val="22"/>
          <w:szCs w:val="22"/>
          <w:u w:val="single"/>
          <w:lang w:eastAsia="zh-CN"/>
        </w:rPr>
        <w:t>平阳县水利局</w:t>
      </w:r>
      <w:r>
        <w:rPr>
          <w:rFonts w:hint="eastAsia" w:hAnsi="宋体"/>
          <w:sz w:val="22"/>
          <w:szCs w:val="22"/>
        </w:rPr>
        <w:t>：</w:t>
      </w:r>
    </w:p>
    <w:p>
      <w:pPr>
        <w:pStyle w:val="16"/>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41"/>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5" w:hRule="atLeast"/>
        </w:trPr>
        <w:tc>
          <w:tcPr>
            <w:tcW w:w="9075" w:type="dxa"/>
          </w:tcPr>
          <w:p>
            <w:pPr>
              <w:pStyle w:val="16"/>
              <w:adjustRightInd w:val="0"/>
              <w:snapToGrid w:val="0"/>
              <w:spacing w:line="320" w:lineRule="atLeast"/>
              <w:rPr>
                <w:rFonts w:hAnsi="宋体"/>
                <w:sz w:val="36"/>
                <w:szCs w:val="24"/>
                <w:u w:val="single"/>
              </w:rPr>
            </w:pPr>
          </w:p>
          <w:p>
            <w:pPr>
              <w:pStyle w:val="16"/>
              <w:adjustRightInd w:val="0"/>
              <w:snapToGrid w:val="0"/>
              <w:spacing w:line="320" w:lineRule="atLeast"/>
              <w:rPr>
                <w:rFonts w:hAnsi="宋体"/>
                <w:sz w:val="36"/>
                <w:szCs w:val="24"/>
                <w:u w:val="single"/>
              </w:rPr>
            </w:pPr>
          </w:p>
          <w:p>
            <w:pPr>
              <w:pStyle w:val="16"/>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6"/>
        <w:adjustRightInd w:val="0"/>
        <w:snapToGrid w:val="0"/>
        <w:spacing w:line="320" w:lineRule="atLeast"/>
        <w:jc w:val="center"/>
        <w:outlineLvl w:val="0"/>
        <w:rPr>
          <w:rFonts w:hAnsi="宋体"/>
          <w:b/>
          <w:sz w:val="36"/>
        </w:rPr>
      </w:pPr>
    </w:p>
    <w:p>
      <w:pPr>
        <w:pStyle w:val="16"/>
        <w:adjustRightInd w:val="0"/>
        <w:snapToGrid w:val="0"/>
        <w:spacing w:line="320" w:lineRule="atLeast"/>
        <w:outlineLvl w:val="0"/>
        <w:rPr>
          <w:rFonts w:hAnsi="宋体" w:cs="宋体"/>
          <w:kern w:val="0"/>
          <w:sz w:val="32"/>
          <w:szCs w:val="24"/>
        </w:rPr>
      </w:pPr>
    </w:p>
    <w:p>
      <w:pPr>
        <w:pStyle w:val="16"/>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6"/>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pStyle w:val="16"/>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cols w:space="720" w:num="1"/>
          <w:docGrid w:linePitch="312" w:charSpace="0"/>
        </w:sectPr>
      </w:pPr>
    </w:p>
    <w:p>
      <w:pPr>
        <w:pStyle w:val="16"/>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41"/>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Layout w:type="fixed"/>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6"/>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cols w:space="720" w:num="1"/>
          <w:docGrid w:linePitch="312" w:charSpace="0"/>
        </w:sectPr>
      </w:pPr>
    </w:p>
    <w:p>
      <w:pPr>
        <w:pStyle w:val="16"/>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41"/>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Layout w:type="fixed"/>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6"/>
        <w:adjustRightInd w:val="0"/>
        <w:snapToGrid w:val="0"/>
        <w:spacing w:line="460" w:lineRule="atLeast"/>
        <w:rPr>
          <w:rFonts w:hAnsi="宋体"/>
          <w:spacing w:val="20"/>
          <w:sz w:val="24"/>
        </w:rPr>
      </w:pPr>
    </w:p>
    <w:p>
      <w:pPr>
        <w:pStyle w:val="16"/>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5"/>
        <w:spacing w:before="120" w:after="120"/>
        <w:ind w:left="652" w:hanging="652"/>
        <w:rPr>
          <w:b/>
          <w:sz w:val="32"/>
        </w:rPr>
      </w:pPr>
    </w:p>
    <w:p>
      <w:pPr>
        <w:pStyle w:val="15"/>
        <w:spacing w:before="120" w:after="120"/>
        <w:ind w:left="652" w:hanging="652"/>
        <w:rPr>
          <w:b/>
          <w:sz w:val="32"/>
        </w:rPr>
        <w:sectPr>
          <w:pgSz w:w="11906" w:h="16838"/>
          <w:pgMar w:top="1440" w:right="1361" w:bottom="1440" w:left="1361" w:header="851" w:footer="992" w:gutter="0"/>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rPr>
        <w:t>7年1月1日以来类似业绩</w:t>
      </w:r>
      <w:r>
        <w:rPr>
          <w:rFonts w:hint="eastAsia"/>
          <w:b/>
          <w:sz w:val="32"/>
          <w:lang w:val="zh-CN"/>
        </w:rPr>
        <w:t>证明</w:t>
      </w:r>
    </w:p>
    <w:p>
      <w:pPr>
        <w:pStyle w:val="16"/>
        <w:snapToGrid w:val="0"/>
        <w:spacing w:line="324" w:lineRule="auto"/>
        <w:jc w:val="center"/>
        <w:rPr>
          <w:rFonts w:hAnsi="宋体"/>
          <w:b/>
          <w:sz w:val="30"/>
        </w:rPr>
      </w:pPr>
    </w:p>
    <w:p>
      <w:pPr>
        <w:pStyle w:val="16"/>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rPr>
        <w:t>7年1月1日以来类似业绩证明</w:t>
      </w:r>
    </w:p>
    <w:p>
      <w:pPr>
        <w:pStyle w:val="16"/>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41"/>
        <w:tblW w:w="925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pStyle w:val="43"/>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6"/>
        <w:snapToGrid w:val="0"/>
        <w:spacing w:line="460" w:lineRule="atLeast"/>
        <w:rPr>
          <w:rFonts w:hAnsi="宋体"/>
          <w:b/>
          <w:bCs/>
          <w:sz w:val="32"/>
        </w:rPr>
      </w:pPr>
      <w:r>
        <w:rPr>
          <w:rFonts w:hint="eastAsia" w:hAnsi="宋体" w:cs="宋体"/>
          <w:sz w:val="22"/>
          <w:szCs w:val="22"/>
        </w:rPr>
        <w:t xml:space="preserve">日 期：      年     月    日  </w:t>
      </w: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pPr>
    </w:p>
    <w:p>
      <w:pPr>
        <w:pStyle w:val="16"/>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6"/>
        <w:snapToGrid w:val="0"/>
        <w:spacing w:line="324" w:lineRule="auto"/>
        <w:jc w:val="center"/>
        <w:rPr>
          <w:rFonts w:hAnsi="宋体"/>
          <w:b/>
          <w:sz w:val="30"/>
        </w:rPr>
      </w:pPr>
      <w:r>
        <w:rPr>
          <w:rFonts w:hint="eastAsia" w:hAnsi="宋体"/>
          <w:b/>
          <w:sz w:val="30"/>
        </w:rPr>
        <w:t>拟派项目负责人履历表</w:t>
      </w:r>
    </w:p>
    <w:tbl>
      <w:tblPr>
        <w:tblStyle w:val="41"/>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47"/>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48"/>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47"/>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6"/>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6"/>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43"/>
        <w:rPr>
          <w:rFonts w:ascii="宋体"/>
          <w:sz w:val="10"/>
          <w:szCs w:val="10"/>
        </w:rPr>
      </w:pPr>
    </w:p>
    <w:p>
      <w:pPr>
        <w:pStyle w:val="10"/>
        <w:rPr>
          <w:rFonts w:ascii="宋体"/>
          <w:sz w:val="10"/>
          <w:szCs w:val="10"/>
        </w:rPr>
        <w:sectPr>
          <w:pgSz w:w="11907" w:h="16840"/>
          <w:pgMar w:top="1440" w:right="1106" w:bottom="1440" w:left="1157" w:header="720" w:footer="720" w:gutter="0"/>
          <w:cols w:space="720" w:num="1"/>
          <w:docGrid w:linePitch="312" w:charSpace="0"/>
        </w:sectPr>
      </w:pPr>
    </w:p>
    <w:p>
      <w:pPr>
        <w:pStyle w:val="16"/>
        <w:snapToGrid w:val="0"/>
        <w:spacing w:line="324" w:lineRule="auto"/>
        <w:jc w:val="center"/>
        <w:rPr>
          <w:rFonts w:hAnsi="宋体"/>
          <w:b/>
          <w:sz w:val="30"/>
        </w:rPr>
      </w:pPr>
      <w:r>
        <w:rPr>
          <w:rFonts w:hint="eastAsia" w:hAnsi="宋体"/>
          <w:b/>
          <w:sz w:val="30"/>
        </w:rPr>
        <w:t>项目主管人员、专业人员概况</w:t>
      </w:r>
    </w:p>
    <w:tbl>
      <w:tblPr>
        <w:tblStyle w:val="41"/>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10"/>
      </w:pPr>
    </w:p>
    <w:p>
      <w:pPr>
        <w:pStyle w:val="9"/>
        <w:ind w:firstLine="210"/>
      </w:pPr>
    </w:p>
    <w:p>
      <w:pPr>
        <w:pStyle w:val="9"/>
        <w:ind w:firstLine="210"/>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10"/>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sectPr>
          <w:pgSz w:w="11907" w:h="16840"/>
          <w:pgMar w:top="1440" w:right="1106" w:bottom="1440" w:left="1157" w:header="720" w:footer="720" w:gutter="0"/>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43"/>
      </w:pPr>
    </w:p>
    <w:tbl>
      <w:tblPr>
        <w:tblStyle w:val="41"/>
        <w:tblW w:w="921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6"/>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9"/>
        <w:ind w:firstLine="361"/>
        <w:rPr>
          <w:rFonts w:eastAsia="新宋体"/>
          <w:b/>
          <w:sz w:val="36"/>
          <w:szCs w:val="36"/>
        </w:rPr>
      </w:pPr>
    </w:p>
    <w:p>
      <w:pPr>
        <w:pStyle w:val="9"/>
        <w:ind w:firstLine="361"/>
        <w:rPr>
          <w:rFonts w:eastAsia="新宋体"/>
          <w:b/>
          <w:sz w:val="36"/>
          <w:szCs w:val="36"/>
        </w:rPr>
      </w:pPr>
    </w:p>
    <w:p>
      <w:pPr>
        <w:pStyle w:val="9"/>
        <w:ind w:firstLine="361"/>
        <w:rPr>
          <w:rFonts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ind w:firstLine="0" w:firstLineChars="0"/>
        <w:rPr>
          <w:rFonts w:eastAsia="新宋体"/>
          <w:b/>
          <w:sz w:val="36"/>
          <w:szCs w:val="36"/>
        </w:rPr>
      </w:pPr>
    </w:p>
    <w:p>
      <w:pPr>
        <w:pStyle w:val="9"/>
        <w:ind w:firstLine="0" w:firstLineChars="0"/>
        <w:rPr>
          <w:rFonts w:eastAsia="新宋体"/>
          <w:b/>
          <w:sz w:val="36"/>
          <w:szCs w:val="36"/>
        </w:rPr>
      </w:pPr>
    </w:p>
    <w:p>
      <w:pPr>
        <w:pStyle w:val="9"/>
        <w:ind w:firstLine="0" w:firstLineChars="0"/>
        <w:rPr>
          <w:rFonts w:eastAsia="新宋体"/>
          <w:b/>
          <w:sz w:val="36"/>
          <w:szCs w:val="36"/>
        </w:rPr>
      </w:pPr>
    </w:p>
    <w:p>
      <w:pPr>
        <w:pStyle w:val="9"/>
        <w:ind w:firstLine="0" w:firstLineChars="0"/>
        <w:rPr>
          <w:rFonts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w:t>
      </w:r>
      <w:r>
        <w:rPr>
          <w:rFonts w:hint="eastAsia" w:ascii="宋体" w:hAnsi="宋体"/>
          <w:b/>
          <w:sz w:val="30"/>
          <w:szCs w:val="30"/>
          <w:lang w:val="en-US" w:eastAsia="zh-CN"/>
        </w:rPr>
        <w:t>0</w:t>
      </w:r>
      <w:r>
        <w:rPr>
          <w:rFonts w:hint="eastAsia" w:ascii="宋体" w:hAnsi="宋体"/>
          <w:b/>
          <w:sz w:val="30"/>
          <w:szCs w:val="30"/>
        </w:rPr>
        <w:t xml:space="preserve"> 进场机具、设备、耗材明细表</w:t>
      </w:r>
    </w:p>
    <w:p>
      <w:pPr>
        <w:pStyle w:val="43"/>
        <w:rPr>
          <w:rFonts w:ascii="宋体" w:hAnsi="宋体"/>
          <w:b/>
          <w:sz w:val="30"/>
          <w:szCs w:val="30"/>
        </w:rPr>
      </w:pPr>
    </w:p>
    <w:p>
      <w:pPr>
        <w:pStyle w:val="10"/>
        <w:jc w:val="center"/>
        <w:rPr>
          <w:rFonts w:ascii="宋体" w:hAnsi="宋体"/>
          <w:b/>
          <w:bCs w:val="0"/>
          <w:sz w:val="30"/>
          <w:szCs w:val="30"/>
        </w:rPr>
      </w:pPr>
      <w:r>
        <w:rPr>
          <w:rFonts w:hint="eastAsia" w:ascii="宋体"/>
          <w:b/>
          <w:bCs w:val="0"/>
          <w:sz w:val="30"/>
          <w:szCs w:val="30"/>
        </w:rPr>
        <w:t>进场机具、设备明细表</w:t>
      </w:r>
    </w:p>
    <w:tbl>
      <w:tblPr>
        <w:tblStyle w:val="41"/>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9"/>
        <w:ind w:firstLine="301"/>
        <w:rPr>
          <w:rFonts w:ascii="宋体" w:hAnsi="宋体"/>
          <w:b/>
          <w:sz w:val="30"/>
          <w:szCs w:val="30"/>
        </w:rPr>
      </w:pPr>
    </w:p>
    <w:p>
      <w:pPr>
        <w:pStyle w:val="16"/>
        <w:spacing w:line="440" w:lineRule="exact"/>
        <w:rPr>
          <w:rFonts w:hAnsi="宋体"/>
          <w:sz w:val="22"/>
          <w:szCs w:val="22"/>
        </w:rPr>
      </w:pPr>
      <w:r>
        <w:rPr>
          <w:rFonts w:hint="eastAsia" w:hAnsi="宋体"/>
          <w:sz w:val="22"/>
          <w:szCs w:val="22"/>
        </w:rPr>
        <w:t>注：1、本表所列为供应商拟投入的作业机具、设备清单。</w:t>
      </w:r>
    </w:p>
    <w:p>
      <w:pPr>
        <w:pStyle w:val="16"/>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6"/>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41"/>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6"/>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6"/>
        <w:spacing w:line="320" w:lineRule="exact"/>
        <w:ind w:left="987" w:leftChars="313" w:hanging="330" w:hangingChars="150"/>
        <w:rPr>
          <w:rFonts w:hAnsi="宋体"/>
          <w:sz w:val="22"/>
        </w:rPr>
      </w:pPr>
      <w:r>
        <w:rPr>
          <w:rFonts w:hint="eastAsia" w:hAnsi="宋体"/>
          <w:sz w:val="22"/>
        </w:rPr>
        <w:t>2、本表所列耗材价格应计入投标总价。</w:t>
      </w:r>
    </w:p>
    <w:p>
      <w:pPr>
        <w:pStyle w:val="16"/>
        <w:spacing w:line="320" w:lineRule="exact"/>
        <w:ind w:left="657" w:leftChars="313"/>
        <w:rPr>
          <w:rFonts w:hAnsi="宋体"/>
          <w:sz w:val="22"/>
        </w:rPr>
      </w:pPr>
      <w:r>
        <w:rPr>
          <w:rFonts w:hint="eastAsia" w:hAnsi="宋体"/>
          <w:sz w:val="22"/>
        </w:rPr>
        <w:t>3、此表仅提供了表格形式，供应商可按此表格编制。</w:t>
      </w:r>
    </w:p>
    <w:p>
      <w:pPr>
        <w:pStyle w:val="43"/>
      </w:pPr>
    </w:p>
    <w:p>
      <w:pPr>
        <w:pStyle w:val="43"/>
        <w:rPr>
          <w:rFonts w:ascii="宋体" w:hAnsi="宋体"/>
          <w:b/>
          <w:sz w:val="30"/>
          <w:szCs w:val="30"/>
        </w:rPr>
      </w:pPr>
    </w:p>
    <w:p>
      <w:pPr>
        <w:pStyle w:val="10"/>
        <w:rPr>
          <w:rFonts w:ascii="宋体" w:hAnsi="宋体"/>
          <w:b/>
          <w:sz w:val="30"/>
          <w:szCs w:val="30"/>
        </w:rPr>
      </w:pPr>
    </w:p>
    <w:p>
      <w:pPr>
        <w:pStyle w:val="9"/>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ind w:firstLine="301"/>
        <w:rPr>
          <w:rFonts w:ascii="宋体" w:hAnsi="宋体"/>
          <w:b/>
          <w:sz w:val="30"/>
          <w:szCs w:val="30"/>
        </w:rPr>
      </w:pPr>
    </w:p>
    <w:p>
      <w:pPr>
        <w:pStyle w:val="9"/>
        <w:ind w:firstLine="301"/>
        <w:rPr>
          <w:rFonts w:ascii="宋体" w:hAnsi="宋体"/>
          <w:b/>
          <w:sz w:val="30"/>
          <w:szCs w:val="30"/>
        </w:rPr>
      </w:pPr>
    </w:p>
    <w:p>
      <w:pPr>
        <w:pStyle w:val="9"/>
        <w:ind w:firstLine="301"/>
        <w:rPr>
          <w:rFonts w:ascii="宋体" w:hAnsi="宋体"/>
          <w:b/>
          <w:sz w:val="30"/>
          <w:szCs w:val="30"/>
        </w:rPr>
      </w:pPr>
    </w:p>
    <w:p>
      <w:pPr>
        <w:pStyle w:val="9"/>
        <w:ind w:firstLine="301"/>
        <w:rPr>
          <w:rFonts w:ascii="宋体" w:hAnsi="宋体"/>
          <w:b/>
          <w:sz w:val="30"/>
          <w:szCs w:val="30"/>
        </w:rPr>
      </w:pPr>
    </w:p>
    <w:p>
      <w:pPr>
        <w:rPr>
          <w:b/>
          <w:sz w:val="32"/>
        </w:rPr>
      </w:pPr>
    </w:p>
    <w:p>
      <w:pPr>
        <w:rPr>
          <w:b/>
          <w:sz w:val="32"/>
        </w:rPr>
      </w:pPr>
    </w:p>
    <w:p>
      <w:pPr>
        <w:rPr>
          <w:b/>
          <w:sz w:val="32"/>
          <w:lang w:val="zh-CN"/>
        </w:rPr>
      </w:pPr>
      <w:r>
        <w:rPr>
          <w:rFonts w:hint="eastAsia"/>
          <w:b/>
          <w:sz w:val="32"/>
        </w:rPr>
        <w:t>3</w:t>
      </w:r>
      <w:r>
        <w:rPr>
          <w:rFonts w:hint="eastAsia"/>
          <w:b/>
          <w:sz w:val="32"/>
          <w:lang w:val="zh-CN"/>
        </w:rPr>
        <w:t>.1</w:t>
      </w:r>
      <w:r>
        <w:rPr>
          <w:rFonts w:hint="eastAsia"/>
          <w:b/>
          <w:sz w:val="32"/>
          <w:lang w:val="en-US" w:eastAsia="zh-CN"/>
        </w:rPr>
        <w:t>1</w:t>
      </w:r>
      <w:r>
        <w:rPr>
          <w:rFonts w:hint="eastAsia"/>
          <w:b/>
          <w:sz w:val="32"/>
          <w:lang w:val="zh-CN"/>
        </w:rPr>
        <w:t>供应商认为有必要提供的其他材料或说明（如有）</w:t>
      </w:r>
    </w:p>
    <w:p>
      <w:pPr>
        <w:pStyle w:val="43"/>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2021年至2022年平阳县水利工程物业化管理采购项目</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41"/>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43"/>
        <w:rPr>
          <w:rFonts w:eastAsia="新宋体"/>
          <w:b/>
          <w:sz w:val="36"/>
          <w:szCs w:val="36"/>
        </w:rPr>
      </w:pPr>
    </w:p>
    <w:p>
      <w:pPr>
        <w:pStyle w:val="10"/>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w:t>
      </w:r>
      <w:r>
        <w:rPr>
          <w:rFonts w:hint="eastAsia" w:ascii="新宋体" w:hAnsi="新宋体" w:eastAsia="新宋体"/>
          <w:b/>
          <w:sz w:val="28"/>
          <w:szCs w:val="28"/>
          <w:lang w:val="en-US" w:eastAsia="zh-CN"/>
        </w:rPr>
        <w:t>2</w:t>
      </w:r>
      <w:r>
        <w:rPr>
          <w:rFonts w:hint="eastAsia" w:ascii="新宋体" w:hAnsi="新宋体" w:eastAsia="新宋体"/>
          <w:b/>
          <w:sz w:val="28"/>
          <w:szCs w:val="28"/>
        </w:rPr>
        <w:t>质量服务承诺书、诚信投标承诺书</w:t>
      </w:r>
    </w:p>
    <w:p>
      <w:pPr>
        <w:pStyle w:val="10"/>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（项目名称）项目的中标供应商，将作出以下承诺：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pStyle w:val="16"/>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6"/>
        <w:adjustRightInd w:val="0"/>
        <w:snapToGrid w:val="0"/>
        <w:spacing w:line="400" w:lineRule="exact"/>
        <w:jc w:val="center"/>
        <w:rPr>
          <w:rFonts w:hAnsi="宋体" w:eastAsia="新宋体"/>
          <w:sz w:val="24"/>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pStyle w:val="16"/>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9"/>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9"/>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9"/>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9"/>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49"/>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12"/>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4"/>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4"/>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cols w:space="720" w:num="1"/>
          <w:docGrid w:linePitch="312" w:charSpace="0"/>
        </w:sectPr>
      </w:pPr>
    </w:p>
    <w:p>
      <w:pPr>
        <w:pStyle w:val="16"/>
        <w:adjustRightInd w:val="0"/>
        <w:snapToGrid w:val="0"/>
        <w:jc w:val="center"/>
        <w:rPr>
          <w:rFonts w:hAnsi="宋体" w:cs="宋体"/>
          <w:b/>
          <w:sz w:val="36"/>
          <w:szCs w:val="36"/>
        </w:rPr>
      </w:pPr>
      <w:r>
        <w:rPr>
          <w:rFonts w:hint="eastAsia" w:hAnsi="宋体" w:cs="宋体"/>
          <w:b/>
          <w:sz w:val="36"/>
          <w:szCs w:val="36"/>
        </w:rPr>
        <w:t>评标细则</w:t>
      </w:r>
    </w:p>
    <w:p>
      <w:pPr>
        <w:pStyle w:val="16"/>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3</w:t>
      </w:r>
      <w:r>
        <w:rPr>
          <w:rFonts w:hint="eastAsia" w:hAnsi="宋体" w:cs="宋体"/>
          <w:b/>
          <w:sz w:val="22"/>
          <w:szCs w:val="22"/>
        </w:rPr>
        <w:t>0分</w:t>
      </w:r>
    </w:p>
    <w:p>
      <w:pPr>
        <w:pStyle w:val="16"/>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1、以有效供应商中有效投标价的最低价为评标基准价，得满分</w:t>
      </w:r>
      <w:r>
        <w:rPr>
          <w:rFonts w:hint="eastAsia" w:hAnsi="宋体" w:cs="宋体"/>
          <w:sz w:val="22"/>
          <w:szCs w:val="22"/>
          <w:lang w:val="en-US" w:eastAsia="zh-CN"/>
        </w:rPr>
        <w:t>3</w:t>
      </w:r>
      <w:r>
        <w:rPr>
          <w:rFonts w:hint="eastAsia" w:hAnsi="宋体" w:cs="宋体"/>
          <w:sz w:val="22"/>
          <w:szCs w:val="22"/>
        </w:rPr>
        <w:t>0分。商务报价评分结算公式为:投标报价得分=(评标基准价／投标报价)×</w:t>
      </w:r>
      <w:r>
        <w:rPr>
          <w:rFonts w:hint="eastAsia" w:hAnsi="宋体" w:cs="宋体"/>
          <w:sz w:val="22"/>
          <w:szCs w:val="22"/>
          <w:lang w:val="en-US" w:eastAsia="zh-CN"/>
        </w:rPr>
        <w:t>3</w:t>
      </w:r>
      <w:r>
        <w:rPr>
          <w:rFonts w:hint="eastAsia" w:hAnsi="宋体" w:cs="宋体"/>
          <w:sz w:val="22"/>
          <w:szCs w:val="22"/>
        </w:rPr>
        <w:t>0%×100。</w:t>
      </w:r>
    </w:p>
    <w:p>
      <w:pPr>
        <w:pStyle w:val="16"/>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6"/>
        <w:adjustRightInd w:val="0"/>
        <w:snapToGrid w:val="0"/>
        <w:spacing w:line="460" w:lineRule="exact"/>
        <w:rPr>
          <w:rFonts w:hint="eastAsia" w:hAnsi="宋体"/>
          <w:b/>
          <w:bCs/>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bCs/>
          <w:sz w:val="22"/>
          <w:szCs w:val="22"/>
          <w:lang w:val="en-US" w:eastAsia="zh-CN"/>
        </w:rPr>
        <w:t>7</w:t>
      </w:r>
      <w:r>
        <w:rPr>
          <w:rFonts w:hint="eastAsia" w:hAnsi="宋体"/>
          <w:b/>
          <w:bCs/>
          <w:sz w:val="22"/>
          <w:szCs w:val="22"/>
        </w:rPr>
        <w:t xml:space="preserve">0分   </w:t>
      </w:r>
    </w:p>
    <w:tbl>
      <w:tblPr>
        <w:tblStyle w:val="41"/>
        <w:tblW w:w="974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3212"/>
        <w:gridCol w:w="1280"/>
        <w:gridCol w:w="4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trPr>
        <w:tc>
          <w:tcPr>
            <w:tcW w:w="748" w:type="dxa"/>
            <w:vAlign w:val="center"/>
          </w:tcPr>
          <w:p>
            <w:pPr>
              <w:spacing w:line="440" w:lineRule="exact"/>
              <w:ind w:left="-50"/>
              <w:jc w:val="center"/>
              <w:rPr>
                <w:rFonts w:hint="eastAsia" w:ascii="新宋体" w:hAnsi="新宋体" w:eastAsia="新宋体"/>
                <w:b/>
                <w:sz w:val="22"/>
                <w:szCs w:val="22"/>
              </w:rPr>
            </w:pPr>
            <w:r>
              <w:rPr>
                <w:rFonts w:hint="eastAsia" w:ascii="新宋体" w:hAnsi="新宋体" w:eastAsia="新宋体"/>
                <w:b/>
                <w:sz w:val="22"/>
                <w:szCs w:val="22"/>
              </w:rPr>
              <w:t>序号</w:t>
            </w:r>
          </w:p>
        </w:tc>
        <w:tc>
          <w:tcPr>
            <w:tcW w:w="3212" w:type="dxa"/>
            <w:vAlign w:val="center"/>
          </w:tcPr>
          <w:p>
            <w:pPr>
              <w:spacing w:line="440" w:lineRule="exact"/>
              <w:ind w:left="-50"/>
              <w:jc w:val="center"/>
              <w:rPr>
                <w:rFonts w:hint="eastAsia" w:ascii="新宋体" w:hAnsi="新宋体" w:eastAsia="新宋体"/>
                <w:b/>
                <w:sz w:val="22"/>
                <w:szCs w:val="22"/>
              </w:rPr>
            </w:pPr>
            <w:r>
              <w:rPr>
                <w:rFonts w:hint="eastAsia" w:ascii="新宋体" w:hAnsi="新宋体" w:eastAsia="新宋体"/>
                <w:b/>
                <w:sz w:val="22"/>
                <w:szCs w:val="22"/>
              </w:rPr>
              <w:t>评分内容</w:t>
            </w:r>
          </w:p>
        </w:tc>
        <w:tc>
          <w:tcPr>
            <w:tcW w:w="1280" w:type="dxa"/>
            <w:tcBorders>
              <w:right w:val="single" w:color="auto" w:sz="6" w:space="0"/>
            </w:tcBorders>
            <w:vAlign w:val="center"/>
          </w:tcPr>
          <w:p>
            <w:pPr>
              <w:spacing w:line="440" w:lineRule="exact"/>
              <w:jc w:val="center"/>
              <w:rPr>
                <w:rFonts w:hint="eastAsia" w:ascii="新宋体" w:hAnsi="新宋体" w:eastAsia="新宋体"/>
                <w:b/>
                <w:sz w:val="22"/>
                <w:szCs w:val="22"/>
              </w:rPr>
            </w:pPr>
            <w:r>
              <w:rPr>
                <w:rFonts w:hint="eastAsia" w:ascii="新宋体" w:hAnsi="新宋体" w:eastAsia="新宋体"/>
                <w:b/>
                <w:sz w:val="22"/>
                <w:szCs w:val="22"/>
              </w:rPr>
              <w:t>分值范围</w:t>
            </w:r>
          </w:p>
        </w:tc>
        <w:tc>
          <w:tcPr>
            <w:tcW w:w="4509" w:type="dxa"/>
            <w:tcBorders>
              <w:left w:val="single" w:color="auto" w:sz="6" w:space="0"/>
            </w:tcBorders>
            <w:vAlign w:val="center"/>
          </w:tcPr>
          <w:p>
            <w:pPr>
              <w:spacing w:line="440" w:lineRule="exact"/>
              <w:ind w:left="-50"/>
              <w:jc w:val="center"/>
              <w:rPr>
                <w:rFonts w:hint="eastAsia" w:ascii="新宋体" w:hAnsi="新宋体" w:eastAsia="新宋体"/>
                <w:b/>
                <w:sz w:val="22"/>
                <w:szCs w:val="22"/>
              </w:rPr>
            </w:pPr>
            <w:r>
              <w:rPr>
                <w:rFonts w:hint="eastAsia" w:ascii="新宋体" w:hAnsi="新宋体" w:eastAsia="新宋体"/>
                <w:b/>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9" w:hRule="atLeast"/>
        </w:trPr>
        <w:tc>
          <w:tcPr>
            <w:tcW w:w="748" w:type="dxa"/>
            <w:vMerge w:val="restart"/>
            <w:vAlign w:val="center"/>
          </w:tcPr>
          <w:p>
            <w:pPr>
              <w:spacing w:line="440" w:lineRule="exact"/>
              <w:ind w:left="-50"/>
              <w:jc w:val="center"/>
              <w:rPr>
                <w:rFonts w:hint="eastAsia" w:ascii="新宋体" w:hAnsi="新宋体" w:eastAsia="新宋体"/>
                <w:bCs/>
                <w:sz w:val="22"/>
                <w:szCs w:val="22"/>
              </w:rPr>
            </w:pPr>
            <w:r>
              <w:rPr>
                <w:rFonts w:hint="eastAsia" w:ascii="新宋体" w:hAnsi="新宋体" w:eastAsia="新宋体"/>
                <w:bCs/>
                <w:sz w:val="22"/>
                <w:szCs w:val="22"/>
              </w:rPr>
              <w:t>1</w:t>
            </w:r>
          </w:p>
        </w:tc>
        <w:tc>
          <w:tcPr>
            <w:tcW w:w="3212" w:type="dxa"/>
            <w:vMerge w:val="restart"/>
            <w:vAlign w:val="center"/>
          </w:tcPr>
          <w:p>
            <w:pPr>
              <w:rPr>
                <w:rFonts w:hint="eastAsia" w:ascii="新宋体" w:hAnsi="新宋体" w:eastAsia="新宋体"/>
                <w:sz w:val="22"/>
                <w:szCs w:val="22"/>
              </w:rPr>
            </w:pPr>
            <w:r>
              <w:rPr>
                <w:rFonts w:hint="eastAsia" w:ascii="新宋体" w:hAnsi="新宋体" w:eastAsia="新宋体"/>
                <w:sz w:val="22"/>
                <w:szCs w:val="22"/>
              </w:rPr>
              <w:t>对工程物业管理工作的现状调查与问题剖析</w:t>
            </w:r>
          </w:p>
        </w:tc>
        <w:tc>
          <w:tcPr>
            <w:tcW w:w="1280" w:type="dxa"/>
            <w:vMerge w:val="restart"/>
            <w:tcBorders>
              <w:right w:val="single" w:color="auto" w:sz="6" w:space="0"/>
            </w:tcBorders>
            <w:vAlign w:val="center"/>
          </w:tcPr>
          <w:p>
            <w:pPr>
              <w:jc w:val="center"/>
              <w:rPr>
                <w:rFonts w:hint="eastAsia" w:ascii="新宋体" w:hAnsi="新宋体" w:eastAsia="新宋体"/>
                <w:color w:val="auto"/>
                <w:sz w:val="22"/>
                <w:szCs w:val="22"/>
              </w:rPr>
            </w:pPr>
            <w:r>
              <w:rPr>
                <w:rFonts w:hint="eastAsia" w:ascii="新宋体" w:hAnsi="新宋体" w:eastAsia="新宋体"/>
                <w:color w:val="auto"/>
                <w:sz w:val="22"/>
                <w:szCs w:val="22"/>
                <w:lang w:val="en-US" w:eastAsia="zh-CN"/>
              </w:rPr>
              <w:t>0-12</w:t>
            </w:r>
            <w:r>
              <w:rPr>
                <w:rFonts w:hint="eastAsia" w:ascii="新宋体" w:hAnsi="新宋体" w:eastAsia="新宋体"/>
                <w:color w:val="auto"/>
                <w:sz w:val="22"/>
                <w:szCs w:val="22"/>
              </w:rPr>
              <w:t>分</w:t>
            </w:r>
          </w:p>
        </w:tc>
        <w:tc>
          <w:tcPr>
            <w:tcW w:w="4509" w:type="dxa"/>
            <w:tcBorders>
              <w:left w:val="single" w:color="auto" w:sz="6" w:space="0"/>
            </w:tcBorders>
            <w:vAlign w:val="center"/>
          </w:tcPr>
          <w:p>
            <w:pPr>
              <w:numPr>
                <w:ilvl w:val="0"/>
                <w:numId w:val="0"/>
              </w:numPr>
              <w:rPr>
                <w:rFonts w:hint="eastAsia" w:ascii="新宋体" w:hAnsi="新宋体" w:eastAsia="新宋体"/>
                <w:color w:val="auto"/>
                <w:sz w:val="22"/>
                <w:szCs w:val="22"/>
              </w:rPr>
            </w:pPr>
            <w:r>
              <w:rPr>
                <w:rFonts w:hint="eastAsia" w:ascii="新宋体" w:hAnsi="新宋体" w:eastAsia="新宋体"/>
                <w:color w:val="auto"/>
                <w:sz w:val="22"/>
                <w:szCs w:val="22"/>
              </w:rPr>
              <w:t>根据投标供应商对项目范围内物业管理的现状、存在的问题等</w:t>
            </w:r>
            <w:r>
              <w:rPr>
                <w:rFonts w:hint="eastAsia" w:ascii="新宋体" w:hAnsi="新宋体" w:eastAsia="新宋体"/>
                <w:color w:val="auto"/>
                <w:sz w:val="22"/>
                <w:szCs w:val="22"/>
                <w:lang w:val="en-US" w:eastAsia="zh-CN"/>
              </w:rPr>
              <w:t>进行打分</w:t>
            </w:r>
            <w:r>
              <w:rPr>
                <w:rFonts w:hint="eastAsia" w:ascii="新宋体" w:hAnsi="新宋体" w:eastAsia="新宋体"/>
                <w:color w:val="auto"/>
                <w:sz w:val="22"/>
                <w:szCs w:val="22"/>
              </w:rPr>
              <w:t>；</w:t>
            </w:r>
          </w:p>
          <w:p>
            <w:pPr>
              <w:rPr>
                <w:rFonts w:hint="eastAsia" w:ascii="新宋体" w:hAnsi="新宋体" w:eastAsia="新宋体"/>
                <w:color w:val="auto"/>
                <w:sz w:val="22"/>
                <w:szCs w:val="22"/>
              </w:rPr>
            </w:pPr>
            <w:r>
              <w:rPr>
                <w:rFonts w:hint="eastAsia" w:ascii="Times New Roman" w:hAnsi="宋体" w:eastAsia="宋体" w:cs="Times New Roman"/>
                <w:color w:val="auto"/>
                <w:kern w:val="2"/>
                <w:sz w:val="22"/>
                <w:szCs w:val="22"/>
                <w:lang w:val="en-US" w:eastAsia="zh-CN" w:bidi="ar-SA"/>
              </w:rPr>
              <w:t>分析完全明确：</w:t>
            </w:r>
            <w:r>
              <w:rPr>
                <w:rFonts w:hint="eastAsia" w:ascii="Times New Roman"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分；分析基本明确：</w:t>
            </w:r>
            <w:r>
              <w:rPr>
                <w:rFonts w:hint="eastAsia" w:ascii="Times New Roman"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.1-</w:t>
            </w:r>
            <w:r>
              <w:rPr>
                <w:rFonts w:hint="eastAsia" w:ascii="Times New Roman"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分；分析部分明确：0-</w:t>
            </w:r>
            <w:r>
              <w:rPr>
                <w:rFonts w:hint="eastAsia" w:ascii="Times New Roman"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748" w:type="dxa"/>
            <w:vMerge w:val="continue"/>
            <w:vAlign w:val="center"/>
          </w:tcPr>
          <w:p>
            <w:pPr>
              <w:spacing w:line="440" w:lineRule="exact"/>
              <w:ind w:left="-50"/>
              <w:jc w:val="center"/>
              <w:rPr>
                <w:rFonts w:hint="eastAsia" w:ascii="新宋体" w:hAnsi="新宋体" w:eastAsia="新宋体"/>
                <w:bCs/>
                <w:sz w:val="22"/>
                <w:szCs w:val="22"/>
              </w:rPr>
            </w:pPr>
          </w:p>
        </w:tc>
        <w:tc>
          <w:tcPr>
            <w:tcW w:w="3212" w:type="dxa"/>
            <w:vMerge w:val="continue"/>
            <w:vAlign w:val="center"/>
          </w:tcPr>
          <w:p>
            <w:pPr>
              <w:rPr>
                <w:rFonts w:hint="eastAsia" w:ascii="新宋体" w:hAnsi="新宋体" w:eastAsia="新宋体"/>
                <w:sz w:val="22"/>
                <w:szCs w:val="22"/>
              </w:rPr>
            </w:pPr>
          </w:p>
        </w:tc>
        <w:tc>
          <w:tcPr>
            <w:tcW w:w="1280" w:type="dxa"/>
            <w:vMerge w:val="continue"/>
            <w:tcBorders>
              <w:right w:val="single" w:color="auto" w:sz="6" w:space="0"/>
            </w:tcBorders>
            <w:vAlign w:val="center"/>
          </w:tcPr>
          <w:p>
            <w:pPr>
              <w:jc w:val="center"/>
              <w:rPr>
                <w:rFonts w:hint="eastAsia" w:ascii="新宋体" w:hAnsi="新宋体" w:eastAsia="新宋体"/>
                <w:color w:val="auto"/>
                <w:sz w:val="22"/>
                <w:szCs w:val="22"/>
              </w:rPr>
            </w:pPr>
          </w:p>
        </w:tc>
        <w:tc>
          <w:tcPr>
            <w:tcW w:w="4509" w:type="dxa"/>
            <w:tcBorders>
              <w:left w:val="single" w:color="auto" w:sz="6" w:space="0"/>
            </w:tcBorders>
            <w:vAlign w:val="center"/>
          </w:tcPr>
          <w:p>
            <w:pPr>
              <w:numPr>
                <w:ilvl w:val="0"/>
                <w:numId w:val="0"/>
              </w:numPr>
              <w:rPr>
                <w:rFonts w:hint="eastAsia" w:ascii="新宋体" w:hAnsi="新宋体" w:eastAsia="新宋体"/>
                <w:color w:val="auto"/>
                <w:sz w:val="22"/>
                <w:szCs w:val="22"/>
              </w:rPr>
            </w:pPr>
            <w:r>
              <w:rPr>
                <w:rFonts w:hint="eastAsia" w:ascii="新宋体" w:hAnsi="新宋体" w:eastAsia="新宋体"/>
                <w:color w:val="auto"/>
                <w:sz w:val="22"/>
                <w:szCs w:val="22"/>
              </w:rPr>
              <w:t>物业化管理的重点、难点等问题进行调查剖析；</w:t>
            </w:r>
          </w:p>
          <w:p>
            <w:pPr>
              <w:rPr>
                <w:rFonts w:hint="eastAsia" w:ascii="新宋体" w:hAnsi="新宋体" w:eastAsia="新宋体"/>
                <w:color w:val="auto"/>
                <w:sz w:val="22"/>
                <w:szCs w:val="22"/>
              </w:rPr>
            </w:pPr>
            <w:r>
              <w:rPr>
                <w:rFonts w:hint="eastAsia" w:ascii="Times New Roman" w:hAnsi="宋体" w:eastAsia="宋体" w:cs="Times New Roman"/>
                <w:color w:val="auto"/>
                <w:kern w:val="2"/>
                <w:sz w:val="22"/>
                <w:szCs w:val="22"/>
                <w:lang w:val="en-US" w:eastAsia="zh-CN" w:bidi="ar-SA"/>
              </w:rPr>
              <w:t>分析完全明确：</w:t>
            </w:r>
            <w:r>
              <w:rPr>
                <w:rFonts w:hint="eastAsia" w:ascii="Times New Roman"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分；分析基本明确：</w:t>
            </w:r>
            <w:r>
              <w:rPr>
                <w:rFonts w:hint="eastAsia" w:ascii="Times New Roman"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.1-</w:t>
            </w:r>
            <w:r>
              <w:rPr>
                <w:rFonts w:hint="eastAsia" w:ascii="Times New Roman"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分；分析部分明确：0-</w:t>
            </w:r>
            <w:r>
              <w:rPr>
                <w:rFonts w:hint="eastAsia" w:ascii="Times New Roman"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trPr>
        <w:tc>
          <w:tcPr>
            <w:tcW w:w="748" w:type="dxa"/>
            <w:vMerge w:val="continue"/>
            <w:vAlign w:val="center"/>
          </w:tcPr>
          <w:p>
            <w:pPr>
              <w:spacing w:line="440" w:lineRule="exact"/>
              <w:ind w:left="-50"/>
              <w:jc w:val="center"/>
              <w:rPr>
                <w:rFonts w:hint="eastAsia" w:ascii="新宋体" w:hAnsi="新宋体" w:eastAsia="新宋体"/>
                <w:bCs/>
                <w:sz w:val="22"/>
                <w:szCs w:val="22"/>
              </w:rPr>
            </w:pPr>
          </w:p>
        </w:tc>
        <w:tc>
          <w:tcPr>
            <w:tcW w:w="3212" w:type="dxa"/>
            <w:vMerge w:val="continue"/>
            <w:vAlign w:val="center"/>
          </w:tcPr>
          <w:p>
            <w:pPr>
              <w:rPr>
                <w:rFonts w:hint="eastAsia" w:ascii="新宋体" w:hAnsi="新宋体" w:eastAsia="新宋体"/>
                <w:sz w:val="22"/>
                <w:szCs w:val="22"/>
              </w:rPr>
            </w:pPr>
          </w:p>
        </w:tc>
        <w:tc>
          <w:tcPr>
            <w:tcW w:w="1280" w:type="dxa"/>
            <w:vMerge w:val="continue"/>
            <w:tcBorders>
              <w:right w:val="single" w:color="auto" w:sz="6" w:space="0"/>
            </w:tcBorders>
            <w:vAlign w:val="center"/>
          </w:tcPr>
          <w:p>
            <w:pPr>
              <w:jc w:val="center"/>
              <w:rPr>
                <w:rFonts w:hint="eastAsia" w:ascii="新宋体" w:hAnsi="新宋体" w:eastAsia="新宋体"/>
                <w:color w:val="auto"/>
                <w:sz w:val="22"/>
                <w:szCs w:val="22"/>
              </w:rPr>
            </w:pPr>
          </w:p>
        </w:tc>
        <w:tc>
          <w:tcPr>
            <w:tcW w:w="4509" w:type="dxa"/>
            <w:tcBorders>
              <w:left w:val="single" w:color="auto" w:sz="6" w:space="0"/>
            </w:tcBorders>
            <w:vAlign w:val="center"/>
          </w:tcPr>
          <w:p>
            <w:pPr>
              <w:numPr>
                <w:ilvl w:val="0"/>
                <w:numId w:val="0"/>
              </w:numPr>
              <w:rPr>
                <w:rFonts w:hint="eastAsia" w:ascii="新宋体" w:hAnsi="新宋体" w:eastAsia="新宋体"/>
                <w:color w:val="auto"/>
                <w:sz w:val="22"/>
                <w:szCs w:val="22"/>
              </w:rPr>
            </w:pPr>
            <w:r>
              <w:rPr>
                <w:rFonts w:hint="eastAsia" w:ascii="新宋体" w:hAnsi="新宋体" w:eastAsia="新宋体"/>
                <w:color w:val="auto"/>
                <w:sz w:val="22"/>
                <w:szCs w:val="22"/>
              </w:rPr>
              <w:t>针对问题的提出合理化的看法、设想和建议；</w:t>
            </w:r>
          </w:p>
          <w:p>
            <w:pPr>
              <w:rPr>
                <w:rFonts w:hint="eastAsia" w:ascii="新宋体" w:hAnsi="新宋体" w:eastAsia="新宋体"/>
                <w:color w:val="auto"/>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748" w:type="dxa"/>
            <w:vMerge w:val="restart"/>
            <w:vAlign w:val="center"/>
          </w:tcPr>
          <w:p>
            <w:pPr>
              <w:spacing w:line="440" w:lineRule="exact"/>
              <w:ind w:left="-50"/>
              <w:jc w:val="center"/>
              <w:rPr>
                <w:rFonts w:hint="eastAsia" w:ascii="新宋体" w:hAnsi="新宋体" w:eastAsia="新宋体"/>
                <w:bCs/>
                <w:sz w:val="22"/>
                <w:szCs w:val="22"/>
              </w:rPr>
            </w:pPr>
            <w:r>
              <w:rPr>
                <w:rFonts w:hint="eastAsia" w:ascii="新宋体" w:hAnsi="新宋体" w:eastAsia="新宋体"/>
                <w:bCs/>
                <w:sz w:val="22"/>
                <w:szCs w:val="22"/>
              </w:rPr>
              <w:t>2</w:t>
            </w:r>
          </w:p>
        </w:tc>
        <w:tc>
          <w:tcPr>
            <w:tcW w:w="3212" w:type="dxa"/>
            <w:vMerge w:val="restart"/>
            <w:tcBorders>
              <w:top w:val="single" w:color="auto" w:sz="8" w:space="0"/>
            </w:tcBorders>
            <w:vAlign w:val="center"/>
          </w:tcPr>
          <w:p>
            <w:pPr>
              <w:rPr>
                <w:rFonts w:hint="eastAsia" w:ascii="新宋体" w:hAnsi="新宋体" w:eastAsia="新宋体"/>
                <w:sz w:val="22"/>
                <w:szCs w:val="22"/>
              </w:rPr>
            </w:pPr>
            <w:r>
              <w:rPr>
                <w:rFonts w:hint="eastAsia" w:ascii="新宋体" w:hAnsi="新宋体" w:eastAsia="新宋体"/>
                <w:sz w:val="22"/>
                <w:szCs w:val="22"/>
              </w:rPr>
              <w:t>物业化实施方案</w:t>
            </w:r>
          </w:p>
        </w:tc>
        <w:tc>
          <w:tcPr>
            <w:tcW w:w="1280" w:type="dxa"/>
            <w:vMerge w:val="restart"/>
            <w:tcBorders>
              <w:top w:val="single" w:color="auto" w:sz="8" w:space="0"/>
              <w:right w:val="single" w:color="auto" w:sz="6" w:space="0"/>
            </w:tcBorders>
            <w:vAlign w:val="center"/>
          </w:tcPr>
          <w:p>
            <w:pPr>
              <w:spacing w:line="440" w:lineRule="exact"/>
              <w:jc w:val="center"/>
              <w:rPr>
                <w:rFonts w:hint="eastAsia" w:ascii="新宋体" w:hAnsi="新宋体" w:eastAsia="新宋体"/>
                <w:sz w:val="22"/>
                <w:szCs w:val="22"/>
              </w:rPr>
            </w:pPr>
            <w:r>
              <w:rPr>
                <w:rFonts w:hint="eastAsia" w:ascii="新宋体" w:hAnsi="新宋体" w:eastAsia="新宋体"/>
                <w:color w:val="auto"/>
                <w:sz w:val="22"/>
                <w:szCs w:val="22"/>
                <w:lang w:val="en-US" w:eastAsia="zh-CN"/>
              </w:rPr>
              <w:t>0-</w:t>
            </w:r>
            <w:r>
              <w:rPr>
                <w:rFonts w:hint="eastAsia" w:ascii="新宋体" w:hAnsi="新宋体" w:eastAsia="新宋体"/>
                <w:color w:val="auto"/>
                <w:sz w:val="22"/>
                <w:szCs w:val="22"/>
              </w:rPr>
              <w:t>3</w:t>
            </w:r>
            <w:r>
              <w:rPr>
                <w:rFonts w:hint="eastAsia" w:ascii="新宋体" w:hAnsi="新宋体" w:eastAsia="新宋体"/>
                <w:color w:val="auto"/>
                <w:sz w:val="22"/>
                <w:szCs w:val="22"/>
                <w:lang w:val="en-US" w:eastAsia="zh-CN"/>
              </w:rPr>
              <w:t>6</w:t>
            </w:r>
            <w:r>
              <w:rPr>
                <w:rFonts w:hint="eastAsia" w:ascii="新宋体" w:hAnsi="新宋体" w:eastAsia="新宋体"/>
                <w:color w:val="auto"/>
                <w:sz w:val="22"/>
                <w:szCs w:val="22"/>
              </w:rPr>
              <w:t>分</w:t>
            </w:r>
          </w:p>
        </w:tc>
        <w:tc>
          <w:tcPr>
            <w:tcW w:w="4509" w:type="dxa"/>
            <w:tcBorders>
              <w:top w:val="single" w:color="auto" w:sz="8" w:space="0"/>
              <w:left w:val="single" w:color="auto" w:sz="6" w:space="0"/>
              <w:bottom w:val="single" w:color="auto" w:sz="4" w:space="0"/>
            </w:tcBorders>
            <w:vAlign w:val="center"/>
          </w:tcPr>
          <w:p>
            <w:pPr>
              <w:numPr>
                <w:ilvl w:val="0"/>
                <w:numId w:val="0"/>
              </w:numPr>
              <w:rPr>
                <w:rFonts w:hint="eastAsia" w:ascii="新宋体" w:hAnsi="新宋体" w:eastAsia="新宋体"/>
                <w:sz w:val="22"/>
                <w:szCs w:val="22"/>
              </w:rPr>
            </w:pPr>
            <w:r>
              <w:rPr>
                <w:rFonts w:hint="eastAsia" w:ascii="新宋体" w:hAnsi="新宋体" w:eastAsia="新宋体"/>
                <w:sz w:val="22"/>
                <w:szCs w:val="22"/>
              </w:rPr>
              <w:t>物业化实施计划：</w:t>
            </w:r>
          </w:p>
          <w:p>
            <w:pPr>
              <w:numPr>
                <w:ilvl w:val="0"/>
                <w:numId w:val="8"/>
              </w:numPr>
              <w:rPr>
                <w:rFonts w:hint="eastAsia" w:ascii="新宋体" w:hAnsi="新宋体" w:eastAsia="新宋体"/>
                <w:sz w:val="22"/>
                <w:szCs w:val="22"/>
              </w:rPr>
            </w:pPr>
            <w:r>
              <w:rPr>
                <w:rFonts w:hint="eastAsia" w:ascii="新宋体" w:hAnsi="新宋体" w:eastAsia="新宋体"/>
                <w:sz w:val="22"/>
                <w:szCs w:val="22"/>
              </w:rPr>
              <w:t>运行操作 2）检查观测 3）维修养护保洁等情况</w:t>
            </w:r>
            <w:r>
              <w:rPr>
                <w:rFonts w:hint="eastAsia" w:ascii="新宋体" w:hAnsi="新宋体" w:eastAsia="新宋体"/>
                <w:sz w:val="22"/>
                <w:szCs w:val="22"/>
                <w:lang w:val="en-US" w:eastAsia="zh-CN"/>
              </w:rPr>
              <w:t>进行</w:t>
            </w:r>
            <w:r>
              <w:rPr>
                <w:rFonts w:hint="eastAsia" w:ascii="新宋体" w:hAnsi="新宋体" w:eastAsia="新宋体"/>
                <w:sz w:val="22"/>
                <w:szCs w:val="22"/>
              </w:rPr>
              <w:t>打分。</w:t>
            </w:r>
          </w:p>
          <w:p>
            <w:pPr>
              <w:rPr>
                <w:rFonts w:hint="eastAsia" w:ascii="新宋体" w:hAnsi="新宋体" w:eastAsia="新宋体"/>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9</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748" w:type="dxa"/>
            <w:vMerge w:val="continue"/>
            <w:tcBorders>
              <w:bottom w:val="single" w:color="auto" w:sz="4" w:space="0"/>
            </w:tcBorders>
            <w:vAlign w:val="center"/>
          </w:tcPr>
          <w:p>
            <w:pPr>
              <w:rPr>
                <w:sz w:val="22"/>
                <w:szCs w:val="22"/>
              </w:rPr>
            </w:pPr>
          </w:p>
        </w:tc>
        <w:tc>
          <w:tcPr>
            <w:tcW w:w="3212" w:type="dxa"/>
            <w:vMerge w:val="continue"/>
            <w:vAlign w:val="center"/>
          </w:tcPr>
          <w:p>
            <w:pPr>
              <w:rPr>
                <w:sz w:val="22"/>
                <w:szCs w:val="22"/>
              </w:rPr>
            </w:pPr>
          </w:p>
        </w:tc>
        <w:tc>
          <w:tcPr>
            <w:tcW w:w="1280" w:type="dxa"/>
            <w:vMerge w:val="continue"/>
            <w:tcBorders>
              <w:bottom w:val="single" w:color="auto" w:sz="4" w:space="0"/>
              <w:right w:val="single" w:color="auto" w:sz="6" w:space="0"/>
            </w:tcBorders>
            <w:vAlign w:val="center"/>
          </w:tcPr>
          <w:p>
            <w:pPr>
              <w:rPr>
                <w:sz w:val="22"/>
                <w:szCs w:val="22"/>
              </w:rPr>
            </w:pPr>
          </w:p>
        </w:tc>
        <w:tc>
          <w:tcPr>
            <w:tcW w:w="4509" w:type="dxa"/>
            <w:tcBorders>
              <w:top w:val="single" w:color="auto" w:sz="8" w:space="0"/>
              <w:left w:val="single" w:color="auto" w:sz="6" w:space="0"/>
              <w:bottom w:val="single" w:color="auto" w:sz="4" w:space="0"/>
            </w:tcBorders>
            <w:vAlign w:val="center"/>
          </w:tcPr>
          <w:p>
            <w:pPr>
              <w:numPr>
                <w:ilvl w:val="0"/>
                <w:numId w:val="0"/>
              </w:numPr>
              <w:rPr>
                <w:rFonts w:hint="eastAsia" w:ascii="新宋体" w:hAnsi="新宋体" w:eastAsia="新宋体"/>
                <w:sz w:val="22"/>
                <w:szCs w:val="22"/>
              </w:rPr>
            </w:pPr>
            <w:r>
              <w:rPr>
                <w:rFonts w:hint="eastAsia" w:ascii="新宋体" w:hAnsi="新宋体" w:eastAsia="新宋体"/>
                <w:sz w:val="22"/>
                <w:szCs w:val="22"/>
              </w:rPr>
              <w:t>岗位人员：</w:t>
            </w:r>
          </w:p>
          <w:p>
            <w:pPr>
              <w:numPr>
                <w:ilvl w:val="0"/>
                <w:numId w:val="9"/>
              </w:numPr>
              <w:rPr>
                <w:rFonts w:hint="eastAsia" w:ascii="新宋体" w:hAnsi="新宋体" w:eastAsia="新宋体"/>
                <w:sz w:val="22"/>
                <w:szCs w:val="22"/>
              </w:rPr>
            </w:pPr>
            <w:r>
              <w:rPr>
                <w:rFonts w:hint="eastAsia" w:ascii="新宋体" w:hAnsi="新宋体" w:eastAsia="新宋体"/>
                <w:sz w:val="22"/>
                <w:szCs w:val="22"/>
              </w:rPr>
              <w:t>人员分工 2）岗位人员职责 3）人员考核制度及响应方案等情况</w:t>
            </w:r>
            <w:r>
              <w:rPr>
                <w:rFonts w:hint="eastAsia" w:ascii="新宋体" w:hAnsi="新宋体" w:eastAsia="新宋体"/>
                <w:sz w:val="22"/>
                <w:szCs w:val="22"/>
                <w:lang w:val="en-US" w:eastAsia="zh-CN"/>
              </w:rPr>
              <w:t>进行</w:t>
            </w:r>
            <w:r>
              <w:rPr>
                <w:rFonts w:hint="eastAsia" w:ascii="新宋体" w:hAnsi="新宋体" w:eastAsia="新宋体"/>
                <w:sz w:val="22"/>
                <w:szCs w:val="22"/>
              </w:rPr>
              <w:t>打分。</w:t>
            </w:r>
          </w:p>
          <w:p>
            <w:pPr>
              <w:rPr>
                <w:rFonts w:hint="eastAsia" w:ascii="新宋体" w:hAnsi="新宋体" w:eastAsia="新宋体"/>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748" w:type="dxa"/>
            <w:vMerge w:val="continue"/>
            <w:vAlign w:val="center"/>
          </w:tcPr>
          <w:p>
            <w:pPr>
              <w:spacing w:line="440" w:lineRule="exact"/>
              <w:ind w:left="-50"/>
              <w:jc w:val="center"/>
              <w:rPr>
                <w:rFonts w:hint="eastAsia" w:ascii="新宋体" w:hAnsi="新宋体" w:eastAsia="新宋体"/>
                <w:bCs/>
                <w:sz w:val="22"/>
                <w:szCs w:val="22"/>
              </w:rPr>
            </w:pPr>
          </w:p>
        </w:tc>
        <w:tc>
          <w:tcPr>
            <w:tcW w:w="3212" w:type="dxa"/>
            <w:vMerge w:val="continue"/>
            <w:vAlign w:val="center"/>
          </w:tcPr>
          <w:p>
            <w:pPr>
              <w:rPr>
                <w:rFonts w:hint="eastAsia" w:ascii="新宋体" w:hAnsi="新宋体" w:eastAsia="新宋体"/>
                <w:sz w:val="22"/>
                <w:szCs w:val="22"/>
              </w:rPr>
            </w:pPr>
          </w:p>
        </w:tc>
        <w:tc>
          <w:tcPr>
            <w:tcW w:w="1280" w:type="dxa"/>
            <w:vMerge w:val="continue"/>
            <w:tcBorders>
              <w:right w:val="single" w:color="auto" w:sz="6" w:space="0"/>
            </w:tcBorders>
            <w:vAlign w:val="center"/>
          </w:tcPr>
          <w:p>
            <w:pPr>
              <w:spacing w:line="440" w:lineRule="exact"/>
              <w:jc w:val="center"/>
              <w:rPr>
                <w:rFonts w:hint="eastAsia" w:ascii="新宋体" w:hAnsi="新宋体" w:eastAsia="新宋体"/>
                <w:sz w:val="22"/>
                <w:szCs w:val="22"/>
              </w:rPr>
            </w:pPr>
          </w:p>
        </w:tc>
        <w:tc>
          <w:tcPr>
            <w:tcW w:w="4509" w:type="dxa"/>
            <w:tcBorders>
              <w:left w:val="single" w:color="auto" w:sz="6" w:space="0"/>
              <w:bottom w:val="single" w:color="auto" w:sz="4" w:space="0"/>
            </w:tcBorders>
            <w:vAlign w:val="center"/>
          </w:tcPr>
          <w:p>
            <w:pPr>
              <w:rPr>
                <w:rFonts w:hint="eastAsia" w:ascii="新宋体" w:hAnsi="新宋体" w:eastAsia="新宋体"/>
                <w:sz w:val="22"/>
                <w:szCs w:val="22"/>
              </w:rPr>
            </w:pPr>
            <w:r>
              <w:rPr>
                <w:rFonts w:hint="eastAsia" w:ascii="新宋体" w:hAnsi="新宋体" w:eastAsia="新宋体"/>
                <w:sz w:val="22"/>
                <w:szCs w:val="22"/>
              </w:rPr>
              <w:t>配置的工具情况；清洁药剂情况；维修的材料情况；用途效果情况；</w:t>
            </w:r>
          </w:p>
          <w:p>
            <w:pPr>
              <w:rPr>
                <w:rFonts w:hint="eastAsia" w:ascii="新宋体" w:hAnsi="新宋体" w:eastAsia="新宋体"/>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 w:hRule="atLeast"/>
        </w:trPr>
        <w:tc>
          <w:tcPr>
            <w:tcW w:w="748" w:type="dxa"/>
            <w:vMerge w:val="continue"/>
            <w:vAlign w:val="center"/>
          </w:tcPr>
          <w:p>
            <w:pPr>
              <w:spacing w:line="440" w:lineRule="exact"/>
              <w:ind w:left="-50"/>
              <w:jc w:val="center"/>
              <w:rPr>
                <w:rFonts w:hint="eastAsia" w:ascii="新宋体" w:hAnsi="新宋体" w:eastAsia="新宋体"/>
                <w:bCs/>
                <w:sz w:val="22"/>
                <w:szCs w:val="22"/>
              </w:rPr>
            </w:pPr>
          </w:p>
        </w:tc>
        <w:tc>
          <w:tcPr>
            <w:tcW w:w="3212" w:type="dxa"/>
            <w:vMerge w:val="continue"/>
            <w:tcBorders>
              <w:bottom w:val="single" w:color="auto" w:sz="4" w:space="0"/>
            </w:tcBorders>
            <w:vAlign w:val="center"/>
          </w:tcPr>
          <w:p>
            <w:pPr>
              <w:rPr>
                <w:rFonts w:hint="eastAsia" w:ascii="新宋体" w:hAnsi="新宋体" w:eastAsia="新宋体"/>
                <w:sz w:val="22"/>
                <w:szCs w:val="22"/>
              </w:rPr>
            </w:pPr>
          </w:p>
        </w:tc>
        <w:tc>
          <w:tcPr>
            <w:tcW w:w="1280" w:type="dxa"/>
            <w:vMerge w:val="continue"/>
            <w:tcBorders>
              <w:bottom w:val="single" w:color="auto" w:sz="8" w:space="0"/>
              <w:right w:val="single" w:color="auto" w:sz="6" w:space="0"/>
            </w:tcBorders>
            <w:vAlign w:val="center"/>
          </w:tcPr>
          <w:p>
            <w:pPr>
              <w:spacing w:line="440" w:lineRule="exact"/>
              <w:jc w:val="center"/>
              <w:rPr>
                <w:rFonts w:hint="eastAsia" w:ascii="新宋体" w:hAnsi="新宋体" w:eastAsia="新宋体"/>
                <w:sz w:val="22"/>
                <w:szCs w:val="22"/>
              </w:rPr>
            </w:pPr>
          </w:p>
        </w:tc>
        <w:tc>
          <w:tcPr>
            <w:tcW w:w="4509" w:type="dxa"/>
            <w:tcBorders>
              <w:left w:val="single" w:color="auto" w:sz="6" w:space="0"/>
              <w:bottom w:val="single" w:color="auto" w:sz="8" w:space="0"/>
            </w:tcBorders>
            <w:vAlign w:val="center"/>
          </w:tcPr>
          <w:p>
            <w:pPr>
              <w:rPr>
                <w:rFonts w:hint="eastAsia" w:ascii="新宋体" w:hAnsi="新宋体" w:eastAsia="新宋体"/>
                <w:sz w:val="22"/>
                <w:szCs w:val="22"/>
              </w:rPr>
            </w:pPr>
            <w:r>
              <w:rPr>
                <w:rFonts w:hint="eastAsia" w:ascii="新宋体" w:hAnsi="新宋体" w:eastAsia="新宋体"/>
                <w:sz w:val="22"/>
                <w:szCs w:val="22"/>
                <w:lang w:val="en-US" w:eastAsia="zh-CN"/>
              </w:rPr>
              <w:t>根据</w:t>
            </w:r>
            <w:r>
              <w:rPr>
                <w:rFonts w:hint="eastAsia" w:ascii="新宋体" w:hAnsi="新宋体" w:eastAsia="新宋体"/>
                <w:sz w:val="22"/>
                <w:szCs w:val="22"/>
              </w:rPr>
              <w:t>各项工作操作流程编制</w:t>
            </w:r>
            <w:r>
              <w:rPr>
                <w:rFonts w:hint="eastAsia" w:ascii="新宋体" w:hAnsi="新宋体" w:eastAsia="新宋体"/>
                <w:sz w:val="22"/>
                <w:szCs w:val="22"/>
                <w:lang w:val="en-US" w:eastAsia="zh-CN"/>
              </w:rPr>
              <w:t>情况</w:t>
            </w:r>
            <w:r>
              <w:rPr>
                <w:rFonts w:hint="eastAsia" w:ascii="新宋体" w:hAnsi="新宋体" w:eastAsia="新宋体"/>
                <w:sz w:val="22"/>
                <w:szCs w:val="22"/>
              </w:rPr>
              <w:t>，要求工作流程符合工程管理实际，流程操作性强，环节清晰，各项工作能落实到人。</w:t>
            </w:r>
          </w:p>
          <w:p>
            <w:pPr>
              <w:rPr>
                <w:rFonts w:hint="eastAsia" w:ascii="新宋体" w:hAnsi="新宋体" w:eastAsia="新宋体"/>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8</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6</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3</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1" w:hRule="atLeast"/>
        </w:trPr>
        <w:tc>
          <w:tcPr>
            <w:tcW w:w="748" w:type="dxa"/>
            <w:vMerge w:val="continue"/>
            <w:vAlign w:val="center"/>
          </w:tcPr>
          <w:p>
            <w:pPr>
              <w:rPr>
                <w:sz w:val="22"/>
                <w:szCs w:val="22"/>
              </w:rPr>
            </w:pPr>
          </w:p>
        </w:tc>
        <w:tc>
          <w:tcPr>
            <w:tcW w:w="3212" w:type="dxa"/>
            <w:vMerge w:val="continue"/>
            <w:tcBorders>
              <w:bottom w:val="single" w:color="auto" w:sz="4" w:space="0"/>
            </w:tcBorders>
            <w:vAlign w:val="center"/>
          </w:tcPr>
          <w:p>
            <w:pPr>
              <w:rPr>
                <w:sz w:val="22"/>
                <w:szCs w:val="22"/>
              </w:rPr>
            </w:pPr>
          </w:p>
        </w:tc>
        <w:tc>
          <w:tcPr>
            <w:tcW w:w="1280" w:type="dxa"/>
            <w:vMerge w:val="continue"/>
            <w:tcBorders>
              <w:bottom w:val="single" w:color="auto" w:sz="8" w:space="0"/>
              <w:right w:val="single" w:color="auto" w:sz="6" w:space="0"/>
            </w:tcBorders>
            <w:vAlign w:val="center"/>
          </w:tcPr>
          <w:p>
            <w:pPr>
              <w:rPr>
                <w:sz w:val="22"/>
                <w:szCs w:val="22"/>
              </w:rPr>
            </w:pPr>
          </w:p>
        </w:tc>
        <w:tc>
          <w:tcPr>
            <w:tcW w:w="4509" w:type="dxa"/>
            <w:tcBorders>
              <w:left w:val="single" w:color="auto" w:sz="6" w:space="0"/>
              <w:bottom w:val="single" w:color="auto" w:sz="8" w:space="0"/>
            </w:tcBorders>
            <w:vAlign w:val="center"/>
          </w:tcPr>
          <w:p>
            <w:pPr>
              <w:rPr>
                <w:rFonts w:hint="eastAsia" w:ascii="新宋体" w:hAnsi="新宋体" w:eastAsia="新宋体"/>
                <w:sz w:val="22"/>
                <w:szCs w:val="22"/>
              </w:rPr>
            </w:pPr>
            <w:r>
              <w:rPr>
                <w:rFonts w:hint="eastAsia" w:ascii="新宋体" w:hAnsi="新宋体" w:eastAsia="新宋体"/>
                <w:sz w:val="22"/>
                <w:szCs w:val="22"/>
              </w:rPr>
              <w:t>根据针对本项目的绿化养护保洁实施方案</w:t>
            </w:r>
            <w:r>
              <w:rPr>
                <w:rFonts w:hint="eastAsia" w:ascii="新宋体" w:hAnsi="新宋体" w:eastAsia="新宋体"/>
                <w:sz w:val="22"/>
                <w:szCs w:val="22"/>
                <w:lang w:val="en-US" w:eastAsia="zh-CN"/>
              </w:rPr>
              <w:t>进行</w:t>
            </w:r>
            <w:r>
              <w:rPr>
                <w:rFonts w:hint="eastAsia" w:ascii="新宋体" w:hAnsi="新宋体" w:eastAsia="新宋体"/>
                <w:sz w:val="22"/>
                <w:szCs w:val="22"/>
              </w:rPr>
              <w:t>打分。</w:t>
            </w:r>
          </w:p>
          <w:p>
            <w:pPr>
              <w:rPr>
                <w:rFonts w:hint="eastAsia" w:ascii="新宋体" w:hAnsi="新宋体" w:eastAsia="新宋体"/>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1</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1" w:hRule="atLeast"/>
        </w:trPr>
        <w:tc>
          <w:tcPr>
            <w:tcW w:w="748" w:type="dxa"/>
            <w:vMerge w:val="continue"/>
            <w:vAlign w:val="center"/>
          </w:tcPr>
          <w:p/>
        </w:tc>
        <w:tc>
          <w:tcPr>
            <w:tcW w:w="3212" w:type="dxa"/>
            <w:vMerge w:val="continue"/>
            <w:tcBorders>
              <w:bottom w:val="single" w:color="auto" w:sz="4" w:space="0"/>
            </w:tcBorders>
            <w:vAlign w:val="center"/>
          </w:tcPr>
          <w:p/>
        </w:tc>
        <w:tc>
          <w:tcPr>
            <w:tcW w:w="1280" w:type="dxa"/>
            <w:vMerge w:val="continue"/>
            <w:tcBorders>
              <w:bottom w:val="single" w:color="auto" w:sz="8" w:space="0"/>
              <w:right w:val="single" w:color="auto" w:sz="6" w:space="0"/>
            </w:tcBorders>
            <w:vAlign w:val="center"/>
          </w:tcPr>
          <w:p/>
        </w:tc>
        <w:tc>
          <w:tcPr>
            <w:tcW w:w="4509" w:type="dxa"/>
            <w:tcBorders>
              <w:left w:val="single" w:color="auto" w:sz="6" w:space="0"/>
              <w:bottom w:val="single" w:color="auto" w:sz="8" w:space="0"/>
            </w:tcBorders>
            <w:vAlign w:val="center"/>
          </w:tcPr>
          <w:p>
            <w:pPr>
              <w:rPr>
                <w:rFonts w:hint="eastAsia"/>
                <w:sz w:val="22"/>
                <w:szCs w:val="22"/>
              </w:rPr>
            </w:pPr>
            <w:r>
              <w:rPr>
                <w:rFonts w:hint="eastAsia" w:ascii="新宋体" w:hAnsi="新宋体" w:eastAsia="新宋体"/>
                <w:sz w:val="22"/>
                <w:szCs w:val="22"/>
              </w:rPr>
              <w:t>根据针对本项目</w:t>
            </w:r>
            <w:r>
              <w:rPr>
                <w:rFonts w:hint="eastAsia"/>
                <w:sz w:val="22"/>
                <w:szCs w:val="22"/>
              </w:rPr>
              <w:t>水闸、水库、山塘及海塘的保洁技术措施的可行性、适用性以及合理性</w:t>
            </w:r>
            <w:r>
              <w:rPr>
                <w:rFonts w:hint="eastAsia"/>
                <w:sz w:val="22"/>
                <w:szCs w:val="22"/>
                <w:lang w:val="en-US" w:eastAsia="zh-CN"/>
              </w:rPr>
              <w:t>进行</w:t>
            </w:r>
            <w:r>
              <w:rPr>
                <w:rFonts w:hint="eastAsia"/>
                <w:sz w:val="22"/>
                <w:szCs w:val="22"/>
              </w:rPr>
              <w:t>打分。</w:t>
            </w:r>
          </w:p>
          <w:p>
            <w:pPr>
              <w:rPr>
                <w:rFonts w:hint="eastAsia" w:ascii="Times New Roman" w:hAnsi="宋体" w:eastAsia="宋体" w:cs="Times New Roman"/>
                <w:color w:val="auto"/>
                <w:kern w:val="2"/>
                <w:sz w:val="22"/>
                <w:szCs w:val="22"/>
                <w:lang w:val="en-US" w:eastAsia="zh-CN" w:bidi="ar-SA"/>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748" w:type="dxa"/>
            <w:vMerge w:val="restart"/>
            <w:vAlign w:val="center"/>
          </w:tcPr>
          <w:p>
            <w:pPr>
              <w:spacing w:line="440" w:lineRule="exact"/>
              <w:jc w:val="center"/>
              <w:rPr>
                <w:rFonts w:hint="eastAsia" w:ascii="新宋体" w:hAnsi="新宋体" w:eastAsia="新宋体"/>
                <w:bCs/>
                <w:sz w:val="22"/>
                <w:szCs w:val="22"/>
              </w:rPr>
            </w:pPr>
            <w:r>
              <w:rPr>
                <w:rFonts w:hint="eastAsia" w:ascii="新宋体" w:hAnsi="新宋体" w:eastAsia="新宋体"/>
                <w:bCs/>
                <w:sz w:val="22"/>
                <w:szCs w:val="22"/>
              </w:rPr>
              <w:t>3</w:t>
            </w:r>
          </w:p>
        </w:tc>
        <w:tc>
          <w:tcPr>
            <w:tcW w:w="3212" w:type="dxa"/>
            <w:vMerge w:val="restart"/>
            <w:tcBorders>
              <w:top w:val="single" w:color="auto" w:sz="4" w:space="0"/>
            </w:tcBorders>
            <w:vAlign w:val="center"/>
          </w:tcPr>
          <w:p>
            <w:pPr>
              <w:rPr>
                <w:rFonts w:hint="eastAsia" w:ascii="新宋体" w:hAnsi="新宋体" w:eastAsia="新宋体"/>
                <w:sz w:val="22"/>
                <w:szCs w:val="22"/>
              </w:rPr>
            </w:pPr>
            <w:r>
              <w:rPr>
                <w:rFonts w:hint="eastAsia" w:ascii="新宋体" w:hAnsi="新宋体" w:eastAsia="新宋体"/>
                <w:sz w:val="22"/>
                <w:szCs w:val="22"/>
              </w:rPr>
              <w:t>防汛预案编制、应急突发事件方案</w:t>
            </w:r>
          </w:p>
        </w:tc>
        <w:tc>
          <w:tcPr>
            <w:tcW w:w="1280" w:type="dxa"/>
            <w:vMerge w:val="restart"/>
            <w:tcBorders>
              <w:top w:val="single" w:color="auto" w:sz="8" w:space="0"/>
              <w:right w:val="single" w:color="auto" w:sz="6" w:space="0"/>
            </w:tcBorders>
            <w:vAlign w:val="center"/>
          </w:tcPr>
          <w:p>
            <w:pPr>
              <w:spacing w:line="440" w:lineRule="exact"/>
              <w:jc w:val="center"/>
              <w:rPr>
                <w:rFonts w:hint="eastAsia" w:ascii="新宋体" w:hAnsi="新宋体" w:eastAsia="新宋体"/>
                <w:sz w:val="22"/>
                <w:szCs w:val="22"/>
              </w:rPr>
            </w:pPr>
            <w:r>
              <w:rPr>
                <w:rFonts w:hint="eastAsia" w:ascii="新宋体" w:hAnsi="新宋体" w:eastAsia="新宋体"/>
                <w:sz w:val="22"/>
                <w:szCs w:val="22"/>
                <w:lang w:val="en-US" w:eastAsia="zh-CN"/>
              </w:rPr>
              <w:t>0-</w:t>
            </w:r>
            <w:r>
              <w:rPr>
                <w:rFonts w:hint="eastAsia" w:ascii="新宋体" w:hAnsi="新宋体" w:eastAsia="新宋体"/>
                <w:sz w:val="22"/>
                <w:szCs w:val="22"/>
              </w:rPr>
              <w:t>10分</w:t>
            </w:r>
          </w:p>
        </w:tc>
        <w:tc>
          <w:tcPr>
            <w:tcW w:w="4509" w:type="dxa"/>
            <w:tcBorders>
              <w:top w:val="single" w:color="auto" w:sz="8" w:space="0"/>
              <w:left w:val="single" w:color="auto" w:sz="6" w:space="0"/>
            </w:tcBorders>
            <w:vAlign w:val="center"/>
          </w:tcPr>
          <w:p>
            <w:pPr>
              <w:rPr>
                <w:rFonts w:hint="eastAsia" w:ascii="新宋体" w:hAnsi="新宋体" w:eastAsia="新宋体"/>
                <w:sz w:val="22"/>
                <w:szCs w:val="22"/>
                <w:lang w:eastAsia="zh-CN"/>
              </w:rPr>
            </w:pPr>
            <w:r>
              <w:rPr>
                <w:rFonts w:hint="eastAsia" w:ascii="新宋体" w:hAnsi="新宋体" w:eastAsia="新宋体"/>
                <w:sz w:val="22"/>
                <w:szCs w:val="22"/>
              </w:rPr>
              <w:t>对防汛预案的处理方案是否合理、可行、到位等情况</w:t>
            </w:r>
            <w:r>
              <w:rPr>
                <w:rFonts w:hint="eastAsia" w:ascii="新宋体" w:hAnsi="新宋体" w:eastAsia="新宋体"/>
                <w:sz w:val="22"/>
                <w:szCs w:val="22"/>
                <w:lang w:val="en-US" w:eastAsia="zh-CN"/>
              </w:rPr>
              <w:t>进行</w:t>
            </w:r>
            <w:r>
              <w:rPr>
                <w:rFonts w:hint="eastAsia" w:ascii="新宋体" w:hAnsi="新宋体" w:eastAsia="新宋体"/>
                <w:sz w:val="22"/>
                <w:szCs w:val="22"/>
              </w:rPr>
              <w:t>打分</w:t>
            </w:r>
            <w:r>
              <w:rPr>
                <w:rFonts w:hint="eastAsia" w:ascii="新宋体" w:hAnsi="新宋体" w:eastAsia="新宋体"/>
                <w:sz w:val="22"/>
                <w:szCs w:val="22"/>
                <w:lang w:eastAsia="zh-CN"/>
              </w:rPr>
              <w:t>；</w:t>
            </w:r>
          </w:p>
          <w:p>
            <w:pPr>
              <w:rPr>
                <w:rFonts w:hint="eastAsia" w:ascii="新宋体" w:hAnsi="新宋体" w:eastAsia="新宋体"/>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748" w:type="dxa"/>
            <w:vMerge w:val="continue"/>
            <w:vAlign w:val="center"/>
          </w:tcPr>
          <w:p>
            <w:pPr>
              <w:spacing w:line="440" w:lineRule="exact"/>
              <w:jc w:val="center"/>
              <w:rPr>
                <w:rFonts w:hint="eastAsia" w:ascii="新宋体" w:hAnsi="新宋体" w:eastAsia="新宋体"/>
                <w:bCs/>
                <w:sz w:val="22"/>
                <w:szCs w:val="22"/>
              </w:rPr>
            </w:pPr>
          </w:p>
        </w:tc>
        <w:tc>
          <w:tcPr>
            <w:tcW w:w="3212" w:type="dxa"/>
            <w:vMerge w:val="continue"/>
            <w:vAlign w:val="center"/>
          </w:tcPr>
          <w:p>
            <w:pPr>
              <w:rPr>
                <w:rFonts w:hint="eastAsia" w:ascii="新宋体" w:hAnsi="新宋体" w:eastAsia="新宋体"/>
                <w:sz w:val="22"/>
                <w:szCs w:val="22"/>
              </w:rPr>
            </w:pPr>
          </w:p>
        </w:tc>
        <w:tc>
          <w:tcPr>
            <w:tcW w:w="1280" w:type="dxa"/>
            <w:vMerge w:val="continue"/>
            <w:tcBorders>
              <w:right w:val="single" w:color="auto" w:sz="6" w:space="0"/>
            </w:tcBorders>
            <w:vAlign w:val="center"/>
          </w:tcPr>
          <w:p>
            <w:pPr>
              <w:spacing w:line="440" w:lineRule="exact"/>
              <w:jc w:val="center"/>
              <w:rPr>
                <w:rFonts w:hint="eastAsia" w:ascii="新宋体" w:hAnsi="新宋体" w:eastAsia="新宋体"/>
                <w:sz w:val="22"/>
                <w:szCs w:val="22"/>
              </w:rPr>
            </w:pPr>
          </w:p>
        </w:tc>
        <w:tc>
          <w:tcPr>
            <w:tcW w:w="4509" w:type="dxa"/>
            <w:tcBorders>
              <w:top w:val="single" w:color="auto" w:sz="4" w:space="0"/>
              <w:left w:val="single" w:color="auto" w:sz="6" w:space="0"/>
            </w:tcBorders>
            <w:vAlign w:val="center"/>
          </w:tcPr>
          <w:p>
            <w:pPr>
              <w:rPr>
                <w:rFonts w:hint="eastAsia" w:ascii="新宋体" w:hAnsi="新宋体" w:eastAsia="新宋体"/>
                <w:sz w:val="22"/>
                <w:szCs w:val="22"/>
              </w:rPr>
            </w:pPr>
            <w:r>
              <w:rPr>
                <w:rFonts w:hint="eastAsia" w:ascii="新宋体" w:hAnsi="新宋体" w:eastAsia="新宋体"/>
                <w:sz w:val="22"/>
                <w:szCs w:val="22"/>
              </w:rPr>
              <w:t>对应急突发事件的响应及处理方案是否完整、得力、可行等情况</w:t>
            </w:r>
            <w:r>
              <w:rPr>
                <w:rFonts w:hint="eastAsia" w:ascii="新宋体" w:hAnsi="新宋体" w:eastAsia="新宋体"/>
                <w:sz w:val="22"/>
                <w:szCs w:val="22"/>
                <w:lang w:val="en-US" w:eastAsia="zh-CN"/>
              </w:rPr>
              <w:t>进行</w:t>
            </w:r>
            <w:r>
              <w:rPr>
                <w:rFonts w:hint="eastAsia" w:ascii="新宋体" w:hAnsi="新宋体" w:eastAsia="新宋体"/>
                <w:sz w:val="22"/>
                <w:szCs w:val="22"/>
              </w:rPr>
              <w:t>打分</w:t>
            </w:r>
            <w:r>
              <w:rPr>
                <w:rFonts w:hint="eastAsia" w:ascii="新宋体" w:hAnsi="新宋体" w:eastAsia="新宋体"/>
                <w:sz w:val="22"/>
                <w:szCs w:val="22"/>
                <w:lang w:eastAsia="zh-CN"/>
              </w:rPr>
              <w:t>；</w:t>
            </w:r>
          </w:p>
          <w:p>
            <w:pPr>
              <w:rPr>
                <w:rFonts w:hint="eastAsia" w:ascii="新宋体" w:hAnsi="新宋体" w:eastAsia="新宋体"/>
                <w:sz w:val="22"/>
                <w:szCs w:val="22"/>
              </w:rPr>
            </w:pPr>
            <w:r>
              <w:rPr>
                <w:rFonts w:hint="eastAsia" w:ascii="Times New Roman" w:hAnsi="宋体" w:eastAsia="宋体" w:cs="Times New Roman"/>
                <w:color w:val="auto"/>
                <w:kern w:val="2"/>
                <w:sz w:val="22"/>
                <w:szCs w:val="22"/>
                <w:lang w:val="en-US" w:eastAsia="zh-CN" w:bidi="ar-SA"/>
              </w:rPr>
              <w:t>完全满足采购需求：</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5</w:t>
            </w:r>
            <w:r>
              <w:rPr>
                <w:rFonts w:hint="eastAsia" w:ascii="Times New Roman" w:hAnsi="宋体" w:eastAsia="宋体" w:cs="Times New Roman"/>
                <w:color w:val="auto"/>
                <w:kern w:val="2"/>
                <w:sz w:val="22"/>
                <w:szCs w:val="22"/>
                <w:lang w:val="en-US" w:eastAsia="zh-CN" w:bidi="ar-SA"/>
              </w:rPr>
              <w:t>分；解决方案基本满足采购需求：</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.1-</w:t>
            </w:r>
            <w:r>
              <w:rPr>
                <w:rFonts w:hint="eastAsia" w:hAnsi="宋体" w:cs="Times New Roman"/>
                <w:color w:val="auto"/>
                <w:kern w:val="2"/>
                <w:sz w:val="22"/>
                <w:szCs w:val="22"/>
                <w:lang w:val="en-US" w:eastAsia="zh-CN" w:bidi="ar-SA"/>
              </w:rPr>
              <w:t>4</w:t>
            </w:r>
            <w:r>
              <w:rPr>
                <w:rFonts w:hint="eastAsia" w:ascii="Times New Roman" w:hAnsi="宋体" w:eastAsia="宋体" w:cs="Times New Roman"/>
                <w:color w:val="auto"/>
                <w:kern w:val="2"/>
                <w:sz w:val="22"/>
                <w:szCs w:val="22"/>
                <w:lang w:val="en-US" w:eastAsia="zh-CN" w:bidi="ar-SA"/>
              </w:rPr>
              <w:t>分；解决方案部分满足采购需求：0-</w:t>
            </w:r>
            <w:r>
              <w:rPr>
                <w:rFonts w:hint="eastAsia" w:hAnsi="宋体" w:cs="Times New Roman"/>
                <w:color w:val="auto"/>
                <w:kern w:val="2"/>
                <w:sz w:val="22"/>
                <w:szCs w:val="22"/>
                <w:lang w:val="en-US" w:eastAsia="zh-CN" w:bidi="ar-SA"/>
              </w:rPr>
              <w:t>2</w:t>
            </w:r>
            <w:r>
              <w:rPr>
                <w:rFonts w:hint="eastAsia" w:ascii="Times New Roman" w:hAnsi="宋体" w:eastAsia="宋体" w:cs="Times New Roman"/>
                <w:color w:val="auto"/>
                <w:kern w:val="2"/>
                <w:sz w:val="22"/>
                <w:szCs w:val="22"/>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4" w:hRule="atLeast"/>
        </w:trPr>
        <w:tc>
          <w:tcPr>
            <w:tcW w:w="748" w:type="dxa"/>
            <w:vAlign w:val="center"/>
          </w:tcPr>
          <w:p>
            <w:pPr>
              <w:spacing w:line="440" w:lineRule="exact"/>
              <w:jc w:val="center"/>
              <w:rPr>
                <w:rFonts w:hint="eastAsia" w:ascii="新宋体" w:hAnsi="新宋体" w:eastAsia="新宋体"/>
                <w:bCs/>
                <w:sz w:val="22"/>
                <w:szCs w:val="22"/>
              </w:rPr>
            </w:pPr>
            <w:r>
              <w:rPr>
                <w:rFonts w:hint="eastAsia" w:ascii="新宋体" w:hAnsi="新宋体" w:eastAsia="新宋体"/>
                <w:bCs/>
                <w:sz w:val="22"/>
                <w:szCs w:val="22"/>
              </w:rPr>
              <w:t>4</w:t>
            </w:r>
          </w:p>
        </w:tc>
        <w:tc>
          <w:tcPr>
            <w:tcW w:w="3212" w:type="dxa"/>
            <w:tcBorders>
              <w:top w:val="single" w:color="auto" w:sz="4" w:space="0"/>
            </w:tcBorders>
            <w:vAlign w:val="center"/>
          </w:tcPr>
          <w:p>
            <w:pPr>
              <w:rPr>
                <w:rFonts w:hint="eastAsia" w:ascii="新宋体" w:hAnsi="新宋体" w:eastAsia="新宋体"/>
                <w:color w:val="auto"/>
                <w:sz w:val="22"/>
                <w:szCs w:val="22"/>
              </w:rPr>
            </w:pPr>
            <w:r>
              <w:rPr>
                <w:rFonts w:hint="eastAsia" w:ascii="宋体" w:hAnsi="宋体" w:cs="宋体"/>
                <w:color w:val="auto"/>
                <w:sz w:val="22"/>
                <w:szCs w:val="22"/>
              </w:rPr>
              <w:t>供应商</w:t>
            </w:r>
            <w:r>
              <w:rPr>
                <w:rFonts w:hint="eastAsia" w:ascii="宋体" w:hAnsi="宋体" w:cs="宋体"/>
                <w:color w:val="auto"/>
                <w:sz w:val="22"/>
                <w:szCs w:val="22"/>
                <w:lang w:val="en-US" w:eastAsia="zh-CN"/>
              </w:rPr>
              <w:t>的认证体系</w:t>
            </w:r>
            <w:r>
              <w:rPr>
                <w:rFonts w:hint="eastAsia" w:cs="宋体"/>
                <w:color w:val="auto"/>
                <w:sz w:val="22"/>
                <w:szCs w:val="22"/>
                <w:lang w:eastAsia="zh-CN"/>
              </w:rPr>
              <w:t>、</w:t>
            </w:r>
            <w:r>
              <w:rPr>
                <w:rFonts w:hint="eastAsia" w:ascii="新宋体" w:hAnsi="新宋体" w:eastAsia="新宋体"/>
                <w:color w:val="auto"/>
                <w:sz w:val="22"/>
                <w:szCs w:val="22"/>
              </w:rPr>
              <w:t>投入项目成员</w:t>
            </w:r>
          </w:p>
        </w:tc>
        <w:tc>
          <w:tcPr>
            <w:tcW w:w="1280" w:type="dxa"/>
            <w:tcBorders>
              <w:top w:val="single" w:color="auto" w:sz="8" w:space="0"/>
              <w:right w:val="single" w:color="auto" w:sz="6" w:space="0"/>
            </w:tcBorders>
            <w:vAlign w:val="center"/>
          </w:tcPr>
          <w:p>
            <w:pPr>
              <w:spacing w:line="440" w:lineRule="exact"/>
              <w:jc w:val="center"/>
              <w:rPr>
                <w:rFonts w:hint="eastAsia" w:ascii="新宋体" w:hAnsi="新宋体" w:eastAsia="新宋体"/>
                <w:color w:val="auto"/>
                <w:sz w:val="22"/>
                <w:szCs w:val="22"/>
              </w:rPr>
            </w:pPr>
            <w:r>
              <w:rPr>
                <w:rFonts w:hint="eastAsia" w:ascii="新宋体" w:hAnsi="新宋体" w:eastAsia="新宋体"/>
                <w:color w:val="auto"/>
                <w:sz w:val="22"/>
                <w:szCs w:val="22"/>
                <w:lang w:val="en-US" w:eastAsia="zh-CN"/>
              </w:rPr>
              <w:t>0-7</w:t>
            </w:r>
            <w:r>
              <w:rPr>
                <w:rFonts w:hint="eastAsia" w:ascii="新宋体" w:hAnsi="新宋体" w:eastAsia="新宋体"/>
                <w:color w:val="auto"/>
                <w:sz w:val="22"/>
                <w:szCs w:val="22"/>
              </w:rPr>
              <w:t>分</w:t>
            </w:r>
          </w:p>
        </w:tc>
        <w:tc>
          <w:tcPr>
            <w:tcW w:w="4509" w:type="dxa"/>
            <w:tcBorders>
              <w:top w:val="single" w:color="auto" w:sz="8" w:space="0"/>
              <w:left w:val="single" w:color="auto" w:sz="6" w:space="0"/>
            </w:tcBorders>
            <w:vAlign w:val="center"/>
          </w:tcPr>
          <w:p>
            <w:pPr>
              <w:pStyle w:val="43"/>
              <w:rPr>
                <w:rFonts w:hint="eastAsia"/>
                <w:color w:val="auto"/>
                <w:sz w:val="22"/>
                <w:szCs w:val="22"/>
                <w:lang w:val="en-US" w:eastAsia="zh-CN"/>
              </w:rPr>
            </w:pPr>
            <w:r>
              <w:rPr>
                <w:rFonts w:hint="eastAsia"/>
                <w:color w:val="auto"/>
                <w:sz w:val="22"/>
                <w:szCs w:val="22"/>
                <w:lang w:val="en-US" w:eastAsia="zh-CN"/>
              </w:rPr>
              <w:t>1、有效期的质量管理体系认证证书的得1分；有效期的环境管理体系认证证书的得1分；有效期的职业健康安全管理体系认证证书的得1分。（需提供证书复印件加盖供应商公章，否则不得分）</w:t>
            </w:r>
          </w:p>
          <w:p>
            <w:pPr>
              <w:pStyle w:val="43"/>
              <w:rPr>
                <w:rFonts w:hint="eastAsia"/>
                <w:color w:val="auto"/>
                <w:sz w:val="22"/>
                <w:szCs w:val="22"/>
                <w:lang w:val="en-US" w:eastAsia="zh-CN"/>
              </w:rPr>
            </w:pPr>
            <w:r>
              <w:rPr>
                <w:rFonts w:hint="eastAsia"/>
                <w:color w:val="auto"/>
                <w:sz w:val="22"/>
                <w:szCs w:val="22"/>
                <w:lang w:val="en-US" w:eastAsia="zh-CN"/>
              </w:rPr>
              <w:t>2、拟派管理人员具有电气相关专业工程师职称的得2分，本项最多得2分（需提供以上人员证书复印件并加盖</w:t>
            </w:r>
            <w:r>
              <w:rPr>
                <w:rFonts w:hint="eastAsia"/>
                <w:color w:val="auto"/>
                <w:sz w:val="22"/>
                <w:szCs w:val="22"/>
                <w:lang w:val="zh-CN" w:eastAsia="zh-CN"/>
              </w:rPr>
              <w:t>供应商</w:t>
            </w:r>
            <w:r>
              <w:rPr>
                <w:rFonts w:hint="eastAsia"/>
                <w:color w:val="auto"/>
                <w:sz w:val="22"/>
                <w:szCs w:val="22"/>
                <w:lang w:val="en-US" w:eastAsia="zh-CN"/>
              </w:rPr>
              <w:t>公章及投标截止前近6个月内任意连续三个月在投标单位缴纳的社保证明材料复印件加盖公章，否则不得分）。</w:t>
            </w:r>
          </w:p>
          <w:p>
            <w:pPr>
              <w:pStyle w:val="43"/>
              <w:rPr>
                <w:rFonts w:hint="eastAsia" w:ascii="新宋体" w:hAnsi="新宋体" w:eastAsia="新宋体"/>
                <w:color w:val="auto"/>
                <w:sz w:val="22"/>
                <w:szCs w:val="22"/>
              </w:rPr>
            </w:pPr>
            <w:r>
              <w:rPr>
                <w:rFonts w:hint="eastAsia"/>
                <w:color w:val="auto"/>
                <w:sz w:val="22"/>
                <w:szCs w:val="22"/>
                <w:lang w:val="en-US" w:eastAsia="zh-CN"/>
              </w:rPr>
              <w:t>3</w:t>
            </w:r>
            <w:r>
              <w:rPr>
                <w:rFonts w:hint="eastAsia"/>
                <w:color w:val="auto"/>
                <w:sz w:val="22"/>
                <w:szCs w:val="22"/>
              </w:rPr>
              <w:t>、</w:t>
            </w:r>
            <w:r>
              <w:rPr>
                <w:rFonts w:hint="eastAsia"/>
                <w:color w:val="auto"/>
                <w:sz w:val="22"/>
                <w:szCs w:val="22"/>
                <w:lang w:val="en-US" w:eastAsia="zh-CN"/>
              </w:rPr>
              <w:t>在满足招标文件人员要求的基础上，增加一个管理人员且持有电工（一级）职业资格证书的得2分，本项最多得2分（需提供以上人员证书复印件并加盖</w:t>
            </w:r>
            <w:r>
              <w:rPr>
                <w:rFonts w:hint="eastAsia"/>
                <w:color w:val="auto"/>
                <w:sz w:val="22"/>
                <w:szCs w:val="22"/>
                <w:lang w:val="zh-CN" w:eastAsia="zh-CN"/>
              </w:rPr>
              <w:t>供应商</w:t>
            </w:r>
            <w:r>
              <w:rPr>
                <w:rFonts w:hint="eastAsia"/>
                <w:color w:val="auto"/>
                <w:sz w:val="22"/>
                <w:szCs w:val="22"/>
                <w:lang w:val="en-US" w:eastAsia="zh-CN"/>
              </w:rPr>
              <w:t>公章及投标截止前近6个月内任意连续三个月在投标单位缴纳的社保证明材料复印件加盖公章，否则不得分）。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4" w:hRule="atLeast"/>
        </w:trPr>
        <w:tc>
          <w:tcPr>
            <w:tcW w:w="748" w:type="dxa"/>
            <w:vAlign w:val="center"/>
          </w:tcPr>
          <w:p>
            <w:pPr>
              <w:spacing w:line="440" w:lineRule="exact"/>
              <w:jc w:val="center"/>
              <w:rPr>
                <w:rFonts w:hint="eastAsia" w:ascii="新宋体" w:hAnsi="新宋体" w:eastAsia="新宋体"/>
                <w:bCs/>
                <w:sz w:val="22"/>
                <w:szCs w:val="22"/>
              </w:rPr>
            </w:pPr>
            <w:r>
              <w:rPr>
                <w:rFonts w:hint="eastAsia" w:ascii="新宋体" w:hAnsi="新宋体" w:eastAsia="新宋体"/>
                <w:bCs/>
                <w:sz w:val="22"/>
                <w:szCs w:val="22"/>
              </w:rPr>
              <w:t>5</w:t>
            </w:r>
          </w:p>
        </w:tc>
        <w:tc>
          <w:tcPr>
            <w:tcW w:w="3212" w:type="dxa"/>
            <w:tcBorders>
              <w:top w:val="single" w:color="auto" w:sz="4" w:space="0"/>
            </w:tcBorders>
            <w:vAlign w:val="center"/>
          </w:tcPr>
          <w:p>
            <w:pPr>
              <w:rPr>
                <w:rFonts w:hint="eastAsia" w:ascii="新宋体" w:hAnsi="新宋体" w:eastAsia="新宋体"/>
                <w:color w:val="auto"/>
                <w:sz w:val="22"/>
                <w:szCs w:val="22"/>
              </w:rPr>
            </w:pPr>
            <w:r>
              <w:rPr>
                <w:rFonts w:hint="eastAsia" w:ascii="新宋体" w:hAnsi="新宋体" w:eastAsia="新宋体"/>
                <w:color w:val="auto"/>
                <w:sz w:val="22"/>
                <w:szCs w:val="22"/>
              </w:rPr>
              <w:t>类似业绩情况</w:t>
            </w:r>
          </w:p>
        </w:tc>
        <w:tc>
          <w:tcPr>
            <w:tcW w:w="1280" w:type="dxa"/>
            <w:tcBorders>
              <w:top w:val="single" w:color="auto" w:sz="8" w:space="0"/>
              <w:right w:val="single" w:color="auto" w:sz="6" w:space="0"/>
            </w:tcBorders>
            <w:vAlign w:val="center"/>
          </w:tcPr>
          <w:p>
            <w:pPr>
              <w:spacing w:line="440" w:lineRule="exact"/>
              <w:jc w:val="center"/>
              <w:rPr>
                <w:rFonts w:hint="eastAsia" w:ascii="新宋体" w:hAnsi="新宋体" w:eastAsia="新宋体"/>
                <w:color w:val="auto"/>
                <w:sz w:val="22"/>
                <w:szCs w:val="22"/>
              </w:rPr>
            </w:pPr>
            <w:r>
              <w:rPr>
                <w:rFonts w:hint="eastAsia" w:ascii="新宋体" w:hAnsi="新宋体" w:eastAsia="新宋体"/>
                <w:color w:val="auto"/>
                <w:sz w:val="22"/>
                <w:szCs w:val="22"/>
                <w:lang w:val="en-US" w:eastAsia="zh-CN"/>
              </w:rPr>
              <w:t>0-5</w:t>
            </w:r>
            <w:r>
              <w:rPr>
                <w:rFonts w:hint="eastAsia" w:ascii="新宋体" w:hAnsi="新宋体" w:eastAsia="新宋体"/>
                <w:color w:val="auto"/>
                <w:sz w:val="22"/>
                <w:szCs w:val="22"/>
              </w:rPr>
              <w:t>分</w:t>
            </w:r>
          </w:p>
        </w:tc>
        <w:tc>
          <w:tcPr>
            <w:tcW w:w="4509" w:type="dxa"/>
            <w:tcBorders>
              <w:top w:val="single" w:color="auto" w:sz="8" w:space="0"/>
              <w:left w:val="single" w:color="auto" w:sz="6" w:space="0"/>
            </w:tcBorders>
            <w:vAlign w:val="center"/>
          </w:tcPr>
          <w:p>
            <w:pPr>
              <w:rPr>
                <w:rFonts w:hint="eastAsia" w:ascii="新宋体" w:hAnsi="新宋体" w:eastAsia="新宋体"/>
                <w:color w:val="auto"/>
                <w:sz w:val="22"/>
                <w:szCs w:val="22"/>
              </w:rPr>
            </w:pPr>
            <w:r>
              <w:rPr>
                <w:rFonts w:hint="eastAsia" w:ascii="新宋体" w:hAnsi="新宋体" w:eastAsia="新宋体"/>
                <w:color w:val="auto"/>
                <w:sz w:val="22"/>
                <w:szCs w:val="22"/>
              </w:rPr>
              <w:t>201</w:t>
            </w:r>
            <w:r>
              <w:rPr>
                <w:rFonts w:hint="eastAsia" w:ascii="新宋体" w:hAnsi="新宋体" w:eastAsia="新宋体"/>
                <w:color w:val="auto"/>
                <w:sz w:val="22"/>
                <w:szCs w:val="22"/>
                <w:lang w:val="en-US" w:eastAsia="zh-CN"/>
              </w:rPr>
              <w:t>7</w:t>
            </w:r>
            <w:r>
              <w:rPr>
                <w:rFonts w:hint="eastAsia" w:ascii="新宋体" w:hAnsi="新宋体" w:eastAsia="新宋体"/>
                <w:color w:val="auto"/>
                <w:sz w:val="22"/>
                <w:szCs w:val="22"/>
              </w:rPr>
              <w:t>年1月1日以来供应商具有类似</w:t>
            </w:r>
            <w:r>
              <w:rPr>
                <w:rFonts w:hint="eastAsia" w:ascii="新宋体" w:hAnsi="新宋体" w:eastAsia="新宋体"/>
                <w:color w:val="auto"/>
                <w:sz w:val="22"/>
                <w:szCs w:val="22"/>
                <w:lang w:eastAsia="zh-CN"/>
              </w:rPr>
              <w:t>水利工程</w:t>
            </w:r>
            <w:r>
              <w:rPr>
                <w:rFonts w:hint="eastAsia" w:ascii="新宋体" w:hAnsi="新宋体" w:eastAsia="新宋体"/>
                <w:color w:val="auto"/>
                <w:sz w:val="22"/>
                <w:szCs w:val="22"/>
              </w:rPr>
              <w:t>物业管理工作业绩的，每个得</w:t>
            </w:r>
            <w:r>
              <w:rPr>
                <w:rFonts w:hint="eastAsia" w:ascii="新宋体" w:hAnsi="新宋体" w:eastAsia="新宋体"/>
                <w:color w:val="auto"/>
                <w:sz w:val="22"/>
                <w:szCs w:val="22"/>
                <w:lang w:val="en-US" w:eastAsia="zh-CN"/>
              </w:rPr>
              <w:t>1</w:t>
            </w:r>
            <w:r>
              <w:rPr>
                <w:rFonts w:hint="eastAsia" w:ascii="新宋体" w:hAnsi="新宋体" w:eastAsia="新宋体"/>
                <w:color w:val="auto"/>
                <w:sz w:val="22"/>
                <w:szCs w:val="22"/>
              </w:rPr>
              <w:t>分，最高得</w:t>
            </w:r>
            <w:r>
              <w:rPr>
                <w:rFonts w:hint="eastAsia" w:ascii="新宋体" w:hAnsi="新宋体" w:eastAsia="新宋体"/>
                <w:color w:val="auto"/>
                <w:sz w:val="22"/>
                <w:szCs w:val="22"/>
                <w:lang w:val="en-US" w:eastAsia="zh-CN"/>
              </w:rPr>
              <w:t>5</w:t>
            </w:r>
            <w:r>
              <w:rPr>
                <w:rFonts w:hint="eastAsia" w:ascii="新宋体" w:hAnsi="新宋体" w:eastAsia="新宋体"/>
                <w:color w:val="auto"/>
                <w:sz w:val="22"/>
                <w:szCs w:val="22"/>
              </w:rPr>
              <w:t>分。（</w:t>
            </w:r>
            <w:r>
              <w:rPr>
                <w:rFonts w:hint="eastAsia" w:ascii="新宋体" w:hAnsi="新宋体" w:eastAsia="新宋体" w:cs="新宋体"/>
                <w:color w:val="auto"/>
                <w:sz w:val="22"/>
                <w:szCs w:val="22"/>
                <w:lang w:val="zh-CN"/>
              </w:rPr>
              <w:t>提供的合同</w:t>
            </w:r>
            <w:r>
              <w:rPr>
                <w:rFonts w:hint="eastAsia" w:ascii="新宋体" w:hAnsi="新宋体" w:eastAsia="新宋体" w:cs="新宋体"/>
                <w:color w:val="auto"/>
                <w:sz w:val="22"/>
                <w:szCs w:val="22"/>
                <w:lang w:val="en-US" w:eastAsia="zh-CN"/>
              </w:rPr>
              <w:t>复印件或中标通知书复印件，</w:t>
            </w:r>
            <w:r>
              <w:rPr>
                <w:rFonts w:hint="eastAsia" w:ascii="新宋体" w:hAnsi="新宋体" w:eastAsia="新宋体" w:cs="新宋体"/>
                <w:color w:val="auto"/>
                <w:sz w:val="22"/>
                <w:szCs w:val="22"/>
                <w:lang w:val="zh-CN"/>
              </w:rPr>
              <w:t>并加盖供应商公章，否则不得分。</w:t>
            </w:r>
            <w:r>
              <w:rPr>
                <w:rFonts w:hint="eastAsia" w:ascii="新宋体" w:hAnsi="新宋体" w:eastAsia="新宋体"/>
                <w:color w:val="auto"/>
                <w:sz w:val="22"/>
                <w:szCs w:val="22"/>
              </w:rPr>
              <w:t>）</w:t>
            </w:r>
          </w:p>
        </w:tc>
      </w:tr>
    </w:tbl>
    <w:p>
      <w:pPr>
        <w:pStyle w:val="17"/>
      </w:pPr>
    </w:p>
    <w:p>
      <w:pPr>
        <w:pStyle w:val="16"/>
        <w:adjustRightInd w:val="0"/>
        <w:snapToGrid w:val="0"/>
        <w:spacing w:line="460" w:lineRule="exact"/>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5"/>
        <w:spacing w:before="120" w:after="120"/>
      </w:pPr>
    </w:p>
    <w:p>
      <w:pPr>
        <w:pStyle w:val="16"/>
        <w:adjustRightInd w:val="0"/>
        <w:snapToGrid w:val="0"/>
        <w:spacing w:line="400" w:lineRule="exact"/>
        <w:rPr>
          <w:rFonts w:hAnsi="宋体" w:cs="宋体"/>
          <w:sz w:val="22"/>
          <w:szCs w:val="2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p>
    <w:p>
      <w:pPr>
        <w:pStyle w:val="53"/>
        <w:widowControl w:val="0"/>
        <w:snapToGrid w:val="0"/>
        <w:spacing w:line="480" w:lineRule="exact"/>
        <w:rPr>
          <w:rFonts w:ascii="方正小标宋简体" w:hAnsi="方正小标宋简体" w:eastAsia="方正小标宋简体" w:cs="方正小标宋简体"/>
          <w:sz w:val="32"/>
          <w:szCs w:val="32"/>
        </w:rPr>
      </w:pPr>
    </w:p>
    <w:p>
      <w:pPr>
        <w:pStyle w:val="53"/>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53"/>
        <w:widowControl w:val="0"/>
        <w:snapToGrid w:val="0"/>
        <w:spacing w:line="480" w:lineRule="exact"/>
        <w:jc w:val="center"/>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53"/>
        <w:widowControl w:val="0"/>
        <w:snapToGrid w:val="0"/>
        <w:spacing w:line="480" w:lineRule="exact"/>
        <w:jc w:val="both"/>
        <w:rPr>
          <w:rFonts w:hint="default" w:ascii="仿宋" w:hAnsi="仿宋"/>
          <w:szCs w:val="21"/>
        </w:rPr>
      </w:pPr>
      <w:r>
        <w:rPr>
          <w:rFonts w:ascii="仿宋" w:hAnsi="仿宋"/>
          <w:kern w:val="0"/>
          <w:szCs w:val="21"/>
          <w:u w:val="single"/>
        </w:rPr>
        <w:t>浙江亿邦建设咨询有限公司（采购组织机构名称）</w:t>
      </w:r>
      <w:r>
        <w:rPr>
          <w:rFonts w:ascii="仿宋" w:hAnsi="仿宋"/>
          <w:kern w:val="0"/>
          <w:szCs w:val="21"/>
        </w:rPr>
        <w:t>：</w:t>
      </w:r>
    </w:p>
    <w:p>
      <w:pPr>
        <w:pStyle w:val="53"/>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2021年至2022年平阳县水利工程物业化管理采购项目</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54"/>
        <w:widowControl/>
        <w:numPr>
          <w:ilvl w:val="0"/>
          <w:numId w:val="10"/>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54"/>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54"/>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3"/>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3"/>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3"/>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54"/>
        <w:widowControl/>
        <w:numPr>
          <w:ilvl w:val="0"/>
          <w:numId w:val="11"/>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54"/>
        <w:widowControl/>
        <w:numPr>
          <w:ilvl w:val="0"/>
          <w:numId w:val="11"/>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3"/>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3"/>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注：投标文件解密结束后，各投标供应商签署《政府采购活动现场确认声明书》，并在30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5"/>
          <w:rFonts w:hint="eastAsia" w:ascii="宋体" w:hAnsi="宋体"/>
          <w:b/>
          <w:bCs/>
          <w:color w:val="auto"/>
          <w:sz w:val="22"/>
        </w:rPr>
        <w:t>214381086@qq.com</w:t>
      </w:r>
      <w:r>
        <w:rPr>
          <w:rStyle w:val="35"/>
          <w:rFonts w:hint="eastAsia" w:ascii="宋体" w:hAnsi="宋体"/>
          <w:b/>
          <w:bCs/>
          <w:color w:val="auto"/>
          <w:sz w:val="22"/>
        </w:rPr>
        <w:fldChar w:fldCharType="end"/>
      </w:r>
      <w:r>
        <w:rPr>
          <w:rFonts w:hint="eastAsia" w:ascii="宋体" w:hAnsi="宋体"/>
          <w:b/>
          <w:bCs/>
          <w:sz w:val="22"/>
        </w:rPr>
        <w:t xml:space="preserve"> 。</w:t>
      </w:r>
    </w:p>
    <w:p>
      <w:pPr>
        <w:pStyle w:val="43"/>
      </w:pPr>
    </w:p>
    <w:p>
      <w:pPr>
        <w:pStyle w:val="15"/>
        <w:spacing w:before="120" w:after="120"/>
        <w:sectPr>
          <w:pgSz w:w="11907" w:h="16840"/>
          <w:pgMar w:top="1440" w:right="1106" w:bottom="1440" w:left="1157" w:header="720" w:footer="720" w:gutter="0"/>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6"/>
        <w:adjustRightInd w:val="0"/>
        <w:snapToGrid w:val="0"/>
        <w:spacing w:line="460" w:lineRule="atLeast"/>
        <w:rPr>
          <w:rFonts w:hAnsi="宋体" w:cs="宋体"/>
        </w:rPr>
      </w:pPr>
    </w:p>
    <w:p/>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Century Gothic">
    <w:altName w:val="Segoe Print"/>
    <w:panose1 w:val="020B0502020202020204"/>
    <w:charset w:val="00"/>
    <w:family w:val="swiss"/>
    <w:pitch w:val="default"/>
    <w:sig w:usb0="00000000"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KNfitanAQAAPwMAAA4AAAAA&#10;AAAAAQAgAAAAHgEAAGRycy9lMm9Eb2MueG1sUEsFBgAAAAAGAAYAWQEAADc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Style w:val="28"/>
                            </w:rPr>
                          </w:pPr>
                          <w:r>
                            <w:fldChar w:fldCharType="begin"/>
                          </w:r>
                          <w:r>
                            <w:rPr>
                              <w:rStyle w:val="28"/>
                            </w:rPr>
                            <w:instrText xml:space="preserve">PAGE  </w:instrText>
                          </w:r>
                          <w:r>
                            <w:fldChar w:fldCharType="separate"/>
                          </w:r>
                          <w:r>
                            <w:rPr>
                              <w:rStyle w:val="28"/>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21"/>
                      <w:rPr>
                        <w:rStyle w:val="28"/>
                      </w:rPr>
                    </w:pPr>
                    <w:r>
                      <w:fldChar w:fldCharType="begin"/>
                    </w:r>
                    <w:r>
                      <w:rPr>
                        <w:rStyle w:val="28"/>
                      </w:rPr>
                      <w:instrText xml:space="preserve">PAGE  </w:instrText>
                    </w:r>
                    <w:r>
                      <w:fldChar w:fldCharType="separate"/>
                    </w:r>
                    <w:r>
                      <w:rPr>
                        <w:rStyle w:val="28"/>
                      </w:rPr>
                      <w:t>62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eYc1PVAAAACAEAAA8AAAAAAAAAAQAg&#10;AAAAIgAAAGRycy9kb3ducmV2LnhtbFBLAQIUABQAAAAIAIdO4kAGdn992AEAAJQDAAAOAAAAAAAA&#10;AAEAIAAAACQBAABkcnMvZTJvRG9jLnhtbFBLBQYAAAAABgAGAFkBAABu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21"/>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rPr>
                              <w:rStyle w:val="28"/>
                            </w:rPr>
                          </w:pPr>
                          <w:r>
                            <w:fldChar w:fldCharType="begin"/>
                          </w:r>
                          <w:r>
                            <w:rPr>
                              <w:rStyle w:val="28"/>
                            </w:rPr>
                            <w:instrText xml:space="preserve">PAGE  </w:instrText>
                          </w:r>
                          <w:r>
                            <w:fldChar w:fldCharType="separate"/>
                          </w:r>
                          <w:r>
                            <w:rPr>
                              <w:rStyle w:val="28"/>
                            </w:rP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p>
                    <w:pPr>
                      <w:pStyle w:val="21"/>
                      <w:rPr>
                        <w:rStyle w:val="28"/>
                      </w:rPr>
                    </w:pPr>
                    <w:r>
                      <w:fldChar w:fldCharType="begin"/>
                    </w:r>
                    <w:r>
                      <w:rPr>
                        <w:rStyle w:val="28"/>
                      </w:rPr>
                      <w:instrText xml:space="preserve">PAGE  </w:instrText>
                    </w:r>
                    <w:r>
                      <w:fldChar w:fldCharType="separate"/>
                    </w:r>
                    <w:r>
                      <w:rPr>
                        <w:rStyle w:val="28"/>
                      </w:rPr>
                      <w:t>70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28"/>
      </w:rPr>
    </w:pPr>
    <w:r>
      <w:fldChar w:fldCharType="begin"/>
    </w:r>
    <w:r>
      <w:rPr>
        <w:rStyle w:val="28"/>
      </w:rPr>
      <w:instrText xml:space="preserve">PAGE  </w:instrText>
    </w:r>
    <w:r>
      <w:fldChar w:fldCharType="end"/>
    </w:r>
  </w:p>
  <w:p>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1">
    <w:nsid w:val="16D100A0"/>
    <w:multiLevelType w:val="multilevel"/>
    <w:tmpl w:val="16D100A0"/>
    <w:lvl w:ilvl="0" w:tentative="0">
      <w:start w:val="1"/>
      <w:numFmt w:val="lowerLetter"/>
      <w:suff w:val="space"/>
      <w:lvlText w:val="%1)"/>
      <w:lvlJc w:val="left"/>
      <w:pPr>
        <w:ind w:left="0" w:firstLine="0"/>
      </w:pPr>
      <w:rPr>
        <w:rFonts w:hint="eastAsia" w:ascii="宋体" w:hAnsi="宋体" w:eastAsia="宋体"/>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2">
    <w:nsid w:val="316DC16B"/>
    <w:multiLevelType w:val="multilevel"/>
    <w:tmpl w:val="316DC16B"/>
    <w:lvl w:ilvl="0" w:tentative="0">
      <w:start w:val="1"/>
      <w:numFmt w:val="decimal"/>
      <w:pStyle w:val="59"/>
      <w:lvlText w:val="第%1章"/>
      <w:lvlJc w:val="left"/>
      <w:pPr>
        <w:ind w:left="425" w:hanging="425"/>
      </w:pPr>
      <w:rPr>
        <w:rFonts w:hint="default" w:ascii="宋体" w:hAnsi="宋体" w:eastAsia="宋体" w:cs="宋体"/>
      </w:rPr>
    </w:lvl>
    <w:lvl w:ilvl="1" w:tentative="0">
      <w:start w:val="1"/>
      <w:numFmt w:val="decimal"/>
      <w:lvlText w:val="%1.%2"/>
      <w:lvlJc w:val="left"/>
      <w:pPr>
        <w:ind w:left="340" w:hanging="340"/>
      </w:pPr>
      <w:rPr>
        <w:rFonts w:hint="default" w:ascii="宋体" w:hAnsi="宋体" w:eastAsia="宋体" w:cs="宋体"/>
        <w:b/>
        <w:u w:val="none"/>
      </w:rPr>
    </w:lvl>
    <w:lvl w:ilvl="2" w:tentative="0">
      <w:start w:val="1"/>
      <w:numFmt w:val="decimal"/>
      <w:pStyle w:val="58"/>
      <w:lvlText w:val="%1.%2.%3"/>
      <w:lvlJc w:val="left"/>
      <w:pPr>
        <w:ind w:left="1418" w:hanging="1078"/>
      </w:pPr>
      <w:rPr>
        <w:rFonts w:hint="default" w:ascii="宋体" w:hAnsi="宋体" w:eastAsia="宋体" w:cs="宋体"/>
      </w:rPr>
    </w:lvl>
    <w:lvl w:ilvl="3" w:tentative="0">
      <w:start w:val="1"/>
      <w:numFmt w:val="decimal"/>
      <w:lvlText w:val="%1.%2.%3.%4"/>
      <w:lvlJc w:val="left"/>
      <w:pPr>
        <w:ind w:left="1418" w:hanging="454"/>
      </w:pPr>
      <w:rPr>
        <w:rFonts w:hint="default" w:ascii="宋体" w:hAnsi="宋体" w:eastAsia="宋体" w:cs="宋体"/>
      </w:rPr>
    </w:lvl>
    <w:lvl w:ilvl="4" w:tentative="0">
      <w:start w:val="1"/>
      <w:numFmt w:val="decimal"/>
      <w:lvlText w:val="(%5)"/>
      <w:lvlJc w:val="left"/>
      <w:pPr>
        <w:ind w:left="2551" w:hanging="850"/>
      </w:pPr>
      <w:rPr>
        <w:rFonts w:hint="default" w:ascii="宋体" w:hAnsi="宋体" w:eastAsia="宋体" w:cs="宋体"/>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54F403B5"/>
    <w:multiLevelType w:val="singleLevel"/>
    <w:tmpl w:val="54F403B5"/>
    <w:lvl w:ilvl="0" w:tentative="0">
      <w:start w:val="1"/>
      <w:numFmt w:val="chineseCounting"/>
      <w:suff w:val="nothing"/>
      <w:lvlText w:val="%1、"/>
      <w:lvlJc w:val="left"/>
    </w:lvl>
  </w:abstractNum>
  <w:abstractNum w:abstractNumId="4">
    <w:nsid w:val="557FD3DA"/>
    <w:multiLevelType w:val="singleLevel"/>
    <w:tmpl w:val="557FD3DA"/>
    <w:lvl w:ilvl="0" w:tentative="0">
      <w:start w:val="3"/>
      <w:numFmt w:val="chineseCounting"/>
      <w:suff w:val="nothing"/>
      <w:lvlText w:val="%1、"/>
      <w:lvlJc w:val="left"/>
    </w:lvl>
  </w:abstractNum>
  <w:abstractNum w:abstractNumId="5">
    <w:nsid w:val="588417D3"/>
    <w:multiLevelType w:val="singleLevel"/>
    <w:tmpl w:val="588417D3"/>
    <w:lvl w:ilvl="0" w:tentative="0">
      <w:start w:val="1"/>
      <w:numFmt w:val="decimal"/>
      <w:suff w:val="nothing"/>
      <w:lvlText w:val="%1）"/>
      <w:lvlJc w:val="left"/>
    </w:lvl>
  </w:abstractNum>
  <w:abstractNum w:abstractNumId="6">
    <w:nsid w:val="58841859"/>
    <w:multiLevelType w:val="singleLevel"/>
    <w:tmpl w:val="58841859"/>
    <w:lvl w:ilvl="0" w:tentative="0">
      <w:start w:val="1"/>
      <w:numFmt w:val="decimal"/>
      <w:suff w:val="nothing"/>
      <w:lvlText w:val="%1）"/>
      <w:lvlJc w:val="left"/>
    </w:lvl>
  </w:abstractNum>
  <w:abstractNum w:abstractNumId="7">
    <w:nsid w:val="594A1D8C"/>
    <w:multiLevelType w:val="singleLevel"/>
    <w:tmpl w:val="594A1D8C"/>
    <w:lvl w:ilvl="0" w:tentative="0">
      <w:start w:val="1"/>
      <w:numFmt w:val="decimal"/>
      <w:suff w:val="nothing"/>
      <w:lvlText w:val="%1）"/>
      <w:lvlJc w:val="left"/>
    </w:lvl>
  </w:abstractNum>
  <w:abstractNum w:abstractNumId="8">
    <w:nsid w:val="594A20B8"/>
    <w:multiLevelType w:val="singleLevel"/>
    <w:tmpl w:val="594A20B8"/>
    <w:lvl w:ilvl="0" w:tentative="0">
      <w:start w:val="1"/>
      <w:numFmt w:val="decimal"/>
      <w:suff w:val="nothing"/>
      <w:lvlText w:val="%1）"/>
      <w:lvlJc w:val="left"/>
    </w:lvl>
  </w:abstractNum>
  <w:abstractNum w:abstractNumId="9">
    <w:nsid w:val="75943FFE"/>
    <w:multiLevelType w:val="singleLevel"/>
    <w:tmpl w:val="75943FFE"/>
    <w:lvl w:ilvl="0" w:tentative="0">
      <w:start w:val="2"/>
      <w:numFmt w:val="chineseCounting"/>
      <w:suff w:val="space"/>
      <w:lvlText w:val="第%1部分"/>
      <w:lvlJc w:val="left"/>
      <w:rPr>
        <w:rFonts w:hint="eastAsia"/>
      </w:rPr>
    </w:lvl>
  </w:abstractNum>
  <w:abstractNum w:abstractNumId="10">
    <w:nsid w:val="77ED5E6E"/>
    <w:multiLevelType w:val="singleLevel"/>
    <w:tmpl w:val="77ED5E6E"/>
    <w:lvl w:ilvl="0" w:tentative="0">
      <w:start w:val="7"/>
      <w:numFmt w:val="chineseCounting"/>
      <w:suff w:val="nothing"/>
      <w:lvlText w:val="第%1部分、"/>
      <w:lvlJc w:val="left"/>
      <w:rPr>
        <w:rFonts w:hint="eastAsia"/>
      </w:rPr>
    </w:lvl>
  </w:abstractNum>
  <w:num w:numId="1">
    <w:abstractNumId w:val="2"/>
  </w:num>
  <w:num w:numId="2">
    <w:abstractNumId w:val="0"/>
  </w:num>
  <w:num w:numId="3">
    <w:abstractNumId w:val="10"/>
  </w:num>
  <w:num w:numId="4">
    <w:abstractNumId w:val="9"/>
  </w:num>
  <w:num w:numId="5">
    <w:abstractNumId w:val="1"/>
  </w:num>
  <w:num w:numId="6">
    <w:abstractNumId w:val="7"/>
  </w:num>
  <w:num w:numId="7">
    <w:abstractNumId w:val="8"/>
  </w:num>
  <w:num w:numId="8">
    <w:abstractNumId w:val="5"/>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415DB"/>
    <w:rsid w:val="000C621A"/>
    <w:rsid w:val="000E55C5"/>
    <w:rsid w:val="001B213F"/>
    <w:rsid w:val="001B2F1F"/>
    <w:rsid w:val="001D032E"/>
    <w:rsid w:val="002C749E"/>
    <w:rsid w:val="002F74EF"/>
    <w:rsid w:val="00344060"/>
    <w:rsid w:val="00436C08"/>
    <w:rsid w:val="0049354C"/>
    <w:rsid w:val="004D6A9B"/>
    <w:rsid w:val="004F14AE"/>
    <w:rsid w:val="005B37C0"/>
    <w:rsid w:val="005E1230"/>
    <w:rsid w:val="005F0F67"/>
    <w:rsid w:val="005F4717"/>
    <w:rsid w:val="00606073"/>
    <w:rsid w:val="0062455C"/>
    <w:rsid w:val="00690CD2"/>
    <w:rsid w:val="00720EA0"/>
    <w:rsid w:val="00726EFC"/>
    <w:rsid w:val="00732C93"/>
    <w:rsid w:val="00761C7A"/>
    <w:rsid w:val="007B027C"/>
    <w:rsid w:val="007F37B0"/>
    <w:rsid w:val="00835699"/>
    <w:rsid w:val="008C3344"/>
    <w:rsid w:val="008C4D8F"/>
    <w:rsid w:val="009278D3"/>
    <w:rsid w:val="009629AE"/>
    <w:rsid w:val="009E2E62"/>
    <w:rsid w:val="00A77E4F"/>
    <w:rsid w:val="00AC5B18"/>
    <w:rsid w:val="00AE7D9E"/>
    <w:rsid w:val="00B45994"/>
    <w:rsid w:val="00C02D79"/>
    <w:rsid w:val="00C0355E"/>
    <w:rsid w:val="00C27CBA"/>
    <w:rsid w:val="00D526C3"/>
    <w:rsid w:val="00D5286B"/>
    <w:rsid w:val="00E20CE5"/>
    <w:rsid w:val="00EA78A1"/>
    <w:rsid w:val="00F075AC"/>
    <w:rsid w:val="00F451B8"/>
    <w:rsid w:val="01077C33"/>
    <w:rsid w:val="011A5D63"/>
    <w:rsid w:val="01302E15"/>
    <w:rsid w:val="014F1046"/>
    <w:rsid w:val="0160164B"/>
    <w:rsid w:val="01727438"/>
    <w:rsid w:val="01F82AD7"/>
    <w:rsid w:val="02775BE8"/>
    <w:rsid w:val="02AF1C72"/>
    <w:rsid w:val="02D32A17"/>
    <w:rsid w:val="038C1E2A"/>
    <w:rsid w:val="039D4F10"/>
    <w:rsid w:val="03C837AB"/>
    <w:rsid w:val="03D3718A"/>
    <w:rsid w:val="040C7B8D"/>
    <w:rsid w:val="048358F9"/>
    <w:rsid w:val="04CD7F6B"/>
    <w:rsid w:val="06544FAB"/>
    <w:rsid w:val="066D4490"/>
    <w:rsid w:val="069A7E12"/>
    <w:rsid w:val="07455FA1"/>
    <w:rsid w:val="075F2127"/>
    <w:rsid w:val="07995B53"/>
    <w:rsid w:val="07A82FEA"/>
    <w:rsid w:val="07AE14AC"/>
    <w:rsid w:val="07E540E5"/>
    <w:rsid w:val="08014519"/>
    <w:rsid w:val="08302794"/>
    <w:rsid w:val="0839112B"/>
    <w:rsid w:val="084B7A66"/>
    <w:rsid w:val="0851741D"/>
    <w:rsid w:val="090504BF"/>
    <w:rsid w:val="09123E97"/>
    <w:rsid w:val="09243C42"/>
    <w:rsid w:val="09295FE7"/>
    <w:rsid w:val="09562DBC"/>
    <w:rsid w:val="095830FB"/>
    <w:rsid w:val="09656115"/>
    <w:rsid w:val="0984370C"/>
    <w:rsid w:val="09C142FE"/>
    <w:rsid w:val="09D56068"/>
    <w:rsid w:val="09E56C79"/>
    <w:rsid w:val="09FF022D"/>
    <w:rsid w:val="0A9F522E"/>
    <w:rsid w:val="0AEE0F7F"/>
    <w:rsid w:val="0AF83D3C"/>
    <w:rsid w:val="0B7550AF"/>
    <w:rsid w:val="0B9666F2"/>
    <w:rsid w:val="0BDA3DA5"/>
    <w:rsid w:val="0BEC35D5"/>
    <w:rsid w:val="0C01741F"/>
    <w:rsid w:val="0C0F058D"/>
    <w:rsid w:val="0C211085"/>
    <w:rsid w:val="0CE05439"/>
    <w:rsid w:val="0CFE4784"/>
    <w:rsid w:val="0D0226E7"/>
    <w:rsid w:val="0D0549CE"/>
    <w:rsid w:val="0D953CB7"/>
    <w:rsid w:val="0E074511"/>
    <w:rsid w:val="0EB648C8"/>
    <w:rsid w:val="0EBB5AE7"/>
    <w:rsid w:val="0EE35DB9"/>
    <w:rsid w:val="0EF8693D"/>
    <w:rsid w:val="0F293CFD"/>
    <w:rsid w:val="0F66262E"/>
    <w:rsid w:val="0F7726DF"/>
    <w:rsid w:val="0F97226F"/>
    <w:rsid w:val="10082EB6"/>
    <w:rsid w:val="10167F35"/>
    <w:rsid w:val="104A1AF6"/>
    <w:rsid w:val="104E26BF"/>
    <w:rsid w:val="107A78DA"/>
    <w:rsid w:val="107F2A71"/>
    <w:rsid w:val="10E21D49"/>
    <w:rsid w:val="10FB74BF"/>
    <w:rsid w:val="11470A12"/>
    <w:rsid w:val="11DC0AA5"/>
    <w:rsid w:val="12295E7D"/>
    <w:rsid w:val="12F65D70"/>
    <w:rsid w:val="133441B3"/>
    <w:rsid w:val="133C3534"/>
    <w:rsid w:val="136F1779"/>
    <w:rsid w:val="137D7E3A"/>
    <w:rsid w:val="13E33120"/>
    <w:rsid w:val="13EC34E5"/>
    <w:rsid w:val="15131A84"/>
    <w:rsid w:val="153579F9"/>
    <w:rsid w:val="15394155"/>
    <w:rsid w:val="1594173F"/>
    <w:rsid w:val="15D97611"/>
    <w:rsid w:val="15FD5E75"/>
    <w:rsid w:val="1600268E"/>
    <w:rsid w:val="16563013"/>
    <w:rsid w:val="16AA7D9E"/>
    <w:rsid w:val="16AF2845"/>
    <w:rsid w:val="16C90357"/>
    <w:rsid w:val="17144E25"/>
    <w:rsid w:val="17680BE1"/>
    <w:rsid w:val="18077A2D"/>
    <w:rsid w:val="18077CAC"/>
    <w:rsid w:val="1842213C"/>
    <w:rsid w:val="185C7A25"/>
    <w:rsid w:val="188D6746"/>
    <w:rsid w:val="18BB5017"/>
    <w:rsid w:val="18E27836"/>
    <w:rsid w:val="18FC310E"/>
    <w:rsid w:val="193F728D"/>
    <w:rsid w:val="197A4BF2"/>
    <w:rsid w:val="19FD1DFB"/>
    <w:rsid w:val="1AD2113B"/>
    <w:rsid w:val="1B853260"/>
    <w:rsid w:val="1BC229A4"/>
    <w:rsid w:val="1BC72FED"/>
    <w:rsid w:val="1BE43605"/>
    <w:rsid w:val="1C00530A"/>
    <w:rsid w:val="1C4F75C5"/>
    <w:rsid w:val="1C5C1105"/>
    <w:rsid w:val="1C767A88"/>
    <w:rsid w:val="1CE91494"/>
    <w:rsid w:val="1D3625F1"/>
    <w:rsid w:val="1D4E0DCB"/>
    <w:rsid w:val="1D6B2D1C"/>
    <w:rsid w:val="1D9822C6"/>
    <w:rsid w:val="1DA86D22"/>
    <w:rsid w:val="1E5B61F8"/>
    <w:rsid w:val="1E940CF7"/>
    <w:rsid w:val="1ECB0E10"/>
    <w:rsid w:val="1EDA0C11"/>
    <w:rsid w:val="1F0B0800"/>
    <w:rsid w:val="1F245A35"/>
    <w:rsid w:val="1F3C0119"/>
    <w:rsid w:val="1F515AC7"/>
    <w:rsid w:val="1F90436C"/>
    <w:rsid w:val="1FA04B74"/>
    <w:rsid w:val="1FC57184"/>
    <w:rsid w:val="20242025"/>
    <w:rsid w:val="20510A2A"/>
    <w:rsid w:val="20907F89"/>
    <w:rsid w:val="20CA501D"/>
    <w:rsid w:val="20F6753D"/>
    <w:rsid w:val="21572348"/>
    <w:rsid w:val="21771B35"/>
    <w:rsid w:val="217B6E8F"/>
    <w:rsid w:val="2186698E"/>
    <w:rsid w:val="21A400A0"/>
    <w:rsid w:val="21C84315"/>
    <w:rsid w:val="21E5239A"/>
    <w:rsid w:val="225B608B"/>
    <w:rsid w:val="22651ECE"/>
    <w:rsid w:val="22801147"/>
    <w:rsid w:val="22D56430"/>
    <w:rsid w:val="234D0922"/>
    <w:rsid w:val="23D1005A"/>
    <w:rsid w:val="23E8649C"/>
    <w:rsid w:val="23FA5A14"/>
    <w:rsid w:val="24121B8C"/>
    <w:rsid w:val="241F452C"/>
    <w:rsid w:val="2477734D"/>
    <w:rsid w:val="24835BB5"/>
    <w:rsid w:val="24865DB9"/>
    <w:rsid w:val="24F55EFC"/>
    <w:rsid w:val="250F2123"/>
    <w:rsid w:val="253A38C1"/>
    <w:rsid w:val="25812C6B"/>
    <w:rsid w:val="25826536"/>
    <w:rsid w:val="26222264"/>
    <w:rsid w:val="26291998"/>
    <w:rsid w:val="263F1800"/>
    <w:rsid w:val="264758BE"/>
    <w:rsid w:val="2679075F"/>
    <w:rsid w:val="26977AEE"/>
    <w:rsid w:val="26A24A66"/>
    <w:rsid w:val="26E357CB"/>
    <w:rsid w:val="276B23FE"/>
    <w:rsid w:val="277E2C49"/>
    <w:rsid w:val="27B376A4"/>
    <w:rsid w:val="27C22649"/>
    <w:rsid w:val="27F42830"/>
    <w:rsid w:val="280129BA"/>
    <w:rsid w:val="28076765"/>
    <w:rsid w:val="28785866"/>
    <w:rsid w:val="291104DB"/>
    <w:rsid w:val="295E607F"/>
    <w:rsid w:val="298469A3"/>
    <w:rsid w:val="29F4174E"/>
    <w:rsid w:val="29F70D19"/>
    <w:rsid w:val="2A2803A2"/>
    <w:rsid w:val="2A7F518B"/>
    <w:rsid w:val="2AAE7F81"/>
    <w:rsid w:val="2B0F45B6"/>
    <w:rsid w:val="2B28603C"/>
    <w:rsid w:val="2B4746D6"/>
    <w:rsid w:val="2B743FD7"/>
    <w:rsid w:val="2BC8409A"/>
    <w:rsid w:val="2BEE0864"/>
    <w:rsid w:val="2C46102B"/>
    <w:rsid w:val="2C92742C"/>
    <w:rsid w:val="2CDB2FD7"/>
    <w:rsid w:val="2CDD2F33"/>
    <w:rsid w:val="2D19352C"/>
    <w:rsid w:val="2D1D03C0"/>
    <w:rsid w:val="2DC65A19"/>
    <w:rsid w:val="2DE250B1"/>
    <w:rsid w:val="2E162DED"/>
    <w:rsid w:val="2E7528AB"/>
    <w:rsid w:val="2E8F6794"/>
    <w:rsid w:val="2E996208"/>
    <w:rsid w:val="2F666935"/>
    <w:rsid w:val="2FB248C3"/>
    <w:rsid w:val="2FBB0B9D"/>
    <w:rsid w:val="2FD84CAE"/>
    <w:rsid w:val="301949EE"/>
    <w:rsid w:val="30340F00"/>
    <w:rsid w:val="3065142C"/>
    <w:rsid w:val="30A33C7D"/>
    <w:rsid w:val="30C1039B"/>
    <w:rsid w:val="30E51140"/>
    <w:rsid w:val="30F85C3B"/>
    <w:rsid w:val="30FF690F"/>
    <w:rsid w:val="310C0E96"/>
    <w:rsid w:val="310C6367"/>
    <w:rsid w:val="31283645"/>
    <w:rsid w:val="31384A23"/>
    <w:rsid w:val="317C036E"/>
    <w:rsid w:val="317F1954"/>
    <w:rsid w:val="31A2473F"/>
    <w:rsid w:val="31D64EC5"/>
    <w:rsid w:val="31D96D58"/>
    <w:rsid w:val="31F74677"/>
    <w:rsid w:val="31FC04FB"/>
    <w:rsid w:val="32230873"/>
    <w:rsid w:val="32317ABF"/>
    <w:rsid w:val="323510FC"/>
    <w:rsid w:val="32353291"/>
    <w:rsid w:val="32365CF6"/>
    <w:rsid w:val="32C4309F"/>
    <w:rsid w:val="331C3A9A"/>
    <w:rsid w:val="33361C3D"/>
    <w:rsid w:val="335D1CC5"/>
    <w:rsid w:val="339139D3"/>
    <w:rsid w:val="34121EC5"/>
    <w:rsid w:val="342F3BA3"/>
    <w:rsid w:val="34802290"/>
    <w:rsid w:val="34993E20"/>
    <w:rsid w:val="354444AC"/>
    <w:rsid w:val="358C25A7"/>
    <w:rsid w:val="358C4F93"/>
    <w:rsid w:val="35AE3564"/>
    <w:rsid w:val="361F1786"/>
    <w:rsid w:val="363A3E94"/>
    <w:rsid w:val="36642A3A"/>
    <w:rsid w:val="366C3230"/>
    <w:rsid w:val="369C312F"/>
    <w:rsid w:val="36F626F5"/>
    <w:rsid w:val="371F40D7"/>
    <w:rsid w:val="379A126C"/>
    <w:rsid w:val="379D5206"/>
    <w:rsid w:val="386B7F2F"/>
    <w:rsid w:val="38730223"/>
    <w:rsid w:val="38B80387"/>
    <w:rsid w:val="39806B4E"/>
    <w:rsid w:val="399E325D"/>
    <w:rsid w:val="399F0A89"/>
    <w:rsid w:val="3A04659B"/>
    <w:rsid w:val="3A303CA8"/>
    <w:rsid w:val="3A9A1B01"/>
    <w:rsid w:val="3AC059F9"/>
    <w:rsid w:val="3AE75FCB"/>
    <w:rsid w:val="3B44235C"/>
    <w:rsid w:val="3B4E1694"/>
    <w:rsid w:val="3B790D77"/>
    <w:rsid w:val="3BA62150"/>
    <w:rsid w:val="3BD07F9E"/>
    <w:rsid w:val="3BF369DE"/>
    <w:rsid w:val="3BFF5BFB"/>
    <w:rsid w:val="3C1A0CB4"/>
    <w:rsid w:val="3C4F26F5"/>
    <w:rsid w:val="3C7D478B"/>
    <w:rsid w:val="3C9167E0"/>
    <w:rsid w:val="3CB4260C"/>
    <w:rsid w:val="3CDE0EAF"/>
    <w:rsid w:val="3D515BBF"/>
    <w:rsid w:val="3DD2267A"/>
    <w:rsid w:val="3E1723C3"/>
    <w:rsid w:val="3E2B537A"/>
    <w:rsid w:val="3E52548F"/>
    <w:rsid w:val="3EB01D9F"/>
    <w:rsid w:val="3EEA1576"/>
    <w:rsid w:val="3F244EC9"/>
    <w:rsid w:val="3F561652"/>
    <w:rsid w:val="40576469"/>
    <w:rsid w:val="405D42B8"/>
    <w:rsid w:val="40AC51FF"/>
    <w:rsid w:val="40B830C1"/>
    <w:rsid w:val="41140916"/>
    <w:rsid w:val="41774367"/>
    <w:rsid w:val="41B3383E"/>
    <w:rsid w:val="41D100B9"/>
    <w:rsid w:val="41DC1814"/>
    <w:rsid w:val="4214123F"/>
    <w:rsid w:val="42397034"/>
    <w:rsid w:val="42705CC0"/>
    <w:rsid w:val="429D007B"/>
    <w:rsid w:val="4309648D"/>
    <w:rsid w:val="431F7F95"/>
    <w:rsid w:val="434C3C1B"/>
    <w:rsid w:val="438501B2"/>
    <w:rsid w:val="43DB04EB"/>
    <w:rsid w:val="4432705D"/>
    <w:rsid w:val="44336526"/>
    <w:rsid w:val="44FE2E57"/>
    <w:rsid w:val="450E0E77"/>
    <w:rsid w:val="45153A1F"/>
    <w:rsid w:val="45746617"/>
    <w:rsid w:val="45793729"/>
    <w:rsid w:val="459B7DCF"/>
    <w:rsid w:val="45ED672C"/>
    <w:rsid w:val="45FA69EE"/>
    <w:rsid w:val="466850F2"/>
    <w:rsid w:val="46734DAD"/>
    <w:rsid w:val="470F50FB"/>
    <w:rsid w:val="47A65F99"/>
    <w:rsid w:val="48182444"/>
    <w:rsid w:val="48760998"/>
    <w:rsid w:val="48881000"/>
    <w:rsid w:val="488A79AF"/>
    <w:rsid w:val="488B792F"/>
    <w:rsid w:val="48BC6316"/>
    <w:rsid w:val="48D81343"/>
    <w:rsid w:val="492846DE"/>
    <w:rsid w:val="496C0725"/>
    <w:rsid w:val="4A147B86"/>
    <w:rsid w:val="4A6D6AAB"/>
    <w:rsid w:val="4ACE20F5"/>
    <w:rsid w:val="4AF45DC4"/>
    <w:rsid w:val="4B39541F"/>
    <w:rsid w:val="4B5633BD"/>
    <w:rsid w:val="4BC74E87"/>
    <w:rsid w:val="4C0E2493"/>
    <w:rsid w:val="4C113079"/>
    <w:rsid w:val="4C1F06FA"/>
    <w:rsid w:val="4C515F9F"/>
    <w:rsid w:val="4CCD2C28"/>
    <w:rsid w:val="4CFE71B3"/>
    <w:rsid w:val="4D367F76"/>
    <w:rsid w:val="4D9E319D"/>
    <w:rsid w:val="4DA16ADE"/>
    <w:rsid w:val="4DE8619F"/>
    <w:rsid w:val="4DF51062"/>
    <w:rsid w:val="4E015F16"/>
    <w:rsid w:val="4E362286"/>
    <w:rsid w:val="4E555CA6"/>
    <w:rsid w:val="4E860383"/>
    <w:rsid w:val="4EB47AF9"/>
    <w:rsid w:val="4EB600E0"/>
    <w:rsid w:val="4F1B67C9"/>
    <w:rsid w:val="4F8944AF"/>
    <w:rsid w:val="4FA14C60"/>
    <w:rsid w:val="4FC34047"/>
    <w:rsid w:val="4FD76F97"/>
    <w:rsid w:val="50247B60"/>
    <w:rsid w:val="50380ABA"/>
    <w:rsid w:val="5086746F"/>
    <w:rsid w:val="50B163AF"/>
    <w:rsid w:val="510A0D9D"/>
    <w:rsid w:val="51524190"/>
    <w:rsid w:val="51724C3F"/>
    <w:rsid w:val="51A60C76"/>
    <w:rsid w:val="51F966FC"/>
    <w:rsid w:val="52134095"/>
    <w:rsid w:val="52312783"/>
    <w:rsid w:val="526123FD"/>
    <w:rsid w:val="52826DAC"/>
    <w:rsid w:val="52AD0E8E"/>
    <w:rsid w:val="52BD3BE5"/>
    <w:rsid w:val="52C45947"/>
    <w:rsid w:val="52C80673"/>
    <w:rsid w:val="52E1554F"/>
    <w:rsid w:val="52EB710C"/>
    <w:rsid w:val="52F07DFC"/>
    <w:rsid w:val="531F4623"/>
    <w:rsid w:val="53DC329D"/>
    <w:rsid w:val="53FA5DCE"/>
    <w:rsid w:val="547905AA"/>
    <w:rsid w:val="54F52698"/>
    <w:rsid w:val="55424374"/>
    <w:rsid w:val="555A5408"/>
    <w:rsid w:val="55BB3BD0"/>
    <w:rsid w:val="56BB1A3C"/>
    <w:rsid w:val="56DE117D"/>
    <w:rsid w:val="56E10D7D"/>
    <w:rsid w:val="572D2A5B"/>
    <w:rsid w:val="573471D2"/>
    <w:rsid w:val="57837521"/>
    <w:rsid w:val="57AB1549"/>
    <w:rsid w:val="58121BBD"/>
    <w:rsid w:val="586B71BC"/>
    <w:rsid w:val="58711BA5"/>
    <w:rsid w:val="589231C8"/>
    <w:rsid w:val="58BF734E"/>
    <w:rsid w:val="58CC5BAC"/>
    <w:rsid w:val="592106AE"/>
    <w:rsid w:val="59457F9D"/>
    <w:rsid w:val="594D4C89"/>
    <w:rsid w:val="597E7592"/>
    <w:rsid w:val="599D3C8A"/>
    <w:rsid w:val="59B3425C"/>
    <w:rsid w:val="59DA0E48"/>
    <w:rsid w:val="59DA2103"/>
    <w:rsid w:val="59F50871"/>
    <w:rsid w:val="59F969E3"/>
    <w:rsid w:val="5A2506D5"/>
    <w:rsid w:val="5A461C11"/>
    <w:rsid w:val="5A5B5812"/>
    <w:rsid w:val="5A7E5C4F"/>
    <w:rsid w:val="5B4C0FED"/>
    <w:rsid w:val="5B620028"/>
    <w:rsid w:val="5B9F2D78"/>
    <w:rsid w:val="5BFC683B"/>
    <w:rsid w:val="5C91188E"/>
    <w:rsid w:val="5C986DFD"/>
    <w:rsid w:val="5CB318C1"/>
    <w:rsid w:val="5CBD2B03"/>
    <w:rsid w:val="5CBE3035"/>
    <w:rsid w:val="5CC40525"/>
    <w:rsid w:val="5D3A4BD9"/>
    <w:rsid w:val="5D3D7C30"/>
    <w:rsid w:val="5DC0137C"/>
    <w:rsid w:val="5E220F75"/>
    <w:rsid w:val="5E6B7D23"/>
    <w:rsid w:val="5EAE2404"/>
    <w:rsid w:val="5EDC5FF1"/>
    <w:rsid w:val="5EED5641"/>
    <w:rsid w:val="5F2375ED"/>
    <w:rsid w:val="5F3C12FF"/>
    <w:rsid w:val="5F6B5097"/>
    <w:rsid w:val="5F7D4D16"/>
    <w:rsid w:val="5FD27B73"/>
    <w:rsid w:val="5FFC3F91"/>
    <w:rsid w:val="60733255"/>
    <w:rsid w:val="60866C2D"/>
    <w:rsid w:val="60AE1401"/>
    <w:rsid w:val="612805E1"/>
    <w:rsid w:val="61306EDC"/>
    <w:rsid w:val="61407126"/>
    <w:rsid w:val="619A4202"/>
    <w:rsid w:val="61AD1F23"/>
    <w:rsid w:val="61BF72C0"/>
    <w:rsid w:val="61CB0FA5"/>
    <w:rsid w:val="62730F7B"/>
    <w:rsid w:val="62953005"/>
    <w:rsid w:val="62A27631"/>
    <w:rsid w:val="62C17A7B"/>
    <w:rsid w:val="62FC3619"/>
    <w:rsid w:val="6350086E"/>
    <w:rsid w:val="6364313A"/>
    <w:rsid w:val="636F09B8"/>
    <w:rsid w:val="6420020E"/>
    <w:rsid w:val="64A276D8"/>
    <w:rsid w:val="64A81D2B"/>
    <w:rsid w:val="6513595F"/>
    <w:rsid w:val="654D22AA"/>
    <w:rsid w:val="659B0C70"/>
    <w:rsid w:val="66006D42"/>
    <w:rsid w:val="663A47B5"/>
    <w:rsid w:val="66432E39"/>
    <w:rsid w:val="66590F89"/>
    <w:rsid w:val="66A95111"/>
    <w:rsid w:val="66B50FD2"/>
    <w:rsid w:val="66EB704A"/>
    <w:rsid w:val="66EF4A71"/>
    <w:rsid w:val="67472502"/>
    <w:rsid w:val="67523E04"/>
    <w:rsid w:val="67906760"/>
    <w:rsid w:val="67BA63BA"/>
    <w:rsid w:val="67D510FF"/>
    <w:rsid w:val="682355A6"/>
    <w:rsid w:val="68541712"/>
    <w:rsid w:val="68772576"/>
    <w:rsid w:val="68B702B5"/>
    <w:rsid w:val="68F550AB"/>
    <w:rsid w:val="692A4234"/>
    <w:rsid w:val="69D967D1"/>
    <w:rsid w:val="6A6A42B6"/>
    <w:rsid w:val="6ADC0A6B"/>
    <w:rsid w:val="6AE1319A"/>
    <w:rsid w:val="6AFA14FA"/>
    <w:rsid w:val="6B212E61"/>
    <w:rsid w:val="6B590E08"/>
    <w:rsid w:val="6B6E36CD"/>
    <w:rsid w:val="6BA06610"/>
    <w:rsid w:val="6BB957B0"/>
    <w:rsid w:val="6BCD5068"/>
    <w:rsid w:val="6BEB40A9"/>
    <w:rsid w:val="6C021860"/>
    <w:rsid w:val="6C39327C"/>
    <w:rsid w:val="6C3E2AE1"/>
    <w:rsid w:val="6C435618"/>
    <w:rsid w:val="6C597B84"/>
    <w:rsid w:val="6C68265A"/>
    <w:rsid w:val="6CB04215"/>
    <w:rsid w:val="6CC77B23"/>
    <w:rsid w:val="6CEE5E4F"/>
    <w:rsid w:val="6D117F87"/>
    <w:rsid w:val="6D16450C"/>
    <w:rsid w:val="6D6537A5"/>
    <w:rsid w:val="6D6D3BB0"/>
    <w:rsid w:val="6D816AE7"/>
    <w:rsid w:val="6DC2610C"/>
    <w:rsid w:val="6DD2700B"/>
    <w:rsid w:val="6E284011"/>
    <w:rsid w:val="6E4E27CF"/>
    <w:rsid w:val="6E612755"/>
    <w:rsid w:val="6E90735F"/>
    <w:rsid w:val="6EEC1804"/>
    <w:rsid w:val="6F0B2A09"/>
    <w:rsid w:val="6F6F1FE3"/>
    <w:rsid w:val="6F781FC5"/>
    <w:rsid w:val="6F91484E"/>
    <w:rsid w:val="6F930554"/>
    <w:rsid w:val="6FDD7905"/>
    <w:rsid w:val="703E0D95"/>
    <w:rsid w:val="70533B97"/>
    <w:rsid w:val="70B679CD"/>
    <w:rsid w:val="70D72EA9"/>
    <w:rsid w:val="70FE241A"/>
    <w:rsid w:val="7104744D"/>
    <w:rsid w:val="713B111A"/>
    <w:rsid w:val="717520BB"/>
    <w:rsid w:val="71797686"/>
    <w:rsid w:val="718167B7"/>
    <w:rsid w:val="71C241D1"/>
    <w:rsid w:val="722533F8"/>
    <w:rsid w:val="72314556"/>
    <w:rsid w:val="73762935"/>
    <w:rsid w:val="73CA1A40"/>
    <w:rsid w:val="73DE2A18"/>
    <w:rsid w:val="742C2C2D"/>
    <w:rsid w:val="7457037A"/>
    <w:rsid w:val="74FD3B6F"/>
    <w:rsid w:val="75465AB3"/>
    <w:rsid w:val="759F3CEA"/>
    <w:rsid w:val="75E22227"/>
    <w:rsid w:val="76164725"/>
    <w:rsid w:val="76190ABD"/>
    <w:rsid w:val="762D12C2"/>
    <w:rsid w:val="767F17EA"/>
    <w:rsid w:val="76C30454"/>
    <w:rsid w:val="76CC0B51"/>
    <w:rsid w:val="77742D4E"/>
    <w:rsid w:val="77824A38"/>
    <w:rsid w:val="77861819"/>
    <w:rsid w:val="78141A18"/>
    <w:rsid w:val="78527978"/>
    <w:rsid w:val="787C5632"/>
    <w:rsid w:val="787D3C56"/>
    <w:rsid w:val="78CE57AF"/>
    <w:rsid w:val="790B5EDC"/>
    <w:rsid w:val="793B627B"/>
    <w:rsid w:val="795723C3"/>
    <w:rsid w:val="796C2371"/>
    <w:rsid w:val="7A9E0310"/>
    <w:rsid w:val="7AAE1CA3"/>
    <w:rsid w:val="7AC62985"/>
    <w:rsid w:val="7B6C6F30"/>
    <w:rsid w:val="7B717986"/>
    <w:rsid w:val="7BD35163"/>
    <w:rsid w:val="7BEE3984"/>
    <w:rsid w:val="7BFB0036"/>
    <w:rsid w:val="7CA640A3"/>
    <w:rsid w:val="7D38050F"/>
    <w:rsid w:val="7D617565"/>
    <w:rsid w:val="7D903C8D"/>
    <w:rsid w:val="7E856124"/>
    <w:rsid w:val="7EA1710A"/>
    <w:rsid w:val="7EBA6DD6"/>
    <w:rsid w:val="7EDC57B7"/>
    <w:rsid w:val="7EF86245"/>
    <w:rsid w:val="7F142ECB"/>
    <w:rsid w:val="7F1A038D"/>
    <w:rsid w:val="7F713C2F"/>
    <w:rsid w:val="7F9F5763"/>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6">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7">
    <w:name w:val="annotation subject"/>
    <w:basedOn w:val="8"/>
    <w:next w:val="8"/>
    <w:link w:val="61"/>
    <w:qFormat/>
    <w:uiPriority w:val="0"/>
    <w:rPr>
      <w:b/>
      <w:bCs/>
    </w:rPr>
  </w:style>
  <w:style w:type="paragraph" w:styleId="8">
    <w:name w:val="annotation text"/>
    <w:basedOn w:val="1"/>
    <w:link w:val="60"/>
    <w:qFormat/>
    <w:uiPriority w:val="0"/>
    <w:pPr>
      <w:jc w:val="left"/>
    </w:pPr>
  </w:style>
  <w:style w:type="paragraph" w:styleId="9">
    <w:name w:val="Body Text First Indent"/>
    <w:basedOn w:val="10"/>
    <w:next w:val="11"/>
    <w:unhideWhenUsed/>
    <w:qFormat/>
    <w:uiPriority w:val="0"/>
    <w:pPr>
      <w:spacing w:after="120"/>
      <w:ind w:firstLine="420" w:firstLineChars="100"/>
    </w:pPr>
    <w:rPr>
      <w:rFonts w:ascii="Calibri" w:hAnsi="Calibri"/>
      <w:sz w:val="21"/>
      <w:szCs w:val="22"/>
    </w:rPr>
  </w:style>
  <w:style w:type="paragraph" w:styleId="10">
    <w:name w:val="Body Text"/>
    <w:basedOn w:val="1"/>
    <w:next w:val="9"/>
    <w:qFormat/>
    <w:uiPriority w:val="0"/>
    <w:rPr>
      <w:rFonts w:ascii="Arial" w:hAnsi="Arial"/>
      <w:bCs/>
      <w:sz w:val="24"/>
    </w:rPr>
  </w:style>
  <w:style w:type="paragraph" w:styleId="11">
    <w:name w:val="toc 6"/>
    <w:basedOn w:val="1"/>
    <w:next w:val="1"/>
    <w:qFormat/>
    <w:uiPriority w:val="0"/>
    <w:pPr>
      <w:ind w:left="1400"/>
    </w:pPr>
    <w:rPr>
      <w:rFonts w:ascii="Calibri"/>
      <w:sz w:val="18"/>
      <w:szCs w:val="18"/>
    </w:rPr>
  </w:style>
  <w:style w:type="paragraph" w:styleId="12">
    <w:name w:val="Normal Indent"/>
    <w:basedOn w:val="1"/>
    <w:qFormat/>
    <w:uiPriority w:val="0"/>
    <w:pPr>
      <w:ind w:firstLine="420" w:firstLineChars="200"/>
    </w:pPr>
  </w:style>
  <w:style w:type="paragraph" w:styleId="13">
    <w:name w:val="Body Text Indent"/>
    <w:basedOn w:val="1"/>
    <w:qFormat/>
    <w:uiPriority w:val="0"/>
    <w:pPr>
      <w:spacing w:after="120"/>
      <w:ind w:left="420" w:leftChars="200"/>
    </w:pPr>
  </w:style>
  <w:style w:type="paragraph" w:styleId="14">
    <w:name w:val="List 2"/>
    <w:basedOn w:val="1"/>
    <w:qFormat/>
    <w:uiPriority w:val="0"/>
    <w:pPr>
      <w:ind w:left="100" w:leftChars="200" w:hanging="200" w:hangingChars="200"/>
    </w:pPr>
  </w:style>
  <w:style w:type="paragraph" w:styleId="15">
    <w:name w:val="Block Text"/>
    <w:basedOn w:val="1"/>
    <w:qFormat/>
    <w:uiPriority w:val="0"/>
    <w:pPr>
      <w:spacing w:before="156" w:beforeLines="50" w:after="156" w:afterLines="50"/>
      <w:ind w:left="426" w:right="-11" w:hanging="426" w:hangingChars="203"/>
    </w:pPr>
    <w:rPr>
      <w:rFonts w:eastAsia="楷体_GB2312"/>
    </w:rPr>
  </w:style>
  <w:style w:type="paragraph" w:styleId="16">
    <w:name w:val="Plain Text"/>
    <w:basedOn w:val="1"/>
    <w:next w:val="17"/>
    <w:qFormat/>
    <w:uiPriority w:val="0"/>
    <w:rPr>
      <w:rFonts w:ascii="宋体" w:hAnsi="Courier New"/>
      <w:szCs w:val="20"/>
    </w:rPr>
  </w:style>
  <w:style w:type="paragraph" w:styleId="17">
    <w:name w:val="toc 2"/>
    <w:basedOn w:val="1"/>
    <w:next w:val="1"/>
    <w:qFormat/>
    <w:uiPriority w:val="0"/>
    <w:pPr>
      <w:ind w:left="420" w:leftChars="200"/>
    </w:pPr>
    <w:rPr>
      <w:szCs w:val="20"/>
    </w:rPr>
  </w:style>
  <w:style w:type="paragraph" w:styleId="18">
    <w:name w:val="Date"/>
    <w:basedOn w:val="1"/>
    <w:next w:val="1"/>
    <w:qFormat/>
    <w:uiPriority w:val="0"/>
    <w:pPr>
      <w:ind w:left="100" w:leftChars="2500"/>
    </w:pPr>
    <w:rPr>
      <w:color w:val="000000"/>
      <w:sz w:val="24"/>
    </w:rPr>
  </w:style>
  <w:style w:type="paragraph" w:styleId="19">
    <w:name w:val="Body Text Indent 2"/>
    <w:basedOn w:val="1"/>
    <w:qFormat/>
    <w:uiPriority w:val="0"/>
    <w:pPr>
      <w:widowControl/>
      <w:spacing w:line="480" w:lineRule="atLeast"/>
      <w:ind w:firstLine="480"/>
    </w:pPr>
    <w:rPr>
      <w:rFonts w:ascii="宋体"/>
      <w:kern w:val="0"/>
      <w:sz w:val="24"/>
      <w:szCs w:val="20"/>
    </w:rPr>
  </w:style>
  <w:style w:type="paragraph" w:styleId="20">
    <w:name w:val="Balloon Text"/>
    <w:basedOn w:val="1"/>
    <w:link w:val="55"/>
    <w:qFormat/>
    <w:uiPriority w:val="0"/>
    <w:rPr>
      <w:sz w:val="18"/>
      <w:szCs w:val="18"/>
    </w:rPr>
  </w:style>
  <w:style w:type="paragraph" w:styleId="21">
    <w:name w:val="footer"/>
    <w:basedOn w:val="1"/>
    <w:qFormat/>
    <w:uiPriority w:val="0"/>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rPr>
      <w:szCs w:val="20"/>
    </w:rPr>
  </w:style>
  <w:style w:type="paragraph" w:styleId="24">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5">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character" w:styleId="27">
    <w:name w:val="Strong"/>
    <w:basedOn w:val="26"/>
    <w:qFormat/>
    <w:uiPriority w:val="0"/>
    <w:rPr>
      <w:b/>
      <w:bCs/>
    </w:rPr>
  </w:style>
  <w:style w:type="character" w:styleId="28">
    <w:name w:val="page number"/>
    <w:basedOn w:val="26"/>
    <w:qFormat/>
    <w:uiPriority w:val="0"/>
  </w:style>
  <w:style w:type="character" w:styleId="29">
    <w:name w:val="FollowedHyperlink"/>
    <w:basedOn w:val="26"/>
    <w:qFormat/>
    <w:uiPriority w:val="0"/>
    <w:rPr>
      <w:color w:val="4A4A4A"/>
      <w:u w:val="none"/>
    </w:rPr>
  </w:style>
  <w:style w:type="character" w:styleId="30">
    <w:name w:val="Emphasis"/>
    <w:basedOn w:val="26"/>
    <w:qFormat/>
    <w:uiPriority w:val="0"/>
  </w:style>
  <w:style w:type="character" w:styleId="31">
    <w:name w:val="HTML Definition"/>
    <w:basedOn w:val="26"/>
    <w:qFormat/>
    <w:uiPriority w:val="0"/>
  </w:style>
  <w:style w:type="character" w:styleId="32">
    <w:name w:val="HTML Typewriter"/>
    <w:basedOn w:val="26"/>
    <w:qFormat/>
    <w:uiPriority w:val="0"/>
    <w:rPr>
      <w:rFonts w:hint="default" w:ascii="monospace" w:hAnsi="monospace" w:eastAsia="monospace" w:cs="monospace"/>
      <w:sz w:val="20"/>
    </w:rPr>
  </w:style>
  <w:style w:type="character" w:styleId="33">
    <w:name w:val="HTML Acronym"/>
    <w:basedOn w:val="26"/>
    <w:qFormat/>
    <w:uiPriority w:val="0"/>
  </w:style>
  <w:style w:type="character" w:styleId="34">
    <w:name w:val="HTML Variable"/>
    <w:basedOn w:val="26"/>
    <w:qFormat/>
    <w:uiPriority w:val="0"/>
  </w:style>
  <w:style w:type="character" w:styleId="35">
    <w:name w:val="Hyperlink"/>
    <w:qFormat/>
    <w:uiPriority w:val="0"/>
    <w:rPr>
      <w:color w:val="0000FF"/>
      <w:u w:val="single"/>
    </w:rPr>
  </w:style>
  <w:style w:type="character" w:styleId="36">
    <w:name w:val="HTML Code"/>
    <w:basedOn w:val="26"/>
    <w:qFormat/>
    <w:uiPriority w:val="0"/>
    <w:rPr>
      <w:rFonts w:hint="default" w:ascii="monospace" w:hAnsi="monospace" w:eastAsia="monospace" w:cs="monospace"/>
      <w:sz w:val="20"/>
    </w:rPr>
  </w:style>
  <w:style w:type="character" w:styleId="37">
    <w:name w:val="annotation reference"/>
    <w:basedOn w:val="26"/>
    <w:qFormat/>
    <w:uiPriority w:val="0"/>
    <w:rPr>
      <w:sz w:val="21"/>
      <w:szCs w:val="21"/>
    </w:rPr>
  </w:style>
  <w:style w:type="character" w:styleId="38">
    <w:name w:val="HTML Cite"/>
    <w:basedOn w:val="26"/>
    <w:qFormat/>
    <w:uiPriority w:val="0"/>
  </w:style>
  <w:style w:type="character" w:styleId="39">
    <w:name w:val="HTML Keyboard"/>
    <w:basedOn w:val="26"/>
    <w:qFormat/>
    <w:uiPriority w:val="0"/>
    <w:rPr>
      <w:rFonts w:hint="default" w:ascii="monospace" w:hAnsi="monospace" w:eastAsia="monospace" w:cs="monospace"/>
      <w:sz w:val="20"/>
    </w:rPr>
  </w:style>
  <w:style w:type="character" w:styleId="40">
    <w:name w:val="HTML Sample"/>
    <w:basedOn w:val="26"/>
    <w:qFormat/>
    <w:uiPriority w:val="0"/>
    <w:rPr>
      <w:rFonts w:ascii="monospace" w:hAnsi="monospace" w:eastAsia="monospace" w:cs="monospace"/>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43">
    <w:name w:val="表格文字"/>
    <w:basedOn w:val="16"/>
    <w:next w:val="10"/>
    <w:qFormat/>
    <w:uiPriority w:val="0"/>
    <w:pPr>
      <w:adjustRightInd w:val="0"/>
      <w:spacing w:line="420" w:lineRule="atLeast"/>
      <w:jc w:val="left"/>
      <w:textAlignment w:val="baseline"/>
    </w:pPr>
    <w:rPr>
      <w:rFonts w:ascii="Times New Roman" w:hAnsi="Times New Roman"/>
      <w:kern w:val="0"/>
      <w:szCs w:val="24"/>
    </w:rPr>
  </w:style>
  <w:style w:type="paragraph" w:customStyle="1" w:styleId="44">
    <w:name w:val="zw1"/>
    <w:basedOn w:val="1"/>
    <w:qFormat/>
    <w:uiPriority w:val="0"/>
    <w:pPr>
      <w:spacing w:line="360" w:lineRule="auto"/>
      <w:ind w:firstLine="560" w:firstLineChars="200"/>
    </w:pPr>
    <w:rPr>
      <w:sz w:val="28"/>
      <w:szCs w:val="20"/>
    </w:rPr>
  </w:style>
  <w:style w:type="paragraph" w:customStyle="1" w:styleId="45">
    <w:name w:val="正文缩进2"/>
    <w:basedOn w:val="1"/>
    <w:next w:val="1"/>
    <w:qFormat/>
    <w:uiPriority w:val="0"/>
    <w:pPr>
      <w:spacing w:line="500" w:lineRule="exact"/>
      <w:ind w:firstLine="567"/>
    </w:pPr>
    <w:rPr>
      <w:sz w:val="24"/>
      <w:szCs w:val="20"/>
    </w:rPr>
  </w:style>
  <w:style w:type="paragraph" w:customStyle="1" w:styleId="46">
    <w:name w:val="列出段落1"/>
    <w:basedOn w:val="1"/>
    <w:qFormat/>
    <w:uiPriority w:val="0"/>
    <w:pPr>
      <w:ind w:firstLine="420" w:firstLineChars="200"/>
    </w:pPr>
    <w:rPr>
      <w:rFonts w:cs="Arial"/>
    </w:rPr>
  </w:style>
  <w:style w:type="paragraph" w:customStyle="1" w:styleId="47">
    <w:name w:val="表内文字"/>
    <w:basedOn w:val="1"/>
    <w:qFormat/>
    <w:uiPriority w:val="0"/>
    <w:pPr>
      <w:spacing w:line="500" w:lineRule="atLeast"/>
      <w:jc w:val="center"/>
    </w:pPr>
    <w:rPr>
      <w:rFonts w:ascii="Arial" w:hAnsi="Arial" w:eastAsia="楷体_GB2312" w:cs="Arial"/>
      <w:sz w:val="28"/>
    </w:rPr>
  </w:style>
  <w:style w:type="paragraph" w:customStyle="1" w:styleId="48">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49">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50">
    <w:name w:val="font41"/>
    <w:basedOn w:val="26"/>
    <w:qFormat/>
    <w:uiPriority w:val="0"/>
    <w:rPr>
      <w:rFonts w:hint="eastAsia" w:ascii="宋体" w:hAnsi="宋体" w:eastAsia="宋体" w:cs="宋体"/>
      <w:color w:val="000000"/>
      <w:sz w:val="22"/>
      <w:szCs w:val="22"/>
      <w:u w:val="none"/>
    </w:rPr>
  </w:style>
  <w:style w:type="character" w:customStyle="1" w:styleId="51">
    <w:name w:val="font11"/>
    <w:basedOn w:val="26"/>
    <w:qFormat/>
    <w:uiPriority w:val="0"/>
    <w:rPr>
      <w:rFonts w:ascii="Calibri" w:hAnsi="Calibri" w:cs="Calibri"/>
      <w:color w:val="000000"/>
      <w:sz w:val="21"/>
      <w:szCs w:val="21"/>
      <w:u w:val="none"/>
    </w:rPr>
  </w:style>
  <w:style w:type="character" w:customStyle="1" w:styleId="52">
    <w:name w:val="font01"/>
    <w:basedOn w:val="26"/>
    <w:qFormat/>
    <w:uiPriority w:val="0"/>
    <w:rPr>
      <w:rFonts w:hint="eastAsia" w:ascii="宋体" w:hAnsi="宋体" w:eastAsia="宋体" w:cs="宋体"/>
      <w:color w:val="000000"/>
      <w:sz w:val="21"/>
      <w:szCs w:val="21"/>
      <w:u w:val="none"/>
    </w:rPr>
  </w:style>
  <w:style w:type="paragraph" w:customStyle="1" w:styleId="53">
    <w:name w:val="纯文本1"/>
    <w:qFormat/>
    <w:uiPriority w:val="0"/>
    <w:rPr>
      <w:rFonts w:hint="eastAsia" w:ascii="宋体" w:hAnsi="Courier New" w:eastAsia="宋体" w:cs="Times New Roman"/>
      <w:kern w:val="2"/>
      <w:sz w:val="21"/>
      <w:lang w:val="en-US" w:eastAsia="zh-CN" w:bidi="ar-SA"/>
    </w:rPr>
  </w:style>
  <w:style w:type="paragraph" w:customStyle="1" w:styleId="54">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55">
    <w:name w:val="批注框文本 Char"/>
    <w:basedOn w:val="26"/>
    <w:link w:val="20"/>
    <w:qFormat/>
    <w:uiPriority w:val="0"/>
    <w:rPr>
      <w:kern w:val="2"/>
      <w:sz w:val="18"/>
      <w:szCs w:val="18"/>
    </w:rPr>
  </w:style>
  <w:style w:type="character" w:customStyle="1" w:styleId="56">
    <w:name w:val="apple-converted-space"/>
    <w:basedOn w:val="26"/>
    <w:qFormat/>
    <w:uiPriority w:val="0"/>
  </w:style>
  <w:style w:type="paragraph" w:customStyle="1" w:styleId="57">
    <w:name w:val="lvkai正文"/>
    <w:basedOn w:val="1"/>
    <w:qFormat/>
    <w:uiPriority w:val="0"/>
    <w:pPr>
      <w:spacing w:line="360" w:lineRule="auto"/>
      <w:ind w:firstLine="964" w:firstLineChars="200"/>
      <w:jc w:val="left"/>
    </w:pPr>
    <w:rPr>
      <w:rFonts w:ascii="Calibri" w:hAnsi="Calibri"/>
      <w:sz w:val="24"/>
    </w:rPr>
  </w:style>
  <w:style w:type="paragraph" w:customStyle="1" w:styleId="58">
    <w:name w:val="lvkai标题3"/>
    <w:basedOn w:val="59"/>
    <w:next w:val="57"/>
    <w:qFormat/>
    <w:uiPriority w:val="0"/>
    <w:pPr>
      <w:numPr>
        <w:ilvl w:val="2"/>
      </w:numPr>
      <w:jc w:val="left"/>
      <w:outlineLvl w:val="2"/>
    </w:pPr>
    <w:rPr>
      <w:sz w:val="28"/>
    </w:rPr>
  </w:style>
  <w:style w:type="paragraph" w:customStyle="1" w:styleId="59">
    <w:name w:val="lvkai标题1"/>
    <w:basedOn w:val="2"/>
    <w:next w:val="57"/>
    <w:qFormat/>
    <w:uiPriority w:val="0"/>
    <w:pPr>
      <w:numPr>
        <w:ilvl w:val="0"/>
        <w:numId w:val="1"/>
      </w:numPr>
      <w:spacing w:line="360" w:lineRule="auto"/>
    </w:pPr>
    <w:rPr>
      <w:rFonts w:ascii="Calibri" w:hAnsi="Calibri"/>
    </w:rPr>
  </w:style>
  <w:style w:type="character" w:customStyle="1" w:styleId="60">
    <w:name w:val="批注文字 Char"/>
    <w:basedOn w:val="26"/>
    <w:link w:val="8"/>
    <w:qFormat/>
    <w:uiPriority w:val="0"/>
    <w:rPr>
      <w:kern w:val="2"/>
      <w:sz w:val="21"/>
      <w:szCs w:val="24"/>
    </w:rPr>
  </w:style>
  <w:style w:type="character" w:customStyle="1" w:styleId="61">
    <w:name w:val="批注主题 Char"/>
    <w:basedOn w:val="60"/>
    <w:link w:val="7"/>
    <w:qFormat/>
    <w:uiPriority w:val="0"/>
    <w:rPr>
      <w:b/>
      <w:bCs/>
      <w:kern w:val="2"/>
      <w:sz w:val="21"/>
      <w:szCs w:val="24"/>
    </w:rPr>
  </w:style>
  <w:style w:type="paragraph" w:customStyle="1" w:styleId="62">
    <w:name w:val="_Style 2"/>
    <w:basedOn w:val="1"/>
    <w:qFormat/>
    <w:uiPriority w:val="0"/>
    <w:pPr>
      <w:ind w:firstLine="420" w:firstLineChars="200"/>
    </w:pPr>
    <w:rPr>
      <w:rFonts w:ascii="Calibri" w:hAnsi="Calibri" w:cs="Times New Roman"/>
      <w:kern w:val="2"/>
      <w:sz w:val="21"/>
      <w:szCs w:val="24"/>
    </w:rPr>
  </w:style>
  <w:style w:type="paragraph" w:customStyle="1" w:styleId="63">
    <w:name w:val="段"/>
    <w:qFormat/>
    <w:uiPriority w:val="0"/>
    <w:pPr>
      <w:tabs>
        <w:tab w:val="center" w:pos="4201"/>
        <w:tab w:val="right" w:leader="dot" w:pos="9298"/>
      </w:tabs>
      <w:autoSpaceDE w:val="0"/>
      <w:autoSpaceDN w:val="0"/>
      <w:ind w:firstLine="420" w:firstLineChars="200"/>
      <w:jc w:val="both"/>
    </w:pPr>
    <w:rPr>
      <w:rFonts w:ascii="宋体" w:hAnsi="宋体" w:eastAsia="宋体" w:cs="宋体"/>
      <w:lang w:val="en-US" w:eastAsia="zh-CN" w:bidi="ar-SA"/>
    </w:rPr>
  </w:style>
  <w:style w:type="paragraph" w:customStyle="1" w:styleId="64">
    <w:name w:val="l正文"/>
    <w:basedOn w:val="1"/>
    <w:qFormat/>
    <w:uiPriority w:val="0"/>
    <w:pPr>
      <w:widowControl w:val="0"/>
      <w:spacing w:line="300" w:lineRule="auto"/>
      <w:ind w:firstLine="200" w:firstLineChars="200"/>
    </w:pPr>
    <w:rPr>
      <w:rFonts w:ascii="楷体_GB2312" w:hAnsi="Times" w:eastAsia="楷体_GB231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79</Pages>
  <Words>7206</Words>
  <Characters>41079</Characters>
  <Lines>342</Lines>
  <Paragraphs>96</Paragraphs>
  <ScaleCrop>false</ScaleCrop>
  <LinksUpToDate>false</LinksUpToDate>
  <CharactersWithSpaces>48189</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2020-10-14T13:51:00Z</dcterms:created>
  <dc:creator>Arthur</dc:creator>
  <cp:lastModifiedBy>NTKO</cp:lastModifiedBy>
  <cp:lastPrinted>2020-10-21T01:30:00Z</cp:lastPrinted>
  <dcterms:modified xsi:type="dcterms:W3CDTF">2020-12-22T01:58:54Z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