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6"/>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5"/>
      </w:tblGrid>
      <w:tr w14:paraId="1120D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6" w:hRule="atLeast"/>
        </w:trPr>
        <w:tc>
          <w:tcPr>
            <w:tcW w:w="9025" w:type="dxa"/>
            <w:noWrap w:val="0"/>
            <w:vAlign w:val="top"/>
          </w:tcPr>
          <w:p w14:paraId="4FCF96DD">
            <w:pPr>
              <w:keepNext w:val="0"/>
              <w:keepLines w:val="0"/>
              <w:suppressLineNumbers w:val="0"/>
              <w:shd w:val="clear" w:color="auto" w:fill="auto"/>
              <w:tabs>
                <w:tab w:val="left" w:pos="6477"/>
              </w:tabs>
              <w:kinsoku/>
              <w:wordWrap w:val="0"/>
              <w:overflowPunct/>
              <w:bidi w:val="0"/>
              <w:spacing w:before="0" w:beforeAutospacing="0" w:after="0" w:afterAutospacing="0" w:line="360" w:lineRule="auto"/>
              <w:ind w:left="0" w:right="0"/>
              <w:jc w:val="center"/>
              <w:rPr>
                <w:rFonts w:hint="eastAsia" w:ascii="宋体" w:hAnsi="宋体" w:eastAsia="宋体" w:cs="宋体"/>
                <w:b/>
                <w:color w:val="auto"/>
                <w:sz w:val="36"/>
                <w:highlight w:val="none"/>
              </w:rPr>
            </w:pPr>
          </w:p>
          <w:p w14:paraId="5D86FCBB">
            <w:pPr>
              <w:keepNext w:val="0"/>
              <w:keepLines w:val="0"/>
              <w:suppressLineNumbers w:val="0"/>
              <w:shd w:val="clear" w:color="auto" w:fill="auto"/>
              <w:kinsoku/>
              <w:wordWrap w:val="0"/>
              <w:overflowPunct/>
              <w:bidi w:val="0"/>
              <w:spacing w:before="0" w:beforeAutospacing="0" w:after="0" w:afterAutospacing="0"/>
              <w:ind w:left="0" w:right="0"/>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平  阳  县</w:t>
            </w:r>
          </w:p>
          <w:p w14:paraId="6D4FB086">
            <w:pPr>
              <w:keepNext w:val="0"/>
              <w:keepLines w:val="0"/>
              <w:suppressLineNumbers w:val="0"/>
              <w:shd w:val="clear" w:color="auto" w:fill="auto"/>
              <w:kinsoku/>
              <w:wordWrap w:val="0"/>
              <w:overflowPunct/>
              <w:bidi w:val="0"/>
              <w:spacing w:before="0" w:beforeAutospacing="0" w:after="0" w:afterAutospacing="0"/>
              <w:ind w:left="0" w:right="0"/>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国有企业采购采购文件</w:t>
            </w:r>
          </w:p>
          <w:p w14:paraId="5CA72777">
            <w:pPr>
              <w:keepNext w:val="0"/>
              <w:keepLines w:val="0"/>
              <w:suppressLineNumbers w:val="0"/>
              <w:shd w:val="clear" w:color="auto" w:fill="auto"/>
              <w:kinsoku/>
              <w:wordWrap w:val="0"/>
              <w:overflowPunct/>
              <w:bidi w:val="0"/>
              <w:spacing w:before="0" w:beforeAutospacing="0" w:after="0" w:afterAutospacing="0"/>
              <w:ind w:left="1148" w:right="0" w:firstLine="1968" w:firstLineChars="700"/>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（线上电子招投标）</w:t>
            </w:r>
          </w:p>
          <w:p w14:paraId="5A2CA5AA">
            <w:pPr>
              <w:pStyle w:val="10"/>
              <w:keepNext w:val="0"/>
              <w:keepLines w:val="0"/>
              <w:suppressLineNumbers w:val="0"/>
              <w:shd w:val="clear" w:color="auto" w:fill="auto"/>
              <w:kinsoku/>
              <w:wordWrap w:val="0"/>
              <w:overflowPunct/>
              <w:bidi w:val="0"/>
              <w:spacing w:before="0" w:beforeAutospacing="0" w:afterAutospacing="0"/>
              <w:ind w:left="0" w:right="0" w:firstLine="281"/>
              <w:rPr>
                <w:rFonts w:hint="eastAsia" w:ascii="宋体" w:hAnsi="宋体" w:eastAsia="宋体" w:cs="宋体"/>
                <w:b/>
                <w:bCs w:val="0"/>
                <w:color w:val="auto"/>
                <w:sz w:val="28"/>
                <w:highlight w:val="none"/>
              </w:rPr>
            </w:pPr>
          </w:p>
          <w:p w14:paraId="219AFBF0">
            <w:pPr>
              <w:pStyle w:val="11"/>
              <w:keepNext w:val="0"/>
              <w:keepLines w:val="0"/>
              <w:suppressLineNumbers w:val="0"/>
              <w:shd w:val="clear" w:color="auto" w:fill="auto"/>
              <w:kinsoku/>
              <w:wordWrap w:val="0"/>
              <w:overflowPunct/>
              <w:bidi w:val="0"/>
              <w:spacing w:before="0" w:beforeAutospacing="0" w:after="0" w:afterAutospacing="0"/>
              <w:ind w:right="0"/>
              <w:rPr>
                <w:rFonts w:hint="eastAsia" w:ascii="宋体" w:hAnsi="宋体" w:eastAsia="宋体" w:cs="宋体"/>
                <w:b/>
                <w:bCs/>
                <w:color w:val="auto"/>
                <w:sz w:val="28"/>
                <w:highlight w:val="none"/>
              </w:rPr>
            </w:pPr>
          </w:p>
          <w:p w14:paraId="07C46B20">
            <w:pPr>
              <w:keepNext w:val="0"/>
              <w:keepLines w:val="0"/>
              <w:suppressLineNumbers w:val="0"/>
              <w:shd w:val="clear" w:color="auto" w:fill="auto"/>
              <w:kinsoku/>
              <w:wordWrap w:val="0"/>
              <w:overflowPunct/>
              <w:bidi w:val="0"/>
              <w:spacing w:before="0" w:beforeAutospacing="0" w:after="0" w:afterAutospacing="0"/>
              <w:ind w:left="0" w:right="0"/>
              <w:rPr>
                <w:rFonts w:hint="eastAsia" w:ascii="宋体" w:hAnsi="宋体" w:eastAsia="宋体" w:cs="宋体"/>
                <w:b/>
                <w:bCs/>
                <w:color w:val="auto"/>
                <w:sz w:val="28"/>
                <w:highlight w:val="none"/>
              </w:rPr>
            </w:pPr>
          </w:p>
          <w:p w14:paraId="752974EB">
            <w:pPr>
              <w:pStyle w:val="10"/>
              <w:keepNext w:val="0"/>
              <w:keepLines w:val="0"/>
              <w:suppressLineNumbers w:val="0"/>
              <w:shd w:val="clear" w:color="auto" w:fill="auto"/>
              <w:kinsoku/>
              <w:wordWrap w:val="0"/>
              <w:overflowPunct/>
              <w:bidi w:val="0"/>
              <w:spacing w:before="0" w:beforeAutospacing="0" w:afterAutospacing="0"/>
              <w:ind w:left="0" w:right="0" w:firstLine="210"/>
              <w:rPr>
                <w:rFonts w:hint="eastAsia" w:ascii="宋体" w:hAnsi="宋体" w:eastAsia="宋体" w:cs="宋体"/>
                <w:color w:val="auto"/>
                <w:highlight w:val="none"/>
              </w:rPr>
            </w:pPr>
          </w:p>
          <w:p w14:paraId="583E20D2">
            <w:pPr>
              <w:keepNext w:val="0"/>
              <w:keepLines w:val="0"/>
              <w:suppressLineNumbers w:val="0"/>
              <w:shd w:val="clear" w:color="auto" w:fill="auto"/>
              <w:kinsoku/>
              <w:wordWrap w:val="0"/>
              <w:overflowPunct/>
              <w:bidi w:val="0"/>
              <w:spacing w:before="0" w:beforeAutospacing="0" w:after="0" w:afterAutospacing="0"/>
              <w:ind w:left="0" w:right="0"/>
              <w:rPr>
                <w:rFonts w:hint="eastAsia" w:ascii="宋体" w:hAnsi="宋体" w:eastAsia="宋体" w:cs="宋体"/>
                <w:color w:val="auto"/>
                <w:highlight w:val="none"/>
              </w:rPr>
            </w:pPr>
          </w:p>
          <w:tbl>
            <w:tblPr>
              <w:tblStyle w:val="26"/>
              <w:tblW w:w="0" w:type="auto"/>
              <w:jc w:val="center"/>
              <w:tblLayout w:type="fixed"/>
              <w:tblCellMar>
                <w:top w:w="0" w:type="dxa"/>
                <w:left w:w="108" w:type="dxa"/>
                <w:bottom w:w="0" w:type="dxa"/>
                <w:right w:w="108" w:type="dxa"/>
              </w:tblCellMar>
            </w:tblPr>
            <w:tblGrid>
              <w:gridCol w:w="2304"/>
              <w:gridCol w:w="4859"/>
            </w:tblGrid>
            <w:tr w14:paraId="26BD49D7">
              <w:tblPrEx>
                <w:tblCellMar>
                  <w:top w:w="0" w:type="dxa"/>
                  <w:left w:w="108" w:type="dxa"/>
                  <w:bottom w:w="0" w:type="dxa"/>
                  <w:right w:w="108" w:type="dxa"/>
                </w:tblCellMar>
              </w:tblPrEx>
              <w:trPr>
                <w:jc w:val="center"/>
              </w:trPr>
              <w:tc>
                <w:tcPr>
                  <w:tcW w:w="2304" w:type="dxa"/>
                  <w:noWrap w:val="0"/>
                  <w:vAlign w:val="top"/>
                </w:tcPr>
                <w:p w14:paraId="6DF0F7FB">
                  <w:pPr>
                    <w:keepNext w:val="0"/>
                    <w:keepLines w:val="0"/>
                    <w:suppressLineNumbers w:val="0"/>
                    <w:shd w:val="clear" w:color="auto" w:fill="auto"/>
                    <w:kinsoku/>
                    <w:wordWrap w:val="0"/>
                    <w:overflowPunct/>
                    <w:bidi w:val="0"/>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项目名称</w:t>
                  </w:r>
                  <w:r>
                    <w:rPr>
                      <w:rFonts w:hint="eastAsia" w:ascii="宋体" w:hAnsi="宋体" w:eastAsia="宋体" w:cs="宋体"/>
                      <w:b/>
                      <w:bCs/>
                      <w:color w:val="auto"/>
                      <w:sz w:val="30"/>
                      <w:szCs w:val="30"/>
                      <w:highlight w:val="none"/>
                      <w:lang w:eastAsia="zh-CN"/>
                    </w:rPr>
                    <w:t>：</w:t>
                  </w:r>
                </w:p>
              </w:tc>
              <w:tc>
                <w:tcPr>
                  <w:tcW w:w="4859" w:type="dxa"/>
                  <w:noWrap w:val="0"/>
                  <w:vAlign w:val="top"/>
                </w:tcPr>
                <w:p w14:paraId="71F250A8">
                  <w:pPr>
                    <w:keepNext w:val="0"/>
                    <w:keepLines w:val="0"/>
                    <w:suppressLineNumbers w:val="0"/>
                    <w:shd w:val="clear" w:color="auto" w:fill="auto"/>
                    <w:kinsoku/>
                    <w:wordWrap w:val="0"/>
                    <w:overflowPunct/>
                    <w:bidi w:val="0"/>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lang w:eastAsia="zh-CN"/>
                    </w:rPr>
                    <w:t>平阳县万全镇中心区B12地块项目代建（含初步设计及品牌冠名）服务采购</w:t>
                  </w:r>
                </w:p>
              </w:tc>
            </w:tr>
            <w:tr w14:paraId="72CC2C1B">
              <w:tblPrEx>
                <w:tblCellMar>
                  <w:top w:w="0" w:type="dxa"/>
                  <w:left w:w="108" w:type="dxa"/>
                  <w:bottom w:w="0" w:type="dxa"/>
                  <w:right w:w="108" w:type="dxa"/>
                </w:tblCellMar>
              </w:tblPrEx>
              <w:trPr>
                <w:jc w:val="center"/>
              </w:trPr>
              <w:tc>
                <w:tcPr>
                  <w:tcW w:w="2304" w:type="dxa"/>
                  <w:noWrap w:val="0"/>
                  <w:vAlign w:val="top"/>
                </w:tcPr>
                <w:p w14:paraId="6FB367BD">
                  <w:pPr>
                    <w:keepNext w:val="0"/>
                    <w:keepLines w:val="0"/>
                    <w:suppressLineNumbers w:val="0"/>
                    <w:shd w:val="clear" w:color="auto" w:fill="auto"/>
                    <w:kinsoku/>
                    <w:wordWrap w:val="0"/>
                    <w:overflowPunct/>
                    <w:bidi w:val="0"/>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采购编号</w:t>
                  </w:r>
                  <w:r>
                    <w:rPr>
                      <w:rFonts w:hint="eastAsia" w:ascii="宋体" w:hAnsi="宋体" w:eastAsia="宋体" w:cs="宋体"/>
                      <w:b/>
                      <w:bCs/>
                      <w:color w:val="auto"/>
                      <w:sz w:val="30"/>
                      <w:szCs w:val="30"/>
                      <w:highlight w:val="none"/>
                      <w:lang w:eastAsia="zh-CN"/>
                    </w:rPr>
                    <w:t>：</w:t>
                  </w:r>
                </w:p>
              </w:tc>
              <w:tc>
                <w:tcPr>
                  <w:tcW w:w="4859" w:type="dxa"/>
                  <w:noWrap w:val="0"/>
                  <w:vAlign w:val="top"/>
                </w:tcPr>
                <w:p w14:paraId="74EC4BA5">
                  <w:pPr>
                    <w:keepNext w:val="0"/>
                    <w:keepLines w:val="0"/>
                    <w:suppressLineNumbers w:val="0"/>
                    <w:shd w:val="clear" w:color="auto" w:fill="auto"/>
                    <w:kinsoku/>
                    <w:wordWrap w:val="0"/>
                    <w:overflowPunct/>
                    <w:bidi w:val="0"/>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30"/>
                      <w:szCs w:val="30"/>
                      <w:highlight w:val="none"/>
                      <w:lang w:eastAsia="zh-CN"/>
                    </w:rPr>
                    <w:t>PYCG250930104</w:t>
                  </w:r>
                </w:p>
              </w:tc>
            </w:tr>
            <w:tr w14:paraId="24E60667">
              <w:tblPrEx>
                <w:tblCellMar>
                  <w:top w:w="0" w:type="dxa"/>
                  <w:left w:w="108" w:type="dxa"/>
                  <w:bottom w:w="0" w:type="dxa"/>
                  <w:right w:w="108" w:type="dxa"/>
                </w:tblCellMar>
              </w:tblPrEx>
              <w:trPr>
                <w:jc w:val="center"/>
              </w:trPr>
              <w:tc>
                <w:tcPr>
                  <w:tcW w:w="2304" w:type="dxa"/>
                  <w:noWrap w:val="0"/>
                  <w:vAlign w:val="top"/>
                </w:tcPr>
                <w:p w14:paraId="3B4223DF">
                  <w:pPr>
                    <w:keepNext w:val="0"/>
                    <w:keepLines w:val="0"/>
                    <w:suppressLineNumbers w:val="0"/>
                    <w:shd w:val="clear" w:color="auto" w:fill="auto"/>
                    <w:kinsoku/>
                    <w:wordWrap w:val="0"/>
                    <w:overflowPunct/>
                    <w:bidi w:val="0"/>
                    <w:spacing w:before="0" w:beforeAutospacing="0" w:after="0" w:afterAutospacing="0" w:line="360" w:lineRule="auto"/>
                    <w:ind w:left="0" w:right="0"/>
                    <w:jc w:val="distribute"/>
                    <w:rPr>
                      <w:rFonts w:hint="eastAsia" w:ascii="宋体" w:hAnsi="宋体" w:eastAsia="宋体" w:cs="宋体"/>
                      <w:b/>
                      <w:bCs/>
                      <w:color w:val="auto"/>
                      <w:sz w:val="30"/>
                      <w:szCs w:val="30"/>
                      <w:highlight w:val="none"/>
                    </w:rPr>
                  </w:pPr>
                </w:p>
              </w:tc>
              <w:tc>
                <w:tcPr>
                  <w:tcW w:w="4859" w:type="dxa"/>
                  <w:noWrap w:val="0"/>
                  <w:vAlign w:val="top"/>
                </w:tcPr>
                <w:p w14:paraId="2511BDA6">
                  <w:pPr>
                    <w:keepNext w:val="0"/>
                    <w:keepLines w:val="0"/>
                    <w:suppressLineNumbers w:val="0"/>
                    <w:shd w:val="clear" w:color="auto" w:fill="auto"/>
                    <w:kinsoku/>
                    <w:wordWrap w:val="0"/>
                    <w:overflowPunct/>
                    <w:bidi w:val="0"/>
                    <w:spacing w:before="0" w:beforeAutospacing="0" w:after="0" w:afterAutospacing="0" w:line="360" w:lineRule="auto"/>
                    <w:ind w:left="0" w:right="0"/>
                    <w:jc w:val="left"/>
                    <w:rPr>
                      <w:rFonts w:hint="eastAsia" w:ascii="宋体" w:hAnsi="宋体" w:eastAsia="宋体" w:cs="宋体"/>
                      <w:b/>
                      <w:bCs/>
                      <w:color w:val="auto"/>
                      <w:sz w:val="30"/>
                      <w:szCs w:val="30"/>
                      <w:highlight w:val="none"/>
                    </w:rPr>
                  </w:pPr>
                </w:p>
              </w:tc>
            </w:tr>
            <w:tr w14:paraId="0EEC9CA5">
              <w:tblPrEx>
                <w:tblCellMar>
                  <w:top w:w="0" w:type="dxa"/>
                  <w:left w:w="108" w:type="dxa"/>
                  <w:bottom w:w="0" w:type="dxa"/>
                  <w:right w:w="108" w:type="dxa"/>
                </w:tblCellMar>
              </w:tblPrEx>
              <w:trPr>
                <w:jc w:val="center"/>
              </w:trPr>
              <w:tc>
                <w:tcPr>
                  <w:tcW w:w="2304" w:type="dxa"/>
                  <w:noWrap w:val="0"/>
                  <w:vAlign w:val="top"/>
                </w:tcPr>
                <w:p w14:paraId="4881A386">
                  <w:pPr>
                    <w:keepNext w:val="0"/>
                    <w:keepLines w:val="0"/>
                    <w:suppressLineNumbers w:val="0"/>
                    <w:shd w:val="clear" w:color="auto" w:fill="auto"/>
                    <w:kinsoku/>
                    <w:wordWrap w:val="0"/>
                    <w:overflowPunct/>
                    <w:bidi w:val="0"/>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采购人</w:t>
                  </w:r>
                  <w:r>
                    <w:rPr>
                      <w:rFonts w:hint="eastAsia" w:ascii="宋体" w:hAnsi="宋体" w:eastAsia="宋体" w:cs="宋体"/>
                      <w:b/>
                      <w:bCs/>
                      <w:color w:val="auto"/>
                      <w:sz w:val="30"/>
                      <w:szCs w:val="30"/>
                      <w:highlight w:val="none"/>
                      <w:lang w:eastAsia="zh-CN"/>
                    </w:rPr>
                    <w:t>：</w:t>
                  </w:r>
                </w:p>
              </w:tc>
              <w:tc>
                <w:tcPr>
                  <w:tcW w:w="4859" w:type="dxa"/>
                  <w:noWrap w:val="0"/>
                  <w:vAlign w:val="top"/>
                </w:tcPr>
                <w:p w14:paraId="62C6CD7F">
                  <w:pPr>
                    <w:keepNext w:val="0"/>
                    <w:keepLines w:val="0"/>
                    <w:suppressLineNumbers w:val="0"/>
                    <w:shd w:val="clear" w:color="auto" w:fill="auto"/>
                    <w:kinsoku/>
                    <w:wordWrap w:val="0"/>
                    <w:overflowPunct/>
                    <w:bidi w:val="0"/>
                    <w:spacing w:before="0" w:beforeAutospacing="0" w:after="0" w:afterAutospacing="0" w:line="360" w:lineRule="auto"/>
                    <w:ind w:left="0" w:right="0"/>
                    <w:jc w:val="left"/>
                    <w:rPr>
                      <w:rFonts w:hint="default" w:ascii="宋体" w:hAnsi="宋体" w:eastAsia="宋体" w:cs="宋体"/>
                      <w:b/>
                      <w:bCs/>
                      <w:color w:val="auto"/>
                      <w:sz w:val="30"/>
                      <w:szCs w:val="30"/>
                      <w:highlight w:val="none"/>
                      <w:lang w:val="en-US" w:eastAsia="zh-CN"/>
                    </w:rPr>
                  </w:pPr>
                  <w:r>
                    <w:rPr>
                      <w:rFonts w:hint="eastAsia" w:ascii="宋体" w:hAnsi="宋体" w:cs="宋体"/>
                      <w:b/>
                      <w:bCs/>
                      <w:color w:val="auto"/>
                      <w:sz w:val="30"/>
                      <w:szCs w:val="30"/>
                      <w:highlight w:val="none"/>
                      <w:lang w:val="en-US" w:eastAsia="zh-CN"/>
                    </w:rPr>
                    <w:t>平阳县兴致房地产开发有限公司</w:t>
                  </w:r>
                </w:p>
              </w:tc>
            </w:tr>
            <w:tr w14:paraId="252F2024">
              <w:tblPrEx>
                <w:tblCellMar>
                  <w:top w:w="0" w:type="dxa"/>
                  <w:left w:w="108" w:type="dxa"/>
                  <w:bottom w:w="0" w:type="dxa"/>
                  <w:right w:w="108" w:type="dxa"/>
                </w:tblCellMar>
              </w:tblPrEx>
              <w:trPr>
                <w:jc w:val="center"/>
              </w:trPr>
              <w:tc>
                <w:tcPr>
                  <w:tcW w:w="2304" w:type="dxa"/>
                  <w:noWrap w:val="0"/>
                  <w:vAlign w:val="top"/>
                </w:tcPr>
                <w:p w14:paraId="0674674D">
                  <w:pPr>
                    <w:keepNext w:val="0"/>
                    <w:keepLines w:val="0"/>
                    <w:suppressLineNumbers w:val="0"/>
                    <w:shd w:val="clear" w:color="auto" w:fill="auto"/>
                    <w:kinsoku/>
                    <w:wordWrap w:val="0"/>
                    <w:overflowPunct/>
                    <w:bidi w:val="0"/>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联系人</w:t>
                  </w:r>
                  <w:r>
                    <w:rPr>
                      <w:rFonts w:hint="eastAsia" w:ascii="宋体" w:hAnsi="宋体" w:eastAsia="宋体" w:cs="宋体"/>
                      <w:b/>
                      <w:bCs/>
                      <w:color w:val="auto"/>
                      <w:sz w:val="30"/>
                      <w:szCs w:val="30"/>
                      <w:highlight w:val="none"/>
                      <w:lang w:eastAsia="zh-CN"/>
                    </w:rPr>
                    <w:t>：</w:t>
                  </w:r>
                </w:p>
              </w:tc>
              <w:tc>
                <w:tcPr>
                  <w:tcW w:w="4859" w:type="dxa"/>
                  <w:noWrap w:val="0"/>
                  <w:vAlign w:val="top"/>
                </w:tcPr>
                <w:p w14:paraId="035F9E35">
                  <w:pPr>
                    <w:keepNext w:val="0"/>
                    <w:keepLines w:val="0"/>
                    <w:suppressLineNumbers w:val="0"/>
                    <w:shd w:val="clear" w:color="auto" w:fill="auto"/>
                    <w:kinsoku/>
                    <w:wordWrap w:val="0"/>
                    <w:overflowPunct/>
                    <w:bidi w:val="0"/>
                    <w:spacing w:before="0" w:beforeAutospacing="0" w:after="0" w:afterAutospacing="0" w:line="360" w:lineRule="auto"/>
                    <w:ind w:left="0" w:right="0"/>
                    <w:jc w:val="left"/>
                    <w:rPr>
                      <w:rFonts w:hint="default"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lang w:val="en-US" w:eastAsia="zh-CN"/>
                    </w:rPr>
                    <w:t>郑女士</w:t>
                  </w:r>
                </w:p>
              </w:tc>
            </w:tr>
            <w:tr w14:paraId="20F90F71">
              <w:tblPrEx>
                <w:tblCellMar>
                  <w:top w:w="0" w:type="dxa"/>
                  <w:left w:w="108" w:type="dxa"/>
                  <w:bottom w:w="0" w:type="dxa"/>
                  <w:right w:w="108" w:type="dxa"/>
                </w:tblCellMar>
              </w:tblPrEx>
              <w:trPr>
                <w:jc w:val="center"/>
              </w:trPr>
              <w:tc>
                <w:tcPr>
                  <w:tcW w:w="2304" w:type="dxa"/>
                  <w:noWrap w:val="0"/>
                  <w:vAlign w:val="top"/>
                </w:tcPr>
                <w:p w14:paraId="0D24BE71">
                  <w:pPr>
                    <w:keepNext w:val="0"/>
                    <w:keepLines w:val="0"/>
                    <w:suppressLineNumbers w:val="0"/>
                    <w:shd w:val="clear" w:color="auto" w:fill="auto"/>
                    <w:kinsoku/>
                    <w:wordWrap w:val="0"/>
                    <w:overflowPunct/>
                    <w:bidi w:val="0"/>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联系电话</w:t>
                  </w:r>
                  <w:r>
                    <w:rPr>
                      <w:rFonts w:hint="eastAsia" w:ascii="宋体" w:hAnsi="宋体" w:eastAsia="宋体" w:cs="宋体"/>
                      <w:b/>
                      <w:bCs/>
                      <w:color w:val="auto"/>
                      <w:sz w:val="30"/>
                      <w:szCs w:val="30"/>
                      <w:highlight w:val="none"/>
                      <w:lang w:eastAsia="zh-CN"/>
                    </w:rPr>
                    <w:t>：</w:t>
                  </w:r>
                </w:p>
              </w:tc>
              <w:tc>
                <w:tcPr>
                  <w:tcW w:w="4859" w:type="dxa"/>
                  <w:noWrap w:val="0"/>
                  <w:vAlign w:val="top"/>
                </w:tcPr>
                <w:p w14:paraId="660D1EC4">
                  <w:pPr>
                    <w:keepNext w:val="0"/>
                    <w:keepLines w:val="0"/>
                    <w:suppressLineNumbers w:val="0"/>
                    <w:shd w:val="clear" w:color="auto" w:fill="auto"/>
                    <w:kinsoku/>
                    <w:wordWrap w:val="0"/>
                    <w:overflowPunct/>
                    <w:bidi w:val="0"/>
                    <w:spacing w:before="0" w:beforeAutospacing="0" w:after="0" w:afterAutospacing="0" w:line="360" w:lineRule="auto"/>
                    <w:ind w:left="0" w:right="0"/>
                    <w:jc w:val="left"/>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lang w:eastAsia="zh-CN"/>
                    </w:rPr>
                    <w:t>0577-63168033</w:t>
                  </w:r>
                </w:p>
              </w:tc>
            </w:tr>
            <w:tr w14:paraId="1131FFB1">
              <w:tblPrEx>
                <w:tblCellMar>
                  <w:top w:w="0" w:type="dxa"/>
                  <w:left w:w="108" w:type="dxa"/>
                  <w:bottom w:w="0" w:type="dxa"/>
                  <w:right w:w="108" w:type="dxa"/>
                </w:tblCellMar>
              </w:tblPrEx>
              <w:trPr>
                <w:jc w:val="center"/>
              </w:trPr>
              <w:tc>
                <w:tcPr>
                  <w:tcW w:w="2304" w:type="dxa"/>
                  <w:noWrap w:val="0"/>
                  <w:vAlign w:val="top"/>
                </w:tcPr>
                <w:p w14:paraId="41603397">
                  <w:pPr>
                    <w:keepNext w:val="0"/>
                    <w:keepLines w:val="0"/>
                    <w:suppressLineNumbers w:val="0"/>
                    <w:shd w:val="clear" w:color="auto" w:fill="auto"/>
                    <w:kinsoku/>
                    <w:wordWrap w:val="0"/>
                    <w:overflowPunct/>
                    <w:bidi w:val="0"/>
                    <w:spacing w:before="0" w:beforeAutospacing="0" w:after="0" w:afterAutospacing="0" w:line="360" w:lineRule="auto"/>
                    <w:ind w:left="0" w:right="0"/>
                    <w:jc w:val="distribute"/>
                    <w:rPr>
                      <w:rFonts w:hint="eastAsia" w:ascii="宋体" w:hAnsi="宋体" w:eastAsia="宋体" w:cs="宋体"/>
                      <w:b/>
                      <w:bCs/>
                      <w:color w:val="auto"/>
                      <w:sz w:val="30"/>
                      <w:szCs w:val="30"/>
                      <w:highlight w:val="none"/>
                    </w:rPr>
                  </w:pPr>
                </w:p>
              </w:tc>
              <w:tc>
                <w:tcPr>
                  <w:tcW w:w="4859" w:type="dxa"/>
                  <w:noWrap w:val="0"/>
                  <w:vAlign w:val="top"/>
                </w:tcPr>
                <w:p w14:paraId="52BCAE87">
                  <w:pPr>
                    <w:keepNext w:val="0"/>
                    <w:keepLines w:val="0"/>
                    <w:suppressLineNumbers w:val="0"/>
                    <w:shd w:val="clear" w:color="auto" w:fill="auto"/>
                    <w:kinsoku/>
                    <w:wordWrap w:val="0"/>
                    <w:overflowPunct/>
                    <w:bidi w:val="0"/>
                    <w:spacing w:before="0" w:beforeAutospacing="0" w:after="0" w:afterAutospacing="0" w:line="360" w:lineRule="auto"/>
                    <w:ind w:left="0" w:right="0"/>
                    <w:jc w:val="left"/>
                    <w:rPr>
                      <w:rFonts w:hint="eastAsia" w:ascii="宋体" w:hAnsi="宋体" w:eastAsia="宋体" w:cs="宋体"/>
                      <w:b/>
                      <w:bCs/>
                      <w:color w:val="auto"/>
                      <w:sz w:val="30"/>
                      <w:szCs w:val="30"/>
                      <w:highlight w:val="none"/>
                    </w:rPr>
                  </w:pPr>
                </w:p>
              </w:tc>
            </w:tr>
            <w:tr w14:paraId="4EEC83B7">
              <w:tblPrEx>
                <w:tblCellMar>
                  <w:top w:w="0" w:type="dxa"/>
                  <w:left w:w="108" w:type="dxa"/>
                  <w:bottom w:w="0" w:type="dxa"/>
                  <w:right w:w="108" w:type="dxa"/>
                </w:tblCellMar>
              </w:tblPrEx>
              <w:trPr>
                <w:jc w:val="center"/>
              </w:trPr>
              <w:tc>
                <w:tcPr>
                  <w:tcW w:w="2304" w:type="dxa"/>
                  <w:noWrap w:val="0"/>
                  <w:vAlign w:val="top"/>
                </w:tcPr>
                <w:p w14:paraId="4B05A92F">
                  <w:pPr>
                    <w:keepNext w:val="0"/>
                    <w:keepLines w:val="0"/>
                    <w:suppressLineNumbers w:val="0"/>
                    <w:shd w:val="clear" w:color="auto" w:fill="auto"/>
                    <w:kinsoku/>
                    <w:wordWrap w:val="0"/>
                    <w:overflowPunct/>
                    <w:bidi w:val="0"/>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采购代理机构</w:t>
                  </w:r>
                  <w:r>
                    <w:rPr>
                      <w:rFonts w:hint="eastAsia" w:ascii="宋体" w:hAnsi="宋体" w:eastAsia="宋体" w:cs="宋体"/>
                      <w:b/>
                      <w:bCs/>
                      <w:color w:val="auto"/>
                      <w:sz w:val="30"/>
                      <w:szCs w:val="30"/>
                      <w:highlight w:val="none"/>
                      <w:lang w:eastAsia="zh-CN"/>
                    </w:rPr>
                    <w:t>：</w:t>
                  </w:r>
                </w:p>
              </w:tc>
              <w:tc>
                <w:tcPr>
                  <w:tcW w:w="4859" w:type="dxa"/>
                  <w:noWrap w:val="0"/>
                  <w:vAlign w:val="top"/>
                </w:tcPr>
                <w:p w14:paraId="1B35ECC8">
                  <w:pPr>
                    <w:keepNext w:val="0"/>
                    <w:keepLines w:val="0"/>
                    <w:suppressLineNumbers w:val="0"/>
                    <w:shd w:val="clear" w:color="auto" w:fill="auto"/>
                    <w:kinsoku/>
                    <w:wordWrap w:val="0"/>
                    <w:overflowPunct/>
                    <w:bidi w:val="0"/>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30"/>
                      <w:highlight w:val="none"/>
                      <w:lang w:eastAsia="zh-CN"/>
                    </w:rPr>
                    <w:t>浙江德亿项目管理咨询有限公司</w:t>
                  </w:r>
                </w:p>
              </w:tc>
            </w:tr>
            <w:tr w14:paraId="3FB56F87">
              <w:tblPrEx>
                <w:tblCellMar>
                  <w:top w:w="0" w:type="dxa"/>
                  <w:left w:w="108" w:type="dxa"/>
                  <w:bottom w:w="0" w:type="dxa"/>
                  <w:right w:w="108" w:type="dxa"/>
                </w:tblCellMar>
              </w:tblPrEx>
              <w:trPr>
                <w:trHeight w:val="90" w:hRule="atLeast"/>
                <w:jc w:val="center"/>
              </w:trPr>
              <w:tc>
                <w:tcPr>
                  <w:tcW w:w="2304" w:type="dxa"/>
                  <w:noWrap w:val="0"/>
                  <w:vAlign w:val="top"/>
                </w:tcPr>
                <w:p w14:paraId="5775B375">
                  <w:pPr>
                    <w:keepNext w:val="0"/>
                    <w:keepLines w:val="0"/>
                    <w:suppressLineNumbers w:val="0"/>
                    <w:shd w:val="clear" w:color="auto" w:fill="auto"/>
                    <w:kinsoku/>
                    <w:wordWrap w:val="0"/>
                    <w:overflowPunct/>
                    <w:bidi w:val="0"/>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联系人</w:t>
                  </w:r>
                  <w:r>
                    <w:rPr>
                      <w:rFonts w:hint="eastAsia" w:ascii="宋体" w:hAnsi="宋体" w:eastAsia="宋体" w:cs="宋体"/>
                      <w:b/>
                      <w:bCs/>
                      <w:color w:val="auto"/>
                      <w:sz w:val="30"/>
                      <w:szCs w:val="30"/>
                      <w:highlight w:val="none"/>
                      <w:lang w:eastAsia="zh-CN"/>
                    </w:rPr>
                    <w:t>：</w:t>
                  </w:r>
                </w:p>
              </w:tc>
              <w:tc>
                <w:tcPr>
                  <w:tcW w:w="4859" w:type="dxa"/>
                  <w:noWrap w:val="0"/>
                  <w:vAlign w:val="top"/>
                </w:tcPr>
                <w:p w14:paraId="7348F654">
                  <w:pPr>
                    <w:keepNext w:val="0"/>
                    <w:keepLines w:val="0"/>
                    <w:suppressLineNumbers w:val="0"/>
                    <w:shd w:val="clear" w:color="auto" w:fill="auto"/>
                    <w:kinsoku/>
                    <w:wordWrap w:val="0"/>
                    <w:overflowPunct/>
                    <w:bidi w:val="0"/>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30"/>
                      <w:szCs w:val="30"/>
                      <w:highlight w:val="none"/>
                      <w:lang w:eastAsia="zh-CN"/>
                    </w:rPr>
                    <w:t>陈先生</w:t>
                  </w:r>
                </w:p>
              </w:tc>
            </w:tr>
            <w:tr w14:paraId="37DE65CE">
              <w:tblPrEx>
                <w:tblCellMar>
                  <w:top w:w="0" w:type="dxa"/>
                  <w:left w:w="108" w:type="dxa"/>
                  <w:bottom w:w="0" w:type="dxa"/>
                  <w:right w:w="108" w:type="dxa"/>
                </w:tblCellMar>
              </w:tblPrEx>
              <w:trPr>
                <w:jc w:val="center"/>
              </w:trPr>
              <w:tc>
                <w:tcPr>
                  <w:tcW w:w="2304" w:type="dxa"/>
                  <w:noWrap w:val="0"/>
                  <w:vAlign w:val="top"/>
                </w:tcPr>
                <w:p w14:paraId="52BA9C75">
                  <w:pPr>
                    <w:keepNext w:val="0"/>
                    <w:keepLines w:val="0"/>
                    <w:suppressLineNumbers w:val="0"/>
                    <w:shd w:val="clear" w:color="auto" w:fill="auto"/>
                    <w:kinsoku/>
                    <w:wordWrap w:val="0"/>
                    <w:overflowPunct/>
                    <w:bidi w:val="0"/>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联系电话</w:t>
                  </w:r>
                  <w:r>
                    <w:rPr>
                      <w:rFonts w:hint="eastAsia" w:ascii="宋体" w:hAnsi="宋体" w:eastAsia="宋体" w:cs="宋体"/>
                      <w:b/>
                      <w:bCs/>
                      <w:color w:val="auto"/>
                      <w:sz w:val="30"/>
                      <w:szCs w:val="30"/>
                      <w:highlight w:val="none"/>
                      <w:lang w:eastAsia="zh-CN"/>
                    </w:rPr>
                    <w:t>：</w:t>
                  </w:r>
                </w:p>
              </w:tc>
              <w:tc>
                <w:tcPr>
                  <w:tcW w:w="4859" w:type="dxa"/>
                  <w:noWrap w:val="0"/>
                  <w:vAlign w:val="top"/>
                </w:tcPr>
                <w:p w14:paraId="473054F8">
                  <w:pPr>
                    <w:keepNext w:val="0"/>
                    <w:keepLines w:val="0"/>
                    <w:widowControl/>
                    <w:suppressLineNumbers w:val="0"/>
                    <w:shd w:val="clear" w:color="auto" w:fill="auto"/>
                    <w:kinsoku/>
                    <w:wordWrap w:val="0"/>
                    <w:overflowPunct/>
                    <w:bidi w:val="0"/>
                    <w:snapToGrid w:val="0"/>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lang w:eastAsia="zh-CN"/>
                    </w:rPr>
                    <w:t>0577-63766166、18969775893</w:t>
                  </w:r>
                </w:p>
              </w:tc>
            </w:tr>
            <w:tr w14:paraId="627DBC2D">
              <w:tblPrEx>
                <w:tblCellMar>
                  <w:top w:w="0" w:type="dxa"/>
                  <w:left w:w="108" w:type="dxa"/>
                  <w:bottom w:w="0" w:type="dxa"/>
                  <w:right w:w="108" w:type="dxa"/>
                </w:tblCellMar>
              </w:tblPrEx>
              <w:trPr>
                <w:jc w:val="center"/>
              </w:trPr>
              <w:tc>
                <w:tcPr>
                  <w:tcW w:w="7163" w:type="dxa"/>
                  <w:gridSpan w:val="2"/>
                  <w:noWrap w:val="0"/>
                  <w:vAlign w:val="top"/>
                </w:tcPr>
                <w:p w14:paraId="63746573">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30"/>
                      <w:szCs w:val="30"/>
                      <w:highlight w:val="none"/>
                    </w:rPr>
                  </w:pPr>
                  <w:r>
                    <w:rPr>
                      <w:rFonts w:hint="eastAsia" w:ascii="宋体" w:hAnsi="宋体" w:eastAsia="宋体" w:cs="宋体"/>
                      <w:b/>
                      <w:bCs/>
                      <w:color w:val="auto"/>
                      <w:sz w:val="30"/>
                      <w:szCs w:val="30"/>
                      <w:highlight w:val="none"/>
                    </w:rPr>
                    <w:t>二○二</w:t>
                  </w:r>
                  <w:r>
                    <w:rPr>
                      <w:rFonts w:hint="eastAsia" w:ascii="宋体" w:hAnsi="宋体" w:cs="宋体"/>
                      <w:b/>
                      <w:bCs/>
                      <w:color w:val="auto"/>
                      <w:sz w:val="30"/>
                      <w:szCs w:val="30"/>
                      <w:highlight w:val="none"/>
                      <w:lang w:val="en-US" w:eastAsia="zh-CN"/>
                    </w:rPr>
                    <w:t>五</w:t>
                  </w:r>
                  <w:r>
                    <w:rPr>
                      <w:rFonts w:hint="eastAsia" w:ascii="宋体" w:hAnsi="宋体" w:eastAsia="宋体" w:cs="宋体"/>
                      <w:b/>
                      <w:bCs/>
                      <w:color w:val="auto"/>
                      <w:sz w:val="30"/>
                      <w:szCs w:val="30"/>
                      <w:highlight w:val="none"/>
                    </w:rPr>
                    <w:t>年</w:t>
                  </w:r>
                  <w:r>
                    <w:rPr>
                      <w:rFonts w:hint="eastAsia" w:ascii="宋体" w:hAnsi="宋体" w:cs="宋体"/>
                      <w:b/>
                      <w:bCs/>
                      <w:color w:val="auto"/>
                      <w:sz w:val="30"/>
                      <w:szCs w:val="30"/>
                      <w:highlight w:val="none"/>
                      <w:lang w:val="en-US" w:eastAsia="zh-CN"/>
                    </w:rPr>
                    <w:t>九</w:t>
                  </w:r>
                  <w:r>
                    <w:rPr>
                      <w:rFonts w:hint="eastAsia" w:ascii="宋体" w:hAnsi="宋体" w:eastAsia="宋体" w:cs="宋体"/>
                      <w:b/>
                      <w:bCs/>
                      <w:color w:val="auto"/>
                      <w:sz w:val="30"/>
                      <w:szCs w:val="30"/>
                      <w:highlight w:val="none"/>
                    </w:rPr>
                    <w:t>月</w:t>
                  </w:r>
                </w:p>
              </w:tc>
            </w:tr>
          </w:tbl>
          <w:p w14:paraId="538E8293">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b/>
                <w:color w:val="auto"/>
                <w:sz w:val="84"/>
                <w:highlight w:val="none"/>
              </w:rPr>
            </w:pPr>
          </w:p>
        </w:tc>
      </w:tr>
    </w:tbl>
    <w:p w14:paraId="61304FF0">
      <w:pPr>
        <w:shd w:val="clear" w:color="auto" w:fill="auto"/>
        <w:kinsoku/>
        <w:wordWrap w:val="0"/>
        <w:overflowPunct/>
        <w:bidi w:val="0"/>
        <w:spacing w:line="360" w:lineRule="auto"/>
        <w:rPr>
          <w:rFonts w:hint="eastAsia" w:ascii="宋体" w:hAnsi="宋体" w:eastAsia="宋体" w:cs="宋体"/>
          <w:color w:val="auto"/>
          <w:highlight w:val="none"/>
        </w:rPr>
        <w:sectPr>
          <w:pgSz w:w="11906" w:h="16838"/>
          <w:pgMar w:top="1440" w:right="1622" w:bottom="1440" w:left="1287" w:header="851" w:footer="992" w:gutter="0"/>
          <w:pgNumType w:start="0"/>
          <w:cols w:space="720" w:num="1"/>
          <w:docGrid w:linePitch="312" w:charSpace="0"/>
        </w:sectPr>
      </w:pPr>
    </w:p>
    <w:p w14:paraId="7DFF32EB">
      <w:pPr>
        <w:widowControl/>
        <w:shd w:val="clear" w:color="auto" w:fill="auto"/>
        <w:tabs>
          <w:tab w:val="left" w:pos="2019"/>
        </w:tabs>
        <w:kinsoku/>
        <w:wordWrap w:val="0"/>
        <w:overflowPunct/>
        <w:bidi w:val="0"/>
        <w:spacing w:line="360" w:lineRule="auto"/>
        <w:jc w:val="center"/>
        <w:rPr>
          <w:rFonts w:hint="eastAsia" w:ascii="宋体" w:hAnsi="宋体" w:eastAsia="宋体" w:cs="宋体"/>
          <w:b/>
          <w:bCs/>
          <w:color w:val="auto"/>
          <w:kern w:val="0"/>
          <w:sz w:val="28"/>
          <w:szCs w:val="28"/>
          <w:highlight w:val="none"/>
          <w:lang w:eastAsia="zh-CN"/>
        </w:rPr>
      </w:pPr>
      <w:bookmarkStart w:id="0" w:name="OLE_LINK3"/>
      <w:bookmarkStart w:id="1" w:name="OLE_LINK2"/>
      <w:bookmarkStart w:id="2" w:name="OLE_LINK1"/>
      <w:r>
        <w:rPr>
          <w:rFonts w:hint="eastAsia" w:ascii="宋体" w:hAnsi="宋体" w:cs="宋体"/>
          <w:b/>
          <w:bCs/>
          <w:color w:val="auto"/>
          <w:kern w:val="0"/>
          <w:sz w:val="28"/>
          <w:szCs w:val="28"/>
          <w:highlight w:val="none"/>
          <w:lang w:eastAsia="zh-CN"/>
        </w:rPr>
        <w:t>浙江德亿项目管理咨询有限公司</w:t>
      </w:r>
      <w:r>
        <w:rPr>
          <w:rFonts w:hint="eastAsia" w:ascii="宋体" w:hAnsi="宋体" w:eastAsia="宋体" w:cs="宋体"/>
          <w:b/>
          <w:bCs/>
          <w:color w:val="auto"/>
          <w:kern w:val="0"/>
          <w:sz w:val="28"/>
          <w:szCs w:val="28"/>
          <w:highlight w:val="none"/>
        </w:rPr>
        <w:t>关于</w:t>
      </w:r>
      <w:r>
        <w:rPr>
          <w:rFonts w:hint="eastAsia" w:ascii="宋体" w:hAnsi="宋体" w:cs="宋体"/>
          <w:b/>
          <w:bCs/>
          <w:color w:val="auto"/>
          <w:kern w:val="0"/>
          <w:sz w:val="28"/>
          <w:szCs w:val="28"/>
          <w:highlight w:val="none"/>
          <w:lang w:eastAsia="zh-CN"/>
        </w:rPr>
        <w:t>平阳县万全镇中心区B12地块项目代建（含初步设计及品牌冠名）服务采购</w:t>
      </w:r>
      <w:r>
        <w:rPr>
          <w:rFonts w:hint="eastAsia" w:ascii="宋体" w:hAnsi="宋体" w:eastAsia="宋体" w:cs="宋体"/>
          <w:b/>
          <w:bCs/>
          <w:color w:val="auto"/>
          <w:kern w:val="0"/>
          <w:sz w:val="28"/>
          <w:szCs w:val="28"/>
          <w:highlight w:val="none"/>
        </w:rPr>
        <w:t>的公开</w:t>
      </w:r>
      <w:r>
        <w:rPr>
          <w:rFonts w:hint="eastAsia" w:ascii="宋体" w:hAnsi="宋体" w:cs="宋体"/>
          <w:b/>
          <w:bCs/>
          <w:color w:val="auto"/>
          <w:kern w:val="0"/>
          <w:sz w:val="28"/>
          <w:szCs w:val="28"/>
          <w:highlight w:val="none"/>
          <w:lang w:eastAsia="zh-CN"/>
        </w:rPr>
        <w:t>采购公告</w:t>
      </w:r>
    </w:p>
    <w:p w14:paraId="1236BBC7">
      <w:pPr>
        <w:shd w:val="clear" w:color="auto" w:fill="auto"/>
        <w:tabs>
          <w:tab w:val="left" w:pos="0"/>
        </w:tabs>
        <w:kinsoku/>
        <w:wordWrap w:val="0"/>
        <w:overflowPunct/>
        <w:bidi w:val="0"/>
        <w:spacing w:line="360" w:lineRule="auto"/>
        <w:ind w:left="2" w:firstLine="2"/>
        <w:jc w:val="center"/>
        <w:rPr>
          <w:rFonts w:hint="eastAsia" w:ascii="宋体" w:hAnsi="宋体" w:eastAsia="宋体" w:cs="宋体"/>
          <w:color w:val="auto"/>
          <w:sz w:val="20"/>
          <w:szCs w:val="22"/>
          <w:highlight w:val="none"/>
        </w:rPr>
      </w:pPr>
      <w:r>
        <w:rPr>
          <w:rFonts w:hint="eastAsia" w:ascii="宋体" w:hAnsi="宋体" w:eastAsia="宋体" w:cs="宋体"/>
          <w:b/>
          <w:bCs/>
          <w:color w:val="auto"/>
          <w:sz w:val="28"/>
          <w:szCs w:val="28"/>
          <w:highlight w:val="none"/>
        </w:rPr>
        <w:t>（线上电子招投标）</w:t>
      </w:r>
    </w:p>
    <w:p w14:paraId="63DF5AA2">
      <w:pPr>
        <w:widowControl/>
        <w:shd w:val="clear" w:color="auto" w:fill="auto"/>
        <w:tabs>
          <w:tab w:val="left" w:pos="2019"/>
        </w:tabs>
        <w:kinsoku/>
        <w:wordWrap w:val="0"/>
        <w:overflowPunct/>
        <w:bidi w:val="0"/>
        <w:spacing w:line="360" w:lineRule="auto"/>
        <w:ind w:left="2778" w:leftChars="1" w:hanging="2776" w:hangingChars="1152"/>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公告日期</w:t>
      </w:r>
      <w:r>
        <w:rPr>
          <w:rFonts w:hint="eastAsia" w:ascii="宋体" w:hAnsi="宋体" w:eastAsia="宋体" w:cs="宋体"/>
          <w:b/>
          <w:color w:val="auto"/>
          <w:sz w:val="24"/>
          <w:highlight w:val="none"/>
          <w:lang w:eastAsia="zh-CN"/>
        </w:rPr>
        <w:t>：202</w:t>
      </w:r>
      <w:r>
        <w:rPr>
          <w:rFonts w:hint="eastAsia" w:ascii="宋体" w:hAnsi="宋体" w:cs="宋体"/>
          <w:b/>
          <w:color w:val="auto"/>
          <w:sz w:val="24"/>
          <w:highlight w:val="none"/>
          <w:lang w:val="en-US" w:eastAsia="zh-CN"/>
        </w:rPr>
        <w:t>5</w:t>
      </w:r>
      <w:r>
        <w:rPr>
          <w:rFonts w:hint="eastAsia" w:ascii="宋体" w:hAnsi="宋体" w:eastAsia="宋体" w:cs="宋体"/>
          <w:b/>
          <w:color w:val="auto"/>
          <w:sz w:val="24"/>
          <w:highlight w:val="none"/>
          <w:lang w:eastAsia="zh-CN"/>
        </w:rPr>
        <w:t>年</w:t>
      </w:r>
      <w:r>
        <w:rPr>
          <w:rFonts w:hint="eastAsia" w:ascii="宋体" w:hAnsi="宋体" w:cs="宋体"/>
          <w:b/>
          <w:color w:val="auto"/>
          <w:sz w:val="24"/>
          <w:highlight w:val="none"/>
          <w:lang w:val="en-US" w:eastAsia="zh-CN"/>
        </w:rPr>
        <w:t>9</w:t>
      </w:r>
      <w:r>
        <w:rPr>
          <w:rFonts w:hint="eastAsia" w:ascii="宋体" w:hAnsi="宋体" w:eastAsia="宋体" w:cs="宋体"/>
          <w:b/>
          <w:color w:val="auto"/>
          <w:sz w:val="24"/>
          <w:highlight w:val="none"/>
        </w:rPr>
        <w:t>月</w:t>
      </w:r>
      <w:r>
        <w:rPr>
          <w:rFonts w:hint="eastAsia" w:ascii="宋体" w:hAnsi="宋体" w:cs="宋体"/>
          <w:b/>
          <w:color w:val="auto"/>
          <w:sz w:val="24"/>
          <w:highlight w:val="none"/>
          <w:lang w:val="en-US" w:eastAsia="zh-CN"/>
        </w:rPr>
        <w:t>30</w:t>
      </w:r>
      <w:r>
        <w:rPr>
          <w:rFonts w:hint="eastAsia" w:ascii="宋体" w:hAnsi="宋体" w:eastAsia="宋体" w:cs="宋体"/>
          <w:b/>
          <w:color w:val="auto"/>
          <w:sz w:val="24"/>
          <w:highlight w:val="none"/>
        </w:rPr>
        <w:t>日</w:t>
      </w:r>
    </w:p>
    <w:p w14:paraId="6F757F44">
      <w:pPr>
        <w:pStyle w:val="24"/>
        <w:shd w:val="clear" w:color="auto" w:fill="auto"/>
        <w:kinsoku/>
        <w:wordWrap w:val="0"/>
        <w:overflowPunct/>
        <w:bidi w:val="0"/>
        <w:spacing w:before="0" w:beforeAutospacing="0" w:after="0" w:afterAutospacing="0" w:line="360" w:lineRule="auto"/>
        <w:jc w:val="both"/>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项目概况</w:t>
      </w:r>
    </w:p>
    <w:p w14:paraId="45D1CF2D">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highlight w:val="none"/>
        </w:rPr>
      </w:pPr>
      <w:r>
        <w:rPr>
          <w:rFonts w:hint="eastAsia" w:ascii="宋体" w:hAnsi="宋体" w:cs="宋体"/>
          <w:color w:val="auto"/>
          <w:sz w:val="22"/>
          <w:szCs w:val="22"/>
          <w:highlight w:val="none"/>
          <w:shd w:val="clear" w:color="auto" w:fill="FFFFFF"/>
          <w:lang w:eastAsia="zh-CN"/>
        </w:rPr>
        <w:t>平阳县万全镇中心区B12地块项目代建（含初步设计及品牌冠名）服务采购</w:t>
      </w:r>
      <w:r>
        <w:rPr>
          <w:rFonts w:hint="eastAsia" w:ascii="宋体" w:hAnsi="宋体" w:eastAsia="宋体" w:cs="宋体"/>
          <w:color w:val="auto"/>
          <w:sz w:val="22"/>
          <w:szCs w:val="22"/>
          <w:highlight w:val="none"/>
          <w:shd w:val="clear" w:color="auto" w:fill="FFFFFF"/>
        </w:rPr>
        <w:t>的潜在投标供应商登录</w:t>
      </w:r>
      <w:r>
        <w:rPr>
          <w:rFonts w:hint="eastAsia" w:ascii="宋体" w:hAnsi="宋体" w:eastAsia="宋体" w:cs="宋体"/>
          <w:color w:val="auto"/>
          <w:sz w:val="22"/>
          <w:szCs w:val="22"/>
          <w:highlight w:val="none"/>
          <w:shd w:val="clear" w:color="auto" w:fill="FFFFFF"/>
          <w:lang w:eastAsia="zh-CN"/>
        </w:rPr>
        <w:t>乐采云平台https://www.lecaiyun.com/</w:t>
      </w:r>
      <w:r>
        <w:rPr>
          <w:rFonts w:hint="eastAsia" w:ascii="宋体" w:hAnsi="宋体" w:eastAsia="宋体" w:cs="宋体"/>
          <w:color w:val="auto"/>
          <w:sz w:val="22"/>
          <w:szCs w:val="22"/>
          <w:highlight w:val="none"/>
          <w:shd w:val="clear" w:color="auto" w:fill="FFFFFF"/>
        </w:rPr>
        <w:t>在线申请获取采购文件（进入“项目采购”应用，在获取采购文件菜单中选择项目，申请获取采购文件）获取采购文件，并于</w:t>
      </w:r>
      <w:r>
        <w:rPr>
          <w:rFonts w:hint="eastAsia" w:ascii="宋体" w:hAnsi="宋体" w:eastAsia="宋体" w:cs="宋体"/>
          <w:color w:val="auto"/>
          <w:sz w:val="22"/>
          <w:szCs w:val="22"/>
          <w:highlight w:val="none"/>
          <w:shd w:val="clear" w:color="auto" w:fill="FFFFFF"/>
          <w:lang w:eastAsia="zh-CN"/>
        </w:rPr>
        <w:t>20</w:t>
      </w:r>
      <w:r>
        <w:rPr>
          <w:rFonts w:hint="eastAsia" w:ascii="宋体" w:hAnsi="宋体" w:cs="宋体"/>
          <w:color w:val="auto"/>
          <w:sz w:val="22"/>
          <w:szCs w:val="22"/>
          <w:highlight w:val="none"/>
          <w:shd w:val="clear" w:color="auto" w:fill="FFFFFF"/>
          <w:lang w:val="en-US" w:eastAsia="zh-CN"/>
        </w:rPr>
        <w:t>25</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10月29日9</w:t>
      </w:r>
      <w:r>
        <w:rPr>
          <w:rFonts w:hint="eastAsia" w:ascii="宋体" w:hAnsi="宋体" w:eastAsia="宋体" w:cs="宋体"/>
          <w:color w:val="auto"/>
          <w:sz w:val="22"/>
          <w:szCs w:val="22"/>
          <w:highlight w:val="none"/>
          <w:shd w:val="clear" w:color="auto" w:fill="FFFFFF"/>
        </w:rPr>
        <w:t>:30（北京时间）前递交投标文件。</w:t>
      </w:r>
    </w:p>
    <w:p w14:paraId="6775DA29">
      <w:pPr>
        <w:pStyle w:val="24"/>
        <w:shd w:val="clear" w:color="auto" w:fill="auto"/>
        <w:kinsoku/>
        <w:wordWrap w:val="0"/>
        <w:overflowPunct/>
        <w:bidi w:val="0"/>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一、项目基本情况</w:t>
      </w:r>
    </w:p>
    <w:p w14:paraId="47293349">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highlight w:val="none"/>
        </w:rPr>
      </w:pPr>
      <w:r>
        <w:rPr>
          <w:rFonts w:hint="eastAsia" w:ascii="宋体" w:hAnsi="宋体" w:eastAsia="宋体" w:cs="宋体"/>
          <w:color w:val="auto"/>
          <w:sz w:val="22"/>
          <w:szCs w:val="22"/>
          <w:highlight w:val="none"/>
          <w:shd w:val="clear" w:color="auto" w:fill="FFFFFF"/>
        </w:rPr>
        <w:t>项目编号</w:t>
      </w:r>
      <w:r>
        <w:rPr>
          <w:rFonts w:hint="eastAsia" w:ascii="宋体" w:hAnsi="宋体" w:eastAsia="宋体" w:cs="宋体"/>
          <w:color w:val="auto"/>
          <w:sz w:val="22"/>
          <w:szCs w:val="22"/>
          <w:highlight w:val="none"/>
          <w:shd w:val="clear" w:color="auto" w:fill="FFFFFF"/>
          <w:lang w:eastAsia="zh-CN"/>
        </w:rPr>
        <w:t>：</w:t>
      </w:r>
      <w:r>
        <w:rPr>
          <w:rFonts w:hint="eastAsia" w:ascii="宋体" w:hAnsi="宋体" w:cs="宋体"/>
          <w:color w:val="auto"/>
          <w:sz w:val="22"/>
          <w:szCs w:val="22"/>
          <w:highlight w:val="none"/>
          <w:lang w:eastAsia="zh-CN"/>
        </w:rPr>
        <w:t>PYCG250930104</w:t>
      </w:r>
    </w:p>
    <w:p w14:paraId="20B651E2">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highlight w:val="none"/>
          <w:lang w:eastAsia="zh-CN"/>
        </w:rPr>
      </w:pPr>
      <w:r>
        <w:rPr>
          <w:rFonts w:hint="eastAsia" w:ascii="宋体" w:hAnsi="宋体" w:eastAsia="宋体" w:cs="宋体"/>
          <w:color w:val="auto"/>
          <w:sz w:val="22"/>
          <w:szCs w:val="22"/>
          <w:highlight w:val="none"/>
          <w:shd w:val="clear" w:color="auto" w:fill="FFFFFF"/>
        </w:rPr>
        <w:t>项目名称</w:t>
      </w:r>
      <w:r>
        <w:rPr>
          <w:rFonts w:hint="eastAsia" w:ascii="宋体" w:hAnsi="宋体" w:eastAsia="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lang w:eastAsia="zh-CN"/>
        </w:rPr>
        <w:t>平阳县万全</w:t>
      </w:r>
      <w:bookmarkStart w:id="171" w:name="_GoBack"/>
      <w:bookmarkEnd w:id="171"/>
      <w:r>
        <w:rPr>
          <w:rFonts w:hint="eastAsia" w:ascii="宋体" w:hAnsi="宋体" w:cs="宋体"/>
          <w:color w:val="auto"/>
          <w:sz w:val="22"/>
          <w:szCs w:val="22"/>
          <w:highlight w:val="none"/>
          <w:shd w:val="clear" w:color="auto" w:fill="FFFFFF"/>
          <w:lang w:eastAsia="zh-CN"/>
        </w:rPr>
        <w:t>镇中心区B12地块项目代建（含初步设计及品牌冠名）服务采购</w:t>
      </w:r>
    </w:p>
    <w:p w14:paraId="52ED6441">
      <w:pPr>
        <w:pStyle w:val="24"/>
        <w:shd w:val="clear" w:color="auto" w:fill="auto"/>
        <w:kinsoku/>
        <w:wordWrap w:val="0"/>
        <w:overflowPunct/>
        <w:bidi w:val="0"/>
        <w:spacing w:before="0" w:beforeAutospacing="0" w:after="0" w:afterAutospacing="0" w:line="360" w:lineRule="auto"/>
        <w:ind w:firstLine="440"/>
        <w:rPr>
          <w:rFonts w:hint="default" w:ascii="宋体" w:hAnsi="宋体" w:eastAsia="宋体" w:cs="宋体"/>
          <w:color w:val="auto"/>
          <w:highlight w:val="none"/>
          <w:lang w:val="en-US" w:eastAsia="zh-CN"/>
        </w:rPr>
      </w:pPr>
      <w:r>
        <w:rPr>
          <w:rFonts w:hint="eastAsia" w:ascii="宋体" w:hAnsi="宋体" w:eastAsia="宋体" w:cs="宋体"/>
          <w:color w:val="auto"/>
          <w:sz w:val="22"/>
          <w:szCs w:val="22"/>
          <w:highlight w:val="none"/>
          <w:shd w:val="clear" w:color="auto" w:fill="FFFFFF"/>
        </w:rPr>
        <w:t>预算金额（元）</w:t>
      </w:r>
      <w:r>
        <w:rPr>
          <w:rFonts w:hint="eastAsia" w:ascii="宋体" w:hAnsi="宋体" w:eastAsia="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lang w:val="en-US" w:eastAsia="zh-CN"/>
        </w:rPr>
        <w:t>17918656</w:t>
      </w:r>
    </w:p>
    <w:p w14:paraId="404426C1">
      <w:pPr>
        <w:pStyle w:val="24"/>
        <w:shd w:val="clear" w:color="auto" w:fill="auto"/>
        <w:kinsoku/>
        <w:wordWrap w:val="0"/>
        <w:overflowPunct/>
        <w:bidi w:val="0"/>
        <w:spacing w:before="0" w:beforeAutospacing="0" w:after="0" w:afterAutospacing="0" w:line="360" w:lineRule="auto"/>
        <w:ind w:firstLine="440"/>
        <w:rPr>
          <w:rFonts w:hint="default" w:ascii="宋体" w:hAnsi="宋体" w:eastAsia="宋体" w:cs="宋体"/>
          <w:color w:val="auto"/>
          <w:highlight w:val="none"/>
          <w:lang w:val="en-US" w:eastAsia="zh-CN"/>
        </w:rPr>
      </w:pPr>
      <w:r>
        <w:rPr>
          <w:rFonts w:hint="eastAsia" w:ascii="宋体" w:hAnsi="宋体" w:eastAsia="宋体" w:cs="宋体"/>
          <w:color w:val="auto"/>
          <w:sz w:val="22"/>
          <w:szCs w:val="22"/>
          <w:highlight w:val="none"/>
          <w:shd w:val="clear" w:color="auto" w:fill="FFFFFF"/>
        </w:rPr>
        <w:t>最高限价（元）</w:t>
      </w:r>
      <w:r>
        <w:rPr>
          <w:rFonts w:hint="eastAsia" w:ascii="宋体" w:hAnsi="宋体" w:eastAsia="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lang w:val="en-US" w:eastAsia="zh-CN"/>
        </w:rPr>
        <w:t>17918656</w:t>
      </w:r>
    </w:p>
    <w:p w14:paraId="474595BA">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lang w:eastAsia="zh-CN"/>
        </w:rPr>
      </w:pPr>
      <w:r>
        <w:rPr>
          <w:rFonts w:hint="eastAsia" w:ascii="宋体" w:hAnsi="宋体" w:eastAsia="宋体" w:cs="宋体"/>
          <w:color w:val="auto"/>
          <w:sz w:val="22"/>
          <w:szCs w:val="22"/>
          <w:highlight w:val="none"/>
          <w:shd w:val="clear" w:color="auto" w:fill="FFFFFF"/>
        </w:rPr>
        <w:t>采购需求</w:t>
      </w:r>
      <w:r>
        <w:rPr>
          <w:rFonts w:hint="eastAsia" w:ascii="宋体" w:hAnsi="宋体" w:eastAsia="宋体" w:cs="宋体"/>
          <w:color w:val="auto"/>
          <w:sz w:val="22"/>
          <w:szCs w:val="22"/>
          <w:highlight w:val="none"/>
          <w:shd w:val="clear" w:color="auto" w:fill="FFFFFF"/>
          <w:lang w:eastAsia="zh-CN"/>
        </w:rPr>
        <w:t>：</w:t>
      </w:r>
    </w:p>
    <w:p w14:paraId="33A5755D">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简要规格描述或项目基本概况介绍、用途</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lang w:val="en-US" w:eastAsia="zh-CN"/>
        </w:rPr>
        <w:t>详见采购文件</w:t>
      </w:r>
    </w:p>
    <w:p w14:paraId="5AB64D55">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备注</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 xml:space="preserve"> </w:t>
      </w:r>
    </w:p>
    <w:p w14:paraId="23874628">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lang w:eastAsia="zh-CN"/>
        </w:rPr>
      </w:pPr>
      <w:r>
        <w:rPr>
          <w:rFonts w:hint="eastAsia" w:ascii="宋体" w:hAnsi="宋体" w:eastAsia="宋体" w:cs="宋体"/>
          <w:color w:val="auto"/>
          <w:sz w:val="22"/>
          <w:szCs w:val="22"/>
          <w:highlight w:val="none"/>
          <w:shd w:val="clear" w:color="auto" w:fill="FFFFFF"/>
        </w:rPr>
        <w:t>合同履约期限</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lang w:val="en-US" w:eastAsia="zh-CN"/>
        </w:rPr>
        <w:t>详见采购文件</w:t>
      </w:r>
    </w:p>
    <w:p w14:paraId="5598E2B9">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b/>
          <w:bCs/>
          <w:color w:val="auto"/>
          <w:sz w:val="22"/>
          <w:szCs w:val="22"/>
          <w:highlight w:val="none"/>
          <w:shd w:val="clear" w:color="auto" w:fill="FFFFFF"/>
          <w:lang w:eastAsia="zh-CN"/>
        </w:rPr>
      </w:pPr>
      <w:r>
        <w:rPr>
          <w:rFonts w:hint="eastAsia" w:ascii="宋体" w:hAnsi="宋体" w:eastAsia="宋体" w:cs="宋体"/>
          <w:b/>
          <w:bCs/>
          <w:color w:val="auto"/>
          <w:sz w:val="22"/>
          <w:szCs w:val="22"/>
          <w:highlight w:val="none"/>
          <w:shd w:val="clear" w:color="auto" w:fill="FFFFFF"/>
        </w:rPr>
        <w:t>本项目</w:t>
      </w:r>
      <w:r>
        <w:rPr>
          <w:rFonts w:hint="eastAsia" w:ascii="宋体" w:hAnsi="宋体" w:cs="宋体"/>
          <w:b/>
          <w:bCs/>
          <w:color w:val="auto"/>
          <w:sz w:val="22"/>
          <w:szCs w:val="22"/>
          <w:highlight w:val="none"/>
          <w:shd w:val="clear" w:color="auto" w:fill="FFFFFF"/>
          <w:lang w:eastAsia="zh-CN"/>
        </w:rPr>
        <w:t>（</w:t>
      </w:r>
      <w:r>
        <w:rPr>
          <w:rFonts w:hint="eastAsia" w:ascii="宋体" w:hAnsi="宋体" w:cs="宋体"/>
          <w:b/>
          <w:bCs/>
          <w:color w:val="auto"/>
          <w:sz w:val="22"/>
          <w:szCs w:val="22"/>
          <w:highlight w:val="none"/>
          <w:shd w:val="clear" w:color="auto" w:fill="FFFFFF"/>
          <w:lang w:val="en-US" w:eastAsia="zh-CN"/>
        </w:rPr>
        <w:t>是</w:t>
      </w:r>
      <w:r>
        <w:rPr>
          <w:rFonts w:hint="eastAsia" w:ascii="宋体" w:hAnsi="宋体" w:cs="宋体"/>
          <w:b/>
          <w:bCs/>
          <w:color w:val="auto"/>
          <w:sz w:val="22"/>
          <w:szCs w:val="22"/>
          <w:highlight w:val="none"/>
          <w:shd w:val="clear" w:color="auto" w:fill="FFFFFF"/>
          <w:lang w:eastAsia="zh-CN"/>
        </w:rPr>
        <w:t>）</w:t>
      </w:r>
      <w:r>
        <w:rPr>
          <w:rFonts w:hint="eastAsia" w:ascii="宋体" w:hAnsi="宋体" w:eastAsia="宋体" w:cs="宋体"/>
          <w:b/>
          <w:bCs/>
          <w:color w:val="auto"/>
          <w:sz w:val="22"/>
          <w:szCs w:val="22"/>
          <w:highlight w:val="none"/>
          <w:shd w:val="clear" w:color="auto" w:fill="FFFFFF"/>
        </w:rPr>
        <w:t>接受联合体投标</w:t>
      </w:r>
      <w:r>
        <w:rPr>
          <w:rFonts w:hint="eastAsia" w:ascii="宋体" w:hAnsi="宋体" w:cs="宋体"/>
          <w:b/>
          <w:bCs/>
          <w:color w:val="auto"/>
          <w:sz w:val="22"/>
          <w:szCs w:val="22"/>
          <w:highlight w:val="none"/>
          <w:shd w:val="clear" w:color="auto" w:fill="FFFFFF"/>
          <w:lang w:eastAsia="zh-CN"/>
        </w:rPr>
        <w:t>，</w:t>
      </w:r>
      <w:r>
        <w:rPr>
          <w:rFonts w:hint="eastAsia" w:ascii="宋体" w:hAnsi="宋体" w:cs="宋体"/>
          <w:b/>
          <w:bCs/>
          <w:color w:val="auto"/>
          <w:sz w:val="22"/>
          <w:szCs w:val="22"/>
          <w:highlight w:val="none"/>
          <w:shd w:val="clear" w:color="auto" w:fill="FFFFFF"/>
          <w:lang w:val="en-US" w:eastAsia="zh-CN"/>
        </w:rPr>
        <w:t>联合体成员最多不超过2家</w:t>
      </w:r>
      <w:r>
        <w:rPr>
          <w:rFonts w:hint="eastAsia" w:ascii="宋体" w:hAnsi="宋体" w:eastAsia="宋体" w:cs="宋体"/>
          <w:b/>
          <w:bCs/>
          <w:color w:val="auto"/>
          <w:sz w:val="22"/>
          <w:szCs w:val="22"/>
          <w:highlight w:val="none"/>
          <w:shd w:val="clear" w:color="auto" w:fill="FFFFFF"/>
        </w:rPr>
        <w:t>。</w:t>
      </w:r>
    </w:p>
    <w:p w14:paraId="59D0E232">
      <w:pPr>
        <w:pStyle w:val="24"/>
        <w:shd w:val="clear" w:color="auto" w:fill="auto"/>
        <w:kinsoku/>
        <w:wordWrap w:val="0"/>
        <w:overflowPunct/>
        <w:bidi w:val="0"/>
        <w:spacing w:before="0" w:beforeAutospacing="0" w:after="0" w:afterAutospacing="0" w:line="360" w:lineRule="auto"/>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二、申请人的资格要求</w:t>
      </w:r>
    </w:p>
    <w:p w14:paraId="7B7D7942">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1.满足《平阳县县属国有企业采购管理办法（试行）》第十四条规定；未被“信用中国”（www.creditchina.gov.cn</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、中国政府采购网（www.ccgp.gov.cn）列入失信被执行人、重大税收违法案件当事人名单、政府采购严重违法失信行为记录名单。</w:t>
      </w:r>
    </w:p>
    <w:p w14:paraId="33C42170">
      <w:pPr>
        <w:shd w:val="clear" w:color="auto" w:fill="auto"/>
        <w:kinsoku/>
        <w:wordWrap w:val="0"/>
        <w:overflowPunct/>
        <w:bidi w:val="0"/>
        <w:spacing w:line="360" w:lineRule="auto"/>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2.落实政府采购政策需满足的资格要求</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无</w:t>
      </w:r>
    </w:p>
    <w:p w14:paraId="6E2CF43C">
      <w:pPr>
        <w:shd w:val="clear" w:color="auto" w:fill="auto"/>
        <w:kinsoku/>
        <w:wordWrap w:val="0"/>
        <w:overflowPunct/>
        <w:bidi w:val="0"/>
        <w:spacing w:line="360" w:lineRule="auto"/>
        <w:ind w:firstLine="440" w:firstLineChars="200"/>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rPr>
        <w:t>3.特定资格要求</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lang w:val="en-US" w:eastAsia="zh-CN"/>
        </w:rPr>
        <w:t>投标供应商须</w:t>
      </w:r>
      <w:r>
        <w:rPr>
          <w:rFonts w:hint="eastAsia" w:ascii="宋体" w:hAnsi="宋体" w:cs="宋体"/>
          <w:b w:val="0"/>
          <w:bCs w:val="0"/>
          <w:color w:val="auto"/>
          <w:sz w:val="22"/>
          <w:szCs w:val="22"/>
          <w:highlight w:val="none"/>
          <w:lang w:val="en-US" w:eastAsia="zh-CN"/>
        </w:rPr>
        <w:t>同时</w:t>
      </w:r>
      <w:r>
        <w:rPr>
          <w:rFonts w:hint="eastAsia" w:ascii="宋体" w:hAnsi="宋体" w:eastAsia="宋体" w:cs="宋体"/>
          <w:b w:val="0"/>
          <w:bCs w:val="0"/>
          <w:color w:val="auto"/>
          <w:sz w:val="22"/>
          <w:szCs w:val="22"/>
          <w:highlight w:val="none"/>
          <w:lang w:val="en-US" w:eastAsia="zh-CN"/>
        </w:rPr>
        <w:t>具备</w:t>
      </w:r>
      <w:r>
        <w:rPr>
          <w:rFonts w:hint="eastAsia" w:ascii="宋体" w:hAnsi="宋体" w:cs="宋体"/>
          <w:b w:val="0"/>
          <w:bCs w:val="0"/>
          <w:color w:val="auto"/>
          <w:sz w:val="22"/>
          <w:szCs w:val="22"/>
          <w:highlight w:val="none"/>
          <w:lang w:val="en-US" w:eastAsia="zh-CN"/>
        </w:rPr>
        <w:t>（1）、（2）资质或组成联合体</w:t>
      </w:r>
      <w:r>
        <w:rPr>
          <w:rFonts w:hint="eastAsia" w:ascii="宋体" w:hAnsi="宋体" w:cs="宋体"/>
          <w:b w:val="0"/>
          <w:bCs w:val="0"/>
          <w:color w:val="auto"/>
          <w:sz w:val="22"/>
          <w:szCs w:val="22"/>
          <w:highlight w:val="none"/>
          <w:u w:val="none"/>
          <w:lang w:val="en-US" w:eastAsia="zh-CN"/>
        </w:rPr>
        <w:t>，</w:t>
      </w:r>
      <w:r>
        <w:rPr>
          <w:rFonts w:hint="eastAsia" w:ascii="宋体" w:hAnsi="宋体" w:cs="宋体"/>
          <w:b w:val="0"/>
          <w:bCs w:val="0"/>
          <w:color w:val="auto"/>
          <w:sz w:val="22"/>
          <w:szCs w:val="22"/>
          <w:highlight w:val="none"/>
          <w:shd w:val="clear" w:color="auto" w:fill="FFFFFF"/>
          <w:lang w:val="en-US" w:eastAsia="zh-CN"/>
        </w:rPr>
        <w:t>联合体成员最多不超过2家</w:t>
      </w:r>
      <w:r>
        <w:rPr>
          <w:rFonts w:hint="eastAsia" w:ascii="宋体" w:hAnsi="宋体" w:cs="宋体"/>
          <w:b w:val="0"/>
          <w:bCs w:val="0"/>
          <w:color w:val="auto"/>
          <w:sz w:val="22"/>
          <w:szCs w:val="22"/>
          <w:highlight w:val="none"/>
          <w:lang w:val="en-US" w:eastAsia="zh-CN"/>
        </w:rPr>
        <w:t>：（1）</w:t>
      </w:r>
      <w:r>
        <w:rPr>
          <w:rFonts w:hint="eastAsia" w:ascii="宋体" w:hAnsi="宋体" w:eastAsia="宋体" w:cs="宋体"/>
          <w:b w:val="0"/>
          <w:bCs w:val="0"/>
          <w:color w:val="auto"/>
          <w:sz w:val="22"/>
          <w:szCs w:val="22"/>
          <w:highlight w:val="none"/>
          <w:u w:val="single"/>
          <w:lang w:val="en-US" w:eastAsia="zh-CN"/>
        </w:rPr>
        <w:t>房地产开发</w:t>
      </w:r>
      <w:r>
        <w:rPr>
          <w:rFonts w:hint="eastAsia" w:ascii="宋体" w:hAnsi="宋体" w:cs="宋体"/>
          <w:b w:val="0"/>
          <w:bCs w:val="0"/>
          <w:color w:val="auto"/>
          <w:sz w:val="22"/>
          <w:szCs w:val="22"/>
          <w:highlight w:val="none"/>
          <w:u w:val="single"/>
          <w:lang w:val="en-US" w:eastAsia="zh-CN"/>
        </w:rPr>
        <w:t>二</w:t>
      </w:r>
      <w:r>
        <w:rPr>
          <w:rFonts w:hint="eastAsia" w:ascii="宋体" w:hAnsi="宋体" w:eastAsia="宋体" w:cs="宋体"/>
          <w:b w:val="0"/>
          <w:bCs w:val="0"/>
          <w:color w:val="auto"/>
          <w:sz w:val="22"/>
          <w:szCs w:val="22"/>
          <w:highlight w:val="none"/>
          <w:u w:val="single"/>
          <w:lang w:val="en-US" w:eastAsia="zh-CN"/>
        </w:rPr>
        <w:t>级及以上资质</w:t>
      </w:r>
      <w:r>
        <w:rPr>
          <w:rFonts w:hint="eastAsia" w:ascii="宋体" w:hAnsi="宋体" w:cs="宋体"/>
          <w:b w:val="0"/>
          <w:bCs w:val="0"/>
          <w:color w:val="auto"/>
          <w:sz w:val="22"/>
          <w:szCs w:val="22"/>
          <w:highlight w:val="none"/>
          <w:u w:val="single"/>
          <w:lang w:val="en-US" w:eastAsia="zh-CN"/>
        </w:rPr>
        <w:t>；</w:t>
      </w:r>
      <w:r>
        <w:rPr>
          <w:rFonts w:hint="eastAsia" w:ascii="宋体" w:hAnsi="宋体" w:cs="宋体"/>
          <w:b w:val="0"/>
          <w:bCs w:val="0"/>
          <w:color w:val="auto"/>
          <w:sz w:val="22"/>
          <w:szCs w:val="22"/>
          <w:highlight w:val="none"/>
          <w:u w:val="none"/>
          <w:lang w:val="en-US" w:eastAsia="zh-CN"/>
        </w:rPr>
        <w:t>（2）</w:t>
      </w:r>
      <w:r>
        <w:rPr>
          <w:rFonts w:hint="eastAsia" w:ascii="宋体" w:hAnsi="宋体" w:cs="宋体"/>
          <w:b w:val="0"/>
          <w:bCs w:val="0"/>
          <w:color w:val="auto"/>
          <w:sz w:val="22"/>
          <w:szCs w:val="22"/>
          <w:highlight w:val="none"/>
          <w:u w:val="single"/>
          <w:lang w:val="en-US" w:eastAsia="zh-CN"/>
        </w:rPr>
        <w:t>工程设计建筑行业（建筑工程）甲级资质或工程设计建筑行业甲级资质或工程设计综合甲级资质。</w:t>
      </w:r>
    </w:p>
    <w:p w14:paraId="0A3A190A">
      <w:pPr>
        <w:pStyle w:val="24"/>
        <w:shd w:val="clear" w:color="auto" w:fill="auto"/>
        <w:kinsoku/>
        <w:wordWrap w:val="0"/>
        <w:overflowPunct/>
        <w:bidi w:val="0"/>
        <w:spacing w:before="0" w:beforeAutospacing="0" w:after="0" w:afterAutospacing="0" w:line="360" w:lineRule="auto"/>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三、获取采购文件</w:t>
      </w:r>
    </w:p>
    <w:p w14:paraId="50281ADA">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时间</w:t>
      </w:r>
      <w:r>
        <w:rPr>
          <w:rFonts w:hint="eastAsia" w:ascii="宋体" w:hAnsi="宋体" w:eastAsia="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lang w:val="en-US" w:eastAsia="zh-CN"/>
        </w:rPr>
        <w:t>公告发布之日起</w:t>
      </w:r>
      <w:r>
        <w:rPr>
          <w:rFonts w:hint="eastAsia" w:ascii="宋体" w:hAnsi="宋体" w:eastAsia="宋体" w:cs="宋体"/>
          <w:color w:val="auto"/>
          <w:sz w:val="22"/>
          <w:szCs w:val="22"/>
          <w:highlight w:val="none"/>
          <w:shd w:val="clear" w:color="auto" w:fill="FFFFFF"/>
        </w:rPr>
        <w:t>至</w:t>
      </w:r>
      <w:r>
        <w:rPr>
          <w:rFonts w:hint="eastAsia" w:ascii="宋体" w:hAnsi="宋体" w:cs="宋体"/>
          <w:color w:val="auto"/>
          <w:sz w:val="22"/>
          <w:szCs w:val="22"/>
          <w:highlight w:val="none"/>
          <w:shd w:val="clear" w:color="auto" w:fill="FFFFFF"/>
          <w:lang w:val="en-US" w:eastAsia="zh-CN"/>
        </w:rPr>
        <w:t>投标截止时间前</w:t>
      </w:r>
      <w:r>
        <w:rPr>
          <w:rFonts w:hint="eastAsia" w:ascii="宋体" w:hAnsi="宋体" w:eastAsia="宋体" w:cs="宋体"/>
          <w:color w:val="auto"/>
          <w:sz w:val="22"/>
          <w:szCs w:val="22"/>
          <w:highlight w:val="none"/>
          <w:shd w:val="clear" w:color="auto" w:fill="FFFFFF"/>
        </w:rPr>
        <w:t>，每天上午00:00至12:00，下午12:00至23:59（北京时间，线上获取法定节假日均可，线下获取文件法定节假日除外）</w:t>
      </w:r>
    </w:p>
    <w:p w14:paraId="0CD6839C">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highlight w:val="none"/>
        </w:rPr>
      </w:pPr>
      <w:r>
        <w:rPr>
          <w:rFonts w:hint="eastAsia" w:ascii="宋体" w:hAnsi="宋体" w:eastAsia="宋体" w:cs="宋体"/>
          <w:color w:val="auto"/>
          <w:sz w:val="22"/>
          <w:szCs w:val="22"/>
          <w:highlight w:val="none"/>
          <w:shd w:val="clear" w:color="auto" w:fill="FFFFFF"/>
        </w:rPr>
        <w:t>地点（网址）</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乐采云平台</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https://www.lecaiyun.com/</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w:t>
      </w:r>
    </w:p>
    <w:p w14:paraId="64844021">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方式</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供应商登录</w:t>
      </w:r>
      <w:r>
        <w:rPr>
          <w:rFonts w:hint="eastAsia" w:ascii="宋体" w:hAnsi="宋体" w:eastAsia="宋体" w:cs="宋体"/>
          <w:color w:val="auto"/>
          <w:sz w:val="22"/>
          <w:szCs w:val="22"/>
          <w:highlight w:val="none"/>
          <w:shd w:val="clear" w:color="auto" w:fill="FFFFFF"/>
          <w:lang w:eastAsia="zh-CN"/>
        </w:rPr>
        <w:t>乐采云平台https://www.lecaiyun.com/</w:t>
      </w:r>
      <w:r>
        <w:rPr>
          <w:rFonts w:hint="eastAsia" w:ascii="宋体" w:hAnsi="宋体" w:eastAsia="宋体" w:cs="宋体"/>
          <w:color w:val="auto"/>
          <w:sz w:val="22"/>
          <w:szCs w:val="22"/>
          <w:highlight w:val="none"/>
          <w:shd w:val="clear" w:color="auto" w:fill="FFFFFF"/>
        </w:rPr>
        <w:t>在线申请获取采购文件（进入“项目采购”应用，在获取采购文件菜单中选择项目，申请获取采购文件）；</w:t>
      </w:r>
    </w:p>
    <w:p w14:paraId="5A81E9FE">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售价（元）</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500元。</w:t>
      </w:r>
    </w:p>
    <w:p w14:paraId="74F02A46">
      <w:pPr>
        <w:pStyle w:val="24"/>
        <w:shd w:val="clear" w:color="auto" w:fill="auto"/>
        <w:kinsoku/>
        <w:wordWrap w:val="0"/>
        <w:overflowPunct/>
        <w:bidi w:val="0"/>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四、提交投标文件截止时间、开标时间和地点</w:t>
      </w:r>
    </w:p>
    <w:p w14:paraId="1C183271">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提交投标文件截止时间</w:t>
      </w:r>
      <w:r>
        <w:rPr>
          <w:rFonts w:hint="eastAsia" w:ascii="宋体" w:hAnsi="宋体" w:eastAsia="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5年10月29日9</w:t>
      </w:r>
      <w:r>
        <w:rPr>
          <w:rFonts w:hint="eastAsia" w:ascii="宋体" w:hAnsi="宋体" w:eastAsia="宋体" w:cs="宋体"/>
          <w:color w:val="auto"/>
          <w:sz w:val="22"/>
          <w:szCs w:val="22"/>
          <w:highlight w:val="none"/>
          <w:shd w:val="clear" w:color="auto" w:fill="FFFFFF"/>
        </w:rPr>
        <w:t>:30（北京时间）</w:t>
      </w:r>
    </w:p>
    <w:p w14:paraId="4026CAC9">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投标地点（网址）</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lang w:val="en-US" w:eastAsia="zh-CN"/>
        </w:rPr>
        <w:t>乐采云</w:t>
      </w:r>
      <w:r>
        <w:rPr>
          <w:rFonts w:hint="eastAsia" w:ascii="宋体" w:hAnsi="宋体" w:eastAsia="宋体" w:cs="宋体"/>
          <w:color w:val="auto"/>
          <w:sz w:val="22"/>
          <w:szCs w:val="22"/>
          <w:highlight w:val="none"/>
          <w:shd w:val="clear" w:color="auto" w:fill="FFFFFF"/>
        </w:rPr>
        <w:t xml:space="preserve">平台在线投标 </w:t>
      </w:r>
    </w:p>
    <w:p w14:paraId="345D338B">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开标时间</w:t>
      </w:r>
      <w:r>
        <w:rPr>
          <w:rFonts w:hint="eastAsia" w:ascii="宋体" w:hAnsi="宋体" w:eastAsia="宋体" w:cs="宋体"/>
          <w:color w:val="auto"/>
          <w:sz w:val="22"/>
          <w:szCs w:val="22"/>
          <w:highlight w:val="none"/>
          <w:shd w:val="clear" w:color="auto" w:fill="FFFFFF"/>
          <w:lang w:eastAsia="zh-CN"/>
        </w:rPr>
        <w:t>：20</w:t>
      </w:r>
      <w:r>
        <w:rPr>
          <w:rFonts w:hint="eastAsia" w:ascii="宋体" w:hAnsi="宋体" w:cs="宋体"/>
          <w:color w:val="auto"/>
          <w:sz w:val="22"/>
          <w:szCs w:val="22"/>
          <w:highlight w:val="none"/>
          <w:shd w:val="clear" w:color="auto" w:fill="FFFFFF"/>
          <w:lang w:val="en-US" w:eastAsia="zh-CN"/>
        </w:rPr>
        <w:t>25</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10月29日9</w:t>
      </w:r>
      <w:r>
        <w:rPr>
          <w:rFonts w:hint="eastAsia" w:ascii="宋体" w:hAnsi="宋体" w:eastAsia="宋体" w:cs="宋体"/>
          <w:color w:val="auto"/>
          <w:sz w:val="22"/>
          <w:szCs w:val="22"/>
          <w:highlight w:val="none"/>
          <w:shd w:val="clear" w:color="auto" w:fill="FFFFFF"/>
        </w:rPr>
        <w:t>:30（北京时间）</w:t>
      </w:r>
    </w:p>
    <w:p w14:paraId="6CB2D1F8">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开标地点（网址）</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lang w:val="en-US" w:eastAsia="zh-CN"/>
        </w:rPr>
        <w:t>乐采云</w:t>
      </w:r>
      <w:r>
        <w:rPr>
          <w:rFonts w:hint="eastAsia" w:ascii="宋体" w:hAnsi="宋体" w:eastAsia="宋体" w:cs="宋体"/>
          <w:color w:val="auto"/>
          <w:sz w:val="22"/>
          <w:szCs w:val="22"/>
          <w:highlight w:val="none"/>
          <w:shd w:val="clear" w:color="auto" w:fill="FFFFFF"/>
        </w:rPr>
        <w:t>平台在线投标</w:t>
      </w:r>
    </w:p>
    <w:p w14:paraId="20BDE519">
      <w:pPr>
        <w:pStyle w:val="24"/>
        <w:shd w:val="clear" w:color="auto" w:fill="auto"/>
        <w:kinsoku/>
        <w:wordWrap w:val="0"/>
        <w:overflowPunct/>
        <w:bidi w:val="0"/>
        <w:spacing w:before="0" w:beforeAutospacing="0" w:after="0" w:afterAutospacing="0" w:line="360" w:lineRule="auto"/>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五、公告期限:自本公告发布之日起5个工作日</w:t>
      </w:r>
    </w:p>
    <w:p w14:paraId="67402010">
      <w:pPr>
        <w:pStyle w:val="24"/>
        <w:shd w:val="clear" w:color="auto" w:fill="auto"/>
        <w:kinsoku/>
        <w:wordWrap w:val="0"/>
        <w:overflowPunct/>
        <w:bidi w:val="0"/>
        <w:spacing w:before="0" w:beforeAutospacing="0" w:after="0" w:afterAutospacing="0" w:line="360" w:lineRule="auto"/>
        <w:rPr>
          <w:rFonts w:hint="eastAsia" w:ascii="宋体" w:hAnsi="宋体" w:eastAsia="宋体" w:cs="宋体"/>
          <w:color w:val="auto"/>
          <w:sz w:val="22"/>
          <w:szCs w:val="22"/>
          <w:highlight w:val="none"/>
          <w:shd w:val="clear" w:color="auto" w:fill="FFFFFF"/>
          <w:lang w:eastAsia="zh-CN"/>
        </w:rPr>
      </w:pPr>
      <w:r>
        <w:rPr>
          <w:rFonts w:hint="eastAsia" w:ascii="宋体" w:hAnsi="宋体" w:eastAsia="宋体" w:cs="宋体"/>
          <w:b/>
          <w:color w:val="auto"/>
          <w:sz w:val="22"/>
          <w:szCs w:val="22"/>
          <w:highlight w:val="none"/>
          <w:shd w:val="clear" w:color="auto" w:fill="FFFFFF"/>
        </w:rPr>
        <w:t>六、投标保证金</w:t>
      </w:r>
      <w:r>
        <w:rPr>
          <w:rFonts w:hint="eastAsia" w:ascii="宋体" w:hAnsi="宋体" w:eastAsia="宋体" w:cs="宋体"/>
          <w:color w:val="auto"/>
          <w:sz w:val="22"/>
          <w:szCs w:val="22"/>
          <w:highlight w:val="none"/>
          <w:shd w:val="clear" w:color="auto" w:fill="FFFFFF"/>
          <w:lang w:eastAsia="zh-CN"/>
        </w:rPr>
        <w:t>：</w:t>
      </w:r>
    </w:p>
    <w:p w14:paraId="098AB7DB">
      <w:pPr>
        <w:pStyle w:val="24"/>
        <w:shd w:val="clear" w:color="auto" w:fill="auto"/>
        <w:kinsoku/>
        <w:wordWrap w:val="0"/>
        <w:overflowPunct/>
        <w:bidi w:val="0"/>
        <w:spacing w:before="0" w:beforeAutospacing="0" w:after="0" w:afterAutospacing="0" w:line="360" w:lineRule="auto"/>
        <w:ind w:firstLine="442" w:firstLineChars="200"/>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本项目无需递交投标保证金。</w:t>
      </w:r>
    </w:p>
    <w:p w14:paraId="3C8E740E">
      <w:pPr>
        <w:pStyle w:val="24"/>
        <w:shd w:val="clear" w:color="auto" w:fill="auto"/>
        <w:kinsoku/>
        <w:wordWrap w:val="0"/>
        <w:overflowPunct/>
        <w:bidi w:val="0"/>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七、其他补充事宜</w:t>
      </w:r>
    </w:p>
    <w:p w14:paraId="7DDE9605">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1）本项目通过“乐采云平台（www.lecaiyun.com）”实行在线投标响应（电子投标），投标客户端</w:t>
      </w:r>
      <w:r>
        <w:rPr>
          <w:rFonts w:hint="eastAsia" w:ascii="宋体" w:hAnsi="宋体" w:cs="宋体"/>
          <w:color w:val="auto"/>
          <w:sz w:val="22"/>
          <w:szCs w:val="22"/>
          <w:highlight w:val="none"/>
          <w:lang w:val="en-US" w:eastAsia="zh-CN"/>
        </w:rPr>
        <w:t>须</w:t>
      </w:r>
      <w:r>
        <w:rPr>
          <w:rFonts w:hint="eastAsia" w:ascii="宋体" w:hAnsi="宋体" w:eastAsia="宋体" w:cs="宋体"/>
          <w:color w:val="auto"/>
          <w:sz w:val="22"/>
          <w:szCs w:val="22"/>
          <w:highlight w:val="none"/>
        </w:rPr>
        <w:t>使用乐采云投标客户端（下载链接（以乐采云平台为准）：https://sitecdn.zcycdn.com/zcy-client/bidding-client-new/official/lcy/LeCaiYunSetup.latest.exe））</w:t>
      </w:r>
    </w:p>
    <w:p w14:paraId="3B546749">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为确保网上操作合法、有效和安全，投标供应商应当在投标截止时间前完成在“乐采云平台（www.lecaiyun.com）”的身份认证，确保在电子投标过程中能够对相关数据电文进行加密和使用电子签章。使用“乐采云平台（www.lecaiyun.com）电子交易客户端”需要提前申领CA数字证书，申领流程请自行前往“浙江政府采购网-下载专区-电子交易客户端-CA驱动和申领流程”进行查阅</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供应商应在开标前完成CA数字证书办理。</w:t>
      </w:r>
    </w:p>
    <w:p w14:paraId="639084B3">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3）投标供应商应当在投标截止时间前，将生成的“电子加密投标文件”上传递交至“乐采云平台（www.lecaiyun.com）”。投标截止时间以后上传递交的投标文件将被“乐采云平台（www.lecaiyun.com）”拒收。</w:t>
      </w:r>
    </w:p>
    <w:p w14:paraId="575EAE99">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供应商在“乐采云平台（www.lecaiyun.com）”完成“电子加密投标文件”的上传递交后，还可以（邮寄形式）在投标截止时间前递交以介质（U盘）存储的数据电文形式的“备份投标文件”，邮寄形式“备份投标文件”应当密封包装并在包装上标注投标项目名称、投标单位名称并加盖公章</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详见采购文件</w:t>
      </w:r>
      <w:r>
        <w:rPr>
          <w:rFonts w:hint="eastAsia" w:ascii="宋体" w:hAnsi="宋体" w:eastAsia="宋体" w:cs="宋体"/>
          <w:color w:val="auto"/>
          <w:sz w:val="22"/>
          <w:szCs w:val="22"/>
          <w:highlight w:val="none"/>
        </w:rPr>
        <w:t>。</w:t>
      </w:r>
    </w:p>
    <w:p w14:paraId="6CB3582F">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通过“乐采云平台（www.lecaiyun.com）”上传递交的“电子加密投标文件”无法按时解密，投标供应商递交了备份投标文件的，以备份投标文件为依据，否则视为投标文件撤回。通过“乐采云平台（www.lecaiyun.com）”上传递交的“电子加密投标文件”已按时解密的，“备份投标文件”自动失效。投标供应商仅递交备份投标文件的，投标无效。</w:t>
      </w:r>
    </w:p>
    <w:p w14:paraId="5F3C6BC0">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质疑投诉：质疑期：公告发布之日起7个工作日内。质疑资格：乐采云平台（www.lecaiyun.com）中本项目通过报名的供应商。对采购文件需求的以书面形式向采购人提出质疑，对其他内容的以书面形式向采购人和采购代理机构提出质疑。供应商在法定质疑期内一次性提出针对同一采购程序环节的质疑。</w:t>
      </w:r>
    </w:p>
    <w:p w14:paraId="106B7085">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7）本项目属国企采购项目，平阳县公共资源交易中心只负责在温州市公共资源交易网平阳县分网上发布公告，提供开标评标场地，不承担采购文件审核和交易过程监管职责。对采购文件或开标评标过程有疑义的，向采购单位或代理机构质疑；对质疑答复、合同履约不满意的，向监管部门投诉。</w:t>
      </w:r>
    </w:p>
    <w:p w14:paraId="254ECBCC">
      <w:pPr>
        <w:pStyle w:val="24"/>
        <w:shd w:val="clear" w:color="auto" w:fill="auto"/>
        <w:kinsoku/>
        <w:wordWrap w:val="0"/>
        <w:overflowPunct/>
        <w:bidi w:val="0"/>
        <w:spacing w:before="0" w:beforeAutospacing="0" w:after="0" w:afterAutospacing="0" w:line="360" w:lineRule="auto"/>
        <w:rPr>
          <w:rFonts w:hint="eastAsia" w:ascii="宋体" w:hAnsi="宋体" w:eastAsia="宋体" w:cs="宋体"/>
          <w:b/>
          <w:color w:val="auto"/>
          <w:sz w:val="22"/>
          <w:szCs w:val="22"/>
          <w:highlight w:val="none"/>
          <w:shd w:val="clear" w:color="auto" w:fill="FFFFFF"/>
          <w:lang w:eastAsia="zh-CN"/>
        </w:rPr>
      </w:pPr>
      <w:r>
        <w:rPr>
          <w:rFonts w:hint="eastAsia" w:ascii="宋体" w:hAnsi="宋体" w:eastAsia="宋体" w:cs="宋体"/>
          <w:b/>
          <w:color w:val="auto"/>
          <w:sz w:val="22"/>
          <w:szCs w:val="22"/>
          <w:highlight w:val="none"/>
          <w:shd w:val="clear" w:color="auto" w:fill="FFFFFF"/>
        </w:rPr>
        <w:t>八、对本次采购提出询问、质疑、投诉，请按以下方式联系</w:t>
      </w:r>
      <w:r>
        <w:rPr>
          <w:rFonts w:hint="eastAsia" w:ascii="宋体" w:hAnsi="宋体" w:eastAsia="宋体" w:cs="宋体"/>
          <w:b/>
          <w:color w:val="auto"/>
          <w:sz w:val="22"/>
          <w:szCs w:val="22"/>
          <w:highlight w:val="none"/>
          <w:shd w:val="clear" w:color="auto" w:fill="FFFFFF"/>
          <w:lang w:eastAsia="zh-CN"/>
        </w:rPr>
        <w:t>：</w:t>
      </w:r>
    </w:p>
    <w:bookmarkEnd w:id="0"/>
    <w:bookmarkEnd w:id="1"/>
    <w:bookmarkEnd w:id="2"/>
    <w:p w14:paraId="15CA97F8">
      <w:pPr>
        <w:widowControl/>
        <w:shd w:val="clear" w:color="auto" w:fill="auto"/>
        <w:kinsoku/>
        <w:wordWrap w:val="0"/>
        <w:overflowPunct/>
        <w:bidi w:val="0"/>
        <w:snapToGrid w:val="0"/>
        <w:spacing w:line="360" w:lineRule="auto"/>
        <w:ind w:firstLine="431" w:firstLineChars="196"/>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1、采购人</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平阳县兴致房地产开发有限公司</w:t>
      </w:r>
    </w:p>
    <w:p w14:paraId="55359EBB">
      <w:pPr>
        <w:widowControl/>
        <w:shd w:val="clear" w:color="auto" w:fill="auto"/>
        <w:kinsoku/>
        <w:wordWrap w:val="0"/>
        <w:overflowPunct/>
        <w:bidi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采购人地址</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eastAsia="zh-CN"/>
        </w:rPr>
        <w:t>平阳县昆阳镇公园路5号</w:t>
      </w:r>
    </w:p>
    <w:p w14:paraId="6BDFF2B5">
      <w:pPr>
        <w:widowControl/>
        <w:shd w:val="clear" w:color="auto" w:fill="auto"/>
        <w:kinsoku/>
        <w:wordWrap w:val="0"/>
        <w:overflowPunct/>
        <w:bidi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联 系 人</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郑女士</w:t>
      </w:r>
    </w:p>
    <w:p w14:paraId="1C4079C5">
      <w:pPr>
        <w:widowControl/>
        <w:shd w:val="clear" w:color="auto" w:fill="auto"/>
        <w:kinsoku/>
        <w:wordWrap w:val="0"/>
        <w:overflowPunct/>
        <w:bidi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联系电话</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eastAsia="zh-CN"/>
        </w:rPr>
        <w:t>0577-63168033</w:t>
      </w:r>
    </w:p>
    <w:p w14:paraId="3DD358C0">
      <w:pPr>
        <w:widowControl/>
        <w:numPr>
          <w:ilvl w:val="0"/>
          <w:numId w:val="1"/>
        </w:numPr>
        <w:shd w:val="clear" w:color="auto" w:fill="auto"/>
        <w:kinsoku/>
        <w:wordWrap w:val="0"/>
        <w:overflowPunct/>
        <w:bidi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采购代理机构名称</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eastAsia="zh-CN"/>
        </w:rPr>
        <w:t>浙江德亿项目管理咨询有限公司</w:t>
      </w:r>
    </w:p>
    <w:p w14:paraId="14175516">
      <w:pPr>
        <w:widowControl/>
        <w:numPr>
          <w:ilvl w:val="0"/>
          <w:numId w:val="0"/>
        </w:numPr>
        <w:shd w:val="clear" w:color="auto" w:fill="auto"/>
        <w:kinsoku/>
        <w:wordWrap w:val="0"/>
        <w:overflowPunct/>
        <w:bidi w:val="0"/>
        <w:snapToGrid w:val="0"/>
        <w:spacing w:line="360" w:lineRule="auto"/>
        <w:ind w:firstLine="440" w:firstLineChars="20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val="en-US" w:eastAsia="zh-CN"/>
        </w:rPr>
        <w:t>地址</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平阳县昆阳镇人民路388-1号</w:t>
      </w:r>
    </w:p>
    <w:p w14:paraId="033FDB38">
      <w:pPr>
        <w:widowControl/>
        <w:shd w:val="clear" w:color="auto" w:fill="auto"/>
        <w:kinsoku/>
        <w:wordWrap w:val="0"/>
        <w:overflowPunct/>
        <w:bidi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联系人</w:t>
      </w:r>
      <w:bookmarkStart w:id="3" w:name="B38_联系人"/>
      <w:bookmarkEnd w:id="3"/>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eastAsia="zh-CN"/>
        </w:rPr>
        <w:t>陈先生</w:t>
      </w:r>
    </w:p>
    <w:p w14:paraId="07576F82">
      <w:pPr>
        <w:widowControl/>
        <w:shd w:val="clear" w:color="auto" w:fill="auto"/>
        <w:kinsoku/>
        <w:wordWrap w:val="0"/>
        <w:overflowPunct/>
        <w:bidi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联系电话</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eastAsia="zh-CN"/>
        </w:rPr>
        <w:t>0577-63766166、18969775893</w:t>
      </w:r>
    </w:p>
    <w:p w14:paraId="3AAB521A">
      <w:pPr>
        <w:widowControl/>
        <w:shd w:val="clear" w:color="auto" w:fill="auto"/>
        <w:kinsoku/>
        <w:wordWrap w:val="0"/>
        <w:overflowPunct/>
        <w:bidi w:val="0"/>
        <w:snapToGrid w:val="0"/>
        <w:spacing w:line="360" w:lineRule="auto"/>
        <w:ind w:left="430" w:leftChars="205"/>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3、同级采购监督管理部门名称：平阳县兴阳控股集团有限公司纪检监察室</w:t>
      </w:r>
    </w:p>
    <w:p w14:paraId="758EA8E8">
      <w:pPr>
        <w:widowControl/>
        <w:shd w:val="clear" w:color="auto" w:fill="auto"/>
        <w:kinsoku/>
        <w:wordWrap w:val="0"/>
        <w:overflowPunct/>
        <w:bidi w:val="0"/>
        <w:snapToGrid w:val="0"/>
        <w:spacing w:line="360" w:lineRule="auto"/>
        <w:ind w:left="430" w:leftChars="205"/>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联系人：</w:t>
      </w:r>
      <w:r>
        <w:rPr>
          <w:rFonts w:hint="eastAsia" w:ascii="宋体" w:hAnsi="宋体" w:cs="宋体"/>
          <w:color w:val="auto"/>
          <w:kern w:val="0"/>
          <w:sz w:val="22"/>
          <w:szCs w:val="22"/>
          <w:highlight w:val="none"/>
          <w:lang w:val="en-US" w:eastAsia="zh-CN"/>
        </w:rPr>
        <w:t>张</w:t>
      </w:r>
      <w:r>
        <w:rPr>
          <w:rFonts w:hint="eastAsia" w:ascii="宋体" w:hAnsi="宋体" w:eastAsia="宋体" w:cs="宋体"/>
          <w:color w:val="auto"/>
          <w:kern w:val="0"/>
          <w:sz w:val="22"/>
          <w:szCs w:val="22"/>
          <w:highlight w:val="none"/>
        </w:rPr>
        <w:t>先生</w:t>
      </w:r>
    </w:p>
    <w:p w14:paraId="0080A9F0">
      <w:pPr>
        <w:widowControl/>
        <w:shd w:val="clear" w:color="auto" w:fill="auto"/>
        <w:kinsoku/>
        <w:wordWrap w:val="0"/>
        <w:overflowPunct/>
        <w:bidi w:val="0"/>
        <w:snapToGrid w:val="0"/>
        <w:spacing w:line="360" w:lineRule="auto"/>
        <w:ind w:left="430" w:leftChars="205"/>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监督投诉电话：0577-63168022</w:t>
      </w:r>
    </w:p>
    <w:p w14:paraId="755B7BBE">
      <w:pPr>
        <w:widowControl/>
        <w:shd w:val="clear" w:color="auto" w:fill="auto"/>
        <w:kinsoku/>
        <w:wordWrap w:val="0"/>
        <w:overflowPunct/>
        <w:bidi w:val="0"/>
        <w:snapToGrid w:val="0"/>
        <w:spacing w:line="360" w:lineRule="auto"/>
        <w:ind w:left="430" w:leftChars="205"/>
        <w:jc w:val="left"/>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地 址：</w:t>
      </w:r>
      <w:r>
        <w:rPr>
          <w:rFonts w:hint="eastAsia" w:ascii="宋体" w:hAnsi="宋体" w:cs="宋体"/>
          <w:color w:val="auto"/>
          <w:kern w:val="0"/>
          <w:sz w:val="22"/>
          <w:szCs w:val="22"/>
          <w:highlight w:val="none"/>
          <w:lang w:val="en-US" w:eastAsia="zh-CN"/>
        </w:rPr>
        <w:t>平阳县昆阳镇公园路5号</w:t>
      </w:r>
    </w:p>
    <w:p w14:paraId="5D78D46E">
      <w:pPr>
        <w:keepNext w:val="0"/>
        <w:keepLines w:val="0"/>
        <w:pageBreakBefore w:val="0"/>
        <w:widowControl/>
        <w:shd w:val="clear" w:color="auto" w:fill="auto"/>
        <w:kinsoku/>
        <w:wordWrap w:val="0"/>
        <w:overflowPunct/>
        <w:topLinePunct w:val="0"/>
        <w:autoSpaceDE/>
        <w:autoSpaceDN/>
        <w:bidi w:val="0"/>
        <w:snapToGrid w:val="0"/>
        <w:spacing w:line="360" w:lineRule="auto"/>
        <w:ind w:left="430" w:leftChars="205"/>
        <w:jc w:val="center"/>
        <w:textAlignment w:val="auto"/>
        <w:rPr>
          <w:rFonts w:hint="eastAsia" w:ascii="宋体" w:hAnsi="宋体" w:eastAsia="宋体" w:cs="宋体"/>
          <w:b/>
          <w:bCs/>
          <w:color w:val="auto"/>
          <w:sz w:val="36"/>
          <w:szCs w:val="36"/>
          <w:highlight w:val="none"/>
        </w:rPr>
      </w:pPr>
      <w:r>
        <w:rPr>
          <w:rFonts w:hint="eastAsia" w:ascii="宋体" w:hAnsi="宋体" w:eastAsia="宋体" w:cs="宋体"/>
          <w:color w:val="auto"/>
          <w:kern w:val="0"/>
          <w:sz w:val="22"/>
          <w:szCs w:val="22"/>
          <w:highlight w:val="none"/>
        </w:rPr>
        <w:br w:type="page"/>
      </w:r>
      <w:r>
        <w:rPr>
          <w:rFonts w:hint="eastAsia" w:ascii="宋体" w:hAnsi="宋体" w:eastAsia="宋体" w:cs="宋体"/>
          <w:b/>
          <w:bCs/>
          <w:color w:val="auto"/>
          <w:sz w:val="36"/>
          <w:szCs w:val="36"/>
          <w:highlight w:val="none"/>
        </w:rPr>
        <w:t xml:space="preserve">投 标 通 知 </w:t>
      </w:r>
      <w:r>
        <w:rPr>
          <w:rFonts w:hint="eastAsia" w:ascii="宋体" w:hAnsi="宋体" w:eastAsia="宋体" w:cs="宋体"/>
          <w:b/>
          <w:bCs/>
          <w:color w:val="auto"/>
          <w:sz w:val="36"/>
          <w:szCs w:val="36"/>
          <w:highlight w:val="none"/>
          <w:lang w:eastAsia="zh-CN"/>
        </w:rPr>
        <w:t>（</w:t>
      </w:r>
      <w:r>
        <w:rPr>
          <w:rFonts w:hint="eastAsia" w:ascii="宋体" w:hAnsi="宋体" w:eastAsia="宋体" w:cs="宋体"/>
          <w:b/>
          <w:bCs/>
          <w:color w:val="auto"/>
          <w:sz w:val="36"/>
          <w:szCs w:val="36"/>
          <w:highlight w:val="none"/>
        </w:rPr>
        <w:t>邀 请</w:t>
      </w:r>
      <w:r>
        <w:rPr>
          <w:rFonts w:hint="eastAsia" w:ascii="宋体" w:hAnsi="宋体" w:eastAsia="宋体" w:cs="宋体"/>
          <w:b/>
          <w:bCs/>
          <w:color w:val="auto"/>
          <w:sz w:val="36"/>
          <w:szCs w:val="36"/>
          <w:highlight w:val="none"/>
          <w:lang w:eastAsia="zh-CN"/>
        </w:rPr>
        <w:t>）</w:t>
      </w:r>
      <w:r>
        <w:rPr>
          <w:rFonts w:hint="eastAsia" w:ascii="宋体" w:hAnsi="宋体" w:eastAsia="宋体" w:cs="宋体"/>
          <w:b/>
          <w:bCs/>
          <w:color w:val="auto"/>
          <w:sz w:val="36"/>
          <w:szCs w:val="36"/>
          <w:highlight w:val="none"/>
        </w:rPr>
        <w:t xml:space="preserve"> 书</w:t>
      </w:r>
    </w:p>
    <w:p w14:paraId="7D4A9B59">
      <w:pPr>
        <w:keepNext w:val="0"/>
        <w:keepLines w:val="0"/>
        <w:pageBreakBefore w:val="0"/>
        <w:shd w:val="clear" w:color="auto" w:fill="auto"/>
        <w:kinsoku/>
        <w:wordWrap w:val="0"/>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eastAsia="zh-CN"/>
        </w:rPr>
        <w:t>浙江德亿项目管理咨询有限公司</w:t>
      </w:r>
      <w:r>
        <w:rPr>
          <w:rFonts w:hint="eastAsia" w:ascii="宋体" w:hAnsi="宋体" w:eastAsia="宋体" w:cs="宋体"/>
          <w:color w:val="auto"/>
          <w:kern w:val="0"/>
          <w:sz w:val="22"/>
          <w:szCs w:val="22"/>
          <w:highlight w:val="none"/>
        </w:rPr>
        <w:t>对</w:t>
      </w:r>
      <w:r>
        <w:rPr>
          <w:rFonts w:hint="eastAsia" w:ascii="宋体" w:hAnsi="宋体" w:cs="宋体"/>
          <w:color w:val="auto"/>
          <w:sz w:val="22"/>
          <w:szCs w:val="22"/>
          <w:highlight w:val="none"/>
          <w:shd w:val="clear" w:color="auto" w:fill="FFFFFF"/>
          <w:lang w:eastAsia="zh-CN"/>
        </w:rPr>
        <w:t>平阳县万全镇中心区B12地块项目代建（含初步设计及品牌冠名）服务采购</w:t>
      </w:r>
      <w:r>
        <w:rPr>
          <w:rFonts w:hint="eastAsia" w:ascii="宋体" w:hAnsi="宋体" w:eastAsia="宋体" w:cs="宋体"/>
          <w:color w:val="auto"/>
          <w:kern w:val="0"/>
          <w:sz w:val="22"/>
          <w:szCs w:val="22"/>
          <w:highlight w:val="none"/>
        </w:rPr>
        <w:t>进行公开招标，特通知贵公司（企业）前来投标。并请按采购文件的要求认真准备好投标文件，按时前来投标。</w:t>
      </w:r>
    </w:p>
    <w:tbl>
      <w:tblPr>
        <w:tblStyle w:val="26"/>
        <w:tblW w:w="992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842"/>
        <w:gridCol w:w="1553"/>
        <w:gridCol w:w="7533"/>
      </w:tblGrid>
      <w:tr w14:paraId="1F0B62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4158EE07">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1553" w:type="dxa"/>
            <w:noWrap w:val="0"/>
            <w:vAlign w:val="center"/>
          </w:tcPr>
          <w:p w14:paraId="62414D4F">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内容</w:t>
            </w:r>
          </w:p>
        </w:tc>
        <w:tc>
          <w:tcPr>
            <w:tcW w:w="7533" w:type="dxa"/>
            <w:noWrap w:val="0"/>
            <w:vAlign w:val="center"/>
          </w:tcPr>
          <w:p w14:paraId="3156D211">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说明与要求</w:t>
            </w:r>
          </w:p>
        </w:tc>
      </w:tr>
      <w:tr w14:paraId="23709A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1D59CFA4">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3F7E429D">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7533" w:type="dxa"/>
            <w:noWrap w:val="0"/>
            <w:vAlign w:val="center"/>
          </w:tcPr>
          <w:p w14:paraId="27637535">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shd w:val="clear" w:color="auto" w:fill="FFFFFF"/>
                <w:lang w:eastAsia="zh-CN"/>
              </w:rPr>
              <w:t>平阳县万全镇中心区B12地块项目代建（含初步设计及品牌冠名）服务采购</w:t>
            </w:r>
          </w:p>
        </w:tc>
      </w:tr>
      <w:tr w14:paraId="043950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6483A497">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364BDBD1">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项目编号</w:t>
            </w:r>
          </w:p>
        </w:tc>
        <w:tc>
          <w:tcPr>
            <w:tcW w:w="7533" w:type="dxa"/>
            <w:noWrap w:val="0"/>
            <w:vAlign w:val="center"/>
          </w:tcPr>
          <w:p w14:paraId="63CBC427">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shd w:val="clear" w:color="auto" w:fill="FFFFFF"/>
                <w:lang w:eastAsia="zh-CN"/>
              </w:rPr>
              <w:t>PYCG250930104</w:t>
            </w:r>
          </w:p>
        </w:tc>
      </w:tr>
      <w:tr w14:paraId="0B9D4E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7D93D778">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6A803159">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资金来源</w:t>
            </w:r>
          </w:p>
        </w:tc>
        <w:tc>
          <w:tcPr>
            <w:tcW w:w="7533" w:type="dxa"/>
            <w:noWrap w:val="0"/>
            <w:vAlign w:val="center"/>
          </w:tcPr>
          <w:p w14:paraId="5040B70E">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自筹</w:t>
            </w:r>
          </w:p>
        </w:tc>
      </w:tr>
      <w:tr w14:paraId="01FBB4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4C351D13">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10C419EF">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采购预算</w:t>
            </w:r>
          </w:p>
          <w:p w14:paraId="268C2479">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（最高限价）</w:t>
            </w:r>
          </w:p>
        </w:tc>
        <w:tc>
          <w:tcPr>
            <w:tcW w:w="7533" w:type="dxa"/>
            <w:noWrap w:val="0"/>
            <w:vAlign w:val="center"/>
          </w:tcPr>
          <w:p w14:paraId="2765D56A">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具体见</w:t>
            </w:r>
            <w:r>
              <w:rPr>
                <w:rFonts w:hint="eastAsia" w:ascii="宋体" w:hAnsi="宋体" w:eastAsia="宋体" w:cs="宋体"/>
                <w:color w:val="auto"/>
                <w:sz w:val="22"/>
                <w:szCs w:val="22"/>
                <w:highlight w:val="none"/>
                <w:lang w:eastAsia="zh-CN"/>
              </w:rPr>
              <w:t>采购公告</w:t>
            </w:r>
          </w:p>
        </w:tc>
      </w:tr>
      <w:tr w14:paraId="0ACDBB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23EEF38D">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4ECD0D2A">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采购方式</w:t>
            </w:r>
          </w:p>
        </w:tc>
        <w:tc>
          <w:tcPr>
            <w:tcW w:w="7533" w:type="dxa"/>
            <w:noWrap w:val="0"/>
            <w:vAlign w:val="center"/>
          </w:tcPr>
          <w:p w14:paraId="228A390F">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公开招标</w:t>
            </w:r>
          </w:p>
        </w:tc>
      </w:tr>
      <w:tr w14:paraId="6C9401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642F8ADD">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6D198BFB">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w:t>
            </w:r>
          </w:p>
        </w:tc>
        <w:tc>
          <w:tcPr>
            <w:tcW w:w="7533" w:type="dxa"/>
            <w:noWrap w:val="0"/>
            <w:vAlign w:val="center"/>
          </w:tcPr>
          <w:p w14:paraId="0B4794A9">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采购人</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val="en-US" w:eastAsia="zh-CN"/>
              </w:rPr>
              <w:t>平阳县兴致房地产开发有限公司</w:t>
            </w:r>
          </w:p>
          <w:p w14:paraId="2F7EB7F4">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采购人地址</w:t>
            </w:r>
            <w:r>
              <w:rPr>
                <w:rFonts w:hint="eastAsia" w:ascii="宋体" w:hAnsi="宋体" w:eastAsia="宋体" w:cs="宋体"/>
                <w:color w:val="auto"/>
                <w:sz w:val="22"/>
                <w:szCs w:val="22"/>
                <w:highlight w:val="none"/>
                <w:lang w:eastAsia="zh-CN"/>
              </w:rPr>
              <w:t>：平阳县昆阳镇公园路5号</w:t>
            </w:r>
          </w:p>
          <w:p w14:paraId="48523417">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 系 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郑女士</w:t>
            </w:r>
          </w:p>
          <w:p w14:paraId="257A42F5">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联系电话</w:t>
            </w:r>
            <w:r>
              <w:rPr>
                <w:rFonts w:hint="eastAsia" w:ascii="宋体" w:hAnsi="宋体" w:eastAsia="宋体" w:cs="宋体"/>
                <w:color w:val="auto"/>
                <w:sz w:val="22"/>
                <w:szCs w:val="22"/>
                <w:highlight w:val="none"/>
                <w:lang w:eastAsia="zh-CN"/>
              </w:rPr>
              <w:t>：0577-63168033</w:t>
            </w:r>
          </w:p>
        </w:tc>
      </w:tr>
      <w:tr w14:paraId="101A19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0221AA6A">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7D28DC76">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采购代理机构</w:t>
            </w:r>
          </w:p>
        </w:tc>
        <w:tc>
          <w:tcPr>
            <w:tcW w:w="7533" w:type="dxa"/>
            <w:noWrap w:val="0"/>
            <w:vAlign w:val="center"/>
          </w:tcPr>
          <w:p w14:paraId="4E5EE492">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代理机构名称</w:t>
            </w:r>
            <w:r>
              <w:rPr>
                <w:rFonts w:hint="eastAsia" w:ascii="宋体" w:hAnsi="宋体" w:eastAsia="宋体" w:cs="宋体"/>
                <w:color w:val="auto"/>
                <w:sz w:val="22"/>
                <w:szCs w:val="22"/>
                <w:highlight w:val="none"/>
                <w:lang w:eastAsia="zh-CN"/>
              </w:rPr>
              <w:t>：浙江德亿项目管理咨询有限公司</w:t>
            </w:r>
          </w:p>
          <w:p w14:paraId="403B6A01">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机构地址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kern w:val="0"/>
                <w:sz w:val="22"/>
                <w:szCs w:val="22"/>
                <w:highlight w:val="none"/>
                <w:lang w:val="en-US" w:eastAsia="zh-CN"/>
              </w:rPr>
              <w:t>平阳县昆阳镇人民路388-1号</w:t>
            </w:r>
          </w:p>
          <w:p w14:paraId="61EF22C8">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 系 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kern w:val="0"/>
                <w:sz w:val="22"/>
                <w:szCs w:val="22"/>
                <w:highlight w:val="none"/>
                <w:lang w:eastAsia="zh-CN"/>
              </w:rPr>
              <w:t>陈先生</w:t>
            </w:r>
          </w:p>
          <w:p w14:paraId="42DC0F9A">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联系电话</w:t>
            </w:r>
            <w:r>
              <w:rPr>
                <w:rFonts w:hint="eastAsia" w:ascii="宋体" w:hAnsi="宋体" w:eastAsia="宋体" w:cs="宋体"/>
                <w:color w:val="auto"/>
                <w:sz w:val="22"/>
                <w:szCs w:val="22"/>
                <w:highlight w:val="none"/>
                <w:lang w:eastAsia="zh-CN"/>
              </w:rPr>
              <w:t>：0577-63766166、18969775893</w:t>
            </w:r>
          </w:p>
        </w:tc>
      </w:tr>
      <w:tr w14:paraId="408AA6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0C41BF1C">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730B4386">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评标办法</w:t>
            </w:r>
          </w:p>
        </w:tc>
        <w:tc>
          <w:tcPr>
            <w:tcW w:w="7533" w:type="dxa"/>
            <w:noWrap w:val="0"/>
            <w:vAlign w:val="center"/>
          </w:tcPr>
          <w:p w14:paraId="516E6D26">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综合评分法</w:t>
            </w:r>
          </w:p>
        </w:tc>
      </w:tr>
      <w:tr w14:paraId="10754D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16B1284A">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32247B0B">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招标内容</w:t>
            </w:r>
          </w:p>
        </w:tc>
        <w:tc>
          <w:tcPr>
            <w:tcW w:w="7533" w:type="dxa"/>
            <w:noWrap w:val="0"/>
            <w:vAlign w:val="center"/>
          </w:tcPr>
          <w:p w14:paraId="01014342">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具体内容见采购文件</w:t>
            </w:r>
          </w:p>
        </w:tc>
      </w:tr>
      <w:tr w14:paraId="7AB7B4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34CB55DD">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0F404159">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投标供应商</w:t>
            </w:r>
          </w:p>
          <w:p w14:paraId="35E2E2B5">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资格要求</w:t>
            </w:r>
          </w:p>
        </w:tc>
        <w:tc>
          <w:tcPr>
            <w:tcW w:w="7533" w:type="dxa"/>
            <w:noWrap w:val="0"/>
            <w:vAlign w:val="center"/>
          </w:tcPr>
          <w:p w14:paraId="59500B80">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详见</w:t>
            </w:r>
            <w:r>
              <w:rPr>
                <w:rFonts w:hint="eastAsia" w:ascii="宋体" w:hAnsi="宋体" w:eastAsia="宋体" w:cs="宋体"/>
                <w:color w:val="auto"/>
                <w:sz w:val="22"/>
                <w:szCs w:val="22"/>
                <w:highlight w:val="none"/>
                <w:lang w:eastAsia="zh-CN"/>
              </w:rPr>
              <w:t>采购公告</w:t>
            </w:r>
          </w:p>
        </w:tc>
      </w:tr>
      <w:tr w14:paraId="7D9CB9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702CFCBE">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086E7A83">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是否接受联合体投标</w:t>
            </w:r>
          </w:p>
        </w:tc>
        <w:tc>
          <w:tcPr>
            <w:tcW w:w="7533" w:type="dxa"/>
            <w:noWrap w:val="0"/>
            <w:vAlign w:val="center"/>
          </w:tcPr>
          <w:p w14:paraId="36B1F6B1">
            <w:pPr>
              <w:keepNext w:val="0"/>
              <w:keepLines w:val="0"/>
              <w:suppressLineNumbers w:val="0"/>
              <w:shd w:val="clear" w:color="auto" w:fill="auto"/>
              <w:kinsoku/>
              <w:wordWrap w:val="0"/>
              <w:overflowPunct/>
              <w:bidi w:val="0"/>
              <w:spacing w:before="0" w:beforeAutospacing="0" w:after="0" w:afterAutospacing="0" w:line="240" w:lineRule="auto"/>
              <w:ind w:left="0" w:right="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接受</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详见采购公告</w:t>
            </w:r>
            <w:r>
              <w:rPr>
                <w:rFonts w:hint="eastAsia" w:ascii="宋体" w:hAnsi="宋体" w:eastAsia="宋体" w:cs="宋体"/>
                <w:color w:val="auto"/>
                <w:sz w:val="22"/>
                <w:szCs w:val="22"/>
                <w:highlight w:val="none"/>
                <w:lang w:eastAsia="zh-CN"/>
              </w:rPr>
              <w:t>。</w:t>
            </w:r>
          </w:p>
        </w:tc>
      </w:tr>
      <w:tr w14:paraId="18F2E8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460764EF">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34AAC946">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踏勘现场</w:t>
            </w:r>
          </w:p>
        </w:tc>
        <w:tc>
          <w:tcPr>
            <w:tcW w:w="7533" w:type="dxa"/>
            <w:noWrap w:val="0"/>
            <w:vAlign w:val="center"/>
          </w:tcPr>
          <w:p w14:paraId="29F10A1C">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不组织</w:t>
            </w:r>
          </w:p>
        </w:tc>
      </w:tr>
      <w:tr w14:paraId="00167F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64BAFFCD">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18F56C01">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是否允许递交备选投标方案</w:t>
            </w:r>
          </w:p>
        </w:tc>
        <w:tc>
          <w:tcPr>
            <w:tcW w:w="7533" w:type="dxa"/>
            <w:noWrap w:val="0"/>
            <w:vAlign w:val="center"/>
          </w:tcPr>
          <w:p w14:paraId="4545EC92">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不允许</w:t>
            </w:r>
          </w:p>
        </w:tc>
      </w:tr>
      <w:tr w14:paraId="69B29E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3976E3A1">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103A314A">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投标货币</w:t>
            </w:r>
          </w:p>
        </w:tc>
        <w:tc>
          <w:tcPr>
            <w:tcW w:w="7533" w:type="dxa"/>
            <w:noWrap w:val="0"/>
            <w:vAlign w:val="center"/>
          </w:tcPr>
          <w:p w14:paraId="138FEA05">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w:t>
            </w:r>
          </w:p>
        </w:tc>
      </w:tr>
      <w:tr w14:paraId="493F55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41A8A51E">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5A9AB90F">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投标语言</w:t>
            </w:r>
          </w:p>
        </w:tc>
        <w:tc>
          <w:tcPr>
            <w:tcW w:w="7533" w:type="dxa"/>
            <w:noWrap w:val="0"/>
            <w:vAlign w:val="center"/>
          </w:tcPr>
          <w:p w14:paraId="211CB2A0">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中文</w:t>
            </w:r>
          </w:p>
        </w:tc>
      </w:tr>
      <w:tr w14:paraId="4FBA32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0CE23139">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144043E1">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投标文件的组成</w:t>
            </w:r>
          </w:p>
        </w:tc>
        <w:tc>
          <w:tcPr>
            <w:tcW w:w="7533" w:type="dxa"/>
            <w:noWrap w:val="0"/>
            <w:vAlign w:val="center"/>
          </w:tcPr>
          <w:p w14:paraId="27344FB2">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完整的《投标文件》由“资格文件”、“报价文件”和“商务技术文件”三个部分组成。</w:t>
            </w:r>
          </w:p>
        </w:tc>
      </w:tr>
      <w:tr w14:paraId="2BAC37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4C59590E">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1DDC719F">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投标文件的编制</w:t>
            </w:r>
          </w:p>
        </w:tc>
        <w:tc>
          <w:tcPr>
            <w:tcW w:w="7533" w:type="dxa"/>
            <w:noWrap w:val="0"/>
            <w:vAlign w:val="center"/>
          </w:tcPr>
          <w:p w14:paraId="5CBA1DCA">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1.供应商应先安装“</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”，并按照本采购文件和“</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”的要求，通过“</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”编制并加密投标文件。</w:t>
            </w:r>
          </w:p>
        </w:tc>
      </w:tr>
      <w:tr w14:paraId="4BCDA9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2E41442F">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660DF5D3">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签字或盖章要求</w:t>
            </w:r>
          </w:p>
        </w:tc>
        <w:tc>
          <w:tcPr>
            <w:tcW w:w="7533" w:type="dxa"/>
            <w:noWrap w:val="0"/>
            <w:vAlign w:val="center"/>
          </w:tcPr>
          <w:p w14:paraId="1EB1E0F7">
            <w:pPr>
              <w:keepNext w:val="0"/>
              <w:keepLines w:val="0"/>
              <w:suppressLineNumbers w:val="0"/>
              <w:shd w:val="clear" w:color="auto" w:fill="auto"/>
              <w:kinsoku/>
              <w:wordWrap w:val="0"/>
              <w:overflowPunct/>
              <w:bidi w:val="0"/>
              <w:snapToGri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lang w:bidi="ar"/>
              </w:rPr>
              <w:t>电子签章。</w:t>
            </w:r>
            <w:r>
              <w:rPr>
                <w:rFonts w:hint="eastAsia" w:ascii="宋体" w:hAnsi="宋体" w:eastAsia="宋体" w:cs="宋体"/>
                <w:color w:val="auto"/>
                <w:sz w:val="22"/>
                <w:szCs w:val="22"/>
                <w:highlight w:val="none"/>
              </w:rPr>
              <w:t>采购文件所指的加盖单位公章为电子签章。</w:t>
            </w:r>
          </w:p>
          <w:p w14:paraId="2096016E">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投标文件须按采购文件格式要求，由供应商加盖单位公章和法定代表人或其授权代表印章（或签字）。</w:t>
            </w:r>
          </w:p>
        </w:tc>
      </w:tr>
      <w:tr w14:paraId="75D216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44F37D43">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7CED4FD3">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投标文件的形式</w:t>
            </w:r>
          </w:p>
        </w:tc>
        <w:tc>
          <w:tcPr>
            <w:tcW w:w="7533" w:type="dxa"/>
            <w:noWrap w:val="0"/>
            <w:vAlign w:val="center"/>
          </w:tcPr>
          <w:p w14:paraId="172B1532">
            <w:pPr>
              <w:keepNext w:val="0"/>
              <w:keepLines w:val="0"/>
              <w:suppressLineNumbers w:val="0"/>
              <w:shd w:val="clear" w:color="auto" w:fill="auto"/>
              <w:kinsoku/>
              <w:wordWrap w:val="0"/>
              <w:overflowPunct/>
              <w:bidi w:val="0"/>
              <w:snapToGri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电子投标文件（包括“电子加密投标文件”和“备份投标文件”，在投标文件编制完成后同时生成）；</w:t>
            </w:r>
          </w:p>
          <w:p w14:paraId="3B21A8AB">
            <w:pPr>
              <w:keepNext w:val="0"/>
              <w:keepLines w:val="0"/>
              <w:suppressLineNumbers w:val="0"/>
              <w:shd w:val="clear" w:color="auto" w:fill="auto"/>
              <w:kinsoku/>
              <w:wordWrap w:val="0"/>
              <w:overflowPunct/>
              <w:bidi w:val="0"/>
              <w:snapToGri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（1）“电子加密投标文件”是指通过“</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”完成投标文件编制后生成并加密的数据电文形式的投标文件。</w:t>
            </w:r>
          </w:p>
          <w:p w14:paraId="0D630D56">
            <w:pPr>
              <w:keepNext w:val="0"/>
              <w:keepLines w:val="0"/>
              <w:suppressLineNumbers w:val="0"/>
              <w:shd w:val="clear" w:color="auto" w:fill="auto"/>
              <w:kinsoku/>
              <w:wordWrap w:val="0"/>
              <w:overflowPunct/>
              <w:bidi w:val="0"/>
              <w:snapToGri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（2）“备份投标文件”是指与“电子加密投标文件”同时生成的数据电文形式的电子文件（备份标书），</w:t>
            </w:r>
            <w:r>
              <w:rPr>
                <w:rFonts w:hint="eastAsia" w:ascii="宋体" w:hAnsi="宋体" w:eastAsia="宋体" w:cs="宋体"/>
                <w:b/>
                <w:bCs/>
                <w:color w:val="auto"/>
                <w:sz w:val="22"/>
                <w:szCs w:val="22"/>
                <w:highlight w:val="none"/>
              </w:rPr>
              <w:t>其他方式编制的备份投标文件视为无效备份投标文件。</w:t>
            </w:r>
          </w:p>
        </w:tc>
      </w:tr>
      <w:tr w14:paraId="589A48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114D5A66">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24DE6050">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投标文件份数</w:t>
            </w:r>
          </w:p>
        </w:tc>
        <w:tc>
          <w:tcPr>
            <w:tcW w:w="7533" w:type="dxa"/>
            <w:noWrap w:val="0"/>
            <w:vAlign w:val="center"/>
          </w:tcPr>
          <w:p w14:paraId="2597095C">
            <w:pPr>
              <w:pStyle w:val="21"/>
              <w:keepNext w:val="0"/>
              <w:keepLines w:val="0"/>
              <w:suppressLineNumbers w:val="0"/>
              <w:shd w:val="clear" w:color="auto" w:fill="auto"/>
              <w:tabs>
                <w:tab w:val="right" w:leader="dot" w:pos="9118"/>
              </w:tabs>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（1）“电子加密投标文件”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在线上传递交、一份。（2）“备份投标文件”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密封包装后（邮寄形式投标截止时间前递交、一份（邮寄地址</w:t>
            </w:r>
            <w:r>
              <w:rPr>
                <w:rFonts w:hint="eastAsia" w:ascii="宋体" w:hAnsi="宋体" w:eastAsia="宋体" w:cs="宋体"/>
                <w:color w:val="auto"/>
                <w:sz w:val="22"/>
                <w:szCs w:val="22"/>
                <w:highlight w:val="none"/>
                <w:lang w:eastAsia="zh-CN"/>
              </w:rPr>
              <w:t>：平阳县昆阳镇人民路388-1号</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eastAsia="zh-CN"/>
              </w:rPr>
              <w:t>陈先生</w:t>
            </w:r>
            <w:r>
              <w:rPr>
                <w:rFonts w:hint="eastAsia" w:ascii="宋体" w:hAnsi="宋体" w:eastAsia="宋体" w:cs="宋体"/>
                <w:color w:val="auto"/>
                <w:sz w:val="22"/>
                <w:szCs w:val="22"/>
                <w:highlight w:val="none"/>
              </w:rPr>
              <w:t xml:space="preserve">收 </w:t>
            </w:r>
            <w:r>
              <w:rPr>
                <w:rFonts w:hint="eastAsia" w:ascii="宋体" w:hAnsi="宋体" w:eastAsia="宋体" w:cs="宋体"/>
                <w:color w:val="auto"/>
                <w:sz w:val="22"/>
                <w:szCs w:val="22"/>
                <w:highlight w:val="none"/>
                <w:lang w:eastAsia="zh-CN"/>
              </w:rPr>
              <w:t>0577-63766166、18969775893</w:t>
            </w:r>
            <w:r>
              <w:rPr>
                <w:rFonts w:hint="eastAsia" w:ascii="宋体" w:hAnsi="宋体" w:eastAsia="宋体" w:cs="宋体"/>
                <w:color w:val="auto"/>
                <w:sz w:val="22"/>
                <w:szCs w:val="22"/>
                <w:highlight w:val="none"/>
              </w:rPr>
              <w:t>））或者发至邮箱</w:t>
            </w:r>
            <w:r>
              <w:rPr>
                <w:rFonts w:hint="eastAsia" w:ascii="宋体" w:hAnsi="宋体" w:eastAsia="宋体" w:cs="宋体"/>
                <w:color w:val="auto"/>
                <w:sz w:val="22"/>
                <w:szCs w:val="22"/>
                <w:highlight w:val="none"/>
                <w:lang w:eastAsia="zh-CN"/>
              </w:rPr>
              <w:t>1150016428@qq.com（</w:t>
            </w:r>
            <w:r>
              <w:rPr>
                <w:rFonts w:hint="eastAsia" w:ascii="宋体" w:hAnsi="宋体" w:eastAsia="宋体" w:cs="宋体"/>
                <w:color w:val="auto"/>
                <w:sz w:val="22"/>
                <w:szCs w:val="22"/>
                <w:highlight w:val="none"/>
                <w:lang w:val="en-US" w:eastAsia="zh-CN"/>
              </w:rPr>
              <w:t>压缩包打包加密，密码由供应商自行保管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p>
        </w:tc>
      </w:tr>
      <w:tr w14:paraId="34CE6C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4B56E1D3">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7710B171">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投标文件的上传和递交</w:t>
            </w:r>
          </w:p>
        </w:tc>
        <w:tc>
          <w:tcPr>
            <w:tcW w:w="7533" w:type="dxa"/>
            <w:noWrap w:val="0"/>
            <w:vAlign w:val="center"/>
          </w:tcPr>
          <w:p w14:paraId="60ACE22E">
            <w:pPr>
              <w:pStyle w:val="21"/>
              <w:keepNext w:val="0"/>
              <w:keepLines w:val="0"/>
              <w:suppressLineNumbers w:val="0"/>
              <w:shd w:val="clear" w:color="auto" w:fill="auto"/>
              <w:tabs>
                <w:tab w:val="right" w:leader="dot" w:pos="9118"/>
              </w:tabs>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（1）“电子加密投标文件”的上传、递交</w:t>
            </w:r>
            <w:r>
              <w:rPr>
                <w:rFonts w:hint="eastAsia" w:ascii="宋体" w:hAnsi="宋体" w:eastAsia="宋体" w:cs="宋体"/>
                <w:color w:val="auto"/>
                <w:sz w:val="22"/>
                <w:szCs w:val="22"/>
                <w:highlight w:val="none"/>
                <w:lang w:eastAsia="zh-CN"/>
              </w:rPr>
              <w:t>：</w:t>
            </w:r>
          </w:p>
          <w:p w14:paraId="2DFDF8B6">
            <w:pPr>
              <w:pStyle w:val="21"/>
              <w:keepNext w:val="0"/>
              <w:keepLines w:val="0"/>
              <w:suppressLineNumbers w:val="0"/>
              <w:shd w:val="clear" w:color="auto" w:fill="auto"/>
              <w:tabs>
                <w:tab w:val="right" w:leader="dot" w:pos="9118"/>
              </w:tabs>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a.投标供应商应在投标截止时间前将“电子加密投标文件”成功上传递交至“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”，否则投标无效。</w:t>
            </w:r>
          </w:p>
          <w:p w14:paraId="6A5583A9">
            <w:pPr>
              <w:pStyle w:val="21"/>
              <w:keepNext w:val="0"/>
              <w:keepLines w:val="0"/>
              <w:suppressLineNumbers w:val="0"/>
              <w:shd w:val="clear" w:color="auto" w:fill="auto"/>
              <w:tabs>
                <w:tab w:val="right" w:leader="dot" w:pos="9118"/>
              </w:tabs>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b.“电子加密投标文件”成功上传递交后，供应商可自行打印投标文件接收回执。</w:t>
            </w:r>
          </w:p>
          <w:p w14:paraId="1C13C6F8">
            <w:pPr>
              <w:pStyle w:val="21"/>
              <w:keepNext w:val="0"/>
              <w:keepLines w:val="0"/>
              <w:suppressLineNumbers w:val="0"/>
              <w:shd w:val="clear" w:color="auto" w:fill="auto"/>
              <w:tabs>
                <w:tab w:val="right" w:leader="dot" w:pos="9118"/>
              </w:tabs>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（2）“备份投标文件”的密封包装、递交</w:t>
            </w:r>
            <w:r>
              <w:rPr>
                <w:rFonts w:hint="eastAsia" w:ascii="宋体" w:hAnsi="宋体" w:eastAsia="宋体" w:cs="宋体"/>
                <w:color w:val="auto"/>
                <w:sz w:val="22"/>
                <w:szCs w:val="22"/>
                <w:highlight w:val="none"/>
                <w:lang w:eastAsia="zh-CN"/>
              </w:rPr>
              <w:t>：</w:t>
            </w:r>
          </w:p>
          <w:p w14:paraId="1EEA2505">
            <w:pPr>
              <w:pStyle w:val="21"/>
              <w:keepNext w:val="0"/>
              <w:keepLines w:val="0"/>
              <w:suppressLineNumbers w:val="0"/>
              <w:shd w:val="clear" w:color="auto" w:fill="auto"/>
              <w:tabs>
                <w:tab w:val="right" w:leader="dot" w:pos="9118"/>
              </w:tabs>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a.投标供应商在“</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”完成“电子加密投标文件”的上传递交后，还可以（邮寄形式）在投标截止时间前递交以介质（U盘）存储的 “备份投标文件”（一份）</w:t>
            </w:r>
            <w:r>
              <w:rPr>
                <w:rFonts w:hint="eastAsia" w:ascii="宋体" w:hAnsi="宋体" w:eastAsia="宋体" w:cs="宋体"/>
                <w:color w:val="auto"/>
                <w:sz w:val="22"/>
                <w:szCs w:val="22"/>
                <w:highlight w:val="none"/>
                <w:lang w:val="en-US" w:eastAsia="zh-CN"/>
              </w:rPr>
              <w:t>或以电子邮件方式递交</w:t>
            </w:r>
            <w:r>
              <w:rPr>
                <w:rFonts w:hint="eastAsia" w:ascii="宋体" w:hAnsi="宋体" w:eastAsia="宋体" w:cs="宋体"/>
                <w:color w:val="auto"/>
                <w:sz w:val="22"/>
                <w:szCs w:val="22"/>
                <w:highlight w:val="none"/>
              </w:rPr>
              <w:t>；</w:t>
            </w:r>
          </w:p>
          <w:p w14:paraId="422C1026">
            <w:pPr>
              <w:pStyle w:val="21"/>
              <w:keepNext w:val="0"/>
              <w:keepLines w:val="0"/>
              <w:suppressLineNumbers w:val="0"/>
              <w:shd w:val="clear" w:color="auto" w:fill="auto"/>
              <w:tabs>
                <w:tab w:val="right" w:leader="dot" w:pos="9118"/>
              </w:tabs>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b.邮寄“备份投标文件”应当密封包装，并在包装上标注投标项目名称、投标单位名称并加盖公章。没有密封包装或者逾期邮寄送达至投标地点的“备份投标文件”将不予接收；</w:t>
            </w:r>
          </w:p>
          <w:p w14:paraId="1D8713F0">
            <w:pPr>
              <w:pStyle w:val="21"/>
              <w:keepNext w:val="0"/>
              <w:keepLines w:val="0"/>
              <w:suppressLineNumbers w:val="0"/>
              <w:shd w:val="clear" w:color="auto" w:fill="auto"/>
              <w:tabs>
                <w:tab w:val="right" w:leader="dot" w:pos="9118"/>
              </w:tabs>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”成功上传递交的“电子加密投标文件”已按时解密的，“备份投标文件”自动失效。投标截止时间前，投标供应商仅递交了“备份投标文件”而未将“电子加密投标文件”成功上传至“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”的，投标无效。</w:t>
            </w:r>
          </w:p>
        </w:tc>
      </w:tr>
      <w:tr w14:paraId="31A7F4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64036FEF">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2784738F">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电子加密投标文件的解密和异常情况处理</w:t>
            </w:r>
          </w:p>
        </w:tc>
        <w:tc>
          <w:tcPr>
            <w:tcW w:w="7533" w:type="dxa"/>
            <w:noWrap w:val="0"/>
            <w:vAlign w:val="center"/>
          </w:tcPr>
          <w:p w14:paraId="70BBAB71">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（1）开标后，采购组织机构将向各投标供应商发出“电子加密投标文件”的解密通知，各投标供应商代表应当在接到解密通知后30分钟内自行完成“电子加密投标文件”的在线解密。</w:t>
            </w:r>
          </w:p>
          <w:p w14:paraId="66549851">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”成功上传递交的“电子加密投标文件”无法按时解密，投标供应商如按规定递交了“备份投标文件”的，以“备份投标文件”为依据（由采购组织机构按“</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”操作规范将“备份投标文件”上传至“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”，上传成功后，“电子加密投标文件”自动失效），否则视为投标文件撤回。</w:t>
            </w:r>
          </w:p>
          <w:p w14:paraId="79CD05C3">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（3）投标截止时间前，投标供应商仅递交了“备份投标文件”而未将电子加密投标文件上传至“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”的，投标无效。</w:t>
            </w:r>
          </w:p>
        </w:tc>
      </w:tr>
      <w:tr w14:paraId="5D075C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4821B636">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16AF30C3">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投标有效期</w:t>
            </w:r>
          </w:p>
        </w:tc>
        <w:tc>
          <w:tcPr>
            <w:tcW w:w="7533" w:type="dxa"/>
            <w:noWrap w:val="0"/>
            <w:vAlign w:val="center"/>
          </w:tcPr>
          <w:p w14:paraId="17C8ABC0">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提交投标文件截止日起90天内</w:t>
            </w:r>
          </w:p>
        </w:tc>
      </w:tr>
      <w:tr w14:paraId="5A33BC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48B97557">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30A2A97B">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投标</w:t>
            </w:r>
            <w:r>
              <w:rPr>
                <w:rFonts w:hint="eastAsia" w:ascii="宋体" w:hAnsi="宋体" w:eastAsia="宋体" w:cs="宋体"/>
                <w:color w:val="auto"/>
                <w:sz w:val="22"/>
                <w:szCs w:val="22"/>
                <w:highlight w:val="none"/>
                <w:lang w:val="en-US" w:eastAsia="zh-CN"/>
              </w:rPr>
              <w:t>演示</w:t>
            </w:r>
          </w:p>
        </w:tc>
        <w:tc>
          <w:tcPr>
            <w:tcW w:w="7533" w:type="dxa"/>
            <w:noWrap w:val="0"/>
            <w:vAlign w:val="center"/>
          </w:tcPr>
          <w:p w14:paraId="085FEEA6">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b w:val="0"/>
                <w:bCs w:val="0"/>
                <w:color w:val="auto"/>
                <w:sz w:val="22"/>
                <w:szCs w:val="22"/>
                <w:highlight w:val="none"/>
                <w:lang w:val="en-US" w:eastAsia="zh-CN"/>
              </w:rPr>
              <w:t>不</w:t>
            </w:r>
            <w:r>
              <w:rPr>
                <w:rFonts w:hint="eastAsia" w:ascii="宋体" w:hAnsi="宋体" w:eastAsia="宋体" w:cs="宋体"/>
                <w:b w:val="0"/>
                <w:bCs w:val="0"/>
                <w:color w:val="auto"/>
                <w:sz w:val="22"/>
                <w:szCs w:val="22"/>
                <w:highlight w:val="none"/>
              </w:rPr>
              <w:t>需要</w:t>
            </w:r>
          </w:p>
        </w:tc>
      </w:tr>
      <w:tr w14:paraId="4D9DF3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17B33D8E">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74B5FC90">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履约</w:t>
            </w:r>
            <w:r>
              <w:rPr>
                <w:rFonts w:hint="eastAsia" w:ascii="宋体" w:hAnsi="宋体" w:eastAsia="宋体" w:cs="宋体"/>
                <w:color w:val="auto"/>
                <w:sz w:val="22"/>
                <w:szCs w:val="22"/>
                <w:highlight w:val="none"/>
                <w:lang w:val="en-US" w:eastAsia="zh-CN"/>
              </w:rPr>
              <w:t>保证金</w:t>
            </w:r>
          </w:p>
        </w:tc>
        <w:tc>
          <w:tcPr>
            <w:tcW w:w="7533" w:type="dxa"/>
            <w:noWrap w:val="0"/>
            <w:vAlign w:val="center"/>
          </w:tcPr>
          <w:p w14:paraId="443CDDE2">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需要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向采购人提供合同总价1%的履约保证金（转账或保函）。</w:t>
            </w:r>
          </w:p>
        </w:tc>
      </w:tr>
      <w:tr w14:paraId="737ED2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070DA258">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17027C98">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投标保证金</w:t>
            </w:r>
          </w:p>
        </w:tc>
        <w:tc>
          <w:tcPr>
            <w:tcW w:w="7533" w:type="dxa"/>
            <w:noWrap w:val="0"/>
            <w:vAlign w:val="center"/>
          </w:tcPr>
          <w:p w14:paraId="1D195167">
            <w:pPr>
              <w:pStyle w:val="2"/>
              <w:keepLines w:val="0"/>
              <w:suppressLineNumbers w:val="0"/>
              <w:shd w:val="clear" w:color="auto" w:fill="auto"/>
              <w:kinsoku/>
              <w:wordWrap w:val="0"/>
              <w:overflowPunct/>
              <w:bidi w:val="0"/>
              <w:spacing w:before="0" w:beforeAutospacing="0" w:after="0" w:afterAutospacing="0" w:line="240" w:lineRule="auto"/>
              <w:ind w:left="0" w:right="0"/>
              <w:outlineLvl w:val="0"/>
              <w:rPr>
                <w:rFonts w:hint="eastAsia" w:ascii="宋体" w:hAnsi="宋体" w:eastAsia="宋体" w:cs="宋体"/>
                <w:color w:val="auto"/>
                <w:sz w:val="22"/>
                <w:szCs w:val="22"/>
                <w:highlight w:val="none"/>
              </w:rPr>
            </w:pPr>
            <w:bookmarkStart w:id="4" w:name="_Toc26701"/>
            <w:bookmarkStart w:id="5" w:name="_Toc25684"/>
            <w:bookmarkStart w:id="6" w:name="_Toc11510"/>
            <w:r>
              <w:rPr>
                <w:rFonts w:hint="eastAsia" w:ascii="宋体" w:hAnsi="宋体" w:eastAsia="宋体" w:cs="宋体"/>
                <w:b w:val="0"/>
                <w:color w:val="auto"/>
                <w:sz w:val="22"/>
                <w:szCs w:val="22"/>
                <w:highlight w:val="none"/>
              </w:rPr>
              <w:fldChar w:fldCharType="begin"/>
            </w:r>
            <w:r>
              <w:rPr>
                <w:rFonts w:hint="eastAsia" w:ascii="宋体" w:hAnsi="宋体" w:eastAsia="宋体" w:cs="宋体"/>
                <w:b w:val="0"/>
                <w:color w:val="auto"/>
                <w:sz w:val="22"/>
                <w:szCs w:val="22"/>
                <w:highlight w:val="none"/>
              </w:rPr>
              <w:instrText xml:space="preserve"> eq \o\ac(</w:instrText>
            </w:r>
            <w:r>
              <w:rPr>
                <w:rFonts w:hint="eastAsia" w:ascii="宋体" w:hAnsi="宋体" w:eastAsia="宋体" w:cs="宋体"/>
                <w:b w:val="0"/>
                <w:color w:val="auto"/>
                <w:position w:val="-4"/>
                <w:sz w:val="33"/>
                <w:szCs w:val="22"/>
                <w:highlight w:val="none"/>
              </w:rPr>
              <w:instrText xml:space="preserve">□</w:instrText>
            </w:r>
            <w:r>
              <w:rPr>
                <w:rFonts w:hint="eastAsia" w:ascii="宋体" w:hAnsi="宋体" w:eastAsia="宋体" w:cs="宋体"/>
                <w:b w:val="0"/>
                <w:color w:val="auto"/>
                <w:position w:val="0"/>
                <w:sz w:val="22"/>
                <w:szCs w:val="22"/>
                <w:highlight w:val="none"/>
              </w:rPr>
              <w:instrText xml:space="preserve">,√)</w:instrText>
            </w:r>
            <w:r>
              <w:rPr>
                <w:rFonts w:hint="eastAsia" w:ascii="宋体" w:hAnsi="宋体" w:eastAsia="宋体" w:cs="宋体"/>
                <w:b w:val="0"/>
                <w:color w:val="auto"/>
                <w:sz w:val="22"/>
                <w:szCs w:val="22"/>
                <w:highlight w:val="none"/>
              </w:rPr>
              <w:fldChar w:fldCharType="end"/>
            </w:r>
            <w:r>
              <w:rPr>
                <w:rFonts w:hint="eastAsia" w:ascii="宋体" w:hAnsi="宋体" w:eastAsia="宋体" w:cs="宋体"/>
                <w:b w:val="0"/>
                <w:color w:val="auto"/>
                <w:sz w:val="22"/>
                <w:szCs w:val="22"/>
                <w:highlight w:val="none"/>
              </w:rPr>
              <w:t>不需要</w:t>
            </w:r>
            <w:bookmarkEnd w:id="4"/>
            <w:bookmarkEnd w:id="5"/>
            <w:bookmarkEnd w:id="6"/>
          </w:p>
        </w:tc>
      </w:tr>
      <w:tr w14:paraId="6DE65A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58B0BB27">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71C1F7B5">
            <w:pPr>
              <w:keepNext w:val="0"/>
              <w:keepLines w:val="0"/>
              <w:suppressLineNumbers w:val="0"/>
              <w:shd w:val="clear" w:color="auto" w:fill="auto"/>
              <w:kinsoku/>
              <w:wordWrap w:val="0"/>
              <w:overflowPunct/>
              <w:bidi w:val="0"/>
              <w:snapToGri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质疑受理联系方式</w:t>
            </w:r>
          </w:p>
        </w:tc>
        <w:tc>
          <w:tcPr>
            <w:tcW w:w="7533" w:type="dxa"/>
            <w:noWrap w:val="0"/>
            <w:vAlign w:val="center"/>
          </w:tcPr>
          <w:p w14:paraId="666AA116">
            <w:pPr>
              <w:keepNext w:val="0"/>
              <w:keepLines w:val="0"/>
              <w:suppressLineNumbers w:val="0"/>
              <w:shd w:val="clear" w:color="auto" w:fill="auto"/>
              <w:kinsoku/>
              <w:wordWrap w:val="0"/>
              <w:overflowPunct/>
              <w:bidi w:val="0"/>
              <w:snapToGri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代理机构名称</w:t>
            </w:r>
            <w:r>
              <w:rPr>
                <w:rFonts w:hint="eastAsia" w:ascii="宋体" w:hAnsi="宋体" w:eastAsia="宋体" w:cs="宋体"/>
                <w:color w:val="auto"/>
                <w:sz w:val="22"/>
                <w:szCs w:val="22"/>
                <w:highlight w:val="none"/>
                <w:lang w:eastAsia="zh-CN"/>
              </w:rPr>
              <w:t>：浙江德亿项目管理咨询有限公司</w:t>
            </w:r>
          </w:p>
          <w:p w14:paraId="17EB50AC">
            <w:pPr>
              <w:keepNext w:val="0"/>
              <w:keepLines w:val="0"/>
              <w:suppressLineNumbers w:val="0"/>
              <w:shd w:val="clear" w:color="auto" w:fill="auto"/>
              <w:kinsoku/>
              <w:wordWrap w:val="0"/>
              <w:overflowPunct/>
              <w:bidi w:val="0"/>
              <w:snapToGri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机构地址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kern w:val="0"/>
                <w:sz w:val="22"/>
                <w:szCs w:val="22"/>
                <w:highlight w:val="none"/>
                <w:lang w:eastAsia="zh-CN"/>
              </w:rPr>
              <w:t>平阳县昆阳镇人民路388-1号</w:t>
            </w:r>
          </w:p>
          <w:p w14:paraId="5665CAA8">
            <w:pPr>
              <w:keepNext w:val="0"/>
              <w:keepLines w:val="0"/>
              <w:suppressLineNumbers w:val="0"/>
              <w:shd w:val="clear" w:color="auto" w:fill="auto"/>
              <w:kinsoku/>
              <w:wordWrap w:val="0"/>
              <w:overflowPunct/>
              <w:bidi w:val="0"/>
              <w:snapToGrid w:val="0"/>
              <w:spacing w:before="0" w:beforeAutospacing="0" w:after="0" w:afterAutospacing="0" w:line="240" w:lineRule="auto"/>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联 系 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陈先生</w:t>
            </w:r>
          </w:p>
          <w:p w14:paraId="3C357F79">
            <w:pPr>
              <w:keepNext w:val="0"/>
              <w:keepLines w:val="0"/>
              <w:suppressLineNumbers w:val="0"/>
              <w:shd w:val="clear" w:color="auto" w:fill="auto"/>
              <w:kinsoku/>
              <w:wordWrap w:val="0"/>
              <w:overflowPunct/>
              <w:bidi w:val="0"/>
              <w:snapToGri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联系电话</w:t>
            </w:r>
            <w:r>
              <w:rPr>
                <w:rFonts w:hint="eastAsia" w:ascii="宋体" w:hAnsi="宋体" w:eastAsia="宋体" w:cs="宋体"/>
                <w:color w:val="auto"/>
                <w:sz w:val="22"/>
                <w:szCs w:val="22"/>
                <w:highlight w:val="none"/>
                <w:lang w:eastAsia="zh-CN"/>
              </w:rPr>
              <w:t>：0577-63766166、18969775893</w:t>
            </w:r>
          </w:p>
        </w:tc>
      </w:tr>
      <w:tr w14:paraId="4DA3F1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104D1F72">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72AE16B8">
            <w:pPr>
              <w:keepNext w:val="0"/>
              <w:keepLines w:val="0"/>
              <w:suppressLineNumbers w:val="0"/>
              <w:shd w:val="clear" w:color="auto" w:fill="auto"/>
              <w:kinsoku/>
              <w:wordWrap w:val="0"/>
              <w:overflowPunct/>
              <w:bidi w:val="0"/>
              <w:snapToGri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投诉</w:t>
            </w:r>
          </w:p>
        </w:tc>
        <w:tc>
          <w:tcPr>
            <w:tcW w:w="7533" w:type="dxa"/>
            <w:noWrap w:val="0"/>
            <w:vAlign w:val="center"/>
          </w:tcPr>
          <w:p w14:paraId="7B3631C9">
            <w:pPr>
              <w:keepNext w:val="0"/>
              <w:keepLines w:val="0"/>
              <w:suppressLineNumbers w:val="0"/>
              <w:shd w:val="clear" w:color="auto" w:fill="auto"/>
              <w:kinsoku/>
              <w:wordWrap w:val="0"/>
              <w:overflowPunct/>
              <w:bidi w:val="0"/>
              <w:snapToGri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平阳县县属国有企业采购管理办法（试行）》的规定，供应商认为采购文件、采购过程、中标和成交结果使自己的合法权益受到损害的，应当首先依法向采购人、采购代理机构提出质疑。投标供应商认为国有企业答疑回复处理结果不合法的，可以采购人或代理机构为对象依法向人民法院提起诉讼。</w:t>
            </w:r>
          </w:p>
        </w:tc>
      </w:tr>
      <w:tr w14:paraId="2E6093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043552C2">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348515EA">
            <w:pPr>
              <w:keepNext w:val="0"/>
              <w:keepLines w:val="0"/>
              <w:suppressLineNumbers w:val="0"/>
              <w:shd w:val="clear" w:color="auto" w:fill="auto"/>
              <w:kinsoku/>
              <w:wordWrap w:val="0"/>
              <w:overflowPunct/>
              <w:bidi w:val="0"/>
              <w:snapToGri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投诉受理联系方式</w:t>
            </w:r>
          </w:p>
        </w:tc>
        <w:tc>
          <w:tcPr>
            <w:tcW w:w="7533" w:type="dxa"/>
            <w:noWrap w:val="0"/>
            <w:vAlign w:val="center"/>
          </w:tcPr>
          <w:p w14:paraId="272F4A03">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同级采购监督管理部门名称：平阳县兴阳控股集团有限公司纪检监察室</w:t>
            </w:r>
          </w:p>
          <w:p w14:paraId="61E157D4">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联系人：张先生</w:t>
            </w:r>
          </w:p>
          <w:p w14:paraId="1F5761F3">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监督投诉电话：0577-63168022</w:t>
            </w:r>
          </w:p>
          <w:p w14:paraId="43D8AB5E">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 址：平阳县昆阳镇公园路5号</w:t>
            </w:r>
          </w:p>
        </w:tc>
      </w:tr>
      <w:tr w14:paraId="3908A7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54431780">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3E97E772">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投标截止时间</w:t>
            </w:r>
          </w:p>
        </w:tc>
        <w:tc>
          <w:tcPr>
            <w:tcW w:w="7533" w:type="dxa"/>
            <w:noWrap w:val="0"/>
            <w:vAlign w:val="center"/>
          </w:tcPr>
          <w:p w14:paraId="24E1C748">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shd w:val="clear" w:color="auto" w:fill="FFFFFF"/>
                <w:lang w:eastAsia="zh-CN"/>
              </w:rPr>
              <w:t>202</w:t>
            </w:r>
            <w:r>
              <w:rPr>
                <w:rFonts w:hint="eastAsia" w:ascii="宋体" w:hAnsi="宋体" w:eastAsia="宋体" w:cs="宋体"/>
                <w:color w:val="auto"/>
                <w:sz w:val="22"/>
                <w:szCs w:val="22"/>
                <w:highlight w:val="none"/>
                <w:shd w:val="clear" w:color="auto" w:fill="FFFFFF"/>
                <w:lang w:val="en-US" w:eastAsia="zh-CN"/>
              </w:rPr>
              <w:t>5</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10月29日</w:t>
            </w:r>
            <w:r>
              <w:rPr>
                <w:rFonts w:hint="eastAsia" w:ascii="宋体" w:hAnsi="宋体" w:eastAsia="宋体" w:cs="宋体"/>
                <w:color w:val="auto"/>
                <w:sz w:val="22"/>
                <w:szCs w:val="22"/>
                <w:highlight w:val="none"/>
                <w:shd w:val="clear" w:color="auto" w:fill="FFFFFF"/>
                <w:lang w:val="en-US" w:eastAsia="zh-CN"/>
              </w:rPr>
              <w:t>9</w:t>
            </w:r>
            <w:r>
              <w:rPr>
                <w:rFonts w:hint="eastAsia" w:ascii="宋体" w:hAnsi="宋体" w:eastAsia="宋体" w:cs="宋体"/>
                <w:color w:val="auto"/>
                <w:sz w:val="22"/>
                <w:szCs w:val="22"/>
                <w:highlight w:val="none"/>
                <w:shd w:val="clear" w:color="auto" w:fill="FFFFFF"/>
              </w:rPr>
              <w:t>:30</w:t>
            </w:r>
            <w:r>
              <w:rPr>
                <w:rFonts w:hint="eastAsia" w:ascii="宋体" w:hAnsi="宋体" w:eastAsia="宋体" w:cs="宋体"/>
                <w:color w:val="auto"/>
                <w:sz w:val="22"/>
                <w:szCs w:val="22"/>
                <w:highlight w:val="none"/>
              </w:rPr>
              <w:t>截止</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北京时间</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p>
        </w:tc>
      </w:tr>
      <w:tr w14:paraId="748D3E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7B9D65BE">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2547C4BF">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开标时间</w:t>
            </w:r>
          </w:p>
          <w:p w14:paraId="471A31C6">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评审地点</w:t>
            </w:r>
          </w:p>
        </w:tc>
        <w:tc>
          <w:tcPr>
            <w:tcW w:w="7533" w:type="dxa"/>
            <w:noWrap w:val="0"/>
            <w:vAlign w:val="center"/>
          </w:tcPr>
          <w:p w14:paraId="175DF8A7">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开标时间</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shd w:val="clear" w:color="auto" w:fill="FFFFFF"/>
                <w:lang w:eastAsia="zh-CN"/>
              </w:rPr>
              <w:t>202</w:t>
            </w:r>
            <w:r>
              <w:rPr>
                <w:rFonts w:hint="eastAsia" w:ascii="宋体" w:hAnsi="宋体" w:eastAsia="宋体" w:cs="宋体"/>
                <w:color w:val="auto"/>
                <w:sz w:val="22"/>
                <w:szCs w:val="22"/>
                <w:highlight w:val="none"/>
                <w:shd w:val="clear" w:color="auto" w:fill="FFFFFF"/>
                <w:lang w:val="en-US" w:eastAsia="zh-CN"/>
              </w:rPr>
              <w:t>5</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10月29日</w:t>
            </w:r>
            <w:r>
              <w:rPr>
                <w:rFonts w:hint="eastAsia" w:ascii="宋体" w:hAnsi="宋体" w:eastAsia="宋体" w:cs="宋体"/>
                <w:color w:val="auto"/>
                <w:sz w:val="22"/>
                <w:szCs w:val="22"/>
                <w:highlight w:val="none"/>
                <w:shd w:val="clear" w:color="auto" w:fill="FFFFFF"/>
                <w:lang w:val="en-US" w:eastAsia="zh-CN"/>
              </w:rPr>
              <w:t>9</w:t>
            </w:r>
            <w:r>
              <w:rPr>
                <w:rFonts w:hint="eastAsia" w:ascii="宋体" w:hAnsi="宋体" w:eastAsia="宋体" w:cs="宋体"/>
                <w:color w:val="auto"/>
                <w:sz w:val="22"/>
                <w:szCs w:val="22"/>
                <w:highlight w:val="none"/>
                <w:shd w:val="clear" w:color="auto" w:fill="FFFFFF"/>
              </w:rPr>
              <w:t>:30</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北京时间</w:t>
            </w:r>
            <w:r>
              <w:rPr>
                <w:rFonts w:hint="eastAsia" w:ascii="宋体" w:hAnsi="宋体" w:eastAsia="宋体" w:cs="宋体"/>
                <w:color w:val="auto"/>
                <w:sz w:val="22"/>
                <w:szCs w:val="22"/>
                <w:highlight w:val="none"/>
                <w:lang w:eastAsia="zh-CN"/>
              </w:rPr>
              <w:t>）</w:t>
            </w:r>
          </w:p>
          <w:p w14:paraId="54C6DCB4">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开标地点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平阳县公共资源交易中心三楼评标室（平阳县鳌江镇火车站大道和谐家园三楼）。</w:t>
            </w:r>
          </w:p>
        </w:tc>
      </w:tr>
      <w:tr w14:paraId="319B95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70C8AE07">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4DFE19BB">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评审委员会的</w:t>
            </w:r>
          </w:p>
          <w:p w14:paraId="1C27EA4B">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组建</w:t>
            </w:r>
          </w:p>
        </w:tc>
        <w:tc>
          <w:tcPr>
            <w:tcW w:w="7533" w:type="dxa"/>
            <w:noWrap w:val="0"/>
            <w:vAlign w:val="center"/>
          </w:tcPr>
          <w:p w14:paraId="2AE986A9">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评标委员会构成</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采购人依法组建，其中评审专家不得少于成员总数的三分之二；评审专家确定方式</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按相关规定从专家库中抽取。</w:t>
            </w:r>
          </w:p>
        </w:tc>
      </w:tr>
      <w:tr w14:paraId="600B55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7E0CC1A1">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62EBC798">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采购扶持政策</w:t>
            </w:r>
          </w:p>
        </w:tc>
        <w:tc>
          <w:tcPr>
            <w:tcW w:w="7533" w:type="dxa"/>
            <w:noWrap w:val="0"/>
            <w:vAlign w:val="center"/>
          </w:tcPr>
          <w:p w14:paraId="42317CB0">
            <w:pPr>
              <w:keepNext w:val="0"/>
              <w:keepLines w:val="0"/>
              <w:suppressLineNumbers w:val="0"/>
              <w:shd w:val="clear" w:color="auto" w:fill="auto"/>
              <w:kinsoku/>
              <w:wordWrap w:val="0"/>
              <w:overflowPunct/>
              <w:autoSpaceDE/>
              <w:autoSpaceDN/>
              <w:bidi w:val="0"/>
              <w:spacing w:before="0" w:beforeAutospacing="0" w:after="0" w:afterAutospacing="0" w:line="24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本项目对符合财政扶持政策的中小企业（小型、微型）、监狱企业、残疾人福利性单位给予价格优惠扶持：</w:t>
            </w:r>
          </w:p>
          <w:p w14:paraId="729232C1">
            <w:pPr>
              <w:keepNext w:val="0"/>
              <w:keepLines w:val="0"/>
              <w:suppressLineNumbers w:val="0"/>
              <w:shd w:val="clear" w:color="auto" w:fill="auto"/>
              <w:kinsoku/>
              <w:wordWrap w:val="0"/>
              <w:overflowPunct/>
              <w:autoSpaceDE/>
              <w:autoSpaceDN/>
              <w:bidi w:val="0"/>
              <w:spacing w:before="0" w:beforeAutospacing="0" w:after="0" w:afterAutospacing="0" w:line="24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（1）价格优惠：</w:t>
            </w:r>
            <w:r>
              <w:rPr>
                <w:rFonts w:hint="eastAsia" w:ascii="宋体" w:hAnsi="宋体" w:eastAsia="宋体" w:cs="宋体"/>
                <w:color w:val="auto"/>
                <w:kern w:val="0"/>
                <w:sz w:val="22"/>
                <w:szCs w:val="22"/>
                <w:highlight w:val="none"/>
                <w:u w:val="single"/>
                <w:lang w:val="en-US" w:eastAsia="zh-CN"/>
              </w:rPr>
              <w:t>6%</w:t>
            </w:r>
            <w:r>
              <w:rPr>
                <w:rFonts w:hint="eastAsia" w:ascii="宋体" w:hAnsi="宋体" w:eastAsia="宋体" w:cs="宋体"/>
                <w:color w:val="auto"/>
                <w:kern w:val="0"/>
                <w:sz w:val="22"/>
                <w:szCs w:val="22"/>
                <w:highlight w:val="none"/>
                <w:lang w:val="en-US" w:eastAsia="zh-CN"/>
              </w:rPr>
              <w:t>。</w:t>
            </w:r>
          </w:p>
          <w:p w14:paraId="789743B9">
            <w:pPr>
              <w:keepNext w:val="0"/>
              <w:keepLines w:val="0"/>
              <w:suppressLineNumbers w:val="0"/>
              <w:shd w:val="clear" w:color="auto" w:fill="auto"/>
              <w:kinsoku/>
              <w:wordWrap w:val="0"/>
              <w:overflowPunct/>
              <w:autoSpaceDE/>
              <w:autoSpaceDN/>
              <w:bidi w:val="0"/>
              <w:spacing w:before="0" w:beforeAutospacing="0" w:after="0" w:afterAutospacing="0" w:line="24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（2）项目属性：服务类</w:t>
            </w:r>
          </w:p>
          <w:p w14:paraId="4A64B483">
            <w:pPr>
              <w:keepNext w:val="0"/>
              <w:keepLines w:val="0"/>
              <w:suppressLineNumbers w:val="0"/>
              <w:shd w:val="clear" w:color="auto" w:fill="auto"/>
              <w:kinsoku/>
              <w:wordWrap w:val="0"/>
              <w:overflowPunct/>
              <w:autoSpaceDE/>
              <w:autoSpaceDN/>
              <w:bidi w:val="0"/>
              <w:spacing w:before="0" w:beforeAutospacing="0" w:after="0" w:afterAutospacing="0" w:line="24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（3）中小企业划分标准所属行业：根据《中小企业划型标准规定》执行（工信部联企业〔2011〕300号）</w:t>
            </w:r>
          </w:p>
          <w:p w14:paraId="4FB38D2F">
            <w:pPr>
              <w:keepNext w:val="0"/>
              <w:keepLines w:val="0"/>
              <w:suppressLineNumbers w:val="0"/>
              <w:shd w:val="clear" w:color="auto" w:fill="auto"/>
              <w:kinsoku/>
              <w:wordWrap w:val="0"/>
              <w:overflowPunct/>
              <w:autoSpaceDE/>
              <w:autoSpaceDN/>
              <w:bidi w:val="0"/>
              <w:spacing w:before="0" w:beforeAutospacing="0" w:after="0" w:afterAutospacing="0" w:line="24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（4）所属行业：</w:t>
            </w:r>
            <w:r>
              <w:rPr>
                <w:rFonts w:hint="eastAsia" w:ascii="宋体" w:hAnsi="宋体" w:eastAsia="宋体" w:cs="宋体"/>
                <w:b/>
                <w:bCs/>
                <w:color w:val="auto"/>
                <w:kern w:val="0"/>
                <w:sz w:val="22"/>
                <w:szCs w:val="22"/>
                <w:highlight w:val="none"/>
                <w:u w:val="single"/>
                <w:lang w:val="en-US" w:eastAsia="zh-CN"/>
              </w:rPr>
              <w:t>其他未列明行业</w:t>
            </w:r>
          </w:p>
          <w:p w14:paraId="2C2537BC">
            <w:pPr>
              <w:keepNext w:val="0"/>
              <w:keepLines w:val="0"/>
              <w:suppressLineNumbers w:val="0"/>
              <w:shd w:val="clear" w:color="auto" w:fill="auto"/>
              <w:kinsoku/>
              <w:wordWrap w:val="0"/>
              <w:overflowPunct/>
              <w:autoSpaceDE/>
              <w:autoSpaceDN/>
              <w:bidi w:val="0"/>
              <w:spacing w:before="0" w:beforeAutospacing="0" w:after="0" w:afterAutospacing="0" w:line="24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 满足财政部 工业和信息化部关于印发《政府采购促进中小企业发展管理办法》（财库﹝2020﹞46 号）的规定的中小企业可享受优惠扶持。</w:t>
            </w:r>
          </w:p>
          <w:p w14:paraId="759F1469">
            <w:pPr>
              <w:keepNext w:val="0"/>
              <w:keepLines w:val="0"/>
              <w:suppressLineNumbers w:val="0"/>
              <w:shd w:val="clear" w:color="auto" w:fill="auto"/>
              <w:kinsoku/>
              <w:wordWrap w:val="0"/>
              <w:overflowPunct/>
              <w:autoSpaceDE/>
              <w:autoSpaceDN/>
              <w:bidi w:val="0"/>
              <w:spacing w:before="0" w:beforeAutospacing="0" w:after="0" w:afterAutospacing="0" w:line="24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3.满足关于政府采购支持监狱企业发展有关问题的通知（财库〔2014﹞68号）的规定的供应商可享受优惠扶持。</w:t>
            </w:r>
          </w:p>
          <w:p w14:paraId="36D62223">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rPr>
              <w:t>4.满足关于促进残疾人就业政府采购政策的通知（财库〔2017﹞141号）的规定的供应商可享受优惠扶持。</w:t>
            </w:r>
          </w:p>
        </w:tc>
      </w:tr>
      <w:tr w14:paraId="6E012C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6996472B">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3622C79B">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供应商信用查询</w:t>
            </w:r>
          </w:p>
        </w:tc>
        <w:tc>
          <w:tcPr>
            <w:tcW w:w="7533" w:type="dxa"/>
            <w:noWrap w:val="0"/>
            <w:vAlign w:val="center"/>
          </w:tcPr>
          <w:p w14:paraId="79201213">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1、投标供应商信用信息查询的查询渠道</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“信用中国”</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"http://www.creditchina.gov.cn"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www.creditchina.gov.cn</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；“中国政府采购网”（http://www.ccgp.gov.cn/）；</w:t>
            </w:r>
          </w:p>
          <w:p w14:paraId="7B2F45CD">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2、投标供应商信用信息查询截止时点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至本项目投标截止时间前均可。</w:t>
            </w:r>
          </w:p>
          <w:p w14:paraId="0A1A6752">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3、投标供应商信用信息查询记录和证据留存的具体方式</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网页截图打印；</w:t>
            </w:r>
          </w:p>
          <w:p w14:paraId="51EC15F3">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4、信用信息的使用规则</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截止评标当日，经查询“信用中国”等网站，存在列入失信被执行人、重大税收违法案件当事人名单、政府采购严重违法失信行为记录名单及其他不符合《平阳县县属国有企业采购管理办法（试行）》第十四条规定条件的供应商，其投标做无效投标处理。</w:t>
            </w:r>
          </w:p>
        </w:tc>
      </w:tr>
      <w:tr w14:paraId="180C8F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06565D9A">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2D54B143">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合同备案</w:t>
            </w:r>
          </w:p>
        </w:tc>
        <w:tc>
          <w:tcPr>
            <w:tcW w:w="7533" w:type="dxa"/>
            <w:noWrap w:val="0"/>
            <w:vAlign w:val="center"/>
          </w:tcPr>
          <w:p w14:paraId="26439C19">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1、中标供应商须在中标通知书发出之日起30日内与采购人签订合同。</w:t>
            </w:r>
          </w:p>
          <w:p w14:paraId="14725428">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2、中标供应商与采购人签订合同后，2日历天内将合同扫描件电子版发给</w:t>
            </w:r>
            <w:r>
              <w:rPr>
                <w:rFonts w:hint="eastAsia" w:ascii="宋体" w:hAnsi="宋体" w:eastAsia="宋体" w:cs="宋体"/>
                <w:color w:val="auto"/>
                <w:sz w:val="22"/>
                <w:szCs w:val="22"/>
                <w:highlight w:val="none"/>
                <w:lang w:eastAsia="zh-CN"/>
              </w:rPr>
              <w:t>浙江德亿项目管理咨询有限公司：</w:t>
            </w:r>
            <w:r>
              <w:rPr>
                <w:rFonts w:hint="eastAsia" w:ascii="宋体" w:hAnsi="宋体" w:eastAsia="宋体" w:cs="宋体"/>
                <w:color w:val="auto"/>
                <w:sz w:val="22"/>
                <w:szCs w:val="22"/>
                <w:highlight w:val="none"/>
              </w:rPr>
              <w:t>邮箱</w:t>
            </w:r>
            <w:r>
              <w:rPr>
                <w:rFonts w:hint="eastAsia" w:ascii="宋体" w:hAnsi="宋体" w:eastAsia="宋体" w:cs="宋体"/>
                <w:color w:val="auto"/>
                <w:sz w:val="22"/>
                <w:szCs w:val="22"/>
                <w:highlight w:val="none"/>
                <w:lang w:eastAsia="zh-CN"/>
              </w:rPr>
              <w:t>：</w:t>
            </w:r>
            <w:r>
              <w:rPr>
                <w:rStyle w:val="37"/>
                <w:rFonts w:hint="eastAsia" w:ascii="宋体" w:hAnsi="宋体" w:eastAsia="宋体" w:cs="宋体"/>
                <w:color w:val="auto"/>
                <w:sz w:val="22"/>
                <w:szCs w:val="22"/>
                <w:highlight w:val="none"/>
                <w:lang w:eastAsia="zh-CN"/>
              </w:rPr>
              <w:t>1150016428@qq.com</w:t>
            </w:r>
            <w:r>
              <w:rPr>
                <w:rFonts w:hint="eastAsia" w:ascii="宋体" w:hAnsi="宋体" w:eastAsia="宋体" w:cs="宋体"/>
                <w:color w:val="auto"/>
                <w:sz w:val="22"/>
                <w:szCs w:val="22"/>
                <w:highlight w:val="none"/>
              </w:rPr>
              <w:t>；</w:t>
            </w:r>
          </w:p>
        </w:tc>
      </w:tr>
      <w:tr w14:paraId="480AE3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0FC001C3">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0D4D4239">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合同履约管理</w:t>
            </w:r>
          </w:p>
        </w:tc>
        <w:tc>
          <w:tcPr>
            <w:tcW w:w="7533" w:type="dxa"/>
            <w:noWrap w:val="0"/>
            <w:vAlign w:val="center"/>
          </w:tcPr>
          <w:p w14:paraId="7389381B">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合同签订后，采购人依法加强对合同履约进行管理，并在中标单位供货、项目验收等重要关节，如实填写《合同验收报告》（或考核资料），并及时向同级财政部门报告验收过程中遇到的问题。</w:t>
            </w:r>
          </w:p>
        </w:tc>
      </w:tr>
      <w:tr w14:paraId="1840CB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52738421">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5865F87B">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免责</w:t>
            </w:r>
            <w:r>
              <w:rPr>
                <w:rFonts w:hint="eastAsia" w:ascii="宋体" w:hAnsi="宋体" w:eastAsia="宋体" w:cs="宋体"/>
                <w:color w:val="auto"/>
                <w:sz w:val="22"/>
                <w:szCs w:val="22"/>
                <w:highlight w:val="none"/>
              </w:rPr>
              <w:t>声明</w:t>
            </w:r>
          </w:p>
        </w:tc>
        <w:tc>
          <w:tcPr>
            <w:tcW w:w="7533" w:type="dxa"/>
            <w:noWrap w:val="0"/>
            <w:vAlign w:val="center"/>
          </w:tcPr>
          <w:p w14:paraId="14BBBEA5">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1、投标供应商自行承担投标过程中产生的费用。无论何种因素导致采购项目延期开标、废标（流标）、投标供应商未中标、项目终止采购的，采购人与代理机构均不承担供应商投标费用。</w:t>
            </w:r>
          </w:p>
          <w:p w14:paraId="120D51E7">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2、投标供应商在投标、合同履行过程中必须做好安全保障工作，不因项目实施而危及自身及第三方人员、财产安全。若发生任何安全事故，由中标供应商自行承担一切责任并赔偿损失。</w:t>
            </w:r>
          </w:p>
        </w:tc>
      </w:tr>
      <w:tr w14:paraId="684210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1CBF6012">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5009B401">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解释权</w:t>
            </w:r>
          </w:p>
        </w:tc>
        <w:tc>
          <w:tcPr>
            <w:tcW w:w="7533" w:type="dxa"/>
            <w:noWrap w:val="0"/>
            <w:vAlign w:val="center"/>
          </w:tcPr>
          <w:p w14:paraId="60705AB3">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构成本采购文件的各个组成文件应互为解释，互为说明；如有不明确或不一致，构成合同文件组成内容的，以合同文件约定内容为准，且以专用合同条款约定的合同文件优先顺序解释；仅适用于招标投标阶段的约定，按</w:t>
            </w:r>
            <w:r>
              <w:rPr>
                <w:rFonts w:hint="eastAsia" w:ascii="宋体" w:hAnsi="宋体" w:eastAsia="宋体" w:cs="宋体"/>
                <w:color w:val="auto"/>
                <w:sz w:val="22"/>
                <w:szCs w:val="22"/>
                <w:highlight w:val="none"/>
                <w:lang w:eastAsia="zh-CN"/>
              </w:rPr>
              <w:t>采购公告</w:t>
            </w:r>
            <w:r>
              <w:rPr>
                <w:rFonts w:hint="eastAsia" w:ascii="宋体" w:hAnsi="宋体" w:eastAsia="宋体" w:cs="宋体"/>
                <w:color w:val="auto"/>
                <w:sz w:val="22"/>
                <w:szCs w:val="22"/>
                <w:highlight w:val="none"/>
              </w:rPr>
              <w:t>、投标供应商须知、评标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r w14:paraId="52A56C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03CF465D">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462C5B67">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特别说明</w:t>
            </w:r>
          </w:p>
        </w:tc>
        <w:tc>
          <w:tcPr>
            <w:tcW w:w="7533" w:type="dxa"/>
            <w:noWrap w:val="0"/>
            <w:vAlign w:val="center"/>
          </w:tcPr>
          <w:p w14:paraId="0E6A8B2A">
            <w:pPr>
              <w:keepNext w:val="0"/>
              <w:keepLines w:val="0"/>
              <w:suppressLineNumbers w:val="0"/>
              <w:shd w:val="clear" w:color="auto" w:fill="auto"/>
              <w:kinsoku/>
              <w:wordWrap w:val="0"/>
              <w:overflowPunct/>
              <w:bidi w:val="0"/>
              <w:snapToGri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中标供应商在合同签订前，采购人有权要求中标供应商提供其投标文件中的相关文件资料的原件进行审核；如无法提供原件或提供的原件与其投标文件中的不符，采购人有权取消其中标资格，并提交主管部门处理。</w:t>
            </w:r>
          </w:p>
        </w:tc>
      </w:tr>
      <w:tr w14:paraId="67A38F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3F9A9E38">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5DEA0212">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其他</w:t>
            </w:r>
          </w:p>
        </w:tc>
        <w:tc>
          <w:tcPr>
            <w:tcW w:w="7533" w:type="dxa"/>
            <w:noWrap w:val="0"/>
            <w:vAlign w:val="center"/>
          </w:tcPr>
          <w:p w14:paraId="7B27F5F7">
            <w:pPr>
              <w:keepNext w:val="0"/>
              <w:keepLines w:val="0"/>
              <w:suppressLineNumbers w:val="0"/>
              <w:shd w:val="clear" w:color="auto" w:fill="auto"/>
              <w:kinsoku/>
              <w:wordWrap w:val="0"/>
              <w:overflowPunct/>
              <w:bidi w:val="0"/>
              <w:snapToGrid w:val="0"/>
              <w:spacing w:before="0" w:beforeAutospacing="0" w:after="0" w:afterAutospacing="0" w:line="240" w:lineRule="auto"/>
              <w:ind w:left="0" w:right="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投标单位中标后按照招标人的要求提供2套设计方案供招标人选择，费用已包含在本次投标报价中。</w:t>
            </w:r>
          </w:p>
        </w:tc>
      </w:tr>
      <w:tr w14:paraId="01C55F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65DBE52D">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6B38F515">
            <w:pPr>
              <w:keepNext w:val="0"/>
              <w:keepLines w:val="0"/>
              <w:suppressLineNumbers w:val="0"/>
              <w:shd w:val="clear" w:color="auto" w:fill="auto"/>
              <w:kinsoku/>
              <w:wordWrap w:val="0"/>
              <w:overflowPunct/>
              <w:bidi w:val="0"/>
              <w:spacing w:before="0" w:beforeAutospacing="0" w:after="0" w:afterAutospacing="0" w:line="240" w:lineRule="auto"/>
              <w:ind w:left="0" w:leftChars="0" w:right="0" w:right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联合体投标说明</w:t>
            </w:r>
          </w:p>
        </w:tc>
        <w:tc>
          <w:tcPr>
            <w:tcW w:w="7533" w:type="dxa"/>
            <w:noWrap w:val="0"/>
            <w:vAlign w:val="center"/>
          </w:tcPr>
          <w:p w14:paraId="33797D0C">
            <w:pPr>
              <w:keepNext w:val="0"/>
              <w:keepLines w:val="0"/>
              <w:suppressLineNumbers w:val="0"/>
              <w:shd w:val="clear" w:color="auto" w:fill="auto"/>
              <w:kinsoku/>
              <w:wordWrap w:val="0"/>
              <w:overflowPunct/>
              <w:bidi w:val="0"/>
              <w:snapToGrid w:val="0"/>
              <w:spacing w:before="0" w:beforeAutospacing="0" w:after="0" w:afterAutospacing="0" w:line="240" w:lineRule="auto"/>
              <w:ind w:left="0" w:leftChars="0" w:right="0" w:rightChars="0"/>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rPr>
              <w:t>联合体投标的仅需牵头人盖电子章，在投标时同时上传联合体协议书（联合体成员均须盖章），其他成员只需盖章后扫描上传即可，如对联合体投标有操作上的疑问，可联系采购代理机构。</w:t>
            </w:r>
          </w:p>
        </w:tc>
      </w:tr>
    </w:tbl>
    <w:p w14:paraId="12CD185D">
      <w:pPr>
        <w:pStyle w:val="9"/>
        <w:shd w:val="clear" w:color="auto" w:fill="auto"/>
        <w:kinsoku/>
        <w:wordWrap w:val="0"/>
        <w:overflowPunct/>
        <w:bidi w:val="0"/>
        <w:spacing w:line="360" w:lineRule="auto"/>
        <w:rPr>
          <w:rFonts w:hint="eastAsia" w:ascii="宋体" w:hAnsi="宋体" w:eastAsia="宋体" w:cs="宋体"/>
          <w:color w:val="auto"/>
          <w:highlight w:val="none"/>
        </w:rPr>
        <w:sectPr>
          <w:footerReference r:id="rId3" w:type="default"/>
          <w:pgSz w:w="11906" w:h="16838"/>
          <w:pgMar w:top="1440" w:right="1080" w:bottom="1440" w:left="1080" w:header="851" w:footer="992" w:gutter="0"/>
          <w:pgNumType w:start="1"/>
          <w:cols w:space="720" w:num="1"/>
          <w:docGrid w:linePitch="312" w:charSpace="0"/>
        </w:sectPr>
      </w:pPr>
    </w:p>
    <w:p w14:paraId="21447097">
      <w:pPr>
        <w:shd w:val="clear" w:color="auto" w:fill="auto"/>
        <w:kinsoku/>
        <w:wordWrap w:val="0"/>
        <w:overflowPunct/>
        <w:autoSpaceDE w:val="0"/>
        <w:autoSpaceDN w:val="0"/>
        <w:bidi w:val="0"/>
        <w:spacing w:line="360" w:lineRule="auto"/>
        <w:jc w:val="center"/>
        <w:textAlignment w:val="bottom"/>
        <w:rPr>
          <w:rFonts w:hint="eastAsia" w:ascii="宋体" w:hAnsi="宋体" w:eastAsia="宋体" w:cs="宋体"/>
          <w:color w:val="auto"/>
          <w:sz w:val="28"/>
          <w:highlight w:val="none"/>
        </w:rPr>
      </w:pPr>
      <w:r>
        <w:rPr>
          <w:rFonts w:hint="eastAsia" w:ascii="宋体" w:hAnsi="宋体" w:eastAsia="宋体" w:cs="宋体"/>
          <w:color w:val="auto"/>
          <w:sz w:val="36"/>
          <w:highlight w:val="none"/>
        </w:rPr>
        <w:t>采购文件目录</w:t>
      </w:r>
    </w:p>
    <w:p w14:paraId="47CD7076">
      <w:pPr>
        <w:shd w:val="clear" w:color="auto" w:fill="auto"/>
        <w:kinsoku/>
        <w:wordWrap w:val="0"/>
        <w:overflowPunct/>
        <w:bidi w:val="0"/>
        <w:spacing w:line="480" w:lineRule="auto"/>
        <w:jc w:val="center"/>
        <w:rPr>
          <w:rFonts w:hint="eastAsia" w:ascii="宋体" w:hAnsi="宋体" w:eastAsia="宋体" w:cs="宋体"/>
          <w:color w:val="auto"/>
          <w:sz w:val="24"/>
          <w:highlight w:val="none"/>
        </w:rPr>
      </w:pPr>
    </w:p>
    <w:p w14:paraId="35143AF3">
      <w:pPr>
        <w:pStyle w:val="21"/>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_Toc15431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zh-CN"/>
        </w:rPr>
        <w:t>第一部分 项目简介</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_Toc15431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5640D74">
      <w:pPr>
        <w:pStyle w:val="21"/>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_Toc15020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第二部分 采购内容及技术要求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_Toc15020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96CCD72">
      <w:pPr>
        <w:pStyle w:val="21"/>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_Toc15258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zh-CN"/>
        </w:rPr>
        <w:t>第三部分</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_Toc15258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FA85959">
      <w:pPr>
        <w:pStyle w:val="15"/>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_Toc19221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_Toc19221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1992316">
      <w:pPr>
        <w:pStyle w:val="15"/>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_Toc22107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二、供应商资格要求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_Toc22107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9D8E7BA">
      <w:pPr>
        <w:pStyle w:val="15"/>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_Toc10391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三、采购文件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_Toc10391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5CF190E">
      <w:pPr>
        <w:pStyle w:val="15"/>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_Toc12846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四、投标文件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_Toc12846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A82E9C2">
      <w:pPr>
        <w:pStyle w:val="15"/>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_Toc16183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五、投标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_Toc16183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736A212">
      <w:pPr>
        <w:pStyle w:val="15"/>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_Toc23198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六、开标和评标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_Toc23198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8BC42E7">
      <w:pPr>
        <w:pStyle w:val="15"/>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_Toc16659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七、授予合同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_Toc16659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BC303AB">
      <w:pPr>
        <w:pStyle w:val="21"/>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_Toc8999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第四部分 采购政策功能相关说明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_Toc8999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34AF4DD">
      <w:pPr>
        <w:pStyle w:val="21"/>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_Toc7442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第五部分 合同格式（仅供参考）</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_Toc7442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376B57E">
      <w:pPr>
        <w:pStyle w:val="21"/>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第六部分 附件—投标文件格式</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8</w:t>
      </w:r>
    </w:p>
    <w:p w14:paraId="1F7C289F">
      <w:pPr>
        <w:pStyle w:val="21"/>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_Toc19137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第七部分 评标办法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_Toc19137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2639999">
      <w:pPr>
        <w:pStyle w:val="21"/>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_Toc23666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国企采购活动现场确认声明书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_Toc23666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D46FEA6">
      <w:pPr>
        <w:pStyle w:val="13"/>
        <w:shd w:val="clear" w:color="auto" w:fill="auto"/>
        <w:kinsoku/>
        <w:wordWrap w:val="0"/>
        <w:overflowPunct/>
        <w:bidi w:val="0"/>
        <w:spacing w:before="0" w:beforeLines="0" w:after="0" w:afterLines="0" w:line="480" w:lineRule="auto"/>
        <w:ind w:left="0" w:firstLine="0" w:firstLineChars="0"/>
        <w:rPr>
          <w:rFonts w:hint="eastAsia" w:ascii="宋体" w:hAnsi="宋体" w:eastAsia="宋体" w:cs="宋体"/>
          <w:color w:val="auto"/>
          <w:highlight w:val="none"/>
        </w:rPr>
      </w:pPr>
      <w:r>
        <w:rPr>
          <w:rFonts w:hint="eastAsia" w:ascii="宋体" w:hAnsi="宋体" w:eastAsia="宋体" w:cs="宋体"/>
          <w:color w:val="auto"/>
          <w:sz w:val="24"/>
          <w:szCs w:val="24"/>
          <w:highlight w:val="none"/>
        </w:rPr>
        <w:fldChar w:fldCharType="end"/>
      </w:r>
    </w:p>
    <w:p w14:paraId="3130E369">
      <w:pPr>
        <w:pStyle w:val="13"/>
        <w:shd w:val="clear" w:color="auto" w:fill="auto"/>
        <w:kinsoku/>
        <w:wordWrap w:val="0"/>
        <w:overflowPunct/>
        <w:bidi w:val="0"/>
        <w:spacing w:before="0" w:beforeLines="0" w:after="0" w:afterLines="0" w:line="360" w:lineRule="auto"/>
        <w:ind w:left="0" w:firstLine="0" w:firstLineChars="0"/>
        <w:rPr>
          <w:rFonts w:hint="eastAsia" w:ascii="宋体" w:hAnsi="宋体" w:eastAsia="宋体" w:cs="宋体"/>
          <w:color w:val="auto"/>
          <w:highlight w:val="none"/>
        </w:rPr>
      </w:pPr>
    </w:p>
    <w:p w14:paraId="1474D8BA">
      <w:pPr>
        <w:pStyle w:val="13"/>
        <w:shd w:val="clear" w:color="auto" w:fill="auto"/>
        <w:kinsoku/>
        <w:wordWrap w:val="0"/>
        <w:overflowPunct/>
        <w:bidi w:val="0"/>
        <w:spacing w:before="0" w:beforeLines="0" w:after="0" w:afterLines="0" w:line="360" w:lineRule="auto"/>
        <w:ind w:left="0" w:firstLine="0" w:firstLineChars="0"/>
        <w:rPr>
          <w:rFonts w:hint="eastAsia" w:ascii="宋体" w:hAnsi="宋体" w:eastAsia="宋体" w:cs="宋体"/>
          <w:color w:val="auto"/>
          <w:highlight w:val="none"/>
        </w:rPr>
      </w:pPr>
    </w:p>
    <w:p w14:paraId="64FCC6E6">
      <w:pPr>
        <w:pStyle w:val="13"/>
        <w:shd w:val="clear" w:color="auto" w:fill="auto"/>
        <w:kinsoku/>
        <w:wordWrap w:val="0"/>
        <w:overflowPunct/>
        <w:bidi w:val="0"/>
        <w:spacing w:before="0" w:beforeLines="0" w:after="0" w:afterLines="0" w:line="360" w:lineRule="auto"/>
        <w:ind w:left="0" w:firstLine="0" w:firstLineChars="0"/>
        <w:rPr>
          <w:rFonts w:hint="eastAsia" w:ascii="宋体" w:hAnsi="宋体" w:eastAsia="宋体" w:cs="宋体"/>
          <w:color w:val="auto"/>
          <w:highlight w:val="none"/>
        </w:rPr>
      </w:pPr>
    </w:p>
    <w:p w14:paraId="0F976D0A">
      <w:pPr>
        <w:shd w:val="clear" w:color="auto" w:fill="auto"/>
        <w:kinsoku/>
        <w:wordWrap w:val="0"/>
        <w:overflowPunct/>
        <w:autoSpaceDE w:val="0"/>
        <w:autoSpaceDN w:val="0"/>
        <w:bidi w:val="0"/>
        <w:adjustRightInd w:val="0"/>
        <w:snapToGrid w:val="0"/>
        <w:spacing w:line="360" w:lineRule="auto"/>
        <w:jc w:val="center"/>
        <w:textAlignment w:val="bottom"/>
        <w:outlineLvl w:val="0"/>
        <w:rPr>
          <w:rFonts w:hint="eastAsia" w:ascii="宋体" w:hAnsi="宋体" w:eastAsia="宋体" w:cs="宋体"/>
          <w:b/>
          <w:color w:val="auto"/>
          <w:sz w:val="36"/>
          <w:highlight w:val="none"/>
          <w:lang w:val="zh-CN"/>
        </w:rPr>
      </w:pPr>
      <w:bookmarkStart w:id="7" w:name="_Toc15431"/>
      <w:r>
        <w:rPr>
          <w:rFonts w:hint="eastAsia" w:ascii="宋体" w:hAnsi="宋体" w:eastAsia="宋体" w:cs="宋体"/>
          <w:b/>
          <w:color w:val="auto"/>
          <w:sz w:val="36"/>
          <w:highlight w:val="none"/>
          <w:lang w:val="zh-CN"/>
        </w:rPr>
        <w:br w:type="page"/>
      </w:r>
      <w:r>
        <w:rPr>
          <w:rFonts w:hint="eastAsia" w:ascii="宋体" w:hAnsi="宋体" w:eastAsia="宋体" w:cs="宋体"/>
          <w:b/>
          <w:color w:val="auto"/>
          <w:sz w:val="36"/>
          <w:highlight w:val="none"/>
          <w:lang w:val="zh-CN"/>
        </w:rPr>
        <w:t>第一部分 项目简介</w:t>
      </w:r>
      <w:bookmarkEnd w:id="7"/>
    </w:p>
    <w:p w14:paraId="427CE774">
      <w:pPr>
        <w:pStyle w:val="22"/>
        <w:shd w:val="clear" w:color="auto" w:fill="auto"/>
        <w:kinsoku/>
        <w:wordWrap w:val="0"/>
        <w:overflowPunct/>
        <w:bidi w:val="0"/>
        <w:adjustRightInd w:val="0"/>
        <w:snapToGrid w:val="0"/>
        <w:spacing w:line="360" w:lineRule="auto"/>
        <w:ind w:firstLine="0" w:firstLineChars="0"/>
        <w:outlineLvl w:val="0"/>
        <w:rPr>
          <w:rFonts w:hint="eastAsia" w:ascii="宋体" w:hAnsi="宋体" w:eastAsia="宋体" w:cs="宋体"/>
          <w:b/>
          <w:color w:val="auto"/>
          <w:sz w:val="22"/>
          <w:szCs w:val="22"/>
          <w:highlight w:val="none"/>
        </w:rPr>
      </w:pPr>
      <w:bookmarkStart w:id="8" w:name="_Toc7800"/>
      <w:bookmarkStart w:id="9" w:name="_Toc23157"/>
      <w:bookmarkStart w:id="10" w:name="_Toc611"/>
      <w:bookmarkStart w:id="11" w:name="_Toc444066171"/>
      <w:r>
        <w:rPr>
          <w:rFonts w:hint="eastAsia" w:ascii="宋体" w:hAnsi="宋体" w:eastAsia="宋体" w:cs="宋体"/>
          <w:b/>
          <w:color w:val="auto"/>
          <w:sz w:val="22"/>
          <w:szCs w:val="22"/>
          <w:highlight w:val="none"/>
        </w:rPr>
        <w:t>1、项目简介</w:t>
      </w:r>
      <w:bookmarkEnd w:id="8"/>
      <w:bookmarkEnd w:id="9"/>
      <w:bookmarkEnd w:id="10"/>
    </w:p>
    <w:p w14:paraId="5336E94B">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浙江德亿项目管理咨询有限公司</w:t>
      </w:r>
      <w:r>
        <w:rPr>
          <w:rFonts w:hint="eastAsia" w:ascii="宋体" w:hAnsi="宋体" w:eastAsia="宋体" w:cs="宋体"/>
          <w:color w:val="auto"/>
          <w:sz w:val="22"/>
          <w:szCs w:val="22"/>
          <w:highlight w:val="none"/>
        </w:rPr>
        <w:t>受</w:t>
      </w:r>
      <w:r>
        <w:rPr>
          <w:rFonts w:hint="eastAsia" w:ascii="宋体" w:hAnsi="宋体" w:cs="宋体"/>
          <w:color w:val="auto"/>
          <w:sz w:val="22"/>
          <w:szCs w:val="22"/>
          <w:highlight w:val="none"/>
          <w:lang w:val="en-US" w:eastAsia="zh-CN"/>
        </w:rPr>
        <w:t>平阳县兴致房地产开发有限公司</w:t>
      </w:r>
      <w:r>
        <w:rPr>
          <w:rFonts w:hint="eastAsia" w:ascii="宋体" w:hAnsi="宋体" w:eastAsia="宋体" w:cs="宋体"/>
          <w:color w:val="auto"/>
          <w:sz w:val="22"/>
          <w:szCs w:val="22"/>
          <w:highlight w:val="none"/>
        </w:rPr>
        <w:t>委托</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以公开招标方式采购</w:t>
      </w:r>
      <w:r>
        <w:rPr>
          <w:rFonts w:hint="eastAsia" w:ascii="宋体" w:hAnsi="宋体" w:cs="宋体"/>
          <w:color w:val="auto"/>
          <w:sz w:val="22"/>
          <w:szCs w:val="22"/>
          <w:highlight w:val="none"/>
          <w:lang w:eastAsia="zh-CN"/>
        </w:rPr>
        <w:t>平阳县万全镇中心区B12地块项目代建（含初步设计及品牌冠名）服务采购</w:t>
      </w:r>
      <w:r>
        <w:rPr>
          <w:rFonts w:hint="eastAsia" w:ascii="宋体" w:hAnsi="宋体" w:eastAsia="宋体" w:cs="宋体"/>
          <w:color w:val="auto"/>
          <w:sz w:val="22"/>
          <w:szCs w:val="22"/>
          <w:highlight w:val="none"/>
        </w:rPr>
        <w:t>，本次招标资金已经落实。</w:t>
      </w:r>
    </w:p>
    <w:p w14:paraId="3F460633">
      <w:pPr>
        <w:shd w:val="clear" w:color="auto" w:fill="auto"/>
        <w:kinsoku/>
        <w:wordWrap w:val="0"/>
        <w:overflowPunct/>
        <w:bidi w:val="0"/>
        <w:spacing w:line="360" w:lineRule="auto"/>
        <w:ind w:firstLine="440" w:firstLineChars="2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我们热情欢迎有关公司（企业）前来进行投标。</w:t>
      </w:r>
      <w:bookmarkEnd w:id="11"/>
    </w:p>
    <w:p w14:paraId="63DC9B66">
      <w:pPr>
        <w:numPr>
          <w:ilvl w:val="0"/>
          <w:numId w:val="3"/>
        </w:numPr>
        <w:shd w:val="clear" w:color="auto" w:fill="auto"/>
        <w:kinsoku/>
        <w:wordWrap w:val="0"/>
        <w:overflowPunct/>
        <w:autoSpaceDE w:val="0"/>
        <w:autoSpaceDN w:val="0"/>
        <w:bidi w:val="0"/>
        <w:adjustRightInd w:val="0"/>
        <w:snapToGrid w:val="0"/>
        <w:spacing w:line="360" w:lineRule="auto"/>
        <w:jc w:val="center"/>
        <w:textAlignment w:val="bottom"/>
        <w:outlineLvl w:val="0"/>
        <w:rPr>
          <w:rFonts w:hint="eastAsia" w:ascii="宋体" w:hAnsi="宋体" w:eastAsia="宋体" w:cs="宋体"/>
          <w:b/>
          <w:color w:val="auto"/>
          <w:sz w:val="36"/>
          <w:highlight w:val="none"/>
        </w:rPr>
      </w:pPr>
      <w:bookmarkStart w:id="12" w:name="_Toc15020"/>
      <w:r>
        <w:rPr>
          <w:rFonts w:hint="eastAsia" w:ascii="宋体" w:hAnsi="宋体" w:eastAsia="宋体" w:cs="宋体"/>
          <w:b/>
          <w:color w:val="auto"/>
          <w:sz w:val="36"/>
          <w:highlight w:val="none"/>
        </w:rPr>
        <w:t>采购内容及技术要求</w:t>
      </w:r>
      <w:bookmarkEnd w:id="12"/>
    </w:p>
    <w:p w14:paraId="256911B0">
      <w:pPr>
        <w:kinsoku/>
        <w:wordWrap w:val="0"/>
        <w:overflowPunct/>
        <w:bidi w:val="0"/>
        <w:spacing w:line="360" w:lineRule="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rPr>
        <w:t>一、项目</w:t>
      </w:r>
      <w:r>
        <w:rPr>
          <w:rFonts w:hint="eastAsia" w:ascii="宋体" w:hAnsi="宋体" w:eastAsia="宋体" w:cs="宋体"/>
          <w:b/>
          <w:bCs/>
          <w:color w:val="auto"/>
          <w:sz w:val="22"/>
          <w:szCs w:val="22"/>
          <w:highlight w:val="none"/>
          <w:lang w:val="en-US" w:eastAsia="zh-CN"/>
        </w:rPr>
        <w:t>背景</w:t>
      </w:r>
    </w:p>
    <w:p w14:paraId="69E1E216">
      <w:pPr>
        <w:kinsoku/>
        <w:wordWrap w:val="0"/>
        <w:overflowPunct/>
        <w:bidi w:val="0"/>
        <w:spacing w:line="360" w:lineRule="auto"/>
        <w:ind w:firstLine="420" w:firstLineChars="0"/>
        <w:rPr>
          <w:rFonts w:hint="eastAsia" w:ascii="宋体" w:hAnsi="宋体" w:eastAsia="宋体" w:cs="宋体"/>
          <w:color w:val="auto"/>
          <w:sz w:val="22"/>
          <w:szCs w:val="22"/>
          <w:highlight w:val="none"/>
          <w:lang w:val="en-US" w:eastAsia="en-US"/>
        </w:rPr>
      </w:pPr>
      <w:r>
        <w:rPr>
          <w:rFonts w:hint="eastAsia" w:ascii="宋体" w:hAnsi="宋体" w:eastAsia="宋体" w:cs="宋体"/>
          <w:color w:val="auto"/>
          <w:sz w:val="22"/>
          <w:szCs w:val="22"/>
          <w:highlight w:val="none"/>
          <w:lang w:val="en-US" w:eastAsia="en-US"/>
        </w:rPr>
        <w:t>1土地使用</w:t>
      </w:r>
    </w:p>
    <w:p w14:paraId="7CFD7C98">
      <w:pPr>
        <w:kinsoku/>
        <w:wordWrap w:val="0"/>
        <w:overflowPunct/>
        <w:bidi w:val="0"/>
        <w:spacing w:line="360" w:lineRule="auto"/>
        <w:ind w:firstLine="420" w:firstLineChars="0"/>
        <w:rPr>
          <w:rFonts w:hint="eastAsia" w:ascii="宋体" w:hAnsi="宋体" w:eastAsia="宋体" w:cs="宋体"/>
          <w:color w:val="auto"/>
          <w:sz w:val="22"/>
          <w:szCs w:val="22"/>
          <w:highlight w:val="none"/>
          <w:lang w:eastAsia="en-US"/>
        </w:rPr>
      </w:pPr>
      <w:r>
        <w:rPr>
          <w:rFonts w:hint="eastAsia" w:ascii="宋体" w:hAnsi="宋体" w:eastAsia="宋体" w:cs="宋体"/>
          <w:color w:val="auto"/>
          <w:sz w:val="22"/>
          <w:szCs w:val="22"/>
          <w:highlight w:val="none"/>
          <w:lang w:eastAsia="en-US"/>
        </w:rPr>
        <w:t>1.1建设用地面积：41012平方米。</w:t>
      </w:r>
    </w:p>
    <w:p w14:paraId="6098898E">
      <w:pPr>
        <w:kinsoku/>
        <w:wordWrap w:val="0"/>
        <w:overflowPunct/>
        <w:bidi w:val="0"/>
        <w:spacing w:line="360" w:lineRule="auto"/>
        <w:ind w:firstLine="420" w:firstLineChars="0"/>
        <w:rPr>
          <w:rFonts w:hint="eastAsia" w:ascii="宋体" w:hAnsi="宋体" w:eastAsia="宋体" w:cs="宋体"/>
          <w:color w:val="auto"/>
          <w:sz w:val="22"/>
          <w:szCs w:val="22"/>
          <w:highlight w:val="none"/>
          <w:lang w:val="en-US" w:eastAsia="en-US"/>
        </w:rPr>
      </w:pPr>
      <w:r>
        <w:rPr>
          <w:rFonts w:hint="eastAsia" w:ascii="宋体" w:hAnsi="宋体" w:eastAsia="宋体" w:cs="宋体"/>
          <w:color w:val="auto"/>
          <w:sz w:val="22"/>
          <w:szCs w:val="22"/>
          <w:highlight w:val="none"/>
          <w:lang w:val="en-US" w:eastAsia="en-US"/>
        </w:rPr>
        <w:t>具体界线详见红线图（最终以勘测定界报告及附图为准）。</w:t>
      </w:r>
    </w:p>
    <w:p w14:paraId="7CDF33C5">
      <w:pPr>
        <w:kinsoku/>
        <w:wordWrap w:val="0"/>
        <w:overflowPunct/>
        <w:bidi w:val="0"/>
        <w:spacing w:line="360" w:lineRule="auto"/>
        <w:ind w:firstLine="420" w:firstLineChars="0"/>
        <w:rPr>
          <w:rFonts w:hint="eastAsia" w:ascii="宋体" w:hAnsi="宋体" w:eastAsia="宋体" w:cs="宋体"/>
          <w:color w:val="auto"/>
          <w:sz w:val="22"/>
          <w:szCs w:val="22"/>
          <w:highlight w:val="none"/>
          <w:lang w:val="en-US" w:eastAsia="en-US"/>
        </w:rPr>
      </w:pPr>
      <w:r>
        <w:rPr>
          <w:rFonts w:hint="eastAsia" w:ascii="宋体" w:hAnsi="宋体" w:eastAsia="宋体" w:cs="宋体"/>
          <w:color w:val="auto"/>
          <w:sz w:val="22"/>
          <w:szCs w:val="22"/>
          <w:highlight w:val="none"/>
          <w:lang w:val="en-US" w:eastAsia="en-US"/>
        </w:rPr>
        <w:t>1.2规划用地性质：零售商业、城镇住宅用地。</w:t>
      </w:r>
    </w:p>
    <w:p w14:paraId="0A06F9CD">
      <w:pPr>
        <w:kinsoku/>
        <w:wordWrap w:val="0"/>
        <w:overflowPunct/>
        <w:bidi w:val="0"/>
        <w:spacing w:line="360" w:lineRule="auto"/>
        <w:ind w:firstLine="420" w:firstLineChars="0"/>
        <w:rPr>
          <w:rFonts w:hint="eastAsia" w:ascii="宋体" w:hAnsi="宋体" w:eastAsia="宋体" w:cs="宋体"/>
          <w:color w:val="auto"/>
          <w:sz w:val="22"/>
          <w:szCs w:val="22"/>
          <w:highlight w:val="none"/>
          <w:lang w:eastAsia="en-US"/>
        </w:rPr>
      </w:pPr>
      <w:r>
        <w:rPr>
          <w:rFonts w:hint="eastAsia" w:ascii="宋体" w:hAnsi="宋体" w:eastAsia="宋体" w:cs="宋体"/>
          <w:color w:val="auto"/>
          <w:sz w:val="22"/>
          <w:szCs w:val="22"/>
          <w:highlight w:val="none"/>
          <w:lang w:eastAsia="en-US"/>
        </w:rPr>
        <w:t>1.3用地兼容性要求：无</w:t>
      </w:r>
    </w:p>
    <w:p w14:paraId="2309A1DE">
      <w:pPr>
        <w:kinsoku/>
        <w:wordWrap w:val="0"/>
        <w:overflowPunct/>
        <w:bidi w:val="0"/>
        <w:spacing w:line="360" w:lineRule="auto"/>
        <w:ind w:firstLine="420" w:firstLineChars="0"/>
        <w:rPr>
          <w:rFonts w:hint="eastAsia" w:ascii="宋体" w:hAnsi="宋体" w:eastAsia="宋体" w:cs="宋体"/>
          <w:color w:val="auto"/>
          <w:sz w:val="22"/>
          <w:szCs w:val="22"/>
          <w:highlight w:val="none"/>
          <w:lang w:eastAsia="en-US"/>
        </w:rPr>
      </w:pPr>
      <w:r>
        <w:rPr>
          <w:rFonts w:hint="eastAsia" w:ascii="宋体" w:hAnsi="宋体" w:eastAsia="宋体" w:cs="宋体"/>
          <w:color w:val="auto"/>
          <w:sz w:val="22"/>
          <w:szCs w:val="22"/>
          <w:highlight w:val="none"/>
          <w:lang w:eastAsia="en-US"/>
        </w:rPr>
        <w:t>2环境容量</w:t>
      </w:r>
    </w:p>
    <w:p w14:paraId="78B3EDBB">
      <w:pPr>
        <w:kinsoku/>
        <w:wordWrap w:val="0"/>
        <w:overflowPunct/>
        <w:bidi w:val="0"/>
        <w:spacing w:line="360" w:lineRule="auto"/>
        <w:ind w:firstLine="420" w:firstLineChars="0"/>
        <w:rPr>
          <w:rFonts w:hint="eastAsia" w:ascii="宋体" w:hAnsi="宋体" w:eastAsia="宋体" w:cs="宋体"/>
          <w:color w:val="auto"/>
          <w:sz w:val="22"/>
          <w:szCs w:val="22"/>
          <w:highlight w:val="none"/>
          <w:lang w:eastAsia="en-US"/>
        </w:rPr>
      </w:pPr>
      <w:r>
        <w:rPr>
          <w:rFonts w:hint="eastAsia" w:ascii="宋体" w:hAnsi="宋体" w:eastAsia="宋体" w:cs="宋体"/>
          <w:color w:val="auto"/>
          <w:sz w:val="22"/>
          <w:szCs w:val="22"/>
          <w:highlight w:val="none"/>
          <w:lang w:eastAsia="en-US"/>
        </w:rPr>
        <w:t>2.1容积率：1.3＜容积率</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lang w:eastAsia="en-US"/>
        </w:rPr>
        <w:t>2.5</w:t>
      </w:r>
    </w:p>
    <w:p w14:paraId="5F4423D6">
      <w:pPr>
        <w:kinsoku/>
        <w:wordWrap w:val="0"/>
        <w:overflowPunct/>
        <w:bidi w:val="0"/>
        <w:spacing w:line="360" w:lineRule="auto"/>
        <w:ind w:firstLine="420" w:firstLineChars="0"/>
        <w:rPr>
          <w:rFonts w:hint="eastAsia" w:ascii="宋体" w:hAnsi="宋体" w:eastAsia="宋体" w:cs="宋体"/>
          <w:color w:val="auto"/>
          <w:sz w:val="22"/>
          <w:szCs w:val="22"/>
          <w:highlight w:val="none"/>
          <w:lang w:eastAsia="en-US"/>
        </w:rPr>
      </w:pPr>
      <w:r>
        <w:rPr>
          <w:rFonts w:hint="eastAsia" w:ascii="宋体" w:hAnsi="宋体" w:eastAsia="宋体" w:cs="宋体"/>
          <w:color w:val="auto"/>
          <w:sz w:val="22"/>
          <w:szCs w:val="22"/>
          <w:highlight w:val="none"/>
          <w:lang w:eastAsia="en-US"/>
        </w:rPr>
        <w:t>2.2建筑密度：</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lang w:eastAsia="en-US"/>
        </w:rPr>
        <w:t>22%。</w:t>
      </w:r>
    </w:p>
    <w:p w14:paraId="775F4493">
      <w:pPr>
        <w:kinsoku/>
        <w:wordWrap w:val="0"/>
        <w:overflowPunct/>
        <w:bidi w:val="0"/>
        <w:spacing w:line="360" w:lineRule="auto"/>
        <w:ind w:firstLine="420" w:firstLineChars="0"/>
        <w:rPr>
          <w:rFonts w:hint="eastAsia" w:ascii="宋体" w:hAnsi="宋体" w:eastAsia="宋体" w:cs="宋体"/>
          <w:color w:val="auto"/>
          <w:sz w:val="22"/>
          <w:szCs w:val="22"/>
          <w:highlight w:val="none"/>
          <w:lang w:eastAsia="en-US"/>
        </w:rPr>
      </w:pPr>
      <w:r>
        <w:rPr>
          <w:rFonts w:hint="eastAsia" w:ascii="宋体" w:hAnsi="宋体" w:eastAsia="宋体" w:cs="宋体"/>
          <w:color w:val="auto"/>
          <w:sz w:val="22"/>
          <w:szCs w:val="22"/>
          <w:highlight w:val="none"/>
          <w:lang w:eastAsia="en-US"/>
        </w:rPr>
        <w:t>2.3绿地率：</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lang w:eastAsia="en-US"/>
        </w:rPr>
        <w:t>35%。</w:t>
      </w:r>
    </w:p>
    <w:p w14:paraId="020C404C">
      <w:pPr>
        <w:kinsoku/>
        <w:wordWrap w:val="0"/>
        <w:overflowPunct/>
        <w:bidi w:val="0"/>
        <w:spacing w:line="360" w:lineRule="auto"/>
        <w:ind w:firstLine="420" w:firstLineChars="0"/>
        <w:rPr>
          <w:rFonts w:hint="eastAsia" w:ascii="宋体" w:hAnsi="宋体" w:eastAsia="宋体" w:cs="宋体"/>
          <w:color w:val="auto"/>
          <w:sz w:val="22"/>
          <w:szCs w:val="22"/>
          <w:highlight w:val="none"/>
          <w:lang w:eastAsia="en-US"/>
        </w:rPr>
      </w:pPr>
      <w:r>
        <w:rPr>
          <w:rFonts w:hint="eastAsia" w:ascii="宋体" w:hAnsi="宋体" w:eastAsia="宋体" w:cs="宋体"/>
          <w:color w:val="auto"/>
          <w:sz w:val="22"/>
          <w:szCs w:val="22"/>
          <w:highlight w:val="none"/>
          <w:lang w:eastAsia="en-US"/>
        </w:rPr>
        <w:t>2.4建筑高度：</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lang w:eastAsia="en-US"/>
        </w:rPr>
        <w:t>54米。</w:t>
      </w:r>
    </w:p>
    <w:p w14:paraId="6AAEADEE">
      <w:pPr>
        <w:kinsoku/>
        <w:wordWrap w:val="0"/>
        <w:overflowPunct/>
        <w:bidi w:val="0"/>
        <w:spacing w:line="360" w:lineRule="auto"/>
        <w:ind w:firstLine="420" w:firstLineChars="0"/>
        <w:rPr>
          <w:rFonts w:hint="eastAsia" w:ascii="宋体" w:hAnsi="宋体" w:eastAsia="宋体" w:cs="宋体"/>
          <w:color w:val="auto"/>
          <w:sz w:val="22"/>
          <w:szCs w:val="22"/>
          <w:highlight w:val="none"/>
          <w:lang w:eastAsia="en-US"/>
        </w:rPr>
      </w:pPr>
      <w:r>
        <w:rPr>
          <w:rFonts w:hint="eastAsia" w:ascii="宋体" w:hAnsi="宋体" w:eastAsia="宋体" w:cs="宋体"/>
          <w:color w:val="auto"/>
          <w:sz w:val="22"/>
          <w:szCs w:val="22"/>
          <w:highlight w:val="none"/>
          <w:lang w:eastAsia="en-US"/>
        </w:rPr>
        <w:t>2.5建筑规模：</w:t>
      </w:r>
      <w:r>
        <w:rPr>
          <w:rFonts w:hint="eastAsia" w:ascii="宋体" w:hAnsi="宋体" w:eastAsia="宋体" w:cs="宋体"/>
          <w:color w:val="auto"/>
          <w:sz w:val="22"/>
          <w:szCs w:val="22"/>
          <w:highlight w:val="none"/>
          <w:lang w:val="en-US" w:eastAsia="zh-CN"/>
        </w:rPr>
        <w:t>53315m²＜</w:t>
      </w:r>
      <w:r>
        <w:rPr>
          <w:rFonts w:hint="eastAsia" w:ascii="宋体" w:hAnsi="宋体" w:eastAsia="宋体" w:cs="宋体"/>
          <w:color w:val="auto"/>
          <w:sz w:val="22"/>
          <w:szCs w:val="22"/>
          <w:highlight w:val="none"/>
          <w:lang w:eastAsia="en-US"/>
        </w:rPr>
        <w:t>计入容积率的地上总建筑面积</w:t>
      </w:r>
      <w:r>
        <w:rPr>
          <w:rFonts w:hint="eastAsia" w:ascii="宋体" w:hAnsi="宋体" w:eastAsia="宋体" w:cs="宋体"/>
          <w:color w:val="auto"/>
          <w:sz w:val="22"/>
          <w:szCs w:val="22"/>
          <w:highlight w:val="none"/>
          <w:lang w:val="en-US" w:eastAsia="zh-CN"/>
        </w:rPr>
        <w:t>＜102530m²</w:t>
      </w:r>
      <w:r>
        <w:rPr>
          <w:rFonts w:hint="eastAsia" w:ascii="宋体" w:hAnsi="宋体" w:eastAsia="宋体" w:cs="宋体"/>
          <w:color w:val="auto"/>
          <w:sz w:val="22"/>
          <w:szCs w:val="22"/>
          <w:highlight w:val="none"/>
          <w:lang w:eastAsia="en-US"/>
        </w:rPr>
        <w:t>。其中，零售商业面积</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lang w:eastAsia="en-US"/>
        </w:rPr>
        <w:t>3000平方米。</w:t>
      </w:r>
    </w:p>
    <w:p w14:paraId="46EDEB78">
      <w:pPr>
        <w:kinsoku/>
        <w:wordWrap w:val="0"/>
        <w:overflowPunct/>
        <w:bidi w:val="0"/>
        <w:spacing w:line="360" w:lineRule="auto"/>
        <w:ind w:firstLine="420" w:firstLineChars="0"/>
        <w:rPr>
          <w:rFonts w:hint="eastAsia" w:ascii="宋体" w:hAnsi="宋体" w:eastAsia="宋体" w:cs="宋体"/>
          <w:color w:val="auto"/>
          <w:sz w:val="22"/>
          <w:szCs w:val="22"/>
          <w:highlight w:val="none"/>
          <w:lang w:eastAsia="en-US"/>
        </w:rPr>
      </w:pPr>
      <w:r>
        <w:rPr>
          <w:rFonts w:hint="eastAsia" w:ascii="宋体" w:hAnsi="宋体" w:eastAsia="宋体" w:cs="宋体"/>
          <w:color w:val="auto"/>
          <w:sz w:val="22"/>
          <w:szCs w:val="22"/>
          <w:highlight w:val="none"/>
          <w:lang w:val="en-US" w:eastAsia="en-US"/>
        </w:rPr>
        <w:t>2.6日照要求：建设项目自身和对周边的日照影响应符合</w:t>
      </w:r>
      <w:r>
        <w:rPr>
          <w:rFonts w:hint="eastAsia" w:ascii="宋体" w:hAnsi="宋体" w:eastAsia="宋体" w:cs="宋体"/>
          <w:color w:val="auto"/>
          <w:sz w:val="22"/>
          <w:szCs w:val="22"/>
          <w:highlight w:val="none"/>
          <w:lang w:eastAsia="en-US"/>
        </w:rPr>
        <w:t>《城市建筑工程日照分析技术规程》DB33/1050-2016要求。</w:t>
      </w:r>
    </w:p>
    <w:p w14:paraId="3372E10C">
      <w:pPr>
        <w:kinsoku/>
        <w:wordWrap w:val="0"/>
        <w:overflowPunct/>
        <w:bidi w:val="0"/>
        <w:spacing w:line="360" w:lineRule="auto"/>
        <w:ind w:firstLine="420" w:firstLineChars="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3其他</w:t>
      </w:r>
    </w:p>
    <w:p w14:paraId="5EDDB455">
      <w:pPr>
        <w:kinsoku/>
        <w:wordWrap w:val="0"/>
        <w:overflowPunct/>
        <w:bidi w:val="0"/>
        <w:spacing w:line="360" w:lineRule="auto"/>
        <w:ind w:firstLine="420" w:firstLineChars="0"/>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其他内容详见附件。</w:t>
      </w:r>
    </w:p>
    <w:p w14:paraId="2DF1C256">
      <w:pPr>
        <w:kinsoku/>
        <w:wordWrap w:val="0"/>
        <w:overflowPunct/>
        <w:bidi w:val="0"/>
        <w:spacing w:line="360" w:lineRule="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rPr>
        <w:t>二、采购范围</w:t>
      </w:r>
      <w:r>
        <w:rPr>
          <w:rFonts w:hint="eastAsia" w:ascii="宋体" w:hAnsi="宋体" w:eastAsia="宋体" w:cs="宋体"/>
          <w:b/>
          <w:bCs/>
          <w:color w:val="auto"/>
          <w:sz w:val="22"/>
          <w:szCs w:val="22"/>
          <w:highlight w:val="none"/>
          <w:lang w:eastAsia="zh-CN"/>
        </w:rPr>
        <w:t>：</w:t>
      </w:r>
    </w:p>
    <w:p w14:paraId="2A529D1A">
      <w:pPr>
        <w:kinsoku/>
        <w:wordWrap w:val="0"/>
        <w:overflowPunct/>
        <w:bidi w:val="0"/>
        <w:spacing w:line="360" w:lineRule="auto"/>
        <w:ind w:firstLine="42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包括本工程的</w:t>
      </w:r>
      <w:r>
        <w:rPr>
          <w:rFonts w:hint="eastAsia" w:ascii="宋体" w:hAnsi="宋体" w:cs="宋体"/>
          <w:b w:val="0"/>
          <w:bCs w:val="0"/>
          <w:color w:val="auto"/>
          <w:sz w:val="22"/>
          <w:szCs w:val="22"/>
          <w:highlight w:val="none"/>
          <w:lang w:val="en-US" w:eastAsia="zh-CN"/>
        </w:rPr>
        <w:t>建设管理（含品牌冠名）</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rPr>
        <w:t>方案设计、初步设计</w:t>
      </w:r>
      <w:r>
        <w:rPr>
          <w:rFonts w:hint="eastAsia" w:ascii="宋体" w:hAnsi="宋体" w:eastAsia="宋体" w:cs="宋体"/>
          <w:color w:val="auto"/>
          <w:sz w:val="22"/>
          <w:szCs w:val="22"/>
          <w:highlight w:val="none"/>
          <w:lang w:val="en-US" w:eastAsia="zh-CN"/>
        </w:rPr>
        <w:t>（含概算编制及调整）</w:t>
      </w:r>
      <w:r>
        <w:rPr>
          <w:rFonts w:hint="eastAsia" w:ascii="宋体" w:hAnsi="宋体" w:eastAsia="宋体" w:cs="宋体"/>
          <w:color w:val="auto"/>
          <w:sz w:val="22"/>
          <w:szCs w:val="22"/>
          <w:highlight w:val="none"/>
        </w:rPr>
        <w:t>及相关服务</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不含勘察</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w:t>
      </w:r>
    </w:p>
    <w:p w14:paraId="76617E95">
      <w:pPr>
        <w:kinsoku/>
        <w:wordWrap w:val="0"/>
        <w:overflowPunct/>
        <w:bidi w:val="0"/>
        <w:spacing w:line="360" w:lineRule="auto"/>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三</w:t>
      </w:r>
      <w:r>
        <w:rPr>
          <w:rFonts w:hint="eastAsia" w:ascii="宋体" w:hAnsi="宋体" w:eastAsia="宋体" w:cs="宋体"/>
          <w:b/>
          <w:bCs/>
          <w:color w:val="auto"/>
          <w:sz w:val="22"/>
          <w:szCs w:val="22"/>
          <w:highlight w:val="none"/>
        </w:rPr>
        <w:t>、</w:t>
      </w:r>
      <w:r>
        <w:rPr>
          <w:rFonts w:hint="eastAsia" w:ascii="宋体" w:hAnsi="宋体" w:cs="宋体"/>
          <w:b/>
          <w:bCs/>
          <w:color w:val="auto"/>
          <w:sz w:val="22"/>
          <w:szCs w:val="22"/>
          <w:highlight w:val="none"/>
          <w:lang w:val="en-US" w:eastAsia="zh-CN"/>
        </w:rPr>
        <w:t>工作要求</w:t>
      </w:r>
    </w:p>
    <w:p w14:paraId="7F650BE7">
      <w:pPr>
        <w:kinsoku/>
        <w:wordWrap w:val="0"/>
        <w:overflowPunct/>
        <w:bidi w:val="0"/>
        <w:spacing w:line="360" w:lineRule="auto"/>
        <w:ind w:firstLine="420"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一</w:t>
      </w:r>
      <w:r>
        <w:rPr>
          <w:rFonts w:hint="eastAsia" w:ascii="宋体" w:hAnsi="宋体" w:eastAsia="宋体" w:cs="宋体"/>
          <w:color w:val="auto"/>
          <w:sz w:val="22"/>
          <w:szCs w:val="22"/>
          <w:highlight w:val="none"/>
          <w:lang w:val="en-US" w:eastAsia="zh-CN"/>
        </w:rPr>
        <w:t>）设计：方案设计、初步设计（含概算编制及调整）及相关服务。</w:t>
      </w:r>
      <w:r>
        <w:rPr>
          <w:rFonts w:hint="eastAsia" w:ascii="宋体" w:hAnsi="宋体" w:cs="宋体"/>
          <w:color w:val="auto"/>
          <w:sz w:val="22"/>
          <w:szCs w:val="22"/>
          <w:highlight w:val="none"/>
          <w:lang w:val="en-US" w:eastAsia="zh-CN"/>
        </w:rPr>
        <w:t>本工程设计包括（但不限于）</w:t>
      </w:r>
      <w:r>
        <w:rPr>
          <w:rFonts w:hint="eastAsia" w:ascii="宋体" w:hAnsi="宋体" w:eastAsia="宋体" w:cs="宋体"/>
          <w:color w:val="auto"/>
          <w:sz w:val="22"/>
          <w:szCs w:val="22"/>
          <w:highlight w:val="none"/>
          <w:lang w:val="en-US" w:eastAsia="zh-CN"/>
        </w:rPr>
        <w:t>用地红线范围内的</w:t>
      </w:r>
      <w:r>
        <w:rPr>
          <w:rFonts w:hint="eastAsia" w:ascii="宋体" w:hAnsi="宋体" w:cs="宋体"/>
          <w:color w:val="auto"/>
          <w:sz w:val="22"/>
          <w:szCs w:val="22"/>
          <w:highlight w:val="none"/>
          <w:lang w:val="en-US" w:eastAsia="zh-CN"/>
        </w:rPr>
        <w:t>所有</w:t>
      </w:r>
      <w:r>
        <w:rPr>
          <w:rFonts w:hint="eastAsia" w:ascii="宋体" w:hAnsi="宋体" w:eastAsia="宋体" w:cs="宋体"/>
          <w:color w:val="auto"/>
          <w:sz w:val="22"/>
          <w:szCs w:val="22"/>
          <w:highlight w:val="none"/>
          <w:lang w:val="en-US" w:eastAsia="zh-CN"/>
        </w:rPr>
        <w:t>建筑、结构、安装、给排水、强电、弱电及智能化、照明、防雷、消防、暖通、装修、基坑围护</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室外</w:t>
      </w:r>
      <w:r>
        <w:rPr>
          <w:rFonts w:hint="eastAsia" w:ascii="宋体" w:hAnsi="宋体" w:cs="宋体"/>
          <w:color w:val="auto"/>
          <w:sz w:val="22"/>
          <w:szCs w:val="22"/>
          <w:highlight w:val="none"/>
          <w:lang w:val="en-US" w:eastAsia="zh-CN"/>
        </w:rPr>
        <w:t>附属、</w:t>
      </w:r>
      <w:r>
        <w:rPr>
          <w:rFonts w:hint="eastAsia" w:ascii="宋体" w:hAnsi="宋体" w:cs="宋体"/>
          <w:b w:val="0"/>
          <w:bCs w:val="0"/>
          <w:color w:val="auto"/>
          <w:sz w:val="22"/>
          <w:szCs w:val="22"/>
          <w:highlight w:val="none"/>
          <w:lang w:val="en-US" w:eastAsia="zh-CN"/>
        </w:rPr>
        <w:t>人防工程</w:t>
      </w:r>
      <w:r>
        <w:rPr>
          <w:rFonts w:hint="eastAsia" w:ascii="宋体" w:hAnsi="宋体" w:eastAsia="宋体" w:cs="宋体"/>
          <w:color w:val="auto"/>
          <w:sz w:val="22"/>
          <w:szCs w:val="22"/>
          <w:highlight w:val="none"/>
          <w:lang w:val="en-US" w:eastAsia="zh-CN"/>
        </w:rPr>
        <w:t>等内容，以及后续各项报批配合服务工作。</w:t>
      </w:r>
      <w:r>
        <w:rPr>
          <w:rFonts w:hint="eastAsia" w:ascii="宋体" w:hAnsi="宋体" w:eastAsia="宋体" w:cs="宋体"/>
          <w:color w:val="auto"/>
          <w:sz w:val="22"/>
          <w:szCs w:val="22"/>
          <w:highlight w:val="none"/>
        </w:rPr>
        <w:t>（具体设计内容和设计深度参照国家相关标准）</w:t>
      </w:r>
    </w:p>
    <w:p w14:paraId="3D45CE37">
      <w:pPr>
        <w:kinsoku/>
        <w:wordWrap w:val="0"/>
        <w:overflowPunct/>
        <w:bidi w:val="0"/>
        <w:spacing w:line="360" w:lineRule="auto"/>
        <w:ind w:firstLine="480"/>
        <w:rPr>
          <w:rFonts w:hint="default" w:ascii="宋体" w:hAnsi="宋体" w:eastAsia="宋体" w:cs="宋体"/>
          <w:color w:val="auto"/>
          <w:sz w:val="22"/>
          <w:szCs w:val="22"/>
          <w:highlight w:val="none"/>
          <w:lang w:val="en-US" w:eastAsia="zh-CN"/>
        </w:rPr>
      </w:pPr>
      <w:r>
        <w:rPr>
          <w:rFonts w:hint="eastAsia" w:ascii="宋体" w:hAnsi="宋体" w:cs="宋体"/>
          <w:b/>
          <w:bCs/>
          <w:color w:val="auto"/>
          <w:sz w:val="22"/>
          <w:szCs w:val="22"/>
          <w:highlight w:val="none"/>
          <w:lang w:val="en-US" w:eastAsia="zh-CN"/>
        </w:rPr>
        <w:t>（1）设计要求：</w:t>
      </w:r>
    </w:p>
    <w:p w14:paraId="47E43348">
      <w:pPr>
        <w:kinsoku/>
        <w:wordWrap w:val="0"/>
        <w:overflowPunct/>
        <w:bidi w:val="0"/>
        <w:spacing w:line="360" w:lineRule="auto"/>
        <w:ind w:firstLine="48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1）通过政策研究，案例分析，市场研究，策划定位明确设计定位</w:t>
      </w:r>
    </w:p>
    <w:p w14:paraId="195380F3">
      <w:pPr>
        <w:kinsoku/>
        <w:wordWrap w:val="0"/>
        <w:overflowPunct/>
        <w:bidi w:val="0"/>
        <w:spacing w:line="360" w:lineRule="auto"/>
        <w:ind w:firstLine="48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2）符合国家相关法律法规及行业规范和标准。</w:t>
      </w:r>
    </w:p>
    <w:p w14:paraId="2CAB0512">
      <w:pPr>
        <w:kinsoku/>
        <w:wordWrap w:val="0"/>
        <w:overflowPunct/>
        <w:bidi w:val="0"/>
        <w:spacing w:line="360" w:lineRule="auto"/>
        <w:ind w:firstLine="48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3）设计应功能理念新颖、创意独特、功能合理。</w:t>
      </w:r>
    </w:p>
    <w:p w14:paraId="143FCDA9">
      <w:pPr>
        <w:kinsoku/>
        <w:wordWrap w:val="0"/>
        <w:overflowPunct/>
        <w:bidi w:val="0"/>
        <w:spacing w:line="360" w:lineRule="auto"/>
        <w:ind w:firstLine="48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4）充分考虑设计的落地性、经济性。</w:t>
      </w:r>
    </w:p>
    <w:p w14:paraId="6A47830A">
      <w:pPr>
        <w:kinsoku/>
        <w:wordWrap w:val="0"/>
        <w:overflowPunct/>
        <w:bidi w:val="0"/>
        <w:spacing w:line="360" w:lineRule="auto"/>
        <w:ind w:firstLine="48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eastAsia="zh-CN"/>
        </w:rPr>
        <w:t>）协调项目的周边环境，体现项目特点。</w:t>
      </w:r>
    </w:p>
    <w:p w14:paraId="427B5872">
      <w:pPr>
        <w:kinsoku/>
        <w:wordWrap w:val="0"/>
        <w:overflowPunct/>
        <w:bidi w:val="0"/>
        <w:spacing w:line="360" w:lineRule="auto"/>
        <w:ind w:firstLine="480"/>
        <w:rPr>
          <w:rFonts w:hint="eastAsia" w:ascii="宋体" w:hAnsi="宋体" w:eastAsia="宋体" w:cs="宋体"/>
          <w:b/>
          <w:bCs/>
          <w:color w:val="auto"/>
          <w:sz w:val="22"/>
          <w:szCs w:val="22"/>
          <w:highlight w:val="none"/>
          <w:lang w:eastAsia="zh-CN"/>
        </w:rPr>
      </w:pPr>
      <w:r>
        <w:rPr>
          <w:rFonts w:hint="eastAsia" w:ascii="宋体" w:hAnsi="宋体" w:cs="宋体"/>
          <w:b/>
          <w:bCs/>
          <w:color w:val="auto"/>
          <w:sz w:val="22"/>
          <w:szCs w:val="22"/>
          <w:highlight w:val="none"/>
          <w:lang w:val="en-US" w:eastAsia="zh-CN"/>
        </w:rPr>
        <w:t>（2）设计</w:t>
      </w:r>
      <w:r>
        <w:rPr>
          <w:rFonts w:hint="eastAsia" w:ascii="宋体" w:hAnsi="宋体" w:eastAsia="宋体" w:cs="宋体"/>
          <w:b/>
          <w:bCs/>
          <w:color w:val="auto"/>
          <w:sz w:val="22"/>
          <w:szCs w:val="22"/>
          <w:highlight w:val="none"/>
          <w:lang w:eastAsia="zh-CN"/>
        </w:rPr>
        <w:t>成果要求</w:t>
      </w:r>
      <w:r>
        <w:rPr>
          <w:rFonts w:hint="eastAsia" w:ascii="宋体" w:hAnsi="宋体" w:cs="宋体"/>
          <w:b/>
          <w:bCs/>
          <w:color w:val="auto"/>
          <w:sz w:val="22"/>
          <w:szCs w:val="22"/>
          <w:highlight w:val="none"/>
          <w:lang w:eastAsia="zh-CN"/>
        </w:rPr>
        <w:t>：</w:t>
      </w:r>
    </w:p>
    <w:p w14:paraId="7E47B6DE">
      <w:pPr>
        <w:kinsoku/>
        <w:wordWrap w:val="0"/>
        <w:overflowPunct/>
        <w:bidi w:val="0"/>
        <w:spacing w:line="360" w:lineRule="auto"/>
        <w:ind w:firstLine="48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1）完成本项目的实施后，根据采购人的要求，提供书面及电子版本的成果文件。</w:t>
      </w:r>
    </w:p>
    <w:p w14:paraId="32A20E8B">
      <w:pPr>
        <w:kinsoku/>
        <w:wordWrap w:val="0"/>
        <w:overflowPunct/>
        <w:bidi w:val="0"/>
        <w:spacing w:line="360" w:lineRule="auto"/>
        <w:ind w:firstLine="48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2）在项目实施过程中，要求中标人根据采购人的要求，即时出具成果报告，以便采购人安排其它工作。</w:t>
      </w:r>
    </w:p>
    <w:p w14:paraId="2242FFE7">
      <w:pPr>
        <w:kinsoku/>
        <w:wordWrap w:val="0"/>
        <w:overflowPunct/>
        <w:bidi w:val="0"/>
        <w:spacing w:line="360" w:lineRule="auto"/>
        <w:ind w:firstLine="48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3）在项目全部实施完成后，出具完整的最终书面资料。</w:t>
      </w:r>
    </w:p>
    <w:p w14:paraId="25B7F7BF">
      <w:pPr>
        <w:kinsoku/>
        <w:wordWrap w:val="0"/>
        <w:overflowPunct/>
        <w:bidi w:val="0"/>
        <w:spacing w:line="360" w:lineRule="auto"/>
        <w:ind w:firstLine="48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4）书面资料数量：不计费用根据采购人需求数量提供。</w:t>
      </w:r>
    </w:p>
    <w:p w14:paraId="3186231B">
      <w:pPr>
        <w:kinsoku/>
        <w:wordWrap w:val="0"/>
        <w:overflowPunct/>
        <w:bidi w:val="0"/>
        <w:spacing w:line="360" w:lineRule="auto"/>
        <w:ind w:firstLine="420"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（二）</w:t>
      </w:r>
      <w:r>
        <w:rPr>
          <w:rFonts w:hint="eastAsia" w:ascii="宋体" w:hAnsi="宋体" w:cs="宋体"/>
          <w:b w:val="0"/>
          <w:bCs w:val="0"/>
          <w:color w:val="auto"/>
          <w:sz w:val="22"/>
          <w:szCs w:val="22"/>
          <w:highlight w:val="none"/>
          <w:lang w:val="en-US" w:eastAsia="zh-CN"/>
        </w:rPr>
        <w:t>建设管理（含品牌冠名）</w:t>
      </w: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（1）代建管理：</w:t>
      </w:r>
      <w:r>
        <w:rPr>
          <w:rFonts w:hint="eastAsia" w:ascii="宋体" w:hAnsi="宋体" w:eastAsia="宋体" w:cs="宋体"/>
          <w:color w:val="auto"/>
          <w:sz w:val="22"/>
          <w:szCs w:val="22"/>
          <w:highlight w:val="none"/>
          <w:lang w:val="en-US" w:eastAsia="zh-CN"/>
        </w:rPr>
        <w:t>包括且不仅限于对本项目进行投资控制管理、工程进度管理、工程安全管理、合同管理、设计管理（施工图设计优化、设计过程的设计管理、专项管理、设计进度管理并确保设计满足项目实施、提出设计优化意见、施工过程的设计管理、工程验收阶段的设计管理、协助建设单位收集并整理设计相关资料。）、质量管理、信息管理、工程竣工移交管理进行全过程工程</w:t>
      </w:r>
      <w:r>
        <w:rPr>
          <w:rFonts w:hint="eastAsia" w:ascii="宋体" w:hAnsi="宋体" w:cs="宋体"/>
          <w:color w:val="auto"/>
          <w:sz w:val="22"/>
          <w:szCs w:val="22"/>
          <w:highlight w:val="none"/>
          <w:lang w:val="en-US" w:eastAsia="zh-CN"/>
        </w:rPr>
        <w:t>管理</w:t>
      </w:r>
      <w:r>
        <w:rPr>
          <w:rFonts w:hint="eastAsia" w:ascii="宋体" w:hAnsi="宋体" w:eastAsia="宋体" w:cs="宋体"/>
          <w:color w:val="auto"/>
          <w:sz w:val="22"/>
          <w:szCs w:val="22"/>
          <w:highlight w:val="none"/>
          <w:lang w:val="en-US" w:eastAsia="zh-CN"/>
        </w:rPr>
        <w:t>服务，协助建设单位办理项目建设的相关报建手续及收集整理资料等</w:t>
      </w:r>
      <w:r>
        <w:rPr>
          <w:rFonts w:hint="eastAsia" w:ascii="宋体" w:hAnsi="宋体" w:cs="宋体"/>
          <w:color w:val="auto"/>
          <w:sz w:val="22"/>
          <w:szCs w:val="22"/>
          <w:highlight w:val="none"/>
          <w:lang w:val="en-US" w:eastAsia="zh-CN"/>
        </w:rPr>
        <w:t>；（2）</w:t>
      </w:r>
      <w:r>
        <w:rPr>
          <w:rFonts w:hint="eastAsia" w:ascii="宋体" w:hAnsi="宋体" w:cs="宋体"/>
          <w:b w:val="0"/>
          <w:bCs w:val="0"/>
          <w:color w:val="auto"/>
          <w:sz w:val="22"/>
          <w:szCs w:val="22"/>
          <w:highlight w:val="none"/>
          <w:lang w:val="en-US" w:eastAsia="zh-CN"/>
        </w:rPr>
        <w:t>品牌冠名指对房地产品牌（含商标）用于本项目宣传、推广、冠名、营销等，所有用于本项目的品牌使用权。</w:t>
      </w:r>
    </w:p>
    <w:p w14:paraId="22229B18">
      <w:pPr>
        <w:kinsoku/>
        <w:wordWrap w:val="0"/>
        <w:overflowPunct/>
        <w:bidi w:val="0"/>
        <w:spacing w:line="360" w:lineRule="auto"/>
        <w:rPr>
          <w:rFonts w:hint="eastAsia" w:ascii="宋体" w:hAnsi="宋体" w:eastAsia="宋体" w:cs="宋体"/>
          <w:b/>
          <w:bCs/>
          <w:color w:val="auto"/>
          <w:sz w:val="22"/>
          <w:szCs w:val="22"/>
          <w:highlight w:val="none"/>
          <w:lang w:eastAsia="zh-CN"/>
        </w:rPr>
      </w:pPr>
      <w:r>
        <w:rPr>
          <w:rFonts w:hint="eastAsia" w:ascii="宋体" w:hAnsi="宋体" w:cs="宋体"/>
          <w:b/>
          <w:bCs/>
          <w:color w:val="auto"/>
          <w:sz w:val="22"/>
          <w:szCs w:val="22"/>
          <w:highlight w:val="none"/>
          <w:lang w:val="en-US" w:eastAsia="zh-CN"/>
        </w:rPr>
        <w:t>四</w:t>
      </w:r>
      <w:r>
        <w:rPr>
          <w:rFonts w:hint="eastAsia" w:ascii="宋体" w:hAnsi="宋体" w:eastAsia="宋体" w:cs="宋体"/>
          <w:b/>
          <w:bCs/>
          <w:color w:val="auto"/>
          <w:sz w:val="22"/>
          <w:szCs w:val="22"/>
          <w:highlight w:val="none"/>
        </w:rPr>
        <w:t>、服务期要求</w:t>
      </w:r>
      <w:r>
        <w:rPr>
          <w:rFonts w:hint="eastAsia" w:ascii="宋体" w:hAnsi="宋体" w:eastAsia="宋体" w:cs="宋体"/>
          <w:b/>
          <w:bCs/>
          <w:color w:val="auto"/>
          <w:sz w:val="22"/>
          <w:szCs w:val="22"/>
          <w:highlight w:val="none"/>
          <w:lang w:eastAsia="zh-CN"/>
        </w:rPr>
        <w:t>：</w:t>
      </w:r>
    </w:p>
    <w:p w14:paraId="545E98C8">
      <w:pPr>
        <w:kinsoku/>
        <w:wordWrap w:val="0"/>
        <w:overflowPunct/>
        <w:bidi w:val="0"/>
        <w:spacing w:line="360" w:lineRule="auto"/>
        <w:ind w:firstLine="420" w:firstLineChars="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服务</w:t>
      </w:r>
      <w:r>
        <w:rPr>
          <w:rFonts w:hint="eastAsia" w:ascii="宋体" w:hAnsi="宋体" w:eastAsia="宋体" w:cs="宋体"/>
          <w:color w:val="auto"/>
          <w:sz w:val="22"/>
          <w:szCs w:val="22"/>
          <w:highlight w:val="none"/>
          <w:lang w:val="en-US" w:eastAsia="zh-CN"/>
        </w:rPr>
        <w:t>期限</w:t>
      </w:r>
      <w:r>
        <w:rPr>
          <w:rFonts w:hint="eastAsia" w:ascii="宋体" w:hAnsi="宋体" w:eastAsia="宋体" w:cs="宋体"/>
          <w:color w:val="auto"/>
          <w:sz w:val="22"/>
          <w:szCs w:val="22"/>
          <w:highlight w:val="none"/>
          <w:lang w:eastAsia="zh-CN"/>
        </w:rPr>
        <w:t>：</w:t>
      </w:r>
      <w:r>
        <w:rPr>
          <w:rFonts w:hint="eastAsia" w:ascii="宋体" w:hAnsi="宋体" w:eastAsia="宋体" w:cs="宋体"/>
          <w:b/>
          <w:bCs/>
          <w:color w:val="auto"/>
          <w:sz w:val="22"/>
          <w:szCs w:val="22"/>
          <w:highlight w:val="none"/>
        </w:rPr>
        <w:t>合同签订之日起</w:t>
      </w:r>
      <w:r>
        <w:rPr>
          <w:rFonts w:hint="eastAsia" w:ascii="宋体" w:hAnsi="宋体" w:eastAsia="宋体" w:cs="宋体"/>
          <w:b/>
          <w:bCs/>
          <w:color w:val="auto"/>
          <w:sz w:val="22"/>
          <w:szCs w:val="22"/>
          <w:highlight w:val="none"/>
          <w:lang w:val="en-US" w:eastAsia="zh-CN"/>
        </w:rPr>
        <w:t>直至工程质量缺陷期结束的所有工作内容以及项目房屋不动产权（大产权）首次登记证办理完成后满12个月为止</w:t>
      </w:r>
      <w:r>
        <w:rPr>
          <w:rFonts w:hint="eastAsia" w:ascii="宋体" w:hAnsi="宋体" w:eastAsia="宋体" w:cs="宋体"/>
          <w:b/>
          <w:bCs/>
          <w:color w:val="auto"/>
          <w:sz w:val="22"/>
          <w:szCs w:val="22"/>
          <w:highlight w:val="none"/>
        </w:rPr>
        <w:t>。</w:t>
      </w:r>
      <w:r>
        <w:rPr>
          <w:rFonts w:hint="eastAsia" w:ascii="宋体" w:hAnsi="宋体" w:cs="宋体"/>
          <w:b/>
          <w:bCs/>
          <w:color w:val="auto"/>
          <w:sz w:val="22"/>
          <w:szCs w:val="22"/>
          <w:highlight w:val="none"/>
          <w:lang w:eastAsia="zh-CN"/>
        </w:rPr>
        <w:t>（</w:t>
      </w:r>
      <w:r>
        <w:rPr>
          <w:rFonts w:hint="eastAsia" w:ascii="宋体" w:hAnsi="宋体" w:eastAsia="宋体" w:cs="宋体"/>
          <w:color w:val="auto"/>
          <w:sz w:val="22"/>
          <w:szCs w:val="22"/>
          <w:highlight w:val="none"/>
        </w:rPr>
        <w:t>合同签订之日起</w:t>
      </w:r>
      <w:r>
        <w:rPr>
          <w:rFonts w:hint="eastAsia" w:ascii="宋体" w:hAnsi="宋体" w:cs="宋体"/>
          <w:b w:val="0"/>
          <w:bCs w:val="0"/>
          <w:color w:val="auto"/>
          <w:sz w:val="22"/>
          <w:szCs w:val="22"/>
          <w:highlight w:val="none"/>
          <w:u w:val="single"/>
          <w:lang w:val="en-US" w:eastAsia="zh-CN"/>
        </w:rPr>
        <w:t>100</w:t>
      </w:r>
      <w:r>
        <w:rPr>
          <w:rFonts w:hint="eastAsia" w:ascii="宋体" w:hAnsi="宋体" w:eastAsia="宋体" w:cs="宋体"/>
          <w:b w:val="0"/>
          <w:bCs w:val="0"/>
          <w:color w:val="auto"/>
          <w:sz w:val="22"/>
          <w:szCs w:val="22"/>
          <w:highlight w:val="none"/>
        </w:rPr>
        <w:t>日历天</w:t>
      </w:r>
      <w:r>
        <w:rPr>
          <w:rFonts w:hint="eastAsia" w:ascii="宋体" w:hAnsi="宋体" w:eastAsia="宋体" w:cs="宋体"/>
          <w:color w:val="auto"/>
          <w:sz w:val="22"/>
          <w:szCs w:val="22"/>
          <w:highlight w:val="none"/>
        </w:rPr>
        <w:t>内提交完善的方案设计，完成初步设计成果并提交报批。</w:t>
      </w:r>
      <w:r>
        <w:rPr>
          <w:rFonts w:hint="eastAsia" w:ascii="宋体" w:hAnsi="宋体" w:cs="宋体"/>
          <w:b/>
          <w:bCs/>
          <w:color w:val="auto"/>
          <w:sz w:val="22"/>
          <w:szCs w:val="22"/>
          <w:highlight w:val="none"/>
          <w:lang w:eastAsia="zh-CN"/>
        </w:rPr>
        <w:t>）</w:t>
      </w:r>
    </w:p>
    <w:p w14:paraId="3D72D333">
      <w:pPr>
        <w:kinsoku/>
        <w:wordWrap w:val="0"/>
        <w:overflowPunct/>
        <w:bidi w:val="0"/>
        <w:spacing w:line="360" w:lineRule="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rPr>
        <w:t>五、人员要求</w:t>
      </w:r>
      <w:r>
        <w:rPr>
          <w:rFonts w:hint="eastAsia" w:ascii="宋体" w:hAnsi="宋体" w:eastAsia="宋体" w:cs="宋体"/>
          <w:b/>
          <w:bCs/>
          <w:color w:val="auto"/>
          <w:sz w:val="22"/>
          <w:szCs w:val="22"/>
          <w:highlight w:val="none"/>
          <w:lang w:eastAsia="zh-CN"/>
        </w:rPr>
        <w:t>：</w:t>
      </w:r>
    </w:p>
    <w:p w14:paraId="7F8AB411">
      <w:pPr>
        <w:kinsoku/>
        <w:wordWrap w:val="0"/>
        <w:overflowPunct/>
        <w:bidi w:val="0"/>
        <w:spacing w:line="360" w:lineRule="auto"/>
        <w:ind w:firstLine="442" w:firstLineChars="200"/>
        <w:rPr>
          <w:rFonts w:hint="eastAsia" w:ascii="宋体" w:hAnsi="宋体" w:eastAsia="宋体" w:cs="宋体"/>
          <w:b/>
          <w:bCs/>
          <w:color w:val="auto"/>
          <w:sz w:val="22"/>
          <w:szCs w:val="22"/>
          <w:highlight w:val="none"/>
          <w:u w:val="single"/>
          <w:lang w:val="en-US" w:eastAsia="zh-CN"/>
        </w:rPr>
      </w:pPr>
      <w:r>
        <w:rPr>
          <w:rFonts w:hint="eastAsia" w:ascii="宋体" w:hAnsi="宋体" w:eastAsia="宋体" w:cs="宋体"/>
          <w:b/>
          <w:bCs/>
          <w:color w:val="auto"/>
          <w:sz w:val="22"/>
          <w:szCs w:val="22"/>
          <w:highlight w:val="none"/>
          <w:u w:val="single"/>
        </w:rPr>
        <w:t>▲（1）项目负责人</w:t>
      </w:r>
      <w:r>
        <w:rPr>
          <w:rFonts w:hint="eastAsia" w:ascii="宋体" w:hAnsi="宋体" w:eastAsia="宋体" w:cs="宋体"/>
          <w:b/>
          <w:bCs/>
          <w:color w:val="auto"/>
          <w:sz w:val="22"/>
          <w:szCs w:val="22"/>
          <w:highlight w:val="none"/>
          <w:u w:val="single"/>
          <w:lang w:eastAsia="zh-CN"/>
        </w:rPr>
        <w:t>：</w:t>
      </w:r>
      <w:r>
        <w:rPr>
          <w:rFonts w:hint="eastAsia" w:ascii="宋体" w:hAnsi="宋体" w:eastAsia="宋体" w:cs="宋体"/>
          <w:b/>
          <w:bCs/>
          <w:color w:val="auto"/>
          <w:sz w:val="22"/>
          <w:szCs w:val="22"/>
          <w:highlight w:val="none"/>
          <w:u w:val="single"/>
        </w:rPr>
        <w:t>拟派1名项目负责人，</w:t>
      </w:r>
      <w:r>
        <w:rPr>
          <w:rFonts w:hint="eastAsia" w:ascii="宋体" w:hAnsi="宋体" w:eastAsia="宋体" w:cs="宋体"/>
          <w:b/>
          <w:bCs/>
          <w:color w:val="auto"/>
          <w:sz w:val="22"/>
          <w:szCs w:val="22"/>
          <w:highlight w:val="none"/>
          <w:u w:val="single"/>
          <w:lang w:val="en-US" w:eastAsia="zh-CN"/>
        </w:rPr>
        <w:t>具有注册在投标人单位的一级注册建筑师或一级注册结构工程师或建筑工程专业一级注册建造师或房屋建筑工程国家注册监理工程师或建筑工程类高级及以上工程师职称。</w:t>
      </w:r>
      <w:r>
        <w:rPr>
          <w:rFonts w:hint="eastAsia" w:ascii="宋体" w:hAnsi="宋体" w:cs="宋体"/>
          <w:b/>
          <w:bCs/>
          <w:color w:val="auto"/>
          <w:sz w:val="22"/>
          <w:szCs w:val="22"/>
          <w:highlight w:val="none"/>
          <w:u w:val="single"/>
          <w:lang w:val="en-US" w:eastAsia="zh-CN"/>
        </w:rPr>
        <w:t>联合体投标的，项目负责人须由牵头单位委派。</w:t>
      </w:r>
      <w:r>
        <w:rPr>
          <w:rFonts w:hint="eastAsia" w:ascii="宋体" w:hAnsi="宋体" w:eastAsia="宋体" w:cs="宋体"/>
          <w:b/>
          <w:bCs/>
          <w:color w:val="auto"/>
          <w:sz w:val="22"/>
          <w:szCs w:val="22"/>
          <w:highlight w:val="none"/>
          <w:u w:val="single"/>
          <w:lang w:eastAsia="zh-CN"/>
        </w:rPr>
        <w:t>（</w:t>
      </w:r>
      <w:r>
        <w:rPr>
          <w:rFonts w:hint="eastAsia" w:ascii="宋体" w:hAnsi="宋体" w:eastAsia="宋体" w:cs="宋体"/>
          <w:b/>
          <w:bCs/>
          <w:color w:val="auto"/>
          <w:sz w:val="22"/>
          <w:szCs w:val="22"/>
          <w:highlight w:val="none"/>
          <w:u w:val="single"/>
          <w:lang w:val="en-US" w:eastAsia="zh-CN"/>
        </w:rPr>
        <w:t>项目负责人须为投标供应商在职职工并提供社保在保证明（投标截止时限前6个月内任意一个月的社保证明））</w:t>
      </w:r>
    </w:p>
    <w:p w14:paraId="33AC05B4">
      <w:pPr>
        <w:kinsoku/>
        <w:wordWrap w:val="0"/>
        <w:overflowPunct/>
        <w:bidi w:val="0"/>
        <w:spacing w:line="360" w:lineRule="auto"/>
        <w:ind w:firstLine="442" w:firstLineChars="200"/>
        <w:rPr>
          <w:rFonts w:hint="default" w:ascii="宋体" w:hAnsi="宋体" w:eastAsia="宋体" w:cs="宋体"/>
          <w:b/>
          <w:bCs/>
          <w:color w:val="auto"/>
          <w:sz w:val="22"/>
          <w:szCs w:val="22"/>
          <w:highlight w:val="none"/>
          <w:u w:val="single"/>
          <w:lang w:val="en-US" w:eastAsia="zh-CN"/>
        </w:rPr>
      </w:pPr>
      <w:r>
        <w:rPr>
          <w:rFonts w:hint="eastAsia" w:ascii="宋体" w:hAnsi="宋体" w:cs="宋体"/>
          <w:b/>
          <w:bCs/>
          <w:color w:val="auto"/>
          <w:sz w:val="22"/>
          <w:szCs w:val="22"/>
          <w:highlight w:val="none"/>
          <w:u w:val="single"/>
          <w:lang w:val="en-US" w:eastAsia="zh-CN"/>
        </w:rPr>
        <w:t>▲（2）设计负责人：拟派1名设计负责人，具有一级注册建筑师资格。联合体投标的，设计负责人须由承担设计工作的联合体成员委派。(设计负责人须为投标供应商在职职工并提供社保在保证明(投标截止时限前6个月内任一个月的社保证明))。</w:t>
      </w:r>
    </w:p>
    <w:p w14:paraId="10BE3820">
      <w:pPr>
        <w:kinsoku/>
        <w:wordWrap w:val="0"/>
        <w:overflowPunct/>
        <w:bidi w:val="0"/>
        <w:spacing w:line="360" w:lineRule="auto"/>
        <w:ind w:firstLine="440" w:firstLineChars="200"/>
        <w:rPr>
          <w:rFonts w:hint="eastAsia" w:ascii="宋体" w:hAnsi="宋体" w:eastAsia="宋体" w:cs="宋体"/>
          <w:b w:val="0"/>
          <w:bCs w:val="0"/>
          <w:color w:val="auto"/>
          <w:sz w:val="22"/>
          <w:szCs w:val="22"/>
          <w:highlight w:val="none"/>
          <w:u w:val="none"/>
        </w:rPr>
      </w:pPr>
      <w:r>
        <w:rPr>
          <w:rFonts w:hint="eastAsia" w:ascii="宋体" w:hAnsi="宋体" w:eastAsia="宋体" w:cs="宋体"/>
          <w:b w:val="0"/>
          <w:bCs w:val="0"/>
          <w:color w:val="auto"/>
          <w:sz w:val="22"/>
          <w:szCs w:val="22"/>
          <w:highlight w:val="none"/>
          <w:u w:val="none"/>
        </w:rPr>
        <w:t>（</w:t>
      </w:r>
      <w:r>
        <w:rPr>
          <w:rFonts w:hint="eastAsia" w:ascii="宋体" w:hAnsi="宋体" w:cs="宋体"/>
          <w:b w:val="0"/>
          <w:bCs w:val="0"/>
          <w:color w:val="auto"/>
          <w:sz w:val="22"/>
          <w:szCs w:val="22"/>
          <w:highlight w:val="none"/>
          <w:u w:val="none"/>
          <w:lang w:val="en-US" w:eastAsia="zh-CN"/>
        </w:rPr>
        <w:t>3</w:t>
      </w:r>
      <w:r>
        <w:rPr>
          <w:rFonts w:hint="eastAsia" w:ascii="宋体" w:hAnsi="宋体" w:eastAsia="宋体" w:cs="宋体"/>
          <w:b w:val="0"/>
          <w:bCs w:val="0"/>
          <w:color w:val="auto"/>
          <w:sz w:val="22"/>
          <w:szCs w:val="22"/>
          <w:highlight w:val="none"/>
          <w:u w:val="none"/>
        </w:rPr>
        <w:t>）其他主要人员要求：</w:t>
      </w:r>
      <w:r>
        <w:rPr>
          <w:rFonts w:hint="eastAsia" w:ascii="宋体" w:hAnsi="宋体" w:eastAsia="宋体" w:cs="宋体"/>
          <w:b w:val="0"/>
          <w:bCs w:val="0"/>
          <w:color w:val="auto"/>
          <w:sz w:val="22"/>
          <w:szCs w:val="22"/>
          <w:highlight w:val="none"/>
          <w:u w:val="none"/>
          <w:lang w:val="en-US" w:eastAsia="zh-CN"/>
        </w:rPr>
        <w:t>中标后按规定</w:t>
      </w:r>
      <w:r>
        <w:rPr>
          <w:rFonts w:hint="eastAsia" w:ascii="宋体" w:hAnsi="宋体" w:cs="宋体"/>
          <w:b w:val="0"/>
          <w:bCs w:val="0"/>
          <w:color w:val="auto"/>
          <w:sz w:val="22"/>
          <w:szCs w:val="22"/>
          <w:highlight w:val="none"/>
          <w:u w:val="none"/>
          <w:lang w:val="en-US" w:eastAsia="zh-CN"/>
        </w:rPr>
        <w:t>（或项目需求）</w:t>
      </w:r>
      <w:r>
        <w:rPr>
          <w:rFonts w:hint="eastAsia" w:ascii="宋体" w:hAnsi="宋体" w:eastAsia="宋体" w:cs="宋体"/>
          <w:b w:val="0"/>
          <w:bCs w:val="0"/>
          <w:color w:val="auto"/>
          <w:sz w:val="22"/>
          <w:szCs w:val="22"/>
          <w:highlight w:val="none"/>
          <w:u w:val="none"/>
          <w:lang w:val="en-US" w:eastAsia="zh-CN"/>
        </w:rPr>
        <w:t>配备</w:t>
      </w:r>
      <w:r>
        <w:rPr>
          <w:rFonts w:hint="eastAsia" w:ascii="宋体" w:hAnsi="宋体" w:cs="宋体"/>
          <w:b w:val="0"/>
          <w:bCs w:val="0"/>
          <w:color w:val="auto"/>
          <w:sz w:val="22"/>
          <w:szCs w:val="22"/>
          <w:highlight w:val="none"/>
          <w:u w:val="none"/>
          <w:lang w:val="en-US" w:eastAsia="zh-CN"/>
        </w:rPr>
        <w:t>。</w:t>
      </w:r>
    </w:p>
    <w:p w14:paraId="6BD70589">
      <w:pPr>
        <w:numPr>
          <w:ilvl w:val="0"/>
          <w:numId w:val="0"/>
        </w:numPr>
        <w:kinsoku/>
        <w:wordWrap w:val="0"/>
        <w:overflowPunct/>
        <w:bidi w:val="0"/>
        <w:spacing w:line="360" w:lineRule="auto"/>
        <w:ind w:firstLine="440" w:firstLineChars="200"/>
        <w:rPr>
          <w:rFonts w:hint="eastAsia" w:ascii="宋体" w:hAnsi="宋体" w:eastAsia="宋体" w:cs="宋体"/>
          <w:b/>
          <w:bCs/>
          <w:color w:val="auto"/>
          <w:sz w:val="22"/>
          <w:szCs w:val="22"/>
          <w:highlight w:val="none"/>
          <w:u w:val="none"/>
        </w:rPr>
      </w:pPr>
      <w:r>
        <w:rPr>
          <w:rFonts w:hint="eastAsia" w:ascii="宋体" w:hAnsi="宋体" w:cs="宋体"/>
          <w:b w:val="0"/>
          <w:bCs w:val="0"/>
          <w:color w:val="auto"/>
          <w:sz w:val="22"/>
          <w:szCs w:val="22"/>
          <w:highlight w:val="none"/>
          <w:u w:val="none"/>
          <w:lang w:eastAsia="zh-CN"/>
        </w:rPr>
        <w:t>（</w:t>
      </w:r>
      <w:r>
        <w:rPr>
          <w:rFonts w:hint="eastAsia" w:ascii="宋体" w:hAnsi="宋体" w:cs="宋体"/>
          <w:b w:val="0"/>
          <w:bCs w:val="0"/>
          <w:color w:val="auto"/>
          <w:sz w:val="22"/>
          <w:szCs w:val="22"/>
          <w:highlight w:val="none"/>
          <w:u w:val="none"/>
          <w:lang w:val="en-US" w:eastAsia="zh-CN"/>
        </w:rPr>
        <w:t>4</w:t>
      </w:r>
      <w:r>
        <w:rPr>
          <w:rFonts w:hint="eastAsia" w:ascii="宋体" w:hAnsi="宋体" w:cs="宋体"/>
          <w:b w:val="0"/>
          <w:bCs w:val="0"/>
          <w:color w:val="auto"/>
          <w:sz w:val="22"/>
          <w:szCs w:val="22"/>
          <w:highlight w:val="none"/>
          <w:u w:val="none"/>
          <w:lang w:eastAsia="zh-CN"/>
        </w:rPr>
        <w:t>）</w:t>
      </w:r>
      <w:r>
        <w:rPr>
          <w:rFonts w:hint="eastAsia" w:ascii="宋体" w:hAnsi="宋体" w:eastAsia="宋体" w:cs="宋体"/>
          <w:b w:val="0"/>
          <w:bCs w:val="0"/>
          <w:color w:val="auto"/>
          <w:sz w:val="22"/>
          <w:szCs w:val="22"/>
          <w:highlight w:val="none"/>
          <w:u w:val="none"/>
        </w:rPr>
        <w:t>项目组成员具备较高的专业素质。项目团队需实行专人负责制。</w:t>
      </w:r>
    </w:p>
    <w:p w14:paraId="42E1EF30">
      <w:pPr>
        <w:kinsoku/>
        <w:wordWrap w:val="0"/>
        <w:overflowPunct/>
        <w:bidi w:val="0"/>
        <w:spacing w:line="360" w:lineRule="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rPr>
        <w:t>六、其他要求</w:t>
      </w:r>
      <w:r>
        <w:rPr>
          <w:rFonts w:hint="eastAsia" w:ascii="宋体" w:hAnsi="宋体" w:eastAsia="宋体" w:cs="宋体"/>
          <w:b/>
          <w:bCs/>
          <w:color w:val="auto"/>
          <w:sz w:val="22"/>
          <w:szCs w:val="22"/>
          <w:highlight w:val="none"/>
          <w:lang w:eastAsia="zh-CN"/>
        </w:rPr>
        <w:t>：</w:t>
      </w:r>
    </w:p>
    <w:p w14:paraId="5F22F5DA">
      <w:pPr>
        <w:kinsoku/>
        <w:wordWrap w:val="0"/>
        <w:overflowPunct/>
        <w:bidi w:val="0"/>
        <w:spacing w:line="360" w:lineRule="auto"/>
        <w:ind w:firstLine="42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（1）如有因成果编制不明，需要中标供应商现场说明或出具资料补充的，中标供应商必须予以配合，否则采购人有权按合同约定对中标供应商进行处罚。</w:t>
      </w:r>
    </w:p>
    <w:p w14:paraId="22124DBE">
      <w:pPr>
        <w:kinsoku/>
        <w:wordWrap w:val="0"/>
        <w:overflowPunct/>
        <w:bidi w:val="0"/>
        <w:spacing w:line="360" w:lineRule="auto"/>
        <w:ind w:firstLine="42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（2）中标供应商负责必须对项目成果错误进行及时更正，不得以任何形式的原因及理由要求增加费用。</w:t>
      </w:r>
    </w:p>
    <w:p w14:paraId="1B5BD528">
      <w:pPr>
        <w:kinsoku/>
        <w:wordWrap w:val="0"/>
        <w:overflowPunct/>
        <w:bidi w:val="0"/>
        <w:spacing w:line="360" w:lineRule="auto"/>
        <w:ind w:firstLine="42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（3）本次设计所有成果，归采购人所有。未经采购人许可，中标供应商不得向第三方提供或泄露，否则将承担相应的法律责任。</w:t>
      </w:r>
    </w:p>
    <w:p w14:paraId="204E3072">
      <w:pPr>
        <w:kinsoku/>
        <w:wordWrap w:val="0"/>
        <w:overflowPunct/>
        <w:bidi w:val="0"/>
        <w:spacing w:line="360" w:lineRule="auto"/>
        <w:ind w:firstLine="42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（4）中标供应商必须对收集的基础资料及所有成果承担安全、保密责任。</w:t>
      </w:r>
    </w:p>
    <w:p w14:paraId="4EEE827D">
      <w:pPr>
        <w:kinsoku/>
        <w:wordWrap w:val="0"/>
        <w:overflowPunct/>
        <w:bidi w:val="0"/>
        <w:spacing w:line="360" w:lineRule="auto"/>
        <w:ind w:firstLine="42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（5）中标供应商应保证提供服务过程中不会侵犯任何第三方的知识产权。</w:t>
      </w:r>
    </w:p>
    <w:p w14:paraId="1C9C0973">
      <w:pPr>
        <w:kinsoku/>
        <w:wordWrap w:val="0"/>
        <w:overflowPunct/>
        <w:bidi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cs="宋体"/>
          <w:b w:val="0"/>
          <w:bCs w:val="0"/>
          <w:color w:val="auto"/>
          <w:sz w:val="22"/>
          <w:szCs w:val="22"/>
          <w:highlight w:val="none"/>
          <w:lang w:val="en-US" w:eastAsia="zh-CN"/>
        </w:rPr>
        <w:t>（6）中标人具备相应设计资质的应自行完成设计工作，否则应委托具备相应资格条件的设计单位承担，设计费用已包含在本次设计费报价中,由本次中标人支付给设计单位。</w:t>
      </w:r>
    </w:p>
    <w:p w14:paraId="65A9B322">
      <w:pPr>
        <w:kinsoku/>
        <w:wordWrap w:val="0"/>
        <w:overflowPunct/>
        <w:bidi w:val="0"/>
        <w:spacing w:line="360" w:lineRule="auto"/>
        <w:rPr>
          <w:rFonts w:hint="default" w:ascii="宋体" w:hAnsi="宋体" w:eastAsia="宋体" w:cs="宋体"/>
          <w:b/>
          <w:bCs/>
          <w:color w:val="auto"/>
          <w:sz w:val="22"/>
          <w:szCs w:val="22"/>
          <w:highlight w:val="none"/>
          <w:lang w:val="en-US"/>
        </w:rPr>
      </w:pPr>
      <w:r>
        <w:rPr>
          <w:rFonts w:hint="eastAsia" w:ascii="宋体" w:hAnsi="宋体" w:eastAsia="宋体" w:cs="宋体"/>
          <w:b/>
          <w:bCs/>
          <w:color w:val="auto"/>
          <w:sz w:val="22"/>
          <w:szCs w:val="22"/>
          <w:highlight w:val="none"/>
        </w:rPr>
        <w:t>七、项目服务费</w:t>
      </w:r>
      <w:bookmarkStart w:id="13" w:name="_Hlk127612520"/>
      <w:r>
        <w:rPr>
          <w:rFonts w:hint="eastAsia"/>
          <w:b/>
          <w:bCs/>
          <w:color w:val="auto"/>
          <w:sz w:val="22"/>
          <w:szCs w:val="22"/>
          <w:highlight w:val="none"/>
        </w:rPr>
        <w:t>最高投标限价</w:t>
      </w:r>
      <w:bookmarkEnd w:id="13"/>
      <w:r>
        <w:rPr>
          <w:rFonts w:hint="eastAsia"/>
          <w:b/>
          <w:bCs/>
          <w:color w:val="auto"/>
          <w:sz w:val="22"/>
          <w:szCs w:val="22"/>
          <w:highlight w:val="none"/>
          <w:lang w:val="en-US" w:eastAsia="zh-CN"/>
        </w:rPr>
        <w:t>和</w:t>
      </w:r>
      <w:r>
        <w:rPr>
          <w:rFonts w:hint="eastAsia"/>
          <w:b/>
          <w:bCs/>
          <w:color w:val="auto"/>
          <w:sz w:val="22"/>
          <w:szCs w:val="22"/>
          <w:highlight w:val="none"/>
        </w:rPr>
        <w:t>投标报价的要求</w:t>
      </w:r>
    </w:p>
    <w:p w14:paraId="573570F0">
      <w:pPr>
        <w:kinsoku/>
        <w:wordWrap w:val="0"/>
        <w:overflowPunct/>
        <w:bidi w:val="0"/>
        <w:spacing w:line="360" w:lineRule="auto"/>
        <w:ind w:firstLine="442" w:firstLineChars="200"/>
        <w:rPr>
          <w:rFonts w:hint="eastAsia" w:ascii="宋体" w:hAnsi="宋体" w:eastAsia="宋体" w:cs="宋体"/>
          <w:b/>
          <w:bCs/>
          <w:color w:val="auto"/>
          <w:sz w:val="22"/>
          <w:szCs w:val="22"/>
          <w:highlight w:val="none"/>
          <w:u w:val="single"/>
          <w:lang w:val="en-US" w:eastAsia="zh-CN"/>
        </w:rPr>
      </w:pPr>
      <w:r>
        <w:rPr>
          <w:rFonts w:hint="eastAsia" w:ascii="宋体" w:hAnsi="宋体" w:cs="宋体"/>
          <w:b/>
          <w:bCs/>
          <w:color w:val="auto"/>
          <w:sz w:val="22"/>
          <w:szCs w:val="22"/>
          <w:highlight w:val="none"/>
          <w:u w:val="single"/>
          <w:lang w:val="en-US" w:eastAsia="zh-CN"/>
        </w:rPr>
        <w:t>▲</w:t>
      </w:r>
      <w:r>
        <w:rPr>
          <w:rFonts w:hint="eastAsia" w:ascii="宋体" w:hAnsi="宋体" w:eastAsia="宋体" w:cs="宋体"/>
          <w:b/>
          <w:bCs/>
          <w:color w:val="auto"/>
          <w:sz w:val="22"/>
          <w:szCs w:val="22"/>
          <w:highlight w:val="none"/>
          <w:u w:val="single"/>
          <w:lang w:val="en-US" w:eastAsia="zh-CN"/>
        </w:rPr>
        <w:t>“建设管理费（含品牌冠名费）”以</w:t>
      </w:r>
      <w:r>
        <w:rPr>
          <w:rFonts w:hint="eastAsia" w:ascii="宋体" w:hAnsi="宋体" w:cs="宋体"/>
          <w:b/>
          <w:bCs/>
          <w:color w:val="auto"/>
          <w:sz w:val="22"/>
          <w:szCs w:val="22"/>
          <w:highlight w:val="none"/>
          <w:u w:val="single"/>
          <w:lang w:val="en-US" w:eastAsia="zh-CN"/>
        </w:rPr>
        <w:t>1406.9376</w:t>
      </w:r>
      <w:r>
        <w:rPr>
          <w:rFonts w:hint="eastAsia" w:ascii="宋体" w:hAnsi="宋体" w:eastAsia="宋体" w:cs="宋体"/>
          <w:b/>
          <w:bCs/>
          <w:color w:val="auto"/>
          <w:sz w:val="22"/>
          <w:szCs w:val="22"/>
          <w:highlight w:val="none"/>
          <w:u w:val="single"/>
          <w:lang w:val="en-US" w:eastAsia="zh-CN"/>
        </w:rPr>
        <w:t>万元为最高投标限价，“设计费”以</w:t>
      </w:r>
      <w:r>
        <w:rPr>
          <w:rFonts w:hint="eastAsia" w:ascii="宋体" w:hAnsi="宋体" w:cs="宋体"/>
          <w:b/>
          <w:bCs/>
          <w:color w:val="auto"/>
          <w:sz w:val="22"/>
          <w:szCs w:val="22"/>
          <w:highlight w:val="none"/>
          <w:u w:val="single"/>
          <w:lang w:val="en-US" w:eastAsia="zh-CN"/>
        </w:rPr>
        <w:t>384.928</w:t>
      </w:r>
      <w:r>
        <w:rPr>
          <w:rFonts w:hint="eastAsia" w:ascii="宋体" w:hAnsi="宋体" w:eastAsia="宋体" w:cs="宋体"/>
          <w:b/>
          <w:bCs/>
          <w:color w:val="auto"/>
          <w:sz w:val="22"/>
          <w:szCs w:val="22"/>
          <w:highlight w:val="none"/>
          <w:u w:val="single"/>
          <w:lang w:val="en-US" w:eastAsia="zh-CN"/>
        </w:rPr>
        <w:t>万元为最高投标限价。</w:t>
      </w:r>
    </w:p>
    <w:p w14:paraId="4E2D119E">
      <w:pPr>
        <w:kinsoku/>
        <w:wordWrap w:val="0"/>
        <w:overflowPunct/>
        <w:bidi w:val="0"/>
        <w:spacing w:line="360" w:lineRule="auto"/>
        <w:ind w:firstLine="420" w:firstLineChars="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（1）设计费：按中标价实行包干（红线范围内），在合同执行过程中固定不变，任何包含价格调整的要求，将被认为是非实质性响应而予以拒绝。</w:t>
      </w:r>
    </w:p>
    <w:p w14:paraId="1FFAC474">
      <w:pPr>
        <w:kinsoku/>
        <w:wordWrap w:val="0"/>
        <w:overflowPunct/>
        <w:bidi w:val="0"/>
        <w:spacing w:line="360" w:lineRule="auto"/>
        <w:ind w:firstLine="42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设计费应为承包完成本项目所规定内容的全部工作所发生的一切费用，包括但不限于以下费用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完成本次工作所需的方案</w:t>
      </w:r>
      <w:r>
        <w:rPr>
          <w:rFonts w:hint="eastAsia" w:ascii="宋体" w:hAnsi="宋体" w:cs="宋体"/>
          <w:color w:val="auto"/>
          <w:sz w:val="22"/>
          <w:szCs w:val="22"/>
          <w:highlight w:val="none"/>
          <w:lang w:val="en-US" w:eastAsia="zh-CN"/>
        </w:rPr>
        <w:t>设计</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初步设计及所需的</w:t>
      </w:r>
      <w:r>
        <w:rPr>
          <w:rFonts w:hint="eastAsia" w:ascii="宋体" w:hAnsi="宋体" w:eastAsia="宋体" w:cs="宋体"/>
          <w:color w:val="auto"/>
          <w:sz w:val="22"/>
          <w:szCs w:val="22"/>
          <w:highlight w:val="none"/>
        </w:rPr>
        <w:t>初步设计、设计的修改和确认、设计交流、</w:t>
      </w:r>
      <w:r>
        <w:rPr>
          <w:rFonts w:hint="eastAsia" w:ascii="宋体" w:hAnsi="宋体" w:cs="宋体"/>
          <w:color w:val="auto"/>
          <w:sz w:val="22"/>
          <w:szCs w:val="22"/>
          <w:highlight w:val="none"/>
          <w:lang w:val="en-US" w:eastAsia="zh-CN"/>
        </w:rPr>
        <w:t>所涉及的其他专项设计及审批、</w:t>
      </w:r>
      <w:r>
        <w:rPr>
          <w:rFonts w:hint="eastAsia" w:ascii="宋体" w:hAnsi="宋体" w:eastAsia="宋体" w:cs="宋体"/>
          <w:color w:val="auto"/>
          <w:sz w:val="22"/>
          <w:szCs w:val="22"/>
          <w:highlight w:val="none"/>
        </w:rPr>
        <w:t>专家评审费用、管理费、调查费、差旅费、利润、税金及政策性文件规定的各项应有费用以及办理其他相关手续所产生的费用，并承担一切风险责任。</w:t>
      </w:r>
    </w:p>
    <w:p w14:paraId="14EF2636">
      <w:pPr>
        <w:kinsoku/>
        <w:wordWrap w:val="0"/>
        <w:overflowPunct/>
        <w:bidi w:val="0"/>
        <w:spacing w:line="360" w:lineRule="auto"/>
        <w:ind w:firstLine="420" w:firstLineChars="0"/>
        <w:rPr>
          <w:rFonts w:hint="eastAsia"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2）建设管理费（含品牌冠名费）：建设管理费（含品牌冠名费）结算价=结算建安工程费用×建设管理费（含品牌冠名费）费率，其中建设管理费（含品牌冠名费）费率=建设管理费（含品牌冠名费）（中标价）/招标时建安工程费（50976万元）*100%。</w:t>
      </w:r>
    </w:p>
    <w:p w14:paraId="5643570D">
      <w:pPr>
        <w:kinsoku/>
        <w:wordWrap w:val="0"/>
        <w:overflowPunct/>
        <w:bidi w:val="0"/>
        <w:spacing w:line="360" w:lineRule="auto"/>
        <w:ind w:firstLine="420" w:firstLineChars="0"/>
        <w:rPr>
          <w:rFonts w:hint="eastAsia" w:ascii="宋体" w:hAnsi="宋体" w:eastAsia="宋体" w:cs="宋体"/>
          <w:color w:val="auto"/>
          <w:sz w:val="22"/>
          <w:szCs w:val="22"/>
          <w:highlight w:val="none"/>
          <w:lang w:eastAsia="zh-CN"/>
        </w:rPr>
      </w:pPr>
      <w:r>
        <w:rPr>
          <w:rFonts w:hint="eastAsia" w:ascii="宋体" w:hAnsi="宋体" w:cs="宋体"/>
          <w:b w:val="0"/>
          <w:bCs w:val="0"/>
          <w:color w:val="auto"/>
          <w:sz w:val="22"/>
          <w:szCs w:val="22"/>
          <w:highlight w:val="none"/>
          <w:lang w:val="en-US" w:eastAsia="zh-CN"/>
        </w:rPr>
        <w:t>建设管理费（含品牌冠名费）应为本项目全过程建设管理（含品牌冠名）所规定内容的全部工作所发生的一切费用。</w:t>
      </w:r>
    </w:p>
    <w:p w14:paraId="731A38EA">
      <w:pPr>
        <w:kinsoku/>
        <w:wordWrap w:val="0"/>
        <w:overflowPunct/>
        <w:bidi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八、付款方式</w:t>
      </w:r>
    </w:p>
    <w:p w14:paraId="7EBBC3EE">
      <w:pPr>
        <w:kinsoku/>
        <w:wordWrap w:val="0"/>
        <w:overflowPunct/>
        <w:bidi w:val="0"/>
        <w:spacing w:line="360" w:lineRule="auto"/>
        <w:ind w:firstLine="442" w:firstLineChars="200"/>
        <w:rPr>
          <w:rFonts w:hint="default"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（1）设计费的支付：</w:t>
      </w:r>
    </w:p>
    <w:p w14:paraId="0B498FEA">
      <w:pPr>
        <w:kinsoku/>
        <w:wordWrap w:val="0"/>
        <w:overflowPunct/>
        <w:bidi w:val="0"/>
        <w:spacing w:line="360" w:lineRule="auto"/>
        <w:ind w:firstLine="420"/>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1）本工程合同签订生效后15个工作日内，采购人向成交供应商支付设计费的10%作为预付款；</w:t>
      </w:r>
    </w:p>
    <w:p w14:paraId="5D042A33">
      <w:pPr>
        <w:kinsoku/>
        <w:wordWrap w:val="0"/>
        <w:overflowPunct/>
        <w:bidi w:val="0"/>
        <w:spacing w:line="360" w:lineRule="auto"/>
        <w:ind w:firstLine="420"/>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2）方案批复并取得工程规划许可证后，采购人向成交供应商支付至设计费的55%（含已支付的预付款）；</w:t>
      </w:r>
    </w:p>
    <w:p w14:paraId="44C082D8">
      <w:pPr>
        <w:kinsoku/>
        <w:wordWrap w:val="0"/>
        <w:overflowPunct/>
        <w:bidi w:val="0"/>
        <w:spacing w:line="360" w:lineRule="auto"/>
        <w:ind w:firstLine="420"/>
        <w:rPr>
          <w:rFonts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val="en-US" w:eastAsia="zh-CN"/>
        </w:rPr>
        <w:t>3）</w:t>
      </w:r>
      <w:r>
        <w:rPr>
          <w:rFonts w:hint="eastAsia" w:ascii="宋体" w:hAnsi="宋体" w:eastAsia="宋体" w:cs="宋体"/>
          <w:b w:val="0"/>
          <w:bCs w:val="0"/>
          <w:color w:val="auto"/>
          <w:sz w:val="22"/>
          <w:szCs w:val="22"/>
          <w:highlight w:val="none"/>
          <w:lang w:eastAsia="zh-CN"/>
        </w:rPr>
        <w:t>成交供应商向采购人提交所有</w:t>
      </w:r>
      <w:r>
        <w:rPr>
          <w:rFonts w:hint="eastAsia" w:ascii="宋体" w:hAnsi="宋体" w:cs="宋体"/>
          <w:b w:val="0"/>
          <w:bCs w:val="0"/>
          <w:color w:val="auto"/>
          <w:sz w:val="22"/>
          <w:szCs w:val="22"/>
          <w:highlight w:val="none"/>
          <w:lang w:val="en-US" w:eastAsia="zh-CN"/>
        </w:rPr>
        <w:t>成果</w:t>
      </w:r>
      <w:r>
        <w:rPr>
          <w:rFonts w:hint="eastAsia" w:ascii="宋体" w:hAnsi="宋体" w:eastAsia="宋体" w:cs="宋体"/>
          <w:b w:val="0"/>
          <w:bCs w:val="0"/>
          <w:color w:val="auto"/>
          <w:sz w:val="22"/>
          <w:szCs w:val="22"/>
          <w:highlight w:val="none"/>
          <w:lang w:eastAsia="zh-CN"/>
        </w:rPr>
        <w:t>文件（</w:t>
      </w:r>
      <w:r>
        <w:rPr>
          <w:rFonts w:hint="eastAsia" w:ascii="宋体" w:hAnsi="宋体" w:eastAsia="宋体" w:cs="宋体"/>
          <w:b w:val="0"/>
          <w:bCs w:val="0"/>
          <w:color w:val="auto"/>
          <w:sz w:val="22"/>
          <w:szCs w:val="22"/>
          <w:highlight w:val="none"/>
          <w:lang w:val="en-US" w:eastAsia="zh-CN"/>
        </w:rPr>
        <w:t>含概算</w:t>
      </w:r>
      <w:r>
        <w:rPr>
          <w:rFonts w:hint="eastAsia" w:ascii="宋体" w:hAnsi="宋体" w:eastAsia="宋体" w:cs="宋体"/>
          <w:b w:val="0"/>
          <w:bCs w:val="0"/>
          <w:color w:val="auto"/>
          <w:sz w:val="22"/>
          <w:szCs w:val="22"/>
          <w:highlight w:val="none"/>
          <w:lang w:eastAsia="zh-CN"/>
        </w:rPr>
        <w:t>）并取得批复文件或得到采购人认可后，采购人向成交供应商支付至设计费的</w:t>
      </w:r>
      <w:r>
        <w:rPr>
          <w:rFonts w:hint="eastAsia" w:ascii="宋体" w:hAnsi="宋体" w:eastAsia="宋体" w:cs="宋体"/>
          <w:b w:val="0"/>
          <w:bCs w:val="0"/>
          <w:color w:val="auto"/>
          <w:sz w:val="22"/>
          <w:szCs w:val="22"/>
          <w:highlight w:val="none"/>
          <w:lang w:val="en-US" w:eastAsia="zh-CN"/>
        </w:rPr>
        <w:t>70</w:t>
      </w:r>
      <w:r>
        <w:rPr>
          <w:rFonts w:hint="eastAsia" w:ascii="宋体" w:hAnsi="宋体" w:eastAsia="宋体" w:cs="宋体"/>
          <w:b w:val="0"/>
          <w:bCs w:val="0"/>
          <w:color w:val="auto"/>
          <w:sz w:val="22"/>
          <w:szCs w:val="22"/>
          <w:highlight w:val="none"/>
          <w:lang w:eastAsia="zh-CN"/>
        </w:rPr>
        <w:t>%（含已支付的预付款）；</w:t>
      </w:r>
    </w:p>
    <w:p w14:paraId="3B7DBCE1">
      <w:pPr>
        <w:kinsoku/>
        <w:wordWrap w:val="0"/>
        <w:overflowPunct/>
        <w:bidi w:val="0"/>
        <w:spacing w:line="360" w:lineRule="auto"/>
        <w:ind w:firstLine="420"/>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val="en-US" w:eastAsia="zh-CN"/>
        </w:rPr>
        <w:t>4）</w:t>
      </w:r>
      <w:r>
        <w:rPr>
          <w:rFonts w:hint="eastAsia" w:ascii="宋体" w:hAnsi="宋体" w:eastAsia="宋体" w:cs="宋体"/>
          <w:b w:val="0"/>
          <w:bCs w:val="0"/>
          <w:color w:val="auto"/>
          <w:sz w:val="22"/>
          <w:szCs w:val="22"/>
          <w:highlight w:val="none"/>
          <w:lang w:eastAsia="zh-CN"/>
        </w:rPr>
        <w:t>成交供应商协助本项目施工图设计单位完成施工图设计文件</w:t>
      </w:r>
      <w:r>
        <w:rPr>
          <w:rFonts w:hint="eastAsia" w:ascii="宋体" w:hAnsi="宋体" w:eastAsia="宋体" w:cs="宋体"/>
          <w:b w:val="0"/>
          <w:bCs w:val="0"/>
          <w:color w:val="auto"/>
          <w:sz w:val="22"/>
          <w:szCs w:val="22"/>
          <w:highlight w:val="none"/>
          <w:lang w:val="en-US" w:eastAsia="zh-CN"/>
        </w:rPr>
        <w:t>且施工</w:t>
      </w:r>
      <w:r>
        <w:rPr>
          <w:rFonts w:hint="eastAsia" w:ascii="宋体" w:hAnsi="宋体" w:eastAsia="宋体" w:cs="宋体"/>
          <w:b w:val="0"/>
          <w:bCs w:val="0"/>
          <w:color w:val="auto"/>
          <w:sz w:val="22"/>
          <w:szCs w:val="22"/>
          <w:highlight w:val="none"/>
          <w:lang w:eastAsia="zh-CN"/>
        </w:rPr>
        <w:t>图审</w:t>
      </w:r>
      <w:r>
        <w:rPr>
          <w:rFonts w:hint="eastAsia" w:ascii="宋体" w:hAnsi="宋体" w:eastAsia="宋体" w:cs="宋体"/>
          <w:b w:val="0"/>
          <w:bCs w:val="0"/>
          <w:color w:val="auto"/>
          <w:sz w:val="22"/>
          <w:szCs w:val="22"/>
          <w:highlight w:val="none"/>
          <w:lang w:val="en-US" w:eastAsia="zh-CN"/>
        </w:rPr>
        <w:t>查合格</w:t>
      </w:r>
      <w:r>
        <w:rPr>
          <w:rFonts w:hint="eastAsia" w:ascii="宋体" w:hAnsi="宋体" w:eastAsia="宋体" w:cs="宋体"/>
          <w:b w:val="0"/>
          <w:bCs w:val="0"/>
          <w:color w:val="auto"/>
          <w:sz w:val="22"/>
          <w:szCs w:val="22"/>
          <w:highlight w:val="none"/>
          <w:lang w:eastAsia="zh-CN"/>
        </w:rPr>
        <w:t>后，采购人向成交供应商支付至设计费的</w:t>
      </w:r>
      <w:r>
        <w:rPr>
          <w:rFonts w:ascii="宋体" w:hAnsi="宋体" w:eastAsia="宋体" w:cs="宋体"/>
          <w:b w:val="0"/>
          <w:bCs w:val="0"/>
          <w:color w:val="auto"/>
          <w:sz w:val="22"/>
          <w:szCs w:val="22"/>
          <w:highlight w:val="none"/>
          <w:lang w:eastAsia="zh-CN"/>
        </w:rPr>
        <w:t>10</w:t>
      </w:r>
      <w:r>
        <w:rPr>
          <w:rFonts w:hint="eastAsia" w:ascii="宋体" w:hAnsi="宋体" w:eastAsia="宋体" w:cs="宋体"/>
          <w:b w:val="0"/>
          <w:bCs w:val="0"/>
          <w:color w:val="auto"/>
          <w:sz w:val="22"/>
          <w:szCs w:val="22"/>
          <w:highlight w:val="none"/>
          <w:lang w:eastAsia="zh-CN"/>
        </w:rPr>
        <w:t>0%。</w:t>
      </w:r>
    </w:p>
    <w:p w14:paraId="13512F91">
      <w:pPr>
        <w:kinsoku/>
        <w:wordWrap w:val="0"/>
        <w:overflowPunct/>
        <w:bidi w:val="0"/>
        <w:spacing w:line="360" w:lineRule="auto"/>
        <w:ind w:firstLine="442" w:firstLineChars="200"/>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（2）建设管理费（含品牌冠名费）的支付：</w:t>
      </w:r>
    </w:p>
    <w:p w14:paraId="4DB07196">
      <w:pPr>
        <w:kinsoku/>
        <w:wordWrap w:val="0"/>
        <w:overflowPunct/>
        <w:bidi w:val="0"/>
        <w:spacing w:line="360" w:lineRule="auto"/>
        <w:ind w:firstLine="420"/>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w:t>
      </w:r>
      <w:r>
        <w:rPr>
          <w:rFonts w:hint="eastAsia" w:ascii="宋体" w:hAnsi="宋体" w:eastAsia="宋体" w:cs="宋体"/>
          <w:b w:val="0"/>
          <w:bCs w:val="0"/>
          <w:color w:val="auto"/>
          <w:sz w:val="22"/>
          <w:szCs w:val="22"/>
          <w:highlight w:val="none"/>
          <w:lang w:eastAsia="zh-CN"/>
        </w:rPr>
        <w:t>本工程合同签订生效后</w:t>
      </w:r>
      <w:r>
        <w:rPr>
          <w:rFonts w:hint="eastAsia" w:ascii="宋体" w:hAnsi="宋体" w:eastAsia="宋体" w:cs="宋体"/>
          <w:b w:val="0"/>
          <w:bCs w:val="0"/>
          <w:color w:val="auto"/>
          <w:sz w:val="22"/>
          <w:szCs w:val="22"/>
          <w:highlight w:val="none"/>
          <w:lang w:val="en-US" w:eastAsia="zh-CN"/>
        </w:rPr>
        <w:t>15个工作日内</w:t>
      </w:r>
      <w:r>
        <w:rPr>
          <w:rFonts w:hint="eastAsia" w:ascii="宋体" w:hAnsi="宋体" w:eastAsia="宋体" w:cs="宋体"/>
          <w:b w:val="0"/>
          <w:bCs w:val="0"/>
          <w:color w:val="auto"/>
          <w:sz w:val="22"/>
          <w:szCs w:val="22"/>
          <w:highlight w:val="none"/>
          <w:lang w:eastAsia="zh-CN"/>
        </w:rPr>
        <w:t>，采购人向成交供应商支付</w:t>
      </w:r>
      <w:r>
        <w:rPr>
          <w:rFonts w:hint="eastAsia" w:ascii="宋体" w:hAnsi="宋体" w:eastAsia="宋体" w:cs="宋体"/>
          <w:b w:val="0"/>
          <w:bCs w:val="0"/>
          <w:color w:val="auto"/>
          <w:sz w:val="22"/>
          <w:szCs w:val="22"/>
          <w:highlight w:val="none"/>
          <w:lang w:val="en-US" w:eastAsia="zh-CN"/>
        </w:rPr>
        <w:t>建设管理费（含品牌冠名费）</w:t>
      </w:r>
      <w:r>
        <w:rPr>
          <w:rFonts w:hint="eastAsia" w:ascii="宋体" w:hAnsi="宋体" w:eastAsia="宋体" w:cs="宋体"/>
          <w:b w:val="0"/>
          <w:bCs w:val="0"/>
          <w:color w:val="auto"/>
          <w:sz w:val="22"/>
          <w:szCs w:val="22"/>
          <w:highlight w:val="none"/>
          <w:lang w:eastAsia="zh-CN"/>
        </w:rPr>
        <w:t>的</w:t>
      </w:r>
      <w:r>
        <w:rPr>
          <w:rFonts w:hint="eastAsia" w:ascii="宋体" w:hAnsi="宋体" w:eastAsia="宋体" w:cs="宋体"/>
          <w:b w:val="0"/>
          <w:bCs w:val="0"/>
          <w:color w:val="auto"/>
          <w:sz w:val="22"/>
          <w:szCs w:val="22"/>
          <w:highlight w:val="none"/>
          <w:lang w:val="en-US" w:eastAsia="zh-CN"/>
        </w:rPr>
        <w:t>10</w:t>
      </w:r>
      <w:r>
        <w:rPr>
          <w:rFonts w:hint="eastAsia" w:ascii="宋体" w:hAnsi="宋体" w:eastAsia="宋体" w:cs="宋体"/>
          <w:b w:val="0"/>
          <w:bCs w:val="0"/>
          <w:color w:val="auto"/>
          <w:sz w:val="22"/>
          <w:szCs w:val="22"/>
          <w:highlight w:val="none"/>
          <w:lang w:eastAsia="zh-CN"/>
        </w:rPr>
        <w:t>%作为预付款；</w:t>
      </w:r>
    </w:p>
    <w:p w14:paraId="0FAC6AB5">
      <w:pPr>
        <w:kinsoku/>
        <w:wordWrap w:val="0"/>
        <w:overflowPunct/>
        <w:bidi w:val="0"/>
        <w:spacing w:line="360" w:lineRule="auto"/>
        <w:ind w:firstLine="420"/>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2）过程中随工程费用同比例支付；（每期支付的工程费用×建设管理费（含品牌冠名费）费率，同比例支付）</w:t>
      </w:r>
    </w:p>
    <w:p w14:paraId="3431290B">
      <w:pPr>
        <w:kinsoku/>
        <w:wordWrap w:val="0"/>
        <w:overflowPunct/>
        <w:bidi w:val="0"/>
        <w:spacing w:line="360" w:lineRule="auto"/>
        <w:ind w:firstLine="420"/>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工程费用支付按每月25日前将该月已完工程量及进度教报表提供给发包人，经监理人核实和发包人及第三方审计（如有）认可后，据此支付该月完成工程量85%的工程进度教，当本工程进度款支付至合同工程价款的 85%时，将停止支付工程进度款，待通过工程竣工验收后支付至90%，提交应归档的全部技术文件资料，办理竣工结算经相关单位审核后支付至合同结算价款的 98.5%;余款1.5%作为质量保证金，待缺陷责任期满后 10 天内全额退还，</w:t>
      </w:r>
    </w:p>
    <w:p w14:paraId="5551E1F8">
      <w:pPr>
        <w:numPr>
          <w:ilvl w:val="0"/>
          <w:numId w:val="4"/>
        </w:numPr>
        <w:kinsoku/>
        <w:wordWrap w:val="0"/>
        <w:overflowPunct/>
        <w:bidi w:val="0"/>
        <w:spacing w:line="360" w:lineRule="auto"/>
        <w:ind w:firstLine="420"/>
        <w:rPr>
          <w:rFonts w:hint="eastAsia" w:ascii="宋体" w:hAnsi="宋体" w:eastAsia="宋体" w:cs="Times New Roman"/>
          <w:b w:val="0"/>
          <w:bCs w:val="0"/>
          <w:color w:val="auto"/>
          <w:sz w:val="22"/>
          <w:szCs w:val="22"/>
          <w:highlight w:val="none"/>
          <w:lang w:val="en-US" w:eastAsia="zh-CN"/>
        </w:rPr>
      </w:pPr>
      <w:r>
        <w:rPr>
          <w:rFonts w:hint="eastAsia" w:ascii="宋体" w:hAnsi="宋体" w:eastAsia="宋体" w:cs="Times New Roman"/>
          <w:b w:val="0"/>
          <w:bCs w:val="0"/>
          <w:color w:val="auto"/>
          <w:sz w:val="22"/>
          <w:szCs w:val="22"/>
          <w:highlight w:val="none"/>
          <w:lang w:val="en-US" w:eastAsia="zh-CN"/>
        </w:rPr>
        <w:t>缺陷责任期满后（二年）15个工作日内一次性结清剩余费用。</w:t>
      </w:r>
    </w:p>
    <w:p w14:paraId="6D526758">
      <w:pPr>
        <w:numPr>
          <w:ilvl w:val="0"/>
          <w:numId w:val="0"/>
        </w:numPr>
        <w:kinsoku/>
        <w:wordWrap w:val="0"/>
        <w:overflowPunct/>
        <w:bidi w:val="0"/>
        <w:spacing w:line="360" w:lineRule="auto"/>
        <w:ind w:left="0" w:leftChars="0" w:firstLine="442" w:firstLineChars="200"/>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kern w:val="2"/>
          <w:sz w:val="22"/>
          <w:szCs w:val="22"/>
          <w:highlight w:val="none"/>
          <w:lang w:val="en-US" w:eastAsia="zh-CN" w:bidi="ar-SA"/>
        </w:rPr>
        <w:t>（3）</w:t>
      </w:r>
      <w:r>
        <w:rPr>
          <w:rFonts w:hint="eastAsia" w:ascii="宋体" w:hAnsi="宋体" w:eastAsia="宋体" w:cs="宋体"/>
          <w:b/>
          <w:bCs/>
          <w:color w:val="auto"/>
          <w:sz w:val="22"/>
          <w:szCs w:val="22"/>
          <w:highlight w:val="none"/>
          <w:lang w:val="en-US" w:eastAsia="zh-CN"/>
        </w:rPr>
        <w:t>支付方式</w:t>
      </w:r>
    </w:p>
    <w:p w14:paraId="0537D1F9">
      <w:pPr>
        <w:kinsoku/>
        <w:wordWrap w:val="0"/>
        <w:overflowPunct/>
        <w:bidi w:val="0"/>
        <w:spacing w:line="360" w:lineRule="auto"/>
        <w:ind w:firstLine="420"/>
        <w:rPr>
          <w:rFonts w:hint="default" w:ascii="宋体" w:hAnsi="宋体" w:eastAsia="宋体" w:cs="宋体"/>
          <w:b/>
          <w:bCs/>
          <w:color w:val="auto"/>
          <w:sz w:val="22"/>
          <w:szCs w:val="22"/>
          <w:highlight w:val="none"/>
          <w:lang w:val="en-US" w:eastAsia="zh-CN"/>
        </w:rPr>
      </w:pPr>
      <w:r>
        <w:rPr>
          <w:rFonts w:hint="default" w:ascii="宋体" w:hAnsi="宋体" w:eastAsia="宋体" w:cs="宋体"/>
          <w:b/>
          <w:bCs/>
          <w:color w:val="auto"/>
          <w:sz w:val="22"/>
          <w:szCs w:val="22"/>
          <w:highlight w:val="none"/>
          <w:lang w:val="en-US" w:eastAsia="zh-CN"/>
        </w:rPr>
        <w:t>以上各项费用由</w:t>
      </w:r>
      <w:r>
        <w:rPr>
          <w:rFonts w:hint="eastAsia" w:ascii="宋体" w:hAnsi="宋体" w:eastAsia="宋体" w:cs="宋体"/>
          <w:b/>
          <w:bCs/>
          <w:color w:val="auto"/>
          <w:sz w:val="22"/>
          <w:szCs w:val="22"/>
          <w:highlight w:val="none"/>
          <w:lang w:val="en-US" w:eastAsia="zh-CN"/>
        </w:rPr>
        <w:t>采购人</w:t>
      </w:r>
      <w:r>
        <w:rPr>
          <w:rFonts w:hint="default" w:ascii="宋体" w:hAnsi="宋体" w:eastAsia="宋体" w:cs="宋体"/>
          <w:b/>
          <w:bCs/>
          <w:color w:val="auto"/>
          <w:sz w:val="22"/>
          <w:szCs w:val="22"/>
          <w:highlight w:val="none"/>
          <w:lang w:val="en-US" w:eastAsia="zh-CN"/>
        </w:rPr>
        <w:t>直接向</w:t>
      </w:r>
      <w:r>
        <w:rPr>
          <w:rFonts w:hint="eastAsia" w:ascii="宋体" w:hAnsi="宋体" w:eastAsia="宋体" w:cs="宋体"/>
          <w:b/>
          <w:bCs/>
          <w:color w:val="auto"/>
          <w:sz w:val="22"/>
          <w:szCs w:val="22"/>
          <w:highlight w:val="none"/>
          <w:lang w:val="en-US" w:eastAsia="zh-CN"/>
        </w:rPr>
        <w:t>成交供应商（或</w:t>
      </w:r>
      <w:r>
        <w:rPr>
          <w:rFonts w:hint="default" w:ascii="宋体" w:hAnsi="宋体" w:eastAsia="宋体" w:cs="宋体"/>
          <w:b/>
          <w:bCs/>
          <w:color w:val="auto"/>
          <w:sz w:val="22"/>
          <w:szCs w:val="22"/>
          <w:highlight w:val="none"/>
          <w:lang w:val="en-US" w:eastAsia="zh-CN"/>
        </w:rPr>
        <w:t>联合体各方</w:t>
      </w:r>
      <w:r>
        <w:rPr>
          <w:rFonts w:hint="eastAsia" w:ascii="宋体" w:hAnsi="宋体" w:eastAsia="宋体" w:cs="宋体"/>
          <w:b/>
          <w:bCs/>
          <w:color w:val="auto"/>
          <w:sz w:val="22"/>
          <w:szCs w:val="22"/>
          <w:highlight w:val="none"/>
          <w:lang w:val="en-US" w:eastAsia="zh-CN"/>
        </w:rPr>
        <w:t>）</w:t>
      </w:r>
      <w:r>
        <w:rPr>
          <w:rFonts w:hint="default" w:ascii="宋体" w:hAnsi="宋体" w:eastAsia="宋体" w:cs="宋体"/>
          <w:b/>
          <w:bCs/>
          <w:color w:val="auto"/>
          <w:sz w:val="22"/>
          <w:szCs w:val="22"/>
          <w:highlight w:val="none"/>
          <w:lang w:val="en-US" w:eastAsia="zh-CN"/>
        </w:rPr>
        <w:t>支付，但是在支付前需先经</w:t>
      </w:r>
      <w:r>
        <w:rPr>
          <w:rFonts w:hint="eastAsia" w:ascii="宋体" w:hAnsi="宋体" w:eastAsia="宋体" w:cs="宋体"/>
          <w:b/>
          <w:bCs/>
          <w:color w:val="auto"/>
          <w:sz w:val="22"/>
          <w:szCs w:val="22"/>
          <w:highlight w:val="none"/>
          <w:lang w:val="en-US" w:eastAsia="zh-CN"/>
        </w:rPr>
        <w:t>成交供应商（或</w:t>
      </w:r>
      <w:r>
        <w:rPr>
          <w:rFonts w:hint="default" w:ascii="宋体" w:hAnsi="宋体" w:eastAsia="宋体" w:cs="宋体"/>
          <w:b/>
          <w:bCs/>
          <w:color w:val="auto"/>
          <w:sz w:val="22"/>
          <w:szCs w:val="22"/>
          <w:highlight w:val="none"/>
          <w:lang w:val="en-US" w:eastAsia="zh-CN"/>
        </w:rPr>
        <w:t>联合体牵头人</w:t>
      </w:r>
      <w:r>
        <w:rPr>
          <w:rFonts w:hint="eastAsia" w:ascii="宋体" w:hAnsi="宋体" w:eastAsia="宋体" w:cs="宋体"/>
          <w:b/>
          <w:bCs/>
          <w:color w:val="auto"/>
          <w:sz w:val="22"/>
          <w:szCs w:val="22"/>
          <w:highlight w:val="none"/>
          <w:lang w:val="en-US" w:eastAsia="zh-CN"/>
        </w:rPr>
        <w:t>）</w:t>
      </w:r>
      <w:r>
        <w:rPr>
          <w:rFonts w:hint="default" w:ascii="宋体" w:hAnsi="宋体" w:eastAsia="宋体" w:cs="宋体"/>
          <w:b/>
          <w:bCs/>
          <w:color w:val="auto"/>
          <w:sz w:val="22"/>
          <w:szCs w:val="22"/>
          <w:highlight w:val="none"/>
          <w:lang w:val="en-US" w:eastAsia="zh-CN"/>
        </w:rPr>
        <w:t>确认核定。</w:t>
      </w:r>
    </w:p>
    <w:p w14:paraId="6CBE06C3">
      <w:pPr>
        <w:kinsoku/>
        <w:wordWrap w:val="0"/>
        <w:overflowPunct/>
        <w:bidi w:val="0"/>
        <w:spacing w:line="360" w:lineRule="auto"/>
        <w:ind w:firstLine="420"/>
        <w:rPr>
          <w:rFonts w:hint="default" w:ascii="宋体" w:hAnsi="宋体" w:cs="宋体"/>
          <w:b/>
          <w:bCs/>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注：1、在签订合同时，供应商明确表示无需预付款或者主动要求降低预付款比例的，采购人可不适用前述规定。2、对于满足合同支付约定条件的，采购人于收到成交供应商开具的正式税务发票后7个工作日内予以支付相应合同价款。</w:t>
      </w:r>
    </w:p>
    <w:p w14:paraId="77C17F8D">
      <w:pPr>
        <w:kinsoku/>
        <w:wordWrap w:val="0"/>
        <w:overflowPunct/>
        <w:bidi w:val="0"/>
        <w:spacing w:line="360" w:lineRule="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rPr>
        <w:t>九、</w:t>
      </w:r>
      <w:r>
        <w:rPr>
          <w:rFonts w:hint="eastAsia" w:ascii="宋体" w:hAnsi="宋体" w:eastAsia="宋体" w:cs="宋体"/>
          <w:b/>
          <w:bCs/>
          <w:color w:val="auto"/>
          <w:sz w:val="22"/>
          <w:szCs w:val="22"/>
          <w:highlight w:val="none"/>
          <w:lang w:eastAsia="zh-CN"/>
        </w:rPr>
        <w:t>履约保证金：</w:t>
      </w:r>
    </w:p>
    <w:p w14:paraId="234C46A8">
      <w:pPr>
        <w:kinsoku/>
        <w:wordWrap w:val="0"/>
        <w:overflowPunct/>
        <w:bidi w:val="0"/>
        <w:spacing w:line="360" w:lineRule="auto"/>
        <w:ind w:firstLine="42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提供</w:t>
      </w:r>
      <w:r>
        <w:rPr>
          <w:rFonts w:hint="eastAsia" w:ascii="宋体" w:hAnsi="宋体" w:eastAsia="宋体" w:cs="宋体"/>
          <w:color w:val="auto"/>
          <w:sz w:val="22"/>
          <w:szCs w:val="22"/>
          <w:highlight w:val="none"/>
          <w:lang w:eastAsia="zh-CN"/>
        </w:rPr>
        <w:t>履约保证金</w:t>
      </w:r>
      <w:r>
        <w:rPr>
          <w:rFonts w:hint="eastAsia" w:ascii="宋体" w:hAnsi="宋体" w:eastAsia="宋体" w:cs="宋体"/>
          <w:color w:val="auto"/>
          <w:sz w:val="22"/>
          <w:szCs w:val="22"/>
          <w:highlight w:val="none"/>
        </w:rPr>
        <w:t>的形式、金额及期限的</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在合同签署后（具体时间由采购人通知），成交供应商应以签约合同总价的1%作为</w:t>
      </w:r>
      <w:r>
        <w:rPr>
          <w:rFonts w:hint="eastAsia" w:ascii="宋体" w:hAnsi="宋体" w:eastAsia="宋体" w:cs="宋体"/>
          <w:color w:val="auto"/>
          <w:sz w:val="22"/>
          <w:szCs w:val="22"/>
          <w:highlight w:val="none"/>
          <w:lang w:eastAsia="zh-CN"/>
        </w:rPr>
        <w:t>履约保证金</w:t>
      </w:r>
      <w:r>
        <w:rPr>
          <w:rFonts w:hint="eastAsia" w:ascii="宋体" w:hAnsi="宋体" w:eastAsia="宋体" w:cs="宋体"/>
          <w:color w:val="auto"/>
          <w:sz w:val="22"/>
          <w:szCs w:val="22"/>
          <w:highlight w:val="none"/>
        </w:rPr>
        <w:t>，以银行转账、转帐支票、银行汇票或银行、保险公司</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融资担保公司</w:t>
      </w:r>
      <w:r>
        <w:rPr>
          <w:rFonts w:hint="eastAsia" w:ascii="宋体" w:hAnsi="宋体" w:eastAsia="宋体" w:cs="宋体"/>
          <w:color w:val="auto"/>
          <w:sz w:val="22"/>
          <w:szCs w:val="22"/>
          <w:highlight w:val="none"/>
        </w:rPr>
        <w:t>出具的保函等形式交纳。</w:t>
      </w:r>
    </w:p>
    <w:p w14:paraId="5BB4A6A7">
      <w:pPr>
        <w:kinsoku/>
        <w:wordWrap w:val="0"/>
        <w:overflowPunct/>
        <w:bidi w:val="0"/>
        <w:spacing w:line="360" w:lineRule="auto"/>
        <w:ind w:firstLine="420" w:firstLineChars="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1）若采用保函形式的，应满足以下条件</w:t>
      </w:r>
      <w:r>
        <w:rPr>
          <w:rFonts w:hint="eastAsia" w:ascii="宋体" w:hAnsi="宋体" w:eastAsia="宋体" w:cs="宋体"/>
          <w:color w:val="auto"/>
          <w:sz w:val="22"/>
          <w:szCs w:val="22"/>
          <w:highlight w:val="none"/>
          <w:lang w:eastAsia="zh-CN"/>
        </w:rPr>
        <w:t>：</w:t>
      </w:r>
    </w:p>
    <w:p w14:paraId="1C03DE33">
      <w:pPr>
        <w:kinsoku/>
        <w:wordWrap w:val="0"/>
        <w:overflowPunct/>
        <w:bidi w:val="0"/>
        <w:spacing w:line="360" w:lineRule="auto"/>
        <w:ind w:firstLine="420" w:firstLineChars="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①保函期限</w:t>
      </w:r>
      <w:r>
        <w:rPr>
          <w:rFonts w:hint="eastAsia" w:ascii="宋体" w:hAnsi="宋体" w:eastAsia="宋体" w:cs="宋体"/>
          <w:b w:val="0"/>
          <w:bCs w:val="0"/>
          <w:color w:val="auto"/>
          <w:sz w:val="22"/>
          <w:szCs w:val="22"/>
          <w:highlight w:val="none"/>
          <w:lang w:eastAsia="zh-CN"/>
        </w:rPr>
        <w:t>：合同签订之日起</w:t>
      </w:r>
      <w:r>
        <w:rPr>
          <w:rFonts w:hint="eastAsia" w:ascii="宋体" w:hAnsi="宋体" w:eastAsia="宋体" w:cs="宋体"/>
          <w:b w:val="0"/>
          <w:bCs w:val="0"/>
          <w:color w:val="auto"/>
          <w:sz w:val="22"/>
          <w:szCs w:val="22"/>
          <w:highlight w:val="none"/>
          <w:lang w:val="en-US" w:eastAsia="zh-CN"/>
        </w:rPr>
        <w:t>直至工程质量缺陷期结束的所有工作内容以及项目房屋不动产权（大产权）首次登记证办理完成后满12个月为止</w:t>
      </w:r>
      <w:r>
        <w:rPr>
          <w:rFonts w:hint="eastAsia" w:ascii="宋体" w:hAnsi="宋体" w:eastAsia="宋体" w:cs="宋体"/>
          <w:b w:val="0"/>
          <w:bCs w:val="0"/>
          <w:color w:val="auto"/>
          <w:sz w:val="22"/>
          <w:szCs w:val="22"/>
          <w:highlight w:val="none"/>
          <w:lang w:eastAsia="zh-CN"/>
        </w:rPr>
        <w:t>。</w:t>
      </w:r>
    </w:p>
    <w:p w14:paraId="42BCA9FF">
      <w:pPr>
        <w:kinsoku/>
        <w:wordWrap w:val="0"/>
        <w:overflowPunct/>
        <w:bidi w:val="0"/>
        <w:spacing w:line="360" w:lineRule="auto"/>
        <w:ind w:firstLine="420" w:firstLineChars="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②如果由于服务期延误或保函出具机构要求分期出具保函的，则在前一份保函有效期满之日20日前必须重新出具相同内容的保函。</w:t>
      </w:r>
    </w:p>
    <w:p w14:paraId="092FE1F4">
      <w:pPr>
        <w:kinsoku/>
        <w:wordWrap w:val="0"/>
        <w:overflowPunct/>
        <w:bidi w:val="0"/>
        <w:spacing w:line="360" w:lineRule="auto"/>
        <w:ind w:firstLine="420" w:firstLineChars="0"/>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rPr>
        <w:t>2）以银行转账、转帐支票、银行汇票等形式提交的</w:t>
      </w:r>
      <w:r>
        <w:rPr>
          <w:rFonts w:hint="eastAsia" w:ascii="宋体" w:hAnsi="宋体" w:eastAsia="宋体" w:cs="宋体"/>
          <w:b w:val="0"/>
          <w:bCs w:val="0"/>
          <w:color w:val="auto"/>
          <w:sz w:val="22"/>
          <w:szCs w:val="22"/>
          <w:highlight w:val="none"/>
          <w:lang w:eastAsia="zh-CN"/>
        </w:rPr>
        <w:t>：</w:t>
      </w:r>
    </w:p>
    <w:p w14:paraId="711861B2">
      <w:pPr>
        <w:kinsoku/>
        <w:wordWrap w:val="0"/>
        <w:overflowPunct/>
        <w:bidi w:val="0"/>
        <w:spacing w:line="360" w:lineRule="auto"/>
        <w:ind w:firstLine="420" w:firstLineChars="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①从成交供应商基本账户转出；</w:t>
      </w:r>
    </w:p>
    <w:p w14:paraId="19FCD3F8">
      <w:pPr>
        <w:kinsoku/>
        <w:wordWrap w:val="0"/>
        <w:overflowPunct/>
        <w:bidi w:val="0"/>
        <w:spacing w:line="360" w:lineRule="auto"/>
        <w:ind w:firstLine="420" w:firstLineChars="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②</w:t>
      </w:r>
      <w:r>
        <w:rPr>
          <w:rFonts w:hint="eastAsia" w:ascii="宋体" w:hAnsi="宋体" w:eastAsia="宋体" w:cs="宋体"/>
          <w:b w:val="0"/>
          <w:bCs w:val="0"/>
          <w:color w:val="auto"/>
          <w:sz w:val="22"/>
          <w:szCs w:val="22"/>
          <w:highlight w:val="none"/>
          <w:lang w:eastAsia="zh-CN"/>
        </w:rPr>
        <w:t>履约保证金</w:t>
      </w:r>
      <w:r>
        <w:rPr>
          <w:rFonts w:hint="eastAsia" w:ascii="宋体" w:hAnsi="宋体" w:eastAsia="宋体" w:cs="宋体"/>
          <w:b w:val="0"/>
          <w:bCs w:val="0"/>
          <w:color w:val="auto"/>
          <w:sz w:val="22"/>
          <w:szCs w:val="22"/>
          <w:highlight w:val="none"/>
        </w:rPr>
        <w:t>退还时间</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lang w:val="en-US" w:eastAsia="zh-CN"/>
        </w:rPr>
        <w:t>工程质量缺陷期结束以及项目房屋不动产权（大产权）首次登记证办理完成后满12个月</w:t>
      </w:r>
      <w:r>
        <w:rPr>
          <w:rFonts w:hint="eastAsia" w:ascii="宋体" w:hAnsi="宋体" w:eastAsia="宋体" w:cs="宋体"/>
          <w:b w:val="0"/>
          <w:bCs w:val="0"/>
          <w:color w:val="auto"/>
          <w:sz w:val="22"/>
          <w:szCs w:val="22"/>
          <w:highlight w:val="none"/>
        </w:rPr>
        <w:t>之日起10日内予以全部退还（无息）。</w:t>
      </w:r>
    </w:p>
    <w:p w14:paraId="3BAC5EF0">
      <w:pPr>
        <w:kinsoku/>
        <w:wordWrap w:val="0"/>
        <w:overflowPunct/>
        <w:bidi w:val="0"/>
        <w:spacing w:line="360" w:lineRule="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rPr>
        <w:t>十、售后服务</w:t>
      </w:r>
      <w:r>
        <w:rPr>
          <w:rFonts w:hint="eastAsia" w:ascii="宋体" w:hAnsi="宋体" w:eastAsia="宋体" w:cs="宋体"/>
          <w:b/>
          <w:bCs/>
          <w:color w:val="auto"/>
          <w:sz w:val="22"/>
          <w:szCs w:val="22"/>
          <w:highlight w:val="none"/>
          <w:lang w:eastAsia="zh-CN"/>
        </w:rPr>
        <w:t>：</w:t>
      </w:r>
    </w:p>
    <w:p w14:paraId="32B4A5CE">
      <w:pPr>
        <w:kinsoku/>
        <w:wordWrap w:val="0"/>
        <w:overflowPunct/>
        <w:bidi w:val="0"/>
        <w:spacing w:line="360" w:lineRule="auto"/>
        <w:ind w:firstLine="42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1.成交供应商负责免费对项目成果错误进行及时更正、并对按规定进行调整或补充。</w:t>
      </w:r>
    </w:p>
    <w:p w14:paraId="50100482">
      <w:pPr>
        <w:kinsoku/>
        <w:wordWrap w:val="0"/>
        <w:overflowPunct/>
        <w:bidi w:val="0"/>
        <w:spacing w:line="360" w:lineRule="auto"/>
        <w:ind w:firstLine="42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成交供应商能提供快速的售后服务响应，提供7*24小时技术服务，如在使用过程中发生问题，成交供应商在接到采购人通知后在24小时内到达现场。若未按时响应的，应按次向发包人支付违约金1000元，违约金从剩余的结算价款中扣除；超过5次，发包人可解除合同。</w:t>
      </w:r>
    </w:p>
    <w:p w14:paraId="756275AB">
      <w:pPr>
        <w:kinsoku/>
        <w:wordWrap w:val="0"/>
        <w:overflowPunct/>
        <w:bidi w:val="0"/>
        <w:spacing w:line="360" w:lineRule="auto"/>
        <w:ind w:firstLine="42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3.合同签署后，成交供应商无特殊情况未经采购人同意不得变更设计资料及设计文件交付的时间，应按日向发包人支付违约金1000</w:t>
      </w:r>
      <w:r>
        <w:rPr>
          <w:rFonts w:hint="eastAsia" w:ascii="宋体" w:hAnsi="宋体" w:cs="宋体"/>
          <w:color w:val="auto"/>
          <w:sz w:val="22"/>
          <w:szCs w:val="22"/>
          <w:highlight w:val="none"/>
          <w:lang w:val="en-US" w:eastAsia="zh-CN"/>
        </w:rPr>
        <w:t>0</w:t>
      </w:r>
      <w:r>
        <w:rPr>
          <w:rFonts w:hint="eastAsia" w:ascii="宋体" w:hAnsi="宋体" w:eastAsia="宋体" w:cs="宋体"/>
          <w:color w:val="auto"/>
          <w:sz w:val="22"/>
          <w:szCs w:val="22"/>
          <w:highlight w:val="none"/>
        </w:rPr>
        <w:t>元；超过10日，发包人可解除合同等。</w:t>
      </w:r>
    </w:p>
    <w:p w14:paraId="2371A378">
      <w:pPr>
        <w:kinsoku/>
        <w:wordWrap w:val="0"/>
        <w:overflowPunct/>
        <w:bidi w:val="0"/>
        <w:spacing w:line="360" w:lineRule="auto"/>
        <w:ind w:firstLine="42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r>
        <w:rPr>
          <w:rFonts w:hint="eastAsia" w:ascii="宋体" w:hAnsi="宋体" w:cs="宋体"/>
          <w:color w:val="auto"/>
          <w:sz w:val="22"/>
          <w:szCs w:val="22"/>
          <w:highlight w:val="none"/>
          <w:lang w:val="en-US" w:eastAsia="zh-CN"/>
        </w:rPr>
        <w:t>设计</w:t>
      </w:r>
      <w:r>
        <w:rPr>
          <w:rFonts w:hint="eastAsia" w:ascii="宋体" w:hAnsi="宋体" w:eastAsia="宋体" w:cs="宋体"/>
          <w:color w:val="auto"/>
          <w:sz w:val="22"/>
          <w:szCs w:val="22"/>
          <w:highlight w:val="none"/>
        </w:rPr>
        <w:t>成果在通过最终评审前，须按采购人要求修改（不限次数），确保通过最终评审。本项目所有评审过程涉及的评审费用、专家费由成交供应商负责。</w:t>
      </w:r>
    </w:p>
    <w:p w14:paraId="3DD5B716">
      <w:pPr>
        <w:kinsoku/>
        <w:wordWrap w:val="0"/>
        <w:overflowPunct/>
        <w:bidi w:val="0"/>
        <w:spacing w:line="360" w:lineRule="auto"/>
        <w:ind w:firstLine="420"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5.本项目所需相关资料均由采购人协助供应商获取。成交供应商必须按规定程序和有关要求进行实施，服务过程中的各种设计质量及人身财产安全意外，责任由成交供应商承担，采购人不承担责任。</w:t>
      </w:r>
    </w:p>
    <w:p w14:paraId="1B43A2A9">
      <w:pPr>
        <w:pStyle w:val="25"/>
        <w:shd w:val="clear" w:color="auto" w:fill="auto"/>
        <w:kinsoku/>
        <w:wordWrap w:val="0"/>
        <w:overflowPunct/>
        <w:bidi w:val="0"/>
        <w:spacing w:before="0" w:after="0" w:line="360" w:lineRule="auto"/>
        <w:ind w:firstLine="442" w:firstLineChars="200"/>
        <w:jc w:val="center"/>
        <w:rPr>
          <w:rFonts w:hint="eastAsia" w:ascii="宋体" w:hAnsi="宋体" w:eastAsia="宋体" w:cs="宋体"/>
          <w:color w:val="auto"/>
          <w:highlight w:val="none"/>
          <w:lang w:val="zh-CN"/>
        </w:rPr>
      </w:pPr>
      <w:r>
        <w:rPr>
          <w:rFonts w:hint="eastAsia" w:ascii="宋体" w:hAnsi="宋体" w:eastAsia="宋体" w:cs="宋体"/>
          <w:b/>
          <w:bCs/>
          <w:color w:val="auto"/>
          <w:spacing w:val="0"/>
          <w:kern w:val="2"/>
          <w:sz w:val="22"/>
          <w:szCs w:val="22"/>
          <w:highlight w:val="none"/>
          <w:u w:val="single"/>
          <w:lang w:val="en-US" w:eastAsia="zh-CN" w:bidi="ar-SA"/>
        </w:rPr>
        <w:br w:type="page"/>
      </w:r>
      <w:bookmarkStart w:id="14" w:name="_Toc15258"/>
      <w:r>
        <w:rPr>
          <w:rFonts w:hint="eastAsia" w:ascii="宋体" w:hAnsi="宋体" w:eastAsia="宋体" w:cs="宋体"/>
          <w:color w:val="auto"/>
          <w:highlight w:val="none"/>
          <w:lang w:val="zh-CN"/>
        </w:rPr>
        <w:t>第三部分</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供应商须知</w:t>
      </w:r>
      <w:bookmarkEnd w:id="14"/>
    </w:p>
    <w:p w14:paraId="25901DF8">
      <w:pPr>
        <w:shd w:val="clear" w:color="auto" w:fill="auto"/>
        <w:kinsoku/>
        <w:wordWrap w:val="0"/>
        <w:overflowPunct/>
        <w:autoSpaceDE w:val="0"/>
        <w:autoSpaceDN w:val="0"/>
        <w:bidi w:val="0"/>
        <w:adjustRightInd w:val="0"/>
        <w:snapToGrid w:val="0"/>
        <w:spacing w:line="360" w:lineRule="auto"/>
        <w:textAlignment w:val="bottom"/>
        <w:outlineLvl w:val="1"/>
        <w:rPr>
          <w:rFonts w:hint="eastAsia" w:ascii="宋体" w:hAnsi="宋体" w:eastAsia="宋体" w:cs="宋体"/>
          <w:b/>
          <w:bCs/>
          <w:color w:val="auto"/>
          <w:sz w:val="22"/>
          <w:szCs w:val="22"/>
          <w:highlight w:val="none"/>
        </w:rPr>
      </w:pPr>
      <w:bookmarkStart w:id="15" w:name="_Toc19221"/>
      <w:r>
        <w:rPr>
          <w:rFonts w:hint="eastAsia" w:ascii="宋体" w:hAnsi="宋体" w:eastAsia="宋体" w:cs="宋体"/>
          <w:b/>
          <w:bCs/>
          <w:color w:val="auto"/>
          <w:sz w:val="22"/>
          <w:szCs w:val="22"/>
          <w:highlight w:val="none"/>
        </w:rPr>
        <w:t>一、说明</w:t>
      </w:r>
      <w:bookmarkEnd w:id="15"/>
    </w:p>
    <w:p w14:paraId="689FB6D8">
      <w:pPr>
        <w:widowControl/>
        <w:shd w:val="clear" w:color="auto" w:fill="auto"/>
        <w:kinsoku/>
        <w:wordWrap w:val="0"/>
        <w:overflowPunct/>
        <w:bidi w:val="0"/>
        <w:snapToGrid w:val="0"/>
        <w:spacing w:line="360" w:lineRule="auto"/>
        <w:ind w:firstLine="431" w:firstLineChars="196"/>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1、无论投标过程中的作法和结果如何，供应商自行承担投标活动中所发生的全部费用。</w:t>
      </w:r>
    </w:p>
    <w:p w14:paraId="49824D2A">
      <w:pPr>
        <w:shd w:val="clear" w:color="auto" w:fill="auto"/>
        <w:kinsoku/>
        <w:wordWrap w:val="0"/>
        <w:overflowPunct/>
        <w:autoSpaceDE w:val="0"/>
        <w:autoSpaceDN w:val="0"/>
        <w:bidi w:val="0"/>
        <w:adjustRightInd w:val="0"/>
        <w:snapToGrid w:val="0"/>
        <w:spacing w:line="360" w:lineRule="auto"/>
        <w:ind w:firstLine="431" w:firstLineChars="196"/>
        <w:jc w:val="left"/>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b/>
          <w:color w:val="auto"/>
          <w:sz w:val="22"/>
          <w:szCs w:val="22"/>
          <w:highlight w:val="none"/>
          <w:u w:val="single"/>
        </w:rPr>
        <w:t>供应商必须投全部标的物，否则按无效投标处理。</w:t>
      </w:r>
    </w:p>
    <w:p w14:paraId="60052296">
      <w:pPr>
        <w:shd w:val="clear" w:color="auto" w:fill="auto"/>
        <w:kinsoku/>
        <w:wordWrap w:val="0"/>
        <w:overflowPunct/>
        <w:autoSpaceDE w:val="0"/>
        <w:autoSpaceDN w:val="0"/>
        <w:bidi w:val="0"/>
        <w:adjustRightInd w:val="0"/>
        <w:snapToGrid w:val="0"/>
        <w:spacing w:line="360" w:lineRule="auto"/>
        <w:ind w:firstLine="446" w:firstLineChars="203"/>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本次采购报价文件与商务技术文件分别评审，评标委员会首先评审供应商商务技术文件，商务技术文件无效的供应商不进入报价评审。要求供应商商务技术部分的投标文件（含资信与服务）中不得含产品报价，否则做无效投标处理。</w:t>
      </w:r>
    </w:p>
    <w:p w14:paraId="7549734C">
      <w:pPr>
        <w:shd w:val="clear" w:color="auto" w:fill="auto"/>
        <w:kinsoku/>
        <w:wordWrap w:val="0"/>
        <w:overflowPunct/>
        <w:autoSpaceDE w:val="0"/>
        <w:autoSpaceDN w:val="0"/>
        <w:bidi w:val="0"/>
        <w:adjustRightInd w:val="0"/>
        <w:snapToGrid w:val="0"/>
        <w:spacing w:line="360" w:lineRule="auto"/>
        <w:ind w:firstLine="420" w:firstLineChars="190"/>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4、供应商须自行现场勘察，以求得准确的报价依据。供应商须自行考虑投标报价的风险。</w:t>
      </w:r>
    </w:p>
    <w:p w14:paraId="44EBB770">
      <w:pPr>
        <w:pStyle w:val="6"/>
        <w:shd w:val="clear" w:color="auto" w:fill="auto"/>
        <w:kinsoku/>
        <w:wordWrap w:val="0"/>
        <w:overflowPunct/>
        <w:bidi w:val="0"/>
        <w:adjustRightInd w:val="0"/>
        <w:snapToGrid w:val="0"/>
        <w:spacing w:line="360" w:lineRule="auto"/>
        <w:ind w:firstLine="442"/>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w:t>
      </w:r>
      <w:r>
        <w:rPr>
          <w:rFonts w:hint="eastAsia" w:ascii="宋体" w:hAnsi="宋体" w:eastAsia="宋体" w:cs="宋体"/>
          <w:b/>
          <w:color w:val="auto"/>
          <w:sz w:val="22"/>
          <w:szCs w:val="22"/>
          <w:highlight w:val="none"/>
          <w:lang w:val="zh-CN"/>
        </w:rPr>
        <w:t>、</w:t>
      </w:r>
      <w:r>
        <w:rPr>
          <w:rFonts w:hint="eastAsia" w:ascii="宋体" w:hAnsi="宋体" w:eastAsia="宋体" w:cs="宋体"/>
          <w:b/>
          <w:color w:val="auto"/>
          <w:sz w:val="22"/>
          <w:szCs w:val="22"/>
          <w:highlight w:val="none"/>
          <w:u w:val="single"/>
        </w:rPr>
        <w:t>供应商企业不是独立法人的，按浙财采监[2013]24号文件执行。</w:t>
      </w:r>
    </w:p>
    <w:p w14:paraId="29AB6FC4">
      <w:pPr>
        <w:shd w:val="clear" w:color="auto" w:fill="auto"/>
        <w:kinsoku/>
        <w:wordWrap w:val="0"/>
        <w:overflowPunct/>
        <w:bidi w:val="0"/>
        <w:snapToGrid w:val="0"/>
        <w:spacing w:line="360" w:lineRule="auto"/>
        <w:ind w:firstLine="420" w:firstLineChars="19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单位负责人为同一人或者存在直接控股、管理关系的不同供应商，不得参加同一合同项下的采购活动。如在评标过程中发现供应商间存在上述关系，评标委员会可以对存在上述关系的供应商做无效投标处理。</w:t>
      </w:r>
    </w:p>
    <w:p w14:paraId="1289657A">
      <w:pPr>
        <w:pStyle w:val="6"/>
        <w:shd w:val="clear" w:color="auto" w:fill="auto"/>
        <w:kinsoku/>
        <w:wordWrap w:val="0"/>
        <w:overflowPunct/>
        <w:bidi w:val="0"/>
        <w:adjustRightInd w:val="0"/>
        <w:snapToGrid w:val="0"/>
        <w:spacing w:line="360" w:lineRule="auto"/>
        <w:ind w:firstLine="442"/>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▲6、本次采购最高限价为</w:t>
      </w:r>
      <w:r>
        <w:rPr>
          <w:rFonts w:hint="eastAsia" w:ascii="宋体" w:hAnsi="宋体" w:cs="宋体"/>
          <w:b/>
          <w:bCs/>
          <w:color w:val="auto"/>
          <w:sz w:val="22"/>
          <w:szCs w:val="22"/>
          <w:highlight w:val="none"/>
          <w:u w:val="single"/>
          <w:lang w:val="en-US" w:eastAsia="zh-CN"/>
        </w:rPr>
        <w:t>1791.8656</w:t>
      </w:r>
      <w:r>
        <w:rPr>
          <w:rFonts w:hint="eastAsia" w:ascii="宋体" w:hAnsi="宋体" w:eastAsia="宋体" w:cs="宋体"/>
          <w:b/>
          <w:color w:val="auto"/>
          <w:sz w:val="22"/>
          <w:szCs w:val="22"/>
          <w:highlight w:val="none"/>
          <w:u w:val="none"/>
          <w:lang w:val="en-US" w:eastAsia="zh-CN"/>
        </w:rPr>
        <w:t>万</w:t>
      </w:r>
      <w:r>
        <w:rPr>
          <w:rFonts w:hint="eastAsia" w:ascii="宋体" w:hAnsi="宋体" w:eastAsia="宋体" w:cs="宋体"/>
          <w:b/>
          <w:bCs/>
          <w:color w:val="auto"/>
          <w:sz w:val="22"/>
          <w:szCs w:val="22"/>
          <w:highlight w:val="none"/>
          <w:u w:val="none"/>
        </w:rPr>
        <w:t>元</w:t>
      </w:r>
      <w:r>
        <w:rPr>
          <w:rFonts w:hint="eastAsia" w:ascii="宋体" w:hAnsi="宋体" w:eastAsia="宋体" w:cs="宋体"/>
          <w:b/>
          <w:color w:val="auto"/>
          <w:sz w:val="22"/>
          <w:szCs w:val="22"/>
          <w:highlight w:val="none"/>
          <w:u w:val="none"/>
          <w:lang w:eastAsia="zh-CN"/>
        </w:rPr>
        <w:t>（</w:t>
      </w:r>
      <w:r>
        <w:rPr>
          <w:rFonts w:hint="eastAsia" w:ascii="宋体" w:hAnsi="宋体" w:eastAsia="宋体" w:cs="宋体"/>
          <w:b/>
          <w:color w:val="auto"/>
          <w:sz w:val="22"/>
          <w:szCs w:val="22"/>
          <w:highlight w:val="none"/>
          <w:u w:val="none"/>
          <w:lang w:val="en-US" w:eastAsia="zh-CN"/>
        </w:rPr>
        <w:t>其中</w:t>
      </w:r>
      <w:r>
        <w:rPr>
          <w:rFonts w:hint="eastAsia" w:ascii="宋体" w:hAnsi="宋体" w:eastAsia="宋体" w:cs="宋体"/>
          <w:b/>
          <w:bCs/>
          <w:color w:val="auto"/>
          <w:sz w:val="22"/>
          <w:szCs w:val="22"/>
          <w:highlight w:val="none"/>
          <w:lang w:val="en-US" w:eastAsia="zh-CN"/>
        </w:rPr>
        <w:t>建设管理费（含品牌冠名费）</w:t>
      </w:r>
      <w:r>
        <w:rPr>
          <w:rFonts w:hint="eastAsia" w:ascii="宋体" w:hAnsi="宋体" w:eastAsia="宋体" w:cs="宋体"/>
          <w:b/>
          <w:color w:val="auto"/>
          <w:sz w:val="22"/>
          <w:szCs w:val="22"/>
          <w:highlight w:val="none"/>
          <w:u w:val="none"/>
          <w:lang w:val="en-US" w:eastAsia="zh-CN"/>
        </w:rPr>
        <w:t>最高限价为</w:t>
      </w:r>
      <w:r>
        <w:rPr>
          <w:rFonts w:hint="eastAsia" w:ascii="宋体" w:hAnsi="宋体" w:cs="宋体"/>
          <w:b/>
          <w:bCs/>
          <w:color w:val="auto"/>
          <w:sz w:val="22"/>
          <w:szCs w:val="22"/>
          <w:highlight w:val="none"/>
          <w:u w:val="single"/>
          <w:lang w:val="en-US" w:eastAsia="zh-CN"/>
        </w:rPr>
        <w:t>1406.9376</w:t>
      </w:r>
      <w:r>
        <w:rPr>
          <w:rFonts w:hint="eastAsia" w:ascii="宋体" w:hAnsi="宋体" w:eastAsia="宋体" w:cs="宋体"/>
          <w:b/>
          <w:color w:val="auto"/>
          <w:sz w:val="22"/>
          <w:szCs w:val="22"/>
          <w:highlight w:val="none"/>
          <w:u w:val="none"/>
          <w:lang w:val="en-US" w:eastAsia="zh-CN"/>
        </w:rPr>
        <w:t>万元、设计费最高限价为</w:t>
      </w:r>
      <w:r>
        <w:rPr>
          <w:rFonts w:hint="eastAsia" w:ascii="宋体" w:hAnsi="宋体" w:cs="宋体"/>
          <w:b/>
          <w:bCs/>
          <w:color w:val="auto"/>
          <w:sz w:val="22"/>
          <w:szCs w:val="22"/>
          <w:highlight w:val="none"/>
          <w:u w:val="single"/>
          <w:lang w:val="en-US" w:eastAsia="zh-CN"/>
        </w:rPr>
        <w:t>384.928</w:t>
      </w:r>
      <w:r>
        <w:rPr>
          <w:rFonts w:hint="eastAsia" w:ascii="宋体" w:hAnsi="宋体" w:eastAsia="宋体" w:cs="宋体"/>
          <w:b/>
          <w:color w:val="auto"/>
          <w:sz w:val="22"/>
          <w:szCs w:val="22"/>
          <w:highlight w:val="none"/>
          <w:u w:val="none"/>
          <w:lang w:val="en-US" w:eastAsia="zh-CN"/>
        </w:rPr>
        <w:t>万元</w:t>
      </w:r>
      <w:r>
        <w:rPr>
          <w:rFonts w:hint="eastAsia" w:ascii="宋体" w:hAnsi="宋体" w:eastAsia="宋体" w:cs="宋体"/>
          <w:b/>
          <w:color w:val="auto"/>
          <w:sz w:val="22"/>
          <w:szCs w:val="22"/>
          <w:highlight w:val="none"/>
          <w:u w:val="none"/>
          <w:lang w:eastAsia="zh-CN"/>
        </w:rPr>
        <w:t>）</w:t>
      </w:r>
      <w:r>
        <w:rPr>
          <w:rFonts w:hint="eastAsia" w:ascii="宋体" w:hAnsi="宋体" w:eastAsia="宋体" w:cs="宋体"/>
          <w:b/>
          <w:color w:val="auto"/>
          <w:sz w:val="22"/>
          <w:szCs w:val="22"/>
          <w:highlight w:val="none"/>
        </w:rPr>
        <w:t>；如果仅仅某个（些）供应商的报价超出采购最高限价</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lang w:val="en-US" w:eastAsia="zh-CN"/>
        </w:rPr>
        <w:t>或分项最高限价</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的，则拒绝接受其报价，按无效报价处理。</w:t>
      </w:r>
    </w:p>
    <w:p w14:paraId="76A400E3">
      <w:pPr>
        <w:widowControl/>
        <w:shd w:val="clear" w:color="auto" w:fill="auto"/>
        <w:kinsoku/>
        <w:wordWrap w:val="0"/>
        <w:overflowPunct/>
        <w:bidi w:val="0"/>
        <w:snapToGrid w:val="0"/>
        <w:spacing w:line="360" w:lineRule="auto"/>
        <w:ind w:firstLine="420" w:firstLineChars="190"/>
        <w:jc w:val="left"/>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rPr>
        <w:t>7、本次招标采用资格后审，供应商只需在网上下载采购文件，不接受现场报名。</w:t>
      </w:r>
    </w:p>
    <w:p w14:paraId="412AB1A1">
      <w:pPr>
        <w:pStyle w:val="60"/>
        <w:shd w:val="clear" w:color="auto" w:fill="auto"/>
        <w:kinsoku/>
        <w:wordWrap w:val="0"/>
        <w:overflowPunct/>
        <w:bidi w:val="0"/>
        <w:spacing w:after="0" w:line="360" w:lineRule="auto"/>
        <w:ind w:left="0" w:leftChars="0" w:firstLine="442"/>
        <w:rPr>
          <w:rFonts w:hint="eastAsia" w:ascii="宋体" w:hAnsi="宋体" w:eastAsia="宋体" w:cs="宋体"/>
          <w:b/>
          <w:color w:val="auto"/>
          <w:sz w:val="22"/>
          <w:szCs w:val="22"/>
          <w:highlight w:val="none"/>
          <w:u w:val="single"/>
          <w:lang w:val="zh-CN"/>
        </w:rPr>
      </w:pPr>
      <w:r>
        <w:rPr>
          <w:rFonts w:hint="eastAsia" w:ascii="宋体" w:hAnsi="宋体" w:eastAsia="宋体" w:cs="宋体"/>
          <w:b/>
          <w:color w:val="auto"/>
          <w:sz w:val="22"/>
          <w:szCs w:val="22"/>
          <w:highlight w:val="none"/>
          <w:u w:val="single"/>
        </w:rPr>
        <w:t>8</w:t>
      </w:r>
      <w:r>
        <w:rPr>
          <w:rFonts w:hint="eastAsia" w:ascii="宋体" w:hAnsi="宋体" w:eastAsia="宋体" w:cs="宋体"/>
          <w:b/>
          <w:color w:val="auto"/>
          <w:sz w:val="22"/>
          <w:szCs w:val="22"/>
          <w:highlight w:val="none"/>
          <w:u w:val="single"/>
          <w:lang w:val="zh-CN"/>
        </w:rPr>
        <w:t>、本次采购文件中，带有“▲”标注的有关技术和商务条款要求供应商做实质性响应，供应商要特别加以注意，必须对此回答并完全满足这些要求。否则若有一项“▲”的指标未响应或不满足，将按投标无效处理。</w:t>
      </w:r>
    </w:p>
    <w:p w14:paraId="766B4FE9">
      <w:pPr>
        <w:widowControl/>
        <w:shd w:val="clear" w:color="auto" w:fill="auto"/>
        <w:kinsoku/>
        <w:wordWrap w:val="0"/>
        <w:overflowPunct/>
        <w:bidi w:val="0"/>
        <w:snapToGrid w:val="0"/>
        <w:spacing w:line="360" w:lineRule="auto"/>
        <w:ind w:firstLine="420" w:firstLineChars="19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9</w:t>
      </w:r>
      <w:r>
        <w:rPr>
          <w:rFonts w:hint="eastAsia" w:ascii="宋体" w:hAnsi="宋体" w:eastAsia="宋体" w:cs="宋体"/>
          <w:b/>
          <w:color w:val="auto"/>
          <w:sz w:val="22"/>
          <w:szCs w:val="22"/>
          <w:highlight w:val="none"/>
          <w:lang w:val="zh-CN"/>
        </w:rPr>
        <w:t>、投标供应商信用信息查询渠道及截止时点、信用信息查询记录和证据留存的具体方式、信用信息的使用规则等：</w:t>
      </w:r>
    </w:p>
    <w:p w14:paraId="0433BCED">
      <w:pPr>
        <w:widowControl/>
        <w:shd w:val="clear" w:color="auto" w:fill="auto"/>
        <w:kinsoku/>
        <w:wordWrap w:val="0"/>
        <w:overflowPunct/>
        <w:bidi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zh-CN"/>
        </w:rPr>
        <w:t>投标供应商信用信息查询的查询渠道</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信用中国</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zh-CN"/>
        </w:rPr>
        <w:fldChar w:fldCharType="begin"/>
      </w:r>
      <w:r>
        <w:rPr>
          <w:rFonts w:hint="eastAsia" w:ascii="宋体" w:hAnsi="宋体" w:eastAsia="宋体" w:cs="宋体"/>
          <w:color w:val="auto"/>
          <w:sz w:val="22"/>
          <w:szCs w:val="22"/>
          <w:highlight w:val="none"/>
        </w:rPr>
        <w:instrText xml:space="preserve">HYPERLINK "D:\\</w:instrText>
      </w:r>
      <w:r>
        <w:rPr>
          <w:rFonts w:hint="eastAsia" w:ascii="宋体" w:hAnsi="宋体" w:eastAsia="宋体" w:cs="宋体"/>
          <w:color w:val="auto"/>
          <w:sz w:val="22"/>
          <w:szCs w:val="22"/>
          <w:highlight w:val="none"/>
          <w:lang w:val="zh-CN"/>
        </w:rPr>
        <w:instrText xml:space="preserve">平阳</w:instrText>
      </w:r>
      <w:r>
        <w:rPr>
          <w:rFonts w:hint="eastAsia" w:ascii="宋体" w:hAnsi="宋体" w:eastAsia="宋体" w:cs="宋体"/>
          <w:color w:val="auto"/>
          <w:sz w:val="22"/>
          <w:szCs w:val="22"/>
          <w:highlight w:val="none"/>
        </w:rPr>
        <w:instrText xml:space="preserve">2019</w:instrText>
      </w:r>
      <w:r>
        <w:rPr>
          <w:rFonts w:hint="eastAsia" w:ascii="宋体" w:hAnsi="宋体" w:eastAsia="宋体" w:cs="宋体"/>
          <w:color w:val="auto"/>
          <w:sz w:val="22"/>
          <w:szCs w:val="22"/>
          <w:highlight w:val="none"/>
          <w:lang w:val="zh-CN"/>
        </w:rPr>
        <w:instrText xml:space="preserve">年</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lang w:val="zh-CN"/>
        </w:rPr>
        <w:instrText xml:space="preserve">平阳县卫生健康局平阳县基层医疗卫生机构财政补偿机制改革绩效考核信息系统</w:instrText>
      </w:r>
      <w:r>
        <w:rPr>
          <w:rFonts w:hint="eastAsia" w:ascii="宋体" w:hAnsi="宋体" w:eastAsia="宋体" w:cs="宋体"/>
          <w:color w:val="auto"/>
          <w:sz w:val="22"/>
          <w:szCs w:val="22"/>
          <w:highlight w:val="none"/>
        </w:rPr>
        <w:instrText xml:space="preserve">\\www.creditchina.gov.cn"</w:instrText>
      </w:r>
      <w:r>
        <w:rPr>
          <w:rFonts w:hint="eastAsia" w:ascii="宋体" w:hAnsi="宋体" w:eastAsia="宋体" w:cs="宋体"/>
          <w:color w:val="auto"/>
          <w:sz w:val="22"/>
          <w:szCs w:val="22"/>
          <w:highlight w:val="none"/>
          <w:lang w:val="zh-CN"/>
        </w:rPr>
        <w:fldChar w:fldCharType="separate"/>
      </w:r>
      <w:r>
        <w:rPr>
          <w:rFonts w:hint="eastAsia" w:ascii="宋体" w:hAnsi="宋体" w:eastAsia="宋体" w:cs="宋体"/>
          <w:color w:val="auto"/>
          <w:sz w:val="22"/>
          <w:szCs w:val="22"/>
          <w:highlight w:val="none"/>
        </w:rPr>
        <w:t>www.creditchina.gov.cn</w:t>
      </w:r>
      <w:r>
        <w:rPr>
          <w:rFonts w:hint="eastAsia" w:ascii="宋体" w:hAnsi="宋体" w:eastAsia="宋体" w:cs="宋体"/>
          <w:color w:val="auto"/>
          <w:sz w:val="22"/>
          <w:szCs w:val="22"/>
          <w:highlight w:val="none"/>
          <w:lang w:val="zh-CN"/>
        </w:rPr>
        <w:fldChar w:fldCharType="end"/>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中国政府采购网</w:t>
      </w:r>
      <w:r>
        <w:rPr>
          <w:rFonts w:hint="eastAsia" w:ascii="宋体" w:hAnsi="宋体" w:eastAsia="宋体" w:cs="宋体"/>
          <w:color w:val="auto"/>
          <w:sz w:val="22"/>
          <w:szCs w:val="22"/>
          <w:highlight w:val="none"/>
          <w:lang w:val="zh-CN"/>
        </w:rPr>
        <w:fldChar w:fldCharType="begin"/>
      </w:r>
      <w:r>
        <w:rPr>
          <w:rFonts w:hint="eastAsia" w:ascii="宋体" w:hAnsi="宋体" w:eastAsia="宋体" w:cs="宋体"/>
          <w:color w:val="auto"/>
          <w:sz w:val="22"/>
          <w:szCs w:val="22"/>
          <w:highlight w:val="none"/>
        </w:rPr>
        <w:instrText xml:space="preserve">HYPERLINK "http://www.ccgp.gov.cn/"</w:instrText>
      </w:r>
      <w:r>
        <w:rPr>
          <w:rFonts w:hint="eastAsia" w:ascii="宋体" w:hAnsi="宋体" w:eastAsia="宋体" w:cs="宋体"/>
          <w:color w:val="auto"/>
          <w:sz w:val="22"/>
          <w:szCs w:val="22"/>
          <w:highlight w:val="none"/>
          <w:lang w:val="zh-CN"/>
        </w:rPr>
        <w:fldChar w:fldCharType="separate"/>
      </w:r>
      <w:r>
        <w:rPr>
          <w:rFonts w:hint="eastAsia" w:ascii="宋体" w:hAnsi="宋体" w:eastAsia="宋体" w:cs="宋体"/>
          <w:color w:val="auto"/>
          <w:sz w:val="22"/>
          <w:szCs w:val="22"/>
          <w:highlight w:val="none"/>
        </w:rPr>
        <w:t>http://www.ccgp.gov.cn/</w:t>
      </w:r>
      <w:r>
        <w:rPr>
          <w:rFonts w:hint="eastAsia" w:ascii="宋体" w:hAnsi="宋体" w:eastAsia="宋体" w:cs="宋体"/>
          <w:color w:val="auto"/>
          <w:sz w:val="22"/>
          <w:szCs w:val="22"/>
          <w:highlight w:val="none"/>
          <w:lang w:val="zh-CN"/>
        </w:rPr>
        <w:fldChar w:fldCharType="end"/>
      </w:r>
      <w:r>
        <w:rPr>
          <w:rFonts w:hint="eastAsia" w:ascii="宋体" w:hAnsi="宋体" w:eastAsia="宋体" w:cs="宋体"/>
          <w:color w:val="auto"/>
          <w:sz w:val="22"/>
          <w:szCs w:val="22"/>
          <w:highlight w:val="none"/>
        </w:rPr>
        <w:t>）；</w:t>
      </w:r>
    </w:p>
    <w:p w14:paraId="4984394F">
      <w:pPr>
        <w:widowControl/>
        <w:shd w:val="clear" w:color="auto" w:fill="auto"/>
        <w:kinsoku/>
        <w:wordWrap w:val="0"/>
        <w:overflowPunct/>
        <w:bidi w:val="0"/>
        <w:snapToGrid w:val="0"/>
        <w:spacing w:line="360" w:lineRule="auto"/>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2）投标供应商信用信息查询截止时点：本项目投标截止时间；</w:t>
      </w:r>
    </w:p>
    <w:p w14:paraId="4E94E31B">
      <w:pPr>
        <w:widowControl/>
        <w:shd w:val="clear" w:color="auto" w:fill="auto"/>
        <w:kinsoku/>
        <w:wordWrap w:val="0"/>
        <w:overflowPunct/>
        <w:bidi w:val="0"/>
        <w:snapToGrid w:val="0"/>
        <w:spacing w:line="360" w:lineRule="auto"/>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3）投标供应商信用信息查询记录和证据留存的具体方式：网页截图打印；</w:t>
      </w:r>
    </w:p>
    <w:p w14:paraId="2C8BBDBA">
      <w:pPr>
        <w:widowControl/>
        <w:shd w:val="clear" w:color="auto" w:fill="auto"/>
        <w:kinsoku/>
        <w:wordWrap w:val="0"/>
        <w:overflowPunct/>
        <w:bidi w:val="0"/>
        <w:snapToGrid w:val="0"/>
        <w:spacing w:line="360" w:lineRule="auto"/>
        <w:ind w:firstLine="440" w:firstLineChars="200"/>
        <w:jc w:val="left"/>
        <w:rPr>
          <w:rFonts w:hint="eastAsia" w:ascii="宋体" w:hAnsi="宋体" w:eastAsia="宋体" w:cs="宋体"/>
          <w:b/>
          <w:color w:val="auto"/>
          <w:sz w:val="22"/>
          <w:szCs w:val="22"/>
          <w:highlight w:val="none"/>
          <w:lang w:val="zh-CN"/>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val="zh-CN"/>
        </w:rPr>
        <w:t>信用信息的使用规则：截止评标当日，经查询“信用中国”“中国政府采购网”存在列入失信被执行人、重大税收违法案件当事人名单、政府采购严重违法失信行为记录名单及其他不符合《平阳县县属国有企业采购管理办法（试行）》第十四条规定条件的供应商，其投标做无效投标处理。</w:t>
      </w:r>
    </w:p>
    <w:p w14:paraId="381AE099">
      <w:pPr>
        <w:shd w:val="clear" w:color="auto" w:fill="auto"/>
        <w:kinsoku/>
        <w:wordWrap w:val="0"/>
        <w:overflowPunct/>
        <w:autoSpaceDE w:val="0"/>
        <w:autoSpaceDN w:val="0"/>
        <w:bidi w:val="0"/>
        <w:adjustRightInd w:val="0"/>
        <w:snapToGrid w:val="0"/>
        <w:spacing w:line="360" w:lineRule="auto"/>
        <w:ind w:firstLine="433" w:firstLineChars="196"/>
        <w:textAlignment w:val="bottom"/>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rPr>
        <w:t>10、</w:t>
      </w:r>
      <w:r>
        <w:rPr>
          <w:rFonts w:hint="eastAsia" w:ascii="宋体" w:hAnsi="宋体" w:eastAsia="宋体" w:cs="宋体"/>
          <w:b/>
          <w:color w:val="auto"/>
          <w:sz w:val="22"/>
          <w:szCs w:val="22"/>
          <w:highlight w:val="none"/>
          <w:u w:val="single"/>
        </w:rPr>
        <w:t>供应商进行电子投标应安装客户端软件，并按照采购文件和电子交易平台的要求编制并加密投标文件。供应商未按规定加密的投标文件，电子交易平台拒收并提示。</w:t>
      </w:r>
    </w:p>
    <w:p w14:paraId="496EC345">
      <w:pPr>
        <w:shd w:val="clear" w:color="auto" w:fill="auto"/>
        <w:kinsoku/>
        <w:wordWrap w:val="0"/>
        <w:overflowPunct/>
        <w:autoSpaceDE w:val="0"/>
        <w:autoSpaceDN w:val="0"/>
        <w:bidi w:val="0"/>
        <w:adjustRightInd w:val="0"/>
        <w:snapToGrid w:val="0"/>
        <w:spacing w:line="360" w:lineRule="auto"/>
        <w:ind w:firstLine="422" w:firstLineChars="191"/>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11、</w:t>
      </w:r>
      <w:r>
        <w:rPr>
          <w:rFonts w:hint="eastAsia" w:ascii="宋体" w:hAnsi="宋体" w:eastAsia="宋体" w:cs="宋体"/>
          <w:color w:val="auto"/>
          <w:sz w:val="22"/>
          <w:szCs w:val="22"/>
          <w:highlight w:val="none"/>
        </w:rPr>
        <w:t>本次采购的产品如属于政府强制采购节能产品范围的，投标供应商必须选用符合要求的产品并在投标文件中提供相关产品的认证证书扫描件或电子证书，否则按无效投标处理，具体品目见《关于印发节能产品政府采购品目清单的通知》（财库〔2019〕19号）。</w:t>
      </w:r>
    </w:p>
    <w:p w14:paraId="4F651529">
      <w:pPr>
        <w:shd w:val="clear" w:color="auto" w:fill="auto"/>
        <w:kinsoku/>
        <w:wordWrap w:val="0"/>
        <w:overflowPunct/>
        <w:autoSpaceDE w:val="0"/>
        <w:autoSpaceDN w:val="0"/>
        <w:bidi w:val="0"/>
        <w:adjustRightInd w:val="0"/>
        <w:snapToGrid w:val="0"/>
        <w:spacing w:line="360" w:lineRule="auto"/>
        <w:ind w:firstLine="422" w:firstLineChars="191"/>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12、</w:t>
      </w:r>
      <w:r>
        <w:rPr>
          <w:rFonts w:hint="eastAsia" w:ascii="宋体" w:hAnsi="宋体" w:eastAsia="宋体" w:cs="宋体"/>
          <w:color w:val="auto"/>
          <w:sz w:val="22"/>
          <w:szCs w:val="22"/>
          <w:highlight w:val="none"/>
        </w:rPr>
        <w:t>本项目采用在线投标响应方式，</w:t>
      </w:r>
      <w:r>
        <w:rPr>
          <w:rFonts w:hint="eastAsia" w:ascii="宋体" w:hAnsi="宋体" w:eastAsia="宋体" w:cs="宋体"/>
          <w:color w:val="auto"/>
          <w:sz w:val="22"/>
          <w:szCs w:val="22"/>
          <w:highlight w:val="none"/>
          <w:lang w:val="en-US" w:eastAsia="zh-CN"/>
        </w:rPr>
        <w:t>参照</w:t>
      </w:r>
      <w:r>
        <w:rPr>
          <w:rFonts w:hint="eastAsia" w:ascii="宋体" w:hAnsi="宋体" w:eastAsia="宋体" w:cs="宋体"/>
          <w:color w:val="auto"/>
          <w:sz w:val="22"/>
          <w:szCs w:val="22"/>
          <w:highlight w:val="none"/>
        </w:rPr>
        <w:t>执行《浙江省财政厅关于印发浙江省政府采购项目电子交易管理暂行办法的通知》（浙财采监〔2019〕10 号）等相关规定</w:t>
      </w:r>
      <w:r>
        <w:rPr>
          <w:rFonts w:hint="eastAsia" w:ascii="宋体" w:hAnsi="宋体" w:eastAsia="宋体" w:cs="宋体"/>
          <w:b/>
          <w:color w:val="auto"/>
          <w:sz w:val="22"/>
          <w:szCs w:val="22"/>
          <w:highlight w:val="none"/>
        </w:rPr>
        <w:t>。</w:t>
      </w:r>
    </w:p>
    <w:p w14:paraId="091062E0">
      <w:pPr>
        <w:shd w:val="clear" w:color="auto" w:fill="auto"/>
        <w:kinsoku/>
        <w:wordWrap w:val="0"/>
        <w:overflowPunct/>
        <w:autoSpaceDE w:val="0"/>
        <w:autoSpaceDN w:val="0"/>
        <w:bidi w:val="0"/>
        <w:adjustRightInd w:val="0"/>
        <w:snapToGrid w:val="0"/>
        <w:spacing w:line="360" w:lineRule="auto"/>
        <w:ind w:firstLine="422" w:firstLineChars="191"/>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13、本项目在线开评标进行时，供应商授权代表需自行关注平台提示信息，期间如有发出“询标/澄清函”等相关线上函件时，因供应商自身原因逾期/错过回复时间，由此造成的后果由供应商自行承担。</w:t>
      </w:r>
    </w:p>
    <w:p w14:paraId="28EDF806">
      <w:pPr>
        <w:shd w:val="clear" w:color="auto" w:fill="auto"/>
        <w:kinsoku/>
        <w:wordWrap w:val="0"/>
        <w:overflowPunct/>
        <w:autoSpaceDE w:val="0"/>
        <w:autoSpaceDN w:val="0"/>
        <w:bidi w:val="0"/>
        <w:adjustRightInd w:val="0"/>
        <w:snapToGrid w:val="0"/>
        <w:spacing w:line="360" w:lineRule="auto"/>
        <w:ind w:firstLine="433" w:firstLineChars="196"/>
        <w:textAlignment w:val="bottom"/>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14、为保证供应商顺利投标，供应商须在投标截止日前自行登录乐采云网站，查看是否有补充更正公告文件。如供应商未按补充更正公告文件进行投标的，责任自负。</w:t>
      </w:r>
    </w:p>
    <w:p w14:paraId="791AB10A">
      <w:pPr>
        <w:shd w:val="clear" w:color="auto" w:fill="auto"/>
        <w:kinsoku/>
        <w:wordWrap w:val="0"/>
        <w:overflowPunct/>
        <w:autoSpaceDE w:val="0"/>
        <w:autoSpaceDN w:val="0"/>
        <w:bidi w:val="0"/>
        <w:adjustRightInd w:val="0"/>
        <w:snapToGrid w:val="0"/>
        <w:spacing w:line="360" w:lineRule="auto"/>
        <w:textAlignment w:val="bottom"/>
        <w:outlineLvl w:val="1"/>
        <w:rPr>
          <w:rFonts w:hint="eastAsia" w:ascii="宋体" w:hAnsi="宋体" w:eastAsia="宋体" w:cs="宋体"/>
          <w:b/>
          <w:bCs/>
          <w:color w:val="auto"/>
          <w:sz w:val="22"/>
          <w:szCs w:val="22"/>
          <w:highlight w:val="none"/>
        </w:rPr>
      </w:pPr>
      <w:bookmarkStart w:id="16" w:name="_Toc22107"/>
      <w:r>
        <w:rPr>
          <w:rFonts w:hint="eastAsia" w:ascii="宋体" w:hAnsi="宋体" w:eastAsia="宋体" w:cs="宋体"/>
          <w:b/>
          <w:bCs/>
          <w:color w:val="auto"/>
          <w:sz w:val="22"/>
          <w:szCs w:val="22"/>
          <w:highlight w:val="none"/>
        </w:rPr>
        <w:t>二、供应商资格要求</w:t>
      </w:r>
      <w:bookmarkEnd w:id="16"/>
    </w:p>
    <w:p w14:paraId="40DA995A">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按</w:t>
      </w:r>
      <w:r>
        <w:rPr>
          <w:rFonts w:hint="eastAsia" w:ascii="宋体" w:hAnsi="宋体" w:eastAsia="宋体" w:cs="宋体"/>
          <w:color w:val="auto"/>
          <w:sz w:val="22"/>
          <w:szCs w:val="22"/>
          <w:highlight w:val="none"/>
          <w:lang w:eastAsia="zh-CN"/>
        </w:rPr>
        <w:t>采购公告</w:t>
      </w:r>
      <w:r>
        <w:rPr>
          <w:rFonts w:hint="eastAsia" w:ascii="宋体" w:hAnsi="宋体" w:eastAsia="宋体" w:cs="宋体"/>
          <w:color w:val="auto"/>
          <w:sz w:val="22"/>
          <w:szCs w:val="22"/>
          <w:highlight w:val="none"/>
        </w:rPr>
        <w:t>要求</w:t>
      </w:r>
    </w:p>
    <w:p w14:paraId="6DD4B161">
      <w:pPr>
        <w:shd w:val="clear" w:color="auto" w:fill="auto"/>
        <w:kinsoku/>
        <w:wordWrap w:val="0"/>
        <w:overflowPunct/>
        <w:autoSpaceDE w:val="0"/>
        <w:autoSpaceDN w:val="0"/>
        <w:bidi w:val="0"/>
        <w:adjustRightInd w:val="0"/>
        <w:snapToGrid w:val="0"/>
        <w:spacing w:line="360" w:lineRule="auto"/>
        <w:textAlignment w:val="bottom"/>
        <w:outlineLvl w:val="1"/>
        <w:rPr>
          <w:rFonts w:hint="eastAsia" w:ascii="宋体" w:hAnsi="宋体" w:eastAsia="宋体" w:cs="宋体"/>
          <w:b/>
          <w:bCs/>
          <w:color w:val="auto"/>
          <w:sz w:val="22"/>
          <w:szCs w:val="22"/>
          <w:highlight w:val="none"/>
        </w:rPr>
      </w:pPr>
      <w:bookmarkStart w:id="17" w:name="_Toc10391"/>
      <w:r>
        <w:rPr>
          <w:rFonts w:hint="eastAsia" w:ascii="宋体" w:hAnsi="宋体" w:eastAsia="宋体" w:cs="宋体"/>
          <w:b/>
          <w:bCs/>
          <w:color w:val="auto"/>
          <w:sz w:val="22"/>
          <w:szCs w:val="22"/>
          <w:highlight w:val="none"/>
        </w:rPr>
        <w:t>三、采购文件</w:t>
      </w:r>
      <w:bookmarkEnd w:id="17"/>
    </w:p>
    <w:p w14:paraId="22D9602E">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1、采购文件</w:t>
      </w:r>
    </w:p>
    <w:p w14:paraId="28991F7C">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1.1采购文件的获取</w:t>
      </w:r>
    </w:p>
    <w:p w14:paraId="0098DD37">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供应商在</w:t>
      </w:r>
      <w:r>
        <w:rPr>
          <w:rFonts w:hint="eastAsia" w:ascii="宋体" w:hAnsi="宋体" w:eastAsia="宋体" w:cs="宋体"/>
          <w:color w:val="auto"/>
          <w:sz w:val="22"/>
          <w:szCs w:val="22"/>
          <w:highlight w:val="none"/>
          <w:lang w:val="en-US" w:eastAsia="zh-CN"/>
        </w:rPr>
        <w:t>乐采云</w:t>
      </w:r>
      <w:r>
        <w:rPr>
          <w:rFonts w:hint="eastAsia" w:ascii="宋体" w:hAnsi="宋体" w:eastAsia="宋体" w:cs="宋体"/>
          <w:color w:val="auto"/>
          <w:sz w:val="22"/>
          <w:szCs w:val="22"/>
          <w:highlight w:val="none"/>
        </w:rPr>
        <w:t>网站直接下载本项目采购文件。</w:t>
      </w:r>
    </w:p>
    <w:p w14:paraId="45BC8943">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1.2采购文件约束力</w:t>
      </w:r>
    </w:p>
    <w:p w14:paraId="4F0CA17D">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供应商一旦获取了本采购文件并参加投标，即被认为接受了本采购文件中所有条款和规定。</w:t>
      </w:r>
    </w:p>
    <w:p w14:paraId="18FF1F15">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1.3采购文件的组成</w:t>
      </w:r>
    </w:p>
    <w:p w14:paraId="21B01353">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采购文件由采购文件总目录所列内容及补充资料等组成。</w:t>
      </w:r>
    </w:p>
    <w:p w14:paraId="5455523D">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2、采购文件的澄清</w:t>
      </w:r>
    </w:p>
    <w:p w14:paraId="395599CE">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供应商对采购文件如有疑点要求澄清，可用书面形式（包括信函、传真，下同）通知</w:t>
      </w:r>
      <w:r>
        <w:rPr>
          <w:rFonts w:hint="eastAsia" w:ascii="宋体" w:hAnsi="宋体" w:eastAsia="宋体" w:cs="宋体"/>
          <w:color w:val="auto"/>
          <w:sz w:val="22"/>
          <w:szCs w:val="22"/>
          <w:highlight w:val="none"/>
          <w:u w:val="single"/>
        </w:rPr>
        <w:t>采购代理机构</w:t>
      </w:r>
      <w:r>
        <w:rPr>
          <w:rFonts w:hint="eastAsia" w:ascii="宋体" w:hAnsi="宋体" w:eastAsia="宋体" w:cs="宋体"/>
          <w:color w:val="auto"/>
          <w:sz w:val="22"/>
          <w:szCs w:val="22"/>
          <w:highlight w:val="none"/>
        </w:rPr>
        <w:t>，但通知不得迟于规定的质疑时间前使采购代理机构收到，采购代理机构将采用用网上答疑形式予以答复。</w:t>
      </w:r>
    </w:p>
    <w:p w14:paraId="183DACD7">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3、采购文件的修改</w:t>
      </w:r>
    </w:p>
    <w:p w14:paraId="2C670265">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 在投标截止时间前，采购人有权修改采购文件，并在网上发布更正公告。补充文件作为采购文件的补充和组成部分，对所有供应商均有约束力。</w:t>
      </w:r>
    </w:p>
    <w:p w14:paraId="3112856F">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 为使供应商有足够的时间按采购文件要求修正投标文件，采购人可</w:t>
      </w:r>
      <w:r>
        <w:rPr>
          <w:rFonts w:hint="eastAsia" w:ascii="宋体" w:hAnsi="宋体" w:eastAsia="宋体" w:cs="宋体"/>
          <w:color w:val="auto"/>
          <w:sz w:val="22"/>
          <w:szCs w:val="22"/>
          <w:highlight w:val="none"/>
          <w:lang w:eastAsia="zh-CN"/>
        </w:rPr>
        <w:t>进行</w:t>
      </w:r>
      <w:r>
        <w:rPr>
          <w:rFonts w:hint="eastAsia" w:ascii="宋体" w:hAnsi="宋体" w:eastAsia="宋体" w:cs="宋体"/>
          <w:color w:val="auto"/>
          <w:sz w:val="22"/>
          <w:szCs w:val="22"/>
          <w:highlight w:val="none"/>
        </w:rPr>
        <w:t>推迟投标截止时间和开标时间，并将此变更网上告知。</w:t>
      </w:r>
    </w:p>
    <w:p w14:paraId="67C3D76B">
      <w:pPr>
        <w:shd w:val="clear" w:color="auto" w:fill="auto"/>
        <w:kinsoku/>
        <w:wordWrap w:val="0"/>
        <w:overflowPunct/>
        <w:autoSpaceDE w:val="0"/>
        <w:autoSpaceDN w:val="0"/>
        <w:bidi w:val="0"/>
        <w:adjustRightInd w:val="0"/>
        <w:snapToGrid w:val="0"/>
        <w:spacing w:line="360" w:lineRule="auto"/>
        <w:textAlignment w:val="bottom"/>
        <w:outlineLvl w:val="1"/>
        <w:rPr>
          <w:rFonts w:hint="eastAsia" w:ascii="宋体" w:hAnsi="宋体" w:eastAsia="宋体" w:cs="宋体"/>
          <w:b/>
          <w:bCs/>
          <w:color w:val="auto"/>
          <w:sz w:val="22"/>
          <w:szCs w:val="22"/>
          <w:highlight w:val="none"/>
        </w:rPr>
      </w:pPr>
      <w:bookmarkStart w:id="18" w:name="_Toc12846"/>
      <w:r>
        <w:rPr>
          <w:rFonts w:hint="eastAsia" w:ascii="宋体" w:hAnsi="宋体" w:eastAsia="宋体" w:cs="宋体"/>
          <w:b/>
          <w:bCs/>
          <w:color w:val="auto"/>
          <w:sz w:val="22"/>
          <w:szCs w:val="22"/>
          <w:highlight w:val="none"/>
        </w:rPr>
        <w:t>四、投标文件</w:t>
      </w:r>
      <w:bookmarkEnd w:id="18"/>
    </w:p>
    <w:p w14:paraId="06C34627">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1、投标文件</w:t>
      </w:r>
    </w:p>
    <w:p w14:paraId="0EE318CC">
      <w:pPr>
        <w:shd w:val="clear" w:color="auto" w:fill="auto"/>
        <w:kinsoku/>
        <w:wordWrap w:val="0"/>
        <w:overflowPunct/>
        <w:autoSpaceDE w:val="0"/>
        <w:autoSpaceDN w:val="0"/>
        <w:bidi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1.1</w:t>
      </w:r>
      <w:r>
        <w:rPr>
          <w:rFonts w:hint="eastAsia" w:ascii="宋体" w:hAnsi="宋体" w:eastAsia="宋体" w:cs="宋体"/>
          <w:color w:val="auto"/>
          <w:sz w:val="22"/>
          <w:szCs w:val="22"/>
          <w:highlight w:val="none"/>
        </w:rPr>
        <w:t>供应商应仔细阅读采购文件中的所有内容，按照采购文件要求，详细编制投标文件。并对采购文件的要求做出实质上响应。实质上响应的投标应该是与采购文件要求的条款没有重大偏离的投标。未实质上响应的投标文件将被拒绝，但允许投标在基本满足采购文件要求的前提下出现的微小差异。</w:t>
      </w:r>
    </w:p>
    <w:p w14:paraId="69DD5BD6">
      <w:pPr>
        <w:shd w:val="clear" w:color="auto" w:fill="auto"/>
        <w:kinsoku/>
        <w:wordWrap w:val="0"/>
        <w:overflowPunct/>
        <w:autoSpaceDE w:val="0"/>
        <w:autoSpaceDN w:val="0"/>
        <w:bidi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1.2</w:t>
      </w:r>
      <w:r>
        <w:rPr>
          <w:rFonts w:hint="eastAsia" w:ascii="宋体" w:hAnsi="宋体" w:eastAsia="宋体" w:cs="宋体"/>
          <w:color w:val="auto"/>
          <w:sz w:val="22"/>
          <w:szCs w:val="22"/>
          <w:highlight w:val="none"/>
        </w:rPr>
        <w:t>供应商必须按采购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323B3650">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1.3供应商应仔细阅读采购文件中的所有内容，按照采购文件要求，详细编制投标文件，所有文件资料必须是针对本次投标。不按采购文件的要求提供的投标文件可能导致被拒绝。</w:t>
      </w:r>
    </w:p>
    <w:p w14:paraId="094DCAA7">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2、投标文件的组成  </w:t>
      </w:r>
    </w:p>
    <w:p w14:paraId="36EFEB6E">
      <w:pPr>
        <w:shd w:val="clear" w:color="auto" w:fill="auto"/>
        <w:kinsoku/>
        <w:wordWrap w:val="0"/>
        <w:overflowPunct/>
        <w:autoSpaceDE w:val="0"/>
        <w:autoSpaceDN w:val="0"/>
        <w:bidi w:val="0"/>
        <w:adjustRightInd w:val="0"/>
        <w:snapToGrid w:val="0"/>
        <w:spacing w:line="360" w:lineRule="auto"/>
        <w:ind w:firstLine="440" w:firstLineChars="200"/>
        <w:rPr>
          <w:rFonts w:hint="eastAsia" w:ascii="宋体" w:hAnsi="宋体" w:eastAsia="宋体" w:cs="宋体"/>
          <w:b/>
          <w:color w:val="auto"/>
          <w:sz w:val="22"/>
          <w:szCs w:val="22"/>
          <w:highlight w:val="none"/>
          <w:lang w:val="zh-CN"/>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u w:val="single"/>
        </w:rPr>
        <w:t>投标文件应当包括以下主要内容</w:t>
      </w:r>
      <w:r>
        <w:rPr>
          <w:rFonts w:hint="eastAsia" w:ascii="宋体" w:hAnsi="宋体" w:eastAsia="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资格文件、报价文件、商务技术文件。资格文件、商务技术文件不得含报价，否则投标将被拒绝。</w:t>
      </w:r>
    </w:p>
    <w:tbl>
      <w:tblPr>
        <w:tblStyle w:val="26"/>
        <w:tblW w:w="966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709"/>
        <w:gridCol w:w="1066"/>
        <w:gridCol w:w="6904"/>
        <w:gridCol w:w="987"/>
      </w:tblGrid>
      <w:tr w14:paraId="6A63E6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tblHeader/>
          <w:jc w:val="center"/>
        </w:trPr>
        <w:tc>
          <w:tcPr>
            <w:tcW w:w="709" w:type="dxa"/>
            <w:tcBorders>
              <w:bottom w:val="single" w:color="auto" w:sz="6" w:space="0"/>
            </w:tcBorders>
            <w:shd w:val="clear" w:color="auto" w:fill="auto"/>
            <w:noWrap w:val="0"/>
            <w:vAlign w:val="center"/>
          </w:tcPr>
          <w:p w14:paraId="6BE18288">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7970" w:type="dxa"/>
            <w:gridSpan w:val="2"/>
            <w:tcBorders>
              <w:bottom w:val="single" w:color="auto" w:sz="6" w:space="0"/>
            </w:tcBorders>
            <w:shd w:val="clear" w:color="auto" w:fill="auto"/>
            <w:noWrap w:val="0"/>
            <w:vAlign w:val="center"/>
          </w:tcPr>
          <w:p w14:paraId="6A1A1973">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响应文件组成内容</w:t>
            </w:r>
          </w:p>
        </w:tc>
        <w:tc>
          <w:tcPr>
            <w:tcW w:w="987" w:type="dxa"/>
            <w:tcBorders>
              <w:bottom w:val="single" w:color="auto" w:sz="6" w:space="0"/>
            </w:tcBorders>
            <w:shd w:val="clear" w:color="auto" w:fill="auto"/>
            <w:noWrap w:val="0"/>
            <w:vAlign w:val="center"/>
          </w:tcPr>
          <w:p w14:paraId="18D9164B">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投标</w:t>
            </w:r>
          </w:p>
          <w:p w14:paraId="332E3A45">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格式</w:t>
            </w:r>
          </w:p>
        </w:tc>
      </w:tr>
      <w:tr w14:paraId="5E2658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22" w:hRule="atLeast"/>
          <w:jc w:val="center"/>
        </w:trPr>
        <w:tc>
          <w:tcPr>
            <w:tcW w:w="9666" w:type="dxa"/>
            <w:gridSpan w:val="4"/>
            <w:tcBorders>
              <w:top w:val="single" w:color="auto" w:sz="6" w:space="0"/>
              <w:bottom w:val="single" w:color="auto" w:sz="6" w:space="0"/>
            </w:tcBorders>
            <w:shd w:val="clear" w:color="auto" w:fill="auto"/>
            <w:noWrap w:val="0"/>
            <w:vAlign w:val="center"/>
          </w:tcPr>
          <w:p w14:paraId="3E3BFEE7">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一、《资格文件》组成内容（须单页保存，逐页上传，格式见附件）（此项供应商必须提供，否则不能通过资格性审查的，责任自负）</w:t>
            </w:r>
          </w:p>
        </w:tc>
      </w:tr>
      <w:tr w14:paraId="4AB7C3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709" w:type="dxa"/>
            <w:tcBorders>
              <w:top w:val="single" w:color="auto" w:sz="6" w:space="0"/>
            </w:tcBorders>
            <w:shd w:val="clear" w:color="auto" w:fill="auto"/>
            <w:noWrap w:val="0"/>
            <w:vAlign w:val="center"/>
          </w:tcPr>
          <w:p w14:paraId="04075FA8">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7970" w:type="dxa"/>
            <w:gridSpan w:val="2"/>
            <w:tcBorders>
              <w:top w:val="single" w:color="auto" w:sz="6" w:space="0"/>
            </w:tcBorders>
            <w:shd w:val="clear" w:color="auto" w:fill="auto"/>
            <w:noWrap w:val="0"/>
            <w:vAlign w:val="center"/>
          </w:tcPr>
          <w:p w14:paraId="7CCA201A">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《资格文件》封面</w:t>
            </w:r>
          </w:p>
        </w:tc>
        <w:tc>
          <w:tcPr>
            <w:tcW w:w="987" w:type="dxa"/>
            <w:tcBorders>
              <w:top w:val="single" w:color="auto" w:sz="6" w:space="0"/>
            </w:tcBorders>
            <w:shd w:val="clear" w:color="auto" w:fill="auto"/>
            <w:noWrap w:val="0"/>
            <w:vAlign w:val="center"/>
          </w:tcPr>
          <w:p w14:paraId="68592A86">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36B277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tcBorders>
            <w:shd w:val="clear" w:color="auto" w:fill="auto"/>
            <w:noWrap w:val="0"/>
            <w:vAlign w:val="center"/>
          </w:tcPr>
          <w:p w14:paraId="1E7459FF">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7970" w:type="dxa"/>
            <w:gridSpan w:val="2"/>
            <w:tcBorders>
              <w:top w:val="single" w:color="auto" w:sz="6" w:space="0"/>
            </w:tcBorders>
            <w:shd w:val="clear" w:color="auto" w:fill="auto"/>
            <w:noWrap w:val="0"/>
            <w:vAlign w:val="center"/>
          </w:tcPr>
          <w:p w14:paraId="7DF8AE6B">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投标供应商资格审查声明函，格式见附件</w:t>
            </w:r>
          </w:p>
        </w:tc>
        <w:tc>
          <w:tcPr>
            <w:tcW w:w="987" w:type="dxa"/>
            <w:tcBorders>
              <w:top w:val="single" w:color="auto" w:sz="6" w:space="0"/>
            </w:tcBorders>
            <w:shd w:val="clear" w:color="auto" w:fill="auto"/>
            <w:noWrap w:val="0"/>
            <w:vAlign w:val="center"/>
          </w:tcPr>
          <w:p w14:paraId="4320DB41">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57D03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9" w:type="dxa"/>
            <w:shd w:val="clear" w:color="auto" w:fill="auto"/>
            <w:noWrap w:val="0"/>
            <w:vAlign w:val="center"/>
          </w:tcPr>
          <w:p w14:paraId="287D6C4E">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7970" w:type="dxa"/>
            <w:gridSpan w:val="2"/>
            <w:shd w:val="clear" w:color="auto" w:fill="auto"/>
            <w:noWrap w:val="0"/>
            <w:vAlign w:val="center"/>
          </w:tcPr>
          <w:p w14:paraId="509B2796">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具有独立承担民事责任能力的证明材料</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u w:val="single"/>
              </w:rPr>
              <w:t>企业法人营业执照</w:t>
            </w:r>
            <w:r>
              <w:rPr>
                <w:rFonts w:hint="eastAsia" w:ascii="宋体" w:hAnsi="宋体" w:eastAsia="宋体" w:cs="宋体"/>
                <w:color w:val="auto"/>
                <w:sz w:val="22"/>
                <w:szCs w:val="22"/>
                <w:highlight w:val="none"/>
              </w:rPr>
              <w:t>（提供复制件加盖投标供应商公章）或供应商为依法允许经营的事业单位的，应提交事业单位法人证书（提供复制件加盖投标供应商公章）</w:t>
            </w:r>
          </w:p>
          <w:p w14:paraId="62BF35F4">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投标供应商公章）。</w:t>
            </w:r>
          </w:p>
        </w:tc>
        <w:tc>
          <w:tcPr>
            <w:tcW w:w="987" w:type="dxa"/>
            <w:shd w:val="clear" w:color="auto" w:fill="auto"/>
            <w:noWrap w:val="0"/>
            <w:vAlign w:val="center"/>
          </w:tcPr>
          <w:p w14:paraId="40B5716C">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2D4C68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5BD6642E">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p>
        </w:tc>
        <w:tc>
          <w:tcPr>
            <w:tcW w:w="7970" w:type="dxa"/>
            <w:gridSpan w:val="2"/>
            <w:shd w:val="clear" w:color="auto" w:fill="auto"/>
            <w:noWrap w:val="0"/>
            <w:vAlign w:val="center"/>
          </w:tcPr>
          <w:p w14:paraId="37F8E745">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供应商符合参与国企采购活动资格条件的声明函，格式见附件。</w:t>
            </w:r>
          </w:p>
        </w:tc>
        <w:tc>
          <w:tcPr>
            <w:tcW w:w="987" w:type="dxa"/>
            <w:shd w:val="clear" w:color="auto" w:fill="auto"/>
            <w:noWrap w:val="0"/>
            <w:vAlign w:val="center"/>
          </w:tcPr>
          <w:p w14:paraId="14AE58C7">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201C79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0798015A">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5</w:t>
            </w:r>
          </w:p>
        </w:tc>
        <w:tc>
          <w:tcPr>
            <w:tcW w:w="7970" w:type="dxa"/>
            <w:gridSpan w:val="2"/>
            <w:shd w:val="clear" w:color="auto" w:fill="auto"/>
            <w:noWrap w:val="0"/>
            <w:vAlign w:val="center"/>
          </w:tcPr>
          <w:p w14:paraId="705634C8">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w:t>
            </w:r>
            <w:r>
              <w:rPr>
                <w:rFonts w:hint="eastAsia" w:ascii="宋体" w:hAnsi="宋体" w:eastAsia="宋体" w:cs="宋体"/>
                <w:b/>
                <w:bCs/>
                <w:color w:val="auto"/>
                <w:sz w:val="22"/>
                <w:szCs w:val="22"/>
                <w:highlight w:val="none"/>
                <w:lang w:val="en-US" w:eastAsia="zh-CN"/>
              </w:rPr>
              <w:t>供应商资质证书；</w:t>
            </w:r>
          </w:p>
        </w:tc>
        <w:tc>
          <w:tcPr>
            <w:tcW w:w="987" w:type="dxa"/>
            <w:shd w:val="clear" w:color="auto" w:fill="auto"/>
            <w:noWrap w:val="0"/>
            <w:vAlign w:val="center"/>
          </w:tcPr>
          <w:p w14:paraId="4D546E0A">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无</w:t>
            </w:r>
          </w:p>
        </w:tc>
      </w:tr>
      <w:tr w14:paraId="47BCEF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6C411A1B">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6</w:t>
            </w:r>
          </w:p>
        </w:tc>
        <w:tc>
          <w:tcPr>
            <w:tcW w:w="7970" w:type="dxa"/>
            <w:gridSpan w:val="2"/>
            <w:shd w:val="clear" w:color="auto" w:fill="auto"/>
            <w:noWrap w:val="0"/>
            <w:vAlign w:val="center"/>
          </w:tcPr>
          <w:p w14:paraId="31DD1211">
            <w:pPr>
              <w:keepNext w:val="0"/>
              <w:keepLines w:val="0"/>
              <w:suppressLineNumbers w:val="0"/>
              <w:shd w:val="clear" w:color="auto" w:fill="auto"/>
              <w:kinsoku/>
              <w:wordWrap w:val="0"/>
              <w:overflowPunct/>
              <w:bidi w:val="0"/>
              <w:spacing w:before="0" w:beforeAutospacing="0" w:after="0" w:afterAutospacing="0" w:line="360" w:lineRule="auto"/>
              <w:ind w:left="0" w:leftChars="0" w:right="0" w:rightChars="0"/>
              <w:jc w:val="left"/>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sz w:val="22"/>
                <w:szCs w:val="22"/>
                <w:highlight w:val="none"/>
                <w:lang w:val="en-US" w:eastAsia="zh-CN"/>
              </w:rPr>
              <w:t>联合体协议书（如有）</w:t>
            </w:r>
          </w:p>
        </w:tc>
        <w:tc>
          <w:tcPr>
            <w:tcW w:w="987" w:type="dxa"/>
            <w:shd w:val="clear" w:color="auto" w:fill="auto"/>
            <w:noWrap w:val="0"/>
            <w:vAlign w:val="center"/>
          </w:tcPr>
          <w:p w14:paraId="7CAAD41A">
            <w:pPr>
              <w:keepNext w:val="0"/>
              <w:keepLines w:val="0"/>
              <w:suppressLineNumbers w:val="0"/>
              <w:shd w:val="clear" w:color="auto" w:fill="auto"/>
              <w:kinsoku/>
              <w:wordWrap w:val="0"/>
              <w:overflowPunct/>
              <w:bidi w:val="0"/>
              <w:spacing w:before="0" w:beforeAutospacing="0" w:after="0" w:afterAutospacing="0" w:line="360" w:lineRule="auto"/>
              <w:ind w:left="0" w:leftChars="0" w:right="0" w:rightChar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有</w:t>
            </w:r>
          </w:p>
        </w:tc>
      </w:tr>
      <w:tr w14:paraId="27721C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115AB836">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val="en-US" w:eastAsia="zh-CN"/>
              </w:rPr>
              <w:t>7</w:t>
            </w:r>
          </w:p>
        </w:tc>
        <w:tc>
          <w:tcPr>
            <w:tcW w:w="7970" w:type="dxa"/>
            <w:gridSpan w:val="2"/>
            <w:shd w:val="clear" w:color="auto" w:fill="auto"/>
            <w:noWrap w:val="0"/>
            <w:vAlign w:val="top"/>
          </w:tcPr>
          <w:p w14:paraId="7440F66D">
            <w:pPr>
              <w:keepNext w:val="0"/>
              <w:keepLines w:val="0"/>
              <w:pageBreakBefore w:val="0"/>
              <w:widowControl w:val="0"/>
              <w:suppressLineNumbers w:val="0"/>
              <w:shd w:val="clear" w:color="auto" w:fill="auto"/>
              <w:kinsoku/>
              <w:wordWrap w:val="0"/>
              <w:overflowPunct/>
              <w:topLinePunct w:val="0"/>
              <w:autoSpaceDE w:val="0"/>
              <w:autoSpaceDN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供应商法定代表人授权书（非法定代表人参加投标时须提供）；如为法定代表人参与的</w:t>
            </w:r>
            <w:r>
              <w:rPr>
                <w:rFonts w:hint="eastAsia" w:ascii="宋体" w:hAnsi="宋体" w:eastAsia="宋体" w:cs="宋体"/>
                <w:b/>
                <w:color w:val="auto"/>
                <w:sz w:val="22"/>
                <w:szCs w:val="22"/>
                <w:highlight w:val="none"/>
                <w:lang w:val="en-US" w:eastAsia="zh-CN"/>
              </w:rPr>
              <w:t>无需提供</w:t>
            </w: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lang w:val="en-US" w:eastAsia="zh-CN"/>
              </w:rPr>
              <w:t>如有，</w:t>
            </w:r>
            <w:r>
              <w:rPr>
                <w:rFonts w:hint="eastAsia" w:ascii="宋体" w:hAnsi="宋体" w:eastAsia="宋体" w:cs="宋体"/>
                <w:b/>
                <w:color w:val="auto"/>
                <w:sz w:val="22"/>
                <w:szCs w:val="22"/>
                <w:highlight w:val="none"/>
              </w:rPr>
              <w:t>格式见附件）</w:t>
            </w:r>
          </w:p>
        </w:tc>
        <w:tc>
          <w:tcPr>
            <w:tcW w:w="987" w:type="dxa"/>
            <w:shd w:val="clear" w:color="auto" w:fill="auto"/>
            <w:noWrap w:val="0"/>
            <w:vAlign w:val="center"/>
          </w:tcPr>
          <w:p w14:paraId="208695D9">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2CE58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666" w:type="dxa"/>
            <w:gridSpan w:val="4"/>
            <w:tcBorders>
              <w:bottom w:val="single" w:color="auto" w:sz="6" w:space="0"/>
            </w:tcBorders>
            <w:shd w:val="clear" w:color="auto" w:fill="auto"/>
            <w:noWrap w:val="0"/>
            <w:vAlign w:val="center"/>
          </w:tcPr>
          <w:p w14:paraId="21A07EF8">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▲备注</w:t>
            </w:r>
            <w:r>
              <w:rPr>
                <w:rFonts w:hint="eastAsia" w:ascii="宋体" w:hAnsi="宋体" w:eastAsia="宋体" w:cs="宋体"/>
                <w:color w:val="auto"/>
                <w:sz w:val="22"/>
                <w:szCs w:val="22"/>
                <w:highlight w:val="none"/>
                <w:lang w:eastAsia="zh-CN"/>
              </w:rPr>
              <w:t>：</w:t>
            </w:r>
          </w:p>
          <w:p w14:paraId="7F30F04E">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1、上述资格</w:t>
            </w:r>
            <w:r>
              <w:rPr>
                <w:rFonts w:hint="eastAsia" w:ascii="宋体" w:hAnsi="宋体" w:eastAsia="宋体" w:cs="宋体"/>
                <w:color w:val="auto"/>
                <w:sz w:val="22"/>
                <w:szCs w:val="22"/>
                <w:highlight w:val="none"/>
                <w:lang w:val="en-US" w:eastAsia="zh-CN"/>
              </w:rPr>
              <w:t>2-5</w:t>
            </w:r>
            <w:r>
              <w:rPr>
                <w:rFonts w:hint="eastAsia" w:ascii="宋体" w:hAnsi="宋体" w:eastAsia="宋体" w:cs="宋体"/>
                <w:color w:val="auto"/>
                <w:sz w:val="22"/>
                <w:szCs w:val="22"/>
                <w:highlight w:val="none"/>
              </w:rPr>
              <w:t>证明文件未提供或提供的资格证明材料不齐全的，资格审查作不通过处理，不得进入评审程序。</w:t>
            </w:r>
          </w:p>
          <w:p w14:paraId="6261A532">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firstLine="442"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b/>
                <w:color w:val="auto"/>
                <w:sz w:val="22"/>
                <w:szCs w:val="22"/>
                <w:highlight w:val="none"/>
                <w:u w:val="single"/>
                <w:lang w:val="en-US" w:eastAsia="zh-CN"/>
              </w:rPr>
              <w:t>2、联合体投标的，各成员第2、3、4、5项材料均需提供。</w:t>
            </w:r>
          </w:p>
        </w:tc>
      </w:tr>
      <w:tr w14:paraId="75A96B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666" w:type="dxa"/>
            <w:gridSpan w:val="4"/>
            <w:tcBorders>
              <w:top w:val="single" w:color="auto" w:sz="6" w:space="0"/>
              <w:bottom w:val="single" w:color="auto" w:sz="6" w:space="0"/>
            </w:tcBorders>
            <w:shd w:val="clear" w:color="auto" w:fill="auto"/>
            <w:noWrap w:val="0"/>
            <w:vAlign w:val="center"/>
          </w:tcPr>
          <w:p w14:paraId="61E05090">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二、《商务技术文件》组成内容</w:t>
            </w:r>
          </w:p>
        </w:tc>
      </w:tr>
      <w:tr w14:paraId="34A20E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tcBorders>
            <w:shd w:val="clear" w:color="auto" w:fill="auto"/>
            <w:noWrap w:val="0"/>
            <w:vAlign w:val="center"/>
          </w:tcPr>
          <w:p w14:paraId="07A0FDF4">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7970" w:type="dxa"/>
            <w:gridSpan w:val="2"/>
            <w:tcBorders>
              <w:top w:val="single" w:color="auto" w:sz="6" w:space="0"/>
            </w:tcBorders>
            <w:shd w:val="clear" w:color="auto" w:fill="auto"/>
            <w:noWrap w:val="0"/>
            <w:vAlign w:val="center"/>
          </w:tcPr>
          <w:p w14:paraId="5753E2A7">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《商务技术文件》封面</w:t>
            </w:r>
          </w:p>
        </w:tc>
        <w:tc>
          <w:tcPr>
            <w:tcW w:w="987" w:type="dxa"/>
            <w:tcBorders>
              <w:top w:val="single" w:color="auto" w:sz="6" w:space="0"/>
            </w:tcBorders>
            <w:shd w:val="clear" w:color="auto" w:fill="auto"/>
            <w:noWrap w:val="0"/>
            <w:vAlign w:val="center"/>
          </w:tcPr>
          <w:p w14:paraId="36591C3B">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67AA79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47AA95B2">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7970" w:type="dxa"/>
            <w:gridSpan w:val="2"/>
            <w:shd w:val="clear" w:color="auto" w:fill="auto"/>
            <w:noWrap w:val="0"/>
            <w:vAlign w:val="center"/>
          </w:tcPr>
          <w:p w14:paraId="1EEB22CD">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《商务技术文件》目录（自拟）</w:t>
            </w:r>
          </w:p>
        </w:tc>
        <w:tc>
          <w:tcPr>
            <w:tcW w:w="987" w:type="dxa"/>
            <w:shd w:val="clear" w:color="auto" w:fill="auto"/>
            <w:noWrap w:val="0"/>
            <w:vAlign w:val="center"/>
          </w:tcPr>
          <w:p w14:paraId="4BFD0F67">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3572FD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6FB9CE0D">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7970" w:type="dxa"/>
            <w:gridSpan w:val="2"/>
            <w:shd w:val="clear" w:color="auto" w:fill="auto"/>
            <w:noWrap w:val="0"/>
            <w:vAlign w:val="center"/>
          </w:tcPr>
          <w:p w14:paraId="3074E489">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供应商自评分指引表（自拟）</w:t>
            </w:r>
          </w:p>
        </w:tc>
        <w:tc>
          <w:tcPr>
            <w:tcW w:w="987" w:type="dxa"/>
            <w:shd w:val="clear" w:color="auto" w:fill="auto"/>
            <w:noWrap w:val="0"/>
            <w:vAlign w:val="center"/>
          </w:tcPr>
          <w:p w14:paraId="5D12A63A">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280E52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31D4DDEC">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p>
        </w:tc>
        <w:tc>
          <w:tcPr>
            <w:tcW w:w="7970" w:type="dxa"/>
            <w:gridSpan w:val="2"/>
            <w:shd w:val="clear" w:color="auto" w:fill="auto"/>
            <w:noWrap w:val="0"/>
            <w:vAlign w:val="center"/>
          </w:tcPr>
          <w:p w14:paraId="3CD3A73A">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供应商参与采购活动投标资格声明</w:t>
            </w:r>
          </w:p>
        </w:tc>
        <w:tc>
          <w:tcPr>
            <w:tcW w:w="987" w:type="dxa"/>
            <w:shd w:val="clear" w:color="auto" w:fill="auto"/>
            <w:noWrap w:val="0"/>
            <w:vAlign w:val="center"/>
          </w:tcPr>
          <w:p w14:paraId="3ACF13BE">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13BFC1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4A5FAFE9">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w:t>
            </w:r>
          </w:p>
        </w:tc>
        <w:tc>
          <w:tcPr>
            <w:tcW w:w="7970" w:type="dxa"/>
            <w:gridSpan w:val="2"/>
            <w:shd w:val="clear" w:color="auto" w:fill="auto"/>
            <w:noWrap w:val="0"/>
            <w:vAlign w:val="center"/>
          </w:tcPr>
          <w:p w14:paraId="1A02B66E">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投标函</w:t>
            </w:r>
          </w:p>
        </w:tc>
        <w:tc>
          <w:tcPr>
            <w:tcW w:w="987" w:type="dxa"/>
            <w:shd w:val="clear" w:color="auto" w:fill="auto"/>
            <w:noWrap w:val="0"/>
            <w:vAlign w:val="center"/>
          </w:tcPr>
          <w:p w14:paraId="0758F600">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0949AC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2616C5DB">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6</w:t>
            </w:r>
          </w:p>
        </w:tc>
        <w:tc>
          <w:tcPr>
            <w:tcW w:w="7970" w:type="dxa"/>
            <w:gridSpan w:val="2"/>
            <w:shd w:val="clear" w:color="auto" w:fill="auto"/>
            <w:noWrap w:val="0"/>
            <w:vAlign w:val="center"/>
          </w:tcPr>
          <w:p w14:paraId="36F60601">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投标供应商情况声明（后附企业简介）</w:t>
            </w:r>
          </w:p>
        </w:tc>
        <w:tc>
          <w:tcPr>
            <w:tcW w:w="987" w:type="dxa"/>
            <w:shd w:val="clear" w:color="auto" w:fill="auto"/>
            <w:noWrap w:val="0"/>
            <w:vAlign w:val="center"/>
          </w:tcPr>
          <w:p w14:paraId="2FFA031C">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624AAD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bottom w:val="single" w:color="auto" w:sz="6" w:space="0"/>
            </w:tcBorders>
            <w:shd w:val="clear" w:color="auto" w:fill="auto"/>
            <w:noWrap w:val="0"/>
            <w:vAlign w:val="center"/>
          </w:tcPr>
          <w:p w14:paraId="05BE4771">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7</w:t>
            </w:r>
          </w:p>
        </w:tc>
        <w:tc>
          <w:tcPr>
            <w:tcW w:w="7970" w:type="dxa"/>
            <w:gridSpan w:val="2"/>
            <w:tcBorders>
              <w:bottom w:val="single" w:color="auto" w:sz="6" w:space="0"/>
            </w:tcBorders>
            <w:shd w:val="clear" w:color="auto" w:fill="auto"/>
            <w:noWrap w:val="0"/>
            <w:vAlign w:val="center"/>
          </w:tcPr>
          <w:p w14:paraId="14D075F2">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商务偏离表、技术偏离表</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格式见附件也可自拟）</w:t>
            </w:r>
          </w:p>
        </w:tc>
        <w:tc>
          <w:tcPr>
            <w:tcW w:w="987" w:type="dxa"/>
            <w:tcBorders>
              <w:bottom w:val="single" w:color="auto" w:sz="6" w:space="0"/>
            </w:tcBorders>
            <w:shd w:val="clear" w:color="auto" w:fill="auto"/>
            <w:noWrap w:val="0"/>
            <w:vAlign w:val="center"/>
          </w:tcPr>
          <w:p w14:paraId="147BAB52">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4C3DE2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31C3010B">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val="en-US" w:eastAsia="zh-CN"/>
              </w:rPr>
              <w:t>8</w:t>
            </w:r>
          </w:p>
        </w:tc>
        <w:tc>
          <w:tcPr>
            <w:tcW w:w="7970" w:type="dxa"/>
            <w:gridSpan w:val="2"/>
            <w:tcBorders>
              <w:top w:val="single" w:color="auto" w:sz="6" w:space="0"/>
              <w:bottom w:val="single" w:color="auto" w:sz="6" w:space="0"/>
            </w:tcBorders>
            <w:shd w:val="clear" w:color="auto" w:fill="auto"/>
            <w:noWrap w:val="0"/>
            <w:vAlign w:val="center"/>
          </w:tcPr>
          <w:p w14:paraId="14A823D0">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zh-CN"/>
              </w:rPr>
              <w:t>针对本项目拟派人员名单</w:t>
            </w:r>
          </w:p>
        </w:tc>
        <w:tc>
          <w:tcPr>
            <w:tcW w:w="987" w:type="dxa"/>
            <w:tcBorders>
              <w:top w:val="single" w:color="auto" w:sz="6" w:space="0"/>
              <w:bottom w:val="single" w:color="auto" w:sz="6" w:space="0"/>
            </w:tcBorders>
            <w:shd w:val="clear" w:color="auto" w:fill="auto"/>
            <w:noWrap w:val="0"/>
            <w:vAlign w:val="center"/>
          </w:tcPr>
          <w:p w14:paraId="0897D096">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A1F04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68CEA601">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val="en-US" w:eastAsia="zh-CN"/>
              </w:rPr>
              <w:t>9</w:t>
            </w:r>
          </w:p>
        </w:tc>
        <w:tc>
          <w:tcPr>
            <w:tcW w:w="7970" w:type="dxa"/>
            <w:gridSpan w:val="2"/>
            <w:tcBorders>
              <w:top w:val="single" w:color="auto" w:sz="6" w:space="0"/>
              <w:bottom w:val="single" w:color="auto" w:sz="6" w:space="0"/>
            </w:tcBorders>
            <w:shd w:val="clear" w:color="auto" w:fill="auto"/>
            <w:noWrap w:val="0"/>
            <w:vAlign w:val="center"/>
          </w:tcPr>
          <w:p w14:paraId="7CC02388">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项目组织实施方案</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供应商根据评分细则自行自拟）</w:t>
            </w:r>
          </w:p>
        </w:tc>
        <w:tc>
          <w:tcPr>
            <w:tcW w:w="987" w:type="dxa"/>
            <w:tcBorders>
              <w:top w:val="single" w:color="auto" w:sz="6" w:space="0"/>
              <w:bottom w:val="single" w:color="auto" w:sz="6" w:space="0"/>
            </w:tcBorders>
            <w:shd w:val="clear" w:color="auto" w:fill="auto"/>
            <w:noWrap w:val="0"/>
            <w:vAlign w:val="center"/>
          </w:tcPr>
          <w:p w14:paraId="2EC2FB14">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3EBF5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0C7F9EF2">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10</w:t>
            </w:r>
          </w:p>
        </w:tc>
        <w:tc>
          <w:tcPr>
            <w:tcW w:w="7970" w:type="dxa"/>
            <w:gridSpan w:val="2"/>
            <w:tcBorders>
              <w:top w:val="single" w:color="auto" w:sz="6" w:space="0"/>
              <w:bottom w:val="single" w:color="auto" w:sz="6" w:space="0"/>
            </w:tcBorders>
            <w:shd w:val="clear" w:color="auto" w:fill="auto"/>
            <w:noWrap w:val="0"/>
            <w:vAlign w:val="center"/>
          </w:tcPr>
          <w:p w14:paraId="76DFAE18">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其他内容根据评分细则自拟</w:t>
            </w:r>
          </w:p>
        </w:tc>
        <w:tc>
          <w:tcPr>
            <w:tcW w:w="987" w:type="dxa"/>
            <w:tcBorders>
              <w:top w:val="single" w:color="auto" w:sz="6" w:space="0"/>
              <w:bottom w:val="single" w:color="auto" w:sz="6" w:space="0"/>
            </w:tcBorders>
            <w:shd w:val="clear" w:color="auto" w:fill="auto"/>
            <w:noWrap w:val="0"/>
            <w:vAlign w:val="center"/>
          </w:tcPr>
          <w:p w14:paraId="75E598CC">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67999A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76F4F1CD">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11</w:t>
            </w:r>
          </w:p>
        </w:tc>
        <w:tc>
          <w:tcPr>
            <w:tcW w:w="7970" w:type="dxa"/>
            <w:gridSpan w:val="2"/>
            <w:tcBorders>
              <w:top w:val="single" w:color="auto" w:sz="6" w:space="0"/>
              <w:bottom w:val="single" w:color="auto" w:sz="6" w:space="0"/>
            </w:tcBorders>
            <w:shd w:val="clear" w:color="auto" w:fill="auto"/>
            <w:noWrap w:val="0"/>
            <w:vAlign w:val="center"/>
          </w:tcPr>
          <w:p w14:paraId="00105829">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质量服务承诺书</w:t>
            </w:r>
          </w:p>
        </w:tc>
        <w:tc>
          <w:tcPr>
            <w:tcW w:w="987" w:type="dxa"/>
            <w:tcBorders>
              <w:top w:val="single" w:color="auto" w:sz="6" w:space="0"/>
              <w:bottom w:val="single" w:color="auto" w:sz="6" w:space="0"/>
            </w:tcBorders>
            <w:shd w:val="clear" w:color="auto" w:fill="auto"/>
            <w:noWrap w:val="0"/>
            <w:vAlign w:val="center"/>
          </w:tcPr>
          <w:p w14:paraId="47CD4F2A">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46F684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2BB944ED">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12</w:t>
            </w:r>
          </w:p>
        </w:tc>
        <w:tc>
          <w:tcPr>
            <w:tcW w:w="7970" w:type="dxa"/>
            <w:gridSpan w:val="2"/>
            <w:tcBorders>
              <w:top w:val="single" w:color="auto" w:sz="6" w:space="0"/>
              <w:bottom w:val="single" w:color="auto" w:sz="6" w:space="0"/>
            </w:tcBorders>
            <w:shd w:val="clear" w:color="auto" w:fill="auto"/>
            <w:noWrap w:val="0"/>
            <w:vAlign w:val="center"/>
          </w:tcPr>
          <w:p w14:paraId="628B2A40">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诚信投标承诺书</w:t>
            </w:r>
          </w:p>
        </w:tc>
        <w:tc>
          <w:tcPr>
            <w:tcW w:w="987" w:type="dxa"/>
            <w:tcBorders>
              <w:top w:val="single" w:color="auto" w:sz="6" w:space="0"/>
              <w:bottom w:val="single" w:color="auto" w:sz="6" w:space="0"/>
            </w:tcBorders>
            <w:shd w:val="clear" w:color="auto" w:fill="auto"/>
            <w:noWrap w:val="0"/>
            <w:vAlign w:val="center"/>
          </w:tcPr>
          <w:p w14:paraId="791A2815">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39B9A9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205657A3">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13</w:t>
            </w:r>
          </w:p>
        </w:tc>
        <w:tc>
          <w:tcPr>
            <w:tcW w:w="7970" w:type="dxa"/>
            <w:gridSpan w:val="2"/>
            <w:tcBorders>
              <w:top w:val="single" w:color="auto" w:sz="6" w:space="0"/>
              <w:bottom w:val="single" w:color="auto" w:sz="6" w:space="0"/>
            </w:tcBorders>
            <w:shd w:val="clear" w:color="auto" w:fill="auto"/>
            <w:noWrap w:val="0"/>
            <w:vAlign w:val="center"/>
          </w:tcPr>
          <w:p w14:paraId="05A34DFF">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投标供应商认为有必要提供的其他材料或说明（如有）</w:t>
            </w:r>
          </w:p>
        </w:tc>
        <w:tc>
          <w:tcPr>
            <w:tcW w:w="987" w:type="dxa"/>
            <w:tcBorders>
              <w:top w:val="single" w:color="auto" w:sz="6" w:space="0"/>
              <w:bottom w:val="single" w:color="auto" w:sz="6" w:space="0"/>
            </w:tcBorders>
            <w:shd w:val="clear" w:color="auto" w:fill="auto"/>
            <w:noWrap w:val="0"/>
            <w:vAlign w:val="center"/>
          </w:tcPr>
          <w:p w14:paraId="5940AFD5">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0F304C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0" w:hRule="atLeast"/>
          <w:jc w:val="center"/>
        </w:trPr>
        <w:tc>
          <w:tcPr>
            <w:tcW w:w="9666" w:type="dxa"/>
            <w:gridSpan w:val="4"/>
            <w:tcBorders>
              <w:top w:val="single" w:color="auto" w:sz="6" w:space="0"/>
              <w:bottom w:val="single" w:color="auto" w:sz="6" w:space="0"/>
            </w:tcBorders>
            <w:shd w:val="clear" w:color="auto" w:fill="auto"/>
            <w:noWrap w:val="0"/>
            <w:vAlign w:val="center"/>
          </w:tcPr>
          <w:p w14:paraId="081BCF0E">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三、《报价文件》组成内容【依序编制】</w:t>
            </w:r>
          </w:p>
        </w:tc>
      </w:tr>
      <w:tr w14:paraId="06D86D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239B16A5">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7970" w:type="dxa"/>
            <w:gridSpan w:val="2"/>
            <w:tcBorders>
              <w:top w:val="single" w:color="auto" w:sz="6" w:space="0"/>
              <w:bottom w:val="single" w:color="auto" w:sz="6" w:space="0"/>
            </w:tcBorders>
            <w:shd w:val="clear" w:color="auto" w:fill="auto"/>
            <w:noWrap w:val="0"/>
            <w:vAlign w:val="center"/>
          </w:tcPr>
          <w:p w14:paraId="255551E4">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《报价文件》封面</w:t>
            </w:r>
          </w:p>
        </w:tc>
        <w:tc>
          <w:tcPr>
            <w:tcW w:w="987" w:type="dxa"/>
            <w:tcBorders>
              <w:top w:val="single" w:color="auto" w:sz="6" w:space="0"/>
              <w:bottom w:val="single" w:color="auto" w:sz="6" w:space="0"/>
            </w:tcBorders>
            <w:shd w:val="clear" w:color="auto" w:fill="auto"/>
            <w:noWrap w:val="0"/>
            <w:vAlign w:val="center"/>
          </w:tcPr>
          <w:p w14:paraId="2D3B38DE">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6A9BCD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782D998E">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7970" w:type="dxa"/>
            <w:gridSpan w:val="2"/>
            <w:tcBorders>
              <w:top w:val="single" w:color="auto" w:sz="6" w:space="0"/>
              <w:bottom w:val="single" w:color="auto" w:sz="6" w:space="0"/>
            </w:tcBorders>
            <w:shd w:val="clear" w:color="auto" w:fill="auto"/>
            <w:noWrap w:val="0"/>
            <w:vAlign w:val="center"/>
          </w:tcPr>
          <w:p w14:paraId="68D981B2">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《报价文件》目录</w:t>
            </w:r>
            <w:r>
              <w:rPr>
                <w:rFonts w:hint="eastAsia" w:ascii="宋体" w:hAnsi="宋体" w:eastAsia="宋体" w:cs="宋体"/>
                <w:color w:val="auto"/>
                <w:sz w:val="22"/>
                <w:szCs w:val="22"/>
                <w:highlight w:val="none"/>
              </w:rPr>
              <w:t>（格式自拟）</w:t>
            </w:r>
          </w:p>
        </w:tc>
        <w:tc>
          <w:tcPr>
            <w:tcW w:w="987" w:type="dxa"/>
            <w:tcBorders>
              <w:top w:val="single" w:color="auto" w:sz="6" w:space="0"/>
              <w:bottom w:val="single" w:color="auto" w:sz="6" w:space="0"/>
            </w:tcBorders>
            <w:shd w:val="clear" w:color="auto" w:fill="auto"/>
            <w:noWrap w:val="0"/>
            <w:vAlign w:val="center"/>
          </w:tcPr>
          <w:p w14:paraId="6FB989A0">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4456A6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46270D0C">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7970" w:type="dxa"/>
            <w:gridSpan w:val="2"/>
            <w:tcBorders>
              <w:top w:val="single" w:color="auto" w:sz="6" w:space="0"/>
              <w:bottom w:val="single" w:color="auto" w:sz="6" w:space="0"/>
            </w:tcBorders>
            <w:shd w:val="clear" w:color="auto" w:fill="auto"/>
            <w:noWrap w:val="0"/>
            <w:vAlign w:val="center"/>
          </w:tcPr>
          <w:p w14:paraId="4C0E3B74">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开标一览表</w:t>
            </w:r>
          </w:p>
        </w:tc>
        <w:tc>
          <w:tcPr>
            <w:tcW w:w="987" w:type="dxa"/>
            <w:tcBorders>
              <w:top w:val="single" w:color="auto" w:sz="6" w:space="0"/>
              <w:bottom w:val="single" w:color="auto" w:sz="6" w:space="0"/>
            </w:tcBorders>
            <w:shd w:val="clear" w:color="auto" w:fill="auto"/>
            <w:noWrap w:val="0"/>
            <w:vAlign w:val="center"/>
          </w:tcPr>
          <w:p w14:paraId="1D87B54C">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084780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3578FB15">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4</w:t>
            </w:r>
          </w:p>
        </w:tc>
        <w:tc>
          <w:tcPr>
            <w:tcW w:w="7970" w:type="dxa"/>
            <w:gridSpan w:val="2"/>
            <w:tcBorders>
              <w:top w:val="single" w:color="auto" w:sz="6" w:space="0"/>
              <w:bottom w:val="single" w:color="auto" w:sz="6" w:space="0"/>
            </w:tcBorders>
            <w:shd w:val="clear" w:color="auto" w:fill="auto"/>
            <w:noWrap w:val="0"/>
            <w:vAlign w:val="center"/>
          </w:tcPr>
          <w:p w14:paraId="69CCD1BE">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lang w:val="en-US" w:eastAsia="zh-CN"/>
              </w:rPr>
              <w:t>分项报价表</w:t>
            </w:r>
          </w:p>
        </w:tc>
        <w:tc>
          <w:tcPr>
            <w:tcW w:w="987" w:type="dxa"/>
            <w:tcBorders>
              <w:top w:val="single" w:color="auto" w:sz="6" w:space="0"/>
              <w:bottom w:val="single" w:color="auto" w:sz="6" w:space="0"/>
            </w:tcBorders>
            <w:shd w:val="clear" w:color="auto" w:fill="auto"/>
            <w:noWrap w:val="0"/>
            <w:vAlign w:val="center"/>
          </w:tcPr>
          <w:p w14:paraId="7E442EE6">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FC75C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03459656">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val="en-US" w:eastAsia="zh-CN"/>
              </w:rPr>
              <w:t>5</w:t>
            </w:r>
          </w:p>
        </w:tc>
        <w:tc>
          <w:tcPr>
            <w:tcW w:w="8957" w:type="dxa"/>
            <w:gridSpan w:val="3"/>
            <w:tcBorders>
              <w:top w:val="single" w:color="auto" w:sz="6" w:space="0"/>
              <w:bottom w:val="single" w:color="auto" w:sz="6" w:space="0"/>
            </w:tcBorders>
            <w:shd w:val="clear" w:color="auto" w:fill="auto"/>
            <w:noWrap w:val="0"/>
            <w:vAlign w:val="center"/>
          </w:tcPr>
          <w:p w14:paraId="41735170">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投标供应商符合采购文件规定的采购扶持政策的证明文件</w:t>
            </w:r>
            <w:r>
              <w:rPr>
                <w:rFonts w:hint="eastAsia" w:ascii="宋体" w:hAnsi="宋体" w:eastAsia="宋体" w:cs="宋体"/>
                <w:color w:val="auto"/>
                <w:sz w:val="22"/>
                <w:szCs w:val="22"/>
                <w:highlight w:val="none"/>
              </w:rPr>
              <w:t>（如符合）</w:t>
            </w:r>
          </w:p>
        </w:tc>
      </w:tr>
      <w:tr w14:paraId="224686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46" w:hRule="atLeast"/>
          <w:jc w:val="center"/>
        </w:trPr>
        <w:tc>
          <w:tcPr>
            <w:tcW w:w="709" w:type="dxa"/>
            <w:vMerge w:val="restart"/>
            <w:tcBorders>
              <w:top w:val="single" w:color="auto" w:sz="6" w:space="0"/>
            </w:tcBorders>
            <w:shd w:val="clear" w:color="auto" w:fill="auto"/>
            <w:noWrap w:val="0"/>
            <w:vAlign w:val="center"/>
          </w:tcPr>
          <w:p w14:paraId="43DB34CB">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5</w:t>
            </w:r>
            <w:r>
              <w:rPr>
                <w:rFonts w:hint="eastAsia" w:ascii="宋体" w:hAnsi="宋体" w:eastAsia="宋体" w:cs="宋体"/>
                <w:b/>
                <w:color w:val="auto"/>
                <w:sz w:val="22"/>
                <w:szCs w:val="22"/>
                <w:highlight w:val="none"/>
              </w:rPr>
              <w:t>.1</w:t>
            </w:r>
          </w:p>
        </w:tc>
        <w:tc>
          <w:tcPr>
            <w:tcW w:w="1066" w:type="dxa"/>
            <w:vMerge w:val="restart"/>
            <w:tcBorders>
              <w:top w:val="single" w:color="auto" w:sz="6" w:space="0"/>
            </w:tcBorders>
            <w:shd w:val="clear" w:color="auto" w:fill="auto"/>
            <w:noWrap w:val="0"/>
            <w:vAlign w:val="center"/>
          </w:tcPr>
          <w:p w14:paraId="04C3ADB2">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价格扶持政策材料</w:t>
            </w:r>
          </w:p>
        </w:tc>
        <w:tc>
          <w:tcPr>
            <w:tcW w:w="6904" w:type="dxa"/>
            <w:tcBorders>
              <w:top w:val="single" w:color="auto" w:sz="6" w:space="0"/>
              <w:bottom w:val="single" w:color="auto" w:sz="6" w:space="0"/>
            </w:tcBorders>
            <w:shd w:val="clear" w:color="auto" w:fill="auto"/>
            <w:noWrap w:val="0"/>
            <w:vAlign w:val="center"/>
          </w:tcPr>
          <w:p w14:paraId="6745642F">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（1）中小企业声明函</w:t>
            </w:r>
            <w:r>
              <w:rPr>
                <w:rFonts w:hint="eastAsia" w:ascii="宋体" w:hAnsi="宋体" w:eastAsia="宋体" w:cs="宋体"/>
                <w:color w:val="auto"/>
                <w:sz w:val="22"/>
                <w:szCs w:val="22"/>
                <w:highlight w:val="none"/>
              </w:rPr>
              <w:t>（如是，请提供）</w:t>
            </w:r>
          </w:p>
        </w:tc>
        <w:tc>
          <w:tcPr>
            <w:tcW w:w="987" w:type="dxa"/>
            <w:tcBorders>
              <w:top w:val="single" w:color="auto" w:sz="6" w:space="0"/>
              <w:bottom w:val="single" w:color="auto" w:sz="6" w:space="0"/>
            </w:tcBorders>
            <w:shd w:val="clear" w:color="auto" w:fill="auto"/>
            <w:noWrap w:val="0"/>
            <w:vAlign w:val="center"/>
          </w:tcPr>
          <w:p w14:paraId="4A6F150A">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4B8F6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46" w:hRule="atLeast"/>
          <w:jc w:val="center"/>
        </w:trPr>
        <w:tc>
          <w:tcPr>
            <w:tcW w:w="709" w:type="dxa"/>
            <w:vMerge w:val="continue"/>
            <w:shd w:val="clear" w:color="auto" w:fill="auto"/>
            <w:noWrap w:val="0"/>
            <w:vAlign w:val="center"/>
          </w:tcPr>
          <w:p w14:paraId="6E5A4F15">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p>
        </w:tc>
        <w:tc>
          <w:tcPr>
            <w:tcW w:w="1066" w:type="dxa"/>
            <w:vMerge w:val="continue"/>
            <w:shd w:val="clear" w:color="auto" w:fill="auto"/>
            <w:noWrap w:val="0"/>
            <w:vAlign w:val="center"/>
          </w:tcPr>
          <w:p w14:paraId="2F42FECC">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p>
        </w:tc>
        <w:tc>
          <w:tcPr>
            <w:tcW w:w="6904" w:type="dxa"/>
            <w:tcBorders>
              <w:top w:val="single" w:color="auto" w:sz="6" w:space="0"/>
              <w:bottom w:val="single" w:color="auto" w:sz="6" w:space="0"/>
            </w:tcBorders>
            <w:shd w:val="clear" w:color="auto" w:fill="auto"/>
            <w:noWrap w:val="0"/>
            <w:vAlign w:val="center"/>
          </w:tcPr>
          <w:p w14:paraId="473CCFB9">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（2）残疾人福利性单位声明函</w:t>
            </w:r>
            <w:r>
              <w:rPr>
                <w:rFonts w:hint="eastAsia" w:ascii="宋体" w:hAnsi="宋体" w:eastAsia="宋体" w:cs="宋体"/>
                <w:color w:val="auto"/>
                <w:sz w:val="22"/>
                <w:szCs w:val="22"/>
                <w:highlight w:val="none"/>
              </w:rPr>
              <w:t>（如是，请提供）</w:t>
            </w:r>
          </w:p>
        </w:tc>
        <w:tc>
          <w:tcPr>
            <w:tcW w:w="987" w:type="dxa"/>
            <w:tcBorders>
              <w:top w:val="single" w:color="auto" w:sz="6" w:space="0"/>
              <w:bottom w:val="single" w:color="auto" w:sz="6" w:space="0"/>
            </w:tcBorders>
            <w:shd w:val="clear" w:color="auto" w:fill="auto"/>
            <w:noWrap w:val="0"/>
            <w:vAlign w:val="center"/>
          </w:tcPr>
          <w:p w14:paraId="38EC168B">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3E227A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6" w:hRule="atLeast"/>
          <w:jc w:val="center"/>
        </w:trPr>
        <w:tc>
          <w:tcPr>
            <w:tcW w:w="709" w:type="dxa"/>
            <w:vMerge w:val="continue"/>
            <w:tcBorders>
              <w:bottom w:val="single" w:color="auto" w:sz="6" w:space="0"/>
            </w:tcBorders>
            <w:shd w:val="clear" w:color="auto" w:fill="auto"/>
            <w:noWrap w:val="0"/>
            <w:vAlign w:val="center"/>
          </w:tcPr>
          <w:p w14:paraId="6CDEDC42">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p>
        </w:tc>
        <w:tc>
          <w:tcPr>
            <w:tcW w:w="1066" w:type="dxa"/>
            <w:vMerge w:val="continue"/>
            <w:tcBorders>
              <w:bottom w:val="single" w:color="auto" w:sz="6" w:space="0"/>
            </w:tcBorders>
            <w:shd w:val="clear" w:color="auto" w:fill="auto"/>
            <w:noWrap w:val="0"/>
            <w:vAlign w:val="center"/>
          </w:tcPr>
          <w:p w14:paraId="4A105F25">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p>
        </w:tc>
        <w:tc>
          <w:tcPr>
            <w:tcW w:w="6904" w:type="dxa"/>
            <w:tcBorders>
              <w:top w:val="single" w:color="auto" w:sz="6" w:space="0"/>
              <w:bottom w:val="single" w:color="auto" w:sz="6" w:space="0"/>
            </w:tcBorders>
            <w:shd w:val="clear" w:color="auto" w:fill="auto"/>
            <w:noWrap w:val="0"/>
            <w:vAlign w:val="center"/>
          </w:tcPr>
          <w:p w14:paraId="433715D9">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（3）相关部门出具的监狱企业证明文件</w:t>
            </w:r>
            <w:r>
              <w:rPr>
                <w:rFonts w:hint="eastAsia" w:ascii="宋体" w:hAnsi="宋体" w:eastAsia="宋体" w:cs="宋体"/>
                <w:color w:val="auto"/>
                <w:sz w:val="22"/>
                <w:szCs w:val="22"/>
                <w:highlight w:val="none"/>
              </w:rPr>
              <w:t>（如是，提供复制件加盖投标供应商公章）</w:t>
            </w:r>
          </w:p>
        </w:tc>
        <w:tc>
          <w:tcPr>
            <w:tcW w:w="987" w:type="dxa"/>
            <w:tcBorders>
              <w:top w:val="single" w:color="auto" w:sz="6" w:space="0"/>
              <w:bottom w:val="single" w:color="auto" w:sz="6" w:space="0"/>
            </w:tcBorders>
            <w:shd w:val="clear" w:color="auto" w:fill="auto"/>
            <w:noWrap w:val="0"/>
            <w:vAlign w:val="center"/>
          </w:tcPr>
          <w:p w14:paraId="3D0B3F8C">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5A9B5F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9666" w:type="dxa"/>
            <w:gridSpan w:val="4"/>
            <w:shd w:val="clear" w:color="auto" w:fill="auto"/>
            <w:noWrap w:val="0"/>
            <w:vAlign w:val="center"/>
          </w:tcPr>
          <w:p w14:paraId="0EA62EC3">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备注说明</w:t>
            </w:r>
          </w:p>
        </w:tc>
      </w:tr>
      <w:tr w14:paraId="24CD38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9666" w:type="dxa"/>
            <w:gridSpan w:val="4"/>
            <w:shd w:val="clear" w:color="auto" w:fill="auto"/>
            <w:noWrap w:val="0"/>
            <w:vAlign w:val="center"/>
          </w:tcPr>
          <w:p w14:paraId="48D39A9C">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上述内容本采购文件《响应文件格式》中有提供格式的，投标供应商可参照格式进行编制（格式中要求提供相关证明材料的还需后附相关证明材料），并按格式要求在指定位置根据要求进行签章，否则视为未提供；</w:t>
            </w:r>
          </w:p>
          <w:p w14:paraId="27269DDF">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（2）采购文件《响应文件格式》未提供格式的，请各投标供应商自行拟定格式，并加盖单位公章并由法定代表人或其授权代表签署（签字或盖章），否则视为未提供；</w:t>
            </w:r>
          </w:p>
          <w:p w14:paraId="6F92E495">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（3）可以提供复制件的相关证明材料必须加盖投标供应商公章，否则视为未提供（例如</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各类资格资质证书、业绩材料、许可材料、荣誉证书、产品注册登记材料、产品检测材料、验收材料等）；</w:t>
            </w:r>
          </w:p>
          <w:p w14:paraId="5D9174FE">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（4）以上内容中标注“</w:t>
            </w: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”的内容为必须提供的内容，未提供的投标无效。</w:t>
            </w:r>
          </w:p>
        </w:tc>
      </w:tr>
    </w:tbl>
    <w:p w14:paraId="15DD3D88">
      <w:pPr>
        <w:shd w:val="clear" w:color="auto" w:fill="auto"/>
        <w:kinsoku/>
        <w:wordWrap w:val="0"/>
        <w:overflowPunct/>
        <w:autoSpaceDE w:val="0"/>
        <w:autoSpaceDN w:val="0"/>
        <w:bidi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 投标文件编制</w:t>
      </w:r>
    </w:p>
    <w:p w14:paraId="41FDA370">
      <w:pPr>
        <w:shd w:val="clear" w:color="auto" w:fill="auto"/>
        <w:kinsoku/>
        <w:wordWrap w:val="0"/>
        <w:overflowPunct/>
        <w:autoSpaceDE w:val="0"/>
        <w:autoSpaceDN w:val="0"/>
        <w:bidi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3.1本项目通过“</w:t>
      </w:r>
      <w:r>
        <w:rPr>
          <w:rFonts w:hint="eastAsia" w:ascii="宋体" w:hAnsi="宋体" w:eastAsia="宋体" w:cs="宋体"/>
          <w:color w:val="auto"/>
          <w:sz w:val="22"/>
          <w:szCs w:val="22"/>
          <w:highlight w:val="none"/>
          <w:lang w:eastAsia="zh-CN"/>
        </w:rPr>
        <w:t>乐采云平台（https://www.lecaiyun.com/）</w:t>
      </w:r>
      <w:r>
        <w:rPr>
          <w:rFonts w:hint="eastAsia" w:ascii="宋体" w:hAnsi="宋体" w:eastAsia="宋体" w:cs="宋体"/>
          <w:color w:val="auto"/>
          <w:sz w:val="22"/>
          <w:szCs w:val="22"/>
          <w:highlight w:val="none"/>
        </w:rPr>
        <w:t>”实行在线投标响应（电子投标）。供应商应通过“</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”，并按照本采购文件和“</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”的要求编制并加密投标文件。</w:t>
      </w:r>
    </w:p>
    <w:p w14:paraId="3F668A04">
      <w:pPr>
        <w:shd w:val="clear" w:color="auto" w:fill="auto"/>
        <w:kinsoku/>
        <w:wordWrap w:val="0"/>
        <w:overflowPunct/>
        <w:autoSpaceDE w:val="0"/>
        <w:autoSpaceDN w:val="0"/>
        <w:bidi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3.2投标供应商应当按照本章节 “投标文件组成”规定的内容及顺序在“</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”编制投标文件。其中《资格文件》和《商务技术文件》中不得出现本项目投标报价，如因投标供应商原因提前泄露投标报价，是投标供应商的责任。</w:t>
      </w:r>
    </w:p>
    <w:p w14:paraId="28484633">
      <w:pPr>
        <w:shd w:val="clear" w:color="auto" w:fill="auto"/>
        <w:kinsoku/>
        <w:wordWrap w:val="0"/>
        <w:overflowPunct/>
        <w:autoSpaceDE w:val="0"/>
        <w:autoSpaceDN w:val="0"/>
        <w:bidi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3.3《投标文件》内容不完整、编排混乱导致《投标文件》被误读、漏读或者查找不到相关内容的，是投标供应商的责任。</w:t>
      </w:r>
    </w:p>
    <w:p w14:paraId="3E703F33">
      <w:pPr>
        <w:shd w:val="clear" w:color="auto" w:fill="auto"/>
        <w:kinsoku/>
        <w:wordWrap w:val="0"/>
        <w:overflowPunct/>
        <w:autoSpaceDE w:val="0"/>
        <w:autoSpaceDN w:val="0"/>
        <w:bidi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3.4《投标文件》因字迹潦草或表达不清所引起的后果由投标供应商负责。</w:t>
      </w:r>
    </w:p>
    <w:p w14:paraId="040C95E3">
      <w:pPr>
        <w:shd w:val="clear" w:color="auto" w:fill="auto"/>
        <w:kinsoku/>
        <w:wordWrap w:val="0"/>
        <w:overflowPunct/>
        <w:autoSpaceDE w:val="0"/>
        <w:autoSpaceDN w:val="0"/>
        <w:bidi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3.5投标供应商没有按照本章节 “投标文件组成”要求提供全部资料，或者没有仔细阅读采购文件，或者没有对采购文件在各方面的要求作出实质性响应是投标供应商的风险，由此造成的一切后果由投标供应商自行承担。</w:t>
      </w:r>
    </w:p>
    <w:p w14:paraId="23564AD2">
      <w:pPr>
        <w:shd w:val="clear" w:color="auto" w:fill="auto"/>
        <w:kinsoku/>
        <w:wordWrap w:val="0"/>
        <w:overflowPunct/>
        <w:autoSpaceDE w:val="0"/>
        <w:autoSpaceDN w:val="0"/>
        <w:bidi w:val="0"/>
        <w:adjustRightInd w:val="0"/>
        <w:snapToGrid w:val="0"/>
        <w:spacing w:line="360" w:lineRule="auto"/>
        <w:textAlignment w:val="bottom"/>
        <w:rPr>
          <w:rFonts w:hint="eastAsia" w:ascii="宋体" w:hAnsi="宋体" w:eastAsia="宋体" w:cs="宋体"/>
          <w:color w:val="auto"/>
          <w:sz w:val="22"/>
          <w:szCs w:val="22"/>
          <w:highlight w:val="none"/>
        </w:rPr>
      </w:pPr>
      <w:bookmarkStart w:id="19" w:name="_Toc132122115"/>
      <w:bookmarkStart w:id="20" w:name="_Toc132122412"/>
      <w:r>
        <w:rPr>
          <w:rFonts w:hint="eastAsia" w:ascii="宋体" w:hAnsi="宋体" w:eastAsia="宋体" w:cs="宋体"/>
          <w:color w:val="auto"/>
          <w:sz w:val="22"/>
          <w:szCs w:val="22"/>
          <w:highlight w:val="none"/>
        </w:rPr>
        <w:t>4.投标报价</w:t>
      </w:r>
      <w:bookmarkEnd w:id="19"/>
      <w:bookmarkEnd w:id="20"/>
    </w:p>
    <w:p w14:paraId="30E7630F">
      <w:pPr>
        <w:shd w:val="clear" w:color="auto" w:fill="auto"/>
        <w:kinsoku/>
        <w:wordWrap w:val="0"/>
        <w:overflowPunct/>
        <w:autoSpaceDE w:val="0"/>
        <w:autoSpaceDN w:val="0"/>
        <w:bidi w:val="0"/>
        <w:adjustRightInd w:val="0"/>
        <w:snapToGrid w:val="0"/>
        <w:spacing w:line="360" w:lineRule="auto"/>
        <w:ind w:firstLine="435" w:firstLineChars="198"/>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4.1、供应商应按采购文件中《开标一览表》填写报价。</w:t>
      </w:r>
      <w:r>
        <w:rPr>
          <w:rFonts w:hint="eastAsia" w:ascii="宋体" w:hAnsi="宋体" w:eastAsia="宋体" w:cs="宋体"/>
          <w:b/>
          <w:color w:val="auto"/>
          <w:sz w:val="22"/>
          <w:szCs w:val="22"/>
          <w:highlight w:val="none"/>
        </w:rPr>
        <w:t>投标供应商在线制作投标文件时《开标一览表》中填写的金额与解密后“电子加密投标文件”中《开标一览表》填写的金额不一致的，以解密后“电子加密投标文件”中《开标一览表》填写的金额为准，投标供应商拒绝接受此调整的，按无效投标处理</w:t>
      </w:r>
      <w:r>
        <w:rPr>
          <w:rFonts w:hint="eastAsia" w:ascii="宋体" w:hAnsi="宋体" w:eastAsia="宋体" w:cs="宋体"/>
          <w:color w:val="auto"/>
          <w:sz w:val="22"/>
          <w:szCs w:val="22"/>
          <w:highlight w:val="none"/>
        </w:rPr>
        <w:t>。</w:t>
      </w:r>
    </w:p>
    <w:p w14:paraId="0B146C3E">
      <w:pPr>
        <w:shd w:val="clear" w:color="auto" w:fill="auto"/>
        <w:kinsoku/>
        <w:wordWrap w:val="0"/>
        <w:overflowPunct/>
        <w:autoSpaceDE w:val="0"/>
        <w:autoSpaceDN w:val="0"/>
        <w:bidi w:val="0"/>
        <w:adjustRightInd w:val="0"/>
        <w:snapToGrid w:val="0"/>
        <w:spacing w:line="360" w:lineRule="auto"/>
        <w:ind w:firstLine="440"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4.2、本次招标只允许有一个报价，有选择的报价将不予接受。</w:t>
      </w:r>
    </w:p>
    <w:p w14:paraId="6869D3AF">
      <w:pPr>
        <w:shd w:val="clear" w:color="auto" w:fill="auto"/>
        <w:kinsoku/>
        <w:wordWrap w:val="0"/>
        <w:overflowPunct/>
        <w:autoSpaceDE w:val="0"/>
        <w:autoSpaceDN w:val="0"/>
        <w:bidi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4.3、</w:t>
      </w:r>
      <w:r>
        <w:rPr>
          <w:rFonts w:hint="eastAsia" w:ascii="宋体" w:hAnsi="宋体" w:eastAsia="宋体" w:cs="宋体"/>
          <w:color w:val="auto"/>
          <w:sz w:val="22"/>
          <w:szCs w:val="22"/>
          <w:highlight w:val="none"/>
          <w:u w:val="single"/>
        </w:rPr>
        <w:t>供应商对在合同执行中，除采购文件规定的由中标供应商负责的工作范围以外需要甲方协调或提供便利的工作应当在投标文件中说明。</w:t>
      </w:r>
    </w:p>
    <w:p w14:paraId="1C6C4F9A">
      <w:pPr>
        <w:shd w:val="clear" w:color="auto" w:fill="auto"/>
        <w:kinsoku/>
        <w:wordWrap w:val="0"/>
        <w:overflowPunct/>
        <w:autoSpaceDE w:val="0"/>
        <w:autoSpaceDN w:val="0"/>
        <w:bidi w:val="0"/>
        <w:adjustRightInd w:val="0"/>
        <w:snapToGrid w:val="0"/>
        <w:spacing w:line="360" w:lineRule="auto"/>
        <w:ind w:firstLine="431" w:firstLineChars="196"/>
        <w:rPr>
          <w:rFonts w:hint="eastAsia" w:ascii="宋体" w:hAnsi="宋体" w:eastAsia="宋体" w:cs="宋体"/>
          <w:color w:val="auto"/>
          <w:sz w:val="22"/>
          <w:szCs w:val="22"/>
          <w:highlight w:val="none"/>
        </w:rPr>
      </w:pPr>
      <w:bookmarkStart w:id="21" w:name="_Toc132122117"/>
      <w:bookmarkStart w:id="22" w:name="_Toc132122414"/>
      <w:bookmarkStart w:id="23" w:name="_Toc132122415"/>
      <w:bookmarkStart w:id="24" w:name="_Toc132122118"/>
      <w:r>
        <w:rPr>
          <w:rFonts w:hint="eastAsia" w:ascii="宋体" w:hAnsi="宋体" w:eastAsia="宋体" w:cs="宋体"/>
          <w:color w:val="auto"/>
          <w:sz w:val="22"/>
          <w:szCs w:val="22"/>
          <w:highlight w:val="none"/>
        </w:rPr>
        <w:t>5、投标文件的有效期</w:t>
      </w:r>
      <w:bookmarkEnd w:id="21"/>
      <w:bookmarkEnd w:id="22"/>
    </w:p>
    <w:p w14:paraId="5B823387">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5.1自开标日起90天内，投标文件应保持有效。有效期短于这个规定期限的投标将被拒绝。</w:t>
      </w:r>
    </w:p>
    <w:p w14:paraId="4B9C54DC">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5.2在特殊情况下，采购人可与供应商协商延长投标文件的有效期，这种要求和答复均应以书面形式进行。</w:t>
      </w:r>
    </w:p>
    <w:p w14:paraId="2E57F07C">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5.3供应商可拒绝接受延期要求而不会导致处罚。同意延长有效期的供应商不能修改投标文件。</w:t>
      </w:r>
    </w:p>
    <w:bookmarkEnd w:id="23"/>
    <w:bookmarkEnd w:id="24"/>
    <w:p w14:paraId="4AEBC866">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6、投标文件的签章</w:t>
      </w:r>
    </w:p>
    <w:p w14:paraId="7D4519D6">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6.1《投标文件》的签章</w:t>
      </w:r>
      <w:r>
        <w:rPr>
          <w:rFonts w:hint="eastAsia" w:ascii="宋体" w:hAnsi="宋体" w:eastAsia="宋体" w:cs="宋体"/>
          <w:color w:val="auto"/>
          <w:sz w:val="22"/>
          <w:szCs w:val="22"/>
          <w:highlight w:val="none"/>
          <w:lang w:eastAsia="zh-CN"/>
        </w:rPr>
        <w:t>：</w:t>
      </w:r>
      <w:r>
        <w:rPr>
          <w:rFonts w:hint="eastAsia" w:ascii="宋体" w:hAnsi="宋体" w:eastAsia="宋体" w:cs="宋体"/>
          <w:b/>
          <w:color w:val="auto"/>
          <w:sz w:val="22"/>
          <w:szCs w:val="22"/>
          <w:highlight w:val="none"/>
          <w:lang w:bidi="ar"/>
        </w:rPr>
        <w:t>电子签章。</w:t>
      </w:r>
      <w:r>
        <w:rPr>
          <w:rFonts w:hint="eastAsia" w:ascii="宋体" w:hAnsi="宋体" w:eastAsia="宋体" w:cs="宋体"/>
          <w:color w:val="auto"/>
          <w:sz w:val="22"/>
          <w:szCs w:val="22"/>
          <w:highlight w:val="none"/>
        </w:rPr>
        <w:t>采购文件所指的加盖单位公章为电子签章。</w:t>
      </w:r>
    </w:p>
    <w:p w14:paraId="269E6ABF">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6.2《投标文件》应由投标供应商法定代表人或其授权代表签字（或盖章），并时加盖投标供应商公章。</w:t>
      </w:r>
    </w:p>
    <w:p w14:paraId="7DE229F8">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6.3电子签章操作指南详见采购公告附件《供应商项目采购-电子招投标操作指南》。</w:t>
      </w:r>
    </w:p>
    <w:p w14:paraId="3AC2B1EB">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7、投标文件的形式</w:t>
      </w:r>
    </w:p>
    <w:p w14:paraId="076AFFED">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7.1投标文件的形式</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见</w:t>
      </w:r>
      <w:r>
        <w:rPr>
          <w:rFonts w:hint="eastAsia" w:ascii="宋体" w:hAnsi="宋体" w:eastAsia="宋体" w:cs="宋体"/>
          <w:color w:val="auto"/>
          <w:sz w:val="22"/>
          <w:szCs w:val="22"/>
          <w:highlight w:val="none"/>
          <w:lang w:eastAsia="zh-CN"/>
        </w:rPr>
        <w:t>投标通知（邀请）书</w:t>
      </w:r>
      <w:r>
        <w:rPr>
          <w:rFonts w:hint="eastAsia" w:ascii="宋体" w:hAnsi="宋体" w:eastAsia="宋体" w:cs="宋体"/>
          <w:color w:val="auto"/>
          <w:sz w:val="22"/>
          <w:szCs w:val="22"/>
          <w:highlight w:val="none"/>
        </w:rPr>
        <w:t>；</w:t>
      </w:r>
    </w:p>
    <w:p w14:paraId="36411C5B">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7.2“电子加密投标文件”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“电子加密投标文件”是指通过“</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”完成投标文件编制后生成并加密的数据电文形式的投标文件。</w:t>
      </w:r>
    </w:p>
    <w:p w14:paraId="419099BA">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7.3“备份投标文件”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“备份投标文件”是指与“电子加密投标文件”同时生成的数据电文形式的电子文件（备份标书），其他方式编制的“备份投标文件”视为无效的“备份投标文件”。</w:t>
      </w:r>
    </w:p>
    <w:p w14:paraId="10E417E2">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8、投标文件的份数</w:t>
      </w:r>
    </w:p>
    <w:p w14:paraId="14B8ED11">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8.1投标文件的份数</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见</w:t>
      </w:r>
      <w:r>
        <w:rPr>
          <w:rFonts w:hint="eastAsia" w:ascii="宋体" w:hAnsi="宋体" w:eastAsia="宋体" w:cs="宋体"/>
          <w:color w:val="auto"/>
          <w:sz w:val="22"/>
          <w:szCs w:val="22"/>
          <w:highlight w:val="none"/>
          <w:lang w:eastAsia="zh-CN"/>
        </w:rPr>
        <w:t>投标通知（邀请）书</w:t>
      </w:r>
      <w:r>
        <w:rPr>
          <w:rFonts w:hint="eastAsia" w:ascii="宋体" w:hAnsi="宋体" w:eastAsia="宋体" w:cs="宋体"/>
          <w:color w:val="auto"/>
          <w:sz w:val="22"/>
          <w:szCs w:val="22"/>
          <w:highlight w:val="none"/>
        </w:rPr>
        <w:t>。</w:t>
      </w:r>
    </w:p>
    <w:p w14:paraId="59CAC29B">
      <w:pPr>
        <w:shd w:val="clear" w:color="auto" w:fill="auto"/>
        <w:kinsoku/>
        <w:wordWrap w:val="0"/>
        <w:overflowPunct/>
        <w:bidi w:val="0"/>
        <w:snapToGrid w:val="0"/>
        <w:spacing w:line="360" w:lineRule="auto"/>
        <w:outlineLvl w:val="1"/>
        <w:rPr>
          <w:rFonts w:hint="eastAsia" w:ascii="宋体" w:hAnsi="宋体" w:eastAsia="宋体" w:cs="宋体"/>
          <w:b/>
          <w:bCs w:val="0"/>
          <w:color w:val="auto"/>
          <w:sz w:val="22"/>
          <w:szCs w:val="22"/>
          <w:highlight w:val="none"/>
        </w:rPr>
      </w:pPr>
      <w:bookmarkStart w:id="25" w:name="_Toc16183"/>
      <w:r>
        <w:rPr>
          <w:rFonts w:hint="eastAsia" w:ascii="宋体" w:hAnsi="宋体" w:eastAsia="宋体" w:cs="宋体"/>
          <w:b/>
          <w:bCs w:val="0"/>
          <w:color w:val="auto"/>
          <w:sz w:val="22"/>
          <w:szCs w:val="22"/>
          <w:highlight w:val="none"/>
        </w:rPr>
        <w:t>五、投标</w:t>
      </w:r>
      <w:bookmarkEnd w:id="25"/>
    </w:p>
    <w:p w14:paraId="58189C19">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1、投标文件的上传和递交</w:t>
      </w:r>
    </w:p>
    <w:p w14:paraId="6F88F1E7">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1.1“投标文件”的上传、递交</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见</w:t>
      </w:r>
      <w:r>
        <w:rPr>
          <w:rFonts w:hint="eastAsia" w:ascii="宋体" w:hAnsi="宋体" w:eastAsia="宋体" w:cs="宋体"/>
          <w:color w:val="auto"/>
          <w:sz w:val="22"/>
          <w:szCs w:val="22"/>
          <w:highlight w:val="none"/>
          <w:lang w:eastAsia="zh-CN"/>
        </w:rPr>
        <w:t>投标通知（邀请）书</w:t>
      </w:r>
      <w:r>
        <w:rPr>
          <w:rFonts w:hint="eastAsia" w:ascii="宋体" w:hAnsi="宋体" w:eastAsia="宋体" w:cs="宋体"/>
          <w:color w:val="auto"/>
          <w:sz w:val="22"/>
          <w:szCs w:val="22"/>
          <w:highlight w:val="none"/>
        </w:rPr>
        <w:t>。</w:t>
      </w:r>
    </w:p>
    <w:p w14:paraId="062D8CA1">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2、“电子加密投标文件”解密和异常情况处理</w:t>
      </w:r>
    </w:p>
    <w:p w14:paraId="7DD3F9AD">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2.1“电子加密投标文件”解密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见</w:t>
      </w:r>
      <w:r>
        <w:rPr>
          <w:rFonts w:hint="eastAsia" w:ascii="宋体" w:hAnsi="宋体" w:eastAsia="宋体" w:cs="宋体"/>
          <w:color w:val="auto"/>
          <w:sz w:val="22"/>
          <w:szCs w:val="22"/>
          <w:highlight w:val="none"/>
          <w:lang w:eastAsia="zh-CN"/>
        </w:rPr>
        <w:t>投标通知（邀请）书</w:t>
      </w:r>
      <w:r>
        <w:rPr>
          <w:rFonts w:hint="eastAsia" w:ascii="宋体" w:hAnsi="宋体" w:eastAsia="宋体" w:cs="宋体"/>
          <w:color w:val="auto"/>
          <w:sz w:val="22"/>
          <w:szCs w:val="22"/>
          <w:highlight w:val="none"/>
        </w:rPr>
        <w:t>。</w:t>
      </w:r>
    </w:p>
    <w:p w14:paraId="1687FDBA">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3、投标文件的补充、修改或撤回</w:t>
      </w:r>
    </w:p>
    <w:p w14:paraId="49838531">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”将予以拒收。</w:t>
      </w:r>
    </w:p>
    <w:p w14:paraId="3D2BA71E">
      <w:pPr>
        <w:pStyle w:val="14"/>
        <w:shd w:val="clear" w:color="auto" w:fill="auto"/>
        <w:kinsoku/>
        <w:wordWrap w:val="0"/>
        <w:overflowPunct/>
        <w:bidi w:val="0"/>
        <w:adjustRightInd w:val="0"/>
        <w:snapToGrid w:val="0"/>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3.2投标截止时间后，投标供应商不得撤回、修改《投标文件》。</w:t>
      </w:r>
    </w:p>
    <w:p w14:paraId="472343F4">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4、投标文件的备选方案</w:t>
      </w:r>
    </w:p>
    <w:p w14:paraId="0AA82F71">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4.1投标供应商不得递交任何的投标备选（替代）方案，否则其投标文件将作无效标处理。与“电子加密投标文件”同时生成的“备份投标文件”不是投标备选（替代）方案。</w:t>
      </w:r>
    </w:p>
    <w:p w14:paraId="25760FD3">
      <w:pPr>
        <w:shd w:val="clear" w:color="auto" w:fill="auto"/>
        <w:kinsoku/>
        <w:wordWrap w:val="0"/>
        <w:overflowPunct/>
        <w:bidi w:val="0"/>
        <w:snapToGrid w:val="0"/>
        <w:spacing w:line="360" w:lineRule="auto"/>
        <w:outlineLvl w:val="1"/>
        <w:rPr>
          <w:rFonts w:hint="eastAsia" w:ascii="宋体" w:hAnsi="宋体" w:eastAsia="宋体" w:cs="宋体"/>
          <w:color w:val="auto"/>
          <w:sz w:val="22"/>
          <w:szCs w:val="22"/>
          <w:highlight w:val="none"/>
        </w:rPr>
      </w:pPr>
      <w:bookmarkStart w:id="26" w:name="_Toc23198"/>
      <w:r>
        <w:rPr>
          <w:rFonts w:hint="eastAsia" w:ascii="宋体" w:hAnsi="宋体" w:eastAsia="宋体" w:cs="宋体"/>
          <w:b/>
          <w:bCs/>
          <w:color w:val="auto"/>
          <w:sz w:val="22"/>
          <w:szCs w:val="22"/>
          <w:highlight w:val="none"/>
        </w:rPr>
        <w:t>六、开标和评标</w:t>
      </w:r>
      <w:bookmarkEnd w:id="26"/>
    </w:p>
    <w:p w14:paraId="2A3F21C0">
      <w:pPr>
        <w:shd w:val="clear" w:color="auto" w:fill="auto"/>
        <w:kinsoku/>
        <w:wordWrap w:val="0"/>
        <w:overflowPunct/>
        <w:bidi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一）开标</w:t>
      </w:r>
    </w:p>
    <w:p w14:paraId="36273F21">
      <w:pPr>
        <w:shd w:val="clear" w:color="auto" w:fill="auto"/>
        <w:kinsoku/>
        <w:wordWrap w:val="0"/>
        <w:overflowPunct/>
        <w:bidi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1、开标形式</w:t>
      </w:r>
    </w:p>
    <w:p w14:paraId="306B9323">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 采购组织机构将按照采购文件规定的时间通过“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”组织开标、开启投标文件，所有供应商均应当准时在线参加。</w:t>
      </w:r>
    </w:p>
    <w:p w14:paraId="32F3AD9D">
      <w:pPr>
        <w:shd w:val="clear" w:color="auto" w:fill="auto"/>
        <w:kinsoku/>
        <w:wordWrap w:val="0"/>
        <w:overflowPunct/>
        <w:bidi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2、开标准备</w:t>
      </w:r>
    </w:p>
    <w:p w14:paraId="4326CA07">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2.1开标的准备工作由采购组织机构负责落实；</w:t>
      </w:r>
    </w:p>
    <w:p w14:paraId="27A4EF4F">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2.2采购组织机构将按照采购文件规定的时间通过“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组织开标、开启投标文件，所有供应商均应当准时在线参加。投标供应商如不参加开标大会的，视同认可开标结果，事后不得对采购相关人员、开标过程和开标结果提出异议，同时投标供应商因未在线参加开标而导致投标文件无法按时解密等一切后果由供应商自己承担。</w:t>
      </w:r>
    </w:p>
    <w:p w14:paraId="0679C5B1">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3、开标流程（两阶段）</w:t>
      </w:r>
    </w:p>
    <w:p w14:paraId="6BBCEBBA">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3.1开标第一阶段</w:t>
      </w:r>
    </w:p>
    <w:p w14:paraId="16EE39AE">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向各投标供应商发出电子加密投标文件【开始解密】通知，由供应商按采购文件规定的时间内自行进行投标文件解密。投标供应商在规定的时间内无法完成已递交的“电子加密投标文件”解密的，如已按规定递交了备份投标文件的，将由采购组织机构按“</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”操作规范将备份投标文件上传至“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”，上传成功后，“电子加密投标文件”自动失效；</w:t>
      </w:r>
    </w:p>
    <w:p w14:paraId="14F0084B">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（2）投标文件解密结束，发送各投标供应商组织签署《国企采购活动现场确认声明书》；</w:t>
      </w:r>
    </w:p>
    <w:p w14:paraId="304F673B">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（3）开启投标文件，进入资格审查；</w:t>
      </w:r>
    </w:p>
    <w:p w14:paraId="11EDCF39">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（4）开启资格审查通过的投标供应商的商务技术文件进入符合性审查、商务技术评审；</w:t>
      </w:r>
    </w:p>
    <w:p w14:paraId="10F2F19C">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（5）第一阶段开标结束。</w:t>
      </w:r>
    </w:p>
    <w:p w14:paraId="06DEB6BE">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开标大会的第一阶段结束后，采购人或采购代理机构将对依法对投标供应商的资格进行审查，资格审查结束后进入符合性审查和商务技术的评审工作，具体见本章节“投标供应商资格审查”相关规定。</w:t>
      </w:r>
    </w:p>
    <w:p w14:paraId="5043C32B">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3.2开标大会第二阶段</w:t>
      </w:r>
    </w:p>
    <w:p w14:paraId="00F7E1D2">
      <w:pPr>
        <w:numPr>
          <w:ilvl w:val="0"/>
          <w:numId w:val="0"/>
        </w:num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（1）</w:t>
      </w:r>
      <w:r>
        <w:rPr>
          <w:rFonts w:hint="eastAsia" w:ascii="宋体" w:hAnsi="宋体" w:eastAsia="宋体" w:cs="宋体"/>
          <w:color w:val="auto"/>
          <w:sz w:val="22"/>
          <w:szCs w:val="22"/>
          <w:highlight w:val="none"/>
        </w:rPr>
        <w:t>符合性审查、商务技术评审结束后，举行开标大会第二阶段会议。首先公布符合性审查、商务技术评审无效供应商名称及理由；公布经商务技术评审后有效投标供应商的名单，同时公布其商务技术部分得分情况。</w:t>
      </w:r>
    </w:p>
    <w:p w14:paraId="3C4875DF">
      <w:pPr>
        <w:numPr>
          <w:ilvl w:val="0"/>
          <w:numId w:val="0"/>
        </w:num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（2）</w:t>
      </w:r>
      <w:r>
        <w:rPr>
          <w:rFonts w:hint="eastAsia" w:ascii="宋体" w:hAnsi="宋体" w:eastAsia="宋体" w:cs="宋体"/>
          <w:color w:val="auto"/>
          <w:sz w:val="22"/>
          <w:szCs w:val="22"/>
          <w:highlight w:val="none"/>
        </w:rPr>
        <w:t>开启符合性审查、商务技术评审有效投标供应商的《报价文件》。供应商签字确认（10分钟内未确认的视为无异议），由评标委员会对报价的合理性、准确性等进行审查核实。</w:t>
      </w:r>
    </w:p>
    <w:p w14:paraId="7472A9A1">
      <w:pPr>
        <w:numPr>
          <w:ilvl w:val="0"/>
          <w:numId w:val="0"/>
        </w:num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（3）</w:t>
      </w:r>
      <w:r>
        <w:rPr>
          <w:rFonts w:hint="eastAsia" w:ascii="宋体" w:hAnsi="宋体" w:eastAsia="宋体" w:cs="宋体"/>
          <w:color w:val="auto"/>
          <w:sz w:val="22"/>
          <w:szCs w:val="22"/>
          <w:highlight w:val="none"/>
        </w:rPr>
        <w:t>评审结束后，公布中标（成交）候选供应商名单，及采购人最终确定中标或成交供应商名单的时间和公告方式等。</w:t>
      </w:r>
    </w:p>
    <w:p w14:paraId="6A411172">
      <w:pPr>
        <w:shd w:val="clear" w:color="auto" w:fill="auto"/>
        <w:kinsoku/>
        <w:wordWrap w:val="0"/>
        <w:overflowPunct/>
        <w:bidi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特别说明</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如遇“</w:t>
      </w:r>
      <w:r>
        <w:rPr>
          <w:rFonts w:hint="eastAsia" w:ascii="宋体" w:hAnsi="宋体" w:eastAsia="宋体" w:cs="宋体"/>
          <w:b/>
          <w:color w:val="auto"/>
          <w:sz w:val="22"/>
          <w:szCs w:val="22"/>
          <w:highlight w:val="none"/>
          <w:lang w:eastAsia="zh-CN"/>
        </w:rPr>
        <w:t>乐采云平台</w:t>
      </w:r>
      <w:r>
        <w:rPr>
          <w:rFonts w:hint="eastAsia" w:ascii="宋体" w:hAnsi="宋体" w:eastAsia="宋体" w:cs="宋体"/>
          <w:b/>
          <w:color w:val="auto"/>
          <w:sz w:val="22"/>
          <w:szCs w:val="22"/>
          <w:highlight w:val="none"/>
        </w:rPr>
        <w:t>”电子化开标或评审程序调整的，按调整后程序执行。</w:t>
      </w:r>
    </w:p>
    <w:p w14:paraId="3D1C73AD">
      <w:pPr>
        <w:shd w:val="clear" w:color="auto" w:fill="auto"/>
        <w:kinsoku/>
        <w:wordWrap w:val="0"/>
        <w:overflowPunct/>
        <w:bidi w:val="0"/>
        <w:snapToGrid w:val="0"/>
        <w:spacing w:line="360" w:lineRule="auto"/>
        <w:ind w:firstLine="527"/>
        <w:rPr>
          <w:rFonts w:hint="eastAsia" w:ascii="宋体" w:hAnsi="宋体" w:eastAsia="宋体" w:cs="宋体"/>
          <w:b/>
          <w:color w:val="auto"/>
          <w:sz w:val="22"/>
          <w:szCs w:val="22"/>
          <w:highlight w:val="none"/>
        </w:rPr>
      </w:pPr>
      <w:bookmarkStart w:id="27" w:name="_Toc24550037"/>
      <w:bookmarkStart w:id="28" w:name="_Toc33194393"/>
      <w:r>
        <w:rPr>
          <w:rFonts w:hint="eastAsia" w:ascii="宋体" w:hAnsi="宋体" w:eastAsia="宋体" w:cs="宋体"/>
          <w:b/>
          <w:color w:val="auto"/>
          <w:sz w:val="22"/>
          <w:szCs w:val="22"/>
          <w:highlight w:val="none"/>
        </w:rPr>
        <w:t>4、投标供应商资格审查</w:t>
      </w:r>
      <w:bookmarkEnd w:id="27"/>
      <w:bookmarkEnd w:id="28"/>
    </w:p>
    <w:p w14:paraId="48BC1521">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开标大会第一阶段结束后，采购人或采购代理机构首先依法对各投标供应商的资格进行审查，审查各投标供应商的资格是否满足采购文件的要求。采购人或采购代理机构对投标供应商所提交的资格证明材料仅负审核的责任。如发现投标供应商所提交的资格证明材料不合法或与事实不符，采购人可取消其中标资格并追究投标供应商的法律责任。</w:t>
      </w:r>
    </w:p>
    <w:p w14:paraId="246F7983">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4.2投标供应商提交的资格证明材料无法证明其符合采购文件规定的“投标供应商资格要求”的，采购人或采购代理机构将对其作资格审查不通过处理（无效投标），并不再将其投标提交评标委员会进行后续评审。</w:t>
      </w:r>
    </w:p>
    <w:p w14:paraId="511BE164">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4.3单位负责人为同一人或者存在直接控股、管理关系的不同供应商参加同一合同项下的采购活动的，相关投标供应商均作资格无效处理。</w:t>
      </w:r>
    </w:p>
    <w:p w14:paraId="21006615">
      <w:pPr>
        <w:shd w:val="clear" w:color="auto" w:fill="auto"/>
        <w:kinsoku/>
        <w:wordWrap w:val="0"/>
        <w:overflowPunct/>
        <w:bidi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二）评标</w:t>
      </w:r>
    </w:p>
    <w:p w14:paraId="401925D1">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2.1评标由采购人依法组建的评标委员会负责，并独立履行下列职责</w:t>
      </w:r>
      <w:r>
        <w:rPr>
          <w:rFonts w:hint="eastAsia" w:ascii="宋体" w:hAnsi="宋体" w:eastAsia="宋体" w:cs="宋体"/>
          <w:color w:val="auto"/>
          <w:sz w:val="22"/>
          <w:szCs w:val="22"/>
          <w:highlight w:val="none"/>
          <w:lang w:eastAsia="zh-CN"/>
        </w:rPr>
        <w:t>：</w:t>
      </w:r>
    </w:p>
    <w:p w14:paraId="4DEE81C3">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1）审查投标文件是否符合采购文件要求，并作出评价；</w:t>
      </w:r>
    </w:p>
    <w:p w14:paraId="2310F008">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2）要求投标供应商对投标文件有关事项作出解释或者澄清；</w:t>
      </w:r>
    </w:p>
    <w:p w14:paraId="6635F01C">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3）根据采购人授权确定中标供应商；</w:t>
      </w:r>
    </w:p>
    <w:p w14:paraId="5F4AB403">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4）向采购代理机构或者有关部门报告非法干预评标工作的行为。</w:t>
      </w:r>
    </w:p>
    <w:p w14:paraId="06322FBA">
      <w:pPr>
        <w:shd w:val="clear" w:color="auto" w:fill="auto"/>
        <w:kinsoku/>
        <w:wordWrap w:val="0"/>
        <w:overflowPunct/>
        <w:bidi w:val="0"/>
        <w:snapToGrid w:val="0"/>
        <w:spacing w:line="360" w:lineRule="auto"/>
        <w:ind w:firstLine="431" w:firstLineChars="196"/>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2.2、评标应当遵循下列工作程序</w:t>
      </w:r>
      <w:r>
        <w:rPr>
          <w:rFonts w:hint="eastAsia" w:ascii="宋体" w:hAnsi="宋体" w:eastAsia="宋体" w:cs="宋体"/>
          <w:color w:val="auto"/>
          <w:sz w:val="22"/>
          <w:szCs w:val="22"/>
          <w:highlight w:val="none"/>
          <w:lang w:eastAsia="zh-CN"/>
        </w:rPr>
        <w:t>：</w:t>
      </w:r>
    </w:p>
    <w:p w14:paraId="00110693">
      <w:pPr>
        <w:shd w:val="clear" w:color="auto" w:fill="auto"/>
        <w:kinsoku/>
        <w:wordWrap w:val="0"/>
        <w:overflowPunct/>
        <w:bidi w:val="0"/>
        <w:snapToGrid w:val="0"/>
        <w:spacing w:line="360" w:lineRule="auto"/>
        <w:rPr>
          <w:rFonts w:hint="eastAsia" w:ascii="宋体" w:hAnsi="宋体" w:eastAsia="宋体" w:cs="宋体"/>
          <w:b/>
          <w:color w:val="auto"/>
          <w:sz w:val="22"/>
          <w:szCs w:val="22"/>
          <w:highlight w:val="none"/>
          <w:u w:val="single"/>
        </w:rPr>
      </w:pPr>
      <w:r>
        <w:rPr>
          <w:rFonts w:hint="eastAsia" w:ascii="宋体" w:hAnsi="宋体" w:eastAsia="宋体" w:cs="宋体"/>
          <w:color w:val="auto"/>
          <w:sz w:val="22"/>
          <w:szCs w:val="22"/>
          <w:highlight w:val="none"/>
        </w:rPr>
        <w:t xml:space="preserve">    1）投标文件初审。初审分为资格性检查和符合性检查。</w:t>
      </w:r>
    </w:p>
    <w:p w14:paraId="50F5134B">
      <w:pPr>
        <w:shd w:val="clear" w:color="auto" w:fill="auto"/>
        <w:kinsoku/>
        <w:wordWrap w:val="0"/>
        <w:overflowPunct/>
        <w:bidi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资格性检查。依据法律法规和采购文件的规定，对投标文件中的投标供应商资格文件、投标保证金等进行审查，以确定投标供应商是否具备投标资格。</w:t>
      </w:r>
    </w:p>
    <w:p w14:paraId="63D9253E">
      <w:pPr>
        <w:shd w:val="clear" w:color="auto" w:fill="auto"/>
        <w:kinsoku/>
        <w:wordWrap w:val="0"/>
        <w:overflowPunct/>
        <w:bidi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符合性检查。依据采购文件的规定，从投标文件的有效性、完整性和对采购文件的响应程度进行审查，以确定是否对采购文件的实质性要求作出响应。</w:t>
      </w:r>
    </w:p>
    <w:p w14:paraId="2E7AE3DD">
      <w:pPr>
        <w:shd w:val="clear" w:color="auto" w:fill="auto"/>
        <w:kinsoku/>
        <w:wordWrap w:val="0"/>
        <w:overflowPunct/>
        <w:bidi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澄清有关问题。对投标文件中含义不明确、同类问题表述不一致或者有明显文字和计算错误的内容，评标委员会可以书面形式要求供应商作出必要的澄清、说明或者纠正。供应商的澄清、说明或者补正应当采用书面形式，由其授权的代表签字，并不得超出投标文件的范围或者改变投标文件的实质性内容。</w:t>
      </w:r>
    </w:p>
    <w:p w14:paraId="310B0DAC">
      <w:pPr>
        <w:shd w:val="clear" w:color="auto" w:fill="auto"/>
        <w:kinsoku/>
        <w:wordWrap w:val="0"/>
        <w:overflowPunct/>
        <w:bidi w:val="0"/>
        <w:snapToGrid w:val="0"/>
        <w:spacing w:line="360" w:lineRule="auto"/>
        <w:ind w:firstLine="4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3）比较与评价。按采购文件中规定的评标方法和标准，对资格性检查和符合性检查合格的投标文件进行综合评估，综合比较与评价。</w:t>
      </w:r>
    </w:p>
    <w:p w14:paraId="7D4BE16F">
      <w:pPr>
        <w:pStyle w:val="14"/>
        <w:shd w:val="clear" w:color="auto" w:fill="auto"/>
        <w:kinsoku/>
        <w:wordWrap w:val="0"/>
        <w:overflowPunct/>
        <w:bidi w:val="0"/>
        <w:adjustRightInd w:val="0"/>
        <w:snapToGrid w:val="0"/>
        <w:spacing w:line="360" w:lineRule="auto"/>
        <w:ind w:firstLine="440" w:firstLineChars="200"/>
        <w:rPr>
          <w:rFonts w:hint="eastAsia" w:ascii="宋体" w:hAnsi="宋体" w:eastAsia="宋体" w:cs="宋体"/>
          <w:b/>
          <w:color w:val="auto"/>
          <w:sz w:val="22"/>
          <w:szCs w:val="22"/>
          <w:highlight w:val="none"/>
          <w:u w:val="single"/>
          <w:lang w:eastAsia="zh-CN"/>
        </w:rPr>
      </w:pPr>
      <w:r>
        <w:rPr>
          <w:rFonts w:hint="eastAsia" w:ascii="宋体" w:hAnsi="宋体" w:eastAsia="宋体" w:cs="宋体"/>
          <w:color w:val="auto"/>
          <w:sz w:val="22"/>
          <w:szCs w:val="22"/>
          <w:highlight w:val="none"/>
        </w:rPr>
        <w:t>2.4、</w:t>
      </w:r>
      <w:r>
        <w:rPr>
          <w:rFonts w:hint="eastAsia" w:ascii="宋体" w:hAnsi="宋体" w:eastAsia="宋体" w:cs="宋体"/>
          <w:b/>
          <w:color w:val="auto"/>
          <w:sz w:val="22"/>
          <w:szCs w:val="22"/>
          <w:highlight w:val="none"/>
          <w:u w:val="single"/>
        </w:rPr>
        <w:t>评标委员会发现投标文件有下列情形之一的属于重大偏差</w:t>
      </w:r>
      <w:r>
        <w:rPr>
          <w:rFonts w:hint="eastAsia" w:ascii="宋体" w:hAnsi="宋体" w:eastAsia="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评标委员会按少数服从多数原则认定</w:t>
      </w:r>
      <w:r>
        <w:rPr>
          <w:rFonts w:hint="eastAsia" w:ascii="宋体" w:hAnsi="宋体" w:eastAsia="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,按照无效投标处理</w:t>
      </w:r>
      <w:r>
        <w:rPr>
          <w:rFonts w:hint="eastAsia" w:ascii="宋体" w:hAnsi="宋体" w:eastAsia="宋体" w:cs="宋体"/>
          <w:b/>
          <w:color w:val="auto"/>
          <w:sz w:val="22"/>
          <w:szCs w:val="22"/>
          <w:highlight w:val="none"/>
          <w:u w:val="single"/>
          <w:lang w:eastAsia="zh-CN"/>
        </w:rPr>
        <w:t>：</w:t>
      </w:r>
    </w:p>
    <w:p w14:paraId="33C04686">
      <w:pPr>
        <w:pStyle w:val="14"/>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1）未按采购文件要求编制或字迹模糊、辨认不清的投标文件；</w:t>
      </w:r>
    </w:p>
    <w:p w14:paraId="1927F925">
      <w:pPr>
        <w:pStyle w:val="14"/>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2）投标文件存在一个或一个以上备选（替代）投标方案的；仅提交“备份投标文件”的；</w:t>
      </w:r>
    </w:p>
    <w:p w14:paraId="656FFFB0">
      <w:pPr>
        <w:pStyle w:val="14"/>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3）没有按采购文件格式要求加盖有效公章、无法定代表人（或授权代表）签字或印章（具体格式见采购文件附件—投标文件格式）；</w:t>
      </w:r>
    </w:p>
    <w:p w14:paraId="3CD76B01">
      <w:pPr>
        <w:pStyle w:val="14"/>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4）投标文件未有效授权，法定代表人授权委托书等填写不完整或有涂改的；</w:t>
      </w:r>
    </w:p>
    <w:p w14:paraId="47689968">
      <w:pPr>
        <w:pStyle w:val="14"/>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5）供应商商务技术投标文件中出现投标报价；</w:t>
      </w:r>
    </w:p>
    <w:p w14:paraId="3A84137F">
      <w:pPr>
        <w:pStyle w:val="14"/>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6）文件组成内容不齐全，本采购文件规定必须提供而未提供的（属于资格审查范围的除外）；明显不符合要求的投标文件；</w:t>
      </w:r>
    </w:p>
    <w:p w14:paraId="7B927673">
      <w:pPr>
        <w:pStyle w:val="14"/>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7）付款方式、服务期出现负偏差的；</w:t>
      </w:r>
    </w:p>
    <w:p w14:paraId="5847ECB0">
      <w:pPr>
        <w:pStyle w:val="14"/>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8）投标文件附有采购人不能接受的条款；</w:t>
      </w:r>
    </w:p>
    <w:p w14:paraId="1C6963D7">
      <w:pPr>
        <w:pStyle w:val="14"/>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9）不符合采购文件中规定的实质性要求的投标文件，是否为偏离实质性要求由评标委员会认定。</w:t>
      </w:r>
    </w:p>
    <w:p w14:paraId="5C6AAC4F">
      <w:pPr>
        <w:pStyle w:val="14"/>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21747DDB">
      <w:pPr>
        <w:pStyle w:val="14"/>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11）有下列情形之一的，视为投标供应商串通投标，其投标无效</w:t>
      </w:r>
      <w:r>
        <w:rPr>
          <w:rFonts w:hint="eastAsia" w:ascii="宋体" w:hAnsi="宋体" w:eastAsia="宋体" w:cs="宋体"/>
          <w:color w:val="auto"/>
          <w:sz w:val="22"/>
          <w:szCs w:val="22"/>
          <w:highlight w:val="none"/>
          <w:lang w:eastAsia="zh-CN"/>
        </w:rPr>
        <w:t>：</w:t>
      </w:r>
    </w:p>
    <w:p w14:paraId="0042B52D">
      <w:pPr>
        <w:pStyle w:val="14"/>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（一）不同投标供应商的投标文件由同一单位或者个人编制；</w:t>
      </w:r>
    </w:p>
    <w:p w14:paraId="72F59861">
      <w:pPr>
        <w:pStyle w:val="14"/>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（二）不同投标供应商委托同一单位或者个人办理投标事宜；</w:t>
      </w:r>
    </w:p>
    <w:p w14:paraId="761D521E">
      <w:pPr>
        <w:pStyle w:val="14"/>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（三）不同投标供应商的投标文件载明的项目管理成员或者联系人员为同一人；</w:t>
      </w:r>
    </w:p>
    <w:p w14:paraId="4CF56954">
      <w:pPr>
        <w:pStyle w:val="14"/>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（四）不同投标供应商的投标文件异常一致或者投标报价呈规律性差异；</w:t>
      </w:r>
    </w:p>
    <w:p w14:paraId="12EF2793">
      <w:pPr>
        <w:pStyle w:val="14"/>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（五）不同投标供应商的投标文件相互混装；　　</w:t>
      </w:r>
    </w:p>
    <w:p w14:paraId="5F678528">
      <w:pPr>
        <w:pStyle w:val="14"/>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12）其他经评标委员会认定的未能在实质上响应的或违反国家有关规定的投标文件。</w:t>
      </w:r>
    </w:p>
    <w:p w14:paraId="27ADCCFF">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2.5、实质上没有响应采购文件要求的投标将被拒绝。供应商不得通过修正或撤消不合要求的偏离从而使其投标成为实质上响应的投标。</w:t>
      </w:r>
    </w:p>
    <w:p w14:paraId="7E8F1A94">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2.6、评标委员会对投标文件的判定，只依据投标内容本身，不依靠开标后的任何外来证明。</w:t>
      </w:r>
    </w:p>
    <w:p w14:paraId="6983559E">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2.7、评标委员会在评标中，不得改变采购文件中规定的评标标准、方法和中标条件。</w:t>
      </w:r>
    </w:p>
    <w:p w14:paraId="55DAEE2D">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3.投标文件的澄清</w:t>
      </w:r>
    </w:p>
    <w:p w14:paraId="2FE23C97">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3.1对于投标文件中含义不明确、同类问题表述不一致或者有明显文字和计算错误的内容，评标委员会将以书面形式（或通过“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”在线询标）的形式要求投标供应商在规定的时间内作出必要的澄清、说明或者补正，投标供应商澄清、说明或补正时间为30分钟。</w:t>
      </w:r>
    </w:p>
    <w:p w14:paraId="3133C750">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3.2投标供应商的澄清、说明或者补正应当采用书面（或通过“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”在线答复）形式提交，并加盖公章，或者由法定代表人或其授权的代表签字。投标供应商的澄清、说明或者补正不得超出投标文件的范围或者改变投标文件的实质性内容。</w:t>
      </w:r>
    </w:p>
    <w:p w14:paraId="6C16DA5B">
      <w:pPr>
        <w:shd w:val="clear" w:color="auto" w:fill="auto"/>
        <w:kinsoku/>
        <w:wordWrap w:val="0"/>
        <w:overflowPunct/>
        <w:bidi w:val="0"/>
        <w:adjustRightInd w:val="0"/>
        <w:snapToGrid w:val="0"/>
        <w:spacing w:line="360" w:lineRule="auto"/>
        <w:ind w:firstLine="442" w:firstLineChars="200"/>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rPr>
        <w:t>4、在采购中，出现下列情形之一的，应予废标</w:t>
      </w:r>
      <w:r>
        <w:rPr>
          <w:rFonts w:hint="eastAsia" w:ascii="宋体" w:hAnsi="宋体" w:eastAsia="宋体" w:cs="宋体"/>
          <w:b/>
          <w:color w:val="auto"/>
          <w:sz w:val="22"/>
          <w:szCs w:val="22"/>
          <w:highlight w:val="none"/>
          <w:lang w:eastAsia="zh-CN"/>
        </w:rPr>
        <w:t>：</w:t>
      </w:r>
    </w:p>
    <w:p w14:paraId="09A58111">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截止时间及评审期间，出现有效供应商不足三家的，作流（废）标处理，并重新组织招标。</w:t>
      </w:r>
    </w:p>
    <w:p w14:paraId="309987EF">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出现影响采购公正的违法、违规行为的；</w:t>
      </w:r>
    </w:p>
    <w:p w14:paraId="78EE480B">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报价均超过预算，不能支付的；</w:t>
      </w:r>
    </w:p>
    <w:p w14:paraId="301733AD">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因重大变故，采购任务取消的。</w:t>
      </w:r>
    </w:p>
    <w:p w14:paraId="4453D5A4">
      <w:pPr>
        <w:shd w:val="clear" w:color="auto" w:fill="auto"/>
        <w:kinsoku/>
        <w:wordWrap w:val="0"/>
        <w:overflowPunct/>
        <w:bidi w:val="0"/>
        <w:adjustRightInd w:val="0"/>
        <w:snapToGrid w:val="0"/>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5、可中止电子交易活动的情形</w:t>
      </w:r>
    </w:p>
    <w:p w14:paraId="0D2EB82D">
      <w:pPr>
        <w:shd w:val="clear" w:color="auto" w:fill="auto"/>
        <w:kinsoku/>
        <w:wordWrap w:val="0"/>
        <w:overflowPunct/>
        <w:bidi w:val="0"/>
        <w:adjustRightInd w:val="0"/>
        <w:snapToGrid w:val="0"/>
        <w:spacing w:line="360" w:lineRule="auto"/>
        <w:ind w:firstLine="442" w:firstLineChars="200"/>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rPr>
        <w:t>采购过程中出现以下情形，导致电子交易平台无法正常运行，或者无法保证电子交易的公平、公正和安全时，采购组织机构可中止电子交易活动</w:t>
      </w:r>
      <w:r>
        <w:rPr>
          <w:rFonts w:hint="eastAsia" w:ascii="宋体" w:hAnsi="宋体" w:eastAsia="宋体" w:cs="宋体"/>
          <w:b/>
          <w:color w:val="auto"/>
          <w:sz w:val="22"/>
          <w:szCs w:val="22"/>
          <w:highlight w:val="none"/>
          <w:lang w:eastAsia="zh-CN"/>
        </w:rPr>
        <w:t>：</w:t>
      </w:r>
    </w:p>
    <w:p w14:paraId="689A240B">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1）电子交易平台发生故障而无法登录访问的；</w:t>
      </w:r>
    </w:p>
    <w:p w14:paraId="28EC20AC">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2）电子交易平台应用或数据库出现错误，不能进行正常操作的；</w:t>
      </w:r>
    </w:p>
    <w:p w14:paraId="42EE31FD">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3）电子交易平台发现严重安全漏洞，有潜在泄密危险的；</w:t>
      </w:r>
    </w:p>
    <w:p w14:paraId="6B893DD5">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4）病毒发作导致不能进行正常操作的；</w:t>
      </w:r>
    </w:p>
    <w:p w14:paraId="6D76DA10">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5）其他无法保证电子交易的公平、公正和安全的情况。</w:t>
      </w:r>
    </w:p>
    <w:p w14:paraId="42F73B8A">
      <w:pPr>
        <w:shd w:val="clear" w:color="auto" w:fill="auto"/>
        <w:kinsoku/>
        <w:wordWrap w:val="0"/>
        <w:overflowPunct/>
        <w:bidi w:val="0"/>
        <w:adjustRightInd w:val="0"/>
        <w:snapToGrid w:val="0"/>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出现前款规定情形，不影响采购公平、公正性的，采购组织机构可以待上述情形消除后继续组织电子交易活动；影响或可能影响采购公平、公正性的，应当重新采购。</w:t>
      </w:r>
    </w:p>
    <w:p w14:paraId="1473AD1B">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6、评标原则</w:t>
      </w:r>
    </w:p>
    <w:p w14:paraId="0FB02D2C">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评标委员会按照采购文件的要求和条件对投标文件进行资格、商务和技术评估，综合比较与评价。</w:t>
      </w:r>
    </w:p>
    <w:p w14:paraId="0C28A189">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评标办法具体见本采购文件第七部分。</w:t>
      </w:r>
    </w:p>
    <w:p w14:paraId="12CADA0A">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7、评标过程中遇到特殊情况，由评标委员会遵循公开、公正原则，采取投票方式按照少数服从多数原则决定。</w:t>
      </w:r>
    </w:p>
    <w:p w14:paraId="628C30D5">
      <w:pPr>
        <w:shd w:val="clear" w:color="auto" w:fill="auto"/>
        <w:kinsoku/>
        <w:wordWrap w:val="0"/>
        <w:overflowPunct/>
        <w:bidi w:val="0"/>
        <w:snapToGrid w:val="0"/>
        <w:spacing w:line="360" w:lineRule="auto"/>
        <w:ind w:firstLine="527"/>
        <w:outlineLvl w:val="1"/>
        <w:rPr>
          <w:rFonts w:hint="eastAsia" w:ascii="宋体" w:hAnsi="宋体" w:eastAsia="宋体" w:cs="宋体"/>
          <w:b/>
          <w:bCs/>
          <w:color w:val="auto"/>
          <w:sz w:val="22"/>
          <w:szCs w:val="22"/>
          <w:highlight w:val="none"/>
        </w:rPr>
      </w:pPr>
      <w:bookmarkStart w:id="29" w:name="_Toc16659"/>
      <w:r>
        <w:rPr>
          <w:rFonts w:hint="eastAsia" w:ascii="宋体" w:hAnsi="宋体" w:eastAsia="宋体" w:cs="宋体"/>
          <w:b/>
          <w:bCs/>
          <w:color w:val="auto"/>
          <w:sz w:val="22"/>
          <w:szCs w:val="22"/>
          <w:highlight w:val="none"/>
        </w:rPr>
        <w:t>七、授予合同</w:t>
      </w:r>
      <w:bookmarkEnd w:id="29"/>
    </w:p>
    <w:p w14:paraId="44AA6B3E">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1、决标</w:t>
      </w:r>
    </w:p>
    <w:p w14:paraId="4AA985FD">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评标结束后，评标委员会按照采购文件确定的评标办法，根据采购人授权确定中标供应商。</w:t>
      </w:r>
    </w:p>
    <w:p w14:paraId="4E1A10B2">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2、中标通知书</w:t>
      </w:r>
    </w:p>
    <w:p w14:paraId="48D53F48">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2.1、招标机构在</w:t>
      </w:r>
      <w:r>
        <w:rPr>
          <w:rFonts w:hint="eastAsia" w:ascii="宋体" w:hAnsi="宋体" w:eastAsia="宋体" w:cs="宋体"/>
          <w:color w:val="auto"/>
          <w:sz w:val="22"/>
          <w:szCs w:val="22"/>
          <w:highlight w:val="none"/>
          <w:lang w:val="en-US" w:eastAsia="zh-CN"/>
        </w:rPr>
        <w:t>乐采云</w:t>
      </w:r>
      <w:r>
        <w:rPr>
          <w:rFonts w:hint="eastAsia" w:ascii="宋体" w:hAnsi="宋体" w:eastAsia="宋体" w:cs="宋体"/>
          <w:color w:val="auto"/>
          <w:sz w:val="22"/>
          <w:szCs w:val="22"/>
          <w:highlight w:val="none"/>
        </w:rPr>
        <w:t>网上公告中标结果。</w:t>
      </w:r>
    </w:p>
    <w:p w14:paraId="1DE5184D">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中标供应商须在中标结果公告后主动联系采购机构领取中标通知书，供应商领取中标通知书时，须填写签收回执；中标通知书对采购人和中标供应商具有法律约束力。中标通知书发出后，采购人改变中标结果或者中标供应商放弃中标的，应当承担法律责任。</w:t>
      </w:r>
    </w:p>
    <w:p w14:paraId="70635521">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3、评标委员会对未中标的供应商不作落标原因解释。</w:t>
      </w:r>
    </w:p>
    <w:p w14:paraId="6ABAD290">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4、签订合同</w:t>
      </w:r>
    </w:p>
    <w:p w14:paraId="1FD13C43">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4.1、中标供应商领取中标通知书后到采购人处与采购人签订合同（采购结果公告发出后30日内）。中标供应商未经采购人许可，在规定时间内未到采购人处与采购人签订合同，则视为拒签合同。</w:t>
      </w:r>
    </w:p>
    <w:p w14:paraId="1CA7D188">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4.2、采购文件、中标供应商的投标文件及投标修改文件、评标过程中有关澄清文件及经双方签字的询标纪要（承诺）和中标通知书均作为合同附件。</w:t>
      </w:r>
    </w:p>
    <w:p w14:paraId="79C8F412">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 拒签合同的责任</w:t>
      </w:r>
    </w:p>
    <w:p w14:paraId="68AD821C">
      <w:pPr>
        <w:pStyle w:val="14"/>
        <w:shd w:val="clear" w:color="auto" w:fill="auto"/>
        <w:kinsoku/>
        <w:wordWrap w:val="0"/>
        <w:overflowPunct/>
        <w:bidi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供应商接到中标通知书后，在规定时间内借故否认已经承诺的条件而拒签合同，以投标违约处理，并赔偿采购人由此造成的直接经济损失；采购人重新组织招标的，所需费用由原中标供应商承担。采购人无故不与供应商签订合同的应当承担相应的法律责任。</w:t>
      </w:r>
    </w:p>
    <w:p w14:paraId="1C4B3BD9">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rPr>
        <w:t>招标代理服务费</w:t>
      </w:r>
    </w:p>
    <w:p w14:paraId="4570AE59">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5.1中标供应商在领取中标通知书前向招标代理机构支付招标代理服务费</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根据</w:t>
      </w:r>
      <w:r>
        <w:rPr>
          <w:rFonts w:hint="eastAsia" w:ascii="宋体" w:hAnsi="宋体" w:eastAsia="宋体" w:cs="宋体"/>
          <w:color w:val="auto"/>
          <w:sz w:val="22"/>
          <w:szCs w:val="22"/>
          <w:highlight w:val="none"/>
          <w:lang w:val="en-US" w:eastAsia="zh-CN"/>
        </w:rPr>
        <w:t>温州市公共资源交易协会温协〔2020〕20号（关于印发《温州市招标代理费取费指引》（试行）的通知）服务招标</w:t>
      </w:r>
      <w:r>
        <w:rPr>
          <w:rFonts w:hint="eastAsia" w:ascii="宋体" w:hAnsi="宋体" w:eastAsia="宋体" w:cs="宋体"/>
          <w:color w:val="auto"/>
          <w:sz w:val="22"/>
          <w:szCs w:val="22"/>
          <w:highlight w:val="none"/>
        </w:rPr>
        <w:t>收费</w:t>
      </w:r>
      <w:r>
        <w:rPr>
          <w:rFonts w:hint="eastAsia" w:ascii="宋体" w:hAnsi="宋体" w:eastAsia="宋体" w:cs="宋体"/>
          <w:b w:val="0"/>
          <w:bCs w:val="0"/>
          <w:color w:val="auto"/>
          <w:sz w:val="22"/>
          <w:szCs w:val="22"/>
          <w:highlight w:val="none"/>
        </w:rPr>
        <w:t>，</w:t>
      </w:r>
      <w:r>
        <w:rPr>
          <w:rFonts w:hint="eastAsia" w:ascii="宋体" w:hAnsi="宋体" w:eastAsia="宋体" w:cs="宋体"/>
          <w:color w:val="auto"/>
          <w:sz w:val="22"/>
          <w:szCs w:val="22"/>
          <w:highlight w:val="none"/>
        </w:rPr>
        <w:t>招标代理服务费包含在投标总价中，不需在报价中单列。中标人在领取中标通知书时须携带法人代表证明原件或法定代表人授权书原件。</w:t>
      </w:r>
    </w:p>
    <w:p w14:paraId="781A6131">
      <w:pPr>
        <w:shd w:val="clear" w:color="auto" w:fill="auto"/>
        <w:kinsoku/>
        <w:wordWrap w:val="0"/>
        <w:overflowPunct/>
        <w:bidi w:val="0"/>
        <w:snapToGrid w:val="0"/>
        <w:spacing w:line="360" w:lineRule="auto"/>
        <w:ind w:firstLine="630" w:firstLineChars="196"/>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bookmarkStart w:id="30" w:name="_Toc8999"/>
      <w:r>
        <w:rPr>
          <w:rFonts w:hint="eastAsia" w:ascii="宋体" w:hAnsi="宋体" w:eastAsia="宋体" w:cs="宋体"/>
          <w:b/>
          <w:color w:val="auto"/>
          <w:sz w:val="32"/>
          <w:szCs w:val="32"/>
          <w:highlight w:val="none"/>
        </w:rPr>
        <w:t>第四部分 采购政策功能相关说明</w:t>
      </w:r>
      <w:bookmarkEnd w:id="30"/>
    </w:p>
    <w:p w14:paraId="789F97AB">
      <w:pPr>
        <w:shd w:val="clear" w:color="auto" w:fill="auto"/>
        <w:kinsoku/>
        <w:wordWrap w:val="0"/>
        <w:overflowPunct/>
        <w:bidi w:val="0"/>
        <w:spacing w:line="360" w:lineRule="auto"/>
        <w:outlineLvl w:val="1"/>
        <w:rPr>
          <w:rFonts w:hint="eastAsia" w:ascii="宋体" w:hAnsi="宋体" w:eastAsia="宋体" w:cs="宋体"/>
          <w:color w:val="auto"/>
          <w:sz w:val="22"/>
          <w:szCs w:val="22"/>
          <w:highlight w:val="none"/>
        </w:rPr>
      </w:pPr>
      <w:bookmarkStart w:id="31" w:name="_Toc15934"/>
      <w:bookmarkStart w:id="32" w:name="_Toc14337"/>
      <w:bookmarkStart w:id="33" w:name="_Toc31958"/>
      <w:r>
        <w:rPr>
          <w:rFonts w:hint="eastAsia" w:ascii="宋体" w:hAnsi="宋体" w:eastAsia="宋体" w:cs="宋体"/>
          <w:color w:val="auto"/>
          <w:sz w:val="22"/>
          <w:szCs w:val="22"/>
          <w:highlight w:val="none"/>
        </w:rPr>
        <w:t>一、小、微企业（含监狱企业、残疾人福利性单位）扶持政策说明</w:t>
      </w:r>
      <w:bookmarkEnd w:id="31"/>
      <w:bookmarkEnd w:id="32"/>
      <w:bookmarkEnd w:id="33"/>
    </w:p>
    <w:p w14:paraId="12306880">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1、文件依据</w:t>
      </w:r>
    </w:p>
    <w:p w14:paraId="5C899E9E">
      <w:pPr>
        <w:shd w:val="clear" w:color="auto" w:fill="auto"/>
        <w:kinsoku/>
        <w:wordWrap w:val="0"/>
        <w:overflowPunct/>
        <w:bidi w:val="0"/>
        <w:snapToGrid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（1）关于印发《政府采购促进中小企业发展管理办法》的通知（财库〔2020〕46号）</w:t>
      </w:r>
    </w:p>
    <w:p w14:paraId="182CE6E0">
      <w:pPr>
        <w:shd w:val="clear" w:color="auto" w:fill="auto"/>
        <w:kinsoku/>
        <w:wordWrap w:val="0"/>
        <w:overflowPunct/>
        <w:bidi w:val="0"/>
        <w:snapToGrid w:val="0"/>
        <w:spacing w:line="360" w:lineRule="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（2）浙江省财政厅、浙江省经济和信息化委员会《关于简化中小企业类别确认流程有关事项的通知》</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浙财采监[2018]2号</w:t>
      </w:r>
      <w:r>
        <w:rPr>
          <w:rFonts w:hint="eastAsia" w:ascii="宋体" w:hAnsi="宋体" w:eastAsia="宋体" w:cs="宋体"/>
          <w:color w:val="auto"/>
          <w:sz w:val="22"/>
          <w:highlight w:val="none"/>
          <w:lang w:eastAsia="zh-CN"/>
        </w:rPr>
        <w:t>）</w:t>
      </w:r>
    </w:p>
    <w:p w14:paraId="34E8694C">
      <w:pPr>
        <w:shd w:val="clear" w:color="auto" w:fill="auto"/>
        <w:kinsoku/>
        <w:wordWrap w:val="0"/>
        <w:overflowPunct/>
        <w:bidi w:val="0"/>
        <w:snapToGrid w:val="0"/>
        <w:spacing w:line="360" w:lineRule="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（3）浙江省省财政厅《关于开展政府采购供应商网上注册登记和诚信管理工作的通知》（浙财采监〔2010〕8号</w:t>
      </w:r>
      <w:r>
        <w:rPr>
          <w:rFonts w:hint="eastAsia" w:ascii="宋体" w:hAnsi="宋体" w:eastAsia="宋体" w:cs="宋体"/>
          <w:color w:val="auto"/>
          <w:sz w:val="22"/>
          <w:highlight w:val="none"/>
          <w:lang w:eastAsia="zh-CN"/>
        </w:rPr>
        <w:t>）</w:t>
      </w:r>
    </w:p>
    <w:p w14:paraId="0F78CFAE">
      <w:pPr>
        <w:shd w:val="clear" w:color="auto" w:fill="auto"/>
        <w:kinsoku/>
        <w:wordWrap w:val="0"/>
        <w:overflowPunct/>
        <w:bidi w:val="0"/>
        <w:snapToGrid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（4）《工业和信息化部、国家统计局、国家发展和改革委员会、财政部关于印发中小企业划型标准规定的通知》（工信部联企业[2011]300号）</w:t>
      </w:r>
    </w:p>
    <w:p w14:paraId="6D4291DC">
      <w:pPr>
        <w:shd w:val="clear" w:color="auto" w:fill="auto"/>
        <w:kinsoku/>
        <w:wordWrap w:val="0"/>
        <w:overflowPunct/>
        <w:bidi w:val="0"/>
        <w:snapToGrid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（5）财政部、司法部《关于政府采购支持监狱企业发展有关问题的通知》（财库〔2014〕68号）</w:t>
      </w:r>
    </w:p>
    <w:p w14:paraId="29D9719F">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highlight w:val="none"/>
        </w:rPr>
        <w:t>（6）《财政部 民政部 中国残疾人联合会关于促进残疾人就业政府采购政策的通知》（财库〔2017〕 141号）</w:t>
      </w:r>
    </w:p>
    <w:p w14:paraId="1A6CA2CE">
      <w:pPr>
        <w:shd w:val="clear" w:color="auto" w:fill="auto"/>
        <w:kinsoku/>
        <w:wordWrap w:val="0"/>
        <w:overflowPunct/>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2、享受小微企业价格折扣应具备的条件与价格折扣比例</w:t>
      </w:r>
    </w:p>
    <w:p w14:paraId="34A6149A">
      <w:pPr>
        <w:shd w:val="clear" w:color="auto" w:fill="auto"/>
        <w:kinsoku/>
        <w:wordWrap w:val="0"/>
        <w:overflowPunct/>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（1）符合中小企业划分标准；</w:t>
      </w:r>
    </w:p>
    <w:p w14:paraId="1720CB5B">
      <w:pPr>
        <w:shd w:val="clear" w:color="auto" w:fill="auto"/>
        <w:kinsoku/>
        <w:wordWrap w:val="0"/>
        <w:overflowPunct/>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（2）提供本企业制造的货物、承担的工程或者服务，或者提供其他中小企业制造的货物。本项所称货物不包括使用大型企业注册商标的货物。</w:t>
      </w:r>
    </w:p>
    <w:p w14:paraId="7D23C485">
      <w:pPr>
        <w:shd w:val="clear" w:color="auto" w:fill="auto"/>
        <w:kinsoku/>
        <w:wordWrap w:val="0"/>
        <w:overflowPunct/>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中小企业划分标准，是指国务院有关部门根据企业从业人员、营业收入、资产总额等指标制定的中小企业划型标准。</w:t>
      </w:r>
    </w:p>
    <w:p w14:paraId="6EE9D8B8">
      <w:pPr>
        <w:shd w:val="clear" w:color="auto" w:fill="auto"/>
        <w:kinsoku/>
        <w:wordWrap w:val="0"/>
        <w:overflowPunct/>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小型、微型企业提供中型企业制造的货物的，视同为中型企业。</w:t>
      </w:r>
    </w:p>
    <w:p w14:paraId="5A497E4B">
      <w:pPr>
        <w:shd w:val="clear" w:color="auto" w:fill="auto"/>
        <w:kinsoku/>
        <w:wordWrap w:val="0"/>
        <w:overflowPunct/>
        <w:bidi w:val="0"/>
        <w:spacing w:line="360" w:lineRule="auto"/>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（3）本项目对小型和微型企业产品</w:t>
      </w:r>
      <w:r>
        <w:rPr>
          <w:rFonts w:hint="eastAsia" w:ascii="宋体" w:hAnsi="宋体" w:cs="宋体"/>
          <w:color w:val="auto"/>
          <w:sz w:val="22"/>
          <w:szCs w:val="22"/>
          <w:highlight w:val="none"/>
          <w:u w:val="single"/>
          <w:lang w:val="en-US" w:eastAsia="zh-CN"/>
        </w:rPr>
        <w:t>或服务</w:t>
      </w:r>
      <w:r>
        <w:rPr>
          <w:rFonts w:hint="eastAsia" w:ascii="宋体" w:hAnsi="宋体" w:eastAsia="宋体" w:cs="宋体"/>
          <w:color w:val="auto"/>
          <w:sz w:val="22"/>
          <w:szCs w:val="22"/>
          <w:highlight w:val="none"/>
          <w:u w:val="single"/>
        </w:rPr>
        <w:t>的价格给予6%的扣除，用扣除后的价格参与评审</w:t>
      </w:r>
      <w:r>
        <w:rPr>
          <w:rFonts w:hint="eastAsia" w:ascii="宋体" w:hAnsi="宋体" w:cs="宋体"/>
          <w:color w:val="auto"/>
          <w:sz w:val="22"/>
          <w:szCs w:val="22"/>
          <w:highlight w:val="none"/>
          <w:u w:val="single"/>
          <w:lang w:eastAsia="zh-CN"/>
        </w:rPr>
        <w:t>，</w:t>
      </w:r>
      <w:r>
        <w:rPr>
          <w:rFonts w:hint="eastAsia" w:ascii="宋体" w:hAnsi="宋体" w:cs="宋体"/>
          <w:color w:val="auto"/>
          <w:sz w:val="22"/>
          <w:szCs w:val="22"/>
          <w:highlight w:val="none"/>
          <w:u w:val="single"/>
          <w:lang w:val="en-US" w:eastAsia="zh-CN"/>
        </w:rPr>
        <w:t>联合体投标的，联合体各方均须为小型或微型企业</w:t>
      </w:r>
      <w:r>
        <w:rPr>
          <w:rFonts w:hint="eastAsia" w:ascii="宋体" w:hAnsi="宋体" w:eastAsia="宋体" w:cs="宋体"/>
          <w:color w:val="auto"/>
          <w:sz w:val="22"/>
          <w:szCs w:val="22"/>
          <w:highlight w:val="none"/>
          <w:u w:val="single"/>
        </w:rPr>
        <w:t>。</w:t>
      </w:r>
    </w:p>
    <w:p w14:paraId="15537C0A">
      <w:pPr>
        <w:shd w:val="clear" w:color="auto" w:fill="auto"/>
        <w:kinsoku/>
        <w:wordWrap w:val="0"/>
        <w:overflowPunct/>
        <w:bidi w:val="0"/>
        <w:spacing w:line="360" w:lineRule="auto"/>
        <w:ind w:firstLine="220" w:firstLineChars="10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u w:val="single"/>
        </w:rPr>
        <w:t>3、享受小微企业价格折扣应提供以下证明材料</w:t>
      </w:r>
      <w:r>
        <w:rPr>
          <w:rFonts w:hint="eastAsia" w:ascii="宋体" w:hAnsi="宋体" w:eastAsia="宋体" w:cs="宋体"/>
          <w:color w:val="auto"/>
          <w:sz w:val="22"/>
          <w:szCs w:val="22"/>
          <w:highlight w:val="none"/>
          <w:lang w:eastAsia="zh-CN"/>
        </w:rPr>
        <w:t>：</w:t>
      </w:r>
    </w:p>
    <w:p w14:paraId="35BF1B1D">
      <w:pPr>
        <w:shd w:val="clear" w:color="auto" w:fill="auto"/>
        <w:kinsoku/>
        <w:wordWrap w:val="0"/>
        <w:overflowPunct/>
        <w:bidi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（1）《中小企业声明函》（加盖供应商公章，格式见附件）</w:t>
      </w:r>
    </w:p>
    <w:p w14:paraId="0C0039BA">
      <w:pPr>
        <w:shd w:val="clear" w:color="auto" w:fill="auto"/>
        <w:kinsoku/>
        <w:wordWrap w:val="0"/>
        <w:overflowPunct/>
        <w:bidi w:val="0"/>
        <w:spacing w:line="360" w:lineRule="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u w:val="single"/>
        </w:rPr>
        <w:t>享受监狱企业价格折扣应提供以下证明材料（投标文件报价文件标中，不提供的不享受价格折扣）</w:t>
      </w:r>
      <w:r>
        <w:rPr>
          <w:rFonts w:hint="eastAsia" w:ascii="宋体" w:hAnsi="宋体" w:eastAsia="宋体" w:cs="宋体"/>
          <w:color w:val="auto"/>
          <w:sz w:val="22"/>
          <w:szCs w:val="22"/>
          <w:highlight w:val="none"/>
          <w:lang w:eastAsia="zh-CN"/>
        </w:rPr>
        <w:t>：</w:t>
      </w:r>
    </w:p>
    <w:p w14:paraId="384ACCBA">
      <w:pPr>
        <w:shd w:val="clear" w:color="auto" w:fill="auto"/>
        <w:kinsoku/>
        <w:wordWrap w:val="0"/>
        <w:overflowPunct/>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（1）监狱企业参加采购活动时，应当提供由省级以上监狱管理局、戒毒管理局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含新疆生产建设兵团</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出具的属于监狱企业的证明文件（原件或复印件加盖公章）。在采购活动中，监狱企业视同小型、微型企业，享受评审中价格扣除政策。</w:t>
      </w:r>
    </w:p>
    <w:p w14:paraId="129463E8">
      <w:pPr>
        <w:shd w:val="clear" w:color="auto" w:fill="auto"/>
        <w:kinsoku/>
        <w:wordWrap w:val="0"/>
        <w:overflowPunct/>
        <w:bidi w:val="0"/>
        <w:spacing w:line="360" w:lineRule="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u w:val="single"/>
        </w:rPr>
        <w:t>享受残疾人福利性单位格折扣应提供以下证明材料（投标文件报价文件标中，不提供的不享受价格折扣）</w:t>
      </w:r>
      <w:r>
        <w:rPr>
          <w:rFonts w:hint="eastAsia" w:ascii="宋体" w:hAnsi="宋体" w:eastAsia="宋体" w:cs="宋体"/>
          <w:color w:val="auto"/>
          <w:sz w:val="22"/>
          <w:szCs w:val="22"/>
          <w:highlight w:val="none"/>
          <w:lang w:eastAsia="zh-CN"/>
        </w:rPr>
        <w:t>：</w:t>
      </w:r>
    </w:p>
    <w:p w14:paraId="753DECF2">
      <w:pPr>
        <w:shd w:val="clear" w:color="auto" w:fill="auto"/>
        <w:kinsoku/>
        <w:wordWrap w:val="0"/>
        <w:overflowPunct/>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（1）残疾人福利性单位声明函；</w:t>
      </w:r>
    </w:p>
    <w:p w14:paraId="76CD8B14">
      <w:pPr>
        <w:shd w:val="clear" w:color="auto" w:fill="auto"/>
        <w:kinsoku/>
        <w:wordWrap w:val="0"/>
        <w:overflowPunct/>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非单一产品采购，无法核实（按投标文件资料）全部货物均为小微企业（含监狱企业、残疾人福利性单位）制造；或小微企业（含监狱企业、残疾人福利性单位）提供其他制造商制造的货物且无法核实（按投标文件资料）制造商是否为小微企业（含监狱企业、残疾人福利性单位）的，不享受价格折扣。</w:t>
      </w:r>
    </w:p>
    <w:p w14:paraId="3CA96ACB">
      <w:pPr>
        <w:shd w:val="clear" w:color="auto" w:fill="auto"/>
        <w:kinsoku/>
        <w:wordWrap w:val="0"/>
        <w:overflowPunct/>
        <w:bidi w:val="0"/>
        <w:spacing w:line="360" w:lineRule="auto"/>
        <w:jc w:val="left"/>
        <w:rPr>
          <w:rFonts w:hint="eastAsia" w:ascii="宋体" w:hAnsi="宋体" w:eastAsia="宋体" w:cs="宋体"/>
          <w:color w:val="auto"/>
          <w:sz w:val="22"/>
          <w:szCs w:val="22"/>
          <w:highlight w:val="none"/>
        </w:rPr>
      </w:pPr>
    </w:p>
    <w:p w14:paraId="5E33A926">
      <w:pPr>
        <w:shd w:val="clear" w:color="auto" w:fill="auto"/>
        <w:kinsoku/>
        <w:wordWrap w:val="0"/>
        <w:overflowPunct/>
        <w:bidi w:val="0"/>
        <w:snapToGrid w:val="0"/>
        <w:spacing w:line="360" w:lineRule="auto"/>
        <w:jc w:val="center"/>
        <w:rPr>
          <w:rFonts w:hint="eastAsia" w:ascii="宋体" w:hAnsi="宋体" w:eastAsia="宋体" w:cs="宋体"/>
          <w:b/>
          <w:bCs/>
          <w:color w:val="auto"/>
          <w:sz w:val="22"/>
          <w:szCs w:val="22"/>
          <w:highlight w:val="none"/>
        </w:rPr>
      </w:pPr>
      <w:bookmarkStart w:id="34" w:name="OLE_LINK14"/>
      <w:bookmarkStart w:id="35" w:name="OLE_LINK13"/>
      <w:r>
        <w:rPr>
          <w:rFonts w:hint="eastAsia" w:ascii="宋体" w:hAnsi="宋体" w:eastAsia="宋体" w:cs="宋体"/>
          <w:b/>
          <w:bCs/>
          <w:color w:val="auto"/>
          <w:sz w:val="22"/>
          <w:szCs w:val="22"/>
          <w:highlight w:val="none"/>
        </w:rPr>
        <w:t>中小企业声明函（服务、工程）</w:t>
      </w:r>
    </w:p>
    <w:p w14:paraId="1A55D160">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本公司（联合体）郑重声明，根据《政府采购促进中小 企业发展管理办法》（财库﹝2020﹞46 号）的规定，本公司 （联合体）参加</w:t>
      </w:r>
      <w:r>
        <w:rPr>
          <w:rFonts w:hint="eastAsia" w:ascii="宋体" w:hAnsi="宋体" w:eastAsia="宋体" w:cs="宋体"/>
          <w:color w:val="auto"/>
          <w:sz w:val="22"/>
          <w:szCs w:val="22"/>
          <w:highlight w:val="none"/>
          <w:u w:val="single"/>
        </w:rPr>
        <w:t>（单位名称）</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采购活动，工程的施工单位全部为符合政策要求的中小企业（或者</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服务全部由符合政策要求的中小企业承接）。相关企业（含联合体中的中小企业、签订分包意向协议的中小企业）的具体情况如下</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41FB1731">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lang w:eastAsia="zh-CN"/>
        </w:rPr>
        <w:t>其他未列明行业</w:t>
      </w:r>
      <w:r>
        <w:rPr>
          <w:rFonts w:hint="eastAsia" w:ascii="宋体" w:hAnsi="宋体" w:eastAsia="宋体" w:cs="宋体"/>
          <w:color w:val="auto"/>
          <w:sz w:val="22"/>
          <w:szCs w:val="22"/>
          <w:highlight w:val="none"/>
        </w:rPr>
        <w:t>；承建（承接）企业为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万元（注1），属于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18C74D50">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lang w:eastAsia="zh-CN"/>
        </w:rPr>
        <w:t>其他未列明行业</w:t>
      </w:r>
      <w:r>
        <w:rPr>
          <w:rFonts w:hint="eastAsia" w:ascii="宋体" w:hAnsi="宋体" w:eastAsia="宋体" w:cs="宋体"/>
          <w:color w:val="auto"/>
          <w:sz w:val="22"/>
          <w:szCs w:val="22"/>
          <w:highlight w:val="none"/>
        </w:rPr>
        <w:t>；承建（承接）企业为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5A6C2460">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33E66CFE">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以上企业，不属于大企业的分支机构，不存在控股股东为大企业的情形，也不存在与大企业的负责人为同一人的情形。 </w:t>
      </w:r>
    </w:p>
    <w:p w14:paraId="4FFF3882">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本企业对上述声明内容的真实性负责。如有虚假，将依法承担相应责任。</w:t>
      </w:r>
    </w:p>
    <w:p w14:paraId="141F9BC3">
      <w:pPr>
        <w:widowControl/>
        <w:shd w:val="clear" w:color="auto" w:fill="auto"/>
        <w:kinsoku/>
        <w:wordWrap w:val="0"/>
        <w:overflowPunct/>
        <w:bidi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53A683C4">
      <w:pPr>
        <w:widowControl/>
        <w:shd w:val="clear" w:color="auto" w:fill="auto"/>
        <w:kinsoku/>
        <w:wordWrap w:val="0"/>
        <w:overflowPunct/>
        <w:bidi w:val="0"/>
        <w:snapToGrid w:val="0"/>
        <w:spacing w:line="360" w:lineRule="auto"/>
        <w:ind w:firstLine="440" w:firstLineChars="200"/>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企业名称（盖章）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30C7F69F">
      <w:pPr>
        <w:shd w:val="clear" w:color="auto" w:fill="auto"/>
        <w:kinsoku/>
        <w:wordWrap w:val="0"/>
        <w:overflowPunct/>
        <w:bidi w:val="0"/>
        <w:snapToGrid w:val="0"/>
        <w:spacing w:line="360" w:lineRule="auto"/>
        <w:ind w:firstLine="3740" w:firstLineChars="1700"/>
        <w:jc w:val="righ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p>
    <w:p w14:paraId="79D31DB5">
      <w:pPr>
        <w:pStyle w:val="10"/>
        <w:shd w:val="clear" w:color="auto" w:fill="auto"/>
        <w:kinsoku/>
        <w:wordWrap w:val="0"/>
        <w:overflowPunct/>
        <w:bidi w:val="0"/>
        <w:spacing w:after="0" w:line="360" w:lineRule="auto"/>
        <w:ind w:firstLine="232"/>
        <w:rPr>
          <w:rFonts w:hint="eastAsia" w:ascii="宋体" w:hAnsi="宋体" w:eastAsia="宋体" w:cs="宋体"/>
          <w:color w:val="auto"/>
          <w:sz w:val="22"/>
          <w:highlight w:val="none"/>
        </w:rPr>
      </w:pPr>
      <w:r>
        <w:rPr>
          <w:rFonts w:hint="eastAsia" w:ascii="宋体" w:hAnsi="宋体" w:eastAsia="宋体" w:cs="宋体"/>
          <w:color w:val="auto"/>
          <w:spacing w:val="6"/>
          <w:sz w:val="22"/>
          <w:highlight w:val="none"/>
        </w:rPr>
        <w:t>（注1）从业人员、营业收入、资产总额填报上一年度数据，无上一年度数据的新成立企业可不填</w:t>
      </w:r>
      <w:r>
        <w:rPr>
          <w:rFonts w:hint="eastAsia" w:ascii="宋体" w:hAnsi="宋体" w:eastAsia="宋体" w:cs="宋体"/>
          <w:color w:val="auto"/>
          <w:sz w:val="22"/>
          <w:highlight w:val="none"/>
        </w:rPr>
        <w:t>报。     </w:t>
      </w:r>
    </w:p>
    <w:p w14:paraId="7925C389">
      <w:pPr>
        <w:shd w:val="clear" w:color="auto" w:fill="auto"/>
        <w:kinsoku/>
        <w:wordWrap w:val="0"/>
        <w:overflowPunct/>
        <w:bidi w:val="0"/>
        <w:spacing w:line="360" w:lineRule="auto"/>
        <w:jc w:val="center"/>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残疾人福利性单位声明函</w:t>
      </w:r>
    </w:p>
    <w:bookmarkEnd w:id="34"/>
    <w:bookmarkEnd w:id="35"/>
    <w:p w14:paraId="622D71E7">
      <w:pPr>
        <w:shd w:val="clear" w:color="auto" w:fill="auto"/>
        <w:kinsoku/>
        <w:wordWrap w:val="0"/>
        <w:overflowPunct/>
        <w:bidi w:val="0"/>
        <w:spacing w:line="360" w:lineRule="auto"/>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本单位郑重声明，根据《财政部 民政部 中国残疾人联合会关于促进残疾人就业政府采购政策的通知》（财库</w:t>
      </w:r>
      <w:r>
        <w:rPr>
          <w:rFonts w:hint="eastAsia" w:ascii="宋体" w:hAnsi="宋体" w:eastAsia="宋体" w:cs="宋体"/>
          <w:color w:val="auto"/>
          <w:sz w:val="22"/>
          <w:szCs w:val="22"/>
          <w:highlight w:val="none"/>
        </w:rPr>
        <w:t>〔2017〕 141</w:t>
      </w:r>
      <w:r>
        <w:rPr>
          <w:rFonts w:hint="eastAsia" w:ascii="宋体" w:hAnsi="宋体" w:eastAsia="宋体" w:cs="宋体"/>
          <w:color w:val="auto"/>
          <w:spacing w:val="6"/>
          <w:sz w:val="22"/>
          <w:szCs w:val="22"/>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FB49332">
      <w:pPr>
        <w:shd w:val="clear" w:color="auto" w:fill="auto"/>
        <w:kinsoku/>
        <w:wordWrap w:val="0"/>
        <w:overflowPunct/>
        <w:bidi w:val="0"/>
        <w:spacing w:line="360" w:lineRule="auto"/>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本单位对上述声明的真实性负责。如有虚假，将依法承担相应责任。</w:t>
      </w:r>
    </w:p>
    <w:p w14:paraId="15E2D119">
      <w:pPr>
        <w:shd w:val="clear" w:color="auto" w:fill="auto"/>
        <w:tabs>
          <w:tab w:val="left" w:pos="4860"/>
        </w:tabs>
        <w:kinsoku/>
        <w:wordWrap w:val="0"/>
        <w:overflowPunct/>
        <w:bidi w:val="0"/>
        <w:spacing w:line="360" w:lineRule="auto"/>
        <w:ind w:right="1560" w:firstLine="464" w:firstLineChars="200"/>
        <w:jc w:val="center"/>
        <w:rPr>
          <w:rFonts w:hint="eastAsia" w:ascii="宋体" w:hAnsi="宋体" w:eastAsia="宋体" w:cs="宋体"/>
          <w:color w:val="auto"/>
          <w:spacing w:val="6"/>
          <w:sz w:val="22"/>
          <w:szCs w:val="22"/>
          <w:highlight w:val="none"/>
          <w:lang w:eastAsia="zh-CN"/>
        </w:rPr>
      </w:pPr>
      <w:r>
        <w:rPr>
          <w:rFonts w:hint="eastAsia" w:ascii="宋体" w:hAnsi="宋体" w:eastAsia="宋体" w:cs="宋体"/>
          <w:color w:val="auto"/>
          <w:spacing w:val="6"/>
          <w:sz w:val="22"/>
          <w:szCs w:val="22"/>
          <w:highlight w:val="none"/>
        </w:rPr>
        <w:t xml:space="preserve">               单位名称（盖章）</w:t>
      </w:r>
      <w:r>
        <w:rPr>
          <w:rFonts w:hint="eastAsia" w:ascii="宋体" w:hAnsi="宋体" w:eastAsia="宋体" w:cs="宋体"/>
          <w:color w:val="auto"/>
          <w:spacing w:val="6"/>
          <w:sz w:val="22"/>
          <w:szCs w:val="22"/>
          <w:highlight w:val="none"/>
          <w:lang w:eastAsia="zh-CN"/>
        </w:rPr>
        <w:t>：</w:t>
      </w:r>
    </w:p>
    <w:p w14:paraId="3C92D900">
      <w:pPr>
        <w:shd w:val="clear" w:color="auto" w:fill="auto"/>
        <w:tabs>
          <w:tab w:val="left" w:pos="4860"/>
        </w:tabs>
        <w:kinsoku/>
        <w:wordWrap w:val="0"/>
        <w:overflowPunct/>
        <w:bidi w:val="0"/>
        <w:spacing w:line="360" w:lineRule="auto"/>
        <w:ind w:right="1560" w:firstLine="464" w:firstLineChars="200"/>
        <w:jc w:val="center"/>
        <w:rPr>
          <w:rFonts w:hint="eastAsia" w:ascii="宋体" w:hAnsi="宋体" w:eastAsia="宋体" w:cs="宋体"/>
          <w:color w:val="auto"/>
          <w:spacing w:val="6"/>
          <w:sz w:val="22"/>
          <w:szCs w:val="22"/>
          <w:highlight w:val="none"/>
          <w:lang w:eastAsia="zh-CN"/>
        </w:rPr>
      </w:pPr>
      <w:r>
        <w:rPr>
          <w:rFonts w:hint="eastAsia" w:ascii="宋体" w:hAnsi="宋体" w:eastAsia="宋体" w:cs="宋体"/>
          <w:color w:val="auto"/>
          <w:spacing w:val="6"/>
          <w:sz w:val="22"/>
          <w:szCs w:val="22"/>
          <w:highlight w:val="none"/>
        </w:rPr>
        <w:t xml:space="preserve">       日  期</w:t>
      </w:r>
      <w:r>
        <w:rPr>
          <w:rFonts w:hint="eastAsia" w:ascii="宋体" w:hAnsi="宋体" w:eastAsia="宋体" w:cs="宋体"/>
          <w:color w:val="auto"/>
          <w:spacing w:val="6"/>
          <w:sz w:val="22"/>
          <w:szCs w:val="22"/>
          <w:highlight w:val="none"/>
          <w:lang w:eastAsia="zh-CN"/>
        </w:rPr>
        <w:t>：</w:t>
      </w:r>
    </w:p>
    <w:p w14:paraId="13679582">
      <w:pPr>
        <w:shd w:val="clear" w:color="auto" w:fill="auto"/>
        <w:tabs>
          <w:tab w:val="left" w:pos="4860"/>
        </w:tabs>
        <w:kinsoku/>
        <w:wordWrap w:val="0"/>
        <w:overflowPunct/>
        <w:bidi w:val="0"/>
        <w:spacing w:line="360" w:lineRule="auto"/>
        <w:ind w:right="156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备注说明</w:t>
      </w:r>
      <w:r>
        <w:rPr>
          <w:rFonts w:hint="eastAsia" w:ascii="宋体" w:hAnsi="宋体" w:eastAsia="宋体" w:cs="宋体"/>
          <w:color w:val="auto"/>
          <w:sz w:val="22"/>
          <w:szCs w:val="22"/>
          <w:highlight w:val="none"/>
          <w:lang w:eastAsia="zh-CN"/>
        </w:rPr>
        <w:t>：</w:t>
      </w:r>
    </w:p>
    <w:p w14:paraId="7262EFEE">
      <w:pPr>
        <w:shd w:val="clear" w:color="auto" w:fill="auto"/>
        <w:tabs>
          <w:tab w:val="left" w:pos="4860"/>
        </w:tabs>
        <w:kinsoku/>
        <w:wordWrap w:val="0"/>
        <w:overflowPunct/>
        <w:bidi w:val="0"/>
        <w:spacing w:line="360" w:lineRule="auto"/>
        <w:ind w:right="156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1、如中标，将在中标公示中将此残疾人福利性单位声明函予以公示，接受社会监督；</w:t>
      </w:r>
    </w:p>
    <w:p w14:paraId="34706C5C">
      <w:pPr>
        <w:shd w:val="clear" w:color="auto" w:fill="auto"/>
        <w:tabs>
          <w:tab w:val="left" w:pos="4860"/>
        </w:tabs>
        <w:kinsoku/>
        <w:wordWrap w:val="0"/>
        <w:overflowPunct/>
        <w:bidi w:val="0"/>
        <w:spacing w:line="360" w:lineRule="auto"/>
        <w:ind w:right="0" w:rightChars="0"/>
        <w:jc w:val="left"/>
        <w:rPr>
          <w:rFonts w:hint="eastAsia" w:ascii="宋体" w:hAnsi="宋体" w:eastAsia="宋体" w:cs="宋体"/>
          <w:color w:val="auto"/>
          <w:spacing w:val="6"/>
          <w:sz w:val="22"/>
          <w:szCs w:val="22"/>
          <w:highlight w:val="none"/>
        </w:rPr>
      </w:pPr>
      <w:r>
        <w:rPr>
          <w:rFonts w:hint="eastAsia" w:ascii="宋体" w:hAnsi="宋体" w:eastAsia="宋体" w:cs="宋体"/>
          <w:color w:val="auto"/>
          <w:sz w:val="22"/>
          <w:szCs w:val="22"/>
          <w:highlight w:val="none"/>
        </w:rPr>
        <w:t>2、供应商提供的《残疾人福利性单位声明函》与事实不符的，依照《政府采购法》第七十七条第一款的规定追究法律责任。</w:t>
      </w:r>
    </w:p>
    <w:p w14:paraId="477BA7AC">
      <w:pPr>
        <w:shd w:val="clear" w:color="auto" w:fill="auto"/>
        <w:kinsoku/>
        <w:wordWrap w:val="0"/>
        <w:overflowPunct/>
        <w:bidi w:val="0"/>
        <w:snapToGrid w:val="0"/>
        <w:spacing w:line="360" w:lineRule="auto"/>
        <w:outlineLvl w:val="1"/>
        <w:rPr>
          <w:rFonts w:hint="eastAsia" w:ascii="宋体" w:hAnsi="宋体" w:eastAsia="宋体" w:cs="宋体"/>
          <w:color w:val="auto"/>
          <w:sz w:val="22"/>
          <w:szCs w:val="22"/>
          <w:highlight w:val="none"/>
        </w:rPr>
      </w:pPr>
      <w:bookmarkStart w:id="36" w:name="_Toc12703"/>
      <w:bookmarkStart w:id="37" w:name="_Toc32144"/>
      <w:bookmarkStart w:id="38" w:name="_Toc25588"/>
      <w:r>
        <w:rPr>
          <w:rFonts w:hint="eastAsia" w:ascii="宋体" w:hAnsi="宋体" w:eastAsia="宋体" w:cs="宋体"/>
          <w:color w:val="auto"/>
          <w:sz w:val="22"/>
          <w:szCs w:val="22"/>
          <w:highlight w:val="none"/>
        </w:rPr>
        <w:t>二、节能、环保产品优先（强制）采购政策说明</w:t>
      </w:r>
      <w:bookmarkEnd w:id="36"/>
      <w:bookmarkEnd w:id="37"/>
      <w:bookmarkEnd w:id="38"/>
    </w:p>
    <w:p w14:paraId="12375B1A">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1、政策依据</w:t>
      </w:r>
    </w:p>
    <w:p w14:paraId="34C14574">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（一）《国务院办公厅关于建立政府强制采购节能产品制度的通知》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国办发[2007]51号</w:t>
      </w:r>
      <w:r>
        <w:rPr>
          <w:rFonts w:hint="eastAsia" w:ascii="宋体" w:hAnsi="宋体" w:eastAsia="宋体" w:cs="宋体"/>
          <w:color w:val="auto"/>
          <w:sz w:val="22"/>
          <w:szCs w:val="22"/>
          <w:highlight w:val="none"/>
          <w:lang w:eastAsia="zh-CN"/>
        </w:rPr>
        <w:t>）</w:t>
      </w:r>
    </w:p>
    <w:p w14:paraId="67811B69">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（二）财政部、发展改革委发布的《节能产品政府采购实施意见》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财库[2984]185号</w:t>
      </w:r>
      <w:r>
        <w:rPr>
          <w:rFonts w:hint="eastAsia" w:ascii="宋体" w:hAnsi="宋体" w:eastAsia="宋体" w:cs="宋体"/>
          <w:color w:val="auto"/>
          <w:sz w:val="22"/>
          <w:szCs w:val="22"/>
          <w:highlight w:val="none"/>
          <w:lang w:eastAsia="zh-CN"/>
        </w:rPr>
        <w:t>）</w:t>
      </w:r>
    </w:p>
    <w:p w14:paraId="2527117A">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（三）财政部、原环保总局印发的《环境标志产品政府采购实施的意见》（财库[2986]90号）</w:t>
      </w:r>
    </w:p>
    <w:p w14:paraId="6EA8FF36">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2、供应商投标货物属于节能、环保优先（强制）采购范围的，须提供相关证明材料。</w:t>
      </w:r>
    </w:p>
    <w:p w14:paraId="0ECCCC2D">
      <w:pPr>
        <w:shd w:val="clear" w:color="auto" w:fill="auto"/>
        <w:kinsoku/>
        <w:wordWrap w:val="0"/>
        <w:overflowPunct/>
        <w:autoSpaceDE w:val="0"/>
        <w:autoSpaceDN w:val="0"/>
        <w:bidi w:val="0"/>
        <w:adjustRightInd w:val="0"/>
        <w:snapToGrid w:val="0"/>
        <w:spacing w:line="360" w:lineRule="auto"/>
        <w:jc w:val="center"/>
        <w:textAlignment w:val="bottom"/>
        <w:rPr>
          <w:rFonts w:hint="eastAsia" w:ascii="宋体" w:hAnsi="宋体" w:eastAsia="宋体" w:cs="宋体"/>
          <w:color w:val="auto"/>
          <w:sz w:val="36"/>
          <w:highlight w:val="none"/>
        </w:rPr>
      </w:pPr>
    </w:p>
    <w:p w14:paraId="314BBFF2">
      <w:pPr>
        <w:shd w:val="clear" w:color="auto" w:fill="auto"/>
        <w:kinsoku/>
        <w:wordWrap w:val="0"/>
        <w:overflowPunct/>
        <w:autoSpaceDE w:val="0"/>
        <w:autoSpaceDN w:val="0"/>
        <w:bidi w:val="0"/>
        <w:adjustRightInd w:val="0"/>
        <w:snapToGrid w:val="0"/>
        <w:spacing w:line="360" w:lineRule="auto"/>
        <w:textAlignment w:val="bottom"/>
        <w:rPr>
          <w:rFonts w:hint="eastAsia" w:ascii="宋体" w:hAnsi="宋体" w:eastAsia="宋体" w:cs="宋体"/>
          <w:color w:val="auto"/>
          <w:sz w:val="36"/>
          <w:highlight w:val="none"/>
        </w:rPr>
      </w:pPr>
    </w:p>
    <w:p w14:paraId="31B95F4D">
      <w:pPr>
        <w:pStyle w:val="46"/>
        <w:shd w:val="clear" w:color="auto" w:fill="auto"/>
        <w:kinsoku/>
        <w:wordWrap w:val="0"/>
        <w:overflowPunct/>
        <w:bidi w:val="0"/>
        <w:spacing w:line="360" w:lineRule="auto"/>
        <w:rPr>
          <w:rFonts w:hint="eastAsia" w:ascii="宋体" w:hAnsi="宋体" w:eastAsia="宋体" w:cs="宋体"/>
          <w:color w:val="auto"/>
          <w:sz w:val="36"/>
          <w:highlight w:val="none"/>
        </w:rPr>
      </w:pPr>
    </w:p>
    <w:p w14:paraId="02EB1849">
      <w:pPr>
        <w:pStyle w:val="9"/>
        <w:shd w:val="clear" w:color="auto" w:fill="auto"/>
        <w:kinsoku/>
        <w:wordWrap w:val="0"/>
        <w:overflowPunct/>
        <w:bidi w:val="0"/>
        <w:spacing w:line="360" w:lineRule="auto"/>
        <w:rPr>
          <w:rFonts w:hint="eastAsia" w:ascii="宋体" w:hAnsi="宋体" w:eastAsia="宋体" w:cs="宋体"/>
          <w:color w:val="auto"/>
          <w:sz w:val="36"/>
          <w:highlight w:val="none"/>
        </w:rPr>
      </w:pPr>
    </w:p>
    <w:p w14:paraId="53A0AE62">
      <w:pPr>
        <w:pStyle w:val="10"/>
        <w:shd w:val="clear" w:color="auto" w:fill="auto"/>
        <w:kinsoku/>
        <w:wordWrap w:val="0"/>
        <w:overflowPunct/>
        <w:bidi w:val="0"/>
        <w:spacing w:after="0" w:line="360" w:lineRule="auto"/>
        <w:ind w:firstLine="360"/>
        <w:rPr>
          <w:rFonts w:hint="eastAsia" w:ascii="宋体" w:hAnsi="宋体" w:eastAsia="宋体" w:cs="宋体"/>
          <w:color w:val="auto"/>
          <w:sz w:val="36"/>
          <w:highlight w:val="none"/>
        </w:rPr>
      </w:pPr>
    </w:p>
    <w:p w14:paraId="6A7BC0EB">
      <w:pPr>
        <w:pStyle w:val="10"/>
        <w:shd w:val="clear" w:color="auto" w:fill="auto"/>
        <w:kinsoku/>
        <w:wordWrap w:val="0"/>
        <w:overflowPunct/>
        <w:bidi w:val="0"/>
        <w:spacing w:after="0" w:line="360" w:lineRule="auto"/>
        <w:ind w:firstLine="360"/>
        <w:rPr>
          <w:rFonts w:hint="eastAsia" w:ascii="宋体" w:hAnsi="宋体" w:eastAsia="宋体" w:cs="宋体"/>
          <w:color w:val="auto"/>
          <w:sz w:val="36"/>
          <w:highlight w:val="none"/>
        </w:rPr>
      </w:pPr>
    </w:p>
    <w:p w14:paraId="45BA84A5">
      <w:pPr>
        <w:pStyle w:val="10"/>
        <w:shd w:val="clear" w:color="auto" w:fill="auto"/>
        <w:kinsoku/>
        <w:wordWrap w:val="0"/>
        <w:overflowPunct/>
        <w:bidi w:val="0"/>
        <w:spacing w:after="0" w:line="360" w:lineRule="auto"/>
        <w:ind w:firstLine="360"/>
        <w:rPr>
          <w:rFonts w:hint="eastAsia" w:ascii="宋体" w:hAnsi="宋体" w:eastAsia="宋体" w:cs="宋体"/>
          <w:color w:val="auto"/>
          <w:sz w:val="36"/>
          <w:highlight w:val="none"/>
        </w:rPr>
      </w:pPr>
    </w:p>
    <w:p w14:paraId="393E5890">
      <w:pPr>
        <w:pStyle w:val="10"/>
        <w:shd w:val="clear" w:color="auto" w:fill="auto"/>
        <w:kinsoku/>
        <w:wordWrap w:val="0"/>
        <w:overflowPunct/>
        <w:bidi w:val="0"/>
        <w:spacing w:after="0" w:line="360" w:lineRule="auto"/>
        <w:ind w:firstLine="360"/>
        <w:rPr>
          <w:rFonts w:hint="eastAsia" w:ascii="宋体" w:hAnsi="宋体" w:eastAsia="宋体" w:cs="宋体"/>
          <w:color w:val="auto"/>
          <w:sz w:val="36"/>
          <w:highlight w:val="none"/>
        </w:rPr>
      </w:pPr>
    </w:p>
    <w:p w14:paraId="4A2D47D7">
      <w:pPr>
        <w:pStyle w:val="10"/>
        <w:shd w:val="clear" w:color="auto" w:fill="auto"/>
        <w:kinsoku/>
        <w:wordWrap w:val="0"/>
        <w:overflowPunct/>
        <w:bidi w:val="0"/>
        <w:spacing w:after="0" w:line="360" w:lineRule="auto"/>
        <w:ind w:firstLine="360"/>
        <w:rPr>
          <w:rFonts w:hint="eastAsia" w:ascii="宋体" w:hAnsi="宋体" w:eastAsia="宋体" w:cs="宋体"/>
          <w:color w:val="auto"/>
          <w:sz w:val="36"/>
          <w:highlight w:val="none"/>
        </w:rPr>
      </w:pPr>
    </w:p>
    <w:p w14:paraId="107FBC4B">
      <w:pPr>
        <w:pStyle w:val="10"/>
        <w:shd w:val="clear" w:color="auto" w:fill="auto"/>
        <w:kinsoku/>
        <w:wordWrap w:val="0"/>
        <w:overflowPunct/>
        <w:bidi w:val="0"/>
        <w:spacing w:after="0" w:line="360" w:lineRule="auto"/>
        <w:ind w:firstLine="360"/>
        <w:rPr>
          <w:rFonts w:hint="eastAsia" w:ascii="宋体" w:hAnsi="宋体" w:eastAsia="宋体" w:cs="宋体"/>
          <w:color w:val="auto"/>
          <w:sz w:val="36"/>
          <w:highlight w:val="none"/>
        </w:rPr>
      </w:pPr>
    </w:p>
    <w:p w14:paraId="1BE8D755">
      <w:pPr>
        <w:pStyle w:val="10"/>
        <w:shd w:val="clear" w:color="auto" w:fill="auto"/>
        <w:kinsoku/>
        <w:wordWrap w:val="0"/>
        <w:overflowPunct/>
        <w:bidi w:val="0"/>
        <w:spacing w:after="0" w:line="360" w:lineRule="auto"/>
        <w:ind w:firstLine="360"/>
        <w:rPr>
          <w:rFonts w:hint="eastAsia" w:ascii="宋体" w:hAnsi="宋体" w:eastAsia="宋体" w:cs="宋体"/>
          <w:color w:val="auto"/>
          <w:sz w:val="36"/>
          <w:highlight w:val="none"/>
        </w:rPr>
      </w:pPr>
    </w:p>
    <w:p w14:paraId="2A557543">
      <w:pPr>
        <w:shd w:val="clear" w:color="auto" w:fill="auto"/>
        <w:kinsoku/>
        <w:wordWrap w:val="0"/>
        <w:overflowPunct/>
        <w:autoSpaceDE w:val="0"/>
        <w:autoSpaceDN w:val="0"/>
        <w:bidi w:val="0"/>
        <w:adjustRightInd w:val="0"/>
        <w:snapToGrid w:val="0"/>
        <w:spacing w:line="360" w:lineRule="auto"/>
        <w:jc w:val="center"/>
        <w:textAlignment w:val="bottom"/>
        <w:outlineLvl w:val="0"/>
        <w:rPr>
          <w:rFonts w:hint="eastAsia" w:ascii="宋体" w:hAnsi="宋体" w:eastAsia="宋体" w:cs="宋体"/>
          <w:color w:val="auto"/>
          <w:sz w:val="36"/>
          <w:highlight w:val="none"/>
        </w:rPr>
      </w:pPr>
      <w:r>
        <w:rPr>
          <w:rFonts w:hint="eastAsia" w:ascii="宋体" w:hAnsi="宋体" w:eastAsia="宋体" w:cs="宋体"/>
          <w:color w:val="auto"/>
          <w:sz w:val="36"/>
          <w:highlight w:val="none"/>
        </w:rPr>
        <w:br w:type="page"/>
      </w:r>
      <w:bookmarkStart w:id="39" w:name="_Toc7442"/>
      <w:r>
        <w:rPr>
          <w:rFonts w:hint="eastAsia" w:ascii="宋体" w:hAnsi="宋体" w:eastAsia="宋体" w:cs="宋体"/>
          <w:color w:val="auto"/>
          <w:sz w:val="36"/>
          <w:highlight w:val="none"/>
        </w:rPr>
        <w:t>第五部分 合同格式（仅供参考）</w:t>
      </w:r>
      <w:bookmarkEnd w:id="39"/>
    </w:p>
    <w:p w14:paraId="64287F1A">
      <w:pPr>
        <w:kinsoku/>
        <w:wordWrap w:val="0"/>
        <w:overflowPunct/>
        <w:bidi w:val="0"/>
        <w:snapToGrid w:val="0"/>
        <w:spacing w:line="360" w:lineRule="auto"/>
        <w:ind w:firstLine="480" w:firstLineChars="200"/>
        <w:rPr>
          <w:rFonts w:hint="eastAsia" w:ascii="宋体" w:hAnsi="宋体" w:cs="宋体"/>
          <w:color w:val="auto"/>
          <w:sz w:val="24"/>
          <w:szCs w:val="24"/>
          <w:highlight w:val="none"/>
        </w:rPr>
      </w:pPr>
      <w:bookmarkStart w:id="40" w:name="_Toc1378"/>
    </w:p>
    <w:p w14:paraId="236DDE04">
      <w:pPr>
        <w:kinsoku/>
        <w:wordWrap w:val="0"/>
        <w:overflowPunct/>
        <w:bidi w:val="0"/>
        <w:snapToGrid w:val="0"/>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委  托  方</w:t>
      </w:r>
      <w:r>
        <w:rPr>
          <w:rFonts w:hint="eastAsia" w:ascii="宋体" w:hAnsi="宋体" w:cs="宋体"/>
          <w:b/>
          <w:bCs/>
          <w:color w:val="auto"/>
          <w:sz w:val="24"/>
          <w:szCs w:val="24"/>
          <w:highlight w:val="none"/>
        </w:rPr>
        <w:t>：</w:t>
      </w:r>
      <w:r>
        <w:rPr>
          <w:rFonts w:hint="eastAsia" w:ascii="宋体" w:hAnsi="宋体" w:cs="宋体"/>
          <w:b/>
          <w:color w:val="auto"/>
          <w:sz w:val="24"/>
          <w:szCs w:val="24"/>
          <w:highlight w:val="none"/>
        </w:rPr>
        <w:t xml:space="preserve">                                  </w:t>
      </w:r>
      <w:r>
        <w:rPr>
          <w:rFonts w:hint="eastAsia" w:ascii="宋体" w:hAnsi="宋体" w:cs="宋体"/>
          <w:color w:val="auto"/>
          <w:sz w:val="24"/>
          <w:szCs w:val="24"/>
          <w:highlight w:val="none"/>
        </w:rPr>
        <w:t>（以下简称甲方）</w:t>
      </w:r>
    </w:p>
    <w:p w14:paraId="50987DD6">
      <w:pPr>
        <w:kinsoku/>
        <w:wordWrap w:val="0"/>
        <w:overflowPunct/>
        <w:bidi w:val="0"/>
        <w:snapToGrid w:val="0"/>
        <w:spacing w:line="360" w:lineRule="auto"/>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 xml:space="preserve">公司地址 </w:t>
      </w:r>
      <w:r>
        <w:rPr>
          <w:rFonts w:ascii="宋体" w:hAnsi="宋体" w:cs="宋体"/>
          <w:color w:val="auto"/>
          <w:sz w:val="24"/>
          <w:szCs w:val="24"/>
          <w:highlight w:val="none"/>
        </w:rPr>
        <w:t xml:space="preserve"> </w:t>
      </w:r>
      <w:r>
        <w:rPr>
          <w:rFonts w:hint="eastAsia" w:ascii="宋体" w:hAnsi="宋体" w:cs="宋体"/>
          <w:b/>
          <w:bCs/>
          <w:color w:val="auto"/>
          <w:sz w:val="24"/>
          <w:szCs w:val="24"/>
          <w:highlight w:val="none"/>
        </w:rPr>
        <w:t>：</w:t>
      </w:r>
      <w:r>
        <w:rPr>
          <w:rFonts w:ascii="宋体" w:hAnsi="宋体" w:cs="宋体"/>
          <w:b/>
          <w:color w:val="auto"/>
          <w:sz w:val="24"/>
          <w:szCs w:val="24"/>
          <w:highlight w:val="none"/>
        </w:rPr>
        <w:t xml:space="preserve"> </w:t>
      </w:r>
    </w:p>
    <w:p w14:paraId="5874A705">
      <w:pPr>
        <w:kinsoku/>
        <w:wordWrap w:val="0"/>
        <w:overflowPunct/>
        <w:bidi w:val="0"/>
        <w:snapToGrid w:val="0"/>
        <w:spacing w:line="360" w:lineRule="auto"/>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法定代表人</w:t>
      </w:r>
      <w:r>
        <w:rPr>
          <w:rFonts w:hint="eastAsia" w:ascii="宋体" w:hAnsi="宋体" w:cs="宋体"/>
          <w:b/>
          <w:bCs/>
          <w:color w:val="auto"/>
          <w:sz w:val="24"/>
          <w:szCs w:val="24"/>
          <w:highlight w:val="none"/>
        </w:rPr>
        <w:t>：</w:t>
      </w:r>
    </w:p>
    <w:p w14:paraId="7881D5EF">
      <w:pPr>
        <w:kinsoku/>
        <w:wordWrap w:val="0"/>
        <w:overflowPunct/>
        <w:bidi w:val="0"/>
        <w:snapToGrid w:val="0"/>
        <w:spacing w:line="360" w:lineRule="auto"/>
        <w:ind w:firstLine="482" w:firstLineChars="200"/>
        <w:rPr>
          <w:rFonts w:ascii="宋体" w:hAnsi="宋体" w:cs="宋体"/>
          <w:b/>
          <w:color w:val="auto"/>
          <w:sz w:val="24"/>
          <w:szCs w:val="24"/>
          <w:highlight w:val="none"/>
        </w:rPr>
      </w:pPr>
    </w:p>
    <w:p w14:paraId="29F4CC94">
      <w:pPr>
        <w:kinsoku/>
        <w:wordWrap w:val="0"/>
        <w:overflowPunct/>
        <w:bidi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受  托  方</w:t>
      </w:r>
      <w:r>
        <w:rPr>
          <w:rFonts w:hint="eastAsia" w:ascii="宋体" w:hAnsi="宋体" w:cs="宋体"/>
          <w:b/>
          <w:color w:val="auto"/>
          <w:sz w:val="24"/>
          <w:szCs w:val="24"/>
          <w:highlight w:val="none"/>
        </w:rPr>
        <w:t xml:space="preserve">：                         </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 xml:space="preserve">   </w:t>
      </w:r>
      <w:r>
        <w:rPr>
          <w:rFonts w:hint="eastAsia" w:ascii="宋体" w:hAnsi="宋体" w:cs="宋体"/>
          <w:color w:val="auto"/>
          <w:sz w:val="24"/>
          <w:szCs w:val="24"/>
          <w:highlight w:val="none"/>
        </w:rPr>
        <w:t>（以下简称乙方）</w:t>
      </w:r>
    </w:p>
    <w:p w14:paraId="512B5661">
      <w:pPr>
        <w:kinsoku/>
        <w:wordWrap w:val="0"/>
        <w:overflowPunct/>
        <w:bidi w:val="0"/>
        <w:snapToGrid w:val="0"/>
        <w:spacing w:line="360" w:lineRule="auto"/>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 xml:space="preserve">公司地址  </w:t>
      </w:r>
      <w:r>
        <w:rPr>
          <w:rFonts w:hint="eastAsia" w:ascii="宋体" w:hAnsi="宋体" w:cs="宋体"/>
          <w:b/>
          <w:color w:val="auto"/>
          <w:sz w:val="24"/>
          <w:szCs w:val="24"/>
          <w:highlight w:val="none"/>
        </w:rPr>
        <w:t>：</w:t>
      </w:r>
      <w:r>
        <w:rPr>
          <w:rFonts w:ascii="宋体" w:hAnsi="宋体" w:cs="宋体"/>
          <w:b/>
          <w:color w:val="auto"/>
          <w:sz w:val="24"/>
          <w:szCs w:val="24"/>
          <w:highlight w:val="none"/>
        </w:rPr>
        <w:t xml:space="preserve"> </w:t>
      </w:r>
    </w:p>
    <w:p w14:paraId="09FA4CC7">
      <w:pPr>
        <w:kinsoku/>
        <w:wordWrap w:val="0"/>
        <w:overflowPunct/>
        <w:bidi w:val="0"/>
        <w:snapToGrid w:val="0"/>
        <w:spacing w:line="360" w:lineRule="auto"/>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法定代表人</w:t>
      </w:r>
      <w:r>
        <w:rPr>
          <w:rFonts w:hint="eastAsia" w:ascii="宋体" w:hAnsi="宋体" w:cs="宋体"/>
          <w:b/>
          <w:color w:val="auto"/>
          <w:sz w:val="24"/>
          <w:szCs w:val="24"/>
          <w:highlight w:val="none"/>
        </w:rPr>
        <w:t>：</w:t>
      </w:r>
    </w:p>
    <w:p w14:paraId="4C78C86E">
      <w:pPr>
        <w:kinsoku/>
        <w:wordWrap w:val="0"/>
        <w:overflowPunct/>
        <w:bidi w:val="0"/>
        <w:snapToGrid w:val="0"/>
        <w:spacing w:line="360" w:lineRule="auto"/>
        <w:ind w:firstLine="480" w:firstLineChars="200"/>
        <w:rPr>
          <w:rFonts w:ascii="宋体" w:hAnsi="宋体" w:cs="宋体"/>
          <w:color w:val="auto"/>
          <w:szCs w:val="21"/>
          <w:highlight w:val="none"/>
        </w:rPr>
      </w:pPr>
      <w:r>
        <w:rPr>
          <w:rFonts w:hint="eastAsia" w:ascii="宋体" w:hAnsi="宋体" w:cs="宋体"/>
          <w:color w:val="auto"/>
          <w:sz w:val="24"/>
          <w:szCs w:val="24"/>
          <w:highlight w:val="none"/>
        </w:rPr>
        <w:t>甲乙双方根据《中华人民共和国民法典》等有关法律法规的规定，本着诚实信用、平等、自愿、互利等原则，经友好协商，签订本合同，以资遵守。</w:t>
      </w:r>
    </w:p>
    <w:p w14:paraId="4F779F04">
      <w:pPr>
        <w:kinsoku/>
        <w:wordWrap w:val="0"/>
        <w:overflowPunct/>
        <w:bidi w:val="0"/>
        <w:snapToGrid w:val="0"/>
        <w:spacing w:after="60" w:afterLines="25" w:line="360" w:lineRule="auto"/>
        <w:jc w:val="center"/>
        <w:outlineLvl w:val="0"/>
        <w:rPr>
          <w:rFonts w:ascii="宋体" w:hAnsi="宋体" w:cs="宋体"/>
          <w:b/>
          <w:color w:val="auto"/>
          <w:sz w:val="24"/>
          <w:highlight w:val="none"/>
        </w:rPr>
      </w:pPr>
      <w:r>
        <w:rPr>
          <w:rFonts w:ascii="宋体" w:hAnsi="宋体" w:cs="宋体"/>
          <w:b/>
          <w:color w:val="auto"/>
          <w:sz w:val="24"/>
          <w:highlight w:val="none"/>
        </w:rPr>
        <w:br w:type="page"/>
      </w:r>
      <w:bookmarkStart w:id="41" w:name="_Toc32632"/>
      <w:bookmarkStart w:id="42" w:name="_Toc17440"/>
      <w:bookmarkStart w:id="43" w:name="_Toc28063"/>
      <w:r>
        <w:rPr>
          <w:rFonts w:hint="eastAsia" w:ascii="宋体" w:hAnsi="宋体" w:cs="宋体"/>
          <w:b/>
          <w:color w:val="auto"/>
          <w:sz w:val="30"/>
          <w:szCs w:val="30"/>
          <w:highlight w:val="none"/>
        </w:rPr>
        <w:t>第一部分</w:t>
      </w:r>
      <w:r>
        <w:rPr>
          <w:rFonts w:ascii="宋体" w:hAnsi="宋体" w:cs="宋体"/>
          <w:b/>
          <w:color w:val="auto"/>
          <w:sz w:val="30"/>
          <w:szCs w:val="30"/>
          <w:highlight w:val="none"/>
        </w:rPr>
        <w:t xml:space="preserve">  </w:t>
      </w:r>
      <w:r>
        <w:rPr>
          <w:rFonts w:hint="eastAsia" w:ascii="宋体" w:hAnsi="宋体" w:cs="宋体"/>
          <w:b/>
          <w:color w:val="auto"/>
          <w:sz w:val="30"/>
          <w:szCs w:val="30"/>
          <w:highlight w:val="none"/>
        </w:rPr>
        <w:t>协议书</w:t>
      </w:r>
      <w:bookmarkEnd w:id="41"/>
      <w:bookmarkEnd w:id="42"/>
      <w:bookmarkEnd w:id="43"/>
    </w:p>
    <w:p w14:paraId="34015436">
      <w:pPr>
        <w:kinsoku/>
        <w:wordWrap w:val="0"/>
        <w:overflowPunct/>
        <w:bidi w:val="0"/>
        <w:snapToGrid w:val="0"/>
        <w:spacing w:line="360" w:lineRule="auto"/>
        <w:ind w:firstLine="567"/>
        <w:jc w:val="center"/>
        <w:rPr>
          <w:rFonts w:ascii="宋体" w:hAnsi="宋体" w:cs="宋体"/>
          <w:b/>
          <w:color w:val="auto"/>
          <w:szCs w:val="21"/>
          <w:highlight w:val="none"/>
        </w:rPr>
      </w:pPr>
    </w:p>
    <w:p w14:paraId="1182A062">
      <w:pPr>
        <w:kinsoku/>
        <w:wordWrap w:val="0"/>
        <w:overflowPunct/>
        <w:bidi w:val="0"/>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第一条 项目基本情况</w:t>
      </w:r>
    </w:p>
    <w:p w14:paraId="07B56347">
      <w:pPr>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工程名称：</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val="en-US" w:eastAsia="zh-CN"/>
        </w:rPr>
        <w:t>。</w:t>
      </w:r>
    </w:p>
    <w:p w14:paraId="04643EB4">
      <w:pPr>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工程地点：</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val="en-US" w:eastAsia="zh-CN"/>
        </w:rPr>
        <w:t>。</w:t>
      </w:r>
    </w:p>
    <w:p w14:paraId="06B3BCC3">
      <w:pPr>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资金来源：</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val="en-US" w:eastAsia="zh-CN"/>
        </w:rPr>
        <w:t>。</w:t>
      </w:r>
    </w:p>
    <w:p w14:paraId="4417649D">
      <w:pPr>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工程内容及规模：</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val="en-US" w:eastAsia="zh-CN"/>
        </w:rPr>
        <w:t>。</w:t>
      </w:r>
    </w:p>
    <w:p w14:paraId="37A875F6">
      <w:pPr>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服务范围：</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val="en-US" w:eastAsia="zh-CN"/>
        </w:rPr>
        <w:t>。</w:t>
      </w:r>
    </w:p>
    <w:p w14:paraId="2A0EEF2F">
      <w:pPr>
        <w:kinsoku/>
        <w:wordWrap w:val="0"/>
        <w:overflowPunct/>
        <w:bidi w:val="0"/>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第二条 项目委托管理的基本原则</w:t>
      </w:r>
    </w:p>
    <w:p w14:paraId="09698BDE">
      <w:pPr>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bookmarkStart w:id="44" w:name="_Hlk62745432"/>
      <w:r>
        <w:rPr>
          <w:rFonts w:hint="eastAsia" w:ascii="宋体" w:hAnsi="宋体" w:eastAsia="宋体" w:cs="宋体"/>
          <w:color w:val="auto"/>
          <w:sz w:val="22"/>
          <w:szCs w:val="22"/>
          <w:highlight w:val="none"/>
        </w:rPr>
        <w:t>为了提高管理效率、降低管理成本，本项目的受托管理活动实行有限制的授权管理模式。即在项目委托管理的范围内，除本合同有特别约定应由甲方行使权利的事项外，均视为乙方已经取得甲方的全面授权，并在按审批权限表完成审批后得以甲方的名义行使该等权利而无须甲方另行同意，但不得损害甲方的形象。上述授权范围根据本合同的约定确定，未经双方同意不得随意变更。但若乙方未按规定权限执行或依据权限执行不当给甲方造成损失或对甲方形象造成影响时，相关的损失由乙方承担，甲方有权就相关权限进行调整，而无须经得乙方另行同意。</w:t>
      </w:r>
      <w:bookmarkEnd w:id="44"/>
    </w:p>
    <w:p w14:paraId="02ED4D65">
      <w:pPr>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甲方作为项目的开发建设单位，负责筹措项目开发建设所需的全部资金，拥有项目开发中知情权、监督权和建议权，并在项目定位、项目方案、项目重大设计变更、目标成本设定、计划节点设定、重大招标、项目定价、营销方案等环节具有最终决策权。甲方依法享有项目的投资收益，承担项目投资风险。</w:t>
      </w:r>
    </w:p>
    <w:p w14:paraId="3C24BE56">
      <w:pPr>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乙方根据本合同的约定履行受托管理职责和义务，组建项目管理团队，对甲方负责，在本合同约定或甲方的特别授权许可范围内代表甲方行使项目经营管理权，努力实现项目管理各项目标，并有权获得本合同约定的管理服务费等收益。</w:t>
      </w:r>
    </w:p>
    <w:p w14:paraId="697FA895">
      <w:pPr>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4、本项目的受托管理活动实行合同制管理，项目开发建设过程中的各类合同以甲方名义签订，由乙方进行合同履行的全过程管理。</w:t>
      </w:r>
    </w:p>
    <w:p w14:paraId="2BBE9469">
      <w:pPr>
        <w:kinsoku/>
        <w:wordWrap w:val="0"/>
        <w:overflowPunct/>
        <w:bidi w:val="0"/>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 xml:space="preserve">第三条 </w:t>
      </w:r>
      <w:r>
        <w:rPr>
          <w:rFonts w:hint="eastAsia" w:ascii="宋体" w:hAnsi="宋体" w:eastAsia="宋体" w:cs="宋体"/>
          <w:b/>
          <w:bCs/>
          <w:color w:val="auto"/>
          <w:sz w:val="22"/>
          <w:szCs w:val="22"/>
          <w:highlight w:val="none"/>
          <w:lang w:val="en-US" w:eastAsia="zh-CN"/>
        </w:rPr>
        <w:t>服务</w:t>
      </w:r>
      <w:r>
        <w:rPr>
          <w:rFonts w:hint="eastAsia" w:ascii="宋体" w:hAnsi="宋体" w:eastAsia="宋体" w:cs="宋体"/>
          <w:b/>
          <w:bCs/>
          <w:color w:val="auto"/>
          <w:sz w:val="22"/>
          <w:szCs w:val="22"/>
          <w:highlight w:val="none"/>
        </w:rPr>
        <w:t>范围及服务期限</w:t>
      </w:r>
    </w:p>
    <w:p w14:paraId="37997830">
      <w:pPr>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1、甲方委托乙方进行项目的全过程开发管理工作，乙方对管理范围内应该从事的具体管理事项在以下进行了列举：</w:t>
      </w:r>
    </w:p>
    <w:p w14:paraId="72C624BE">
      <w:pPr>
        <w:kinsoku/>
        <w:wordWrap w:val="0"/>
        <w:overflowPunct/>
        <w:bidi w:val="0"/>
        <w:spacing w:line="360" w:lineRule="auto"/>
        <w:ind w:firstLine="440" w:firstLineChars="200"/>
        <w:rPr>
          <w:rFonts w:hint="eastAsia" w:ascii="宋体" w:hAnsi="宋体" w:eastAsia="宋体" w:cs="宋体"/>
          <w:b w:val="0"/>
          <w:bCs w:val="0"/>
          <w:color w:val="auto"/>
          <w:sz w:val="22"/>
          <w:szCs w:val="22"/>
          <w:highlight w:val="none"/>
          <w:u w:val="single"/>
        </w:rPr>
      </w:pPr>
      <w:r>
        <w:rPr>
          <w:rFonts w:hint="eastAsia" w:ascii="宋体" w:hAnsi="宋体" w:eastAsia="宋体" w:cs="宋体"/>
          <w:b w:val="0"/>
          <w:bCs w:val="0"/>
          <w:color w:val="auto"/>
          <w:sz w:val="22"/>
          <w:szCs w:val="22"/>
          <w:highlight w:val="none"/>
          <w:u w:val="none"/>
        </w:rPr>
        <w:t>（1）</w:t>
      </w:r>
      <w:r>
        <w:rPr>
          <w:rFonts w:hint="eastAsia" w:ascii="宋体" w:hAnsi="宋体" w:eastAsia="宋体" w:cs="宋体"/>
          <w:b w:val="0"/>
          <w:bCs w:val="0"/>
          <w:color w:val="auto"/>
          <w:sz w:val="22"/>
          <w:szCs w:val="22"/>
          <w:highlight w:val="none"/>
          <w:lang w:val="en-US" w:eastAsia="zh-CN"/>
        </w:rPr>
        <w:t>建设管理（含品牌冠名）</w:t>
      </w:r>
      <w:r>
        <w:rPr>
          <w:rFonts w:hint="eastAsia" w:ascii="宋体" w:hAnsi="宋体" w:eastAsia="宋体" w:cs="宋体"/>
          <w:b w:val="0"/>
          <w:bCs w:val="0"/>
          <w:color w:val="auto"/>
          <w:sz w:val="22"/>
          <w:szCs w:val="22"/>
          <w:highlight w:val="none"/>
          <w:u w:val="none"/>
        </w:rPr>
        <w:t>服务：</w:t>
      </w:r>
      <w:r>
        <w:rPr>
          <w:rFonts w:hint="eastAsia" w:ascii="宋体" w:hAnsi="宋体" w:eastAsia="宋体" w:cs="宋体"/>
          <w:b w:val="0"/>
          <w:bCs w:val="0"/>
          <w:color w:val="auto"/>
          <w:sz w:val="22"/>
          <w:szCs w:val="22"/>
          <w:highlight w:val="none"/>
          <w:lang w:val="en-US" w:eastAsia="zh-CN"/>
        </w:rPr>
        <w:t>（1）代建管理：包括且不仅限于对本项目进行投资控制管理、工程进度管理、工程安全管理、合同管理、设计管理（施工图设计优化、设计过程的设计管理、专项管理、设计进度管理并确保设计满足项目实施、提出设计优化意见、施工过程的设计管理、工程验收阶段的设计管理、协助建设单位收集并整理设计相关资料。）、质量管理、信息管理、工程竣工移交管理进行全过程工程管理服务，协助建设单位办理项目建设的相关报建手续及收集整理资料等；（2）品牌冠名指对房地产品牌（含商标）用于本项目宣传、推广、冠名、营销等，所有用于本项目的品牌使用权。</w:t>
      </w:r>
    </w:p>
    <w:p w14:paraId="5CCDD342">
      <w:pPr>
        <w:kinsoku/>
        <w:wordWrap w:val="0"/>
        <w:overflowPunct/>
        <w:bidi w:val="0"/>
        <w:spacing w:line="360" w:lineRule="auto"/>
        <w:ind w:firstLine="440" w:firstLineChars="200"/>
        <w:rPr>
          <w:rFonts w:hint="eastAsia" w:ascii="宋体" w:hAnsi="宋体" w:eastAsia="宋体" w:cs="宋体"/>
          <w:b w:val="0"/>
          <w:bCs w:val="0"/>
          <w:color w:val="auto"/>
          <w:sz w:val="22"/>
          <w:szCs w:val="22"/>
          <w:highlight w:val="none"/>
          <w:u w:val="single"/>
        </w:rPr>
      </w:pPr>
      <w:r>
        <w:rPr>
          <w:rFonts w:hint="eastAsia" w:ascii="宋体" w:hAnsi="宋体" w:eastAsia="宋体" w:cs="宋体"/>
          <w:b w:val="0"/>
          <w:bCs w:val="0"/>
          <w:color w:val="auto"/>
          <w:sz w:val="22"/>
          <w:szCs w:val="22"/>
          <w:highlight w:val="none"/>
          <w:u w:val="single"/>
        </w:rPr>
        <w:t>1）前期管理工作：</w:t>
      </w:r>
      <w:r>
        <w:rPr>
          <w:rFonts w:hint="eastAsia" w:ascii="宋体" w:hAnsi="宋体" w:eastAsia="宋体" w:cs="宋体"/>
          <w:b w:val="0"/>
          <w:bCs w:val="0"/>
          <w:color w:val="auto"/>
          <w:sz w:val="22"/>
          <w:szCs w:val="22"/>
          <w:highlight w:val="none"/>
          <w:u w:val="single"/>
          <w:lang w:val="en-US" w:eastAsia="zh-CN"/>
        </w:rPr>
        <w:t>办理前期阶段涉及的一切手续。</w:t>
      </w:r>
      <w:r>
        <w:rPr>
          <w:rFonts w:hint="eastAsia" w:ascii="宋体" w:hAnsi="宋体" w:eastAsia="宋体" w:cs="宋体"/>
          <w:b w:val="0"/>
          <w:bCs w:val="0"/>
          <w:color w:val="auto"/>
          <w:sz w:val="22"/>
          <w:szCs w:val="22"/>
          <w:highlight w:val="none"/>
          <w:u w:val="single"/>
        </w:rPr>
        <w:t>对项目的整体定位、运营思路和方案进行统筹规划，结合营销市场定位对项目方案设计及初步设计把控优化，负责办理项目开发建设所需的具体审批和许可手续，采购人予以配合。</w:t>
      </w:r>
    </w:p>
    <w:p w14:paraId="1315A9A5">
      <w:pPr>
        <w:kinsoku/>
        <w:wordWrap w:val="0"/>
        <w:overflowPunct/>
        <w:bidi w:val="0"/>
        <w:spacing w:line="360" w:lineRule="auto"/>
        <w:ind w:firstLine="440" w:firstLineChars="200"/>
        <w:rPr>
          <w:rFonts w:hint="eastAsia" w:ascii="宋体" w:hAnsi="宋体" w:eastAsia="宋体" w:cs="宋体"/>
          <w:b w:val="0"/>
          <w:bCs w:val="0"/>
          <w:color w:val="auto"/>
          <w:sz w:val="22"/>
          <w:szCs w:val="22"/>
          <w:highlight w:val="none"/>
          <w:u w:val="single"/>
        </w:rPr>
      </w:pPr>
      <w:r>
        <w:rPr>
          <w:rFonts w:hint="eastAsia" w:ascii="宋体" w:hAnsi="宋体" w:eastAsia="宋体" w:cs="宋体"/>
          <w:b w:val="0"/>
          <w:bCs w:val="0"/>
          <w:color w:val="auto"/>
          <w:sz w:val="22"/>
          <w:szCs w:val="22"/>
          <w:highlight w:val="none"/>
          <w:u w:val="single"/>
        </w:rPr>
        <w:t>2）成本管理：制订合理的项目成本管理目标，并在项目开发建设全过程中实行有效的成本管理。</w:t>
      </w:r>
    </w:p>
    <w:p w14:paraId="1DC56528">
      <w:pPr>
        <w:kinsoku/>
        <w:wordWrap w:val="0"/>
        <w:overflowPunct/>
        <w:bidi w:val="0"/>
        <w:spacing w:line="360" w:lineRule="auto"/>
        <w:ind w:firstLine="440" w:firstLineChars="200"/>
        <w:rPr>
          <w:rFonts w:hint="eastAsia" w:ascii="宋体" w:hAnsi="宋体" w:eastAsia="宋体" w:cs="宋体"/>
          <w:b w:val="0"/>
          <w:bCs w:val="0"/>
          <w:color w:val="auto"/>
          <w:sz w:val="22"/>
          <w:szCs w:val="22"/>
          <w:highlight w:val="none"/>
          <w:u w:val="single"/>
        </w:rPr>
      </w:pPr>
      <w:r>
        <w:rPr>
          <w:rFonts w:hint="eastAsia" w:ascii="宋体" w:hAnsi="宋体" w:eastAsia="宋体" w:cs="宋体"/>
          <w:b w:val="0"/>
          <w:bCs w:val="0"/>
          <w:color w:val="auto"/>
          <w:sz w:val="22"/>
          <w:szCs w:val="22"/>
          <w:highlight w:val="none"/>
          <w:u w:val="single"/>
        </w:rPr>
        <w:t>3）工程管理：</w:t>
      </w:r>
      <w:r>
        <w:rPr>
          <w:rFonts w:hint="eastAsia" w:ascii="宋体" w:hAnsi="宋体" w:eastAsia="宋体" w:cs="宋体"/>
          <w:b w:val="0"/>
          <w:bCs w:val="0"/>
          <w:color w:val="auto"/>
          <w:sz w:val="22"/>
          <w:szCs w:val="22"/>
          <w:highlight w:val="none"/>
          <w:u w:val="single"/>
          <w:lang w:val="en-US" w:eastAsia="zh-CN"/>
        </w:rPr>
        <w:t>在合同和招标文件约定的工程范围内负责按设计图纸、国家规范等进行实施建设的管理，负责协调各相关部门之间的工作，并处理好与施工相关的外围关系。</w:t>
      </w:r>
      <w:r>
        <w:rPr>
          <w:rFonts w:hint="eastAsia" w:ascii="宋体" w:hAnsi="宋体" w:eastAsia="宋体" w:cs="宋体"/>
          <w:b w:val="0"/>
          <w:bCs w:val="0"/>
          <w:color w:val="auto"/>
          <w:sz w:val="22"/>
          <w:szCs w:val="22"/>
          <w:highlight w:val="none"/>
          <w:u w:val="single"/>
        </w:rPr>
        <w:t>对各类工程、服务和货物供应单位的选择提出合理建议及依据，对项目工程建设阶段的质量、工期、安全生产、文明施工等进行管理，并对项目建设过程中出现的各类突发事件进行妥善处理。</w:t>
      </w:r>
      <w:r>
        <w:rPr>
          <w:rFonts w:hint="eastAsia" w:ascii="宋体" w:hAnsi="宋体" w:eastAsia="宋体" w:cs="宋体"/>
          <w:b w:val="0"/>
          <w:bCs w:val="0"/>
          <w:color w:val="auto"/>
          <w:sz w:val="22"/>
          <w:szCs w:val="22"/>
          <w:highlight w:val="none"/>
          <w:u w:val="single"/>
          <w:lang w:val="en-US" w:eastAsia="zh-CN"/>
        </w:rPr>
        <w:t>编制形象进度计划、每月投资进度计划等上报甲方。及时上报投资额度的实际实施及变化情况，自觉配合接受甲方的监督管理。</w:t>
      </w:r>
    </w:p>
    <w:p w14:paraId="5BCF0D6F">
      <w:pPr>
        <w:kinsoku/>
        <w:wordWrap w:val="0"/>
        <w:overflowPunct/>
        <w:bidi w:val="0"/>
        <w:spacing w:line="360" w:lineRule="auto"/>
        <w:ind w:firstLine="440" w:firstLineChars="200"/>
        <w:rPr>
          <w:rFonts w:hint="eastAsia" w:ascii="宋体" w:hAnsi="宋体" w:eastAsia="宋体" w:cs="宋体"/>
          <w:b w:val="0"/>
          <w:bCs w:val="0"/>
          <w:color w:val="auto"/>
          <w:sz w:val="22"/>
          <w:szCs w:val="22"/>
          <w:highlight w:val="none"/>
          <w:u w:val="single"/>
        </w:rPr>
      </w:pPr>
      <w:r>
        <w:rPr>
          <w:rFonts w:hint="eastAsia" w:ascii="宋体" w:hAnsi="宋体" w:eastAsia="宋体" w:cs="宋体"/>
          <w:b w:val="0"/>
          <w:bCs w:val="0"/>
          <w:color w:val="auto"/>
          <w:sz w:val="22"/>
          <w:szCs w:val="22"/>
          <w:highlight w:val="none"/>
          <w:u w:val="single"/>
        </w:rPr>
        <w:t>4）竣工验收和交付管理：组织各类中间验收、竣工验收，协助甲方完成竣工验收备案工作，组织实施项目房产的集中交付工作。</w:t>
      </w:r>
      <w:r>
        <w:rPr>
          <w:rFonts w:hint="eastAsia" w:ascii="宋体" w:hAnsi="宋体" w:eastAsia="宋体" w:cs="宋体"/>
          <w:b w:val="0"/>
          <w:bCs w:val="0"/>
          <w:color w:val="auto"/>
          <w:sz w:val="22"/>
          <w:szCs w:val="22"/>
          <w:highlight w:val="none"/>
          <w:u w:val="single"/>
          <w:lang w:val="en-US" w:eastAsia="zh-CN"/>
        </w:rPr>
        <w:t>负责项目建设资料的收集、整理、归档及移交档案馆工作。配合甲方及造价咨询单位办理项目结算审核工作。</w:t>
      </w:r>
    </w:p>
    <w:p w14:paraId="5F25B4A7">
      <w:pPr>
        <w:kinsoku/>
        <w:wordWrap w:val="0"/>
        <w:overflowPunct/>
        <w:bidi w:val="0"/>
        <w:spacing w:line="360" w:lineRule="auto"/>
        <w:ind w:firstLine="440" w:firstLineChars="200"/>
        <w:rPr>
          <w:rFonts w:hint="eastAsia" w:ascii="宋体" w:hAnsi="宋体" w:eastAsia="宋体" w:cs="宋体"/>
          <w:b w:val="0"/>
          <w:bCs w:val="0"/>
          <w:color w:val="auto"/>
          <w:sz w:val="22"/>
          <w:szCs w:val="22"/>
          <w:highlight w:val="none"/>
          <w:u w:val="single"/>
          <w:lang w:val="en-US" w:eastAsia="zh-CN"/>
        </w:rPr>
      </w:pPr>
      <w:r>
        <w:rPr>
          <w:rFonts w:hint="eastAsia" w:ascii="宋体" w:hAnsi="宋体" w:eastAsia="宋体" w:cs="宋体"/>
          <w:b w:val="0"/>
          <w:bCs w:val="0"/>
          <w:color w:val="auto"/>
          <w:sz w:val="22"/>
          <w:szCs w:val="22"/>
          <w:highlight w:val="none"/>
          <w:u w:val="single"/>
          <w:lang w:val="en-US" w:eastAsia="zh-CN"/>
        </w:rPr>
        <w:t>5）工程质量保修期内的管理：在完成规定的保修期限和保修范围承担管理责任，直至保修责任期结束后，在规定的保修期限和保修范围内，负责联系、协调处理保修、返修事宜，并及时妥善处理好因施工质量等引起的各类投诉。</w:t>
      </w:r>
    </w:p>
    <w:p w14:paraId="646B6081">
      <w:pPr>
        <w:kinsoku/>
        <w:wordWrap w:val="0"/>
        <w:overflowPunct/>
        <w:bidi w:val="0"/>
        <w:spacing w:line="360" w:lineRule="auto"/>
        <w:ind w:firstLine="440" w:firstLineChars="200"/>
        <w:rPr>
          <w:rFonts w:hint="eastAsia" w:ascii="宋体" w:hAnsi="宋体" w:eastAsia="宋体" w:cs="宋体"/>
          <w:color w:val="auto"/>
          <w:sz w:val="22"/>
          <w:szCs w:val="22"/>
          <w:highlight w:val="none"/>
          <w:u w:val="none"/>
        </w:rPr>
      </w:pPr>
      <w:r>
        <w:rPr>
          <w:rFonts w:hint="eastAsia" w:ascii="宋体" w:hAnsi="宋体" w:eastAsia="宋体" w:cs="宋体"/>
          <w:b w:val="0"/>
          <w:bCs w:val="0"/>
          <w:color w:val="auto"/>
          <w:sz w:val="22"/>
          <w:szCs w:val="22"/>
          <w:highlight w:val="none"/>
          <w:u w:val="none"/>
        </w:rPr>
        <w:t>（2）</w:t>
      </w:r>
      <w:r>
        <w:rPr>
          <w:rFonts w:hint="eastAsia" w:ascii="宋体" w:hAnsi="宋体" w:eastAsia="宋体" w:cs="宋体"/>
          <w:b w:val="0"/>
          <w:bCs w:val="0"/>
          <w:color w:val="auto"/>
          <w:sz w:val="22"/>
          <w:szCs w:val="22"/>
          <w:highlight w:val="none"/>
          <w:u w:val="none"/>
          <w:lang w:val="en-US" w:eastAsia="zh-CN"/>
        </w:rPr>
        <w:t>方案设计、初步设计（含概算编制及调整）及相关服务。本工程设计包括（但不限于）用地红线范围内的所有建筑、结构、安装、给排水、强电、弱电及智能化、照明、防雷、消防、暖通、装修、基坑围护、室外附属、人防工程等内容，以及后续各项报批配合服务工作。</w:t>
      </w:r>
      <w:r>
        <w:rPr>
          <w:rFonts w:hint="eastAsia" w:ascii="宋体" w:hAnsi="宋体" w:eastAsia="宋体" w:cs="宋体"/>
          <w:b w:val="0"/>
          <w:bCs w:val="0"/>
          <w:color w:val="auto"/>
          <w:sz w:val="22"/>
          <w:szCs w:val="22"/>
          <w:highlight w:val="none"/>
          <w:u w:val="none"/>
        </w:rPr>
        <w:t>（具体设计内容和设计深度参照国家相关标准）</w:t>
      </w:r>
    </w:p>
    <w:p w14:paraId="23CBDBEA">
      <w:pPr>
        <w:pStyle w:val="10"/>
        <w:kinsoku/>
        <w:wordWrap w:val="0"/>
        <w:overflowPunct/>
        <w:bidi w:val="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1）方案设计阶段</w:t>
      </w:r>
    </w:p>
    <w:p w14:paraId="2FB1092E">
      <w:pPr>
        <w:kinsoku/>
        <w:wordWrap w:val="0"/>
        <w:overflowPunct/>
        <w:bidi w:val="0"/>
        <w:spacing w:line="360" w:lineRule="auto"/>
        <w:ind w:firstLine="440" w:firstLineChars="200"/>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①根据设计文件进行优化调整，提供完整的方案设计和估算各 8 套（不包括施工单位的要求，下均同），直至取得甲方确认，且本阶段各专业的设计和深度必须满足现行国家、省、温州市有关规范、规定、标准以及有关职能审批部门行业主管部门的要求。</w:t>
      </w:r>
    </w:p>
    <w:p w14:paraId="599EC042">
      <w:pPr>
        <w:kinsoku/>
        <w:wordWrap w:val="0"/>
        <w:overflowPunct/>
        <w:bidi w:val="0"/>
        <w:spacing w:line="360" w:lineRule="auto"/>
        <w:ind w:firstLine="440" w:firstLineChars="200"/>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②方案设计和估算除以上份数外，还需满足甲方审查或有关职能审批部门行业主管部门审批需要。</w:t>
      </w:r>
    </w:p>
    <w:p w14:paraId="15B0984F">
      <w:pPr>
        <w:kinsoku/>
        <w:wordWrap w:val="0"/>
        <w:overflowPunct/>
        <w:bidi w:val="0"/>
        <w:spacing w:line="360" w:lineRule="auto"/>
        <w:ind w:firstLine="440" w:firstLineChars="200"/>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2）</w:t>
      </w:r>
      <w:r>
        <w:rPr>
          <w:rFonts w:hint="eastAsia" w:ascii="宋体" w:hAnsi="宋体" w:eastAsia="宋体" w:cs="宋体"/>
          <w:color w:val="auto"/>
          <w:sz w:val="22"/>
          <w:szCs w:val="22"/>
          <w:highlight w:val="none"/>
          <w:u w:val="none"/>
        </w:rPr>
        <w:t>初步设计阶段</w:t>
      </w:r>
    </w:p>
    <w:p w14:paraId="586B3D89">
      <w:pPr>
        <w:kinsoku/>
        <w:wordWrap w:val="0"/>
        <w:overflowPunct/>
        <w:bidi w:val="0"/>
        <w:spacing w:line="360" w:lineRule="auto"/>
        <w:ind w:firstLine="440" w:firstLineChars="200"/>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①根据方案设计文件进行优化调整，提供完整的初步设计图和概算各 8 套（不包括施工单位的要求，下均同），直至取得甲方确认，且本阶段各专业的设计和深度必须满足现行国家、省、温州市、平阳县有关规范、规定、标准以及有关职能审批部门行业主管部门的要求。</w:t>
      </w:r>
    </w:p>
    <w:p w14:paraId="5DAE7E99">
      <w:pPr>
        <w:kinsoku/>
        <w:wordWrap w:val="0"/>
        <w:overflowPunct/>
        <w:bidi w:val="0"/>
        <w:spacing w:line="360" w:lineRule="auto"/>
        <w:ind w:firstLine="440" w:firstLineChars="200"/>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②完成工程初步设计概算，通过有关部门评审审批，并最终确定概算总投资计划。工程初步设计概算必须由乙方委托的编制单位注册造价工程师签字盖章认可；</w:t>
      </w:r>
    </w:p>
    <w:p w14:paraId="16A8C775">
      <w:pPr>
        <w:kinsoku/>
        <w:wordWrap w:val="0"/>
        <w:overflowPunct/>
        <w:bidi w:val="0"/>
        <w:spacing w:line="360" w:lineRule="auto"/>
        <w:ind w:firstLine="440" w:firstLineChars="200"/>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③初步设计文件完成后，送甲方审查认可并通过相关会议通过，且本阶段各专业的设计和深度须满足现行国家、省、温州市、平阳县有关规范、规定、标准以及行业主管部门的要求。</w:t>
      </w:r>
    </w:p>
    <w:p w14:paraId="52CF09E4">
      <w:pPr>
        <w:kinsoku/>
        <w:wordWrap w:val="0"/>
        <w:overflowPunct/>
        <w:bidi w:val="0"/>
        <w:spacing w:line="360" w:lineRule="auto"/>
        <w:ind w:firstLine="440" w:firstLineChars="200"/>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④初步设计文件完成后，按相关规定提供初步设计成果8套后，视为本阶段工作完成。</w:t>
      </w:r>
    </w:p>
    <w:p w14:paraId="1FC1E602">
      <w:pPr>
        <w:kinsoku/>
        <w:wordWrap w:val="0"/>
        <w:overflowPunct/>
        <w:bidi w:val="0"/>
        <w:spacing w:line="360" w:lineRule="auto"/>
        <w:ind w:firstLine="440" w:firstLineChars="200"/>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初步设计图和概算除以上份数外，还需满足甲方审查需要。</w:t>
      </w:r>
    </w:p>
    <w:p w14:paraId="69D1ADDD">
      <w:pPr>
        <w:kinsoku/>
        <w:wordWrap w:val="0"/>
        <w:overflowPunct/>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none"/>
          <w:lang w:val="en-US" w:eastAsia="zh-CN"/>
        </w:rPr>
        <w:t>3）乙方应完成甲方规定范围内的全部设计工作，并无偿承担设计的深化优化及政府相关主管部门和审查部门审查批准而出现的反复调整和修改的工作责任。在设计工作过程和成果审查审批过程中，乙方应与甲方密切配合，充分尊重甲方的意见和建议，根据相关修改意见和建议对设计成果进行及时调整和深化优化，达到双方认可的最佳效果。</w:t>
      </w:r>
    </w:p>
    <w:p w14:paraId="7831C525">
      <w:pPr>
        <w:kinsoku/>
        <w:wordWrap w:val="0"/>
        <w:overflowPunct/>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b w:val="0"/>
          <w:bCs w:val="0"/>
          <w:color w:val="auto"/>
          <w:sz w:val="22"/>
          <w:szCs w:val="22"/>
          <w:highlight w:val="none"/>
        </w:rPr>
        <w:t>2、服务期限</w:t>
      </w:r>
    </w:p>
    <w:p w14:paraId="568418AF">
      <w:pPr>
        <w:kinsoku/>
        <w:wordWrap w:val="0"/>
        <w:overflowPunct/>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b w:val="0"/>
          <w:bCs w:val="0"/>
          <w:color w:val="auto"/>
          <w:sz w:val="22"/>
          <w:szCs w:val="22"/>
          <w:highlight w:val="none"/>
        </w:rPr>
        <w:t>服务</w:t>
      </w:r>
      <w:r>
        <w:rPr>
          <w:rFonts w:hint="eastAsia" w:ascii="宋体" w:hAnsi="宋体" w:eastAsia="宋体" w:cs="宋体"/>
          <w:b w:val="0"/>
          <w:bCs w:val="0"/>
          <w:color w:val="auto"/>
          <w:sz w:val="22"/>
          <w:szCs w:val="22"/>
          <w:highlight w:val="none"/>
          <w:lang w:val="en-US" w:eastAsia="zh-CN"/>
        </w:rPr>
        <w:t>期限</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rPr>
        <w:t>合同签订之日起</w:t>
      </w:r>
      <w:r>
        <w:rPr>
          <w:rFonts w:hint="eastAsia" w:ascii="宋体" w:hAnsi="宋体" w:eastAsia="宋体" w:cs="宋体"/>
          <w:b w:val="0"/>
          <w:bCs w:val="0"/>
          <w:color w:val="auto"/>
          <w:sz w:val="22"/>
          <w:szCs w:val="22"/>
          <w:highlight w:val="none"/>
          <w:lang w:val="en-US" w:eastAsia="zh-CN"/>
        </w:rPr>
        <w:t>直至工程质量缺陷期结束的所有工作内容以及项目房屋不动产权（大产权）首次登记证办理完成后满12个月为止</w:t>
      </w: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rPr>
        <w:t>合同签订之日起</w:t>
      </w:r>
      <w:r>
        <w:rPr>
          <w:rFonts w:hint="eastAsia" w:ascii="宋体" w:hAnsi="宋体" w:eastAsia="宋体" w:cs="宋体"/>
          <w:b w:val="0"/>
          <w:bCs w:val="0"/>
          <w:color w:val="auto"/>
          <w:sz w:val="22"/>
          <w:szCs w:val="22"/>
          <w:highlight w:val="none"/>
          <w:u w:val="single"/>
          <w:lang w:val="en-US" w:eastAsia="zh-CN"/>
        </w:rPr>
        <w:t>100</w:t>
      </w:r>
      <w:r>
        <w:rPr>
          <w:rFonts w:hint="eastAsia" w:ascii="宋体" w:hAnsi="宋体" w:eastAsia="宋体" w:cs="宋体"/>
          <w:b w:val="0"/>
          <w:bCs w:val="0"/>
          <w:color w:val="auto"/>
          <w:sz w:val="22"/>
          <w:szCs w:val="22"/>
          <w:highlight w:val="none"/>
        </w:rPr>
        <w:t>日历天内提交完善的方案设计，完成初步设计成果并提交报批。</w:t>
      </w:r>
      <w:r>
        <w:rPr>
          <w:rFonts w:hint="eastAsia" w:ascii="宋体" w:hAnsi="宋体" w:eastAsia="宋体" w:cs="宋体"/>
          <w:b w:val="0"/>
          <w:bCs w:val="0"/>
          <w:color w:val="auto"/>
          <w:sz w:val="22"/>
          <w:szCs w:val="22"/>
          <w:highlight w:val="none"/>
          <w:lang w:eastAsia="zh-CN"/>
        </w:rPr>
        <w:t>）</w:t>
      </w:r>
    </w:p>
    <w:p w14:paraId="4601A918">
      <w:pPr>
        <w:kinsoku/>
        <w:wordWrap w:val="0"/>
        <w:overflowPunct/>
        <w:bidi w:val="0"/>
        <w:snapToGrid w:val="0"/>
        <w:spacing w:line="360" w:lineRule="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rPr>
        <w:t>第四条 委托管理目标</w:t>
      </w:r>
      <w:r>
        <w:rPr>
          <w:rFonts w:hint="eastAsia" w:ascii="宋体" w:hAnsi="宋体" w:eastAsia="宋体" w:cs="宋体"/>
          <w:b/>
          <w:bCs/>
          <w:color w:val="auto"/>
          <w:sz w:val="22"/>
          <w:szCs w:val="22"/>
          <w:highlight w:val="none"/>
          <w:lang w:val="en-US" w:eastAsia="zh-CN"/>
        </w:rPr>
        <w:t xml:space="preserve"> </w:t>
      </w:r>
    </w:p>
    <w:p w14:paraId="7980E3F9">
      <w:pPr>
        <w:kinsoku/>
        <w:wordWrap w:val="0"/>
        <w:overflowPunct/>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1、开发建设周期目标</w:t>
      </w:r>
    </w:p>
    <w:p w14:paraId="005F3731">
      <w:pPr>
        <w:kinsoku/>
        <w:wordWrap w:val="0"/>
        <w:overflowPunct/>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b w:val="0"/>
          <w:bCs w:val="0"/>
          <w:color w:val="auto"/>
          <w:sz w:val="22"/>
          <w:szCs w:val="22"/>
          <w:highlight w:val="none"/>
        </w:rPr>
        <w:t>合同签订之日起</w:t>
      </w:r>
      <w:r>
        <w:rPr>
          <w:rFonts w:hint="eastAsia" w:ascii="宋体" w:hAnsi="宋体" w:eastAsia="宋体" w:cs="宋体"/>
          <w:b w:val="0"/>
          <w:bCs w:val="0"/>
          <w:color w:val="auto"/>
          <w:sz w:val="22"/>
          <w:szCs w:val="22"/>
          <w:highlight w:val="none"/>
          <w:lang w:val="en-US" w:eastAsia="zh-CN"/>
        </w:rPr>
        <w:t>直至工程质量缺陷期结束的所有工作内容以及项目房屋不动产权（大产权）首次登记证办理完成后满12个月为止。</w:t>
      </w:r>
      <w:r>
        <w:rPr>
          <w:rFonts w:hint="eastAsia" w:ascii="宋体" w:hAnsi="宋体" w:eastAsia="宋体" w:cs="宋体"/>
          <w:b w:val="0"/>
          <w:bCs w:val="0"/>
          <w:color w:val="auto"/>
          <w:sz w:val="22"/>
          <w:szCs w:val="22"/>
          <w:highlight w:val="none"/>
        </w:rPr>
        <w:t>在</w:t>
      </w:r>
      <w:r>
        <w:rPr>
          <w:rFonts w:hint="eastAsia" w:ascii="宋体" w:hAnsi="宋体" w:eastAsia="宋体" w:cs="宋体"/>
          <w:b w:val="0"/>
          <w:bCs w:val="0"/>
          <w:color w:val="auto"/>
          <w:sz w:val="22"/>
          <w:szCs w:val="22"/>
          <w:highlight w:val="none"/>
          <w:lang w:val="en-US" w:eastAsia="zh-CN"/>
        </w:rPr>
        <w:t>合同签订</w:t>
      </w:r>
      <w:r>
        <w:rPr>
          <w:rFonts w:hint="eastAsia" w:ascii="宋体" w:hAnsi="宋体" w:eastAsia="宋体" w:cs="宋体"/>
          <w:b w:val="0"/>
          <w:bCs w:val="0"/>
          <w:color w:val="auto"/>
          <w:sz w:val="22"/>
          <w:szCs w:val="22"/>
          <w:highlight w:val="none"/>
        </w:rPr>
        <w:t>后【</w:t>
      </w:r>
      <w:r>
        <w:rPr>
          <w:rFonts w:hint="eastAsia" w:ascii="宋体" w:hAnsi="宋体" w:eastAsia="宋体" w:cs="宋体"/>
          <w:b w:val="0"/>
          <w:bCs w:val="0"/>
          <w:color w:val="auto"/>
          <w:sz w:val="22"/>
          <w:szCs w:val="22"/>
          <w:highlight w:val="none"/>
          <w:lang w:val="en-US" w:eastAsia="zh-CN"/>
        </w:rPr>
        <w:t>100</w:t>
      </w:r>
      <w:r>
        <w:rPr>
          <w:rFonts w:hint="eastAsia" w:ascii="宋体" w:hAnsi="宋体" w:eastAsia="宋体" w:cs="宋体"/>
          <w:b w:val="0"/>
          <w:bCs w:val="0"/>
          <w:color w:val="auto"/>
          <w:sz w:val="22"/>
          <w:szCs w:val="22"/>
          <w:highlight w:val="none"/>
        </w:rPr>
        <w:t>】个</w:t>
      </w:r>
      <w:r>
        <w:rPr>
          <w:rFonts w:hint="eastAsia" w:ascii="宋体" w:hAnsi="宋体" w:eastAsia="宋体" w:cs="宋体"/>
          <w:b w:val="0"/>
          <w:bCs w:val="0"/>
          <w:color w:val="auto"/>
          <w:sz w:val="22"/>
          <w:szCs w:val="22"/>
          <w:highlight w:val="none"/>
          <w:lang w:val="en-US" w:eastAsia="zh-CN"/>
        </w:rPr>
        <w:t>日历天</w:t>
      </w:r>
      <w:r>
        <w:rPr>
          <w:rFonts w:hint="eastAsia" w:ascii="宋体" w:hAnsi="宋体" w:eastAsia="宋体" w:cs="宋体"/>
          <w:b w:val="0"/>
          <w:bCs w:val="0"/>
          <w:color w:val="auto"/>
          <w:sz w:val="22"/>
          <w:szCs w:val="22"/>
          <w:highlight w:val="none"/>
        </w:rPr>
        <w:t>内提交甲方确认项目全景开发计划，如有特殊情况，可报</w:t>
      </w:r>
      <w:r>
        <w:rPr>
          <w:rFonts w:hint="eastAsia" w:ascii="宋体" w:hAnsi="宋体" w:eastAsia="宋体" w:cs="宋体"/>
          <w:b w:val="0"/>
          <w:bCs w:val="0"/>
          <w:color w:val="auto"/>
          <w:sz w:val="22"/>
          <w:szCs w:val="22"/>
          <w:highlight w:val="none"/>
          <w:lang w:val="en-US" w:eastAsia="zh-CN"/>
        </w:rPr>
        <w:t>甲方</w:t>
      </w:r>
      <w:r>
        <w:rPr>
          <w:rFonts w:hint="eastAsia" w:ascii="宋体" w:hAnsi="宋体" w:eastAsia="宋体" w:cs="宋体"/>
          <w:b w:val="0"/>
          <w:bCs w:val="0"/>
          <w:color w:val="auto"/>
          <w:sz w:val="22"/>
          <w:szCs w:val="22"/>
          <w:highlight w:val="none"/>
        </w:rPr>
        <w:t>同意后调整时间。项目全景开发计划（包括合同履行过程中甲乙双方共同确认的调整方案）作为甲乙双方正式确定的项目开发时间目标。</w:t>
      </w:r>
      <w:r>
        <w:rPr>
          <w:rFonts w:hint="eastAsia" w:ascii="宋体" w:hAnsi="宋体" w:eastAsia="宋体" w:cs="宋体"/>
          <w:color w:val="auto"/>
          <w:sz w:val="22"/>
          <w:szCs w:val="22"/>
          <w:highlight w:val="none"/>
        </w:rPr>
        <w:t xml:space="preserve"> </w:t>
      </w:r>
    </w:p>
    <w:p w14:paraId="2BE626BF">
      <w:pPr>
        <w:kinsoku/>
        <w:wordWrap w:val="0"/>
        <w:overflowPunct/>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、工程成本管理目标</w:t>
      </w:r>
    </w:p>
    <w:p w14:paraId="1C2A68C2">
      <w:pPr>
        <w:kinsoku/>
        <w:wordWrap w:val="0"/>
        <w:overflowPunct/>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（1）由甲乙双方共同确认的施工图版工程目标成本作为项目成本管理考核目标。</w:t>
      </w:r>
    </w:p>
    <w:p w14:paraId="78CA5C3C">
      <w:pPr>
        <w:kinsoku/>
        <w:wordWrap w:val="0"/>
        <w:overflowPunct/>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（2）乙方</w:t>
      </w:r>
      <w:r>
        <w:rPr>
          <w:rFonts w:hint="eastAsia" w:ascii="宋体" w:hAnsi="宋体" w:eastAsia="宋体" w:cs="宋体"/>
          <w:color w:val="auto"/>
          <w:sz w:val="22"/>
          <w:szCs w:val="22"/>
          <w:highlight w:val="none"/>
          <w:lang w:val="en-US" w:eastAsia="zh-CN"/>
        </w:rPr>
        <w:t>按工程成本管理目标进行管理，实际不超过工程</w:t>
      </w:r>
      <w:r>
        <w:rPr>
          <w:rFonts w:hint="eastAsia" w:ascii="宋体" w:hAnsi="宋体" w:eastAsia="宋体" w:cs="宋体"/>
          <w:color w:val="auto"/>
          <w:sz w:val="22"/>
          <w:szCs w:val="22"/>
          <w:highlight w:val="none"/>
        </w:rPr>
        <w:t>成本管理目标的【3%】</w:t>
      </w:r>
      <w:r>
        <w:rPr>
          <w:rFonts w:hint="eastAsia" w:ascii="宋体" w:hAnsi="宋体" w:eastAsia="宋体" w:cs="宋体"/>
          <w:color w:val="auto"/>
          <w:sz w:val="22"/>
          <w:szCs w:val="22"/>
          <w:highlight w:val="none"/>
          <w:lang w:val="en-US" w:eastAsia="zh-CN"/>
        </w:rPr>
        <w:t>范围内，视为完成合同约定的工程管理目标</w:t>
      </w:r>
      <w:r>
        <w:rPr>
          <w:rFonts w:hint="eastAsia" w:ascii="宋体" w:hAnsi="宋体" w:eastAsia="宋体" w:cs="宋体"/>
          <w:color w:val="auto"/>
          <w:sz w:val="22"/>
          <w:szCs w:val="22"/>
          <w:highlight w:val="none"/>
        </w:rPr>
        <w:t>。设计变更（不含设计漏项、设计不合理等）、人工费用调差、材料费用调差或其他甲方认可的成本变更，工程成本管理目标作相应调整</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且不计入</w:t>
      </w:r>
      <w:r>
        <w:rPr>
          <w:rFonts w:hint="eastAsia" w:ascii="宋体" w:hAnsi="宋体" w:eastAsia="宋体" w:cs="宋体"/>
          <w:color w:val="auto"/>
          <w:sz w:val="22"/>
          <w:szCs w:val="22"/>
          <w:highlight w:val="none"/>
        </w:rPr>
        <w:t>实际工程成本的增加【3%】</w:t>
      </w:r>
      <w:r>
        <w:rPr>
          <w:rFonts w:hint="eastAsia" w:ascii="宋体" w:hAnsi="宋体" w:eastAsia="宋体" w:cs="宋体"/>
          <w:color w:val="auto"/>
          <w:sz w:val="22"/>
          <w:szCs w:val="22"/>
          <w:highlight w:val="none"/>
          <w:lang w:val="en-US" w:eastAsia="zh-CN"/>
        </w:rPr>
        <w:t>范围内</w:t>
      </w:r>
      <w:r>
        <w:rPr>
          <w:rFonts w:hint="eastAsia" w:ascii="宋体" w:hAnsi="宋体" w:eastAsia="宋体" w:cs="宋体"/>
          <w:color w:val="auto"/>
          <w:sz w:val="22"/>
          <w:szCs w:val="22"/>
          <w:highlight w:val="none"/>
        </w:rPr>
        <w:t>。</w:t>
      </w:r>
    </w:p>
    <w:p w14:paraId="4C7F719B">
      <w:pPr>
        <w:kinsoku/>
        <w:wordWrap w:val="0"/>
        <w:overflowPunct/>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、质量及设计目标</w:t>
      </w:r>
    </w:p>
    <w:p w14:paraId="7F90DB31">
      <w:pPr>
        <w:kinsoku/>
        <w:wordWrap w:val="0"/>
        <w:overflowPunct/>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设计要求的质量标准：符合现行国家规范，达到相关设计文件编制深度规定要求。</w:t>
      </w:r>
    </w:p>
    <w:p w14:paraId="3C6BF2EC">
      <w:pPr>
        <w:kinsoku/>
        <w:wordWrap w:val="0"/>
        <w:overflowPunct/>
        <w:bidi w:val="0"/>
        <w:snapToGrid w:val="0"/>
        <w:spacing w:line="360" w:lineRule="auto"/>
        <w:rPr>
          <w:rFonts w:hint="eastAsia" w:ascii="宋体" w:hAnsi="宋体" w:eastAsia="宋体" w:cs="宋体"/>
          <w:b/>
          <w:bCs/>
          <w:color w:val="auto"/>
          <w:sz w:val="22"/>
          <w:szCs w:val="22"/>
          <w:highlight w:val="none"/>
        </w:rPr>
      </w:pPr>
      <w:bookmarkStart w:id="45" w:name="委托管理相关费用"/>
      <w:r>
        <w:rPr>
          <w:rFonts w:hint="eastAsia" w:ascii="宋体" w:hAnsi="宋体" w:eastAsia="宋体" w:cs="宋体"/>
          <w:b/>
          <w:bCs/>
          <w:color w:val="auto"/>
          <w:sz w:val="22"/>
          <w:szCs w:val="22"/>
          <w:highlight w:val="none"/>
          <w:lang w:val="en-US" w:eastAsia="zh-CN"/>
        </w:rPr>
        <w:t xml:space="preserve">第五条 </w:t>
      </w:r>
      <w:r>
        <w:rPr>
          <w:rFonts w:hint="eastAsia" w:ascii="宋体" w:hAnsi="宋体" w:eastAsia="宋体" w:cs="宋体"/>
          <w:b/>
          <w:bCs/>
          <w:color w:val="auto"/>
          <w:sz w:val="22"/>
          <w:szCs w:val="22"/>
          <w:highlight w:val="none"/>
        </w:rPr>
        <w:t>委托管理相关费用</w:t>
      </w:r>
      <w:bookmarkEnd w:id="45"/>
    </w:p>
    <w:p w14:paraId="6FD03EDC">
      <w:pPr>
        <w:keepNext/>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b w:val="0"/>
          <w:bCs w:val="0"/>
          <w:color w:val="auto"/>
          <w:sz w:val="22"/>
          <w:szCs w:val="22"/>
          <w:highlight w:val="none"/>
        </w:rPr>
        <w:t>本项目中的委托管理相关费用包括“</w:t>
      </w:r>
      <w:r>
        <w:rPr>
          <w:rFonts w:hint="eastAsia" w:ascii="宋体" w:hAnsi="宋体" w:eastAsia="宋体" w:cs="宋体"/>
          <w:b w:val="0"/>
          <w:bCs w:val="0"/>
          <w:color w:val="auto"/>
          <w:sz w:val="22"/>
          <w:szCs w:val="22"/>
          <w:highlight w:val="none"/>
          <w:lang w:val="en-US" w:eastAsia="zh-CN"/>
        </w:rPr>
        <w:t>建设管理费（含品牌冠名费）</w:t>
      </w: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lang w:val="en-US" w:eastAsia="zh-CN"/>
        </w:rPr>
        <w:t>设计费</w:t>
      </w: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lang w:val="en-US" w:eastAsia="zh-CN"/>
        </w:rPr>
        <w:t>二</w:t>
      </w:r>
      <w:r>
        <w:rPr>
          <w:rFonts w:hint="eastAsia" w:ascii="宋体" w:hAnsi="宋体" w:eastAsia="宋体" w:cs="宋体"/>
          <w:b w:val="0"/>
          <w:bCs w:val="0"/>
          <w:color w:val="auto"/>
          <w:sz w:val="22"/>
          <w:szCs w:val="22"/>
          <w:highlight w:val="none"/>
        </w:rPr>
        <w:t>部分</w:t>
      </w:r>
      <w:r>
        <w:rPr>
          <w:rFonts w:hint="eastAsia" w:ascii="宋体" w:hAnsi="宋体" w:eastAsia="宋体" w:cs="宋体"/>
          <w:b w:val="0"/>
          <w:bCs w:val="0"/>
          <w:color w:val="auto"/>
          <w:sz w:val="22"/>
          <w:szCs w:val="22"/>
          <w:highlight w:val="none"/>
          <w:lang w:eastAsia="zh-CN"/>
        </w:rPr>
        <w:t>。</w:t>
      </w:r>
    </w:p>
    <w:p w14:paraId="20EE3790">
      <w:pPr>
        <w:kinsoku/>
        <w:wordWrap w:val="0"/>
        <w:overflowPunct/>
        <w:bidi w:val="0"/>
        <w:spacing w:line="360" w:lineRule="auto"/>
        <w:ind w:firstLine="442" w:firstLineChars="200"/>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5.1服务费</w:t>
      </w:r>
    </w:p>
    <w:p w14:paraId="134D8FD1">
      <w:pPr>
        <w:kinsoku/>
        <w:wordWrap w:val="0"/>
        <w:overflowPunct/>
        <w:bidi w:val="0"/>
        <w:spacing w:line="360" w:lineRule="auto"/>
        <w:ind w:firstLine="420" w:firstLineChars="0"/>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（1）设计费</w:t>
      </w:r>
      <w:r>
        <w:rPr>
          <w:rFonts w:hint="eastAsia" w:ascii="宋体" w:hAnsi="宋体" w:eastAsia="宋体" w:cs="宋体"/>
          <w:b w:val="0"/>
          <w:bCs w:val="0"/>
          <w:color w:val="auto"/>
          <w:sz w:val="22"/>
          <w:szCs w:val="22"/>
          <w:highlight w:val="none"/>
          <w:u w:val="single"/>
          <w:lang w:val="en-US" w:eastAsia="zh-CN"/>
        </w:rPr>
        <w:t xml:space="preserve">       </w:t>
      </w:r>
      <w:r>
        <w:rPr>
          <w:rFonts w:hint="eastAsia" w:ascii="宋体" w:hAnsi="宋体" w:eastAsia="宋体" w:cs="宋体"/>
          <w:b w:val="0"/>
          <w:bCs w:val="0"/>
          <w:color w:val="auto"/>
          <w:sz w:val="22"/>
          <w:szCs w:val="22"/>
          <w:highlight w:val="none"/>
          <w:u w:val="none"/>
          <w:lang w:val="en-US" w:eastAsia="zh-CN"/>
        </w:rPr>
        <w:t>元</w:t>
      </w:r>
      <w:r>
        <w:rPr>
          <w:rFonts w:hint="eastAsia" w:ascii="宋体" w:hAnsi="宋体" w:eastAsia="宋体" w:cs="宋体"/>
          <w:b w:val="0"/>
          <w:bCs w:val="0"/>
          <w:color w:val="auto"/>
          <w:sz w:val="22"/>
          <w:szCs w:val="22"/>
          <w:highlight w:val="none"/>
          <w:lang w:val="en-US" w:eastAsia="zh-CN"/>
        </w:rPr>
        <w:t>，按中标价实行包干（红线范围内），在合同执行过程中固定不变，任何包含价格调整的要求，将被认为是非实质性响应而予以拒绝。</w:t>
      </w:r>
    </w:p>
    <w:p w14:paraId="760CC518">
      <w:pPr>
        <w:kinsoku/>
        <w:wordWrap w:val="0"/>
        <w:overflowPunct/>
        <w:bidi w:val="0"/>
        <w:spacing w:line="360" w:lineRule="auto"/>
        <w:ind w:firstLine="420" w:firstLineChars="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设计费应为承包完成本项目所规定内容的全部工作所发生的一切费用，包括但不限于以下费用</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rPr>
        <w:t>完成本次工作所需的方案</w:t>
      </w:r>
      <w:r>
        <w:rPr>
          <w:rFonts w:hint="eastAsia" w:ascii="宋体" w:hAnsi="宋体" w:eastAsia="宋体" w:cs="宋体"/>
          <w:b w:val="0"/>
          <w:bCs w:val="0"/>
          <w:color w:val="auto"/>
          <w:sz w:val="22"/>
          <w:szCs w:val="22"/>
          <w:highlight w:val="none"/>
          <w:lang w:val="en-US" w:eastAsia="zh-CN"/>
        </w:rPr>
        <w:t>设计</w:t>
      </w: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lang w:val="en-US" w:eastAsia="zh-CN"/>
        </w:rPr>
        <w:t>初步设计及所需的</w:t>
      </w:r>
      <w:r>
        <w:rPr>
          <w:rFonts w:hint="eastAsia" w:ascii="宋体" w:hAnsi="宋体" w:eastAsia="宋体" w:cs="宋体"/>
          <w:b w:val="0"/>
          <w:bCs w:val="0"/>
          <w:color w:val="auto"/>
          <w:sz w:val="22"/>
          <w:szCs w:val="22"/>
          <w:highlight w:val="none"/>
        </w:rPr>
        <w:t>初步设计、设计的修改和确认、设计交流、</w:t>
      </w:r>
      <w:r>
        <w:rPr>
          <w:rFonts w:hint="eastAsia" w:ascii="宋体" w:hAnsi="宋体" w:eastAsia="宋体" w:cs="宋体"/>
          <w:b w:val="0"/>
          <w:bCs w:val="0"/>
          <w:color w:val="auto"/>
          <w:sz w:val="22"/>
          <w:szCs w:val="22"/>
          <w:highlight w:val="none"/>
          <w:lang w:val="en-US" w:eastAsia="zh-CN"/>
        </w:rPr>
        <w:t>所涉及的其他专项设计及审批、</w:t>
      </w:r>
      <w:r>
        <w:rPr>
          <w:rFonts w:hint="eastAsia" w:ascii="宋体" w:hAnsi="宋体" w:eastAsia="宋体" w:cs="宋体"/>
          <w:b w:val="0"/>
          <w:bCs w:val="0"/>
          <w:color w:val="auto"/>
          <w:sz w:val="22"/>
          <w:szCs w:val="22"/>
          <w:highlight w:val="none"/>
        </w:rPr>
        <w:t>专家评审费用、管理费、调查费、差旅费、利润、税金及政策性文件规定的各项应有费用以及办理其他相关手续所产生的费用，并承担一切风险责任。</w:t>
      </w:r>
    </w:p>
    <w:p w14:paraId="1FF3EC4C">
      <w:pPr>
        <w:kinsoku/>
        <w:wordWrap w:val="0"/>
        <w:overflowPunct/>
        <w:bidi w:val="0"/>
        <w:spacing w:line="360" w:lineRule="auto"/>
        <w:ind w:firstLine="420" w:firstLineChars="0"/>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建设管理费（含品牌冠名费）费：建设管理费（含品牌冠名费）结算价=结算建安工程费用×建设管理费（含品牌冠名费）费率，其中建设管理费（含品牌冠名费）费率=建设管理费（含品牌冠名费）（中标价）/招标时建安工程费（</w:t>
      </w:r>
      <w:r>
        <w:rPr>
          <w:rFonts w:hint="eastAsia" w:ascii="宋体" w:hAnsi="宋体" w:cs="宋体"/>
          <w:b w:val="0"/>
          <w:bCs w:val="0"/>
          <w:color w:val="auto"/>
          <w:sz w:val="22"/>
          <w:szCs w:val="22"/>
          <w:highlight w:val="none"/>
          <w:lang w:val="en-US" w:eastAsia="zh-CN"/>
        </w:rPr>
        <w:t>50976</w:t>
      </w:r>
      <w:r>
        <w:rPr>
          <w:rFonts w:hint="eastAsia" w:ascii="宋体" w:hAnsi="宋体" w:eastAsia="宋体" w:cs="宋体"/>
          <w:b w:val="0"/>
          <w:bCs w:val="0"/>
          <w:color w:val="auto"/>
          <w:sz w:val="22"/>
          <w:szCs w:val="22"/>
          <w:highlight w:val="none"/>
          <w:lang w:val="en-US" w:eastAsia="zh-CN"/>
        </w:rPr>
        <w:t>万元）*100%。</w:t>
      </w:r>
    </w:p>
    <w:p w14:paraId="4F76D62C">
      <w:pPr>
        <w:kinsoku/>
        <w:wordWrap w:val="0"/>
        <w:overflowPunct/>
        <w:bidi w:val="0"/>
        <w:spacing w:line="360" w:lineRule="auto"/>
        <w:ind w:firstLine="420" w:firstLineChars="0"/>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val="en-US" w:eastAsia="zh-CN"/>
        </w:rPr>
        <w:t>建设管理费（含品牌冠名费）应为本项目全过程建设管理（含品牌冠名）所规定内容的全部工作所发生的一切费用。</w:t>
      </w:r>
    </w:p>
    <w:p w14:paraId="38BB29D1">
      <w:pPr>
        <w:kinsoku/>
        <w:wordWrap w:val="0"/>
        <w:overflowPunct/>
        <w:bidi w:val="0"/>
        <w:spacing w:line="360" w:lineRule="auto"/>
        <w:ind w:firstLine="442" w:firstLineChars="200"/>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5.2支付条款</w:t>
      </w:r>
    </w:p>
    <w:p w14:paraId="77FC55B8">
      <w:pPr>
        <w:kinsoku/>
        <w:wordWrap w:val="0"/>
        <w:overflowPunct/>
        <w:bidi w:val="0"/>
        <w:spacing w:line="360" w:lineRule="auto"/>
        <w:ind w:firstLine="442" w:firstLineChars="200"/>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（1）设计费的支付：</w:t>
      </w:r>
    </w:p>
    <w:p w14:paraId="7C239D8A">
      <w:pPr>
        <w:kinsoku/>
        <w:wordWrap w:val="0"/>
        <w:overflowPunct/>
        <w:bidi w:val="0"/>
        <w:spacing w:line="360" w:lineRule="auto"/>
        <w:ind w:firstLine="420"/>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1）本工程合同签订生效后15个工作日内，甲方向乙方支付设计费的10%作为预付款；</w:t>
      </w:r>
    </w:p>
    <w:p w14:paraId="52CD44FC">
      <w:pPr>
        <w:kinsoku/>
        <w:wordWrap w:val="0"/>
        <w:overflowPunct/>
        <w:bidi w:val="0"/>
        <w:spacing w:line="360" w:lineRule="auto"/>
        <w:ind w:firstLine="420"/>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2）方案批复并取得工程规划许可证后，甲方向乙方支付至设计费的55%（含已支付的预付款）；</w:t>
      </w:r>
    </w:p>
    <w:p w14:paraId="1731AA49">
      <w:pPr>
        <w:kinsoku/>
        <w:wordWrap w:val="0"/>
        <w:overflowPunct/>
        <w:bidi w:val="0"/>
        <w:spacing w:line="360" w:lineRule="auto"/>
        <w:ind w:firstLine="420"/>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val="en-US" w:eastAsia="zh-CN"/>
        </w:rPr>
        <w:t>3）</w:t>
      </w:r>
      <w:r>
        <w:rPr>
          <w:rFonts w:hint="eastAsia" w:ascii="宋体" w:hAnsi="宋体" w:eastAsia="宋体" w:cs="宋体"/>
          <w:b w:val="0"/>
          <w:bCs w:val="0"/>
          <w:color w:val="auto"/>
          <w:sz w:val="22"/>
          <w:szCs w:val="22"/>
          <w:highlight w:val="none"/>
          <w:lang w:eastAsia="zh-CN"/>
        </w:rPr>
        <w:t>乙方向甲方提交所有</w:t>
      </w:r>
      <w:r>
        <w:rPr>
          <w:rFonts w:hint="eastAsia" w:ascii="宋体" w:hAnsi="宋体" w:eastAsia="宋体" w:cs="宋体"/>
          <w:b w:val="0"/>
          <w:bCs w:val="0"/>
          <w:color w:val="auto"/>
          <w:sz w:val="22"/>
          <w:szCs w:val="22"/>
          <w:highlight w:val="none"/>
          <w:lang w:val="en-US" w:eastAsia="zh-CN"/>
        </w:rPr>
        <w:t>成果</w:t>
      </w:r>
      <w:r>
        <w:rPr>
          <w:rFonts w:hint="eastAsia" w:ascii="宋体" w:hAnsi="宋体" w:eastAsia="宋体" w:cs="宋体"/>
          <w:b w:val="0"/>
          <w:bCs w:val="0"/>
          <w:color w:val="auto"/>
          <w:sz w:val="22"/>
          <w:szCs w:val="22"/>
          <w:highlight w:val="none"/>
          <w:lang w:eastAsia="zh-CN"/>
        </w:rPr>
        <w:t>文件（</w:t>
      </w:r>
      <w:r>
        <w:rPr>
          <w:rFonts w:hint="eastAsia" w:ascii="宋体" w:hAnsi="宋体" w:eastAsia="宋体" w:cs="宋体"/>
          <w:b w:val="0"/>
          <w:bCs w:val="0"/>
          <w:color w:val="auto"/>
          <w:sz w:val="22"/>
          <w:szCs w:val="22"/>
          <w:highlight w:val="none"/>
          <w:lang w:val="en-US" w:eastAsia="zh-CN"/>
        </w:rPr>
        <w:t>含概算</w:t>
      </w:r>
      <w:r>
        <w:rPr>
          <w:rFonts w:hint="eastAsia" w:ascii="宋体" w:hAnsi="宋体" w:eastAsia="宋体" w:cs="宋体"/>
          <w:b w:val="0"/>
          <w:bCs w:val="0"/>
          <w:color w:val="auto"/>
          <w:sz w:val="22"/>
          <w:szCs w:val="22"/>
          <w:highlight w:val="none"/>
          <w:lang w:eastAsia="zh-CN"/>
        </w:rPr>
        <w:t>）并取得批复文件或得到甲方认可后，甲方向乙方支付至设计费的</w:t>
      </w:r>
      <w:r>
        <w:rPr>
          <w:rFonts w:hint="eastAsia" w:ascii="宋体" w:hAnsi="宋体" w:eastAsia="宋体" w:cs="宋体"/>
          <w:b w:val="0"/>
          <w:bCs w:val="0"/>
          <w:color w:val="auto"/>
          <w:sz w:val="22"/>
          <w:szCs w:val="22"/>
          <w:highlight w:val="none"/>
          <w:lang w:val="en-US" w:eastAsia="zh-CN"/>
        </w:rPr>
        <w:t>70</w:t>
      </w:r>
      <w:r>
        <w:rPr>
          <w:rFonts w:hint="eastAsia" w:ascii="宋体" w:hAnsi="宋体" w:eastAsia="宋体" w:cs="宋体"/>
          <w:b w:val="0"/>
          <w:bCs w:val="0"/>
          <w:color w:val="auto"/>
          <w:sz w:val="22"/>
          <w:szCs w:val="22"/>
          <w:highlight w:val="none"/>
          <w:lang w:eastAsia="zh-CN"/>
        </w:rPr>
        <w:t>%（含已支付的预付款）；</w:t>
      </w:r>
    </w:p>
    <w:p w14:paraId="7345A43E">
      <w:pPr>
        <w:kinsoku/>
        <w:wordWrap w:val="0"/>
        <w:overflowPunct/>
        <w:bidi w:val="0"/>
        <w:spacing w:line="360" w:lineRule="auto"/>
        <w:ind w:firstLine="420"/>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val="en-US" w:eastAsia="zh-CN"/>
        </w:rPr>
        <w:t>4）</w:t>
      </w:r>
      <w:r>
        <w:rPr>
          <w:rFonts w:hint="eastAsia" w:ascii="宋体" w:hAnsi="宋体" w:eastAsia="宋体" w:cs="宋体"/>
          <w:b w:val="0"/>
          <w:bCs w:val="0"/>
          <w:color w:val="auto"/>
          <w:sz w:val="22"/>
          <w:szCs w:val="22"/>
          <w:highlight w:val="none"/>
          <w:lang w:eastAsia="zh-CN"/>
        </w:rPr>
        <w:t>乙方协助本项目施工图设计单位完成施工图设计文件</w:t>
      </w:r>
      <w:r>
        <w:rPr>
          <w:rFonts w:hint="eastAsia" w:ascii="宋体" w:hAnsi="宋体" w:eastAsia="宋体" w:cs="宋体"/>
          <w:b w:val="0"/>
          <w:bCs w:val="0"/>
          <w:color w:val="auto"/>
          <w:sz w:val="22"/>
          <w:szCs w:val="22"/>
          <w:highlight w:val="none"/>
          <w:lang w:val="en-US" w:eastAsia="zh-CN"/>
        </w:rPr>
        <w:t>且施工</w:t>
      </w:r>
      <w:r>
        <w:rPr>
          <w:rFonts w:hint="eastAsia" w:ascii="宋体" w:hAnsi="宋体" w:eastAsia="宋体" w:cs="宋体"/>
          <w:b w:val="0"/>
          <w:bCs w:val="0"/>
          <w:color w:val="auto"/>
          <w:sz w:val="22"/>
          <w:szCs w:val="22"/>
          <w:highlight w:val="none"/>
          <w:lang w:eastAsia="zh-CN"/>
        </w:rPr>
        <w:t>图审</w:t>
      </w:r>
      <w:r>
        <w:rPr>
          <w:rFonts w:hint="eastAsia" w:ascii="宋体" w:hAnsi="宋体" w:eastAsia="宋体" w:cs="宋体"/>
          <w:b w:val="0"/>
          <w:bCs w:val="0"/>
          <w:color w:val="auto"/>
          <w:sz w:val="22"/>
          <w:szCs w:val="22"/>
          <w:highlight w:val="none"/>
          <w:lang w:val="en-US" w:eastAsia="zh-CN"/>
        </w:rPr>
        <w:t>查合格</w:t>
      </w:r>
      <w:r>
        <w:rPr>
          <w:rFonts w:hint="eastAsia" w:ascii="宋体" w:hAnsi="宋体" w:eastAsia="宋体" w:cs="宋体"/>
          <w:b w:val="0"/>
          <w:bCs w:val="0"/>
          <w:color w:val="auto"/>
          <w:sz w:val="22"/>
          <w:szCs w:val="22"/>
          <w:highlight w:val="none"/>
          <w:lang w:eastAsia="zh-CN"/>
        </w:rPr>
        <w:t>后，甲方向乙方支付至设计费的100%。</w:t>
      </w:r>
    </w:p>
    <w:p w14:paraId="54EC325C">
      <w:pPr>
        <w:kinsoku/>
        <w:wordWrap w:val="0"/>
        <w:overflowPunct/>
        <w:bidi w:val="0"/>
        <w:spacing w:line="360" w:lineRule="auto"/>
        <w:ind w:firstLine="442" w:firstLineChars="200"/>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（2）建设管理费（含品牌冠名费）的支付：</w:t>
      </w:r>
    </w:p>
    <w:p w14:paraId="2A3116F0">
      <w:pPr>
        <w:kinsoku/>
        <w:wordWrap w:val="0"/>
        <w:overflowPunct/>
        <w:bidi w:val="0"/>
        <w:spacing w:line="360" w:lineRule="auto"/>
        <w:ind w:firstLine="420"/>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w:t>
      </w:r>
      <w:r>
        <w:rPr>
          <w:rFonts w:hint="eastAsia" w:ascii="宋体" w:hAnsi="宋体" w:eastAsia="宋体" w:cs="宋体"/>
          <w:b w:val="0"/>
          <w:bCs w:val="0"/>
          <w:color w:val="auto"/>
          <w:sz w:val="22"/>
          <w:szCs w:val="22"/>
          <w:highlight w:val="none"/>
          <w:lang w:eastAsia="zh-CN"/>
        </w:rPr>
        <w:t>本工程合同签订生效后</w:t>
      </w:r>
      <w:r>
        <w:rPr>
          <w:rFonts w:hint="eastAsia" w:ascii="宋体" w:hAnsi="宋体" w:eastAsia="宋体" w:cs="宋体"/>
          <w:b w:val="0"/>
          <w:bCs w:val="0"/>
          <w:color w:val="auto"/>
          <w:sz w:val="22"/>
          <w:szCs w:val="22"/>
          <w:highlight w:val="none"/>
          <w:lang w:val="en-US" w:eastAsia="zh-CN"/>
        </w:rPr>
        <w:t>15个工作日内</w:t>
      </w:r>
      <w:r>
        <w:rPr>
          <w:rFonts w:hint="eastAsia" w:ascii="宋体" w:hAnsi="宋体" w:eastAsia="宋体" w:cs="宋体"/>
          <w:b w:val="0"/>
          <w:bCs w:val="0"/>
          <w:color w:val="auto"/>
          <w:sz w:val="22"/>
          <w:szCs w:val="22"/>
          <w:highlight w:val="none"/>
          <w:lang w:eastAsia="zh-CN"/>
        </w:rPr>
        <w:t>，甲方向乙方支付</w:t>
      </w:r>
      <w:r>
        <w:rPr>
          <w:rFonts w:hint="eastAsia" w:ascii="宋体" w:hAnsi="宋体" w:eastAsia="宋体" w:cs="宋体"/>
          <w:b w:val="0"/>
          <w:bCs w:val="0"/>
          <w:color w:val="auto"/>
          <w:sz w:val="22"/>
          <w:szCs w:val="22"/>
          <w:highlight w:val="none"/>
          <w:lang w:val="en-US" w:eastAsia="zh-CN"/>
        </w:rPr>
        <w:t>建设管理费（含品牌冠名费）</w:t>
      </w:r>
      <w:r>
        <w:rPr>
          <w:rFonts w:hint="eastAsia" w:ascii="宋体" w:hAnsi="宋体" w:eastAsia="宋体" w:cs="宋体"/>
          <w:b w:val="0"/>
          <w:bCs w:val="0"/>
          <w:color w:val="auto"/>
          <w:sz w:val="22"/>
          <w:szCs w:val="22"/>
          <w:highlight w:val="none"/>
          <w:lang w:eastAsia="zh-CN"/>
        </w:rPr>
        <w:t>的</w:t>
      </w:r>
      <w:r>
        <w:rPr>
          <w:rFonts w:hint="eastAsia" w:ascii="宋体" w:hAnsi="宋体" w:eastAsia="宋体" w:cs="宋体"/>
          <w:b w:val="0"/>
          <w:bCs w:val="0"/>
          <w:color w:val="auto"/>
          <w:sz w:val="22"/>
          <w:szCs w:val="22"/>
          <w:highlight w:val="none"/>
          <w:lang w:val="en-US" w:eastAsia="zh-CN"/>
        </w:rPr>
        <w:t>10</w:t>
      </w:r>
      <w:r>
        <w:rPr>
          <w:rFonts w:hint="eastAsia" w:ascii="宋体" w:hAnsi="宋体" w:eastAsia="宋体" w:cs="宋体"/>
          <w:b w:val="0"/>
          <w:bCs w:val="0"/>
          <w:color w:val="auto"/>
          <w:sz w:val="22"/>
          <w:szCs w:val="22"/>
          <w:highlight w:val="none"/>
          <w:lang w:eastAsia="zh-CN"/>
        </w:rPr>
        <w:t>%作为预付款；</w:t>
      </w:r>
    </w:p>
    <w:p w14:paraId="534A2CDE">
      <w:pPr>
        <w:kinsoku/>
        <w:wordWrap w:val="0"/>
        <w:overflowPunct/>
        <w:bidi w:val="0"/>
        <w:spacing w:line="360" w:lineRule="auto"/>
        <w:ind w:firstLine="420"/>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2）过程中随工程费用同比例支付；（每期支付的工程费用×建设管理费（含品牌冠名费）费率，同比例支付）</w:t>
      </w:r>
    </w:p>
    <w:p w14:paraId="2CB11C36">
      <w:pPr>
        <w:kinsoku/>
        <w:wordWrap w:val="0"/>
        <w:overflowPunct/>
        <w:bidi w:val="0"/>
        <w:spacing w:line="360" w:lineRule="auto"/>
        <w:ind w:firstLine="420"/>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工程费用支付按每月25日前将该月已完工程量及进度教报表提供给发包人，经监理人核实和发包人及第三方审计（如有）认可后，据此支付该月完成工程量85%的工程进度教，当本工程进度款支付至合同工程价款的 85%时，将停止支付工程进度款，待通过工程竣工验收后支付至90%，提交应归档的全部技术文件资料，办理竣工结算经相关单位审核后支付至合同结算价款的 98.5%;余款1.5%作为质量保证金，待缺陷责任期满后 10 天内全额退还，</w:t>
      </w:r>
    </w:p>
    <w:p w14:paraId="5700E23A">
      <w:pPr>
        <w:numPr>
          <w:ilvl w:val="0"/>
          <w:numId w:val="4"/>
        </w:numPr>
        <w:kinsoku/>
        <w:wordWrap w:val="0"/>
        <w:overflowPunct/>
        <w:bidi w:val="0"/>
        <w:spacing w:line="360" w:lineRule="auto"/>
        <w:ind w:firstLine="420"/>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缺陷责任期满后（二年）15个工作日内一次性结清剩余费用。</w:t>
      </w:r>
    </w:p>
    <w:p w14:paraId="3FEE4AE8">
      <w:pPr>
        <w:numPr>
          <w:ilvl w:val="0"/>
          <w:numId w:val="0"/>
        </w:numPr>
        <w:kinsoku/>
        <w:wordWrap w:val="0"/>
        <w:overflowPunct/>
        <w:bidi w:val="0"/>
        <w:spacing w:line="360" w:lineRule="auto"/>
        <w:ind w:left="0" w:leftChars="0" w:firstLine="442" w:firstLineChars="200"/>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kern w:val="2"/>
          <w:sz w:val="22"/>
          <w:szCs w:val="22"/>
          <w:highlight w:val="none"/>
          <w:lang w:val="en-US" w:eastAsia="zh-CN" w:bidi="ar-SA"/>
        </w:rPr>
        <w:t>（3）</w:t>
      </w:r>
      <w:r>
        <w:rPr>
          <w:rFonts w:hint="eastAsia" w:ascii="宋体" w:hAnsi="宋体" w:eastAsia="宋体" w:cs="宋体"/>
          <w:b/>
          <w:bCs/>
          <w:color w:val="auto"/>
          <w:sz w:val="22"/>
          <w:szCs w:val="22"/>
          <w:highlight w:val="none"/>
          <w:lang w:val="en-US" w:eastAsia="zh-CN"/>
        </w:rPr>
        <w:t>支付方式</w:t>
      </w:r>
    </w:p>
    <w:p w14:paraId="2212A34B">
      <w:pPr>
        <w:kinsoku/>
        <w:wordWrap w:val="0"/>
        <w:overflowPunct/>
        <w:bidi w:val="0"/>
        <w:spacing w:line="360" w:lineRule="auto"/>
        <w:ind w:firstLine="420"/>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以上各项费用由甲方直接向乙方（或联合体各方）支付，但是在支付前需先经乙方（或联合体牵头人）确认核定。</w:t>
      </w:r>
    </w:p>
    <w:p w14:paraId="36489077">
      <w:pPr>
        <w:kinsoku/>
        <w:wordWrap w:val="0"/>
        <w:overflowPunct/>
        <w:bidi w:val="0"/>
        <w:spacing w:line="36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（五）履约保证金</w:t>
      </w:r>
    </w:p>
    <w:p w14:paraId="35E9F28C">
      <w:pPr>
        <w:kinsoku/>
        <w:wordWrap w:val="0"/>
        <w:overflowPunct/>
        <w:bidi w:val="0"/>
        <w:snapToGrid w:val="0"/>
        <w:spacing w:line="360" w:lineRule="auto"/>
        <w:ind w:firstLine="440" w:firstLineChars="200"/>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作为履行本合同的担保，在合同签订前提交履约担保。履约担保为签约合同价的1%。以银行转账、转帐支票、银行汇票或银行、保险公司、融资担保公司出具的保函等非现金形式交纳。</w:t>
      </w:r>
    </w:p>
    <w:p w14:paraId="10E3A71F">
      <w:pPr>
        <w:kinsoku/>
        <w:wordWrap w:val="0"/>
        <w:overflowPunct/>
        <w:bidi w:val="0"/>
        <w:spacing w:line="360" w:lineRule="auto"/>
        <w:ind w:firstLine="420" w:firstLineChars="0"/>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rPr>
        <w:t>1）若采用保函形式的，应满足以下几个条件</w:t>
      </w:r>
      <w:r>
        <w:rPr>
          <w:rFonts w:hint="eastAsia" w:ascii="宋体" w:hAnsi="宋体" w:eastAsia="宋体" w:cs="宋体"/>
          <w:b w:val="0"/>
          <w:bCs w:val="0"/>
          <w:color w:val="auto"/>
          <w:sz w:val="22"/>
          <w:szCs w:val="22"/>
          <w:highlight w:val="none"/>
          <w:lang w:eastAsia="zh-CN"/>
        </w:rPr>
        <w:t>：</w:t>
      </w:r>
    </w:p>
    <w:p w14:paraId="55A8EB04">
      <w:pPr>
        <w:kinsoku/>
        <w:wordWrap w:val="0"/>
        <w:overflowPunct/>
        <w:bidi w:val="0"/>
        <w:spacing w:line="360" w:lineRule="auto"/>
        <w:ind w:firstLine="420" w:firstLineChars="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①保函期限</w:t>
      </w:r>
      <w:r>
        <w:rPr>
          <w:rFonts w:hint="eastAsia" w:ascii="宋体" w:hAnsi="宋体" w:eastAsia="宋体" w:cs="宋体"/>
          <w:b w:val="0"/>
          <w:bCs w:val="0"/>
          <w:color w:val="auto"/>
          <w:sz w:val="22"/>
          <w:szCs w:val="22"/>
          <w:highlight w:val="none"/>
          <w:lang w:eastAsia="zh-CN"/>
        </w:rPr>
        <w:t>：合同签订之日起</w:t>
      </w:r>
      <w:r>
        <w:rPr>
          <w:rFonts w:hint="eastAsia" w:ascii="宋体" w:hAnsi="宋体" w:eastAsia="宋体" w:cs="宋体"/>
          <w:b w:val="0"/>
          <w:bCs w:val="0"/>
          <w:color w:val="auto"/>
          <w:sz w:val="22"/>
          <w:szCs w:val="22"/>
          <w:highlight w:val="none"/>
          <w:lang w:val="en-US" w:eastAsia="zh-CN"/>
        </w:rPr>
        <w:t>直至工程质量缺陷期结束的所有工作内容以及项目房屋不动产权（大产权）首次登记证办理完成后满12个月为止</w:t>
      </w:r>
      <w:r>
        <w:rPr>
          <w:rFonts w:hint="eastAsia" w:ascii="宋体" w:hAnsi="宋体" w:eastAsia="宋体" w:cs="宋体"/>
          <w:b w:val="0"/>
          <w:bCs w:val="0"/>
          <w:color w:val="auto"/>
          <w:sz w:val="22"/>
          <w:szCs w:val="22"/>
          <w:highlight w:val="none"/>
          <w:lang w:eastAsia="zh-CN"/>
        </w:rPr>
        <w:t>。</w:t>
      </w:r>
    </w:p>
    <w:p w14:paraId="42F06F17">
      <w:pPr>
        <w:kinsoku/>
        <w:wordWrap w:val="0"/>
        <w:overflowPunct/>
        <w:bidi w:val="0"/>
        <w:spacing w:line="360" w:lineRule="auto"/>
        <w:ind w:firstLine="420" w:firstLineChars="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②如果由于服务期延误或保函出具机构要求分期出具保函的，则在前一份保函有效期满之日20日前必须重新出具相同内容的保函。</w:t>
      </w:r>
    </w:p>
    <w:p w14:paraId="228F41C6">
      <w:pPr>
        <w:kinsoku/>
        <w:wordWrap w:val="0"/>
        <w:overflowPunct/>
        <w:bidi w:val="0"/>
        <w:spacing w:line="360" w:lineRule="auto"/>
        <w:ind w:firstLine="420" w:firstLineChars="0"/>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rPr>
        <w:t>2）以银行转账、转帐支票、银行汇票等形式提交的</w:t>
      </w:r>
      <w:r>
        <w:rPr>
          <w:rFonts w:hint="eastAsia" w:ascii="宋体" w:hAnsi="宋体" w:eastAsia="宋体" w:cs="宋体"/>
          <w:b w:val="0"/>
          <w:bCs w:val="0"/>
          <w:color w:val="auto"/>
          <w:sz w:val="22"/>
          <w:szCs w:val="22"/>
          <w:highlight w:val="none"/>
          <w:lang w:eastAsia="zh-CN"/>
        </w:rPr>
        <w:t>：</w:t>
      </w:r>
    </w:p>
    <w:p w14:paraId="37531413">
      <w:pPr>
        <w:kinsoku/>
        <w:wordWrap w:val="0"/>
        <w:overflowPunct/>
        <w:bidi w:val="0"/>
        <w:spacing w:line="360" w:lineRule="auto"/>
        <w:ind w:firstLine="420" w:firstLineChars="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①从成交供应商基本账户转出；</w:t>
      </w:r>
    </w:p>
    <w:p w14:paraId="018EA89B">
      <w:pPr>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b w:val="0"/>
          <w:bCs w:val="0"/>
          <w:color w:val="auto"/>
          <w:sz w:val="22"/>
          <w:szCs w:val="22"/>
          <w:highlight w:val="none"/>
        </w:rPr>
        <w:t>②</w:t>
      </w:r>
      <w:r>
        <w:rPr>
          <w:rFonts w:hint="eastAsia" w:ascii="宋体" w:hAnsi="宋体" w:eastAsia="宋体" w:cs="宋体"/>
          <w:b w:val="0"/>
          <w:bCs w:val="0"/>
          <w:color w:val="auto"/>
          <w:sz w:val="22"/>
          <w:szCs w:val="22"/>
          <w:highlight w:val="none"/>
          <w:lang w:eastAsia="zh-CN"/>
        </w:rPr>
        <w:t>履约保证金</w:t>
      </w:r>
      <w:r>
        <w:rPr>
          <w:rFonts w:hint="eastAsia" w:ascii="宋体" w:hAnsi="宋体" w:eastAsia="宋体" w:cs="宋体"/>
          <w:b w:val="0"/>
          <w:bCs w:val="0"/>
          <w:color w:val="auto"/>
          <w:sz w:val="22"/>
          <w:szCs w:val="22"/>
          <w:highlight w:val="none"/>
        </w:rPr>
        <w:t>退还时间</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lang w:val="en-US" w:eastAsia="zh-CN"/>
        </w:rPr>
        <w:t>工程质量缺陷期结束以及项目房屋不动产权（大产权）首次登记证办理完成后满12个月</w:t>
      </w:r>
      <w:r>
        <w:rPr>
          <w:rFonts w:hint="eastAsia" w:ascii="宋体" w:hAnsi="宋体" w:eastAsia="宋体" w:cs="宋体"/>
          <w:b w:val="0"/>
          <w:bCs w:val="0"/>
          <w:color w:val="auto"/>
          <w:sz w:val="22"/>
          <w:szCs w:val="22"/>
          <w:highlight w:val="none"/>
        </w:rPr>
        <w:t>之日起10日内予以全部退还（无息）。</w:t>
      </w:r>
    </w:p>
    <w:p w14:paraId="704FE8AD">
      <w:pPr>
        <w:kinsoku/>
        <w:wordWrap w:val="0"/>
        <w:overflowPunct/>
        <w:bidi w:val="0"/>
        <w:snapToGrid w:val="0"/>
        <w:spacing w:line="360" w:lineRule="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第六条 其他事项</w:t>
      </w:r>
    </w:p>
    <w:p w14:paraId="1ACB570E">
      <w:pPr>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1、本合同中的[第一部分 协议书]、［第二部分 合同条件］、［第三部分 合同附件］为本合同的有机组成部分，不可分割，具有同等法律效力。</w:t>
      </w:r>
    </w:p>
    <w:p w14:paraId="0FD659FF">
      <w:pPr>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2、本合同自双方法定代表人或者授权代表人签字并加盖公章之日起生效。</w:t>
      </w:r>
    </w:p>
    <w:p w14:paraId="4A144766">
      <w:pPr>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、本合同一式【</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】份，甲方执【</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】份，乙方执【</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】份，各文本具有同等法律效力。</w:t>
      </w:r>
    </w:p>
    <w:p w14:paraId="1641A8ED">
      <w:pPr>
        <w:pStyle w:val="10"/>
        <w:kinsoku/>
        <w:wordWrap w:val="0"/>
        <w:overflowPunct/>
        <w:bidi w:val="0"/>
        <w:rPr>
          <w:rFonts w:hint="eastAsia" w:ascii="宋体" w:hAnsi="宋体" w:eastAsia="宋体" w:cs="宋体"/>
          <w:color w:val="auto"/>
          <w:sz w:val="22"/>
          <w:szCs w:val="22"/>
          <w:highlight w:val="none"/>
        </w:rPr>
      </w:pPr>
    </w:p>
    <w:p w14:paraId="49EF3821">
      <w:pPr>
        <w:pStyle w:val="76"/>
        <w:kinsoku/>
        <w:wordWrap w:val="0"/>
        <w:overflowPunct/>
        <w:bidi w:val="0"/>
        <w:snapToGrid w:val="0"/>
        <w:spacing w:before="0" w:after="60" w:afterLines="25" w:line="360" w:lineRule="auto"/>
        <w:ind w:left="0" w:right="26"/>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甲方：</w:t>
      </w:r>
      <w:r>
        <w:rPr>
          <w:rFonts w:hint="eastAsia" w:ascii="宋体" w:hAnsi="宋体" w:eastAsia="宋体" w:cs="宋体"/>
          <w:b/>
          <w:color w:val="auto"/>
          <w:sz w:val="22"/>
          <w:szCs w:val="22"/>
          <w:highlight w:val="none"/>
          <w:u w:val="single"/>
        </w:rPr>
        <w:t xml:space="preserve">             </w:t>
      </w:r>
      <w:r>
        <w:rPr>
          <w:rFonts w:hint="eastAsia" w:ascii="宋体" w:hAnsi="宋体" w:eastAsia="宋体" w:cs="宋体"/>
          <w:b/>
          <w:color w:val="auto"/>
          <w:sz w:val="22"/>
          <w:szCs w:val="22"/>
          <w:highlight w:val="none"/>
          <w:u w:val="single"/>
          <w:lang w:val="en-US" w:eastAsia="zh-CN"/>
        </w:rPr>
        <w:t xml:space="preserve">       </w:t>
      </w:r>
      <w:r>
        <w:rPr>
          <w:rFonts w:hint="eastAsia" w:ascii="宋体" w:hAnsi="宋体" w:eastAsia="宋体" w:cs="宋体"/>
          <w:b/>
          <w:color w:val="auto"/>
          <w:sz w:val="22"/>
          <w:szCs w:val="22"/>
          <w:highlight w:val="none"/>
          <w:u w:val="single"/>
        </w:rPr>
        <w:t xml:space="preserve">     </w:t>
      </w:r>
      <w:r>
        <w:rPr>
          <w:rFonts w:hint="eastAsia" w:ascii="宋体" w:hAnsi="宋体" w:eastAsia="宋体" w:cs="宋体"/>
          <w:b/>
          <w:color w:val="auto"/>
          <w:sz w:val="22"/>
          <w:szCs w:val="22"/>
          <w:highlight w:val="none"/>
        </w:rPr>
        <w:t>（公章）</w:t>
      </w:r>
      <w:r>
        <w:rPr>
          <w:rFonts w:hint="eastAsia" w:ascii="宋体" w:hAnsi="宋体" w:eastAsia="宋体" w:cs="宋体"/>
          <w:b/>
          <w:color w:val="auto"/>
          <w:sz w:val="22"/>
          <w:szCs w:val="22"/>
          <w:highlight w:val="none"/>
          <w:lang w:val="en-US" w:eastAsia="zh-CN"/>
        </w:rPr>
        <w:t xml:space="preserve">      </w:t>
      </w:r>
      <w:r>
        <w:rPr>
          <w:rFonts w:hint="eastAsia" w:ascii="宋体" w:hAnsi="宋体" w:eastAsia="宋体" w:cs="宋体"/>
          <w:b/>
          <w:color w:val="auto"/>
          <w:sz w:val="22"/>
          <w:szCs w:val="22"/>
          <w:highlight w:val="none"/>
        </w:rPr>
        <w:t>甲方：</w:t>
      </w:r>
      <w:r>
        <w:rPr>
          <w:rFonts w:hint="eastAsia" w:ascii="宋体" w:hAnsi="宋体" w:eastAsia="宋体" w:cs="宋体"/>
          <w:b/>
          <w:color w:val="auto"/>
          <w:sz w:val="22"/>
          <w:szCs w:val="22"/>
          <w:highlight w:val="none"/>
          <w:u w:val="single"/>
        </w:rPr>
        <w:t xml:space="preserve">             </w:t>
      </w:r>
      <w:r>
        <w:rPr>
          <w:rFonts w:hint="eastAsia" w:ascii="宋体" w:hAnsi="宋体" w:eastAsia="宋体" w:cs="宋体"/>
          <w:b/>
          <w:color w:val="auto"/>
          <w:sz w:val="22"/>
          <w:szCs w:val="22"/>
          <w:highlight w:val="none"/>
          <w:u w:val="single"/>
          <w:lang w:val="en-US" w:eastAsia="zh-CN"/>
        </w:rPr>
        <w:t xml:space="preserve">      </w:t>
      </w:r>
      <w:r>
        <w:rPr>
          <w:rFonts w:hint="eastAsia" w:ascii="宋体" w:hAnsi="宋体" w:eastAsia="宋体" w:cs="宋体"/>
          <w:b/>
          <w:color w:val="auto"/>
          <w:sz w:val="22"/>
          <w:szCs w:val="22"/>
          <w:highlight w:val="none"/>
          <w:u w:val="single"/>
        </w:rPr>
        <w:t xml:space="preserve">     </w:t>
      </w:r>
      <w:r>
        <w:rPr>
          <w:rFonts w:hint="eastAsia" w:ascii="宋体" w:hAnsi="宋体" w:eastAsia="宋体" w:cs="宋体"/>
          <w:b/>
          <w:color w:val="auto"/>
          <w:sz w:val="22"/>
          <w:szCs w:val="22"/>
          <w:highlight w:val="none"/>
        </w:rPr>
        <w:t>（公章）</w:t>
      </w:r>
    </w:p>
    <w:p w14:paraId="241BBB40">
      <w:pPr>
        <w:pStyle w:val="76"/>
        <w:kinsoku/>
        <w:wordWrap w:val="0"/>
        <w:overflowPunct/>
        <w:bidi w:val="0"/>
        <w:snapToGrid w:val="0"/>
        <w:spacing w:before="0" w:after="60" w:afterLines="25" w:line="360" w:lineRule="auto"/>
        <w:ind w:left="0" w:right="26"/>
        <w:rPr>
          <w:rFonts w:hint="eastAsia" w:ascii="宋体" w:hAnsi="宋体" w:eastAsia="宋体" w:cs="宋体"/>
          <w:b/>
          <w:color w:val="auto"/>
          <w:sz w:val="22"/>
          <w:szCs w:val="22"/>
          <w:highlight w:val="none"/>
          <w:lang w:val="en-US" w:eastAsia="zh-CN"/>
        </w:rPr>
      </w:pPr>
    </w:p>
    <w:p w14:paraId="208DE7A8">
      <w:pPr>
        <w:pStyle w:val="76"/>
        <w:kinsoku/>
        <w:wordWrap w:val="0"/>
        <w:overflowPunct/>
        <w:bidi w:val="0"/>
        <w:snapToGrid w:val="0"/>
        <w:spacing w:before="0" w:after="60" w:afterLines="25" w:line="360" w:lineRule="auto"/>
        <w:ind w:left="0" w:right="28"/>
        <w:rPr>
          <w:rFonts w:hint="eastAsia" w:ascii="宋体" w:hAnsi="宋体" w:eastAsia="宋体" w:cs="宋体"/>
          <w:color w:val="auto"/>
          <w:sz w:val="22"/>
          <w:szCs w:val="22"/>
          <w:highlight w:val="none"/>
          <w:u w:val="single"/>
          <w:lang w:val="en-US" w:eastAsia="zh-CN"/>
        </w:rPr>
      </w:pPr>
      <w:r>
        <w:rPr>
          <w:rFonts w:hint="eastAsia" w:ascii="宋体" w:hAnsi="宋体" w:eastAsia="宋体" w:cs="宋体"/>
          <w:color w:val="auto"/>
          <w:sz w:val="22"/>
          <w:szCs w:val="22"/>
          <w:highlight w:val="none"/>
        </w:rPr>
        <w:t>法定代表人或</w:t>
      </w:r>
      <w:r>
        <w:rPr>
          <w:rFonts w:hint="eastAsia" w:ascii="宋体" w:hAnsi="宋体" w:eastAsia="宋体" w:cs="宋体"/>
          <w:color w:val="auto"/>
          <w:sz w:val="22"/>
          <w:szCs w:val="22"/>
          <w:highlight w:val="none"/>
          <w:lang w:val="en-US" w:eastAsia="zh-CN"/>
        </w:rPr>
        <w:t>委托代理人</w:t>
      </w:r>
      <w:r>
        <w:rPr>
          <w:rFonts w:hint="eastAsia" w:ascii="宋体" w:hAnsi="宋体" w:eastAsia="宋体" w:cs="宋体"/>
          <w:color w:val="auto"/>
          <w:sz w:val="22"/>
          <w:szCs w:val="22"/>
          <w:highlight w:val="none"/>
        </w:rPr>
        <w:t>（签字）：</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none"/>
          <w:lang w:val="en-US" w:eastAsia="zh-CN"/>
        </w:rPr>
        <w:t xml:space="preserve">    法定代表人或委托代理人</w:t>
      </w:r>
      <w:r>
        <w:rPr>
          <w:rFonts w:hint="eastAsia" w:ascii="宋体" w:hAnsi="宋体" w:eastAsia="宋体" w:cs="宋体"/>
          <w:color w:val="auto"/>
          <w:sz w:val="22"/>
          <w:szCs w:val="22"/>
          <w:highlight w:val="none"/>
        </w:rPr>
        <w:t>（签字）：</w:t>
      </w:r>
      <w:r>
        <w:rPr>
          <w:rFonts w:hint="eastAsia" w:ascii="宋体" w:hAnsi="宋体" w:eastAsia="宋体" w:cs="宋体"/>
          <w:color w:val="auto"/>
          <w:sz w:val="22"/>
          <w:szCs w:val="22"/>
          <w:highlight w:val="none"/>
          <w:u w:val="single"/>
        </w:rPr>
        <w:t xml:space="preserve">        </w:t>
      </w:r>
    </w:p>
    <w:p w14:paraId="32E6B603">
      <w:pPr>
        <w:pStyle w:val="76"/>
        <w:kinsoku/>
        <w:wordWrap w:val="0"/>
        <w:overflowPunct/>
        <w:bidi w:val="0"/>
        <w:snapToGrid w:val="0"/>
        <w:spacing w:before="0" w:after="60" w:afterLines="25" w:line="360" w:lineRule="auto"/>
        <w:ind w:left="0" w:right="28"/>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开户银行：</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开户银行：</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p>
    <w:p w14:paraId="18F82F2D">
      <w:pPr>
        <w:pStyle w:val="76"/>
        <w:kinsoku/>
        <w:wordWrap w:val="0"/>
        <w:overflowPunct/>
        <w:bidi w:val="0"/>
        <w:snapToGrid w:val="0"/>
        <w:spacing w:before="0" w:after="60" w:afterLines="25" w:line="360" w:lineRule="auto"/>
        <w:ind w:left="0" w:right="28"/>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账号：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账号：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p>
    <w:p w14:paraId="383ABDE2">
      <w:pPr>
        <w:pStyle w:val="76"/>
        <w:kinsoku/>
        <w:wordWrap w:val="0"/>
        <w:overflowPunct/>
        <w:bidi w:val="0"/>
        <w:snapToGrid w:val="0"/>
        <w:spacing w:before="0" w:after="60" w:afterLines="25" w:line="360" w:lineRule="auto"/>
        <w:ind w:left="0" w:right="26"/>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电话：</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电话：</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p>
    <w:p w14:paraId="05265EB2">
      <w:pPr>
        <w:pStyle w:val="76"/>
        <w:kinsoku/>
        <w:wordWrap w:val="0"/>
        <w:overflowPunct/>
        <w:bidi w:val="0"/>
        <w:snapToGrid w:val="0"/>
        <w:spacing w:before="0" w:after="60" w:afterLines="25" w:line="360" w:lineRule="auto"/>
        <w:ind w:left="0" w:right="28"/>
        <w:rPr>
          <w:rFonts w:ascii="宋体" w:hAnsi="宋体"/>
          <w:color w:val="auto"/>
          <w:highlight w:val="none"/>
        </w:rPr>
      </w:pPr>
    </w:p>
    <w:p w14:paraId="55FB3926">
      <w:pPr>
        <w:kinsoku/>
        <w:wordWrap w:val="0"/>
        <w:overflowPunct/>
        <w:bidi w:val="0"/>
        <w:snapToGrid w:val="0"/>
        <w:spacing w:after="60" w:afterLines="25" w:line="360" w:lineRule="auto"/>
        <w:jc w:val="center"/>
        <w:outlineLvl w:val="0"/>
        <w:rPr>
          <w:rFonts w:ascii="宋体" w:hAnsi="宋体" w:cs="宋体"/>
          <w:b/>
          <w:color w:val="auto"/>
          <w:sz w:val="24"/>
          <w:highlight w:val="none"/>
        </w:rPr>
      </w:pPr>
      <w:bookmarkStart w:id="46" w:name="_Toc321754636"/>
      <w:r>
        <w:rPr>
          <w:rFonts w:ascii="宋体" w:hAnsi="宋体"/>
          <w:color w:val="auto"/>
          <w:sz w:val="24"/>
          <w:highlight w:val="none"/>
        </w:rPr>
        <w:br w:type="page"/>
      </w:r>
      <w:bookmarkStart w:id="47" w:name="_Toc6789"/>
      <w:bookmarkStart w:id="48" w:name="_Toc29797"/>
      <w:bookmarkStart w:id="49" w:name="_Toc16910"/>
      <w:r>
        <w:rPr>
          <w:rFonts w:hint="eastAsia" w:ascii="宋体" w:hAnsi="宋体" w:cs="宋体"/>
          <w:b/>
          <w:color w:val="auto"/>
          <w:sz w:val="28"/>
          <w:szCs w:val="28"/>
          <w:highlight w:val="none"/>
        </w:rPr>
        <w:t>第二部分</w:t>
      </w:r>
      <w:r>
        <w:rPr>
          <w:rFonts w:ascii="宋体" w:hAnsi="宋体" w:cs="宋体"/>
          <w:b/>
          <w:color w:val="auto"/>
          <w:sz w:val="28"/>
          <w:szCs w:val="28"/>
          <w:highlight w:val="none"/>
        </w:rPr>
        <w:t xml:space="preserve">  </w:t>
      </w:r>
      <w:r>
        <w:rPr>
          <w:rFonts w:hint="eastAsia" w:ascii="宋体" w:hAnsi="宋体" w:cs="宋体"/>
          <w:b/>
          <w:color w:val="auto"/>
          <w:sz w:val="28"/>
          <w:szCs w:val="28"/>
          <w:highlight w:val="none"/>
        </w:rPr>
        <w:t>合同条件</w:t>
      </w:r>
      <w:bookmarkEnd w:id="46"/>
      <w:bookmarkEnd w:id="47"/>
      <w:bookmarkEnd w:id="48"/>
      <w:bookmarkEnd w:id="49"/>
    </w:p>
    <w:p w14:paraId="3CDC224B">
      <w:pPr>
        <w:keepNext w:val="0"/>
        <w:keepLines w:val="0"/>
        <w:pageBreakBefore w:val="0"/>
        <w:widowControl w:val="0"/>
        <w:numPr>
          <w:ilvl w:val="0"/>
          <w:numId w:val="0"/>
        </w:numPr>
        <w:kinsoku/>
        <w:wordWrap w:val="0"/>
        <w:overflowPunct/>
        <w:topLinePunct w:val="0"/>
        <w:autoSpaceDE/>
        <w:autoSpaceDN/>
        <w:bidi w:val="0"/>
        <w:adjustRightInd/>
        <w:snapToGrid w:val="0"/>
        <w:spacing w:line="360" w:lineRule="auto"/>
        <w:ind w:leftChars="0"/>
        <w:jc w:val="center"/>
        <w:textAlignment w:val="auto"/>
        <w:outlineLvl w:val="1"/>
        <w:rPr>
          <w:rFonts w:hint="eastAsia" w:ascii="宋体" w:hAnsi="宋体" w:eastAsia="宋体" w:cs="宋体"/>
          <w:b/>
          <w:bCs/>
          <w:color w:val="auto"/>
          <w:sz w:val="22"/>
          <w:szCs w:val="22"/>
          <w:highlight w:val="none"/>
        </w:rPr>
      </w:pPr>
      <w:bookmarkStart w:id="50" w:name="_Toc14478"/>
      <w:bookmarkStart w:id="51" w:name="_Toc20495"/>
      <w:bookmarkStart w:id="52" w:name="_Toc321754637"/>
      <w:bookmarkStart w:id="53" w:name="_Toc16218"/>
      <w:r>
        <w:rPr>
          <w:rFonts w:hint="eastAsia" w:ascii="宋体" w:hAnsi="宋体" w:eastAsia="宋体" w:cs="宋体"/>
          <w:b/>
          <w:bCs/>
          <w:color w:val="auto"/>
          <w:sz w:val="22"/>
          <w:szCs w:val="22"/>
          <w:highlight w:val="none"/>
          <w:lang w:val="en-US" w:eastAsia="zh-CN"/>
        </w:rPr>
        <w:t>一、</w:t>
      </w:r>
      <w:r>
        <w:rPr>
          <w:rFonts w:hint="eastAsia" w:ascii="宋体" w:hAnsi="宋体" w:eastAsia="宋体" w:cs="宋体"/>
          <w:b/>
          <w:bCs/>
          <w:color w:val="auto"/>
          <w:sz w:val="22"/>
          <w:szCs w:val="22"/>
          <w:highlight w:val="none"/>
        </w:rPr>
        <w:t>管理团队和管理原则</w:t>
      </w:r>
      <w:bookmarkEnd w:id="50"/>
      <w:bookmarkEnd w:id="51"/>
      <w:bookmarkEnd w:id="52"/>
      <w:bookmarkEnd w:id="53"/>
    </w:p>
    <w:p w14:paraId="70BD4B5E">
      <w:pPr>
        <w:keepNext w:val="0"/>
        <w:keepLines w:val="0"/>
        <w:pageBreakBefore w:val="0"/>
        <w:widowControl w:val="0"/>
        <w:kinsoku/>
        <w:wordWrap w:val="0"/>
        <w:overflowPunct/>
        <w:topLinePunct w:val="0"/>
        <w:autoSpaceDE/>
        <w:autoSpaceDN/>
        <w:bidi w:val="0"/>
        <w:adjustRightInd/>
        <w:snapToGrid w:val="0"/>
        <w:spacing w:line="360" w:lineRule="auto"/>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第一条 项目管理团队</w:t>
      </w:r>
    </w:p>
    <w:p w14:paraId="4B94826C">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1、乙方负责组建项目管理团队，就本合同范围内的受托管理事项对甲方负责。</w:t>
      </w:r>
      <w:bookmarkStart w:id="54" w:name="_Hlk21446467"/>
      <w:bookmarkEnd w:id="54"/>
      <w:r>
        <w:rPr>
          <w:rFonts w:hint="eastAsia" w:ascii="宋体" w:hAnsi="宋体" w:eastAsia="宋体" w:cs="宋体"/>
          <w:color w:val="auto"/>
          <w:sz w:val="22"/>
          <w:szCs w:val="22"/>
          <w:highlight w:val="none"/>
        </w:rPr>
        <w:t>项目管理团队人员编制及配置要求如下：</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lang w:val="en-US" w:eastAsia="zh-CN"/>
        </w:rPr>
        <w:t>项目管理团队人员名单在签订合同时提交甲方，作为合同的组成部分</w:t>
      </w:r>
      <w:r>
        <w:rPr>
          <w:rFonts w:hint="eastAsia" w:ascii="宋体" w:hAnsi="宋体" w:eastAsia="宋体" w:cs="宋体"/>
          <w:b w:val="0"/>
          <w:bCs w:val="0"/>
          <w:color w:val="auto"/>
          <w:sz w:val="22"/>
          <w:szCs w:val="22"/>
          <w:highlight w:val="none"/>
          <w:lang w:eastAsia="zh-CN"/>
        </w:rPr>
        <w:t>）</w:t>
      </w:r>
    </w:p>
    <w:p w14:paraId="708FF301">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项目管理团队包括项目负责人1人，设计负责人1人、工程负责人1人、成本招采负责人1人、财务管理人员1人。设计专业人员、工程管理人员及其他人员根据全景开发计划按需配置按阶段到岗。</w:t>
      </w:r>
    </w:p>
    <w:p w14:paraId="21601474">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项目管理团队人员到位时间为甲方发出通知后15天内，逾期视为未到位，项目负责人、工程负责人按项目负责人、工程负责人到位率违约处理，</w:t>
      </w:r>
      <w:r>
        <w:rPr>
          <w:rFonts w:hint="eastAsia" w:ascii="宋体" w:hAnsi="宋体" w:eastAsia="宋体" w:cs="宋体"/>
          <w:color w:val="auto"/>
          <w:sz w:val="22"/>
          <w:szCs w:val="22"/>
          <w:highlight w:val="none"/>
        </w:rPr>
        <w:t>项目管理团队</w:t>
      </w:r>
      <w:r>
        <w:rPr>
          <w:rFonts w:hint="eastAsia" w:ascii="宋体" w:hAnsi="宋体" w:eastAsia="宋体" w:cs="宋体"/>
          <w:color w:val="auto"/>
          <w:sz w:val="22"/>
          <w:szCs w:val="22"/>
          <w:highlight w:val="none"/>
          <w:lang w:val="en-US" w:eastAsia="zh-CN"/>
        </w:rPr>
        <w:t>除项目负责人、工程负责人外的人员按工程负责人到位率违约处理。</w:t>
      </w:r>
    </w:p>
    <w:p w14:paraId="549B0B64">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2、根据工作需要，甲方可自行委派除财务管理人员、行政管理人员之外其他人员进入管理团队。</w:t>
      </w:r>
    </w:p>
    <w:p w14:paraId="40AF24A8">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3、乙方</w:t>
      </w:r>
      <w:r>
        <w:rPr>
          <w:rFonts w:hint="eastAsia" w:ascii="宋体" w:hAnsi="宋体" w:eastAsia="宋体" w:cs="宋体"/>
          <w:color w:val="auto"/>
          <w:sz w:val="22"/>
          <w:szCs w:val="22"/>
          <w:highlight w:val="none"/>
          <w:lang w:val="en-US" w:eastAsia="zh-CN"/>
        </w:rPr>
        <w:t>委派的</w:t>
      </w:r>
      <w:r>
        <w:rPr>
          <w:rFonts w:hint="eastAsia" w:ascii="宋体" w:hAnsi="宋体" w:eastAsia="宋体" w:cs="宋体"/>
          <w:color w:val="auto"/>
          <w:sz w:val="22"/>
          <w:szCs w:val="22"/>
          <w:highlight w:val="none"/>
        </w:rPr>
        <w:t>项目管理团队，</w:t>
      </w:r>
      <w:bookmarkStart w:id="55" w:name="_Hlk24104381"/>
      <w:r>
        <w:rPr>
          <w:rFonts w:hint="eastAsia" w:ascii="宋体" w:hAnsi="宋体" w:eastAsia="宋体" w:cs="宋体"/>
          <w:color w:val="auto"/>
          <w:sz w:val="22"/>
          <w:szCs w:val="22"/>
          <w:highlight w:val="none"/>
        </w:rPr>
        <w:t>未经甲方同意不得随意更换</w:t>
      </w:r>
      <w:bookmarkEnd w:id="55"/>
      <w:r>
        <w:rPr>
          <w:rFonts w:hint="eastAsia" w:ascii="宋体" w:hAnsi="宋体" w:eastAsia="宋体" w:cs="宋体"/>
          <w:color w:val="auto"/>
          <w:sz w:val="22"/>
          <w:szCs w:val="22"/>
          <w:highlight w:val="none"/>
        </w:rPr>
        <w:t>。但在本合同履行过程中，乙方委派人员离职的，乙方可另行委派不低于原人员标准的人员接替相应工作。</w:t>
      </w:r>
    </w:p>
    <w:p w14:paraId="3399E568">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乙方委派团队履行甲方经营管理班子的相关职责，并在甲方委托范围内以甲方名义对外开展工作。乙方委派的项目负责人在该项目管理过程中，履行本合同约定的项目总经理的职权（以下称：“项目总经理”），对项目管理团队进行统一管理（不包括甲方派驻人员）。</w:t>
      </w:r>
    </w:p>
    <w:p w14:paraId="192B977E">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乙方委派人员应具备符合相应岗位要求的工作经验和专业技能，保证能够胜任本项目的管理工作，若不能胜任，甲方有权要求乙方调整，确保委派人员能力与岗位的匹配。</w:t>
      </w:r>
    </w:p>
    <w:p w14:paraId="17F25704">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项目总经理在合同生效后【15】日内到岗（或其它双方约定的委派节点）。乙方其他委派人员根据项目开发进度情况逐步到位，具体到岗日期以乙方签发并经甲方同意的人员委派函为准。在保证项目开发需要的情况下，乙方可统筹安排委派到项目的人员。</w:t>
      </w:r>
    </w:p>
    <w:p w14:paraId="31B0B38D">
      <w:pPr>
        <w:keepNext w:val="0"/>
        <w:keepLines w:val="0"/>
        <w:pageBreakBefore w:val="0"/>
        <w:widowControl w:val="0"/>
        <w:kinsoku/>
        <w:wordWrap w:val="0"/>
        <w:overflowPunct/>
        <w:topLinePunct w:val="0"/>
        <w:autoSpaceDE/>
        <w:autoSpaceDN/>
        <w:bidi w:val="0"/>
        <w:adjustRightInd/>
        <w:snapToGrid w:val="0"/>
        <w:spacing w:line="360" w:lineRule="auto"/>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第二条 甲乙双方代表</w:t>
      </w:r>
    </w:p>
    <w:p w14:paraId="4227FD73">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1、甲乙双方均需各自指定专人（1人）为本合同履行过程中双方的代表，甲方代表为：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，乙方代表为：</w:t>
      </w:r>
      <w:r>
        <w:rPr>
          <w:rFonts w:hint="eastAsia" w:ascii="宋体" w:hAnsi="宋体" w:eastAsia="宋体" w:cs="宋体"/>
          <w:color w:val="auto"/>
          <w:sz w:val="22"/>
          <w:szCs w:val="22"/>
          <w:highlight w:val="none"/>
          <w:u w:val="single"/>
        </w:rPr>
        <w:t xml:space="preserve">       （即项目负责人） </w:t>
      </w:r>
      <w:r>
        <w:rPr>
          <w:rFonts w:hint="eastAsia" w:ascii="宋体" w:hAnsi="宋体" w:eastAsia="宋体" w:cs="宋体"/>
          <w:color w:val="auto"/>
          <w:sz w:val="22"/>
          <w:szCs w:val="22"/>
          <w:highlight w:val="none"/>
        </w:rPr>
        <w:t>。</w:t>
      </w:r>
    </w:p>
    <w:p w14:paraId="5B044D41">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甲乙双方之间有关文件的传递、接收以及指令的发布等均由各自代表签字确认，但双方代表对文件的签收并不表明对签收文件内容的确认。任何与本合同条款内容不一致或对本合同条款内容进行补充、变更的文件，均须由甲乙双方法定代表人或授权代表签字并加盖公章后生效。</w:t>
      </w:r>
    </w:p>
    <w:p w14:paraId="16E6ABAB">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3、甲乙双方均必须以书面方式对各自代表进行授权，代表双方履行各自的权利和义务。为提高工作效率，确保本合同的顺利履行，甲方授权甲方代表行使下列职权：</w:t>
      </w:r>
    </w:p>
    <w:p w14:paraId="3B43EFCA">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（1）代表甲方审核、接受乙方提出的项目开发计划；</w:t>
      </w:r>
    </w:p>
    <w:p w14:paraId="11D0B4D0">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（2）对乙方管理中的相关行为进行签证审批；</w:t>
      </w:r>
    </w:p>
    <w:p w14:paraId="39F90F59">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（3）代表甲方签收乙方的管理工作报告；</w:t>
      </w:r>
    </w:p>
    <w:p w14:paraId="68F6FA72">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（4）代表甲方批准重大设计变更；</w:t>
      </w:r>
    </w:p>
    <w:p w14:paraId="53D4A57C">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（5）参与项目设计、招投标等业务会议；</w:t>
      </w:r>
    </w:p>
    <w:p w14:paraId="1012CDE2">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（6）代表甲方进行现场检查，提出监督和整改意见；</w:t>
      </w:r>
    </w:p>
    <w:p w14:paraId="5879A484">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（7）代表甲方检查财务帐簿和凭证；</w:t>
      </w:r>
    </w:p>
    <w:p w14:paraId="165F99C7">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（8）甲方授权行使的其他权利。</w:t>
      </w:r>
    </w:p>
    <w:p w14:paraId="650886C7">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4、双方代表在授权范围内行使本合同的权利并履行本合同的义务，在授权范围内由双方代表签署的意见即视为甲乙双方对该项事务的处理意见，本合同另有约定的除外。</w:t>
      </w:r>
    </w:p>
    <w:p w14:paraId="45697EBC">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5、乙方更换代表人选的，必须提前5日以书面形式加盖公司印章告知甲方并经甲方同意方可更换。</w:t>
      </w:r>
    </w:p>
    <w:p w14:paraId="712C7642">
      <w:pPr>
        <w:keepNext w:val="0"/>
        <w:keepLines w:val="0"/>
        <w:pageBreakBefore w:val="0"/>
        <w:widowControl w:val="0"/>
        <w:kinsoku/>
        <w:wordWrap w:val="0"/>
        <w:overflowPunct/>
        <w:topLinePunct w:val="0"/>
        <w:autoSpaceDE/>
        <w:autoSpaceDN/>
        <w:bidi w:val="0"/>
        <w:adjustRightInd/>
        <w:snapToGrid w:val="0"/>
        <w:spacing w:line="360" w:lineRule="auto"/>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第三条 人力资源管理</w:t>
      </w:r>
    </w:p>
    <w:p w14:paraId="0C0E56F4">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项目管理团队的人员编制由乙方提出方案，报甲方备案后执行。人员编制实施年度动态管理，在本合同履行过程中可根据项目开发建设的实际需要进行调整，原则上由乙方于当年1月底前提报当年人员编制计划或调整方案。</w:t>
      </w:r>
    </w:p>
    <w:p w14:paraId="471CC6CC">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2、劳动人事关系</w:t>
      </w:r>
    </w:p>
    <w:p w14:paraId="353AFEE5">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（1）甲方委派人员：由甲方（或甲方所属控股母公司）与其签订劳动合同；</w:t>
      </w:r>
    </w:p>
    <w:p w14:paraId="2E8AE679">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（2）乙方委派人员：由乙方与其签订劳动合同；</w:t>
      </w:r>
    </w:p>
    <w:p w14:paraId="268CB204">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（3）项目管理团队其它工作人员面向社会招聘，由乙方为主负责录用把关及定薪，劳动合同与乙方签订，薪酬福利由乙方承担，五险一金等社保由乙方负责办理并缴纳；</w:t>
      </w:r>
    </w:p>
    <w:p w14:paraId="059596FF">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（4）除以上人事关系安排外，如还有其他事项劳动人事关系处理，可由甲乙双方另行协商约定。</w:t>
      </w:r>
    </w:p>
    <w:p w14:paraId="7B0040F5">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3、薪酬福利</w:t>
      </w:r>
    </w:p>
    <w:p w14:paraId="4D9AE2DB">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乙方委派人员：参照乙方公司薪酬福利标准并结合项目所在地有关社会保险费缴纳标准的相关政策规定拟定。</w:t>
      </w:r>
    </w:p>
    <w:p w14:paraId="18297592">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考核评估：按照乙方绩效管理考核办法对项目管理团队实施考核，其中乙方委派的经营班子人员由乙方考核，考核结果报甲方备案；其他人员按乙方管理权限逐级考核，考核结果报甲方备案。考核结果作为人员激励、退出的重要依据。</w:t>
      </w:r>
    </w:p>
    <w:p w14:paraId="66BCBEB8">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5、激励与退出：项目总经理有权依据绩效考核结果提出人员晋升、调薪或退出的建议，如涉及人员调动，须经甲方同意。</w:t>
      </w:r>
    </w:p>
    <w:p w14:paraId="046CEA81">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经甲方认为不能胜任相应管理工作的乙方委派人员，甲方可要求乙方另行委派。</w:t>
      </w:r>
    </w:p>
    <w:p w14:paraId="40484FDE">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6、人员培养：为保证项目开发品质，提升员工工作能力，乙方应积极创造条件为项目工作团队成员（含甲方委派人员）提供进修学习的机会，甲方予以支持和认可，由此产生的费用包含在委托管理服务费中。</w:t>
      </w:r>
    </w:p>
    <w:p w14:paraId="05D62039">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7、除非甲乙双方协商一致，双方均承诺不得聘用另一方工作人员。</w:t>
      </w:r>
    </w:p>
    <w:p w14:paraId="296ECD10">
      <w:pPr>
        <w:keepNext w:val="0"/>
        <w:keepLines w:val="0"/>
        <w:pageBreakBefore w:val="0"/>
        <w:widowControl w:val="0"/>
        <w:kinsoku/>
        <w:wordWrap w:val="0"/>
        <w:overflowPunct/>
        <w:topLinePunct w:val="0"/>
        <w:autoSpaceDE/>
        <w:autoSpaceDN/>
        <w:bidi w:val="0"/>
        <w:adjustRightInd/>
        <w:snapToGrid w:val="0"/>
        <w:spacing w:line="360" w:lineRule="auto"/>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第四条 合同管理</w:t>
      </w:r>
    </w:p>
    <w:p w14:paraId="637B7CFC">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1、项目开发建设过程中所涉及的各类合同由乙方负责拟订并经甲方确认，以甲方的名义进行签订，各类合同签订的前置审批，按甲方流程执行。</w:t>
      </w:r>
    </w:p>
    <w:p w14:paraId="1943ABE7">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2、合同签订后，由乙方负责合同履行过程中的管理，维护甲方权益，并规避各类合同风险。</w:t>
      </w:r>
    </w:p>
    <w:p w14:paraId="36348350">
      <w:pPr>
        <w:keepNext w:val="0"/>
        <w:keepLines w:val="0"/>
        <w:pageBreakBefore w:val="0"/>
        <w:widowControl w:val="0"/>
        <w:kinsoku/>
        <w:wordWrap w:val="0"/>
        <w:overflowPunct/>
        <w:topLinePunct w:val="0"/>
        <w:autoSpaceDE/>
        <w:autoSpaceDN/>
        <w:bidi w:val="0"/>
        <w:adjustRightInd/>
        <w:snapToGrid w:val="0"/>
        <w:spacing w:line="360" w:lineRule="auto"/>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第五条 财务和资金管理</w:t>
      </w:r>
    </w:p>
    <w:p w14:paraId="06476527">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、各类款项的支付，需经过乙方委派项目负责人审核，再由甲方审批，按照双方约定的管理权限及双方确认的财务管理制度执行。</w:t>
      </w:r>
    </w:p>
    <w:p w14:paraId="5743327E">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项目开发建设资金全部由甲方负责筹措。在项目具备融资条件后，如甲方需要向金融机构融资，乙方给予必要的协助。项目融资由金融机构发放到项目专项账户后，必须优先满足项目开发建设资金需求。如甲方将融资资金用于与本项目开发建设无关的用途，而对项目运营造成的不利影响（包括开发周期延长等）由甲方自行承担。</w:t>
      </w:r>
    </w:p>
    <w:p w14:paraId="10A0F561">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、项目开发过程中，由乙方根据项目建设需要编制项目年度资金使用计划，项目年度资金使用计划经甲方核准后实施。</w:t>
      </w:r>
    </w:p>
    <w:p w14:paraId="6B3FFF21">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项目开发建设过程中的各类应付合同款项，由甲方根据相关约定、管理制度及乙方的签证文件，支付给各专业工作单位。每次付款前，各专业工作单位应提出付款申请，并附上相应金额的发票及其他所需的付款证明文件，经乙方审核签证确认后，报甲方审批付款。</w:t>
      </w:r>
    </w:p>
    <w:p w14:paraId="5B99E806">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w:t>
      </w:r>
      <w:bookmarkStart w:id="56" w:name="_Hlk24104728"/>
      <w:r>
        <w:rPr>
          <w:rFonts w:hint="eastAsia" w:ascii="宋体" w:hAnsi="宋体" w:eastAsia="宋体" w:cs="宋体"/>
          <w:color w:val="auto"/>
          <w:sz w:val="22"/>
          <w:szCs w:val="22"/>
          <w:highlight w:val="none"/>
        </w:rPr>
        <w:t>在本合同履行期间，如发现财务审批、资金支付等各方面存在问题的，甲方有权提出整改意见，并督促整改落实，乙方承担相应责任。</w:t>
      </w:r>
      <w:bookmarkEnd w:id="56"/>
    </w:p>
    <w:p w14:paraId="5FFFEF6B">
      <w:pPr>
        <w:keepNext w:val="0"/>
        <w:keepLines w:val="0"/>
        <w:pageBreakBefore w:val="0"/>
        <w:widowControl w:val="0"/>
        <w:numPr>
          <w:ilvl w:val="0"/>
          <w:numId w:val="0"/>
        </w:numPr>
        <w:kinsoku/>
        <w:wordWrap w:val="0"/>
        <w:overflowPunct/>
        <w:topLinePunct w:val="0"/>
        <w:autoSpaceDE/>
        <w:autoSpaceDN/>
        <w:bidi w:val="0"/>
        <w:adjustRightInd/>
        <w:snapToGrid w:val="0"/>
        <w:spacing w:line="360" w:lineRule="auto"/>
        <w:ind w:leftChars="0"/>
        <w:jc w:val="center"/>
        <w:textAlignment w:val="auto"/>
        <w:outlineLvl w:val="1"/>
        <w:rPr>
          <w:rFonts w:hint="eastAsia" w:ascii="宋体" w:hAnsi="宋体" w:eastAsia="宋体" w:cs="宋体"/>
          <w:b/>
          <w:bCs/>
          <w:color w:val="auto"/>
          <w:sz w:val="22"/>
          <w:szCs w:val="22"/>
          <w:highlight w:val="none"/>
          <w:lang w:val="en-US" w:eastAsia="zh-CN"/>
        </w:rPr>
      </w:pPr>
      <w:bookmarkStart w:id="57" w:name="_Toc28859"/>
      <w:bookmarkStart w:id="58" w:name="_Toc321754638"/>
      <w:bookmarkStart w:id="59" w:name="_Toc12531"/>
      <w:bookmarkStart w:id="60" w:name="_Toc20108"/>
      <w:r>
        <w:rPr>
          <w:rFonts w:hint="eastAsia" w:ascii="宋体" w:hAnsi="宋体" w:eastAsia="宋体" w:cs="宋体"/>
          <w:b/>
          <w:bCs/>
          <w:color w:val="auto"/>
          <w:sz w:val="22"/>
          <w:szCs w:val="22"/>
          <w:highlight w:val="none"/>
          <w:lang w:val="en-US" w:eastAsia="zh-CN"/>
        </w:rPr>
        <w:t>二、项目开发委托管理工作内容和开展方式</w:t>
      </w:r>
      <w:bookmarkEnd w:id="57"/>
      <w:bookmarkEnd w:id="58"/>
      <w:bookmarkEnd w:id="59"/>
      <w:bookmarkEnd w:id="60"/>
    </w:p>
    <w:p w14:paraId="33F41156">
      <w:pPr>
        <w:keepNext w:val="0"/>
        <w:keepLines w:val="0"/>
        <w:pageBreakBefore w:val="0"/>
        <w:widowControl w:val="0"/>
        <w:kinsoku/>
        <w:wordWrap w:val="0"/>
        <w:overflowPunct/>
        <w:topLinePunct w:val="0"/>
        <w:autoSpaceDE/>
        <w:autoSpaceDN/>
        <w:bidi w:val="0"/>
        <w:adjustRightInd/>
        <w:snapToGrid w:val="0"/>
        <w:spacing w:line="360" w:lineRule="auto"/>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第六条 项目前期管理</w:t>
      </w:r>
    </w:p>
    <w:p w14:paraId="12BE30C3">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在合同签订后，甲方应将项目的基本情况及各项工作开展的情况制作一份书面材料，连同与该项目有关的所有书面材料（包括但不限于土地出让合同、与第三方已签订的合同、协议等）一并移交给乙方指定人员，由乙方建立项目档案。</w:t>
      </w:r>
    </w:p>
    <w:p w14:paraId="23EC8BC7">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在项目总体规划方案审批通过并取得批复且首批项目团队到岗后，结合项目的具体规划设计方案和开发思路，乙方制订项目全景开发计划，并报甲方审批后，作为双方正式确认的项目开发建设周期目标（合同履行过程中可根据实际情况相应调整，经甲乙双方共同确认后的全景开发计划作为项目最终的开发建设周期目标）。</w:t>
      </w:r>
    </w:p>
    <w:p w14:paraId="58CCCFAD">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3、对于本合同签订前，甲方就项目已签署的相关合同、协议，按原合同、协议执行。</w:t>
      </w:r>
    </w:p>
    <w:p w14:paraId="09F95E7C">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4、乙方负责协助甲方以甲方名义办理项目建设审批手续，包括但不限于立项、建设用地规划许可、规划方案、初步设计、施工图、建设工程规划许可、施工以及规划、防雷、交评、环评、节能、绿化、人防</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预售许可（如有）</w:t>
      </w:r>
      <w:r>
        <w:rPr>
          <w:rFonts w:hint="eastAsia" w:ascii="宋体" w:hAnsi="宋体" w:eastAsia="宋体" w:cs="宋体"/>
          <w:color w:val="auto"/>
          <w:sz w:val="22"/>
          <w:szCs w:val="22"/>
          <w:highlight w:val="none"/>
        </w:rPr>
        <w:t>等专项审批。甲方予以积极协调与项目有关的各政府行政主管部门的关系，办理项目相关审批手续。</w:t>
      </w:r>
    </w:p>
    <w:p w14:paraId="3C086BEA">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涉及到与土地使用权确权、土地交付、用地性质与用途调整以及规划设计条件调整相关的前期审批事项，由甲方负责，乙方予以配合。因甲方负责的前期审批事项未能按期完成并对项目开发建设周期造成实质影响的，项目开发建设周期相应顺延。</w:t>
      </w:r>
    </w:p>
    <w:p w14:paraId="07F5CC4D">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6、办理项目前期审批手续过程中行政事业单位收取的各项费用，由甲方承担，并按照规定及时缴纳。</w:t>
      </w:r>
    </w:p>
    <w:p w14:paraId="7A662692">
      <w:pPr>
        <w:keepNext w:val="0"/>
        <w:keepLines w:val="0"/>
        <w:pageBreakBefore w:val="0"/>
        <w:widowControl w:val="0"/>
        <w:kinsoku/>
        <w:wordWrap w:val="0"/>
        <w:overflowPunct/>
        <w:topLinePunct w:val="0"/>
        <w:autoSpaceDE/>
        <w:autoSpaceDN/>
        <w:bidi w:val="0"/>
        <w:adjustRightInd/>
        <w:snapToGrid w:val="0"/>
        <w:spacing w:line="360" w:lineRule="auto"/>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 xml:space="preserve">第七条 规划设计管理 </w:t>
      </w:r>
    </w:p>
    <w:p w14:paraId="0A5D264E">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1、乙方应在对项目情况与项目所在地市场情况进行充分调查了解基础上，向甲方提出产品策划书或产品定位报告，经与甲方充分沟通后，共同书面予以确认，作为项目产品规划设计的输入条件。</w:t>
      </w:r>
    </w:p>
    <w:p w14:paraId="4A055F31">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、乙方应负责编制设计任务书，并确定各类设计的范围、深度、标准、质量等具体要求。</w:t>
      </w:r>
    </w:p>
    <w:p w14:paraId="454821CD">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、乙方应按规定期限及要求完成设计任务，设计中应当充分利用各项规划指标，以利于实现项目的最佳整体效益。</w:t>
      </w:r>
    </w:p>
    <w:p w14:paraId="497BF496">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对于各设计单位提交的设计成果，甲乙双方共同参与评审，乙方在保证设计质量并满足产品规划设计标准的前提下，充分听取并尊重甲方意见。为保证项目房产品质符合产品标准，以下设计相关工作成果在与甲方充分沟通并听取意见后，由甲乙双方共同负责选定，如双方无法协商确定的，则由甲方选定：</w:t>
      </w:r>
    </w:p>
    <w:p w14:paraId="738D1DA8">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（1）规划、建筑设计方案（含户型）；</w:t>
      </w:r>
    </w:p>
    <w:p w14:paraId="31DBEB6F">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（2）主要外立面设计方案及材料选样定板，如主要石材、面砖、外墙涂料、玻璃幕墙、外立面门窗、外立面栏杆等；</w:t>
      </w:r>
    </w:p>
    <w:p w14:paraId="7459CFC4">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（3）景观设计方案和主要材料的选定；</w:t>
      </w:r>
    </w:p>
    <w:p w14:paraId="197CC0E9">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（4）室内硬装设计和软装饰设计方案（含样板房、精装修产品、公共空间）；</w:t>
      </w:r>
    </w:p>
    <w:p w14:paraId="1CB16002">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（5）其他乙方认为对产品品质和外立面效果有重大影响的设计环节。</w:t>
      </w:r>
    </w:p>
    <w:p w14:paraId="616AD5B6">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6、在项目建设过程中，重大工程变更在确定实施前，乙方须取得甲方的书面认可。</w:t>
      </w:r>
    </w:p>
    <w:p w14:paraId="76DC3AE1">
      <w:pPr>
        <w:keepNext w:val="0"/>
        <w:keepLines w:val="0"/>
        <w:pageBreakBefore w:val="0"/>
        <w:widowControl w:val="0"/>
        <w:kinsoku/>
        <w:wordWrap w:val="0"/>
        <w:overflowPunct/>
        <w:topLinePunct w:val="0"/>
        <w:autoSpaceDE/>
        <w:autoSpaceDN/>
        <w:bidi w:val="0"/>
        <w:adjustRightInd/>
        <w:snapToGrid w:val="0"/>
        <w:spacing w:line="360" w:lineRule="auto"/>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 xml:space="preserve">第八条 </w:t>
      </w:r>
      <w:bookmarkStart w:id="61" w:name="成本管理目标2"/>
      <w:r>
        <w:rPr>
          <w:rFonts w:hint="eastAsia" w:ascii="宋体" w:hAnsi="宋体" w:eastAsia="宋体" w:cs="宋体"/>
          <w:b/>
          <w:bCs/>
          <w:color w:val="auto"/>
          <w:sz w:val="22"/>
          <w:szCs w:val="22"/>
          <w:highlight w:val="none"/>
        </w:rPr>
        <w:t>工程成本管理</w:t>
      </w:r>
      <w:bookmarkEnd w:id="61"/>
    </w:p>
    <w:p w14:paraId="51715AE9">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1、甲乙双方对本项目目标成本的管理约定如下：</w:t>
      </w:r>
    </w:p>
    <w:p w14:paraId="40D03529">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（1）在项目规划方案审批通过并取得批复后，由乙方组织编制方案版目标工程成本报甲方确认，形成甲乙双方确认的方案版成本管理目标。</w:t>
      </w:r>
    </w:p>
    <w:p w14:paraId="52C9EB28">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（2）在总包中标价确定</w:t>
      </w:r>
      <w:r>
        <w:rPr>
          <w:rFonts w:hint="eastAsia" w:ascii="宋体" w:hAnsi="宋体" w:eastAsia="宋体" w:cs="宋体"/>
          <w:bCs/>
          <w:color w:val="auto"/>
          <w:sz w:val="22"/>
          <w:szCs w:val="22"/>
          <w:highlight w:val="none"/>
          <w:lang w:val="en-US" w:eastAsia="zh-CN"/>
        </w:rPr>
        <w:t>并完成施工图</w:t>
      </w:r>
      <w:r>
        <w:rPr>
          <w:rFonts w:hint="eastAsia" w:ascii="宋体" w:hAnsi="宋体" w:eastAsia="宋体" w:cs="宋体"/>
          <w:bCs/>
          <w:color w:val="auto"/>
          <w:sz w:val="22"/>
          <w:szCs w:val="22"/>
          <w:highlight w:val="none"/>
        </w:rPr>
        <w:t>后，</w:t>
      </w:r>
      <w:r>
        <w:rPr>
          <w:rFonts w:hint="eastAsia" w:ascii="宋体" w:hAnsi="宋体" w:eastAsia="宋体" w:cs="宋体"/>
          <w:bCs/>
          <w:color w:val="auto"/>
          <w:sz w:val="22"/>
          <w:szCs w:val="22"/>
          <w:highlight w:val="none"/>
          <w:lang w:val="en-US" w:eastAsia="zh-CN"/>
        </w:rPr>
        <w:t>30</w:t>
      </w:r>
      <w:r>
        <w:rPr>
          <w:rFonts w:hint="eastAsia" w:ascii="宋体" w:hAnsi="宋体" w:eastAsia="宋体" w:cs="宋体"/>
          <w:bCs/>
          <w:color w:val="auto"/>
          <w:sz w:val="22"/>
          <w:szCs w:val="22"/>
          <w:highlight w:val="none"/>
        </w:rPr>
        <w:t>个工作日内乙方编制施工图版目标成本，经甲方确定后作为成本管理考核目标。</w:t>
      </w:r>
    </w:p>
    <w:p w14:paraId="78B72129">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（3）乙方在实施过程中给甲方提供财税</w:t>
      </w:r>
      <w:r>
        <w:rPr>
          <w:rFonts w:hint="eastAsia" w:ascii="宋体" w:hAnsi="宋体" w:eastAsia="宋体" w:cs="宋体"/>
          <w:bCs/>
          <w:color w:val="auto"/>
          <w:sz w:val="22"/>
          <w:szCs w:val="22"/>
          <w:highlight w:val="none"/>
          <w:lang w:val="en-US" w:eastAsia="zh-CN"/>
        </w:rPr>
        <w:t>管理</w:t>
      </w:r>
      <w:r>
        <w:rPr>
          <w:rFonts w:hint="eastAsia" w:ascii="宋体" w:hAnsi="宋体" w:eastAsia="宋体" w:cs="宋体"/>
          <w:bCs/>
          <w:color w:val="auto"/>
          <w:sz w:val="22"/>
          <w:szCs w:val="22"/>
          <w:highlight w:val="none"/>
        </w:rPr>
        <w:t>的指导工作，确保本项目整体利润最大化。</w:t>
      </w:r>
    </w:p>
    <w:p w14:paraId="03FAC327">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（4）乙方应及时做好动态成本跟踪管理，如发生引起工程造价调整的重大因素，及时书面向甲方报告。</w:t>
      </w:r>
    </w:p>
    <w:p w14:paraId="51B76CBE">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2、在项目开发建设过程中，如发生下列情形并引起工程成本发生变化的，乙方应及时以书面形式向甲方报告，并经甲方同意后相应调整施工图版工程成本管理考核目标：</w:t>
      </w:r>
    </w:p>
    <w:p w14:paraId="58D5ADB5">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（1）不可抗力；</w:t>
      </w:r>
    </w:p>
    <w:p w14:paraId="2322CAF1">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（2）国家技术规范、标准调整，导致项目建设过程中的工艺、标准变化；</w:t>
      </w:r>
    </w:p>
    <w:p w14:paraId="02377E8C">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（3）施工合同约定可调整合同单价的因素发生变化；</w:t>
      </w:r>
    </w:p>
    <w:p w14:paraId="64615CDD">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（4）根据项目开发实际需要或甲方要求，对项目建设内容、建设标准等进行重大调整；</w:t>
      </w:r>
    </w:p>
    <w:p w14:paraId="06E7DBBD">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（5）因甲方导致的重大工程变更；</w:t>
      </w:r>
    </w:p>
    <w:p w14:paraId="4E49340E">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（6）因受地质等事前不可完全预料的自然条件制约，在具体施工过程中有重大技术调整；</w:t>
      </w:r>
    </w:p>
    <w:p w14:paraId="1265D27C">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（7）其他经甲方同意的变更情形。</w:t>
      </w:r>
    </w:p>
    <w:p w14:paraId="5FD1347E">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、工程变更</w:t>
      </w:r>
    </w:p>
    <w:p w14:paraId="5AE3BD4B">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（1）对于非重大工程变更，乙方</w:t>
      </w:r>
      <w:r>
        <w:rPr>
          <w:rFonts w:hint="eastAsia" w:ascii="宋体" w:hAnsi="宋体" w:eastAsia="宋体" w:cs="宋体"/>
          <w:color w:val="auto"/>
          <w:sz w:val="22"/>
          <w:szCs w:val="22"/>
          <w:highlight w:val="none"/>
          <w:lang w:val="en-US" w:eastAsia="zh-CN"/>
        </w:rPr>
        <w:t>可以</w:t>
      </w:r>
      <w:r>
        <w:rPr>
          <w:rFonts w:hint="eastAsia" w:ascii="宋体" w:hAnsi="宋体" w:eastAsia="宋体" w:cs="宋体"/>
          <w:color w:val="auto"/>
          <w:sz w:val="22"/>
          <w:szCs w:val="22"/>
          <w:highlight w:val="none"/>
        </w:rPr>
        <w:t>根据项目实际情况，在充分征求全咨方和设计方意见的基础上，</w:t>
      </w:r>
      <w:r>
        <w:rPr>
          <w:rFonts w:hint="eastAsia" w:ascii="宋体" w:hAnsi="宋体" w:eastAsia="宋体" w:cs="宋体"/>
          <w:color w:val="auto"/>
          <w:sz w:val="22"/>
          <w:szCs w:val="22"/>
          <w:highlight w:val="none"/>
          <w:lang w:val="en-US" w:eastAsia="zh-CN"/>
        </w:rPr>
        <w:t>经书面上报甲方，经甲方审核同意后实施。</w:t>
      </w:r>
    </w:p>
    <w:p w14:paraId="2E12066B">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（2）对于重大工程变更，乙方应向甲方提供一份要求进行变更的书面文件，阐明需进行变更的理由，文件中还应附上全咨方和设计方对此问题的书面意见及该变更涉及的造价调整预估。经甲方</w:t>
      </w:r>
      <w:r>
        <w:rPr>
          <w:rFonts w:hint="eastAsia" w:ascii="宋体" w:hAnsi="宋体" w:eastAsia="宋体" w:cs="宋体"/>
          <w:color w:val="auto"/>
          <w:sz w:val="22"/>
          <w:szCs w:val="22"/>
          <w:highlight w:val="none"/>
          <w:lang w:val="en-US" w:eastAsia="zh-CN"/>
        </w:rPr>
        <w:t>审核同意后</w:t>
      </w:r>
      <w:r>
        <w:rPr>
          <w:rFonts w:hint="eastAsia" w:ascii="宋体" w:hAnsi="宋体" w:eastAsia="宋体" w:cs="宋体"/>
          <w:color w:val="auto"/>
          <w:sz w:val="22"/>
          <w:szCs w:val="22"/>
          <w:highlight w:val="none"/>
        </w:rPr>
        <w:t>变更实施</w:t>
      </w:r>
      <w:r>
        <w:rPr>
          <w:rFonts w:hint="eastAsia" w:ascii="宋体" w:hAnsi="宋体" w:eastAsia="宋体" w:cs="宋体"/>
          <w:color w:val="auto"/>
          <w:sz w:val="22"/>
          <w:szCs w:val="22"/>
          <w:highlight w:val="none"/>
          <w:lang w:eastAsia="zh-CN"/>
        </w:rPr>
        <w:t>。</w:t>
      </w:r>
    </w:p>
    <w:p w14:paraId="236FFF35">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（3）如重大工程变更涉及前期政府审批手续变更的，乙方负责按规定程序报有关政府职能部门审批，甲方予以协调；</w:t>
      </w:r>
    </w:p>
    <w:p w14:paraId="057EF2A6">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、乙方应建立完善的工程变更及现场签证管理流程，在施工过程中，由乙方严格按照流程做好施工现场的工程变更及签证管理工作。</w:t>
      </w:r>
    </w:p>
    <w:p w14:paraId="6A6B31A9">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、项目竣工验收通过后，乙方应要求施工单位及时提交竣工结算报告，甲方组织第三方造价咨询机构出具审核意见，并组织协调完成结算对账相关工作，乙方全程做好配合工作。</w:t>
      </w:r>
    </w:p>
    <w:p w14:paraId="7151B967">
      <w:pPr>
        <w:keepNext w:val="0"/>
        <w:keepLines w:val="0"/>
        <w:pageBreakBefore w:val="0"/>
        <w:widowControl w:val="0"/>
        <w:kinsoku/>
        <w:wordWrap w:val="0"/>
        <w:overflowPunct/>
        <w:topLinePunct w:val="0"/>
        <w:autoSpaceDE/>
        <w:autoSpaceDN/>
        <w:bidi w:val="0"/>
        <w:adjustRightInd/>
        <w:snapToGrid w:val="0"/>
        <w:spacing w:line="360" w:lineRule="auto"/>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第九条 工程管理</w:t>
      </w:r>
    </w:p>
    <w:p w14:paraId="23857D4F">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1、项目开发建设过程中按规定必须招标且未招标的部分，在保证招投标工作符合相关法律法规的前提下，甲方充分听取并尊重乙方意见，由甲方负责完成招投标工作。</w:t>
      </w:r>
    </w:p>
    <w:p w14:paraId="6C893209">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在项目施工总承包合同签订后，乙方应做好对施工单位的标后履约管理工作，要求施工单位及时编制工程总体施工计划及施工组织方案，并根据招投标情况及甲乙双方确认的时间目标，提出专业的审核意见，经各方确认后，乙方应责成施工单位按月、季、年编制阶段进度计划，认真按照标准、规范和设计图纸的要求督促施工单位按计划进行施工，并随时接受甲方的检查检验，并为检查检验提供便利条件。</w:t>
      </w:r>
    </w:p>
    <w:p w14:paraId="55C9ACA0">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3、如遇下列情况，工程工期应相应顺延，且甲乙双方确认的项目开发建设周期目标可作相应调整：</w:t>
      </w:r>
    </w:p>
    <w:p w14:paraId="0BBBE49F">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（1）重大工程变更，项目建设内容和建设标准发生变化；</w:t>
      </w:r>
    </w:p>
    <w:p w14:paraId="43F2E459">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（2）因施工过程中发现地质情况与详勘资料有较大出入而导致重大技术方案调整；</w:t>
      </w:r>
    </w:p>
    <w:p w14:paraId="4F4EAF71">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（3）项目所在区域市政、电力等政府配套工程不具备条件或拆迁等前期工作不能及时完成而导致延期；</w:t>
      </w:r>
    </w:p>
    <w:p w14:paraId="5989A3F9">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（4）甲方未及时拨付建设资金造成工程延误；</w:t>
      </w:r>
    </w:p>
    <w:p w14:paraId="239E57E2">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（5）施工合同中规定的施工单位可以顺延工期的其他情形；</w:t>
      </w:r>
    </w:p>
    <w:p w14:paraId="3E216FE2">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（6）不可抗力因素及政府行为、国家重大政策调整；</w:t>
      </w:r>
    </w:p>
    <w:p w14:paraId="0211F915">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（7）如遇冬歇期或政府安排的停工期；</w:t>
      </w:r>
    </w:p>
    <w:p w14:paraId="695B3754">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（8）其他因甲方原因导致工期顺延。</w:t>
      </w:r>
    </w:p>
    <w:p w14:paraId="140B6CB9">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4、乙方应对承包商完成进度计划的情况进行监督和检查，掌握项目实际进度状况。当某一进度计划将无法按时完成并预计将影响到总体竣工期限时，应及时告知甲方，并提出相应的整改措施，确保按期完工。</w:t>
      </w:r>
    </w:p>
    <w:p w14:paraId="47E1250E">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5、乙方应督促施工单位建立各项工程管理制度，完善安全、质量、成本、进度等控制措施。</w:t>
      </w:r>
    </w:p>
    <w:p w14:paraId="7E61E8B1">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6、乙方应充分加强对施工监理的协调和管理，充分发挥施工监理中的作用。</w:t>
      </w:r>
    </w:p>
    <w:p w14:paraId="414EB0BA">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项目工程质量标准应达到国家或行业现行的施工质量验收规范的合格标准，乙方应根据质量管理的实际需要，参加工程各关键节点的隐蔽工程验收、中间验收等，一旦发现工程质量达不到约定标准的，乙方应立即责成施工单位负责修复、整改，或者返工，直至符合质量要求，否则乙方需承担管理责任。</w:t>
      </w:r>
    </w:p>
    <w:p w14:paraId="03A13D3B">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8、乙方应做好本项目安全文明施工的相关管理工作，督促、教育相关施工单位严格按照安全标准组织施工，采取相应安全防护措施，并检查落实到位。乙方应对施工现场进行至少每月一次安全检查。如发生伤亡及其他安全事故，乙方应立即通知甲方，并按有关规定上报有关部门，同时按政府有关部门要求处理，否则乙方需承担管理责任</w:t>
      </w:r>
      <w:r>
        <w:rPr>
          <w:rFonts w:hint="eastAsia" w:ascii="宋体" w:hAnsi="宋体" w:eastAsia="宋体" w:cs="宋体"/>
          <w:bCs/>
          <w:color w:val="auto"/>
          <w:sz w:val="22"/>
          <w:szCs w:val="22"/>
          <w:highlight w:val="none"/>
        </w:rPr>
        <w:t>。</w:t>
      </w:r>
    </w:p>
    <w:p w14:paraId="587271D4">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9、现场签证及其他现场管理工作由乙方指定人员进行审核，审核后再报甲方审批。</w:t>
      </w:r>
    </w:p>
    <w:p w14:paraId="403A36B5">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10、乙方负责对各施工单位提交的已完工程量报表及工程款支付申请进行认真审核，并签署意见</w:t>
      </w:r>
      <w:bookmarkStart w:id="62" w:name="_Hlk530754502"/>
      <w:r>
        <w:rPr>
          <w:rFonts w:hint="eastAsia" w:ascii="宋体" w:hAnsi="宋体" w:eastAsia="宋体" w:cs="宋体"/>
          <w:color w:val="auto"/>
          <w:sz w:val="22"/>
          <w:szCs w:val="22"/>
          <w:highlight w:val="none"/>
        </w:rPr>
        <w:t>，再报甲方审批支付</w:t>
      </w:r>
      <w:bookmarkEnd w:id="62"/>
      <w:r>
        <w:rPr>
          <w:rFonts w:hint="eastAsia" w:ascii="宋体" w:hAnsi="宋体" w:eastAsia="宋体" w:cs="宋体"/>
          <w:color w:val="auto"/>
          <w:sz w:val="22"/>
          <w:szCs w:val="22"/>
          <w:highlight w:val="none"/>
        </w:rPr>
        <w:t>。</w:t>
      </w:r>
    </w:p>
    <w:p w14:paraId="7D9B17CE">
      <w:pPr>
        <w:keepNext w:val="0"/>
        <w:keepLines w:val="0"/>
        <w:pageBreakBefore w:val="0"/>
        <w:widowControl w:val="0"/>
        <w:kinsoku/>
        <w:wordWrap w:val="0"/>
        <w:overflowPunct/>
        <w:topLinePunct w:val="0"/>
        <w:autoSpaceDE/>
        <w:autoSpaceDN/>
        <w:bidi w:val="0"/>
        <w:adjustRightInd/>
        <w:snapToGrid w:val="0"/>
        <w:spacing w:line="360" w:lineRule="auto"/>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第十条 竣工验收与房屋交付管理</w:t>
      </w:r>
    </w:p>
    <w:p w14:paraId="1B793527">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1、乙方应建立完整的项目建设档案，根据项目档案管理制度的要求，及时建档、存档。</w:t>
      </w:r>
    </w:p>
    <w:p w14:paraId="58C1BFA0">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工程完工后，乙方负责组织竣工验收，一次性验收未能通过的，应要求施工单位整改直至验收通过。竣工验收通过后，乙方督促施工单位按照城建档案管理的要求整理并提交完整的竣工资料，并完成竣工验收备案。</w:t>
      </w:r>
    </w:p>
    <w:p w14:paraId="05BF467F">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乙方应提前制定房屋交付方案，编制《房产品使用说明书》、《房产品质量保证书》等物业交付资料在房屋具备交付条件后，组织实施交付工作，同时向物业公司移交物业公共区域、设施设备及相关资料。乙方应负责完成房屋建筑面积测绘；乙方应协助甲方在销售合同约定期限内根据本项目所在地相关政府主管部门规定或要求办理房屋所有权初始登记手续。</w:t>
      </w:r>
    </w:p>
    <w:p w14:paraId="3ADE85B4">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4、乙方在项目开发建设完成后将工程档案、行政档案及相关资料向甲方和有关部门移交。乙方不得保留项目相关档案的副本，不得泄露与本工程有关的保密资料。</w:t>
      </w:r>
    </w:p>
    <w:p w14:paraId="1C04A685">
      <w:pPr>
        <w:keepNext w:val="0"/>
        <w:keepLines w:val="0"/>
        <w:pageBreakBefore w:val="0"/>
        <w:widowControl w:val="0"/>
        <w:kinsoku/>
        <w:wordWrap w:val="0"/>
        <w:overflowPunct/>
        <w:topLinePunct w:val="0"/>
        <w:autoSpaceDE/>
        <w:autoSpaceDN/>
        <w:bidi w:val="0"/>
        <w:adjustRightInd/>
        <w:snapToGrid w:val="0"/>
        <w:spacing w:line="360" w:lineRule="auto"/>
        <w:ind w:firstLine="442" w:firstLineChars="20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rPr>
        <w:t>第十</w:t>
      </w:r>
      <w:r>
        <w:rPr>
          <w:rFonts w:hint="eastAsia" w:ascii="宋体" w:hAnsi="宋体" w:eastAsia="宋体" w:cs="宋体"/>
          <w:b/>
          <w:bCs/>
          <w:color w:val="auto"/>
          <w:sz w:val="22"/>
          <w:szCs w:val="22"/>
          <w:highlight w:val="none"/>
          <w:lang w:val="en-US" w:eastAsia="zh-CN"/>
        </w:rPr>
        <w:t>一</w:t>
      </w:r>
      <w:r>
        <w:rPr>
          <w:rFonts w:hint="eastAsia" w:ascii="宋体" w:hAnsi="宋体" w:eastAsia="宋体" w:cs="宋体"/>
          <w:b/>
          <w:bCs/>
          <w:color w:val="auto"/>
          <w:sz w:val="22"/>
          <w:szCs w:val="22"/>
          <w:highlight w:val="none"/>
        </w:rPr>
        <w:t xml:space="preserve">条 </w:t>
      </w:r>
      <w:r>
        <w:rPr>
          <w:rFonts w:hint="eastAsia" w:ascii="宋体" w:hAnsi="宋体" w:eastAsia="宋体" w:cs="宋体"/>
          <w:b/>
          <w:bCs/>
          <w:color w:val="auto"/>
          <w:sz w:val="22"/>
          <w:szCs w:val="22"/>
          <w:highlight w:val="none"/>
          <w:lang w:val="en-US" w:eastAsia="zh-CN"/>
        </w:rPr>
        <w:t>项目监管</w:t>
      </w:r>
    </w:p>
    <w:p w14:paraId="3353064D">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乙方所提供全过程代建，应接受政府有关部门或甲方的监管：</w:t>
      </w:r>
    </w:p>
    <w:p w14:paraId="55EB57A5">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（1）合同监管</w:t>
      </w:r>
    </w:p>
    <w:p w14:paraId="5EE40979">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1）有关合同的合法性；</w:t>
      </w:r>
    </w:p>
    <w:p w14:paraId="6AC55DE3">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2）甲方及相关政府部门认为有必要的其他情况。</w:t>
      </w:r>
    </w:p>
    <w:p w14:paraId="77439140">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（2）有关法律、法规、规章与强制性技术标准的执行；</w:t>
      </w:r>
    </w:p>
    <w:p w14:paraId="3380733B">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（3）项目工程质量和工程安全工作；</w:t>
      </w:r>
    </w:p>
    <w:p w14:paraId="1D48D946">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（4）与实施项目建设服务期间的审计，包括预算执行审计，技术、工艺与建设内容变更事项发生的费用审计；</w:t>
      </w:r>
    </w:p>
    <w:p w14:paraId="72976D51">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lang w:val="en-US" w:eastAsia="zh-CN"/>
        </w:rPr>
        <w:t>（5）廉政建设责任制的落实，如有对项目造成重大损失的失职、渎职行为，接受纪检、监察人员查处。</w:t>
      </w:r>
    </w:p>
    <w:p w14:paraId="4395C680">
      <w:pPr>
        <w:keepNext w:val="0"/>
        <w:keepLines w:val="0"/>
        <w:pageBreakBefore w:val="0"/>
        <w:widowControl w:val="0"/>
        <w:numPr>
          <w:ilvl w:val="0"/>
          <w:numId w:val="0"/>
        </w:numPr>
        <w:kinsoku/>
        <w:wordWrap w:val="0"/>
        <w:overflowPunct/>
        <w:topLinePunct w:val="0"/>
        <w:autoSpaceDE/>
        <w:autoSpaceDN/>
        <w:bidi w:val="0"/>
        <w:adjustRightInd/>
        <w:snapToGrid w:val="0"/>
        <w:spacing w:line="360" w:lineRule="auto"/>
        <w:ind w:leftChars="0"/>
        <w:jc w:val="center"/>
        <w:textAlignment w:val="auto"/>
        <w:outlineLvl w:val="1"/>
        <w:rPr>
          <w:rFonts w:hint="eastAsia" w:ascii="宋体" w:hAnsi="宋体" w:eastAsia="宋体" w:cs="宋体"/>
          <w:b/>
          <w:bCs/>
          <w:color w:val="auto"/>
          <w:sz w:val="22"/>
          <w:szCs w:val="22"/>
          <w:highlight w:val="none"/>
          <w:lang w:val="en-US" w:eastAsia="zh-CN"/>
        </w:rPr>
      </w:pPr>
      <w:bookmarkStart w:id="63" w:name="_Toc321754639"/>
      <w:bookmarkStart w:id="64" w:name="_Toc12306"/>
      <w:bookmarkStart w:id="65" w:name="_Toc14918"/>
      <w:bookmarkStart w:id="66" w:name="_Toc29991"/>
      <w:r>
        <w:rPr>
          <w:rFonts w:hint="eastAsia" w:ascii="宋体" w:hAnsi="宋体" w:eastAsia="宋体" w:cs="宋体"/>
          <w:b/>
          <w:bCs/>
          <w:color w:val="auto"/>
          <w:sz w:val="22"/>
          <w:szCs w:val="22"/>
          <w:highlight w:val="none"/>
          <w:lang w:val="en-US" w:eastAsia="zh-CN"/>
        </w:rPr>
        <w:t>三、品牌使用管理和维护</w:t>
      </w:r>
      <w:bookmarkEnd w:id="63"/>
      <w:bookmarkEnd w:id="64"/>
      <w:bookmarkEnd w:id="65"/>
      <w:bookmarkEnd w:id="66"/>
    </w:p>
    <w:p w14:paraId="2EEB7D6F">
      <w:pPr>
        <w:keepNext w:val="0"/>
        <w:keepLines w:val="0"/>
        <w:pageBreakBefore w:val="0"/>
        <w:widowControl w:val="0"/>
        <w:kinsoku/>
        <w:wordWrap w:val="0"/>
        <w:overflowPunct/>
        <w:topLinePunct w:val="0"/>
        <w:autoSpaceDE/>
        <w:autoSpaceDN/>
        <w:bidi w:val="0"/>
        <w:adjustRightInd/>
        <w:snapToGrid w:val="0"/>
        <w:spacing w:line="360" w:lineRule="auto"/>
        <w:ind w:firstLine="442" w:firstLineChars="200"/>
        <w:textAlignment w:val="auto"/>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 xml:space="preserve">第十二条 </w:t>
      </w:r>
      <w:r>
        <w:rPr>
          <w:rFonts w:hint="eastAsia" w:ascii="宋体" w:hAnsi="宋体" w:eastAsia="宋体" w:cs="宋体"/>
          <w:color w:val="auto"/>
          <w:sz w:val="22"/>
          <w:szCs w:val="22"/>
          <w:highlight w:val="none"/>
          <w:lang w:val="en-US" w:eastAsia="zh-CN"/>
        </w:rPr>
        <w:t>甲乙双方</w:t>
      </w:r>
      <w:r>
        <w:rPr>
          <w:rFonts w:hint="eastAsia" w:ascii="宋体" w:hAnsi="宋体" w:eastAsia="宋体" w:cs="宋体"/>
          <w:color w:val="auto"/>
          <w:sz w:val="22"/>
          <w:szCs w:val="22"/>
          <w:highlight w:val="none"/>
        </w:rPr>
        <w:t>在本项目宣传推广中</w:t>
      </w:r>
      <w:r>
        <w:rPr>
          <w:rFonts w:hint="eastAsia" w:ascii="宋体" w:hAnsi="宋体" w:eastAsia="宋体" w:cs="宋体"/>
          <w:color w:val="auto"/>
          <w:sz w:val="22"/>
          <w:szCs w:val="22"/>
          <w:highlight w:val="none"/>
          <w:lang w:val="en-US" w:eastAsia="zh-CN"/>
        </w:rPr>
        <w:t>可</w:t>
      </w:r>
      <w:r>
        <w:rPr>
          <w:rFonts w:hint="eastAsia" w:ascii="宋体" w:hAnsi="宋体" w:eastAsia="宋体" w:cs="宋体"/>
          <w:color w:val="auto"/>
          <w:sz w:val="22"/>
          <w:szCs w:val="22"/>
          <w:highlight w:val="none"/>
        </w:rPr>
        <w:t>使用</w:t>
      </w:r>
      <w:r>
        <w:rPr>
          <w:rFonts w:hint="eastAsia" w:ascii="宋体" w:hAnsi="宋体" w:eastAsia="宋体" w:cs="宋体"/>
          <w:color w:val="auto"/>
          <w:sz w:val="22"/>
          <w:szCs w:val="22"/>
          <w:highlight w:val="none"/>
          <w:lang w:val="en-US" w:eastAsia="zh-CN"/>
        </w:rPr>
        <w:t>和管理乙方</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”品牌（含字样、商标及图形等，下同），</w:t>
      </w:r>
      <w:r>
        <w:rPr>
          <w:rFonts w:hint="eastAsia" w:ascii="宋体" w:hAnsi="宋体" w:eastAsia="宋体" w:cs="宋体"/>
          <w:color w:val="auto"/>
          <w:sz w:val="22"/>
          <w:szCs w:val="22"/>
          <w:highlight w:val="none"/>
          <w:lang w:val="en-US" w:eastAsia="zh-CN"/>
        </w:rPr>
        <w:t>甲乙双方应</w:t>
      </w:r>
      <w:r>
        <w:rPr>
          <w:rFonts w:hint="eastAsia" w:ascii="宋体" w:hAnsi="宋体" w:eastAsia="宋体" w:cs="宋体"/>
          <w:color w:val="auto"/>
          <w:sz w:val="22"/>
          <w:szCs w:val="22"/>
          <w:highlight w:val="none"/>
        </w:rPr>
        <w:t>严格遵守本合同关于“</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”品牌使用的规定和要求。</w:t>
      </w:r>
    </w:p>
    <w:p w14:paraId="43EA3498">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shd w:val="clear" w:color="auto" w:fill="FFFFFF"/>
        </w:rPr>
        <w:t>（1）</w:t>
      </w:r>
      <w:r>
        <w:rPr>
          <w:rFonts w:hint="eastAsia" w:ascii="宋体" w:hAnsi="宋体" w:eastAsia="宋体" w:cs="宋体"/>
          <w:b/>
          <w:bCs/>
          <w:color w:val="auto"/>
          <w:sz w:val="22"/>
          <w:szCs w:val="22"/>
          <w:highlight w:val="none"/>
        </w:rPr>
        <w:t xml:space="preserve"> “</w:t>
      </w:r>
      <w:r>
        <w:rPr>
          <w:rFonts w:hint="eastAsia" w:ascii="宋体" w:hAnsi="宋体" w:eastAsia="宋体" w:cs="宋体"/>
          <w:b/>
          <w:bCs/>
          <w:color w:val="auto"/>
          <w:sz w:val="22"/>
          <w:szCs w:val="22"/>
          <w:highlight w:val="none"/>
          <w:u w:val="single"/>
        </w:rPr>
        <w:t xml:space="preserve">    </w:t>
      </w:r>
      <w:r>
        <w:rPr>
          <w:rFonts w:hint="eastAsia" w:ascii="宋体" w:hAnsi="宋体" w:eastAsia="宋体" w:cs="宋体"/>
          <w:b/>
          <w:bCs/>
          <w:color w:val="auto"/>
          <w:sz w:val="22"/>
          <w:szCs w:val="22"/>
          <w:highlight w:val="none"/>
        </w:rPr>
        <w:t>”品牌许可使用范围</w:t>
      </w:r>
    </w:p>
    <w:p w14:paraId="66719AAF">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1、本项目可使用“</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”品牌字样作为项目推广案名，在项目推广销售阶段的广告、销售资料、销售中心、销售展示现场等销售推广物料中使用“</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”品牌。</w:t>
      </w:r>
    </w:p>
    <w:p w14:paraId="7A8EE159">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”品牌字样及图形可用于本项目建筑物的永久性标识、公共区域指示系统。</w:t>
      </w:r>
    </w:p>
    <w:p w14:paraId="03EFC4E5">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3、根据政府审批要求，本项目的各类政府报批报建，包括但不限于提交发改、规划、国土、建设、房管、公安、地名办等政府主管部门申报文件中，不得使用“</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”品牌。</w:t>
      </w:r>
    </w:p>
    <w:p w14:paraId="1444A881">
      <w:pPr>
        <w:keepNext w:val="0"/>
        <w:keepLines w:val="0"/>
        <w:pageBreakBefore w:val="0"/>
        <w:widowControl w:val="0"/>
        <w:kinsoku/>
        <w:wordWrap w:val="0"/>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”品牌不用于甲方自身形象识别系统，包括办公区、办公物品、文件、公函、名片、信封、邮箱等。</w:t>
      </w:r>
    </w:p>
    <w:p w14:paraId="1CE98B2A">
      <w:pPr>
        <w:keepNext w:val="0"/>
        <w:keepLines w:val="0"/>
        <w:pageBreakBefore w:val="0"/>
        <w:widowControl w:val="0"/>
        <w:kinsoku/>
        <w:wordWrap w:val="0"/>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 甲方承诺不侵犯与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”品牌有关的任何商标权和其他知识产权。甲方不得将乙方授权使用的推广案名、商标(包括图形) 以任何形式和理由允许第三方使用。</w:t>
      </w:r>
    </w:p>
    <w:p w14:paraId="7D3B1052">
      <w:pPr>
        <w:keepNext w:val="0"/>
        <w:keepLines w:val="0"/>
        <w:pageBreakBefore w:val="0"/>
        <w:widowControl w:val="0"/>
        <w:kinsoku/>
        <w:wordWrap w:val="0"/>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6、甲方在使用范围内使用“</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”品牌时，应正确说明本项目系乙方提供项目管理服务（不含营销管理服务），不会误导任何第三方(包括但不限于购房人) 认为乙方或其关联企业为本项目房产的投资商、开发商、业主或出卖人。</w:t>
      </w:r>
    </w:p>
    <w:p w14:paraId="66080557">
      <w:pPr>
        <w:pStyle w:val="21"/>
        <w:keepNext w:val="0"/>
        <w:keepLines w:val="0"/>
        <w:pageBreakBefore w:val="0"/>
        <w:widowControl w:val="0"/>
        <w:tabs>
          <w:tab w:val="right" w:leader="dot" w:pos="9660"/>
        </w:tabs>
        <w:kinsoku/>
        <w:wordWrap w:val="0"/>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7、合同期满后，甲方可继续按照上述1-6条款使用乙方</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”品牌</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用于本项目持续性销售、推广（如有）。如项目启动销售、推广的，乙方可委派品牌管理专员对品牌使用及维护进行管理，由此产生的费用包含在委托管理服务费中。</w:t>
      </w:r>
    </w:p>
    <w:p w14:paraId="669BFCF1">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shd w:val="clear" w:color="auto" w:fill="FFFFFF"/>
        </w:rPr>
        <w:t>（2）</w:t>
      </w:r>
      <w:r>
        <w:rPr>
          <w:rFonts w:hint="eastAsia" w:ascii="宋体" w:hAnsi="宋体" w:eastAsia="宋体" w:cs="宋体"/>
          <w:b/>
          <w:bCs/>
          <w:color w:val="auto"/>
          <w:sz w:val="22"/>
          <w:szCs w:val="22"/>
          <w:highlight w:val="none"/>
        </w:rPr>
        <w:t xml:space="preserve"> “</w:t>
      </w:r>
      <w:r>
        <w:rPr>
          <w:rFonts w:hint="eastAsia" w:ascii="宋体" w:hAnsi="宋体" w:eastAsia="宋体" w:cs="宋体"/>
          <w:b/>
          <w:bCs/>
          <w:color w:val="auto"/>
          <w:sz w:val="22"/>
          <w:szCs w:val="22"/>
          <w:highlight w:val="none"/>
          <w:u w:val="single"/>
        </w:rPr>
        <w:t xml:space="preserve">       </w:t>
      </w:r>
      <w:r>
        <w:rPr>
          <w:rFonts w:hint="eastAsia" w:ascii="宋体" w:hAnsi="宋体" w:eastAsia="宋体" w:cs="宋体"/>
          <w:b/>
          <w:bCs/>
          <w:color w:val="auto"/>
          <w:sz w:val="22"/>
          <w:szCs w:val="22"/>
          <w:highlight w:val="none"/>
        </w:rPr>
        <w:t>”品牌使用方式</w:t>
      </w:r>
    </w:p>
    <w:p w14:paraId="672F2A28">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1、本项目推广过程中使用“</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”品牌的，应符合乙方公司关于品牌使用的标准和要求。</w:t>
      </w:r>
    </w:p>
    <w:p w14:paraId="41B4C594">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2、甲方不得任意改变“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”注册商标的文字、图形或者其组合，不得超越许可的项目范围使用乙方的注册商标、文字及图形。</w:t>
      </w:r>
    </w:p>
    <w:p w14:paraId="4CD11D05">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shd w:val="clear" w:color="auto" w:fill="FFFFFF"/>
        </w:rPr>
        <w:t>（</w:t>
      </w:r>
      <w:r>
        <w:rPr>
          <w:rFonts w:hint="eastAsia" w:ascii="宋体" w:hAnsi="宋体" w:eastAsia="宋体" w:cs="宋体"/>
          <w:color w:val="auto"/>
          <w:sz w:val="22"/>
          <w:szCs w:val="22"/>
          <w:highlight w:val="none"/>
          <w:shd w:val="clear" w:color="auto" w:fill="FFFFFF"/>
          <w:lang w:val="en-US" w:eastAsia="zh-CN"/>
        </w:rPr>
        <w:t>3</w:t>
      </w:r>
      <w:r>
        <w:rPr>
          <w:rFonts w:hint="eastAsia" w:ascii="宋体" w:hAnsi="宋体" w:eastAsia="宋体" w:cs="宋体"/>
          <w:color w:val="auto"/>
          <w:sz w:val="22"/>
          <w:szCs w:val="22"/>
          <w:highlight w:val="none"/>
          <w:shd w:val="clear" w:color="auto" w:fill="FFFFFF"/>
        </w:rPr>
        <w:t>）</w:t>
      </w:r>
      <w:r>
        <w:rPr>
          <w:rFonts w:hint="eastAsia" w:ascii="宋体" w:hAnsi="宋体" w:eastAsia="宋体" w:cs="宋体"/>
          <w:b/>
          <w:bCs/>
          <w:color w:val="auto"/>
          <w:sz w:val="22"/>
          <w:szCs w:val="22"/>
          <w:highlight w:val="none"/>
        </w:rPr>
        <w:t xml:space="preserve"> 品牌维护</w:t>
      </w:r>
    </w:p>
    <w:p w14:paraId="0DDA22A3">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1、鉴于乙方许可本项目使用“</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”品牌，甲方必须尊重经甲乙双方沟通确定的一系列有关本项目的产品品质标准，包括但不限于建筑设计、景观设计、精装修设计等设计成果，以及主要材料设备的档次和品牌标准等。</w:t>
      </w:r>
    </w:p>
    <w:p w14:paraId="38E2672C">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2、甲方承诺在项目销售中不得出现损害“</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”品牌的情形，若出现，甲方应自行或在接到乙方通知后立即制止，若由此对“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”品牌造成损害的，由甲方承担损害赔偿责任。</w:t>
      </w:r>
    </w:p>
    <w:p w14:paraId="46818340">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shd w:val="clear" w:color="auto" w:fill="FFFFFF"/>
        </w:rPr>
        <w:t>（</w:t>
      </w:r>
      <w:r>
        <w:rPr>
          <w:rFonts w:hint="eastAsia" w:ascii="宋体" w:hAnsi="宋体" w:eastAsia="宋体" w:cs="宋体"/>
          <w:color w:val="auto"/>
          <w:sz w:val="22"/>
          <w:szCs w:val="22"/>
          <w:highlight w:val="none"/>
          <w:shd w:val="clear" w:color="auto" w:fill="FFFFFF"/>
          <w:lang w:val="en-US" w:eastAsia="zh-CN"/>
        </w:rPr>
        <w:t>4</w:t>
      </w:r>
      <w:r>
        <w:rPr>
          <w:rFonts w:hint="eastAsia" w:ascii="宋体" w:hAnsi="宋体" w:eastAsia="宋体" w:cs="宋体"/>
          <w:color w:val="auto"/>
          <w:sz w:val="22"/>
          <w:szCs w:val="22"/>
          <w:highlight w:val="none"/>
          <w:shd w:val="clear" w:color="auto" w:fill="FFFFFF"/>
        </w:rPr>
        <w:t>）</w:t>
      </w:r>
      <w:r>
        <w:rPr>
          <w:rFonts w:hint="eastAsia" w:ascii="宋体" w:hAnsi="宋体" w:eastAsia="宋体" w:cs="宋体"/>
          <w:b/>
          <w:bCs/>
          <w:color w:val="auto"/>
          <w:sz w:val="22"/>
          <w:szCs w:val="22"/>
          <w:highlight w:val="none"/>
        </w:rPr>
        <w:t xml:space="preserve"> 品牌使用终止</w:t>
      </w:r>
    </w:p>
    <w:p w14:paraId="6245FFD2">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本合同发生以下任一情形的，乙方有权单方面终止本项目或甲方使用“</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”品牌：</w:t>
      </w:r>
    </w:p>
    <w:p w14:paraId="06E5E115">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1、甲方未按本合同约定的“</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”品牌使用范围和方式使用品牌或未按乙方审批意见使用“</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品牌，乙方有权送达一份终止通知给甲方。如果在该通知送达之日后的十五个工作日内甲方未能充分纠正该通知中指出的全部不足之处，或者未提出一项乙方可接受的纠正这些不足之处的计划，则在该十五个工作日期满后，乙方可自行决定终止“</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”品牌使用许可并立即生效，且无需做出任何进一步行动或通知；。</w:t>
      </w:r>
    </w:p>
    <w:p w14:paraId="65EB87BF">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2、甲方发生重大经营困难（包括但不限于甲方不能保证项目建设所需资金、股东纠纷、重大争议事项、遭受司法强制措施或行政处罚等），导致项目无法再持续正常开发或项目停工超过6个月以上的；</w:t>
      </w:r>
    </w:p>
    <w:p w14:paraId="3D6D384B">
      <w:pPr>
        <w:keepNext w:val="0"/>
        <w:keepLines w:val="0"/>
        <w:pageBreakBefore w:val="0"/>
        <w:widowControl w:val="0"/>
        <w:kinsoku/>
        <w:wordWrap w:val="0"/>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3、本合同提前终止的。</w:t>
      </w:r>
    </w:p>
    <w:p w14:paraId="22994A10">
      <w:pPr>
        <w:keepNext w:val="0"/>
        <w:keepLines w:val="0"/>
        <w:pageBreakBefore w:val="0"/>
        <w:widowControl w:val="0"/>
        <w:kinsoku/>
        <w:wordWrap w:val="0"/>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4、发生以上情形的，乙方将终止品牌使用通知书送达甲方即立即生效。甲方应全面停止使用“</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”品牌，并负责消除因终止使用而对“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”品牌及乙方造成的影响，包括但不限于：</w:t>
      </w:r>
    </w:p>
    <w:p w14:paraId="7DF474B0">
      <w:pPr>
        <w:keepNext w:val="0"/>
        <w:keepLines w:val="0"/>
        <w:pageBreakBefore w:val="0"/>
        <w:widowControl w:val="0"/>
        <w:kinsoku/>
        <w:wordWrap w:val="0"/>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 任何场合、宣传资料、营销广告、对外宣称、项目名称、营销物料等所有方面，均不 得以任何方式使用“</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”品牌；</w:t>
      </w:r>
    </w:p>
    <w:p w14:paraId="2FE88C05">
      <w:pPr>
        <w:keepNext w:val="0"/>
        <w:keepLines w:val="0"/>
        <w:pageBreakBefore w:val="0"/>
        <w:widowControl w:val="0"/>
        <w:kinsoku/>
        <w:wordWrap w:val="0"/>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 现有使用“</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”品牌印刷、制作的各类载体，必须立即停止使用和全部销毁； </w:t>
      </w:r>
    </w:p>
    <w:p w14:paraId="77693279">
      <w:pPr>
        <w:keepNext w:val="0"/>
        <w:keepLines w:val="0"/>
        <w:pageBreakBefore w:val="0"/>
        <w:widowControl w:val="0"/>
        <w:kinsoku/>
        <w:wordWrap w:val="0"/>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 负责向项目购房人做好品牌终止的告知和解释工作等。</w:t>
      </w:r>
    </w:p>
    <w:p w14:paraId="49CD1CCB">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4.4甲方违反上述约定继续使用或者消除终止影响不力，给“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”品牌权利人或乙方造成的任何不利影响和损失，均由甲方承担一切责任及后果。</w:t>
      </w:r>
    </w:p>
    <w:p w14:paraId="621A41D6">
      <w:pPr>
        <w:keepNext w:val="0"/>
        <w:keepLines w:val="0"/>
        <w:pageBreakBefore w:val="0"/>
        <w:widowControl w:val="0"/>
        <w:numPr>
          <w:ilvl w:val="0"/>
          <w:numId w:val="0"/>
        </w:numPr>
        <w:kinsoku/>
        <w:wordWrap w:val="0"/>
        <w:overflowPunct/>
        <w:topLinePunct w:val="0"/>
        <w:autoSpaceDE/>
        <w:autoSpaceDN/>
        <w:bidi w:val="0"/>
        <w:adjustRightInd/>
        <w:snapToGrid w:val="0"/>
        <w:spacing w:line="360" w:lineRule="auto"/>
        <w:ind w:leftChars="0"/>
        <w:jc w:val="center"/>
        <w:textAlignment w:val="auto"/>
        <w:outlineLvl w:val="1"/>
        <w:rPr>
          <w:rFonts w:hint="eastAsia" w:ascii="宋体" w:hAnsi="宋体" w:eastAsia="宋体" w:cs="宋体"/>
          <w:b/>
          <w:bCs/>
          <w:color w:val="auto"/>
          <w:sz w:val="22"/>
          <w:szCs w:val="22"/>
          <w:highlight w:val="none"/>
          <w:lang w:val="en-US" w:eastAsia="zh-CN"/>
        </w:rPr>
      </w:pPr>
      <w:bookmarkStart w:id="67" w:name="_Toc30119"/>
      <w:bookmarkStart w:id="68" w:name="_Toc321754640"/>
      <w:bookmarkStart w:id="69" w:name="_Toc24443"/>
      <w:bookmarkStart w:id="70" w:name="_Toc5374"/>
      <w:r>
        <w:rPr>
          <w:rFonts w:hint="eastAsia" w:ascii="宋体" w:hAnsi="宋体" w:eastAsia="宋体" w:cs="宋体"/>
          <w:b/>
          <w:bCs/>
          <w:color w:val="auto"/>
          <w:sz w:val="22"/>
          <w:szCs w:val="22"/>
          <w:highlight w:val="none"/>
          <w:lang w:val="en-US" w:eastAsia="zh-CN"/>
        </w:rPr>
        <w:t>四、项目报告</w:t>
      </w:r>
      <w:bookmarkEnd w:id="67"/>
      <w:bookmarkEnd w:id="68"/>
      <w:bookmarkEnd w:id="69"/>
      <w:bookmarkEnd w:id="70"/>
    </w:p>
    <w:p w14:paraId="19F04A3E">
      <w:pPr>
        <w:keepNext w:val="0"/>
        <w:keepLines w:val="0"/>
        <w:pageBreakBefore w:val="0"/>
        <w:widowControl w:val="0"/>
        <w:kinsoku/>
        <w:wordWrap w:val="0"/>
        <w:overflowPunct/>
        <w:topLinePunct w:val="0"/>
        <w:autoSpaceDE/>
        <w:autoSpaceDN/>
        <w:bidi w:val="0"/>
        <w:adjustRightInd/>
        <w:snapToGrid w:val="0"/>
        <w:spacing w:line="360" w:lineRule="auto"/>
        <w:ind w:firstLine="442" w:firstLineChars="200"/>
        <w:textAlignment w:val="auto"/>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 xml:space="preserve">第十三条 </w:t>
      </w:r>
      <w:r>
        <w:rPr>
          <w:rFonts w:hint="eastAsia" w:ascii="宋体" w:hAnsi="宋体" w:eastAsia="宋体" w:cs="宋体"/>
          <w:color w:val="auto"/>
          <w:sz w:val="22"/>
          <w:szCs w:val="22"/>
          <w:highlight w:val="none"/>
        </w:rPr>
        <w:t>乙方应按季度向甲方提交项目管理者报告，项目管理者报告应包括以下内容：</w:t>
      </w:r>
    </w:p>
    <w:p w14:paraId="07A8BBB0">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 项目开发主要工作的进度和进展情况，以及和项目开发计划的对比分析。</w:t>
      </w:r>
    </w:p>
    <w:p w14:paraId="4B7A39AA">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2、项目成本的发生和异动情况分析。</w:t>
      </w:r>
    </w:p>
    <w:p w14:paraId="3A68B33B">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3、项目各项费用的发生和异动情况分析。</w:t>
      </w:r>
    </w:p>
    <w:p w14:paraId="5B999ABE">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4、项目当季的资金使用情况和下个季度的资金需求计划。</w:t>
      </w:r>
    </w:p>
    <w:p w14:paraId="60527290">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5、项目人力资源的状况。</w:t>
      </w:r>
    </w:p>
    <w:p w14:paraId="4E7E20BE">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6、甲方书面提出的其他重点工作情况。</w:t>
      </w:r>
    </w:p>
    <w:p w14:paraId="62D48E61">
      <w:pPr>
        <w:keepNext w:val="0"/>
        <w:keepLines w:val="0"/>
        <w:pageBreakBefore w:val="0"/>
        <w:widowControl w:val="0"/>
        <w:kinsoku/>
        <w:wordWrap w:val="0"/>
        <w:overflowPunct/>
        <w:topLinePunct w:val="0"/>
        <w:autoSpaceDE/>
        <w:autoSpaceDN/>
        <w:bidi w:val="0"/>
        <w:adjustRightInd/>
        <w:snapToGrid w:val="0"/>
        <w:spacing w:line="360" w:lineRule="auto"/>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 xml:space="preserve">第十四条 </w:t>
      </w:r>
      <w:r>
        <w:rPr>
          <w:rFonts w:hint="eastAsia" w:ascii="宋体" w:hAnsi="宋体" w:eastAsia="宋体" w:cs="宋体"/>
          <w:color w:val="auto"/>
          <w:sz w:val="22"/>
          <w:szCs w:val="22"/>
          <w:highlight w:val="none"/>
        </w:rPr>
        <w:t>乙方所提交的所有报告，均由甲方代表负责签收（包含OA邮件及审批流程经甲方代表收件或处理）。</w:t>
      </w:r>
    </w:p>
    <w:p w14:paraId="779C5C99">
      <w:pPr>
        <w:keepNext w:val="0"/>
        <w:keepLines w:val="0"/>
        <w:pageBreakBefore w:val="0"/>
        <w:widowControl w:val="0"/>
        <w:numPr>
          <w:ilvl w:val="0"/>
          <w:numId w:val="0"/>
        </w:numPr>
        <w:kinsoku/>
        <w:wordWrap w:val="0"/>
        <w:overflowPunct/>
        <w:topLinePunct w:val="0"/>
        <w:autoSpaceDE/>
        <w:autoSpaceDN/>
        <w:bidi w:val="0"/>
        <w:adjustRightInd/>
        <w:snapToGrid w:val="0"/>
        <w:spacing w:line="360" w:lineRule="auto"/>
        <w:ind w:leftChars="0"/>
        <w:jc w:val="center"/>
        <w:textAlignment w:val="auto"/>
        <w:outlineLvl w:val="1"/>
        <w:rPr>
          <w:rFonts w:hint="eastAsia" w:ascii="宋体" w:hAnsi="宋体" w:eastAsia="宋体" w:cs="宋体"/>
          <w:b/>
          <w:bCs/>
          <w:color w:val="auto"/>
          <w:sz w:val="22"/>
          <w:szCs w:val="22"/>
          <w:highlight w:val="none"/>
          <w:lang w:val="en-US" w:eastAsia="zh-CN"/>
        </w:rPr>
      </w:pPr>
      <w:bookmarkStart w:id="71" w:name="_Toc7393"/>
      <w:bookmarkStart w:id="72" w:name="_Toc1166"/>
      <w:bookmarkStart w:id="73" w:name="_Toc321754642"/>
      <w:bookmarkStart w:id="74" w:name="_Toc11727"/>
      <w:r>
        <w:rPr>
          <w:rFonts w:hint="eastAsia" w:ascii="宋体" w:hAnsi="宋体" w:eastAsia="宋体" w:cs="宋体"/>
          <w:b/>
          <w:bCs/>
          <w:color w:val="auto"/>
          <w:sz w:val="22"/>
          <w:szCs w:val="22"/>
          <w:highlight w:val="none"/>
          <w:lang w:val="en-US" w:eastAsia="zh-CN"/>
        </w:rPr>
        <w:t>五、合作陈述和保证</w:t>
      </w:r>
      <w:bookmarkEnd w:id="71"/>
      <w:bookmarkEnd w:id="72"/>
      <w:bookmarkEnd w:id="73"/>
      <w:bookmarkEnd w:id="74"/>
    </w:p>
    <w:p w14:paraId="4E2CD822">
      <w:pPr>
        <w:keepNext w:val="0"/>
        <w:keepLines w:val="0"/>
        <w:pageBreakBefore w:val="0"/>
        <w:widowControl w:val="0"/>
        <w:kinsoku/>
        <w:wordWrap w:val="0"/>
        <w:overflowPunct/>
        <w:topLinePunct w:val="0"/>
        <w:autoSpaceDE/>
        <w:autoSpaceDN/>
        <w:bidi w:val="0"/>
        <w:adjustRightInd/>
        <w:snapToGrid w:val="0"/>
        <w:spacing w:line="360" w:lineRule="auto"/>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第十五条 甲方陈述和保证</w:t>
      </w:r>
    </w:p>
    <w:p w14:paraId="4FFD6424">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1、甲方为本项目开发建设主体，系依据中华人民共和国法律合法设立的有限责任公司，并且甲方保证在合同期间有效存续。</w:t>
      </w:r>
    </w:p>
    <w:p w14:paraId="1D281C6E">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甲方具备签订和履行本合同的完全、独立的能力，并已就本合同的签订和履行取得充分、有效的授权和许可。并且本合同不违背甲方的公司章程、董事会、股东会决议，以及其他的协议、承诺，不会引发任何利益冲突。</w:t>
      </w:r>
    </w:p>
    <w:p w14:paraId="32EC4158">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3、甲方拥有本项目合法的土地使用权，不会有任何政府机关或其他实体或个人启动或可能启动任何程序、主张、诉讼，并导致本项目的正常开发建设存在障碍。</w:t>
      </w:r>
    </w:p>
    <w:p w14:paraId="47F9ED1D">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4、本合同签署时，甲方不存在未披露的重大债务（包括或有债务），也不存在任何诉讼、潜在的重大诉讼或者任何影响项目正常开发销售或甲方主体存在的行政处罚。</w:t>
      </w:r>
    </w:p>
    <w:p w14:paraId="03CC4072">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5、甲方保证在本项目开发建设过程中，合法经营、依法纳税，不会实施违反法律法规的行为或对乙方做出违反法律法规的指令，也不会安排任何交易对乙方完成本项目各项委托管理目标产生不利影响。</w:t>
      </w:r>
    </w:p>
    <w:p w14:paraId="74B12D68">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甲方保证在项目开发建设过程中，无论处于何种情况，甲方均按时、足额拨付委托管理相关费用，如甲方拖延三个月以上的，视为甲方违约。乙方可单方面提出解除合同，同时撤回或解散乙方派驻的及以乙方名义的招聘人员。</w:t>
      </w:r>
    </w:p>
    <w:p w14:paraId="4BEB730E">
      <w:pPr>
        <w:keepNext w:val="0"/>
        <w:keepLines w:val="0"/>
        <w:pageBreakBefore w:val="0"/>
        <w:widowControl w:val="0"/>
        <w:kinsoku/>
        <w:wordWrap w:val="0"/>
        <w:overflowPunct/>
        <w:topLinePunct w:val="0"/>
        <w:autoSpaceDE/>
        <w:autoSpaceDN/>
        <w:bidi w:val="0"/>
        <w:adjustRightInd/>
        <w:snapToGrid w:val="0"/>
        <w:spacing w:line="360" w:lineRule="auto"/>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第十六条 乙方陈述和保证</w:t>
      </w:r>
    </w:p>
    <w:p w14:paraId="5606FFA4">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1、乙方系依据中华人民共和国法律合法设立有限责任公司，拥有与本项目开发建设受托管理相适应营业执照和和房地产开发资质条件</w:t>
      </w:r>
      <w:r>
        <w:rPr>
          <w:rFonts w:hint="eastAsia" w:ascii="宋体" w:hAnsi="宋体" w:eastAsia="宋体" w:cs="宋体"/>
          <w:color w:val="auto"/>
          <w:sz w:val="22"/>
          <w:szCs w:val="22"/>
          <w:highlight w:val="none"/>
          <w:lang w:val="en-US" w:eastAsia="zh-CN"/>
        </w:rPr>
        <w:t>及</w:t>
      </w:r>
      <w:r>
        <w:rPr>
          <w:rFonts w:hint="eastAsia" w:ascii="宋体" w:hAnsi="宋体" w:eastAsia="宋体" w:cs="宋体"/>
          <w:color w:val="auto"/>
          <w:sz w:val="22"/>
          <w:szCs w:val="22"/>
          <w:highlight w:val="none"/>
        </w:rPr>
        <w:t>专业技术能力，并且乙方保证在合同期间有效存续。</w:t>
      </w:r>
    </w:p>
    <w:p w14:paraId="3F4F0E11">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乙方具备签订和履行本合同的完全、独立的能力，并已就本合同的签订和履行取得充分、有效的授权和许可，并且本合同不违背乙方的公司章程、董事会、股东会决议，以及其他的协议、承诺，不会引发任何利益冲突。</w:t>
      </w:r>
    </w:p>
    <w:p w14:paraId="037550E2">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3、乙方承诺取得按本合同约定在本项目使用“</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”商标的权利，承诺商标拥有人不会因此向甲方索赔或主张权利，否则因此引起的一切责任和后果由乙方承担。</w:t>
      </w:r>
    </w:p>
    <w:p w14:paraId="1329F0C9">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4、乙方作为本项目开发建设的受托管理单位，应充分利用专业经验和优势解决本项目开发过程中的各类问题，勤勉、尽责、善管，按照有利于项目整体利益的原则履行合同约定义务，不得损害甲方利益。</w:t>
      </w:r>
    </w:p>
    <w:p w14:paraId="7F38D089">
      <w:pPr>
        <w:keepNext w:val="0"/>
        <w:keepLines w:val="0"/>
        <w:pageBreakBefore w:val="0"/>
        <w:widowControl w:val="0"/>
        <w:numPr>
          <w:ilvl w:val="0"/>
          <w:numId w:val="0"/>
        </w:numPr>
        <w:kinsoku/>
        <w:wordWrap w:val="0"/>
        <w:overflowPunct/>
        <w:topLinePunct w:val="0"/>
        <w:autoSpaceDE/>
        <w:autoSpaceDN/>
        <w:bidi w:val="0"/>
        <w:adjustRightInd/>
        <w:snapToGrid w:val="0"/>
        <w:spacing w:line="360" w:lineRule="auto"/>
        <w:ind w:leftChars="0"/>
        <w:jc w:val="center"/>
        <w:textAlignment w:val="auto"/>
        <w:outlineLvl w:val="1"/>
        <w:rPr>
          <w:rFonts w:hint="eastAsia" w:ascii="宋体" w:hAnsi="宋体" w:eastAsia="宋体" w:cs="宋体"/>
          <w:b/>
          <w:bCs/>
          <w:color w:val="auto"/>
          <w:sz w:val="22"/>
          <w:szCs w:val="22"/>
          <w:highlight w:val="none"/>
          <w:lang w:val="en-US" w:eastAsia="zh-CN"/>
        </w:rPr>
      </w:pPr>
      <w:bookmarkStart w:id="75" w:name="_Toc332"/>
      <w:bookmarkStart w:id="76" w:name="_Toc321754643"/>
      <w:bookmarkStart w:id="77" w:name="_Toc27409"/>
      <w:bookmarkStart w:id="78" w:name="_Toc14739"/>
      <w:r>
        <w:rPr>
          <w:rFonts w:hint="eastAsia" w:ascii="宋体" w:hAnsi="宋体" w:eastAsia="宋体" w:cs="宋体"/>
          <w:b/>
          <w:bCs/>
          <w:color w:val="auto"/>
          <w:sz w:val="22"/>
          <w:szCs w:val="22"/>
          <w:highlight w:val="none"/>
          <w:lang w:val="en-US" w:eastAsia="zh-CN"/>
        </w:rPr>
        <w:t>六、合同的变更、解除和终止</w:t>
      </w:r>
      <w:bookmarkEnd w:id="75"/>
      <w:bookmarkEnd w:id="76"/>
      <w:bookmarkEnd w:id="77"/>
      <w:bookmarkEnd w:id="78"/>
    </w:p>
    <w:p w14:paraId="294037F8">
      <w:pPr>
        <w:keepNext w:val="0"/>
        <w:keepLines w:val="0"/>
        <w:pageBreakBefore w:val="0"/>
        <w:widowControl w:val="0"/>
        <w:kinsoku/>
        <w:wordWrap w:val="0"/>
        <w:overflowPunct/>
        <w:topLinePunct w:val="0"/>
        <w:autoSpaceDE/>
        <w:autoSpaceDN/>
        <w:bidi w:val="0"/>
        <w:adjustRightInd/>
        <w:snapToGrid w:val="0"/>
        <w:spacing w:line="360" w:lineRule="auto"/>
        <w:ind w:firstLine="442" w:firstLineChars="200"/>
        <w:textAlignment w:val="auto"/>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 xml:space="preserve">第十七条 </w:t>
      </w:r>
      <w:r>
        <w:rPr>
          <w:rFonts w:hint="eastAsia" w:ascii="宋体" w:hAnsi="宋体" w:eastAsia="宋体" w:cs="宋体"/>
          <w:color w:val="auto"/>
          <w:sz w:val="22"/>
          <w:szCs w:val="22"/>
          <w:highlight w:val="none"/>
        </w:rPr>
        <w:t>甲乙双方经协商一致，可以协议变更本合同。</w:t>
      </w:r>
    </w:p>
    <w:p w14:paraId="49BD131B">
      <w:pPr>
        <w:keepNext w:val="0"/>
        <w:keepLines w:val="0"/>
        <w:pageBreakBefore w:val="0"/>
        <w:widowControl w:val="0"/>
        <w:kinsoku/>
        <w:wordWrap w:val="0"/>
        <w:overflowPunct/>
        <w:topLinePunct w:val="0"/>
        <w:autoSpaceDE/>
        <w:autoSpaceDN/>
        <w:bidi w:val="0"/>
        <w:adjustRightInd/>
        <w:snapToGrid w:val="0"/>
        <w:spacing w:line="360" w:lineRule="auto"/>
        <w:ind w:firstLine="442" w:firstLineChars="200"/>
        <w:textAlignment w:val="auto"/>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 xml:space="preserve">第十八条 </w:t>
      </w:r>
      <w:r>
        <w:rPr>
          <w:rFonts w:hint="eastAsia" w:ascii="宋体" w:hAnsi="宋体" w:eastAsia="宋体" w:cs="宋体"/>
          <w:color w:val="auto"/>
          <w:sz w:val="22"/>
          <w:szCs w:val="22"/>
          <w:highlight w:val="none"/>
        </w:rPr>
        <w:t>甲方有下列行为之一的，乙方有权解除本合同：</w:t>
      </w:r>
    </w:p>
    <w:p w14:paraId="097BCEC1">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无正当事由付款延迟时间超过三个月的</w:t>
      </w:r>
      <w:r>
        <w:rPr>
          <w:rFonts w:hint="eastAsia" w:ascii="宋体" w:hAnsi="宋体" w:eastAsia="宋体" w:cs="宋体"/>
          <w:color w:val="auto"/>
          <w:sz w:val="22"/>
          <w:szCs w:val="22"/>
          <w:highlight w:val="none"/>
        </w:rPr>
        <w:t>。</w:t>
      </w:r>
    </w:p>
    <w:p w14:paraId="6073AE5E">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2、由于甲方发生重大争议事项或遭受司法强制措施/行政处罚，导致项目无法正常实施的，经乙方向甲方书面形式通知后，甲方在合理期限内仍未予以更正或解决的。</w:t>
      </w:r>
    </w:p>
    <w:p w14:paraId="61ECB901">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3、甲方未按本合同的约定使用“  ”品牌，经乙方向甲方书面形式通知后，甲方仍未在通知要求的期限内停止该类使用行为或无法消除由此带来的影响的。</w:t>
      </w:r>
    </w:p>
    <w:p w14:paraId="222ED906">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4、甲方违反本合同有关财务和资金管理的约定，造成项目因缺乏资金而无法按期交付的。</w:t>
      </w:r>
    </w:p>
    <w:p w14:paraId="4FACC631">
      <w:pPr>
        <w:keepNext w:val="0"/>
        <w:keepLines w:val="0"/>
        <w:pageBreakBefore w:val="0"/>
        <w:widowControl w:val="0"/>
        <w:kinsoku/>
        <w:wordWrap w:val="0"/>
        <w:overflowPunct/>
        <w:topLinePunct w:val="0"/>
        <w:autoSpaceDE/>
        <w:autoSpaceDN/>
        <w:bidi w:val="0"/>
        <w:adjustRightInd/>
        <w:snapToGrid w:val="0"/>
        <w:spacing w:line="360" w:lineRule="auto"/>
        <w:ind w:firstLine="442" w:firstLineChars="200"/>
        <w:textAlignment w:val="auto"/>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 xml:space="preserve">第十九条 </w:t>
      </w:r>
      <w:r>
        <w:rPr>
          <w:rFonts w:hint="eastAsia" w:ascii="宋体" w:hAnsi="宋体" w:eastAsia="宋体" w:cs="宋体"/>
          <w:color w:val="auto"/>
          <w:sz w:val="22"/>
          <w:szCs w:val="22"/>
          <w:highlight w:val="none"/>
        </w:rPr>
        <w:t>乙方有下列原因之一的，甲方有权解除本合同：</w:t>
      </w:r>
    </w:p>
    <w:p w14:paraId="3B75723A">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1、乙方主要管理人员</w:t>
      </w:r>
      <w:r>
        <w:rPr>
          <w:rFonts w:hint="eastAsia" w:ascii="宋体" w:hAnsi="宋体" w:eastAsia="宋体" w:cs="宋体"/>
          <w:color w:val="auto"/>
          <w:sz w:val="22"/>
          <w:szCs w:val="22"/>
          <w:highlight w:val="none"/>
          <w:lang w:val="en-US" w:eastAsia="zh-CN"/>
        </w:rPr>
        <w:t>多次未</w:t>
      </w:r>
      <w:r>
        <w:rPr>
          <w:rFonts w:hint="eastAsia" w:ascii="宋体" w:hAnsi="宋体" w:eastAsia="宋体" w:cs="宋体"/>
          <w:color w:val="auto"/>
          <w:sz w:val="22"/>
          <w:szCs w:val="22"/>
          <w:highlight w:val="none"/>
        </w:rPr>
        <w:t>到岗，导致项目管理工作不能正常开展</w:t>
      </w:r>
      <w:r>
        <w:rPr>
          <w:rFonts w:hint="eastAsia" w:ascii="宋体" w:hAnsi="宋体" w:eastAsia="宋体" w:cs="宋体"/>
          <w:color w:val="auto"/>
          <w:sz w:val="22"/>
          <w:szCs w:val="22"/>
          <w:highlight w:val="none"/>
          <w:lang w:val="en-US" w:eastAsia="zh-CN"/>
        </w:rPr>
        <w:t>的</w:t>
      </w:r>
      <w:r>
        <w:rPr>
          <w:rFonts w:hint="eastAsia" w:ascii="宋体" w:hAnsi="宋体" w:eastAsia="宋体" w:cs="宋体"/>
          <w:color w:val="auto"/>
          <w:sz w:val="22"/>
          <w:szCs w:val="22"/>
          <w:highlight w:val="none"/>
        </w:rPr>
        <w:t>，经甲方书面提出意见后，在30天内仍未改正的。</w:t>
      </w:r>
    </w:p>
    <w:p w14:paraId="7B2F5990">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2、乙方严重违反合同约定，未能履行管理职责，不能</w:t>
      </w:r>
      <w:r>
        <w:rPr>
          <w:rFonts w:hint="eastAsia" w:ascii="宋体" w:hAnsi="宋体" w:eastAsia="宋体" w:cs="宋体"/>
          <w:color w:val="auto"/>
          <w:sz w:val="22"/>
          <w:szCs w:val="22"/>
          <w:highlight w:val="none"/>
          <w:lang w:val="en-US" w:eastAsia="zh-CN"/>
        </w:rPr>
        <w:t>按甲方要求及时</w:t>
      </w:r>
      <w:r>
        <w:rPr>
          <w:rFonts w:hint="eastAsia" w:ascii="宋体" w:hAnsi="宋体" w:eastAsia="宋体" w:cs="宋体"/>
          <w:color w:val="auto"/>
          <w:sz w:val="22"/>
          <w:szCs w:val="22"/>
          <w:highlight w:val="none"/>
        </w:rPr>
        <w:t>提供合同约定的主要工作成果</w:t>
      </w:r>
      <w:r>
        <w:rPr>
          <w:rFonts w:hint="eastAsia" w:ascii="宋体" w:hAnsi="宋体" w:eastAsia="宋体" w:cs="宋体"/>
          <w:color w:val="auto"/>
          <w:sz w:val="22"/>
          <w:szCs w:val="22"/>
          <w:highlight w:val="none"/>
          <w:lang w:val="en-US" w:eastAsia="zh-CN"/>
        </w:rPr>
        <w:t>超过三次的</w:t>
      </w:r>
      <w:r>
        <w:rPr>
          <w:rFonts w:hint="eastAsia" w:ascii="宋体" w:hAnsi="宋体" w:eastAsia="宋体" w:cs="宋体"/>
          <w:color w:val="auto"/>
          <w:sz w:val="22"/>
          <w:szCs w:val="22"/>
          <w:highlight w:val="none"/>
        </w:rPr>
        <w:t>，导致项目不能正常开展或者严重延期（超出3个月以上）。</w:t>
      </w:r>
    </w:p>
    <w:p w14:paraId="53E11BEA">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3、因乙方的管理原因导致项目质量与合同严重不符，经施工单位整改后仍不能够通过竣工验收的。</w:t>
      </w:r>
    </w:p>
    <w:p w14:paraId="0EB7E35D">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4、乙方因违约产生的违约金总额累计达到履约担保总额时，甲方有权单方解除合同。</w:t>
      </w:r>
    </w:p>
    <w:p w14:paraId="54402983">
      <w:pPr>
        <w:keepNext w:val="0"/>
        <w:keepLines w:val="0"/>
        <w:pageBreakBefore w:val="0"/>
        <w:widowControl w:val="0"/>
        <w:kinsoku/>
        <w:wordWrap w:val="0"/>
        <w:overflowPunct/>
        <w:topLinePunct w:val="0"/>
        <w:autoSpaceDE/>
        <w:autoSpaceDN/>
        <w:bidi w:val="0"/>
        <w:adjustRightInd/>
        <w:snapToGrid w:val="0"/>
        <w:spacing w:line="360" w:lineRule="auto"/>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第二十条 解除合同的程序</w:t>
      </w:r>
    </w:p>
    <w:p w14:paraId="01AEE18A">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1、在本合同履行过程中，发生约定解除事由的，享有解除权的一方如决定解除本合同，则应以书面方式通知另一方，本合同自书面通知送达之日起解除。</w:t>
      </w:r>
    </w:p>
    <w:p w14:paraId="03CC8658">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2、由于乙方已许可项目使用“  ”品牌，为避免损害业主利益和乙方品牌形象，甲乙双方均自愿放弃《民法典》第933条规定的任意解除权，均不得根据该条规定解除合同，否则应按本合同约定承担违约责任。</w:t>
      </w:r>
    </w:p>
    <w:p w14:paraId="7C36C606">
      <w:pPr>
        <w:keepNext w:val="0"/>
        <w:keepLines w:val="0"/>
        <w:pageBreakBefore w:val="0"/>
        <w:widowControl w:val="0"/>
        <w:kinsoku/>
        <w:wordWrap w:val="0"/>
        <w:overflowPunct/>
        <w:topLinePunct w:val="0"/>
        <w:autoSpaceDE/>
        <w:autoSpaceDN/>
        <w:bidi w:val="0"/>
        <w:adjustRightInd/>
        <w:snapToGrid w:val="0"/>
        <w:spacing w:line="360" w:lineRule="auto"/>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第二十</w:t>
      </w:r>
      <w:r>
        <w:rPr>
          <w:rFonts w:hint="eastAsia" w:ascii="宋体" w:hAnsi="宋体" w:eastAsia="宋体" w:cs="宋体"/>
          <w:b/>
          <w:bCs/>
          <w:color w:val="auto"/>
          <w:sz w:val="22"/>
          <w:szCs w:val="22"/>
          <w:highlight w:val="none"/>
          <w:lang w:val="en-US" w:eastAsia="zh-CN"/>
        </w:rPr>
        <w:t>一</w:t>
      </w:r>
      <w:r>
        <w:rPr>
          <w:rFonts w:hint="eastAsia" w:ascii="宋体" w:hAnsi="宋体" w:eastAsia="宋体" w:cs="宋体"/>
          <w:b/>
          <w:bCs/>
          <w:color w:val="auto"/>
          <w:sz w:val="22"/>
          <w:szCs w:val="22"/>
          <w:highlight w:val="none"/>
        </w:rPr>
        <w:t>条 项目停建或缓建</w:t>
      </w:r>
    </w:p>
    <w:p w14:paraId="77BEEF7C">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1、当甲方终止或中断项目开发或乙方被通知无限期停止工作且时间持续超过【6个月】时，则视为项目“停建”。项目停建时，乙方有权解除合同。</w:t>
      </w:r>
    </w:p>
    <w:p w14:paraId="72E1CD6C">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当中断开发的项目于【6个月】内恢复进行，无重大修改，则视为项目“缓建”，此时双方应继续履行本合同。乙方需继续依据合同条件开展所有工作。因缓建而引致乙方的额外工作和费用，甲方应按实际情况给予乙方补偿，当一次性缓建时间少于3个月时不予补偿。</w:t>
      </w:r>
    </w:p>
    <w:p w14:paraId="3FB23970">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color w:val="auto"/>
          <w:sz w:val="22"/>
          <w:szCs w:val="22"/>
          <w:highlight w:val="none"/>
        </w:rPr>
        <w:t>3、由于非乙方原因导致的项目停建或缓建，停建或缓建的情况下甲方应支付的所有费用计算至甲方通知乙方的所有人员退场之日为止。</w:t>
      </w:r>
    </w:p>
    <w:p w14:paraId="54826CCC">
      <w:pPr>
        <w:keepNext w:val="0"/>
        <w:keepLines w:val="0"/>
        <w:pageBreakBefore w:val="0"/>
        <w:widowControl w:val="0"/>
        <w:numPr>
          <w:ilvl w:val="0"/>
          <w:numId w:val="0"/>
        </w:numPr>
        <w:kinsoku/>
        <w:wordWrap w:val="0"/>
        <w:overflowPunct/>
        <w:topLinePunct w:val="0"/>
        <w:autoSpaceDE/>
        <w:autoSpaceDN/>
        <w:bidi w:val="0"/>
        <w:adjustRightInd/>
        <w:snapToGrid w:val="0"/>
        <w:spacing w:line="360" w:lineRule="auto"/>
        <w:ind w:leftChars="0"/>
        <w:jc w:val="center"/>
        <w:textAlignment w:val="auto"/>
        <w:outlineLvl w:val="1"/>
        <w:rPr>
          <w:rFonts w:hint="eastAsia" w:ascii="宋体" w:hAnsi="宋体" w:eastAsia="宋体" w:cs="宋体"/>
          <w:b/>
          <w:bCs/>
          <w:color w:val="auto"/>
          <w:sz w:val="22"/>
          <w:szCs w:val="22"/>
          <w:highlight w:val="none"/>
          <w:lang w:val="en-US" w:eastAsia="zh-CN"/>
        </w:rPr>
      </w:pPr>
      <w:bookmarkStart w:id="79" w:name="_Toc31882"/>
      <w:bookmarkStart w:id="80" w:name="_Toc1290"/>
      <w:bookmarkStart w:id="81" w:name="_Toc321754644"/>
      <w:bookmarkStart w:id="82" w:name="_Toc3830"/>
      <w:r>
        <w:rPr>
          <w:rFonts w:hint="eastAsia" w:ascii="宋体" w:hAnsi="宋体" w:eastAsia="宋体" w:cs="宋体"/>
          <w:b/>
          <w:bCs/>
          <w:color w:val="auto"/>
          <w:sz w:val="22"/>
          <w:szCs w:val="22"/>
          <w:highlight w:val="none"/>
          <w:lang w:val="en-US" w:eastAsia="zh-CN"/>
        </w:rPr>
        <w:t>七、违约责任</w:t>
      </w:r>
      <w:bookmarkEnd w:id="79"/>
      <w:bookmarkEnd w:id="80"/>
      <w:bookmarkEnd w:id="81"/>
      <w:bookmarkEnd w:id="82"/>
    </w:p>
    <w:p w14:paraId="338CC97F">
      <w:pPr>
        <w:keepNext w:val="0"/>
        <w:keepLines w:val="0"/>
        <w:pageBreakBefore w:val="0"/>
        <w:widowControl w:val="0"/>
        <w:kinsoku/>
        <w:wordWrap w:val="0"/>
        <w:overflowPunct/>
        <w:topLinePunct w:val="0"/>
        <w:autoSpaceDE/>
        <w:autoSpaceDN/>
        <w:bidi w:val="0"/>
        <w:adjustRightInd/>
        <w:snapToGrid w:val="0"/>
        <w:spacing w:line="360" w:lineRule="auto"/>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第二十</w:t>
      </w:r>
      <w:r>
        <w:rPr>
          <w:rFonts w:hint="eastAsia" w:ascii="宋体" w:hAnsi="宋体" w:eastAsia="宋体" w:cs="宋体"/>
          <w:b/>
          <w:bCs/>
          <w:color w:val="auto"/>
          <w:sz w:val="22"/>
          <w:szCs w:val="22"/>
          <w:highlight w:val="none"/>
          <w:lang w:val="en-US" w:eastAsia="zh-CN"/>
        </w:rPr>
        <w:t>二</w:t>
      </w:r>
      <w:r>
        <w:rPr>
          <w:rFonts w:hint="eastAsia" w:ascii="宋体" w:hAnsi="宋体" w:eastAsia="宋体" w:cs="宋体"/>
          <w:b/>
          <w:bCs/>
          <w:color w:val="auto"/>
          <w:sz w:val="22"/>
          <w:szCs w:val="22"/>
          <w:highlight w:val="none"/>
        </w:rPr>
        <w:t>条 甲方违约责任</w:t>
      </w:r>
    </w:p>
    <w:p w14:paraId="44289706">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1、若因甲方原因延误工期的，开发建设周期目标相应延长。</w:t>
      </w:r>
    </w:p>
    <w:p w14:paraId="6047A787">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2、在本合同履行过程中，因甲方违约而导致乙方解除合同的，承担相应的违约责任。</w:t>
      </w:r>
    </w:p>
    <w:p w14:paraId="1AA67B96">
      <w:pPr>
        <w:keepNext w:val="0"/>
        <w:keepLines w:val="0"/>
        <w:pageBreakBefore w:val="0"/>
        <w:widowControl w:val="0"/>
        <w:kinsoku/>
        <w:wordWrap w:val="0"/>
        <w:overflowPunct/>
        <w:topLinePunct w:val="0"/>
        <w:autoSpaceDE/>
        <w:autoSpaceDN/>
        <w:bidi w:val="0"/>
        <w:adjustRightInd/>
        <w:snapToGrid w:val="0"/>
        <w:spacing w:line="360" w:lineRule="auto"/>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第二十</w:t>
      </w:r>
      <w:r>
        <w:rPr>
          <w:rFonts w:hint="eastAsia" w:ascii="宋体" w:hAnsi="宋体" w:eastAsia="宋体" w:cs="宋体"/>
          <w:b/>
          <w:bCs/>
          <w:color w:val="auto"/>
          <w:sz w:val="22"/>
          <w:szCs w:val="22"/>
          <w:highlight w:val="none"/>
          <w:lang w:val="en-US" w:eastAsia="zh-CN"/>
        </w:rPr>
        <w:t>三</w:t>
      </w:r>
      <w:r>
        <w:rPr>
          <w:rFonts w:hint="eastAsia" w:ascii="宋体" w:hAnsi="宋体" w:eastAsia="宋体" w:cs="宋体"/>
          <w:b/>
          <w:bCs/>
          <w:color w:val="auto"/>
          <w:sz w:val="22"/>
          <w:szCs w:val="22"/>
          <w:highlight w:val="none"/>
        </w:rPr>
        <w:t>条 乙方</w:t>
      </w:r>
      <w:bookmarkStart w:id="83" w:name="违约责任"/>
      <w:r>
        <w:rPr>
          <w:rFonts w:hint="eastAsia" w:ascii="宋体" w:hAnsi="宋体" w:eastAsia="宋体" w:cs="宋体"/>
          <w:b/>
          <w:bCs/>
          <w:color w:val="auto"/>
          <w:sz w:val="22"/>
          <w:szCs w:val="22"/>
          <w:highlight w:val="none"/>
        </w:rPr>
        <w:t>违约责任</w:t>
      </w:r>
      <w:bookmarkEnd w:id="83"/>
    </w:p>
    <w:p w14:paraId="46E7CEE7">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乙方应全面实际地履行本合同约定的各项合同义务，确因乙方管理失职，造成任何未按合同的约定履行或未适当履行的行为，应视为违约，并按以下约定承担相应的违约责任。</w:t>
      </w:r>
    </w:p>
    <w:p w14:paraId="34D34F6F">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b w:val="0"/>
          <w:bCs w:val="0"/>
          <w:color w:val="auto"/>
          <w:sz w:val="22"/>
          <w:szCs w:val="22"/>
          <w:highlight w:val="none"/>
          <w:shd w:val="clear" w:color="auto" w:fill="FFFFFF"/>
        </w:rPr>
      </w:pPr>
      <w:r>
        <w:rPr>
          <w:rFonts w:hint="eastAsia" w:ascii="宋体" w:hAnsi="宋体" w:eastAsia="宋体" w:cs="宋体"/>
          <w:b w:val="0"/>
          <w:bCs w:val="0"/>
          <w:color w:val="auto"/>
          <w:sz w:val="22"/>
          <w:szCs w:val="22"/>
          <w:highlight w:val="none"/>
          <w:shd w:val="clear" w:color="auto" w:fill="FFFFFF"/>
          <w:lang w:val="en-US" w:eastAsia="zh-CN"/>
        </w:rPr>
        <w:t>（1）因乙方原因，乙方未在合同签订后15日历天内提交甲方确认项目全景开发计划的，每延误一天乙方按10000元/天支付违约金；</w:t>
      </w:r>
    </w:p>
    <w:p w14:paraId="0B203C02">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b w:val="0"/>
          <w:bCs w:val="0"/>
          <w:color w:val="auto"/>
          <w:sz w:val="22"/>
          <w:szCs w:val="22"/>
          <w:highlight w:val="none"/>
          <w:shd w:val="clear" w:color="auto" w:fill="FFFFFF"/>
          <w:lang w:val="en-US" w:eastAsia="zh-CN"/>
        </w:rPr>
      </w:pPr>
      <w:r>
        <w:rPr>
          <w:rFonts w:hint="eastAsia" w:ascii="宋体" w:hAnsi="宋体" w:eastAsia="宋体" w:cs="宋体"/>
          <w:b w:val="0"/>
          <w:bCs w:val="0"/>
          <w:color w:val="auto"/>
          <w:sz w:val="22"/>
          <w:szCs w:val="22"/>
          <w:highlight w:val="none"/>
          <w:shd w:val="clear" w:color="auto" w:fill="FFFFFF"/>
          <w:lang w:val="en-US" w:eastAsia="zh-CN"/>
        </w:rPr>
        <w:t>（2）因乙方原因，乙方未在合同签订后100日历天内提交完善的方案设计，完成初步设计成果并提交报批的，每延误一天乙方按10000元/天支付违约金；</w:t>
      </w:r>
    </w:p>
    <w:p w14:paraId="1FB3581C">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b w:val="0"/>
          <w:bCs w:val="0"/>
          <w:color w:val="auto"/>
          <w:sz w:val="22"/>
          <w:szCs w:val="22"/>
          <w:highlight w:val="none"/>
          <w:shd w:val="clear" w:color="auto" w:fill="FFFFFF"/>
          <w:lang w:val="en-US" w:eastAsia="zh-CN"/>
        </w:rPr>
      </w:pPr>
      <w:r>
        <w:rPr>
          <w:rFonts w:hint="eastAsia" w:ascii="宋体" w:hAnsi="宋体" w:eastAsia="宋体" w:cs="宋体"/>
          <w:b w:val="0"/>
          <w:bCs w:val="0"/>
          <w:color w:val="auto"/>
          <w:sz w:val="22"/>
          <w:szCs w:val="22"/>
          <w:highlight w:val="none"/>
          <w:shd w:val="clear" w:color="auto" w:fill="FFFFFF"/>
          <w:lang w:val="en-US" w:eastAsia="zh-CN"/>
        </w:rPr>
        <w:t>（3）因乙方原因，按合同约定口径计算的</w:t>
      </w:r>
      <w:r>
        <w:rPr>
          <w:rFonts w:hint="eastAsia" w:ascii="宋体" w:hAnsi="宋体" w:eastAsia="宋体" w:cs="宋体"/>
          <w:b w:val="0"/>
          <w:bCs w:val="0"/>
          <w:color w:val="auto"/>
          <w:sz w:val="22"/>
          <w:szCs w:val="22"/>
          <w:highlight w:val="none"/>
          <w:shd w:val="clear" w:color="auto" w:fill="FFFFFF"/>
        </w:rPr>
        <w:t>实际工程成本增加</w:t>
      </w:r>
      <w:r>
        <w:rPr>
          <w:rFonts w:hint="eastAsia" w:ascii="宋体" w:hAnsi="宋体" w:eastAsia="宋体" w:cs="宋体"/>
          <w:b w:val="0"/>
          <w:bCs w:val="0"/>
          <w:color w:val="auto"/>
          <w:sz w:val="22"/>
          <w:szCs w:val="22"/>
          <w:highlight w:val="none"/>
          <w:shd w:val="clear" w:color="auto" w:fill="FFFFFF"/>
          <w:lang w:val="en-US" w:eastAsia="zh-CN"/>
        </w:rPr>
        <w:t>金额</w:t>
      </w:r>
      <w:r>
        <w:rPr>
          <w:rFonts w:hint="eastAsia" w:ascii="宋体" w:hAnsi="宋体" w:eastAsia="宋体" w:cs="宋体"/>
          <w:b w:val="0"/>
          <w:bCs w:val="0"/>
          <w:color w:val="auto"/>
          <w:sz w:val="22"/>
          <w:szCs w:val="22"/>
          <w:highlight w:val="none"/>
          <w:shd w:val="clear" w:color="auto" w:fill="FFFFFF"/>
        </w:rPr>
        <w:t>超过工程成本管理目标的</w:t>
      </w:r>
      <w:r>
        <w:rPr>
          <w:rFonts w:hint="eastAsia" w:ascii="宋体" w:hAnsi="宋体" w:eastAsia="宋体" w:cs="宋体"/>
          <w:b w:val="0"/>
          <w:bCs w:val="0"/>
          <w:color w:val="auto"/>
          <w:sz w:val="22"/>
          <w:szCs w:val="22"/>
          <w:highlight w:val="none"/>
          <w:shd w:val="clear" w:color="auto" w:fill="FFFFFF"/>
          <w:lang w:eastAsia="zh-CN"/>
        </w:rPr>
        <w:t>3%</w:t>
      </w:r>
      <w:r>
        <w:rPr>
          <w:rFonts w:hint="eastAsia" w:ascii="宋体" w:hAnsi="宋体" w:eastAsia="宋体" w:cs="宋体"/>
          <w:b w:val="0"/>
          <w:bCs w:val="0"/>
          <w:color w:val="auto"/>
          <w:sz w:val="22"/>
          <w:szCs w:val="22"/>
          <w:highlight w:val="none"/>
          <w:shd w:val="clear" w:color="auto" w:fill="FFFFFF"/>
          <w:lang w:val="en-US" w:eastAsia="zh-CN"/>
        </w:rPr>
        <w:t>时，乙方按超出部分的10%支付违约金；</w:t>
      </w:r>
    </w:p>
    <w:p w14:paraId="5B877931">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b w:val="0"/>
          <w:bCs w:val="0"/>
          <w:color w:val="auto"/>
          <w:sz w:val="22"/>
          <w:szCs w:val="22"/>
          <w:highlight w:val="none"/>
          <w:shd w:val="clear" w:color="auto" w:fill="FFFFFF"/>
        </w:rPr>
      </w:pPr>
      <w:r>
        <w:rPr>
          <w:rFonts w:hint="eastAsia" w:ascii="宋体" w:hAnsi="宋体" w:eastAsia="宋体" w:cs="宋体"/>
          <w:b w:val="0"/>
          <w:bCs w:val="0"/>
          <w:color w:val="auto"/>
          <w:sz w:val="22"/>
          <w:szCs w:val="22"/>
          <w:highlight w:val="none"/>
          <w:shd w:val="clear" w:color="auto" w:fill="FFFFFF"/>
          <w:lang w:val="en-US" w:eastAsia="zh-CN"/>
        </w:rPr>
        <w:t>（4）若乙方未在前一份保函有效期满之日20天前及时出具相同内容的保函或履约担保金额不足合同约定金额后20天内补足担保金额或未在合同签订后15天内提交甲方的，则甲方有权暂停支付后续相应合同价款且乙方须支付10000元/天的逾期提交保函违约金。</w:t>
      </w:r>
    </w:p>
    <w:p w14:paraId="6D15BF7E">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）安全事故</w:t>
      </w:r>
    </w:p>
    <w:p w14:paraId="486F4348">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A.发生了特别重大安全事故（造成30人以上死亡，或者100人以上重伤，或者1亿元以上直接经济损失），则甲方将扣减乙方履约担保30%作为违约金，如乙方为主要责任且违约金不足以抵扣对甲方造成的损失的，则</w:t>
      </w:r>
      <w:r>
        <w:rPr>
          <w:rFonts w:hint="eastAsia" w:ascii="宋体" w:hAnsi="宋体" w:eastAsia="宋体" w:cs="宋体"/>
          <w:color w:val="auto"/>
          <w:sz w:val="22"/>
          <w:szCs w:val="22"/>
          <w:highlight w:val="none"/>
          <w:lang w:val="en-US" w:eastAsia="zh-CN"/>
        </w:rPr>
        <w:t>不足部分乙方应另行支付，该等款项甲方有权在委托管理相关费用中直接扣除</w:t>
      </w:r>
      <w:r>
        <w:rPr>
          <w:rFonts w:hint="eastAsia" w:ascii="宋体" w:hAnsi="宋体" w:eastAsia="宋体" w:cs="宋体"/>
          <w:color w:val="auto"/>
          <w:sz w:val="22"/>
          <w:szCs w:val="22"/>
          <w:highlight w:val="none"/>
        </w:rPr>
        <w:t>；</w:t>
      </w:r>
    </w:p>
    <w:p w14:paraId="2EEDE925">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B.发生了重大安全事故（造成10人以上30人以下死亡，或者50人以上100人以下重伤，或者5000万元以上1亿元以下直接经济损失），则甲方将扣减乙方履约担保的20%作为违约金，如乙方为主要责任且违约金不足以抵扣对甲方造成的损失的，则</w:t>
      </w:r>
      <w:r>
        <w:rPr>
          <w:rFonts w:hint="eastAsia" w:ascii="宋体" w:hAnsi="宋体" w:eastAsia="宋体" w:cs="宋体"/>
          <w:color w:val="auto"/>
          <w:sz w:val="22"/>
          <w:szCs w:val="22"/>
          <w:highlight w:val="none"/>
          <w:lang w:val="en-US" w:eastAsia="zh-CN"/>
        </w:rPr>
        <w:t>不足部分乙方应另行支付，该等款项甲方有权在委托管理相关费用中直接扣除</w:t>
      </w:r>
      <w:r>
        <w:rPr>
          <w:rFonts w:hint="eastAsia" w:ascii="宋体" w:hAnsi="宋体" w:eastAsia="宋体" w:cs="宋体"/>
          <w:color w:val="auto"/>
          <w:sz w:val="22"/>
          <w:szCs w:val="22"/>
          <w:highlight w:val="none"/>
        </w:rPr>
        <w:t>；</w:t>
      </w:r>
    </w:p>
    <w:p w14:paraId="2E7449D6">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 发生了较大安全事故（造成3人以上10人以下死亡，或者10人以上50人以下重伤，或者1000万元以上5000万元以下直接经济损失），则甲方将扣减乙方履约担保的10%作为违约金，如乙方为主要责任且违约金不足以抵扣对甲方造成的损失的，则</w:t>
      </w:r>
      <w:r>
        <w:rPr>
          <w:rFonts w:hint="eastAsia" w:ascii="宋体" w:hAnsi="宋体" w:eastAsia="宋体" w:cs="宋体"/>
          <w:color w:val="auto"/>
          <w:sz w:val="22"/>
          <w:szCs w:val="22"/>
          <w:highlight w:val="none"/>
          <w:lang w:val="en-US" w:eastAsia="zh-CN"/>
        </w:rPr>
        <w:t>不足部分乙方应另行支付，该等款项甲方有权在委托管理相关费用中直接扣除</w:t>
      </w:r>
      <w:r>
        <w:rPr>
          <w:rFonts w:hint="eastAsia" w:ascii="宋体" w:hAnsi="宋体" w:eastAsia="宋体" w:cs="宋体"/>
          <w:color w:val="auto"/>
          <w:sz w:val="22"/>
          <w:szCs w:val="22"/>
          <w:highlight w:val="none"/>
        </w:rPr>
        <w:t>；</w:t>
      </w:r>
    </w:p>
    <w:p w14:paraId="66D1D392">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D.发生了一般安全事故（造成3人以下死亡，或者10人以下重伤，或者1000万元以下直接经济损失），则甲方将扣减乙方履约担保的5%作为违约金，如乙方为主要责任且违约金不足以抵扣对甲方造成的损失的，则</w:t>
      </w:r>
      <w:r>
        <w:rPr>
          <w:rFonts w:hint="eastAsia" w:ascii="宋体" w:hAnsi="宋体" w:eastAsia="宋体" w:cs="宋体"/>
          <w:color w:val="auto"/>
          <w:sz w:val="22"/>
          <w:szCs w:val="22"/>
          <w:highlight w:val="none"/>
          <w:lang w:val="en-US" w:eastAsia="zh-CN"/>
        </w:rPr>
        <w:t>不足部分乙方应另行支付，该等款项甲方有权在委托管理相关费用中直接扣除</w:t>
      </w:r>
      <w:r>
        <w:rPr>
          <w:rFonts w:hint="eastAsia" w:ascii="宋体" w:hAnsi="宋体" w:eastAsia="宋体" w:cs="宋体"/>
          <w:color w:val="auto"/>
          <w:sz w:val="22"/>
          <w:szCs w:val="22"/>
          <w:highlight w:val="none"/>
        </w:rPr>
        <w:t>；</w:t>
      </w:r>
    </w:p>
    <w:p w14:paraId="58E9E4BF">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E.若因发生安全事故，导致甲方遭受有关部门处罚及当事人索赔时，由此引起的甲方损失由乙方承担；</w:t>
      </w:r>
    </w:p>
    <w:p w14:paraId="42D95633">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F.发生A条或B条安全事故时，除违约金以外，甲方视情况有权单方面终止合同，并依法追究乙方责任。</w:t>
      </w:r>
    </w:p>
    <w:p w14:paraId="23F12252">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）工程质量事故</w:t>
      </w:r>
    </w:p>
    <w:p w14:paraId="2F7F108A">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A.发生了特大质量事故或两起及以上相同性质的重大质量事故，则甲方将扣减乙方履约担保的30%作为违约金；</w:t>
      </w:r>
    </w:p>
    <w:p w14:paraId="5A29B891">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B.发生了重大质量事故，则甲方将扣减乙方履约担保的20%作为违约金； </w:t>
      </w:r>
    </w:p>
    <w:p w14:paraId="414AF4F4">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 发生A条或B条安全事故时，除违约金以外，甲方视情况有权单方面终止合同，并依法追究乙方责任。</w:t>
      </w:r>
    </w:p>
    <w:p w14:paraId="7A633882">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）工期延误</w:t>
      </w:r>
    </w:p>
    <w:p w14:paraId="556E0FE3">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因乙方原因造成未按本项目进度计划完成开发委托管理工作的，按实际延误工期计算，每延期一天支付违约金</w:t>
      </w:r>
      <w:r>
        <w:rPr>
          <w:rFonts w:hint="eastAsia" w:ascii="宋体" w:hAnsi="宋体" w:eastAsia="宋体" w:cs="宋体"/>
          <w:color w:val="auto"/>
          <w:sz w:val="22"/>
          <w:szCs w:val="22"/>
          <w:highlight w:val="none"/>
          <w:lang w:val="en-US" w:eastAsia="zh-CN"/>
        </w:rPr>
        <w:t>8000</w:t>
      </w:r>
      <w:r>
        <w:rPr>
          <w:rFonts w:hint="eastAsia" w:ascii="宋体" w:hAnsi="宋体" w:eastAsia="宋体" w:cs="宋体"/>
          <w:color w:val="auto"/>
          <w:sz w:val="22"/>
          <w:szCs w:val="22"/>
          <w:highlight w:val="none"/>
        </w:rPr>
        <w:t>元</w:t>
      </w:r>
      <w:r>
        <w:rPr>
          <w:rFonts w:hint="eastAsia" w:ascii="宋体" w:hAnsi="宋体" w:eastAsia="宋体" w:cs="宋体"/>
          <w:color w:val="auto"/>
          <w:sz w:val="22"/>
          <w:szCs w:val="22"/>
          <w:highlight w:val="none"/>
          <w:lang w:eastAsia="zh-CN"/>
        </w:rPr>
        <w:t>。</w:t>
      </w:r>
    </w:p>
    <w:p w14:paraId="1C0BF566">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非乙方原因造成未按合同约定期限完成开发委托管理工作的，双方协商解决。</w:t>
      </w:r>
    </w:p>
    <w:p w14:paraId="0104047A">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）投资超额</w:t>
      </w:r>
    </w:p>
    <w:p w14:paraId="0DA53B62">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项目的整体工程成本应控制在本合同约定的目标考核成本范围内，如因乙方管理责任导致实际整体工程成本超过合同约定的工程成本管理目标</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的，则从委托管理服务费中扣减</w:t>
      </w:r>
      <w:r>
        <w:rPr>
          <w:rFonts w:hint="eastAsia" w:ascii="宋体" w:hAnsi="宋体" w:eastAsia="宋体" w:cs="宋体"/>
          <w:color w:val="auto"/>
          <w:sz w:val="22"/>
          <w:szCs w:val="22"/>
          <w:highlight w:val="none"/>
          <w:lang w:val="en-US" w:eastAsia="zh-CN"/>
        </w:rPr>
        <w:t>工程成本管理目标</w:t>
      </w:r>
      <w:r>
        <w:rPr>
          <w:rFonts w:hint="eastAsia" w:ascii="宋体" w:hAnsi="宋体" w:eastAsia="宋体" w:cs="宋体"/>
          <w:color w:val="auto"/>
          <w:sz w:val="22"/>
          <w:szCs w:val="22"/>
          <w:highlight w:val="none"/>
        </w:rPr>
        <w:t>超额部分的10%作为违约金。</w:t>
      </w:r>
    </w:p>
    <w:p w14:paraId="03DBEAA5">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（9）项目</w:t>
      </w:r>
      <w:r>
        <w:rPr>
          <w:rFonts w:hint="eastAsia" w:ascii="宋体" w:hAnsi="宋体" w:eastAsia="宋体" w:cs="宋体"/>
          <w:color w:val="auto"/>
          <w:sz w:val="22"/>
          <w:szCs w:val="22"/>
          <w:highlight w:val="none"/>
        </w:rPr>
        <w:t>负责人建设期间月到位率低于80%的，甲方按</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000元/天收取违约金，</w:t>
      </w:r>
      <w:r>
        <w:rPr>
          <w:rFonts w:hint="eastAsia" w:ascii="宋体" w:hAnsi="宋体" w:eastAsia="宋体" w:cs="宋体"/>
          <w:b/>
          <w:bCs/>
          <w:color w:val="auto"/>
          <w:sz w:val="22"/>
          <w:szCs w:val="22"/>
          <w:highlight w:val="none"/>
          <w:u w:val="none"/>
          <w:lang w:val="en-US" w:eastAsia="zh-CN"/>
        </w:rPr>
        <w:t>工程部负责人</w:t>
      </w:r>
      <w:r>
        <w:rPr>
          <w:rFonts w:hint="eastAsia" w:ascii="宋体" w:hAnsi="宋体" w:eastAsia="宋体" w:cs="宋体"/>
          <w:b w:val="0"/>
          <w:bCs w:val="0"/>
          <w:color w:val="auto"/>
          <w:sz w:val="22"/>
          <w:szCs w:val="22"/>
          <w:highlight w:val="none"/>
          <w:u w:val="none"/>
          <w:lang w:val="en-US" w:eastAsia="zh-CN"/>
        </w:rPr>
        <w:t>建设期间月到位率低于80%的，不足的天数，乙方按3500元/天支付违约金；</w:t>
      </w:r>
      <w:r>
        <w:rPr>
          <w:rFonts w:hint="eastAsia" w:ascii="宋体" w:hAnsi="宋体" w:eastAsia="宋体" w:cs="宋体"/>
          <w:color w:val="auto"/>
          <w:sz w:val="22"/>
          <w:szCs w:val="22"/>
          <w:highlight w:val="none"/>
        </w:rPr>
        <w:t>如一年内出现三次及以上月到位率不达标的，则甲方有权要求乙方更换该人员，</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负责人按</w:t>
      </w:r>
      <w:r>
        <w:rPr>
          <w:rFonts w:hint="eastAsia" w:ascii="宋体" w:hAnsi="宋体" w:eastAsia="宋体" w:cs="宋体"/>
          <w:color w:val="auto"/>
          <w:sz w:val="22"/>
          <w:szCs w:val="22"/>
          <w:highlight w:val="none"/>
          <w:lang w:val="en-US" w:eastAsia="zh-CN"/>
        </w:rPr>
        <w:t>30万元/人.次</w:t>
      </w:r>
      <w:r>
        <w:rPr>
          <w:rFonts w:hint="eastAsia" w:ascii="宋体" w:hAnsi="宋体" w:eastAsia="宋体" w:cs="宋体"/>
          <w:color w:val="auto"/>
          <w:sz w:val="22"/>
          <w:szCs w:val="22"/>
          <w:highlight w:val="none"/>
        </w:rPr>
        <w:t>收取违约金</w:t>
      </w:r>
      <w:r>
        <w:rPr>
          <w:rFonts w:hint="eastAsia" w:ascii="宋体" w:hAnsi="宋体" w:eastAsia="宋体" w:cs="宋体"/>
          <w:color w:val="auto"/>
          <w:sz w:val="22"/>
          <w:szCs w:val="22"/>
          <w:highlight w:val="none"/>
          <w:lang w:eastAsia="zh-CN"/>
        </w:rPr>
        <w:t>，</w:t>
      </w:r>
      <w:r>
        <w:rPr>
          <w:rFonts w:hint="eastAsia" w:ascii="宋体" w:hAnsi="宋体" w:eastAsia="宋体" w:cs="宋体"/>
          <w:b/>
          <w:bCs/>
          <w:color w:val="auto"/>
          <w:sz w:val="22"/>
          <w:szCs w:val="22"/>
          <w:highlight w:val="none"/>
          <w:u w:val="none"/>
          <w:lang w:val="en-US" w:eastAsia="zh-CN"/>
        </w:rPr>
        <w:t>工程部负责人</w:t>
      </w:r>
      <w:r>
        <w:rPr>
          <w:rFonts w:hint="eastAsia" w:ascii="宋体" w:hAnsi="宋体" w:eastAsia="宋体" w:cs="宋体"/>
          <w:color w:val="auto"/>
          <w:sz w:val="22"/>
          <w:szCs w:val="22"/>
          <w:highlight w:val="none"/>
        </w:rPr>
        <w:t>按</w:t>
      </w:r>
      <w:r>
        <w:rPr>
          <w:rFonts w:hint="eastAsia" w:ascii="宋体" w:hAnsi="宋体" w:eastAsia="宋体" w:cs="宋体"/>
          <w:color w:val="auto"/>
          <w:sz w:val="22"/>
          <w:szCs w:val="22"/>
          <w:highlight w:val="none"/>
          <w:lang w:val="en-US" w:eastAsia="zh-CN"/>
        </w:rPr>
        <w:t>10万元/人.次</w:t>
      </w:r>
      <w:r>
        <w:rPr>
          <w:rFonts w:hint="eastAsia" w:ascii="宋体" w:hAnsi="宋体" w:eastAsia="宋体" w:cs="宋体"/>
          <w:color w:val="auto"/>
          <w:sz w:val="22"/>
          <w:szCs w:val="22"/>
          <w:highlight w:val="none"/>
        </w:rPr>
        <w:t>收取违约金。</w:t>
      </w:r>
    </w:p>
    <w:p w14:paraId="20F526B2">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甲方有权要求撤换工作不负责任、管理不力、不到位、贻误工作的乙方项目组人员（包括不限于项目负责人，设计负责人、工程负责人、成本招采负责人、财务管理人员。设计专业人员、工程管理人员及其他人员），更换的人员到位时间为甲方发出书面通知后15天内，逾期视为未到位，并按工程部负责人到位率违约处理。</w:t>
      </w:r>
    </w:p>
    <w:p w14:paraId="020B06CD">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11</w:t>
      </w:r>
      <w:r>
        <w:rPr>
          <w:rFonts w:hint="eastAsia" w:ascii="宋体" w:hAnsi="宋体" w:eastAsia="宋体" w:cs="宋体"/>
          <w:color w:val="auto"/>
          <w:sz w:val="22"/>
          <w:szCs w:val="22"/>
          <w:highlight w:val="none"/>
        </w:rPr>
        <w:t>）乙方派驻现场的开发委托管理人员，工程实施阶段因特殊原因需调整驻现场管理班子人员，须经甲方审批同意。擅自变更项目经理（项目负责人），甲方按</w:t>
      </w:r>
      <w:r>
        <w:rPr>
          <w:rFonts w:hint="eastAsia" w:ascii="宋体" w:hAnsi="宋体" w:eastAsia="宋体" w:cs="宋体"/>
          <w:color w:val="auto"/>
          <w:sz w:val="22"/>
          <w:szCs w:val="22"/>
          <w:highlight w:val="none"/>
          <w:lang w:val="en-US" w:eastAsia="zh-CN"/>
        </w:rPr>
        <w:t>30万元/人.次</w:t>
      </w:r>
      <w:r>
        <w:rPr>
          <w:rFonts w:hint="eastAsia" w:ascii="宋体" w:hAnsi="宋体" w:eastAsia="宋体" w:cs="宋体"/>
          <w:color w:val="auto"/>
          <w:sz w:val="22"/>
          <w:szCs w:val="22"/>
          <w:highlight w:val="none"/>
        </w:rPr>
        <w:t>收取违约金</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擅自变更</w:t>
      </w:r>
      <w:r>
        <w:rPr>
          <w:rFonts w:hint="eastAsia" w:ascii="宋体" w:hAnsi="宋体" w:eastAsia="宋体" w:cs="宋体"/>
          <w:b/>
          <w:bCs/>
          <w:color w:val="auto"/>
          <w:sz w:val="22"/>
          <w:szCs w:val="22"/>
          <w:highlight w:val="none"/>
          <w:u w:val="none"/>
          <w:lang w:val="en-US" w:eastAsia="zh-CN"/>
        </w:rPr>
        <w:t>工程部负责人，</w:t>
      </w:r>
      <w:r>
        <w:rPr>
          <w:rFonts w:hint="eastAsia" w:ascii="宋体" w:hAnsi="宋体" w:eastAsia="宋体" w:cs="宋体"/>
          <w:color w:val="auto"/>
          <w:sz w:val="22"/>
          <w:szCs w:val="22"/>
          <w:highlight w:val="none"/>
        </w:rPr>
        <w:t>甲方按</w:t>
      </w:r>
      <w:r>
        <w:rPr>
          <w:rFonts w:hint="eastAsia" w:ascii="宋体" w:hAnsi="宋体" w:eastAsia="宋体" w:cs="宋体"/>
          <w:color w:val="auto"/>
          <w:sz w:val="22"/>
          <w:szCs w:val="22"/>
          <w:highlight w:val="none"/>
          <w:lang w:val="en-US" w:eastAsia="zh-CN"/>
        </w:rPr>
        <w:t>10万元/人.次</w:t>
      </w:r>
      <w:r>
        <w:rPr>
          <w:rFonts w:hint="eastAsia" w:ascii="宋体" w:hAnsi="宋体" w:eastAsia="宋体" w:cs="宋体"/>
          <w:color w:val="auto"/>
          <w:sz w:val="22"/>
          <w:szCs w:val="22"/>
          <w:highlight w:val="none"/>
        </w:rPr>
        <w:t>收取违约金</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擅自变更</w:t>
      </w:r>
      <w:r>
        <w:rPr>
          <w:rFonts w:hint="eastAsia" w:ascii="宋体" w:hAnsi="宋体" w:eastAsia="宋体" w:cs="宋体"/>
          <w:color w:val="auto"/>
          <w:sz w:val="22"/>
          <w:szCs w:val="22"/>
          <w:highlight w:val="none"/>
          <w:lang w:val="en-US" w:eastAsia="zh-CN"/>
        </w:rPr>
        <w:t>主要</w:t>
      </w:r>
      <w:r>
        <w:rPr>
          <w:rFonts w:hint="eastAsia" w:ascii="宋体" w:hAnsi="宋体" w:eastAsia="宋体" w:cs="宋体"/>
          <w:color w:val="auto"/>
          <w:sz w:val="22"/>
          <w:szCs w:val="22"/>
          <w:highlight w:val="none"/>
        </w:rPr>
        <w:t>人员</w:t>
      </w:r>
      <w:r>
        <w:rPr>
          <w:rFonts w:hint="eastAsia" w:ascii="宋体" w:hAnsi="宋体" w:eastAsia="宋体" w:cs="宋体"/>
          <w:color w:val="auto"/>
          <w:sz w:val="22"/>
          <w:szCs w:val="22"/>
          <w:highlight w:val="none"/>
          <w:lang w:eastAsia="zh-CN"/>
        </w:rPr>
        <w:t>（设计负责人、成本招采负责人、财务管理人员），</w:t>
      </w:r>
      <w:r>
        <w:rPr>
          <w:rFonts w:hint="eastAsia" w:ascii="宋体" w:hAnsi="宋体" w:eastAsia="宋体" w:cs="宋体"/>
          <w:color w:val="auto"/>
          <w:sz w:val="22"/>
          <w:szCs w:val="22"/>
          <w:highlight w:val="none"/>
        </w:rPr>
        <w:t>甲方按</w:t>
      </w:r>
      <w:r>
        <w:rPr>
          <w:rFonts w:hint="eastAsia" w:ascii="宋体" w:hAnsi="宋体" w:eastAsia="宋体" w:cs="宋体"/>
          <w:color w:val="auto"/>
          <w:sz w:val="22"/>
          <w:szCs w:val="22"/>
          <w:highlight w:val="none"/>
          <w:lang w:val="en-US" w:eastAsia="zh-CN"/>
        </w:rPr>
        <w:t>5万元/人.次</w:t>
      </w:r>
      <w:r>
        <w:rPr>
          <w:rFonts w:hint="eastAsia" w:ascii="宋体" w:hAnsi="宋体" w:eastAsia="宋体" w:cs="宋体"/>
          <w:color w:val="auto"/>
          <w:sz w:val="22"/>
          <w:szCs w:val="22"/>
          <w:highlight w:val="none"/>
        </w:rPr>
        <w:t>收取违约金</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擅自变更</w:t>
      </w:r>
      <w:r>
        <w:rPr>
          <w:rFonts w:hint="eastAsia" w:ascii="宋体" w:hAnsi="宋体" w:eastAsia="宋体" w:cs="宋体"/>
          <w:color w:val="auto"/>
          <w:sz w:val="22"/>
          <w:szCs w:val="22"/>
          <w:highlight w:val="none"/>
          <w:lang w:val="en-US" w:eastAsia="zh-CN"/>
        </w:rPr>
        <w:t>其他人员，</w:t>
      </w:r>
      <w:r>
        <w:rPr>
          <w:rFonts w:hint="eastAsia" w:ascii="宋体" w:hAnsi="宋体" w:eastAsia="宋体" w:cs="宋体"/>
          <w:color w:val="auto"/>
          <w:sz w:val="22"/>
          <w:szCs w:val="22"/>
          <w:highlight w:val="none"/>
        </w:rPr>
        <w:t>甲方按</w:t>
      </w:r>
      <w:r>
        <w:rPr>
          <w:rFonts w:hint="eastAsia" w:ascii="宋体" w:hAnsi="宋体" w:eastAsia="宋体" w:cs="宋体"/>
          <w:color w:val="auto"/>
          <w:sz w:val="22"/>
          <w:szCs w:val="22"/>
          <w:highlight w:val="none"/>
          <w:lang w:val="en-US" w:eastAsia="zh-CN"/>
        </w:rPr>
        <w:t>2万元/人.次</w:t>
      </w:r>
      <w:r>
        <w:rPr>
          <w:rFonts w:hint="eastAsia" w:ascii="宋体" w:hAnsi="宋体" w:eastAsia="宋体" w:cs="宋体"/>
          <w:color w:val="auto"/>
          <w:sz w:val="22"/>
          <w:szCs w:val="22"/>
          <w:highlight w:val="none"/>
        </w:rPr>
        <w:t>收取违约金</w:t>
      </w:r>
      <w:r>
        <w:rPr>
          <w:rFonts w:hint="eastAsia" w:ascii="宋体" w:hAnsi="宋体" w:eastAsia="宋体" w:cs="宋体"/>
          <w:color w:val="auto"/>
          <w:sz w:val="22"/>
          <w:szCs w:val="22"/>
          <w:highlight w:val="none"/>
          <w:lang w:val="en-US" w:eastAsia="zh-CN"/>
        </w:rPr>
        <w:t>。</w:t>
      </w:r>
    </w:p>
    <w:p w14:paraId="71534339">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12</w:t>
      </w:r>
      <w:r>
        <w:rPr>
          <w:rFonts w:hint="eastAsia" w:ascii="宋体" w:hAnsi="宋体" w:eastAsia="宋体" w:cs="宋体"/>
          <w:color w:val="auto"/>
          <w:sz w:val="22"/>
          <w:szCs w:val="22"/>
          <w:highlight w:val="none"/>
        </w:rPr>
        <w:t>）如乙方存在转包、挂靠行为的，甲方有权没收全部履约担保，已支付开发委托管理相关费用全部扣回，并保留追</w:t>
      </w:r>
      <w:r>
        <w:rPr>
          <w:rFonts w:hint="eastAsia" w:ascii="宋体" w:hAnsi="宋体" w:eastAsia="宋体" w:cs="宋体"/>
          <w:color w:val="auto"/>
          <w:sz w:val="22"/>
          <w:szCs w:val="22"/>
          <w:highlight w:val="none"/>
          <w:lang w:val="en-US" w:eastAsia="zh-CN"/>
        </w:rPr>
        <w:t>索</w:t>
      </w:r>
      <w:r>
        <w:rPr>
          <w:rFonts w:hint="eastAsia" w:ascii="宋体" w:hAnsi="宋体" w:eastAsia="宋体" w:cs="宋体"/>
          <w:color w:val="auto"/>
          <w:sz w:val="22"/>
          <w:szCs w:val="22"/>
          <w:highlight w:val="none"/>
        </w:rPr>
        <w:t>相关损失和终止合同的权利。</w:t>
      </w:r>
    </w:p>
    <w:p w14:paraId="33429077">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13</w:t>
      </w:r>
      <w:r>
        <w:rPr>
          <w:rFonts w:hint="eastAsia" w:ascii="宋体" w:hAnsi="宋体" w:eastAsia="宋体" w:cs="宋体"/>
          <w:color w:val="auto"/>
          <w:sz w:val="22"/>
          <w:szCs w:val="22"/>
          <w:highlight w:val="none"/>
        </w:rPr>
        <w:t>）如因项目管理不当导致群体性投诉或群体性闹事或行政处罚等，以有关单位的处罚通知为准，甲方有权对乙方处以3万元/次的违约金，并保留追加有关损失和终止合同的权利。</w:t>
      </w:r>
    </w:p>
    <w:p w14:paraId="2DA3FAA8">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）本合同涉及的所有乙方违约金，均在乙方履约担保中予以扣除</w:t>
      </w:r>
      <w:r>
        <w:rPr>
          <w:rFonts w:hint="eastAsia" w:ascii="宋体" w:hAnsi="宋体" w:eastAsia="宋体" w:cs="宋体"/>
          <w:color w:val="auto"/>
          <w:sz w:val="22"/>
          <w:szCs w:val="22"/>
          <w:highlight w:val="none"/>
          <w:lang w:eastAsia="zh-CN"/>
        </w:rPr>
        <w:t>。</w:t>
      </w:r>
    </w:p>
    <w:p w14:paraId="3F1EADF0">
      <w:pPr>
        <w:keepNext w:val="0"/>
        <w:keepLines w:val="0"/>
        <w:pageBreakBefore w:val="0"/>
        <w:widowControl w:val="0"/>
        <w:kinsoku/>
        <w:wordWrap w:val="0"/>
        <w:overflowPunct/>
        <w:topLinePunct w:val="0"/>
        <w:autoSpaceDE/>
        <w:autoSpaceDN/>
        <w:bidi w:val="0"/>
        <w:adjustRightInd/>
        <w:snapToGrid w:val="0"/>
        <w:spacing w:line="360" w:lineRule="auto"/>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第二十</w:t>
      </w:r>
      <w:r>
        <w:rPr>
          <w:rFonts w:hint="eastAsia" w:ascii="宋体" w:hAnsi="宋体" w:eastAsia="宋体" w:cs="宋体"/>
          <w:b/>
          <w:bCs/>
          <w:color w:val="auto"/>
          <w:sz w:val="22"/>
          <w:szCs w:val="22"/>
          <w:highlight w:val="none"/>
          <w:lang w:val="en-US" w:eastAsia="zh-CN"/>
        </w:rPr>
        <w:t>四</w:t>
      </w:r>
      <w:r>
        <w:rPr>
          <w:rFonts w:hint="eastAsia" w:ascii="宋体" w:hAnsi="宋体" w:eastAsia="宋体" w:cs="宋体"/>
          <w:b/>
          <w:bCs/>
          <w:color w:val="auto"/>
          <w:sz w:val="22"/>
          <w:szCs w:val="22"/>
          <w:highlight w:val="none"/>
        </w:rPr>
        <w:t>条 不可抗力和减责/免责</w:t>
      </w:r>
    </w:p>
    <w:p w14:paraId="2C38353A">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1、因不可抗力导致合同不能全部或部分履行，由甲方与乙方协商解决。不可抗力包括战争、动乱、地震、水灾、暴风雨、雪灾等以及其他不可抗力事件。</w:t>
      </w:r>
    </w:p>
    <w:p w14:paraId="0F0193AC">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2、因政策变化、政府部门行政行为导致合同不能全部或部分履行，遭受该等影响的合同方在提供充分证据后可免除违约责任。</w:t>
      </w:r>
    </w:p>
    <w:p w14:paraId="209F069D">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3、由于甲方的原因或其他非乙方的原因导致本项目工程成本、质量、工期、安全等未达到本合同约定的目标的，乙方不承担赔偿责任。</w:t>
      </w:r>
    </w:p>
    <w:p w14:paraId="21AD4607">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4、本合同第二十</w:t>
      </w: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rPr>
        <w:t>条涉及的乙方违约金上限为履约担保总额。</w:t>
      </w:r>
    </w:p>
    <w:p w14:paraId="75EBBE6F">
      <w:pPr>
        <w:keepNext w:val="0"/>
        <w:keepLines w:val="0"/>
        <w:pageBreakBefore w:val="0"/>
        <w:widowControl w:val="0"/>
        <w:numPr>
          <w:ilvl w:val="0"/>
          <w:numId w:val="0"/>
        </w:numPr>
        <w:kinsoku/>
        <w:wordWrap w:val="0"/>
        <w:overflowPunct/>
        <w:topLinePunct w:val="0"/>
        <w:autoSpaceDE/>
        <w:autoSpaceDN/>
        <w:bidi w:val="0"/>
        <w:adjustRightInd/>
        <w:snapToGrid w:val="0"/>
        <w:spacing w:line="360" w:lineRule="auto"/>
        <w:ind w:leftChars="0"/>
        <w:jc w:val="center"/>
        <w:textAlignment w:val="auto"/>
        <w:outlineLvl w:val="1"/>
        <w:rPr>
          <w:rFonts w:hint="eastAsia" w:ascii="宋体" w:hAnsi="宋体" w:eastAsia="宋体" w:cs="宋体"/>
          <w:b/>
          <w:bCs/>
          <w:color w:val="auto"/>
          <w:sz w:val="22"/>
          <w:szCs w:val="22"/>
          <w:highlight w:val="none"/>
          <w:lang w:val="en-US" w:eastAsia="zh-CN"/>
        </w:rPr>
      </w:pPr>
      <w:bookmarkStart w:id="84" w:name="_Toc14335"/>
      <w:bookmarkStart w:id="85" w:name="_Toc321754645"/>
      <w:bookmarkStart w:id="86" w:name="_Toc8819"/>
      <w:bookmarkStart w:id="87" w:name="_Toc26567"/>
      <w:r>
        <w:rPr>
          <w:rFonts w:hint="eastAsia" w:ascii="宋体" w:hAnsi="宋体" w:eastAsia="宋体" w:cs="宋体"/>
          <w:b/>
          <w:bCs/>
          <w:color w:val="auto"/>
          <w:sz w:val="22"/>
          <w:szCs w:val="22"/>
          <w:highlight w:val="none"/>
          <w:lang w:val="en-US" w:eastAsia="zh-CN"/>
        </w:rPr>
        <w:t>八、其他事项</w:t>
      </w:r>
      <w:bookmarkEnd w:id="84"/>
      <w:bookmarkEnd w:id="85"/>
      <w:bookmarkEnd w:id="86"/>
      <w:bookmarkEnd w:id="87"/>
    </w:p>
    <w:p w14:paraId="188055BD">
      <w:pPr>
        <w:keepNext w:val="0"/>
        <w:keepLines w:val="0"/>
        <w:pageBreakBefore w:val="0"/>
        <w:widowControl w:val="0"/>
        <w:kinsoku/>
        <w:wordWrap w:val="0"/>
        <w:overflowPunct/>
        <w:topLinePunct w:val="0"/>
        <w:autoSpaceDE/>
        <w:autoSpaceDN/>
        <w:bidi w:val="0"/>
        <w:adjustRightInd/>
        <w:snapToGrid w:val="0"/>
        <w:spacing w:line="360" w:lineRule="auto"/>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第二十</w:t>
      </w:r>
      <w:r>
        <w:rPr>
          <w:rFonts w:hint="eastAsia" w:ascii="宋体" w:hAnsi="宋体" w:eastAsia="宋体" w:cs="宋体"/>
          <w:b/>
          <w:bCs/>
          <w:color w:val="auto"/>
          <w:sz w:val="22"/>
          <w:szCs w:val="22"/>
          <w:highlight w:val="none"/>
          <w:lang w:val="en-US" w:eastAsia="zh-CN"/>
        </w:rPr>
        <w:t>五</w:t>
      </w:r>
      <w:r>
        <w:rPr>
          <w:rFonts w:hint="eastAsia" w:ascii="宋体" w:hAnsi="宋体" w:eastAsia="宋体" w:cs="宋体"/>
          <w:b/>
          <w:bCs/>
          <w:color w:val="auto"/>
          <w:sz w:val="22"/>
          <w:szCs w:val="22"/>
          <w:highlight w:val="none"/>
        </w:rPr>
        <w:t>条 合同的持续与转让</w:t>
      </w:r>
    </w:p>
    <w:p w14:paraId="6D0AD000">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1、甲乙双方均保证在本合同签订后，将积极促成本合同的持续履行。</w:t>
      </w:r>
    </w:p>
    <w:p w14:paraId="20203F24">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2、未经对方同意，任何一方不得将其在本合同项下的任何权利或义务全部或部分转让或授予他人，但甲方指定其下属的专业公司履行本合同约定的职责除外。</w:t>
      </w:r>
    </w:p>
    <w:p w14:paraId="792314DF">
      <w:pPr>
        <w:keepNext w:val="0"/>
        <w:keepLines w:val="0"/>
        <w:pageBreakBefore w:val="0"/>
        <w:widowControl w:val="0"/>
        <w:kinsoku/>
        <w:wordWrap w:val="0"/>
        <w:overflowPunct/>
        <w:topLinePunct w:val="0"/>
        <w:autoSpaceDE/>
        <w:autoSpaceDN/>
        <w:bidi w:val="0"/>
        <w:adjustRightInd/>
        <w:snapToGrid w:val="0"/>
        <w:spacing w:line="360" w:lineRule="auto"/>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第二十</w:t>
      </w:r>
      <w:r>
        <w:rPr>
          <w:rFonts w:hint="eastAsia" w:ascii="宋体" w:hAnsi="宋体" w:eastAsia="宋体" w:cs="宋体"/>
          <w:b/>
          <w:bCs/>
          <w:color w:val="auto"/>
          <w:sz w:val="22"/>
          <w:szCs w:val="22"/>
          <w:highlight w:val="none"/>
          <w:lang w:val="en-US" w:eastAsia="zh-CN"/>
        </w:rPr>
        <w:t>六</w:t>
      </w:r>
      <w:r>
        <w:rPr>
          <w:rFonts w:hint="eastAsia" w:ascii="宋体" w:hAnsi="宋体" w:eastAsia="宋体" w:cs="宋体"/>
          <w:b/>
          <w:bCs/>
          <w:color w:val="auto"/>
          <w:sz w:val="22"/>
          <w:szCs w:val="22"/>
          <w:highlight w:val="none"/>
        </w:rPr>
        <w:t>条 排他性条款</w:t>
      </w:r>
    </w:p>
    <w:p w14:paraId="1F9B7E24">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本合同签署后，甲乙双方应向对方保证不得就本项目的委托管理事项再与其他任何第三方进行任何形式的、与本合同所包含内容相关、相似或有冲突的磋商、谈判、协议等。</w:t>
      </w:r>
    </w:p>
    <w:p w14:paraId="17C915E8">
      <w:pPr>
        <w:keepNext w:val="0"/>
        <w:keepLines w:val="0"/>
        <w:pageBreakBefore w:val="0"/>
        <w:widowControl w:val="0"/>
        <w:kinsoku/>
        <w:wordWrap w:val="0"/>
        <w:overflowPunct/>
        <w:topLinePunct w:val="0"/>
        <w:autoSpaceDE/>
        <w:autoSpaceDN/>
        <w:bidi w:val="0"/>
        <w:adjustRightInd/>
        <w:snapToGrid w:val="0"/>
        <w:spacing w:line="360" w:lineRule="auto"/>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第二十</w:t>
      </w:r>
      <w:r>
        <w:rPr>
          <w:rFonts w:hint="eastAsia" w:ascii="宋体" w:hAnsi="宋体" w:eastAsia="宋体" w:cs="宋体"/>
          <w:b/>
          <w:bCs/>
          <w:color w:val="auto"/>
          <w:sz w:val="22"/>
          <w:szCs w:val="22"/>
          <w:highlight w:val="none"/>
          <w:lang w:val="en-US" w:eastAsia="zh-CN"/>
        </w:rPr>
        <w:t>七</w:t>
      </w:r>
      <w:r>
        <w:rPr>
          <w:rFonts w:hint="eastAsia" w:ascii="宋体" w:hAnsi="宋体" w:eastAsia="宋体" w:cs="宋体"/>
          <w:b/>
          <w:bCs/>
          <w:color w:val="auto"/>
          <w:sz w:val="22"/>
          <w:szCs w:val="22"/>
          <w:highlight w:val="none"/>
        </w:rPr>
        <w:t>条 通知</w:t>
      </w:r>
    </w:p>
    <w:p w14:paraId="484FD332">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任何一方在合同项下向另一方发出的要求、指示、指令、批准、报告、确认等均应以书面形式通过邮件、邮寄</w:t>
      </w:r>
      <w:r>
        <w:rPr>
          <w:rFonts w:hint="eastAsia" w:ascii="宋体" w:hAnsi="宋体" w:eastAsia="宋体" w:cs="宋体"/>
          <w:color w:val="auto"/>
          <w:sz w:val="22"/>
          <w:szCs w:val="22"/>
          <w:highlight w:val="none"/>
          <w:lang w:val="en-US" w:eastAsia="zh-CN"/>
        </w:rPr>
        <w:t>或</w:t>
      </w:r>
      <w:r>
        <w:rPr>
          <w:rFonts w:hint="eastAsia" w:ascii="宋体" w:hAnsi="宋体" w:eastAsia="宋体" w:cs="宋体"/>
          <w:color w:val="auto"/>
          <w:sz w:val="22"/>
          <w:szCs w:val="22"/>
          <w:highlight w:val="none"/>
        </w:rPr>
        <w:t>当面送交</w:t>
      </w:r>
      <w:r>
        <w:rPr>
          <w:rFonts w:hint="eastAsia" w:ascii="宋体" w:hAnsi="宋体" w:eastAsia="宋体" w:cs="宋体"/>
          <w:color w:val="auto"/>
          <w:sz w:val="22"/>
          <w:szCs w:val="22"/>
          <w:highlight w:val="none"/>
          <w:lang w:eastAsia="zh-CN"/>
        </w:rPr>
        <w:t>：</w:t>
      </w:r>
    </w:p>
    <w:p w14:paraId="55943241">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甲方地址：</w:t>
      </w:r>
      <w:r>
        <w:rPr>
          <w:rFonts w:hint="eastAsia" w:ascii="宋体" w:hAnsi="宋体" w:eastAsia="宋体" w:cs="宋体"/>
          <w:b/>
          <w:color w:val="auto"/>
          <w:sz w:val="22"/>
          <w:szCs w:val="22"/>
          <w:highlight w:val="none"/>
          <w:u w:val="single"/>
        </w:rPr>
        <w:t xml:space="preserve">                             </w:t>
      </w:r>
      <w:r>
        <w:rPr>
          <w:rFonts w:hint="eastAsia" w:ascii="宋体" w:hAnsi="宋体" w:eastAsia="宋体" w:cs="宋体"/>
          <w:color w:val="auto"/>
          <w:sz w:val="22"/>
          <w:szCs w:val="22"/>
          <w:highlight w:val="none"/>
          <w:u w:val="single"/>
        </w:rPr>
        <w:t xml:space="preserve">                     </w:t>
      </w:r>
    </w:p>
    <w:p w14:paraId="3944C212">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收件邮箱：</w:t>
      </w:r>
      <w:r>
        <w:rPr>
          <w:rFonts w:hint="eastAsia" w:ascii="宋体" w:hAnsi="宋体" w:eastAsia="宋体" w:cs="宋体"/>
          <w:b/>
          <w:color w:val="auto"/>
          <w:sz w:val="22"/>
          <w:szCs w:val="22"/>
          <w:highlight w:val="none"/>
          <w:u w:val="single"/>
        </w:rPr>
        <w:t xml:space="preserve">                             </w:t>
      </w:r>
      <w:r>
        <w:rPr>
          <w:rFonts w:hint="eastAsia" w:ascii="宋体" w:hAnsi="宋体" w:eastAsia="宋体" w:cs="宋体"/>
          <w:color w:val="auto"/>
          <w:sz w:val="22"/>
          <w:szCs w:val="22"/>
          <w:highlight w:val="none"/>
          <w:u w:val="single"/>
        </w:rPr>
        <w:t xml:space="preserve">                     </w:t>
      </w:r>
    </w:p>
    <w:p w14:paraId="67B46B4E">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收件人及联系方式：</w:t>
      </w:r>
      <w:r>
        <w:rPr>
          <w:rFonts w:hint="eastAsia" w:ascii="宋体" w:hAnsi="宋体" w:eastAsia="宋体" w:cs="宋体"/>
          <w:b/>
          <w:color w:val="auto"/>
          <w:sz w:val="22"/>
          <w:szCs w:val="22"/>
          <w:highlight w:val="none"/>
          <w:u w:val="single"/>
        </w:rPr>
        <w:t xml:space="preserve">                             </w:t>
      </w:r>
      <w:r>
        <w:rPr>
          <w:rFonts w:hint="eastAsia" w:ascii="宋体" w:hAnsi="宋体" w:eastAsia="宋体" w:cs="宋体"/>
          <w:color w:val="auto"/>
          <w:sz w:val="22"/>
          <w:szCs w:val="22"/>
          <w:highlight w:val="none"/>
          <w:u w:val="single"/>
        </w:rPr>
        <w:t xml:space="preserve">             </w:t>
      </w:r>
    </w:p>
    <w:p w14:paraId="1DCB0DCB">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b/>
          <w:color w:val="auto"/>
          <w:sz w:val="22"/>
          <w:szCs w:val="22"/>
          <w:highlight w:val="none"/>
          <w:u w:val="single"/>
        </w:rPr>
      </w:pPr>
      <w:r>
        <w:rPr>
          <w:rFonts w:hint="eastAsia" w:ascii="宋体" w:hAnsi="宋体" w:eastAsia="宋体" w:cs="宋体"/>
          <w:color w:val="auto"/>
          <w:sz w:val="22"/>
          <w:szCs w:val="22"/>
          <w:highlight w:val="none"/>
        </w:rPr>
        <w:t>乙方地址：</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
          <w:color w:val="auto"/>
          <w:sz w:val="22"/>
          <w:szCs w:val="22"/>
          <w:highlight w:val="none"/>
          <w:u w:val="single"/>
        </w:rPr>
        <w:t xml:space="preserve"> </w:t>
      </w:r>
    </w:p>
    <w:p w14:paraId="2B2A9ACF">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收件邮箱：</w:t>
      </w:r>
      <w:r>
        <w:rPr>
          <w:rFonts w:hint="eastAsia" w:ascii="宋体" w:hAnsi="宋体" w:eastAsia="宋体" w:cs="宋体"/>
          <w:b/>
          <w:color w:val="auto"/>
          <w:sz w:val="22"/>
          <w:szCs w:val="22"/>
          <w:highlight w:val="none"/>
          <w:u w:val="singl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p>
    <w:p w14:paraId="2EFF1DB6">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收件人及联系方式：</w:t>
      </w:r>
      <w:r>
        <w:rPr>
          <w:rFonts w:hint="eastAsia" w:ascii="宋体" w:hAnsi="宋体" w:eastAsia="宋体" w:cs="宋体"/>
          <w:b/>
          <w:color w:val="auto"/>
          <w:sz w:val="22"/>
          <w:szCs w:val="22"/>
          <w:highlight w:val="none"/>
          <w:u w:val="single"/>
        </w:rPr>
        <w:t xml:space="preserve">                             </w:t>
      </w:r>
      <w:r>
        <w:rPr>
          <w:rFonts w:hint="eastAsia" w:ascii="宋体" w:hAnsi="宋体" w:eastAsia="宋体" w:cs="宋体"/>
          <w:color w:val="auto"/>
          <w:sz w:val="22"/>
          <w:szCs w:val="22"/>
          <w:highlight w:val="none"/>
          <w:u w:val="single"/>
        </w:rPr>
        <w:t xml:space="preserve">             </w:t>
      </w:r>
    </w:p>
    <w:p w14:paraId="1A58E5C3">
      <w:pPr>
        <w:keepNext w:val="0"/>
        <w:keepLines w:val="0"/>
        <w:pageBreakBefore w:val="0"/>
        <w:widowControl w:val="0"/>
        <w:kinsoku/>
        <w:wordWrap w:val="0"/>
        <w:overflowPunct/>
        <w:topLinePunct w:val="0"/>
        <w:autoSpaceDE/>
        <w:autoSpaceDN/>
        <w:bidi w:val="0"/>
        <w:adjustRightInd/>
        <w:snapToGrid w:val="0"/>
        <w:spacing w:line="360" w:lineRule="auto"/>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第二十</w:t>
      </w:r>
      <w:r>
        <w:rPr>
          <w:rFonts w:hint="eastAsia" w:ascii="宋体" w:hAnsi="宋体" w:eastAsia="宋体" w:cs="宋体"/>
          <w:b/>
          <w:bCs/>
          <w:color w:val="auto"/>
          <w:sz w:val="22"/>
          <w:szCs w:val="22"/>
          <w:highlight w:val="none"/>
          <w:lang w:val="en-US" w:eastAsia="zh-CN"/>
        </w:rPr>
        <w:t>八</w:t>
      </w:r>
      <w:r>
        <w:rPr>
          <w:rFonts w:hint="eastAsia" w:ascii="宋体" w:hAnsi="宋体" w:eastAsia="宋体" w:cs="宋体"/>
          <w:b/>
          <w:bCs/>
          <w:color w:val="auto"/>
          <w:sz w:val="22"/>
          <w:szCs w:val="22"/>
          <w:highlight w:val="none"/>
        </w:rPr>
        <w:t>条 保密</w:t>
      </w:r>
    </w:p>
    <w:p w14:paraId="2573DCCE">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本合同内容以及合同履行过程中的任何信息，甲乙双方及双方参与的人员应严格保密，未经对方书面同意，不得向任何第三方透露合作的任何内容、细节以及进程</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pacing w:val="-1"/>
          <w:sz w:val="22"/>
          <w:szCs w:val="22"/>
          <w:highlight w:val="none"/>
        </w:rPr>
        <w:t>否则应承</w:t>
      </w:r>
      <w:r>
        <w:rPr>
          <w:rFonts w:hint="eastAsia" w:ascii="宋体" w:hAnsi="宋体" w:eastAsia="宋体" w:cs="宋体"/>
          <w:color w:val="auto"/>
          <w:sz w:val="22"/>
          <w:szCs w:val="22"/>
          <w:highlight w:val="none"/>
        </w:rPr>
        <w:t>担相应的法律责任，法律法规以及申报、批准必需的除外。</w:t>
      </w:r>
    </w:p>
    <w:p w14:paraId="7DAC0DA3">
      <w:pPr>
        <w:keepNext w:val="0"/>
        <w:keepLines w:val="0"/>
        <w:pageBreakBefore w:val="0"/>
        <w:widowControl w:val="0"/>
        <w:kinsoku/>
        <w:wordWrap w:val="0"/>
        <w:overflowPunct/>
        <w:topLinePunct w:val="0"/>
        <w:autoSpaceDE/>
        <w:autoSpaceDN/>
        <w:bidi w:val="0"/>
        <w:adjustRightInd/>
        <w:snapToGrid w:val="0"/>
        <w:spacing w:line="360" w:lineRule="auto"/>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第二十</w:t>
      </w:r>
      <w:r>
        <w:rPr>
          <w:rFonts w:hint="eastAsia" w:ascii="宋体" w:hAnsi="宋体" w:eastAsia="宋体" w:cs="宋体"/>
          <w:b/>
          <w:bCs/>
          <w:color w:val="auto"/>
          <w:sz w:val="22"/>
          <w:szCs w:val="22"/>
          <w:highlight w:val="none"/>
          <w:lang w:val="en-US" w:eastAsia="zh-CN"/>
        </w:rPr>
        <w:t>九</w:t>
      </w:r>
      <w:r>
        <w:rPr>
          <w:rFonts w:hint="eastAsia" w:ascii="宋体" w:hAnsi="宋体" w:eastAsia="宋体" w:cs="宋体"/>
          <w:b/>
          <w:bCs/>
          <w:color w:val="auto"/>
          <w:sz w:val="22"/>
          <w:szCs w:val="22"/>
          <w:highlight w:val="none"/>
        </w:rPr>
        <w:t>条 争议解决</w:t>
      </w:r>
    </w:p>
    <w:p w14:paraId="7D2E7B7C">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1、由本合同产生或与本合同相关的任何争议，首先应由各方以友好协商方式解决，如果在争议发生后的十五日内无法以友好协商方式解决该等争议，则双方均可向项目所在地人民法院起诉。</w:t>
      </w:r>
    </w:p>
    <w:p w14:paraId="1D21B84A">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2、诉讼过程中发生的有关费用（包括守约方支出的合理律师费用）均由违约方承担。</w:t>
      </w:r>
    </w:p>
    <w:p w14:paraId="49DF77C1">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3、诉讼过程中，本合同不存在争议的部分应继续履行。</w:t>
      </w:r>
    </w:p>
    <w:p w14:paraId="4AF48E8E">
      <w:pPr>
        <w:keepNext w:val="0"/>
        <w:keepLines w:val="0"/>
        <w:pageBreakBefore w:val="0"/>
        <w:widowControl w:val="0"/>
        <w:kinsoku/>
        <w:wordWrap w:val="0"/>
        <w:overflowPunct/>
        <w:topLinePunct w:val="0"/>
        <w:autoSpaceDE/>
        <w:autoSpaceDN/>
        <w:bidi w:val="0"/>
        <w:adjustRightInd/>
        <w:snapToGrid w:val="0"/>
        <w:spacing w:line="360" w:lineRule="auto"/>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第三十条 合同生效</w:t>
      </w:r>
    </w:p>
    <w:p w14:paraId="7A5E8A54">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1、本合同自双方法定代表人（或授权代表）签字并加盖单位公章后即行生效。</w:t>
      </w:r>
    </w:p>
    <w:p w14:paraId="178911A3">
      <w:pPr>
        <w:keepNext w:val="0"/>
        <w:keepLines w:val="0"/>
        <w:pageBreakBefore w:val="0"/>
        <w:widowControl w:val="0"/>
        <w:kinsoku/>
        <w:wordWrap w:val="0"/>
        <w:overflowPunct/>
        <w:topLinePunct w:val="0"/>
        <w:autoSpaceDE/>
        <w:autoSpaceDN/>
        <w:bidi w:val="0"/>
        <w:adjustRightInd/>
        <w:snapToGrid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2、对本合同所做出的任何修订或修改，须以书面形式做出并经双方签署后生效。生效后的修订或修改条款取代本合同原来的相应内容，并作为本合同的组成部分。</w:t>
      </w:r>
    </w:p>
    <w:p w14:paraId="0AD2AB35">
      <w:pPr>
        <w:kinsoku/>
        <w:wordWrap w:val="0"/>
        <w:overflowPunct/>
        <w:bidi w:val="0"/>
        <w:snapToGrid w:val="0"/>
        <w:spacing w:line="360" w:lineRule="exact"/>
        <w:jc w:val="center"/>
        <w:outlineLvl w:val="0"/>
        <w:rPr>
          <w:rFonts w:ascii="宋体" w:hAnsi="宋体" w:cs="宋体"/>
          <w:b/>
          <w:color w:val="auto"/>
          <w:sz w:val="24"/>
          <w:highlight w:val="none"/>
        </w:rPr>
      </w:pPr>
      <w:r>
        <w:rPr>
          <w:rFonts w:hint="eastAsia" w:ascii="宋体" w:hAnsi="宋体"/>
          <w:b/>
          <w:color w:val="auto"/>
          <w:highlight w:val="none"/>
        </w:rPr>
        <w:br w:type="page"/>
      </w:r>
      <w:bookmarkStart w:id="88" w:name="_Toc23917"/>
      <w:bookmarkStart w:id="89" w:name="_Toc14663"/>
      <w:bookmarkStart w:id="90" w:name="_Toc18779"/>
      <w:r>
        <w:rPr>
          <w:rFonts w:hint="eastAsia" w:ascii="宋体" w:hAnsi="宋体" w:cs="宋体"/>
          <w:b/>
          <w:color w:val="auto"/>
          <w:sz w:val="24"/>
          <w:highlight w:val="none"/>
        </w:rPr>
        <w:t>第三部分 合同附件</w:t>
      </w:r>
      <w:bookmarkEnd w:id="88"/>
      <w:bookmarkEnd w:id="89"/>
      <w:bookmarkEnd w:id="90"/>
    </w:p>
    <w:p w14:paraId="246CDB44">
      <w:pPr>
        <w:keepNext w:val="0"/>
        <w:keepLines w:val="0"/>
        <w:pageBreakBefore w:val="0"/>
        <w:kinsoku/>
        <w:wordWrap w:val="0"/>
        <w:overflowPunct/>
        <w:autoSpaceDE/>
        <w:autoSpaceDN/>
        <w:bidi w:val="0"/>
        <w:adjustRightInd/>
        <w:snapToGrid w:val="0"/>
        <w:spacing w:line="360" w:lineRule="auto"/>
        <w:textAlignment w:val="auto"/>
        <w:rPr>
          <w:rFonts w:hint="eastAsia" w:ascii="宋体" w:hAnsi="宋体" w:eastAsia="宋体"/>
          <w:b/>
          <w:color w:val="auto"/>
          <w:highlight w:val="none"/>
        </w:rPr>
      </w:pPr>
      <w:r>
        <w:rPr>
          <w:rFonts w:hint="eastAsia" w:ascii="宋体" w:hAnsi="宋体" w:eastAsia="宋体"/>
          <w:b/>
          <w:color w:val="auto"/>
          <w:highlight w:val="none"/>
        </w:rPr>
        <w:t>附件1 廉政责任合同</w:t>
      </w:r>
    </w:p>
    <w:p w14:paraId="4D66F899">
      <w:pPr>
        <w:keepNext w:val="0"/>
        <w:keepLines w:val="0"/>
        <w:pageBreakBefore w:val="0"/>
        <w:widowControl/>
        <w:kinsoku/>
        <w:wordWrap w:val="0"/>
        <w:overflowPunct/>
        <w:topLinePunct/>
        <w:autoSpaceDE/>
        <w:autoSpaceDN/>
        <w:bidi w:val="0"/>
        <w:adjustRightInd/>
        <w:snapToGrid w:val="0"/>
        <w:spacing w:line="360" w:lineRule="auto"/>
        <w:ind w:firstLine="420"/>
        <w:jc w:val="center"/>
        <w:textAlignment w:val="auto"/>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廉政责任合同</w:t>
      </w:r>
    </w:p>
    <w:p w14:paraId="6B3166BC">
      <w:pPr>
        <w:keepNext w:val="0"/>
        <w:keepLines w:val="0"/>
        <w:pageBreakBefore w:val="0"/>
        <w:widowControl/>
        <w:kinsoku/>
        <w:wordWrap w:val="0"/>
        <w:overflowPunct/>
        <w:topLinePunct/>
        <w:autoSpaceDE/>
        <w:autoSpaceDN/>
        <w:bidi w:val="0"/>
        <w:adjustRightInd/>
        <w:snapToGrid w:val="0"/>
        <w:spacing w:line="360" w:lineRule="auto"/>
        <w:ind w:firstLine="420" w:firstLineChars="200"/>
        <w:jc w:val="left"/>
        <w:textAlignment w:val="auto"/>
        <w:rPr>
          <w:rFonts w:ascii="宋体" w:hAnsi="宋体" w:cs="宋体"/>
          <w:color w:val="auto"/>
          <w:kern w:val="0"/>
          <w:highlight w:val="none"/>
        </w:rPr>
      </w:pPr>
      <w:r>
        <w:rPr>
          <w:rFonts w:hint="eastAsia" w:ascii="宋体" w:hAnsi="宋体" w:cs="宋体"/>
          <w:color w:val="auto"/>
          <w:kern w:val="0"/>
          <w:highlight w:val="none"/>
        </w:rPr>
        <w:t xml:space="preserve">甲方： </w:t>
      </w:r>
    </w:p>
    <w:p w14:paraId="6891B58C">
      <w:pPr>
        <w:keepNext w:val="0"/>
        <w:keepLines w:val="0"/>
        <w:pageBreakBefore w:val="0"/>
        <w:widowControl/>
        <w:kinsoku/>
        <w:wordWrap w:val="0"/>
        <w:overflowPunct/>
        <w:topLinePunct/>
        <w:autoSpaceDE/>
        <w:autoSpaceDN/>
        <w:bidi w:val="0"/>
        <w:adjustRightInd/>
        <w:snapToGrid w:val="0"/>
        <w:spacing w:line="360" w:lineRule="auto"/>
        <w:ind w:firstLine="420" w:firstLineChars="200"/>
        <w:jc w:val="left"/>
        <w:textAlignment w:val="auto"/>
        <w:rPr>
          <w:rFonts w:ascii="宋体" w:hAnsi="宋体" w:cs="宋体"/>
          <w:color w:val="auto"/>
          <w:kern w:val="0"/>
          <w:highlight w:val="none"/>
        </w:rPr>
      </w:pPr>
      <w:r>
        <w:rPr>
          <w:rFonts w:hint="eastAsia" w:ascii="宋体" w:hAnsi="宋体" w:cs="宋体"/>
          <w:color w:val="auto"/>
          <w:kern w:val="0"/>
          <w:highlight w:val="none"/>
        </w:rPr>
        <w:t>乙方：</w:t>
      </w:r>
    </w:p>
    <w:p w14:paraId="6A8C70D6">
      <w:pPr>
        <w:keepNext w:val="0"/>
        <w:keepLines w:val="0"/>
        <w:pageBreakBefore w:val="0"/>
        <w:widowControl/>
        <w:kinsoku/>
        <w:wordWrap w:val="0"/>
        <w:overflowPunct/>
        <w:topLinePunct/>
        <w:autoSpaceDE/>
        <w:autoSpaceDN/>
        <w:bidi w:val="0"/>
        <w:adjustRightInd/>
        <w:snapToGrid w:val="0"/>
        <w:spacing w:line="360" w:lineRule="auto"/>
        <w:ind w:firstLine="420" w:firstLineChars="200"/>
        <w:jc w:val="left"/>
        <w:textAlignment w:val="auto"/>
        <w:rPr>
          <w:rFonts w:ascii="宋体" w:hAnsi="宋体" w:cs="宋体"/>
          <w:color w:val="auto"/>
          <w:kern w:val="0"/>
          <w:highlight w:val="none"/>
        </w:rPr>
      </w:pPr>
      <w:r>
        <w:rPr>
          <w:rFonts w:hint="eastAsia" w:ascii="宋体" w:hAnsi="宋体" w:cs="宋体"/>
          <w:color w:val="auto"/>
          <w:kern w:val="0"/>
          <w:highlight w:val="none"/>
        </w:rPr>
        <w:t>为进一步规范工程建设中的经济活动管理，依据国家和浙江省、地方有关建设工程承发包和廉政建设的各项规定，结合工程建设的特点，特订立本协议如下：</w:t>
      </w:r>
    </w:p>
    <w:p w14:paraId="4FF087B1">
      <w:pPr>
        <w:keepNext w:val="0"/>
        <w:keepLines w:val="0"/>
        <w:pageBreakBefore w:val="0"/>
        <w:widowControl/>
        <w:kinsoku/>
        <w:wordWrap w:val="0"/>
        <w:overflowPunct/>
        <w:topLinePunct/>
        <w:autoSpaceDE/>
        <w:autoSpaceDN/>
        <w:bidi w:val="0"/>
        <w:adjustRightInd/>
        <w:snapToGrid w:val="0"/>
        <w:spacing w:line="360" w:lineRule="auto"/>
        <w:ind w:firstLine="422" w:firstLineChars="200"/>
        <w:jc w:val="left"/>
        <w:textAlignment w:val="auto"/>
        <w:rPr>
          <w:rFonts w:ascii="宋体" w:hAnsi="宋体" w:cs="宋体"/>
          <w:b/>
          <w:bCs/>
          <w:color w:val="auto"/>
          <w:kern w:val="0"/>
          <w:highlight w:val="none"/>
        </w:rPr>
      </w:pPr>
      <w:r>
        <w:rPr>
          <w:rFonts w:hint="eastAsia" w:ascii="宋体" w:hAnsi="宋体" w:cs="宋体"/>
          <w:b/>
          <w:bCs/>
          <w:color w:val="auto"/>
          <w:kern w:val="0"/>
          <w:highlight w:val="none"/>
        </w:rPr>
        <w:t xml:space="preserve">一、基本守则 </w:t>
      </w:r>
    </w:p>
    <w:p w14:paraId="690445F9">
      <w:pPr>
        <w:keepNext w:val="0"/>
        <w:keepLines w:val="0"/>
        <w:pageBreakBefore w:val="0"/>
        <w:widowControl/>
        <w:kinsoku/>
        <w:wordWrap w:val="0"/>
        <w:overflowPunct/>
        <w:topLinePunct/>
        <w:autoSpaceDE/>
        <w:autoSpaceDN/>
        <w:bidi w:val="0"/>
        <w:adjustRightInd/>
        <w:snapToGrid w:val="0"/>
        <w:spacing w:line="360" w:lineRule="auto"/>
        <w:ind w:firstLine="420" w:firstLineChars="200"/>
        <w:jc w:val="left"/>
        <w:textAlignment w:val="auto"/>
        <w:rPr>
          <w:rFonts w:ascii="宋体" w:hAnsi="宋体" w:cs="宋体"/>
          <w:color w:val="auto"/>
          <w:kern w:val="0"/>
          <w:highlight w:val="none"/>
        </w:rPr>
      </w:pPr>
      <w:r>
        <w:rPr>
          <w:rFonts w:hint="eastAsia" w:ascii="宋体" w:hAnsi="宋体" w:cs="宋体"/>
          <w:color w:val="auto"/>
          <w:kern w:val="0"/>
          <w:highlight w:val="none"/>
        </w:rPr>
        <w:t xml:space="preserve">1.甲乙双方应严格遵守中国关于廉政建设及反不正当竞争方面的法律法规。 </w:t>
      </w:r>
    </w:p>
    <w:p w14:paraId="233FE411">
      <w:pPr>
        <w:keepNext w:val="0"/>
        <w:keepLines w:val="0"/>
        <w:pageBreakBefore w:val="0"/>
        <w:widowControl/>
        <w:kinsoku/>
        <w:wordWrap w:val="0"/>
        <w:overflowPunct/>
        <w:topLinePunct/>
        <w:autoSpaceDE/>
        <w:autoSpaceDN/>
        <w:bidi w:val="0"/>
        <w:adjustRightInd/>
        <w:snapToGrid w:val="0"/>
        <w:spacing w:line="360" w:lineRule="auto"/>
        <w:ind w:firstLine="420" w:firstLineChars="200"/>
        <w:jc w:val="left"/>
        <w:textAlignment w:val="auto"/>
        <w:rPr>
          <w:rFonts w:ascii="宋体" w:hAnsi="宋体" w:cs="宋体"/>
          <w:color w:val="auto"/>
          <w:kern w:val="0"/>
          <w:highlight w:val="none"/>
        </w:rPr>
      </w:pPr>
      <w:r>
        <w:rPr>
          <w:rFonts w:hint="eastAsia" w:ascii="宋体" w:hAnsi="宋体" w:cs="宋体"/>
          <w:color w:val="auto"/>
          <w:kern w:val="0"/>
          <w:highlight w:val="none"/>
        </w:rPr>
        <w:t xml:space="preserve">2.甲乙双方严格履行所签订的经济合同的各项条款，自觉按合同办事，严禁因违法违纪、违反工程建设管理的各项规章制度而损害国家和集体利益。 </w:t>
      </w:r>
    </w:p>
    <w:p w14:paraId="29318E7F">
      <w:pPr>
        <w:keepNext w:val="0"/>
        <w:keepLines w:val="0"/>
        <w:pageBreakBefore w:val="0"/>
        <w:widowControl/>
        <w:kinsoku/>
        <w:wordWrap w:val="0"/>
        <w:overflowPunct/>
        <w:topLinePunct/>
        <w:autoSpaceDE/>
        <w:autoSpaceDN/>
        <w:bidi w:val="0"/>
        <w:adjustRightInd/>
        <w:snapToGrid w:val="0"/>
        <w:spacing w:line="360" w:lineRule="auto"/>
        <w:ind w:firstLine="420" w:firstLineChars="200"/>
        <w:jc w:val="left"/>
        <w:textAlignment w:val="auto"/>
        <w:rPr>
          <w:rFonts w:ascii="宋体" w:hAnsi="宋体" w:cs="宋体"/>
          <w:color w:val="auto"/>
          <w:kern w:val="0"/>
          <w:highlight w:val="none"/>
        </w:rPr>
      </w:pPr>
      <w:r>
        <w:rPr>
          <w:rFonts w:hint="eastAsia" w:ascii="宋体" w:hAnsi="宋体" w:cs="宋体"/>
          <w:color w:val="auto"/>
          <w:kern w:val="0"/>
          <w:highlight w:val="none"/>
        </w:rPr>
        <w:t>3.甲乙双方人员洽谈业务时，必须选择在办公场所或甲方确定的其它公共场所，甲方需二人以上共同参加，严禁私下商谈串通。</w:t>
      </w:r>
    </w:p>
    <w:p w14:paraId="13F255D8">
      <w:pPr>
        <w:keepNext w:val="0"/>
        <w:keepLines w:val="0"/>
        <w:pageBreakBefore w:val="0"/>
        <w:widowControl/>
        <w:kinsoku/>
        <w:wordWrap w:val="0"/>
        <w:overflowPunct/>
        <w:topLinePunct/>
        <w:autoSpaceDE/>
        <w:autoSpaceDN/>
        <w:bidi w:val="0"/>
        <w:adjustRightInd/>
        <w:snapToGrid w:val="0"/>
        <w:spacing w:line="360" w:lineRule="auto"/>
        <w:ind w:firstLine="422" w:firstLineChars="200"/>
        <w:jc w:val="left"/>
        <w:textAlignment w:val="auto"/>
        <w:rPr>
          <w:rFonts w:ascii="宋体" w:hAnsi="宋体" w:cs="宋体"/>
          <w:b/>
          <w:bCs/>
          <w:color w:val="auto"/>
          <w:kern w:val="0"/>
          <w:highlight w:val="none"/>
        </w:rPr>
      </w:pPr>
      <w:r>
        <w:rPr>
          <w:rFonts w:hint="eastAsia" w:ascii="宋体" w:hAnsi="宋体" w:cs="宋体"/>
          <w:b/>
          <w:bCs/>
          <w:color w:val="auto"/>
          <w:kern w:val="0"/>
          <w:highlight w:val="none"/>
        </w:rPr>
        <w:t>二、甲方的权利和义务</w:t>
      </w:r>
    </w:p>
    <w:p w14:paraId="7BC1BCFD">
      <w:pPr>
        <w:keepNext w:val="0"/>
        <w:keepLines w:val="0"/>
        <w:pageBreakBefore w:val="0"/>
        <w:widowControl/>
        <w:kinsoku/>
        <w:wordWrap w:val="0"/>
        <w:overflowPunct/>
        <w:topLinePunct/>
        <w:autoSpaceDE/>
        <w:autoSpaceDN/>
        <w:bidi w:val="0"/>
        <w:adjustRightInd/>
        <w:snapToGrid w:val="0"/>
        <w:spacing w:line="360" w:lineRule="auto"/>
        <w:ind w:firstLine="420" w:firstLineChars="200"/>
        <w:jc w:val="left"/>
        <w:textAlignment w:val="auto"/>
        <w:rPr>
          <w:rFonts w:ascii="宋体" w:hAnsi="宋体" w:cs="宋体"/>
          <w:color w:val="auto"/>
          <w:kern w:val="0"/>
          <w:highlight w:val="none"/>
        </w:rPr>
      </w:pPr>
      <w:r>
        <w:rPr>
          <w:rFonts w:hint="eastAsia" w:ascii="宋体" w:hAnsi="宋体" w:cs="宋体"/>
          <w:color w:val="auto"/>
          <w:kern w:val="0"/>
          <w:highlight w:val="none"/>
        </w:rPr>
        <w:t>1.甲方严禁本公司员工有任何违反商业道德的不廉洁行为，禁止本公司员工索要或接受乙方及其相关单位和人员提供给个人的佣金、回扣、礼金、有价证券、支付凭证、贵重物品等，不得在乙方报销任何应由个人支付的费用。</w:t>
      </w:r>
    </w:p>
    <w:p w14:paraId="72F5DE68">
      <w:pPr>
        <w:keepNext w:val="0"/>
        <w:keepLines w:val="0"/>
        <w:pageBreakBefore w:val="0"/>
        <w:widowControl/>
        <w:kinsoku/>
        <w:wordWrap w:val="0"/>
        <w:overflowPunct/>
        <w:topLinePunct/>
        <w:autoSpaceDE/>
        <w:autoSpaceDN/>
        <w:bidi w:val="0"/>
        <w:adjustRightInd/>
        <w:snapToGrid w:val="0"/>
        <w:spacing w:line="360" w:lineRule="auto"/>
        <w:ind w:firstLine="420" w:firstLineChars="200"/>
        <w:jc w:val="left"/>
        <w:textAlignment w:val="auto"/>
        <w:rPr>
          <w:rFonts w:ascii="宋体" w:hAnsi="宋体" w:cs="宋体"/>
          <w:color w:val="auto"/>
          <w:kern w:val="0"/>
          <w:highlight w:val="none"/>
        </w:rPr>
      </w:pPr>
      <w:r>
        <w:rPr>
          <w:rFonts w:hint="eastAsia" w:ascii="宋体" w:hAnsi="宋体" w:cs="宋体"/>
          <w:color w:val="auto"/>
          <w:kern w:val="0"/>
          <w:highlight w:val="none"/>
        </w:rPr>
        <w:t>2.甲方工作人员不得参加乙方及其相关单位安排的可能影响业务公正执行的宴请及健身、娱乐、旅游等活动。</w:t>
      </w:r>
    </w:p>
    <w:p w14:paraId="7484BA0F">
      <w:pPr>
        <w:keepNext w:val="0"/>
        <w:keepLines w:val="0"/>
        <w:pageBreakBefore w:val="0"/>
        <w:widowControl/>
        <w:kinsoku/>
        <w:wordWrap w:val="0"/>
        <w:overflowPunct/>
        <w:topLinePunct/>
        <w:autoSpaceDE/>
        <w:autoSpaceDN/>
        <w:bidi w:val="0"/>
        <w:adjustRightInd/>
        <w:snapToGrid w:val="0"/>
        <w:spacing w:line="360" w:lineRule="auto"/>
        <w:ind w:firstLine="420" w:firstLineChars="200"/>
        <w:jc w:val="left"/>
        <w:textAlignment w:val="auto"/>
        <w:rPr>
          <w:rFonts w:ascii="宋体" w:hAnsi="宋体" w:cs="宋体"/>
          <w:color w:val="auto"/>
          <w:kern w:val="0"/>
          <w:highlight w:val="none"/>
        </w:rPr>
      </w:pPr>
      <w:r>
        <w:rPr>
          <w:rFonts w:hint="eastAsia" w:ascii="宋体" w:hAnsi="宋体" w:cs="宋体"/>
          <w:color w:val="auto"/>
          <w:kern w:val="0"/>
          <w:highlight w:val="none"/>
        </w:rPr>
        <w:t>3.甲方工作人员不得要求或者接受乙方为其住房装修、婚丧嫁娶、家属和子女的工作安排以及出国等提供方便。</w:t>
      </w:r>
    </w:p>
    <w:p w14:paraId="1C486B52">
      <w:pPr>
        <w:keepNext w:val="0"/>
        <w:keepLines w:val="0"/>
        <w:pageBreakBefore w:val="0"/>
        <w:widowControl/>
        <w:kinsoku/>
        <w:wordWrap w:val="0"/>
        <w:overflowPunct/>
        <w:topLinePunct/>
        <w:autoSpaceDE/>
        <w:autoSpaceDN/>
        <w:bidi w:val="0"/>
        <w:adjustRightInd/>
        <w:snapToGrid w:val="0"/>
        <w:spacing w:line="360" w:lineRule="auto"/>
        <w:ind w:firstLine="420" w:firstLineChars="200"/>
        <w:jc w:val="left"/>
        <w:textAlignment w:val="auto"/>
        <w:rPr>
          <w:rFonts w:ascii="宋体" w:hAnsi="宋体" w:cs="宋体"/>
          <w:color w:val="auto"/>
          <w:kern w:val="0"/>
          <w:highlight w:val="none"/>
        </w:rPr>
      </w:pPr>
      <w:r>
        <w:rPr>
          <w:rFonts w:hint="eastAsia" w:ascii="宋体" w:hAnsi="宋体" w:cs="宋体"/>
          <w:color w:val="auto"/>
          <w:kern w:val="0"/>
          <w:highlight w:val="none"/>
        </w:rPr>
        <w:t>4.甲方工作人员不得向乙方介绍家属或者亲友从事与甲方工程有关的材料设备供应、工程分包等经济活动。</w:t>
      </w:r>
    </w:p>
    <w:p w14:paraId="1B0C661A">
      <w:pPr>
        <w:keepNext w:val="0"/>
        <w:keepLines w:val="0"/>
        <w:pageBreakBefore w:val="0"/>
        <w:widowControl/>
        <w:kinsoku/>
        <w:wordWrap w:val="0"/>
        <w:overflowPunct/>
        <w:topLinePunct/>
        <w:autoSpaceDE/>
        <w:autoSpaceDN/>
        <w:bidi w:val="0"/>
        <w:adjustRightInd/>
        <w:snapToGrid w:val="0"/>
        <w:spacing w:line="360" w:lineRule="auto"/>
        <w:ind w:firstLine="422" w:firstLineChars="200"/>
        <w:jc w:val="left"/>
        <w:textAlignment w:val="auto"/>
        <w:rPr>
          <w:rFonts w:ascii="宋体" w:hAnsi="宋体" w:cs="宋体"/>
          <w:b/>
          <w:bCs/>
          <w:color w:val="auto"/>
          <w:kern w:val="0"/>
          <w:highlight w:val="none"/>
        </w:rPr>
      </w:pPr>
      <w:r>
        <w:rPr>
          <w:rFonts w:hint="eastAsia" w:ascii="宋体" w:hAnsi="宋体" w:cs="宋体"/>
          <w:b/>
          <w:bCs/>
          <w:color w:val="auto"/>
          <w:kern w:val="0"/>
          <w:highlight w:val="none"/>
        </w:rPr>
        <w:t>三、乙方的权利及义务</w:t>
      </w:r>
    </w:p>
    <w:p w14:paraId="1DCFD80F">
      <w:pPr>
        <w:keepNext w:val="0"/>
        <w:keepLines w:val="0"/>
        <w:pageBreakBefore w:val="0"/>
        <w:widowControl/>
        <w:kinsoku/>
        <w:wordWrap w:val="0"/>
        <w:overflowPunct/>
        <w:topLinePunct/>
        <w:autoSpaceDE/>
        <w:autoSpaceDN/>
        <w:bidi w:val="0"/>
        <w:adjustRightInd/>
        <w:snapToGrid w:val="0"/>
        <w:spacing w:line="360" w:lineRule="auto"/>
        <w:ind w:firstLine="420" w:firstLineChars="200"/>
        <w:jc w:val="left"/>
        <w:textAlignment w:val="auto"/>
        <w:rPr>
          <w:rFonts w:ascii="宋体" w:hAnsi="宋体" w:cs="宋体"/>
          <w:color w:val="auto"/>
          <w:kern w:val="0"/>
          <w:highlight w:val="none"/>
        </w:rPr>
      </w:pPr>
      <w:r>
        <w:rPr>
          <w:rFonts w:hint="eastAsia" w:ascii="宋体" w:hAnsi="宋体" w:cs="宋体"/>
          <w:color w:val="auto"/>
          <w:kern w:val="0"/>
          <w:highlight w:val="none"/>
        </w:rPr>
        <w:t>1.乙方应当通过正常途径开展相关业务工作，不得为获取某些不正当利益而向甲方工作人员提供佣金、回扣、礼金、有价证券、支付凭证、贵重物品等。</w:t>
      </w:r>
    </w:p>
    <w:p w14:paraId="17CCB6EC">
      <w:pPr>
        <w:keepNext w:val="0"/>
        <w:keepLines w:val="0"/>
        <w:pageBreakBefore w:val="0"/>
        <w:widowControl/>
        <w:kinsoku/>
        <w:wordWrap w:val="0"/>
        <w:overflowPunct/>
        <w:topLinePunct/>
        <w:autoSpaceDE/>
        <w:autoSpaceDN/>
        <w:bidi w:val="0"/>
        <w:adjustRightInd/>
        <w:snapToGrid w:val="0"/>
        <w:spacing w:line="360" w:lineRule="auto"/>
        <w:ind w:firstLine="420" w:firstLineChars="200"/>
        <w:jc w:val="left"/>
        <w:textAlignment w:val="auto"/>
        <w:rPr>
          <w:rFonts w:ascii="宋体" w:hAnsi="宋体" w:cs="宋体"/>
          <w:color w:val="auto"/>
          <w:kern w:val="0"/>
          <w:highlight w:val="none"/>
        </w:rPr>
      </w:pPr>
      <w:r>
        <w:rPr>
          <w:rFonts w:hint="eastAsia" w:ascii="宋体" w:hAnsi="宋体" w:cs="宋体"/>
          <w:color w:val="auto"/>
          <w:kern w:val="0"/>
          <w:highlight w:val="none"/>
        </w:rPr>
        <w:t>2.乙方不得为谋取私利擅自与甲方工作人员就工程承包、工程费用、材料设备供应、工程量变动、工程验收、工程质量问题处理等进行私下商谈或者达成默契。</w:t>
      </w:r>
    </w:p>
    <w:p w14:paraId="3930E65D">
      <w:pPr>
        <w:keepNext w:val="0"/>
        <w:keepLines w:val="0"/>
        <w:pageBreakBefore w:val="0"/>
        <w:widowControl/>
        <w:kinsoku/>
        <w:wordWrap w:val="0"/>
        <w:overflowPunct/>
        <w:topLinePunct/>
        <w:autoSpaceDE/>
        <w:autoSpaceDN/>
        <w:bidi w:val="0"/>
        <w:adjustRightInd/>
        <w:snapToGrid w:val="0"/>
        <w:spacing w:line="360" w:lineRule="auto"/>
        <w:ind w:firstLine="420" w:firstLineChars="200"/>
        <w:jc w:val="left"/>
        <w:textAlignment w:val="auto"/>
        <w:rPr>
          <w:rFonts w:ascii="宋体" w:hAnsi="宋体" w:cs="宋体"/>
          <w:color w:val="auto"/>
          <w:kern w:val="0"/>
          <w:highlight w:val="none"/>
        </w:rPr>
      </w:pPr>
      <w:r>
        <w:rPr>
          <w:rFonts w:hint="eastAsia" w:ascii="宋体" w:hAnsi="宋体" w:cs="宋体"/>
          <w:color w:val="auto"/>
          <w:kern w:val="0"/>
          <w:highlight w:val="none"/>
        </w:rPr>
        <w:t>3.乙方不得以洽谈业务、签订经济合同为借口，邀请甲方工作人员外出旅游和进入营业性高档娱乐场所。</w:t>
      </w:r>
    </w:p>
    <w:p w14:paraId="7ED2BDFB">
      <w:pPr>
        <w:keepNext w:val="0"/>
        <w:keepLines w:val="0"/>
        <w:pageBreakBefore w:val="0"/>
        <w:widowControl/>
        <w:kinsoku/>
        <w:wordWrap w:val="0"/>
        <w:overflowPunct/>
        <w:topLinePunct/>
        <w:autoSpaceDE/>
        <w:autoSpaceDN/>
        <w:bidi w:val="0"/>
        <w:adjustRightInd/>
        <w:snapToGrid w:val="0"/>
        <w:spacing w:line="360" w:lineRule="auto"/>
        <w:ind w:firstLine="420" w:firstLineChars="200"/>
        <w:jc w:val="left"/>
        <w:textAlignment w:val="auto"/>
        <w:rPr>
          <w:rFonts w:ascii="宋体" w:hAnsi="宋体" w:cs="宋体"/>
          <w:color w:val="auto"/>
          <w:kern w:val="0"/>
          <w:highlight w:val="none"/>
        </w:rPr>
      </w:pPr>
      <w:r>
        <w:rPr>
          <w:rFonts w:hint="eastAsia" w:ascii="宋体" w:hAnsi="宋体" w:cs="宋体"/>
          <w:color w:val="auto"/>
          <w:kern w:val="0"/>
          <w:highlight w:val="none"/>
        </w:rPr>
        <w:t>4.乙方不得为甲方单位和个人购置或者提供通讯工具、交通工具、家电、高档办公用品等物品。</w:t>
      </w:r>
    </w:p>
    <w:p w14:paraId="13C66311">
      <w:pPr>
        <w:keepNext w:val="0"/>
        <w:keepLines w:val="0"/>
        <w:pageBreakBefore w:val="0"/>
        <w:widowControl/>
        <w:kinsoku/>
        <w:wordWrap w:val="0"/>
        <w:overflowPunct/>
        <w:topLinePunct/>
        <w:autoSpaceDE/>
        <w:autoSpaceDN/>
        <w:bidi w:val="0"/>
        <w:adjustRightInd/>
        <w:snapToGrid w:val="0"/>
        <w:spacing w:line="360" w:lineRule="auto"/>
        <w:ind w:firstLine="420" w:firstLineChars="200"/>
        <w:jc w:val="left"/>
        <w:textAlignment w:val="auto"/>
        <w:rPr>
          <w:rFonts w:ascii="宋体" w:hAnsi="宋体" w:cs="宋体"/>
          <w:color w:val="auto"/>
          <w:kern w:val="0"/>
          <w:highlight w:val="none"/>
        </w:rPr>
      </w:pPr>
      <w:r>
        <w:rPr>
          <w:rFonts w:hint="eastAsia" w:ascii="宋体" w:hAnsi="宋体" w:cs="宋体"/>
          <w:color w:val="auto"/>
          <w:kern w:val="0"/>
          <w:highlight w:val="none"/>
        </w:rPr>
        <w:t>5.乙方应严禁本公司及其代理机构的员工以任何形式、任何理由向甲方员工个人提供佣金、回扣、礼金、有价证券、支付凭证、贵重物品等；不得为甲方员工安排有可能影响业务公正执行的宴请、健身、娱乐、旅游等活动。</w:t>
      </w:r>
    </w:p>
    <w:p w14:paraId="46336881">
      <w:pPr>
        <w:keepNext w:val="0"/>
        <w:keepLines w:val="0"/>
        <w:pageBreakBefore w:val="0"/>
        <w:widowControl/>
        <w:kinsoku/>
        <w:wordWrap w:val="0"/>
        <w:overflowPunct/>
        <w:topLinePunct/>
        <w:autoSpaceDE/>
        <w:autoSpaceDN/>
        <w:bidi w:val="0"/>
        <w:adjustRightInd/>
        <w:snapToGrid w:val="0"/>
        <w:spacing w:line="360" w:lineRule="auto"/>
        <w:ind w:firstLine="420" w:firstLineChars="200"/>
        <w:jc w:val="left"/>
        <w:textAlignment w:val="auto"/>
        <w:rPr>
          <w:rFonts w:ascii="宋体" w:hAnsi="宋体" w:cs="宋体"/>
          <w:color w:val="auto"/>
          <w:kern w:val="0"/>
          <w:highlight w:val="none"/>
        </w:rPr>
      </w:pPr>
      <w:r>
        <w:rPr>
          <w:rFonts w:hint="eastAsia" w:ascii="宋体" w:hAnsi="宋体" w:cs="宋体"/>
          <w:color w:val="auto"/>
          <w:kern w:val="0"/>
          <w:highlight w:val="none"/>
        </w:rPr>
        <w:t>6.若乙方发现甲方员工在商务活动中存在以不正当手段试图直接或间接从乙方获取个人利益的行为时，应予拒绝并及时向甲方监察部门或司法机关举报。甲方不得找任何借口对乙方进行报复。</w:t>
      </w:r>
    </w:p>
    <w:p w14:paraId="2FC4A81A">
      <w:pPr>
        <w:keepNext w:val="0"/>
        <w:keepLines w:val="0"/>
        <w:pageBreakBefore w:val="0"/>
        <w:widowControl/>
        <w:kinsoku/>
        <w:wordWrap w:val="0"/>
        <w:overflowPunct/>
        <w:topLinePunct/>
        <w:autoSpaceDE/>
        <w:autoSpaceDN/>
        <w:bidi w:val="0"/>
        <w:adjustRightInd/>
        <w:snapToGrid w:val="0"/>
        <w:spacing w:line="360" w:lineRule="auto"/>
        <w:ind w:firstLine="422" w:firstLineChars="200"/>
        <w:jc w:val="left"/>
        <w:textAlignment w:val="auto"/>
        <w:rPr>
          <w:rFonts w:ascii="宋体" w:hAnsi="宋体" w:cs="宋体"/>
          <w:b/>
          <w:bCs/>
          <w:color w:val="auto"/>
          <w:kern w:val="0"/>
          <w:highlight w:val="none"/>
        </w:rPr>
      </w:pPr>
      <w:r>
        <w:rPr>
          <w:rFonts w:hint="eastAsia" w:ascii="宋体" w:hAnsi="宋体" w:cs="宋体"/>
          <w:b/>
          <w:bCs/>
          <w:color w:val="auto"/>
          <w:kern w:val="0"/>
          <w:highlight w:val="none"/>
        </w:rPr>
        <w:t>四、违约责任</w:t>
      </w:r>
    </w:p>
    <w:p w14:paraId="028E990D">
      <w:pPr>
        <w:keepNext w:val="0"/>
        <w:keepLines w:val="0"/>
        <w:pageBreakBefore w:val="0"/>
        <w:widowControl/>
        <w:kinsoku/>
        <w:wordWrap w:val="0"/>
        <w:overflowPunct/>
        <w:topLinePunct/>
        <w:autoSpaceDE/>
        <w:autoSpaceDN/>
        <w:bidi w:val="0"/>
        <w:adjustRightInd/>
        <w:snapToGrid w:val="0"/>
        <w:spacing w:line="360" w:lineRule="auto"/>
        <w:ind w:firstLine="420" w:firstLineChars="200"/>
        <w:jc w:val="left"/>
        <w:textAlignment w:val="auto"/>
        <w:rPr>
          <w:rFonts w:ascii="宋体" w:hAnsi="宋体" w:cs="宋体"/>
          <w:color w:val="auto"/>
          <w:kern w:val="0"/>
          <w:highlight w:val="none"/>
        </w:rPr>
      </w:pPr>
      <w:r>
        <w:rPr>
          <w:rFonts w:hint="eastAsia" w:ascii="宋体" w:hAnsi="宋体" w:cs="宋体"/>
          <w:color w:val="auto"/>
          <w:kern w:val="0"/>
          <w:highlight w:val="none"/>
        </w:rPr>
        <w:t>1.乙方有违反本协议或者采用不正当的手段行贿甲方工作人员，一经发现，则甲方有权要求乙方按照合同金额 3％支付违约金，乙方用不正当手段获取的非法所得由甲方单位予以追缴。</w:t>
      </w:r>
    </w:p>
    <w:p w14:paraId="60E874B1">
      <w:pPr>
        <w:keepNext w:val="0"/>
        <w:keepLines w:val="0"/>
        <w:pageBreakBefore w:val="0"/>
        <w:widowControl/>
        <w:kinsoku/>
        <w:wordWrap w:val="0"/>
        <w:overflowPunct/>
        <w:topLinePunct/>
        <w:autoSpaceDE/>
        <w:autoSpaceDN/>
        <w:bidi w:val="0"/>
        <w:adjustRightInd/>
        <w:snapToGrid w:val="0"/>
        <w:spacing w:line="360" w:lineRule="auto"/>
        <w:ind w:firstLine="420" w:firstLineChars="200"/>
        <w:jc w:val="left"/>
        <w:textAlignment w:val="auto"/>
        <w:rPr>
          <w:rFonts w:ascii="宋体" w:hAnsi="宋体" w:cs="宋体"/>
          <w:color w:val="auto"/>
          <w:kern w:val="0"/>
          <w:highlight w:val="none"/>
        </w:rPr>
      </w:pPr>
      <w:r>
        <w:rPr>
          <w:rFonts w:hint="eastAsia" w:ascii="宋体" w:hAnsi="宋体" w:cs="宋体"/>
          <w:color w:val="auto"/>
          <w:kern w:val="0"/>
          <w:highlight w:val="none"/>
        </w:rPr>
        <w:t xml:space="preserve">甲方人员若违反本合同，其主管部门将对违法、违纪、违规人员严肃查处。 </w:t>
      </w:r>
    </w:p>
    <w:p w14:paraId="7B166DAD">
      <w:pPr>
        <w:keepNext w:val="0"/>
        <w:keepLines w:val="0"/>
        <w:pageBreakBefore w:val="0"/>
        <w:widowControl/>
        <w:kinsoku/>
        <w:wordWrap w:val="0"/>
        <w:overflowPunct/>
        <w:topLinePunct/>
        <w:autoSpaceDE/>
        <w:autoSpaceDN/>
        <w:bidi w:val="0"/>
        <w:adjustRightInd/>
        <w:snapToGrid w:val="0"/>
        <w:spacing w:line="360" w:lineRule="auto"/>
        <w:ind w:firstLine="420" w:firstLineChars="200"/>
        <w:jc w:val="left"/>
        <w:textAlignment w:val="auto"/>
        <w:rPr>
          <w:rFonts w:ascii="宋体" w:hAnsi="宋体" w:cs="宋体"/>
          <w:color w:val="auto"/>
          <w:kern w:val="0"/>
          <w:highlight w:val="none"/>
        </w:rPr>
      </w:pPr>
      <w:r>
        <w:rPr>
          <w:rFonts w:hint="eastAsia" w:ascii="宋体" w:hAnsi="宋体" w:cs="宋体"/>
          <w:color w:val="auto"/>
          <w:kern w:val="0"/>
          <w:highlight w:val="none"/>
        </w:rPr>
        <w:t xml:space="preserve">2.甲方或甲方主管部门如发现乙方人员违反本合同规定，有权终止其经济合同，由此而造成的损失由乙方负责赔偿，并将乙方列入不良行为名单登记入册，取消其在甲方的任何经济项目的投标活动资格。同时，有权向政府主管部门提供其不良记录情况。 </w:t>
      </w:r>
    </w:p>
    <w:p w14:paraId="400DD2D2">
      <w:pPr>
        <w:keepNext w:val="0"/>
        <w:keepLines w:val="0"/>
        <w:pageBreakBefore w:val="0"/>
        <w:widowControl/>
        <w:kinsoku/>
        <w:wordWrap w:val="0"/>
        <w:overflowPunct/>
        <w:topLinePunct/>
        <w:autoSpaceDE/>
        <w:autoSpaceDN/>
        <w:bidi w:val="0"/>
        <w:adjustRightInd/>
        <w:snapToGrid w:val="0"/>
        <w:spacing w:line="360" w:lineRule="auto"/>
        <w:ind w:firstLine="420" w:firstLineChars="200"/>
        <w:jc w:val="left"/>
        <w:textAlignment w:val="auto"/>
        <w:rPr>
          <w:rFonts w:ascii="宋体" w:hAnsi="宋体" w:cs="宋体"/>
          <w:color w:val="auto"/>
          <w:kern w:val="0"/>
          <w:highlight w:val="none"/>
        </w:rPr>
      </w:pPr>
      <w:r>
        <w:rPr>
          <w:rFonts w:hint="eastAsia" w:ascii="宋体" w:hAnsi="宋体" w:cs="宋体"/>
          <w:color w:val="auto"/>
          <w:kern w:val="0"/>
          <w:highlight w:val="none"/>
        </w:rPr>
        <w:t>3.乙方人员若违反本合同，乙方应对违法违纪人员严肃查处，因此而给甲方造成的损失，乙方按有关规定予以赔偿。</w:t>
      </w:r>
    </w:p>
    <w:p w14:paraId="384B66D7">
      <w:pPr>
        <w:keepNext w:val="0"/>
        <w:keepLines w:val="0"/>
        <w:pageBreakBefore w:val="0"/>
        <w:widowControl/>
        <w:kinsoku/>
        <w:wordWrap w:val="0"/>
        <w:overflowPunct/>
        <w:topLinePunct/>
        <w:autoSpaceDE/>
        <w:autoSpaceDN/>
        <w:bidi w:val="0"/>
        <w:adjustRightInd/>
        <w:snapToGrid w:val="0"/>
        <w:spacing w:line="360" w:lineRule="auto"/>
        <w:ind w:firstLine="420" w:firstLineChars="200"/>
        <w:jc w:val="left"/>
        <w:textAlignment w:val="auto"/>
        <w:rPr>
          <w:rFonts w:ascii="宋体" w:hAnsi="宋体" w:cs="宋体"/>
          <w:color w:val="auto"/>
          <w:kern w:val="0"/>
          <w:highlight w:val="none"/>
        </w:rPr>
      </w:pPr>
      <w:r>
        <w:rPr>
          <w:rFonts w:hint="eastAsia" w:ascii="宋体" w:hAnsi="宋体" w:cs="宋体"/>
          <w:color w:val="auto"/>
          <w:kern w:val="0"/>
          <w:highlight w:val="none"/>
        </w:rPr>
        <w:t>五、合同附则</w:t>
      </w:r>
    </w:p>
    <w:p w14:paraId="6ADE174E">
      <w:pPr>
        <w:keepNext w:val="0"/>
        <w:keepLines w:val="0"/>
        <w:pageBreakBefore w:val="0"/>
        <w:widowControl/>
        <w:kinsoku/>
        <w:wordWrap w:val="0"/>
        <w:overflowPunct/>
        <w:topLinePunct/>
        <w:autoSpaceDE/>
        <w:autoSpaceDN/>
        <w:bidi w:val="0"/>
        <w:adjustRightInd/>
        <w:snapToGrid w:val="0"/>
        <w:spacing w:line="360" w:lineRule="auto"/>
        <w:ind w:firstLine="420" w:firstLineChars="200"/>
        <w:jc w:val="left"/>
        <w:textAlignment w:val="auto"/>
        <w:rPr>
          <w:rFonts w:ascii="宋体" w:hAnsi="宋体" w:cs="宋体"/>
          <w:color w:val="auto"/>
          <w:kern w:val="0"/>
          <w:highlight w:val="none"/>
        </w:rPr>
      </w:pPr>
      <w:r>
        <w:rPr>
          <w:rFonts w:hint="eastAsia" w:ascii="宋体" w:hAnsi="宋体" w:cs="宋体"/>
          <w:color w:val="auto"/>
          <w:kern w:val="0"/>
          <w:highlight w:val="none"/>
        </w:rPr>
        <w:t>1.本廉洁协议作为</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 xml:space="preserve">合同的附件，与工程承发包合同具有同等法律效力。经协议双方签署后立即生效。 </w:t>
      </w:r>
    </w:p>
    <w:p w14:paraId="5E936FED">
      <w:pPr>
        <w:keepNext w:val="0"/>
        <w:keepLines w:val="0"/>
        <w:pageBreakBefore w:val="0"/>
        <w:widowControl/>
        <w:kinsoku/>
        <w:wordWrap w:val="0"/>
        <w:overflowPunct/>
        <w:topLinePunct/>
        <w:autoSpaceDE/>
        <w:autoSpaceDN/>
        <w:bidi w:val="0"/>
        <w:adjustRightInd/>
        <w:snapToGrid w:val="0"/>
        <w:spacing w:line="360" w:lineRule="auto"/>
        <w:ind w:firstLine="420" w:firstLineChars="200"/>
        <w:jc w:val="left"/>
        <w:textAlignment w:val="auto"/>
        <w:rPr>
          <w:rFonts w:ascii="宋体" w:hAnsi="宋体" w:cs="宋体"/>
          <w:color w:val="auto"/>
          <w:kern w:val="0"/>
          <w:highlight w:val="none"/>
        </w:rPr>
      </w:pPr>
      <w:r>
        <w:rPr>
          <w:rFonts w:hint="eastAsia" w:ascii="宋体" w:hAnsi="宋体" w:cs="宋体"/>
          <w:color w:val="auto"/>
          <w:kern w:val="0"/>
          <w:highlight w:val="none"/>
        </w:rPr>
        <w:t>2.本协议一式</w:t>
      </w:r>
      <w:r>
        <w:rPr>
          <w:rFonts w:hint="eastAsia" w:ascii="宋体" w:hAnsi="宋体" w:cs="宋体"/>
          <w:color w:val="auto"/>
          <w:kern w:val="0"/>
          <w:highlight w:val="none"/>
          <w:lang w:val="en-US" w:eastAsia="zh-CN"/>
        </w:rPr>
        <w:t>四</w:t>
      </w:r>
      <w:r>
        <w:rPr>
          <w:rFonts w:hint="eastAsia" w:ascii="宋体" w:hAnsi="宋体" w:cs="宋体"/>
          <w:color w:val="auto"/>
          <w:kern w:val="0"/>
          <w:highlight w:val="none"/>
        </w:rPr>
        <w:t>份，甲、乙双方各执一份，送交见证部门一份，具有相同的法律效力，甲方纪检监察部门负责履行本合同的监督管理工作。</w:t>
      </w:r>
    </w:p>
    <w:p w14:paraId="45CA022B">
      <w:pPr>
        <w:keepNext w:val="0"/>
        <w:keepLines w:val="0"/>
        <w:pageBreakBefore w:val="0"/>
        <w:widowControl/>
        <w:kinsoku/>
        <w:wordWrap w:val="0"/>
        <w:overflowPunct/>
        <w:topLinePunct/>
        <w:autoSpaceDE/>
        <w:autoSpaceDN/>
        <w:bidi w:val="0"/>
        <w:adjustRightInd/>
        <w:snapToGrid w:val="0"/>
        <w:spacing w:line="360" w:lineRule="auto"/>
        <w:ind w:firstLine="420" w:firstLineChars="200"/>
        <w:jc w:val="left"/>
        <w:textAlignment w:val="auto"/>
        <w:rPr>
          <w:rFonts w:ascii="宋体" w:hAnsi="宋体" w:cs="宋体"/>
          <w:color w:val="auto"/>
          <w:kern w:val="0"/>
          <w:highlight w:val="none"/>
        </w:rPr>
      </w:pPr>
      <w:r>
        <w:rPr>
          <w:rFonts w:hint="eastAsia" w:ascii="宋体" w:hAnsi="宋体" w:cs="宋体"/>
          <w:color w:val="auto"/>
          <w:kern w:val="0"/>
          <w:highlight w:val="none"/>
        </w:rPr>
        <w:t>3.本合同未尽之事宜或在本合同发生纠纷，应当首先协商解决，协商不成，可诉至工程所在地人民法院。</w:t>
      </w:r>
    </w:p>
    <w:p w14:paraId="43C7206E">
      <w:pPr>
        <w:keepNext w:val="0"/>
        <w:keepLines w:val="0"/>
        <w:pageBreakBefore w:val="0"/>
        <w:widowControl/>
        <w:kinsoku/>
        <w:wordWrap w:val="0"/>
        <w:overflowPunct/>
        <w:topLinePunct/>
        <w:autoSpaceDE/>
        <w:autoSpaceDN/>
        <w:bidi w:val="0"/>
        <w:adjustRightInd/>
        <w:snapToGrid w:val="0"/>
        <w:spacing w:line="360" w:lineRule="auto"/>
        <w:ind w:firstLine="420" w:firstLineChars="200"/>
        <w:jc w:val="left"/>
        <w:textAlignment w:val="auto"/>
        <w:rPr>
          <w:rFonts w:ascii="宋体" w:hAnsi="宋体" w:cs="宋体"/>
          <w:color w:val="auto"/>
          <w:kern w:val="0"/>
          <w:highlight w:val="none"/>
        </w:rPr>
      </w:pPr>
    </w:p>
    <w:p w14:paraId="16051FAC">
      <w:pPr>
        <w:keepNext w:val="0"/>
        <w:keepLines w:val="0"/>
        <w:pageBreakBefore w:val="0"/>
        <w:widowControl/>
        <w:kinsoku/>
        <w:wordWrap w:val="0"/>
        <w:overflowPunct/>
        <w:topLinePunct/>
        <w:autoSpaceDE/>
        <w:autoSpaceDN/>
        <w:bidi w:val="0"/>
        <w:adjustRightInd/>
        <w:snapToGrid w:val="0"/>
        <w:spacing w:line="360" w:lineRule="auto"/>
        <w:ind w:firstLine="420" w:firstLineChars="200"/>
        <w:jc w:val="left"/>
        <w:textAlignment w:val="auto"/>
        <w:rPr>
          <w:rFonts w:ascii="宋体" w:hAnsi="宋体" w:cs="宋体"/>
          <w:color w:val="auto"/>
          <w:kern w:val="0"/>
          <w:highlight w:val="none"/>
        </w:rPr>
      </w:pPr>
    </w:p>
    <w:p w14:paraId="7FADED59">
      <w:pPr>
        <w:keepNext w:val="0"/>
        <w:keepLines w:val="0"/>
        <w:pageBreakBefore w:val="0"/>
        <w:widowControl/>
        <w:kinsoku/>
        <w:wordWrap w:val="0"/>
        <w:overflowPunct/>
        <w:topLinePunct/>
        <w:autoSpaceDE/>
        <w:autoSpaceDN/>
        <w:bidi w:val="0"/>
        <w:adjustRightInd/>
        <w:snapToGrid w:val="0"/>
        <w:spacing w:line="360" w:lineRule="auto"/>
        <w:ind w:firstLine="420"/>
        <w:textAlignment w:val="auto"/>
        <w:rPr>
          <w:rFonts w:ascii="宋体" w:hAnsi="宋体" w:cs="宋体"/>
          <w:color w:val="auto"/>
          <w:kern w:val="0"/>
          <w:highlight w:val="none"/>
        </w:rPr>
      </w:pPr>
    </w:p>
    <w:p w14:paraId="1E1C41B4">
      <w:pPr>
        <w:keepNext w:val="0"/>
        <w:keepLines w:val="0"/>
        <w:pageBreakBefore w:val="0"/>
        <w:widowControl/>
        <w:kinsoku/>
        <w:wordWrap w:val="0"/>
        <w:overflowPunct/>
        <w:topLinePunct/>
        <w:autoSpaceDE/>
        <w:autoSpaceDN/>
        <w:bidi w:val="0"/>
        <w:adjustRightInd/>
        <w:snapToGrid w:val="0"/>
        <w:spacing w:line="360" w:lineRule="auto"/>
        <w:ind w:firstLine="420"/>
        <w:textAlignment w:val="auto"/>
        <w:rPr>
          <w:rFonts w:ascii="宋体" w:hAnsi="宋体" w:cs="宋体"/>
          <w:color w:val="auto"/>
          <w:kern w:val="0"/>
          <w:highlight w:val="none"/>
        </w:rPr>
      </w:pPr>
      <w:r>
        <w:rPr>
          <w:rFonts w:hint="eastAsia" w:ascii="宋体" w:hAnsi="宋体" w:cs="宋体"/>
          <w:color w:val="auto"/>
          <w:kern w:val="0"/>
          <w:highlight w:val="none"/>
        </w:rPr>
        <w:t>甲方：（盖章）                             乙方：（盖章）</w:t>
      </w:r>
    </w:p>
    <w:p w14:paraId="5B8381C2">
      <w:pPr>
        <w:keepNext w:val="0"/>
        <w:keepLines w:val="0"/>
        <w:pageBreakBefore w:val="0"/>
        <w:widowControl/>
        <w:kinsoku/>
        <w:wordWrap w:val="0"/>
        <w:overflowPunct/>
        <w:topLinePunct/>
        <w:autoSpaceDE/>
        <w:autoSpaceDN/>
        <w:bidi w:val="0"/>
        <w:adjustRightInd/>
        <w:snapToGrid w:val="0"/>
        <w:spacing w:line="360" w:lineRule="auto"/>
        <w:ind w:firstLine="420"/>
        <w:textAlignment w:val="auto"/>
        <w:rPr>
          <w:rFonts w:ascii="宋体" w:hAnsi="宋体" w:cs="宋体"/>
          <w:color w:val="auto"/>
          <w:kern w:val="0"/>
          <w:highlight w:val="none"/>
        </w:rPr>
      </w:pPr>
    </w:p>
    <w:p w14:paraId="7E9378D8">
      <w:pPr>
        <w:keepNext w:val="0"/>
        <w:keepLines w:val="0"/>
        <w:pageBreakBefore w:val="0"/>
        <w:widowControl/>
        <w:kinsoku/>
        <w:wordWrap w:val="0"/>
        <w:overflowPunct/>
        <w:topLinePunct/>
        <w:autoSpaceDE/>
        <w:autoSpaceDN/>
        <w:bidi w:val="0"/>
        <w:adjustRightInd/>
        <w:snapToGrid w:val="0"/>
        <w:spacing w:line="360" w:lineRule="auto"/>
        <w:ind w:firstLine="420" w:firstLineChars="200"/>
        <w:textAlignment w:val="auto"/>
        <w:rPr>
          <w:rFonts w:ascii="宋体" w:hAnsi="宋体" w:cs="宋体"/>
          <w:color w:val="auto"/>
          <w:kern w:val="0"/>
          <w:highlight w:val="none"/>
        </w:rPr>
      </w:pPr>
      <w:r>
        <w:rPr>
          <w:rFonts w:hint="eastAsia" w:ascii="宋体" w:hAnsi="宋体" w:cs="宋体"/>
          <w:color w:val="auto"/>
          <w:sz w:val="21"/>
          <w:szCs w:val="21"/>
          <w:highlight w:val="none"/>
        </w:rPr>
        <w:t>法定代表人或</w:t>
      </w:r>
      <w:r>
        <w:rPr>
          <w:rFonts w:hint="eastAsia" w:ascii="宋体" w:hAnsi="宋体" w:cs="宋体"/>
          <w:color w:val="auto"/>
          <w:sz w:val="21"/>
          <w:szCs w:val="21"/>
          <w:highlight w:val="none"/>
          <w:lang w:val="en-US" w:eastAsia="zh-CN"/>
        </w:rPr>
        <w:t>委托代理人</w:t>
      </w:r>
      <w:r>
        <w:rPr>
          <w:rFonts w:hint="eastAsia" w:ascii="宋体" w:hAnsi="宋体" w:cs="宋体"/>
          <w:color w:val="auto"/>
          <w:sz w:val="21"/>
          <w:szCs w:val="21"/>
          <w:highlight w:val="none"/>
        </w:rPr>
        <w:t>（签字）：</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 xml:space="preserve">    法定代表人或委托代理人</w:t>
      </w:r>
      <w:r>
        <w:rPr>
          <w:rFonts w:hint="eastAsia" w:ascii="宋体" w:hAnsi="宋体" w:cs="宋体"/>
          <w:color w:val="auto"/>
          <w:sz w:val="21"/>
          <w:szCs w:val="21"/>
          <w:highlight w:val="none"/>
        </w:rPr>
        <w:t>（签字）：</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p>
    <w:p w14:paraId="195C36A3">
      <w:pPr>
        <w:keepNext w:val="0"/>
        <w:keepLines w:val="0"/>
        <w:pageBreakBefore w:val="0"/>
        <w:widowControl/>
        <w:kinsoku/>
        <w:wordWrap w:val="0"/>
        <w:overflowPunct/>
        <w:topLinePunct/>
        <w:autoSpaceDE/>
        <w:autoSpaceDN/>
        <w:bidi w:val="0"/>
        <w:adjustRightInd/>
        <w:snapToGrid w:val="0"/>
        <w:spacing w:line="360" w:lineRule="auto"/>
        <w:ind w:firstLine="420" w:firstLineChars="200"/>
        <w:textAlignment w:val="auto"/>
        <w:rPr>
          <w:rFonts w:ascii="宋体" w:hAnsi="宋体" w:cs="宋体"/>
          <w:color w:val="auto"/>
          <w:kern w:val="0"/>
          <w:highlight w:val="none"/>
        </w:rPr>
      </w:pPr>
    </w:p>
    <w:p w14:paraId="409AA37F">
      <w:pPr>
        <w:keepNext w:val="0"/>
        <w:keepLines w:val="0"/>
        <w:pageBreakBefore w:val="0"/>
        <w:widowControl/>
        <w:kinsoku/>
        <w:wordWrap w:val="0"/>
        <w:overflowPunct/>
        <w:topLinePunct/>
        <w:autoSpaceDE/>
        <w:autoSpaceDN/>
        <w:bidi w:val="0"/>
        <w:adjustRightInd/>
        <w:snapToGrid w:val="0"/>
        <w:spacing w:line="360" w:lineRule="auto"/>
        <w:ind w:firstLine="420" w:firstLineChars="200"/>
        <w:textAlignment w:val="auto"/>
        <w:rPr>
          <w:rFonts w:ascii="宋体" w:hAnsi="宋体" w:cs="宋体"/>
          <w:color w:val="auto"/>
          <w:kern w:val="0"/>
          <w:highlight w:val="none"/>
        </w:rPr>
      </w:pPr>
      <w:r>
        <w:rPr>
          <w:rFonts w:hint="eastAsia" w:ascii="宋体" w:hAnsi="宋体" w:cs="宋体"/>
          <w:color w:val="auto"/>
          <w:kern w:val="0"/>
          <w:highlight w:val="none"/>
        </w:rPr>
        <w:t>地址：                                    地址：</w:t>
      </w:r>
    </w:p>
    <w:p w14:paraId="39583E2D">
      <w:pPr>
        <w:keepNext w:val="0"/>
        <w:keepLines w:val="0"/>
        <w:pageBreakBefore w:val="0"/>
        <w:widowControl/>
        <w:kinsoku/>
        <w:wordWrap w:val="0"/>
        <w:overflowPunct/>
        <w:topLinePunct/>
        <w:autoSpaceDE/>
        <w:autoSpaceDN/>
        <w:bidi w:val="0"/>
        <w:adjustRightInd/>
        <w:snapToGrid w:val="0"/>
        <w:spacing w:line="360" w:lineRule="auto"/>
        <w:ind w:firstLine="420" w:firstLineChars="200"/>
        <w:textAlignment w:val="auto"/>
        <w:rPr>
          <w:rFonts w:ascii="宋体" w:hAnsi="宋体" w:cs="宋体"/>
          <w:color w:val="auto"/>
          <w:kern w:val="0"/>
          <w:highlight w:val="none"/>
        </w:rPr>
      </w:pPr>
    </w:p>
    <w:p w14:paraId="1BF94E07">
      <w:pPr>
        <w:keepNext w:val="0"/>
        <w:keepLines w:val="0"/>
        <w:pageBreakBefore w:val="0"/>
        <w:widowControl/>
        <w:kinsoku/>
        <w:wordWrap w:val="0"/>
        <w:overflowPunct/>
        <w:topLinePunct/>
        <w:autoSpaceDE/>
        <w:autoSpaceDN/>
        <w:bidi w:val="0"/>
        <w:adjustRightInd/>
        <w:snapToGrid w:val="0"/>
        <w:spacing w:line="360" w:lineRule="auto"/>
        <w:ind w:firstLine="420" w:firstLineChars="200"/>
        <w:textAlignment w:val="auto"/>
        <w:rPr>
          <w:rFonts w:ascii="宋体" w:hAnsi="宋体" w:cs="宋体"/>
          <w:color w:val="auto"/>
          <w:kern w:val="0"/>
          <w:highlight w:val="none"/>
        </w:rPr>
      </w:pPr>
      <w:r>
        <w:rPr>
          <w:rFonts w:hint="eastAsia" w:ascii="宋体" w:hAnsi="宋体" w:cs="宋体"/>
          <w:color w:val="auto"/>
          <w:kern w:val="0"/>
          <w:highlight w:val="none"/>
        </w:rPr>
        <w:t>电话：                                    电话：</w:t>
      </w:r>
    </w:p>
    <w:p w14:paraId="5DA01000">
      <w:pPr>
        <w:keepNext w:val="0"/>
        <w:keepLines w:val="0"/>
        <w:pageBreakBefore w:val="0"/>
        <w:widowControl/>
        <w:kinsoku/>
        <w:wordWrap w:val="0"/>
        <w:overflowPunct/>
        <w:topLinePunct/>
        <w:autoSpaceDE/>
        <w:autoSpaceDN/>
        <w:bidi w:val="0"/>
        <w:adjustRightInd/>
        <w:snapToGrid w:val="0"/>
        <w:spacing w:line="360" w:lineRule="auto"/>
        <w:ind w:firstLine="420" w:firstLineChars="200"/>
        <w:textAlignment w:val="auto"/>
        <w:rPr>
          <w:rFonts w:ascii="宋体" w:hAnsi="宋体" w:cs="宋体"/>
          <w:color w:val="auto"/>
          <w:kern w:val="0"/>
          <w:highlight w:val="none"/>
        </w:rPr>
      </w:pPr>
    </w:p>
    <w:p w14:paraId="189BF18B">
      <w:pPr>
        <w:keepNext w:val="0"/>
        <w:keepLines w:val="0"/>
        <w:pageBreakBefore w:val="0"/>
        <w:widowControl/>
        <w:kinsoku/>
        <w:wordWrap w:val="0"/>
        <w:overflowPunct/>
        <w:topLinePunct/>
        <w:autoSpaceDE/>
        <w:autoSpaceDN/>
        <w:bidi w:val="0"/>
        <w:adjustRightInd/>
        <w:snapToGrid w:val="0"/>
        <w:spacing w:line="360" w:lineRule="auto"/>
        <w:ind w:firstLine="420" w:firstLineChars="200"/>
        <w:textAlignment w:val="auto"/>
        <w:rPr>
          <w:rFonts w:ascii="宋体" w:hAnsi="宋体" w:cs="宋体"/>
          <w:color w:val="auto"/>
          <w:kern w:val="0"/>
          <w:highlight w:val="none"/>
        </w:rPr>
      </w:pPr>
      <w:r>
        <w:rPr>
          <w:rFonts w:hint="eastAsia" w:ascii="宋体" w:hAnsi="宋体" w:cs="宋体"/>
          <w:color w:val="auto"/>
          <w:kern w:val="0"/>
          <w:highlight w:val="none"/>
        </w:rPr>
        <w:t xml:space="preserve">签约日期：        年       月       日 </w:t>
      </w:r>
    </w:p>
    <w:p w14:paraId="23494025">
      <w:pPr>
        <w:keepNext w:val="0"/>
        <w:keepLines w:val="0"/>
        <w:pageBreakBefore w:val="0"/>
        <w:widowControl/>
        <w:kinsoku/>
        <w:wordWrap w:val="0"/>
        <w:overflowPunct/>
        <w:topLinePunct/>
        <w:autoSpaceDE/>
        <w:autoSpaceDN/>
        <w:bidi w:val="0"/>
        <w:adjustRightInd/>
        <w:snapToGrid w:val="0"/>
        <w:spacing w:line="360" w:lineRule="auto"/>
        <w:ind w:firstLine="420" w:firstLineChars="200"/>
        <w:textAlignment w:val="auto"/>
        <w:rPr>
          <w:rFonts w:ascii="宋体" w:hAnsi="宋体" w:cs="宋体"/>
          <w:color w:val="auto"/>
          <w:kern w:val="0"/>
          <w:highlight w:val="none"/>
        </w:rPr>
      </w:pPr>
    </w:p>
    <w:p w14:paraId="2F44F4C9">
      <w:pPr>
        <w:keepNext w:val="0"/>
        <w:keepLines w:val="0"/>
        <w:pageBreakBefore w:val="0"/>
        <w:widowControl/>
        <w:kinsoku/>
        <w:wordWrap w:val="0"/>
        <w:overflowPunct/>
        <w:topLinePunct/>
        <w:autoSpaceDE/>
        <w:autoSpaceDN/>
        <w:bidi w:val="0"/>
        <w:adjustRightInd/>
        <w:snapToGrid w:val="0"/>
        <w:spacing w:line="360" w:lineRule="auto"/>
        <w:ind w:firstLine="420" w:firstLineChars="200"/>
        <w:textAlignment w:val="auto"/>
        <w:rPr>
          <w:rFonts w:ascii="宋体" w:hAnsi="宋体" w:cs="宋体"/>
          <w:color w:val="auto"/>
          <w:kern w:val="0"/>
          <w:highlight w:val="none"/>
        </w:rPr>
      </w:pPr>
    </w:p>
    <w:p w14:paraId="09B560CE">
      <w:pPr>
        <w:keepNext w:val="0"/>
        <w:keepLines w:val="0"/>
        <w:pageBreakBefore w:val="0"/>
        <w:tabs>
          <w:tab w:val="left" w:pos="540"/>
        </w:tabs>
        <w:kinsoku/>
        <w:wordWrap w:val="0"/>
        <w:overflowPunct/>
        <w:autoSpaceDE/>
        <w:autoSpaceDN/>
        <w:bidi w:val="0"/>
        <w:adjustRightInd/>
        <w:spacing w:line="360" w:lineRule="auto"/>
        <w:textAlignment w:val="auto"/>
        <w:rPr>
          <w:rFonts w:ascii="仿宋" w:hAnsi="仿宋" w:eastAsia="仿宋" w:cs="仿宋"/>
          <w:bCs/>
          <w:color w:val="auto"/>
          <w:sz w:val="22"/>
          <w:szCs w:val="22"/>
          <w:highlight w:val="none"/>
        </w:rPr>
      </w:pPr>
    </w:p>
    <w:p w14:paraId="69A9C1E8">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highlight w:val="none"/>
          <w:lang w:val="en-US" w:eastAsia="zh-CN"/>
        </w:rPr>
        <w:t>注：本合同的附件是合同不可分割的组成部分，与本合同具有同等法律效力，各方对附件内容认可无异议。</w:t>
      </w:r>
      <w:r>
        <w:rPr>
          <w:rFonts w:hint="eastAsia" w:ascii="宋体" w:hAnsi="宋体" w:eastAsia="宋体"/>
          <w:b w:val="0"/>
          <w:color w:val="auto"/>
          <w:sz w:val="32"/>
          <w:highlight w:val="none"/>
          <w:lang w:val="en-US"/>
        </w:rPr>
        <w:br w:type="page"/>
      </w:r>
    </w:p>
    <w:p w14:paraId="4DCAF941">
      <w:pPr>
        <w:pStyle w:val="14"/>
        <w:shd w:val="clear" w:color="auto" w:fill="auto"/>
        <w:kinsoku/>
        <w:wordWrap w:val="0"/>
        <w:overflowPunct/>
        <w:bidi w:val="0"/>
        <w:adjustRightInd w:val="0"/>
        <w:snapToGrid w:val="0"/>
        <w:spacing w:line="360" w:lineRule="auto"/>
        <w:jc w:val="center"/>
        <w:outlineLvl w:val="0"/>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第六部分 附件—投标文件格式</w:t>
      </w:r>
      <w:bookmarkEnd w:id="40"/>
    </w:p>
    <w:p w14:paraId="244EDF05">
      <w:pPr>
        <w:pStyle w:val="14"/>
        <w:shd w:val="clear" w:color="auto" w:fill="auto"/>
        <w:kinsoku/>
        <w:wordWrap w:val="0"/>
        <w:overflowPunct/>
        <w:bidi w:val="0"/>
        <w:adjustRightInd w:val="0"/>
        <w:snapToGrid w:val="0"/>
        <w:spacing w:line="360" w:lineRule="auto"/>
        <w:rPr>
          <w:rFonts w:hint="eastAsia" w:ascii="宋体" w:hAnsi="宋体" w:eastAsia="宋体" w:cs="宋体"/>
          <w:color w:val="auto"/>
          <w:sz w:val="30"/>
          <w:highlight w:val="none"/>
        </w:rPr>
      </w:pPr>
    </w:p>
    <w:p w14:paraId="574E8FB6">
      <w:pPr>
        <w:shd w:val="clear" w:color="auto" w:fill="auto"/>
        <w:kinsoku/>
        <w:wordWrap w:val="0"/>
        <w:overflowPunct/>
        <w:bidi w:val="0"/>
        <w:snapToGrid w:val="0"/>
        <w:spacing w:line="360" w:lineRule="auto"/>
        <w:jc w:val="center"/>
        <w:rPr>
          <w:rFonts w:hint="eastAsia" w:ascii="宋体" w:hAnsi="宋体" w:eastAsia="宋体" w:cs="宋体"/>
          <w:color w:val="auto"/>
          <w:sz w:val="36"/>
          <w:highlight w:val="none"/>
        </w:rPr>
      </w:pPr>
      <w:r>
        <w:rPr>
          <w:rFonts w:hint="eastAsia" w:ascii="宋体" w:hAnsi="宋体" w:eastAsia="宋体" w:cs="宋体"/>
          <w:color w:val="auto"/>
          <w:sz w:val="36"/>
          <w:highlight w:val="none"/>
        </w:rPr>
        <w:t>（未提供格式的由供应商自拟）</w:t>
      </w:r>
    </w:p>
    <w:p w14:paraId="7638A2B1">
      <w:pPr>
        <w:shd w:val="clear" w:color="auto" w:fill="auto"/>
        <w:kinsoku/>
        <w:wordWrap w:val="0"/>
        <w:overflowPunct/>
        <w:bidi w:val="0"/>
        <w:spacing w:line="360" w:lineRule="auto"/>
        <w:ind w:firstLine="424" w:firstLineChars="151"/>
        <w:rPr>
          <w:rFonts w:hint="eastAsia" w:ascii="宋体" w:hAnsi="宋体" w:eastAsia="宋体" w:cs="宋体"/>
          <w:b/>
          <w:color w:val="auto"/>
          <w:sz w:val="28"/>
          <w:szCs w:val="22"/>
          <w:highlight w:val="none"/>
        </w:rPr>
      </w:pPr>
    </w:p>
    <w:p w14:paraId="70BD77BF">
      <w:pPr>
        <w:shd w:val="clear" w:color="auto" w:fill="auto"/>
        <w:kinsoku/>
        <w:wordWrap w:val="0"/>
        <w:overflowPunct/>
        <w:bidi w:val="0"/>
        <w:spacing w:line="360" w:lineRule="auto"/>
        <w:ind w:firstLine="424" w:firstLineChars="151"/>
        <w:rPr>
          <w:rFonts w:hint="eastAsia" w:ascii="宋体" w:hAnsi="宋体" w:eastAsia="宋体" w:cs="宋体"/>
          <w:b/>
          <w:color w:val="auto"/>
          <w:sz w:val="28"/>
          <w:szCs w:val="22"/>
          <w:highlight w:val="none"/>
        </w:rPr>
      </w:pPr>
    </w:p>
    <w:p w14:paraId="04DACCF2">
      <w:pPr>
        <w:shd w:val="clear" w:color="auto" w:fill="auto"/>
        <w:kinsoku/>
        <w:wordWrap w:val="0"/>
        <w:overflowPunct/>
        <w:bidi w:val="0"/>
        <w:spacing w:line="360" w:lineRule="auto"/>
        <w:ind w:firstLine="424" w:firstLineChars="151"/>
        <w:rPr>
          <w:rFonts w:hint="eastAsia" w:ascii="宋体" w:hAnsi="宋体" w:eastAsia="宋体" w:cs="宋体"/>
          <w:b/>
          <w:color w:val="auto"/>
          <w:sz w:val="28"/>
          <w:szCs w:val="22"/>
          <w:highlight w:val="none"/>
          <w:u w:val="single"/>
          <w:lang w:eastAsia="zh-CN"/>
        </w:rPr>
      </w:pPr>
      <w:r>
        <w:rPr>
          <w:rFonts w:hint="eastAsia" w:ascii="宋体" w:hAnsi="宋体" w:eastAsia="宋体" w:cs="宋体"/>
          <w:b/>
          <w:color w:val="auto"/>
          <w:sz w:val="28"/>
          <w:szCs w:val="22"/>
          <w:highlight w:val="none"/>
        </w:rPr>
        <w:t>重要提示</w:t>
      </w:r>
      <w:r>
        <w:rPr>
          <w:rFonts w:hint="eastAsia" w:ascii="宋体" w:hAnsi="宋体" w:eastAsia="宋体" w:cs="宋体"/>
          <w:b/>
          <w:color w:val="auto"/>
          <w:sz w:val="28"/>
          <w:szCs w:val="22"/>
          <w:highlight w:val="none"/>
          <w:lang w:eastAsia="zh-CN"/>
        </w:rPr>
        <w:t>：</w:t>
      </w:r>
    </w:p>
    <w:p w14:paraId="67B259A7">
      <w:pPr>
        <w:shd w:val="clear" w:color="auto" w:fill="auto"/>
        <w:kinsoku/>
        <w:wordWrap w:val="0"/>
        <w:overflowPunct/>
        <w:bidi w:val="0"/>
        <w:spacing w:line="360" w:lineRule="auto"/>
        <w:ind w:firstLine="424" w:firstLineChars="151"/>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（1）</w:t>
      </w:r>
      <w:r>
        <w:rPr>
          <w:rFonts w:hint="eastAsia" w:ascii="宋体" w:hAnsi="宋体" w:eastAsia="宋体" w:cs="宋体"/>
          <w:b/>
          <w:color w:val="auto"/>
          <w:sz w:val="28"/>
          <w:szCs w:val="28"/>
          <w:highlight w:val="none"/>
          <w:u w:val="single"/>
        </w:rPr>
        <w:t>本章节中有提供格式的，供应商可参照本章节提供的格式进行编制（格式中要求提供相关证明材料的还需后附相关证明材料）。并按格式要求在指定位置根据要求进行电子签章，否则视为未提供；</w:t>
      </w:r>
    </w:p>
    <w:p w14:paraId="7FA9E9B4">
      <w:pPr>
        <w:shd w:val="clear" w:color="auto" w:fill="auto"/>
        <w:kinsoku/>
        <w:wordWrap w:val="0"/>
        <w:overflowPunct/>
        <w:bidi w:val="0"/>
        <w:spacing w:line="360" w:lineRule="auto"/>
        <w:ind w:firstLine="424" w:firstLineChars="151"/>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（2）</w:t>
      </w:r>
      <w:r>
        <w:rPr>
          <w:rFonts w:hint="eastAsia" w:ascii="宋体" w:hAnsi="宋体" w:eastAsia="宋体" w:cs="宋体"/>
          <w:b/>
          <w:color w:val="auto"/>
          <w:sz w:val="28"/>
          <w:szCs w:val="28"/>
          <w:highlight w:val="none"/>
          <w:u w:val="single"/>
        </w:rPr>
        <w:t>本章节未提供格式的，请各投标单位自行拟定格式，并加盖单位公章并由法定代表人或其授权代表签署（签字或签章），否则视为未提供；</w:t>
      </w:r>
    </w:p>
    <w:p w14:paraId="2CA12BCD">
      <w:pPr>
        <w:pStyle w:val="3"/>
        <w:shd w:val="clear" w:color="auto" w:fill="auto"/>
        <w:kinsoku/>
        <w:wordWrap w:val="0"/>
        <w:overflowPunct/>
        <w:bidi w:val="0"/>
        <w:spacing w:before="0" w:after="0" w:line="360" w:lineRule="auto"/>
        <w:rPr>
          <w:rFonts w:hint="eastAsia" w:ascii="宋体" w:hAnsi="宋体" w:eastAsia="宋体" w:cs="宋体"/>
          <w:color w:val="auto"/>
          <w:highlight w:val="none"/>
        </w:rPr>
      </w:pPr>
      <w:bookmarkStart w:id="91" w:name="_Toc24550049"/>
      <w:bookmarkStart w:id="92" w:name="_Toc30408914"/>
    </w:p>
    <w:p w14:paraId="4C3C7222">
      <w:pPr>
        <w:pStyle w:val="3"/>
        <w:shd w:val="clear" w:color="auto" w:fill="auto"/>
        <w:kinsoku/>
        <w:wordWrap w:val="0"/>
        <w:overflowPunct/>
        <w:bidi w:val="0"/>
        <w:spacing w:before="0" w:after="0" w:line="360" w:lineRule="auto"/>
        <w:rPr>
          <w:rFonts w:hint="eastAsia" w:ascii="宋体" w:hAnsi="宋体" w:eastAsia="宋体" w:cs="宋体"/>
          <w:color w:val="auto"/>
          <w:highlight w:val="none"/>
        </w:rPr>
      </w:pPr>
    </w:p>
    <w:p w14:paraId="038338B6">
      <w:pPr>
        <w:pStyle w:val="3"/>
        <w:shd w:val="clear" w:color="auto" w:fill="auto"/>
        <w:kinsoku/>
        <w:wordWrap w:val="0"/>
        <w:overflowPunct/>
        <w:bidi w:val="0"/>
        <w:spacing w:before="0" w:after="0" w:line="360" w:lineRule="auto"/>
        <w:rPr>
          <w:rFonts w:hint="eastAsia" w:ascii="宋体" w:hAnsi="宋体" w:eastAsia="宋体" w:cs="宋体"/>
          <w:color w:val="auto"/>
          <w:highlight w:val="none"/>
        </w:rPr>
      </w:pPr>
    </w:p>
    <w:p w14:paraId="41E44163">
      <w:pPr>
        <w:pStyle w:val="3"/>
        <w:shd w:val="clear" w:color="auto" w:fill="auto"/>
        <w:kinsoku/>
        <w:wordWrap w:val="0"/>
        <w:overflowPunct/>
        <w:bidi w:val="0"/>
        <w:spacing w:before="0" w:after="0" w:line="360" w:lineRule="auto"/>
        <w:rPr>
          <w:rFonts w:hint="eastAsia" w:ascii="宋体" w:hAnsi="宋体" w:eastAsia="宋体" w:cs="宋体"/>
          <w:color w:val="auto"/>
          <w:highlight w:val="none"/>
        </w:rPr>
      </w:pPr>
    </w:p>
    <w:p w14:paraId="6D587AE5">
      <w:pPr>
        <w:pStyle w:val="3"/>
        <w:shd w:val="clear" w:color="auto" w:fill="auto"/>
        <w:kinsoku/>
        <w:wordWrap w:val="0"/>
        <w:overflowPunct/>
        <w:bidi w:val="0"/>
        <w:spacing w:before="0" w:after="0" w:line="360" w:lineRule="auto"/>
        <w:rPr>
          <w:rFonts w:hint="eastAsia" w:ascii="宋体" w:hAnsi="宋体" w:eastAsia="宋体" w:cs="宋体"/>
          <w:color w:val="auto"/>
          <w:highlight w:val="none"/>
        </w:rPr>
      </w:pPr>
    </w:p>
    <w:p w14:paraId="4917082A">
      <w:pPr>
        <w:shd w:val="clear" w:color="auto" w:fill="auto"/>
        <w:kinsoku/>
        <w:wordWrap w:val="0"/>
        <w:overflowPunct/>
        <w:bidi w:val="0"/>
        <w:spacing w:line="360" w:lineRule="auto"/>
        <w:rPr>
          <w:rFonts w:hint="eastAsia" w:ascii="宋体" w:hAnsi="宋体" w:eastAsia="宋体" w:cs="宋体"/>
          <w:color w:val="auto"/>
          <w:highlight w:val="none"/>
        </w:rPr>
      </w:pPr>
    </w:p>
    <w:p w14:paraId="0391127F">
      <w:pPr>
        <w:pStyle w:val="46"/>
        <w:shd w:val="clear" w:color="auto" w:fill="auto"/>
        <w:kinsoku/>
        <w:wordWrap w:val="0"/>
        <w:overflowPunct/>
        <w:bidi w:val="0"/>
        <w:spacing w:line="360" w:lineRule="auto"/>
        <w:rPr>
          <w:rFonts w:hint="eastAsia" w:ascii="宋体" w:hAnsi="宋体" w:eastAsia="宋体" w:cs="宋体"/>
          <w:color w:val="auto"/>
          <w:highlight w:val="none"/>
        </w:rPr>
      </w:pPr>
    </w:p>
    <w:p w14:paraId="45BE5206">
      <w:pPr>
        <w:pStyle w:val="9"/>
        <w:shd w:val="clear" w:color="auto" w:fill="auto"/>
        <w:kinsoku/>
        <w:wordWrap w:val="0"/>
        <w:overflowPunct/>
        <w:bidi w:val="0"/>
        <w:spacing w:line="360" w:lineRule="auto"/>
        <w:rPr>
          <w:rFonts w:hint="eastAsia" w:ascii="宋体" w:hAnsi="宋体" w:eastAsia="宋体" w:cs="宋体"/>
          <w:color w:val="auto"/>
          <w:highlight w:val="none"/>
        </w:rPr>
      </w:pPr>
    </w:p>
    <w:p w14:paraId="1B417DD8">
      <w:pPr>
        <w:pStyle w:val="3"/>
        <w:shd w:val="clear" w:color="auto" w:fill="auto"/>
        <w:kinsoku/>
        <w:wordWrap w:val="0"/>
        <w:overflowPunct/>
        <w:bidi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93" w:name="_Toc6691"/>
      <w:bookmarkStart w:id="94" w:name="_Toc26323"/>
      <w:bookmarkStart w:id="95" w:name="_Toc27639"/>
      <w:r>
        <w:rPr>
          <w:rFonts w:hint="eastAsia" w:ascii="宋体" w:hAnsi="宋体" w:eastAsia="宋体" w:cs="宋体"/>
          <w:color w:val="auto"/>
          <w:highlight w:val="none"/>
        </w:rPr>
        <w:t>一、“资格文件”格式</w:t>
      </w:r>
      <w:bookmarkEnd w:id="91"/>
      <w:bookmarkEnd w:id="92"/>
      <w:bookmarkEnd w:id="93"/>
      <w:bookmarkEnd w:id="94"/>
      <w:bookmarkEnd w:id="95"/>
    </w:p>
    <w:p w14:paraId="2D9FDA71">
      <w:pPr>
        <w:pStyle w:val="4"/>
        <w:shd w:val="clear" w:color="auto" w:fill="auto"/>
        <w:kinsoku/>
        <w:wordWrap w:val="0"/>
        <w:overflowPunct/>
        <w:bidi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1.1 “资格文件”封面</w:t>
      </w:r>
    </w:p>
    <w:p w14:paraId="01E68F43">
      <w:pPr>
        <w:shd w:val="clear" w:color="auto" w:fill="auto"/>
        <w:kinsoku/>
        <w:wordWrap w:val="0"/>
        <w:overflowPunct/>
        <w:bidi w:val="0"/>
        <w:spacing w:line="360" w:lineRule="auto"/>
        <w:jc w:val="right"/>
        <w:rPr>
          <w:rFonts w:hint="eastAsia" w:ascii="宋体" w:hAnsi="宋体" w:eastAsia="宋体" w:cs="宋体"/>
          <w:b/>
          <w:color w:val="auto"/>
          <w:sz w:val="32"/>
          <w:szCs w:val="22"/>
          <w:highlight w:val="none"/>
        </w:rPr>
      </w:pPr>
    </w:p>
    <w:p w14:paraId="4030A3A4">
      <w:pPr>
        <w:pStyle w:val="46"/>
        <w:shd w:val="clear" w:color="auto" w:fill="auto"/>
        <w:kinsoku/>
        <w:wordWrap w:val="0"/>
        <w:overflowPunct/>
        <w:bidi w:val="0"/>
        <w:spacing w:line="360" w:lineRule="auto"/>
        <w:jc w:val="center"/>
        <w:rPr>
          <w:rFonts w:hint="eastAsia" w:ascii="宋体" w:hAnsi="宋体" w:eastAsia="宋体" w:cs="宋体"/>
          <w:color w:val="auto"/>
          <w:sz w:val="48"/>
          <w:szCs w:val="48"/>
          <w:highlight w:val="none"/>
          <w:lang w:eastAsia="zh-CN"/>
        </w:rPr>
      </w:pPr>
      <w:r>
        <w:rPr>
          <w:rFonts w:hint="eastAsia" w:ascii="宋体" w:hAnsi="宋体" w:cs="宋体"/>
          <w:color w:val="auto"/>
          <w:sz w:val="48"/>
          <w:szCs w:val="48"/>
          <w:highlight w:val="none"/>
          <w:lang w:eastAsia="zh-CN"/>
        </w:rPr>
        <w:t>平阳县万全镇中心区B12地块项目代建（含初步设计及品牌冠名）服务采购</w:t>
      </w:r>
    </w:p>
    <w:p w14:paraId="14934050">
      <w:pPr>
        <w:shd w:val="clear" w:color="auto" w:fill="auto"/>
        <w:kinsoku/>
        <w:wordWrap w:val="0"/>
        <w:overflowPunct/>
        <w:bidi w:val="0"/>
        <w:spacing w:line="360" w:lineRule="auto"/>
        <w:jc w:val="center"/>
        <w:rPr>
          <w:rFonts w:hint="eastAsia" w:ascii="宋体" w:hAnsi="宋体" w:eastAsia="宋体" w:cs="宋体"/>
          <w:b/>
          <w:color w:val="auto"/>
          <w:sz w:val="52"/>
          <w:szCs w:val="22"/>
          <w:highlight w:val="none"/>
        </w:rPr>
      </w:pPr>
    </w:p>
    <w:p w14:paraId="148189A1">
      <w:pPr>
        <w:shd w:val="clear" w:color="auto" w:fill="auto"/>
        <w:kinsoku/>
        <w:wordWrap w:val="0"/>
        <w:overflowPunct/>
        <w:bidi w:val="0"/>
        <w:spacing w:line="360" w:lineRule="auto"/>
        <w:jc w:val="center"/>
        <w:rPr>
          <w:rFonts w:hint="eastAsia" w:ascii="宋体" w:hAnsi="宋体" w:eastAsia="宋体" w:cs="宋体"/>
          <w:color w:val="auto"/>
          <w:sz w:val="96"/>
          <w:szCs w:val="22"/>
          <w:highlight w:val="none"/>
        </w:rPr>
      </w:pPr>
      <w:r>
        <w:rPr>
          <w:rFonts w:hint="eastAsia" w:ascii="宋体" w:hAnsi="宋体" w:eastAsia="宋体" w:cs="宋体"/>
          <w:color w:val="auto"/>
          <w:sz w:val="96"/>
          <w:szCs w:val="22"/>
          <w:highlight w:val="none"/>
        </w:rPr>
        <w:t>投 标 文 件</w:t>
      </w:r>
    </w:p>
    <w:p w14:paraId="25BB397A">
      <w:pPr>
        <w:shd w:val="clear" w:color="auto" w:fill="auto"/>
        <w:kinsoku/>
        <w:wordWrap w:val="0"/>
        <w:overflowPunct/>
        <w:bidi w:val="0"/>
        <w:spacing w:line="360" w:lineRule="auto"/>
        <w:jc w:val="center"/>
        <w:rPr>
          <w:rFonts w:hint="eastAsia" w:ascii="宋体" w:hAnsi="宋体" w:eastAsia="宋体" w:cs="宋体"/>
          <w:b/>
          <w:color w:val="auto"/>
          <w:sz w:val="52"/>
          <w:szCs w:val="22"/>
          <w:highlight w:val="none"/>
        </w:rPr>
      </w:pPr>
      <w:r>
        <w:rPr>
          <w:rFonts w:hint="eastAsia" w:ascii="宋体" w:hAnsi="宋体" w:eastAsia="宋体" w:cs="宋体"/>
          <w:b/>
          <w:color w:val="auto"/>
          <w:sz w:val="52"/>
          <w:szCs w:val="22"/>
          <w:highlight w:val="none"/>
        </w:rPr>
        <w:t>（资格文件）</w:t>
      </w:r>
    </w:p>
    <w:p w14:paraId="6D0936D1">
      <w:pPr>
        <w:shd w:val="clear" w:color="auto" w:fill="auto"/>
        <w:kinsoku/>
        <w:wordWrap w:val="0"/>
        <w:overflowPunct/>
        <w:bidi w:val="0"/>
        <w:spacing w:line="360" w:lineRule="auto"/>
        <w:jc w:val="center"/>
        <w:rPr>
          <w:rFonts w:hint="eastAsia" w:ascii="宋体" w:hAnsi="宋体" w:eastAsia="宋体" w:cs="宋体"/>
          <w:b/>
          <w:color w:val="auto"/>
          <w:sz w:val="52"/>
          <w:szCs w:val="22"/>
          <w:highlight w:val="none"/>
        </w:rPr>
      </w:pPr>
    </w:p>
    <w:tbl>
      <w:tblPr>
        <w:tblStyle w:val="26"/>
        <w:tblW w:w="0" w:type="auto"/>
        <w:tblInd w:w="250" w:type="dxa"/>
        <w:tblLayout w:type="fixed"/>
        <w:tblCellMar>
          <w:top w:w="0" w:type="dxa"/>
          <w:left w:w="108" w:type="dxa"/>
          <w:bottom w:w="0" w:type="dxa"/>
          <w:right w:w="108" w:type="dxa"/>
        </w:tblCellMar>
      </w:tblPr>
      <w:tblGrid>
        <w:gridCol w:w="8789"/>
      </w:tblGrid>
      <w:tr w14:paraId="0351B22F">
        <w:tblPrEx>
          <w:tblCellMar>
            <w:top w:w="0" w:type="dxa"/>
            <w:left w:w="108" w:type="dxa"/>
            <w:bottom w:w="0" w:type="dxa"/>
            <w:right w:w="108" w:type="dxa"/>
          </w:tblCellMar>
        </w:tblPrEx>
        <w:trPr>
          <w:trHeight w:val="680" w:hRule="atLeast"/>
        </w:trPr>
        <w:tc>
          <w:tcPr>
            <w:tcW w:w="8789" w:type="dxa"/>
            <w:noWrap w:val="0"/>
            <w:vAlign w:val="center"/>
          </w:tcPr>
          <w:p w14:paraId="311DC5EC">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sz w:val="28"/>
                <w:szCs w:val="28"/>
                <w:highlight w:val="none"/>
                <w:lang w:eastAsia="zh-CN"/>
              </w:rPr>
              <w:t>：</w:t>
            </w:r>
            <w:r>
              <w:rPr>
                <w:rFonts w:hint="eastAsia" w:ascii="宋体" w:hAnsi="宋体" w:cs="宋体"/>
                <w:b/>
                <w:color w:val="auto"/>
                <w:sz w:val="28"/>
                <w:szCs w:val="28"/>
                <w:highlight w:val="none"/>
                <w:lang w:eastAsia="zh-CN"/>
              </w:rPr>
              <w:t>PYCG250930104</w:t>
            </w:r>
            <w:r>
              <w:rPr>
                <w:rFonts w:hint="eastAsia" w:ascii="宋体" w:hAnsi="宋体" w:eastAsia="宋体" w:cs="宋体"/>
                <w:b/>
                <w:color w:val="auto"/>
                <w:sz w:val="28"/>
                <w:szCs w:val="28"/>
                <w:highlight w:val="none"/>
              </w:rPr>
              <w:t xml:space="preserve">   </w:t>
            </w:r>
          </w:p>
        </w:tc>
      </w:tr>
      <w:tr w14:paraId="09CC8C6B">
        <w:tblPrEx>
          <w:tblCellMar>
            <w:top w:w="0" w:type="dxa"/>
            <w:left w:w="108" w:type="dxa"/>
            <w:bottom w:w="0" w:type="dxa"/>
            <w:right w:w="108" w:type="dxa"/>
          </w:tblCellMar>
        </w:tblPrEx>
        <w:trPr>
          <w:trHeight w:val="680" w:hRule="atLeast"/>
        </w:trPr>
        <w:tc>
          <w:tcPr>
            <w:tcW w:w="8789" w:type="dxa"/>
            <w:noWrap w:val="0"/>
            <w:vAlign w:val="center"/>
          </w:tcPr>
          <w:p w14:paraId="2C0431FE">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供应商名称（盖章）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w:t>
            </w:r>
          </w:p>
        </w:tc>
      </w:tr>
      <w:tr w14:paraId="5D178E24">
        <w:tblPrEx>
          <w:tblCellMar>
            <w:top w:w="0" w:type="dxa"/>
            <w:left w:w="108" w:type="dxa"/>
            <w:bottom w:w="0" w:type="dxa"/>
            <w:right w:w="108" w:type="dxa"/>
          </w:tblCellMar>
        </w:tblPrEx>
        <w:trPr>
          <w:trHeight w:val="680" w:hRule="atLeast"/>
        </w:trPr>
        <w:tc>
          <w:tcPr>
            <w:tcW w:w="8789" w:type="dxa"/>
            <w:noWrap w:val="0"/>
            <w:vAlign w:val="center"/>
          </w:tcPr>
          <w:p w14:paraId="710570CD">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供应商地址</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w:t>
            </w:r>
          </w:p>
        </w:tc>
      </w:tr>
      <w:tr w14:paraId="5644F68E">
        <w:tblPrEx>
          <w:tblCellMar>
            <w:top w:w="0" w:type="dxa"/>
            <w:left w:w="108" w:type="dxa"/>
            <w:bottom w:w="0" w:type="dxa"/>
            <w:right w:w="108" w:type="dxa"/>
          </w:tblCellMar>
        </w:tblPrEx>
        <w:trPr>
          <w:trHeight w:val="680" w:hRule="atLeast"/>
        </w:trPr>
        <w:tc>
          <w:tcPr>
            <w:tcW w:w="8789" w:type="dxa"/>
            <w:noWrap w:val="0"/>
            <w:vAlign w:val="center"/>
          </w:tcPr>
          <w:p w14:paraId="0DE24C89">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法定代表人或其授权代表（签字或签章）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w:t>
            </w:r>
          </w:p>
        </w:tc>
      </w:tr>
      <w:tr w14:paraId="42A2F5FA">
        <w:tblPrEx>
          <w:tblCellMar>
            <w:top w:w="0" w:type="dxa"/>
            <w:left w:w="108" w:type="dxa"/>
            <w:bottom w:w="0" w:type="dxa"/>
            <w:right w:w="108" w:type="dxa"/>
          </w:tblCellMar>
        </w:tblPrEx>
        <w:trPr>
          <w:trHeight w:val="680" w:hRule="atLeast"/>
        </w:trPr>
        <w:tc>
          <w:tcPr>
            <w:tcW w:w="8789" w:type="dxa"/>
            <w:noWrap w:val="0"/>
            <w:vAlign w:val="center"/>
          </w:tcPr>
          <w:p w14:paraId="1E390AA0">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__________________________________________________________</w:t>
            </w:r>
          </w:p>
        </w:tc>
      </w:tr>
    </w:tbl>
    <w:p w14:paraId="06FD1C73">
      <w:pPr>
        <w:pStyle w:val="4"/>
        <w:shd w:val="clear" w:color="auto" w:fill="auto"/>
        <w:kinsoku/>
        <w:wordWrap w:val="0"/>
        <w:overflowPunct/>
        <w:bidi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1.2供应商资格审查声明函</w:t>
      </w:r>
    </w:p>
    <w:p w14:paraId="238E506E">
      <w:pPr>
        <w:shd w:val="clear" w:color="auto" w:fill="auto"/>
        <w:kinsoku/>
        <w:wordWrap w:val="0"/>
        <w:overflowPunct/>
        <w:bidi w:val="0"/>
        <w:spacing w:line="360" w:lineRule="auto"/>
        <w:jc w:val="center"/>
        <w:rPr>
          <w:rFonts w:hint="eastAsia" w:ascii="宋体" w:hAnsi="宋体" w:eastAsia="宋体" w:cs="宋体"/>
          <w:b/>
          <w:color w:val="auto"/>
          <w:sz w:val="44"/>
          <w:szCs w:val="44"/>
          <w:highlight w:val="none"/>
        </w:rPr>
      </w:pPr>
    </w:p>
    <w:p w14:paraId="3410C992">
      <w:pPr>
        <w:shd w:val="clear" w:color="auto" w:fill="auto"/>
        <w:kinsoku/>
        <w:wordWrap w:val="0"/>
        <w:overflowPunct/>
        <w:bidi w:val="0"/>
        <w:spacing w:line="360" w:lineRule="auto"/>
        <w:jc w:val="center"/>
        <w:rPr>
          <w:rFonts w:hint="eastAsia" w:ascii="宋体" w:hAnsi="宋体" w:eastAsia="宋体" w:cs="宋体"/>
          <w:color w:val="auto"/>
          <w:highlight w:val="none"/>
        </w:rPr>
      </w:pPr>
      <w:r>
        <w:rPr>
          <w:rFonts w:hint="eastAsia" w:ascii="宋体" w:hAnsi="宋体" w:eastAsia="宋体" w:cs="宋体"/>
          <w:b/>
          <w:color w:val="auto"/>
          <w:sz w:val="44"/>
          <w:szCs w:val="44"/>
          <w:highlight w:val="none"/>
        </w:rPr>
        <w:t>供应商资格审查声明函</w:t>
      </w:r>
    </w:p>
    <w:p w14:paraId="40BC0EF8">
      <w:pPr>
        <w:shd w:val="clear" w:color="auto" w:fill="auto"/>
        <w:kinsoku/>
        <w:wordWrap w:val="0"/>
        <w:overflowPunct/>
        <w:bidi w:val="0"/>
        <w:spacing w:line="360" w:lineRule="auto"/>
        <w:rPr>
          <w:rFonts w:hint="eastAsia" w:ascii="宋体" w:hAnsi="宋体" w:eastAsia="宋体" w:cs="宋体"/>
          <w:color w:val="auto"/>
          <w:highlight w:val="none"/>
        </w:rPr>
      </w:pPr>
    </w:p>
    <w:p w14:paraId="4571C4F0">
      <w:pPr>
        <w:shd w:val="clear" w:color="auto" w:fill="auto"/>
        <w:kinsoku/>
        <w:wordWrap w:val="0"/>
        <w:overflowPunct/>
        <w:bidi w:val="0"/>
        <w:spacing w:line="360" w:lineRule="auto"/>
        <w:rPr>
          <w:rFonts w:hint="eastAsia" w:ascii="宋体" w:hAnsi="宋体" w:eastAsia="宋体" w:cs="宋体"/>
          <w:b/>
          <w:color w:val="auto"/>
          <w:w w:val="90"/>
          <w:sz w:val="22"/>
          <w:szCs w:val="22"/>
          <w:highlight w:val="none"/>
          <w:u w:val="single"/>
        </w:rPr>
      </w:pPr>
    </w:p>
    <w:p w14:paraId="4B577DED">
      <w:pPr>
        <w:shd w:val="clear" w:color="auto" w:fill="auto"/>
        <w:kinsoku/>
        <w:wordWrap w:val="0"/>
        <w:overflowPunct/>
        <w:bidi w:val="0"/>
        <w:spacing w:line="360" w:lineRule="auto"/>
        <w:rPr>
          <w:rFonts w:hint="eastAsia" w:ascii="宋体" w:hAnsi="宋体" w:eastAsia="宋体" w:cs="宋体"/>
          <w:b/>
          <w:color w:val="auto"/>
          <w:sz w:val="22"/>
          <w:szCs w:val="22"/>
          <w:highlight w:val="none"/>
          <w:u w:val="single"/>
          <w:lang w:eastAsia="zh-CN"/>
        </w:rPr>
      </w:pPr>
      <w:r>
        <w:rPr>
          <w:rFonts w:hint="eastAsia" w:ascii="宋体" w:hAnsi="宋体" w:cs="宋体"/>
          <w:b/>
          <w:color w:val="auto"/>
          <w:w w:val="90"/>
          <w:sz w:val="22"/>
          <w:szCs w:val="22"/>
          <w:highlight w:val="none"/>
          <w:u w:val="single"/>
          <w:lang w:val="en-US" w:eastAsia="zh-CN"/>
        </w:rPr>
        <w:t>平阳县兴致房地产开发有限公司</w:t>
      </w:r>
      <w:r>
        <w:rPr>
          <w:rFonts w:hint="eastAsia" w:ascii="宋体" w:hAnsi="宋体" w:eastAsia="宋体" w:cs="宋体"/>
          <w:b/>
          <w:color w:val="auto"/>
          <w:w w:val="90"/>
          <w:sz w:val="22"/>
          <w:szCs w:val="22"/>
          <w:highlight w:val="none"/>
          <w:u w:val="single"/>
          <w:lang w:eastAsia="zh-CN"/>
        </w:rPr>
        <w:t>：</w:t>
      </w:r>
    </w:p>
    <w:p w14:paraId="42709EC3">
      <w:pPr>
        <w:shd w:val="clear" w:color="auto" w:fill="auto"/>
        <w:kinsoku/>
        <w:wordWrap w:val="0"/>
        <w:overflowPunct/>
        <w:bidi w:val="0"/>
        <w:spacing w:line="360" w:lineRule="auto"/>
        <w:rPr>
          <w:rFonts w:hint="eastAsia" w:ascii="宋体" w:hAnsi="宋体" w:eastAsia="宋体" w:cs="宋体"/>
          <w:color w:val="auto"/>
          <w:sz w:val="22"/>
          <w:szCs w:val="22"/>
          <w:highlight w:val="none"/>
        </w:rPr>
      </w:pPr>
    </w:p>
    <w:p w14:paraId="03C62353">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我公司郑重声明，我公司参加</w:t>
      </w:r>
      <w:r>
        <w:rPr>
          <w:rFonts w:hint="eastAsia" w:ascii="宋体" w:hAnsi="宋体" w:cs="宋体"/>
          <w:color w:val="auto"/>
          <w:highlight w:val="none"/>
          <w:u w:val="single"/>
          <w:lang w:eastAsia="zh-CN"/>
        </w:rPr>
        <w:t>平阳县万全镇中心区B12地块项目代建（含初步设计及品牌冠名）服务采购</w:t>
      </w:r>
      <w:r>
        <w:rPr>
          <w:rFonts w:hint="eastAsia" w:ascii="宋体" w:hAnsi="宋体" w:eastAsia="宋体" w:cs="宋体"/>
          <w:b/>
          <w:color w:val="auto"/>
          <w:sz w:val="22"/>
          <w:szCs w:val="22"/>
          <w:highlight w:val="none"/>
          <w:u w:val="single"/>
        </w:rPr>
        <w:t>（项目编号</w:t>
      </w:r>
      <w:r>
        <w:rPr>
          <w:rFonts w:hint="eastAsia" w:ascii="宋体" w:hAnsi="宋体" w:eastAsia="宋体" w:cs="宋体"/>
          <w:b/>
          <w:color w:val="auto"/>
          <w:sz w:val="22"/>
          <w:szCs w:val="22"/>
          <w:highlight w:val="none"/>
          <w:u w:val="single"/>
          <w:lang w:eastAsia="zh-CN"/>
        </w:rPr>
        <w:t>：</w:t>
      </w:r>
      <w:r>
        <w:rPr>
          <w:rFonts w:hint="eastAsia" w:ascii="宋体" w:hAnsi="宋体" w:cs="宋体"/>
          <w:b/>
          <w:color w:val="auto"/>
          <w:sz w:val="22"/>
          <w:szCs w:val="22"/>
          <w:highlight w:val="none"/>
          <w:u w:val="single"/>
          <w:lang w:eastAsia="zh-CN"/>
        </w:rPr>
        <w:t>PYCG250930104</w:t>
      </w:r>
      <w:r>
        <w:rPr>
          <w:rFonts w:hint="eastAsia" w:ascii="宋体" w:hAnsi="宋体" w:eastAsia="宋体" w:cs="宋体"/>
          <w:b/>
          <w:color w:val="auto"/>
          <w:sz w:val="22"/>
          <w:szCs w:val="22"/>
          <w:highlight w:val="none"/>
          <w:u w:val="single"/>
        </w:rPr>
        <w:t>）</w:t>
      </w:r>
      <w:r>
        <w:rPr>
          <w:rFonts w:hint="eastAsia" w:ascii="宋体" w:hAnsi="宋体" w:eastAsia="宋体" w:cs="宋体"/>
          <w:color w:val="auto"/>
          <w:sz w:val="22"/>
          <w:szCs w:val="22"/>
          <w:highlight w:val="none"/>
        </w:rPr>
        <w:t>的国企采购活动中所提交的《资格文件》所有内容真实、有效，不存在提供虚假材料的行为。如有违反，愿承担一切责任。</w:t>
      </w:r>
    </w:p>
    <w:p w14:paraId="01BFDDF5">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p>
    <w:p w14:paraId="5D0ECF28">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特此声明！</w:t>
      </w:r>
    </w:p>
    <w:p w14:paraId="29A249EC">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p>
    <w:p w14:paraId="7344CBF7">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p>
    <w:p w14:paraId="2367BD88">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p>
    <w:p w14:paraId="19C5C08C">
      <w:pPr>
        <w:shd w:val="clear" w:color="auto" w:fill="auto"/>
        <w:kinsoku/>
        <w:wordWrap w:val="0"/>
        <w:overflowPunct/>
        <w:bidi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w:t>
      </w:r>
      <w:r>
        <w:rPr>
          <w:rFonts w:hint="eastAsia" w:ascii="宋体" w:hAnsi="宋体" w:eastAsia="宋体" w:cs="宋体"/>
          <w:b/>
          <w:color w:val="auto"/>
          <w:sz w:val="22"/>
          <w:szCs w:val="22"/>
          <w:highlight w:val="none"/>
        </w:rPr>
        <w:t>（盖章）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w w:val="90"/>
          <w:sz w:val="22"/>
          <w:szCs w:val="22"/>
          <w:highlight w:val="none"/>
        </w:rPr>
        <w:t>_________________________________________</w:t>
      </w:r>
    </w:p>
    <w:p w14:paraId="0FA2A4B0">
      <w:pPr>
        <w:shd w:val="clear" w:color="auto" w:fill="auto"/>
        <w:kinsoku/>
        <w:wordWrap w:val="0"/>
        <w:overflowPunct/>
        <w:bidi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w:t>
      </w:r>
      <w:r>
        <w:rPr>
          <w:rFonts w:hint="eastAsia" w:ascii="宋体" w:hAnsi="宋体" w:eastAsia="宋体" w:cs="宋体"/>
          <w:b/>
          <w:color w:val="auto"/>
          <w:sz w:val="22"/>
          <w:szCs w:val="22"/>
          <w:highlight w:val="none"/>
        </w:rPr>
        <w:t>（签字或签章）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w w:val="90"/>
          <w:sz w:val="22"/>
          <w:szCs w:val="22"/>
          <w:highlight w:val="none"/>
        </w:rPr>
        <w:t>__________________________</w:t>
      </w:r>
    </w:p>
    <w:p w14:paraId="7C53F263">
      <w:pPr>
        <w:shd w:val="clear" w:color="auto" w:fill="auto"/>
        <w:kinsoku/>
        <w:wordWrap w:val="0"/>
        <w:overflowPunct/>
        <w:bidi w:val="0"/>
        <w:spacing w:line="360" w:lineRule="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w w:val="90"/>
          <w:sz w:val="22"/>
          <w:szCs w:val="22"/>
          <w:highlight w:val="none"/>
        </w:rPr>
        <w:t>________年____月____日</w:t>
      </w:r>
    </w:p>
    <w:p w14:paraId="7FE52CB0">
      <w:pPr>
        <w:shd w:val="clear" w:color="auto" w:fill="auto"/>
        <w:kinsoku/>
        <w:wordWrap w:val="0"/>
        <w:overflowPunct/>
        <w:bidi w:val="0"/>
        <w:spacing w:line="360" w:lineRule="auto"/>
        <w:rPr>
          <w:rFonts w:hint="eastAsia" w:ascii="宋体" w:hAnsi="宋体" w:eastAsia="宋体" w:cs="宋体"/>
          <w:color w:val="auto"/>
          <w:highlight w:val="none"/>
        </w:rPr>
      </w:pPr>
    </w:p>
    <w:p w14:paraId="16FCF0FC">
      <w:pPr>
        <w:pStyle w:val="4"/>
        <w:shd w:val="clear" w:color="auto" w:fill="auto"/>
        <w:kinsoku/>
        <w:wordWrap w:val="0"/>
        <w:overflowPunct/>
        <w:bidi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1.3具有独立承担民事责任能力的证明材料</w:t>
      </w:r>
    </w:p>
    <w:p w14:paraId="3E3E4927">
      <w:pPr>
        <w:shd w:val="clear" w:color="auto" w:fill="auto"/>
        <w:kinsoku/>
        <w:wordWrap w:val="0"/>
        <w:overflowPunct/>
        <w:bidi w:val="0"/>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企业法人营业执照</w:t>
      </w:r>
    </w:p>
    <w:tbl>
      <w:tblPr>
        <w:tblStyle w:val="26"/>
        <w:tblW w:w="0" w:type="auto"/>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5"/>
      </w:tblGrid>
      <w:tr w14:paraId="6B160DB3">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874" w:hRule="atLeast"/>
        </w:trPr>
        <w:tc>
          <w:tcPr>
            <w:tcW w:w="9145" w:type="dxa"/>
            <w:noWrap w:val="0"/>
            <w:vAlign w:val="center"/>
          </w:tcPr>
          <w:p w14:paraId="55A486A3">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资格要求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具有独立承担民事责任能力</w:t>
            </w:r>
          </w:p>
          <w:p w14:paraId="624F4673">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highlight w:val="none"/>
              </w:rPr>
            </w:pPr>
          </w:p>
          <w:p w14:paraId="1527A004">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证明材料</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企业营业执照（提供复制件加盖供应商公章）或供应商为依法允许经营的事业单位的，应提交事业单位法人证书（提供复制件加盖供应商公章）</w:t>
            </w:r>
          </w:p>
          <w:p w14:paraId="3F490994">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highlight w:val="none"/>
              </w:rPr>
            </w:pPr>
          </w:p>
          <w:p w14:paraId="64CB86EB">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备注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供应商公章）。</w:t>
            </w:r>
          </w:p>
          <w:p w14:paraId="552D4281">
            <w:pPr>
              <w:pStyle w:val="11"/>
              <w:keepNext w:val="0"/>
              <w:keepLines w:val="0"/>
              <w:suppressLineNumbers w:val="0"/>
              <w:shd w:val="clear" w:color="auto" w:fill="auto"/>
              <w:kinsoku/>
              <w:wordWrap w:val="0"/>
              <w:overflowPunct/>
              <w:bidi w:val="0"/>
              <w:spacing w:before="0" w:beforeAutospacing="0" w:after="0" w:afterAutospacing="0" w:line="360" w:lineRule="auto"/>
              <w:ind w:right="0"/>
              <w:rPr>
                <w:rFonts w:hint="eastAsia" w:ascii="宋体" w:hAnsi="宋体" w:eastAsia="宋体" w:cs="宋体"/>
                <w:color w:val="auto"/>
                <w:highlight w:val="none"/>
              </w:rPr>
            </w:pPr>
          </w:p>
        </w:tc>
      </w:tr>
    </w:tbl>
    <w:p w14:paraId="61291C4A">
      <w:pPr>
        <w:shd w:val="clear" w:color="auto" w:fill="auto"/>
        <w:kinsoku/>
        <w:wordWrap w:val="0"/>
        <w:overflowPunct/>
        <w:bidi w:val="0"/>
        <w:spacing w:line="360" w:lineRule="auto"/>
        <w:rPr>
          <w:rFonts w:hint="eastAsia" w:ascii="宋体" w:hAnsi="宋体" w:eastAsia="宋体" w:cs="宋体"/>
          <w:i/>
          <w:color w:val="auto"/>
          <w:sz w:val="22"/>
          <w:szCs w:val="22"/>
          <w:highlight w:val="none"/>
        </w:rPr>
      </w:pPr>
    </w:p>
    <w:p w14:paraId="7D7B331F">
      <w:pPr>
        <w:pStyle w:val="4"/>
        <w:shd w:val="clear" w:color="auto" w:fill="auto"/>
        <w:kinsoku/>
        <w:wordWrap w:val="0"/>
        <w:overflowPunct/>
        <w:bidi w:val="0"/>
        <w:spacing w:before="0" w:after="0"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br w:type="page"/>
      </w:r>
      <w:r>
        <w:rPr>
          <w:rFonts w:hint="eastAsia" w:ascii="宋体" w:hAnsi="宋体" w:eastAsia="宋体" w:cs="宋体"/>
          <w:color w:val="auto"/>
          <w:highlight w:val="none"/>
        </w:rPr>
        <w:t>1.4供应商符合参与国企采购活动资格条件的声明函</w:t>
      </w:r>
      <w:r>
        <w:rPr>
          <w:rFonts w:hint="eastAsia" w:ascii="宋体" w:hAnsi="宋体" w:eastAsia="宋体" w:cs="宋体"/>
          <w:color w:val="auto"/>
          <w:highlight w:val="none"/>
          <w:lang w:eastAsia="zh-CN"/>
        </w:rPr>
        <w:t>：</w:t>
      </w:r>
    </w:p>
    <w:p w14:paraId="66692B28">
      <w:pPr>
        <w:shd w:val="clear" w:color="auto" w:fill="auto"/>
        <w:kinsoku/>
        <w:wordWrap w:val="0"/>
        <w:overflowPunct/>
        <w:bidi w:val="0"/>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声明函</w:t>
      </w:r>
    </w:p>
    <w:p w14:paraId="1D9A6A13">
      <w:pPr>
        <w:shd w:val="clear" w:color="auto" w:fill="auto"/>
        <w:kinsoku/>
        <w:wordWrap w:val="0"/>
        <w:overflowPunct/>
        <w:bidi w:val="0"/>
        <w:spacing w:line="360" w:lineRule="auto"/>
        <w:rPr>
          <w:rFonts w:hint="eastAsia" w:ascii="宋体" w:hAnsi="宋体" w:eastAsia="宋体" w:cs="宋体"/>
          <w:color w:val="auto"/>
          <w:sz w:val="22"/>
          <w:szCs w:val="22"/>
          <w:highlight w:val="none"/>
          <w:u w:val="single"/>
          <w:lang w:eastAsia="zh-CN"/>
        </w:rPr>
      </w:pPr>
      <w:r>
        <w:rPr>
          <w:rFonts w:hint="eastAsia" w:ascii="宋体" w:hAnsi="宋体" w:eastAsia="宋体" w:cs="宋体"/>
          <w:color w:val="auto"/>
          <w:sz w:val="22"/>
          <w:szCs w:val="22"/>
          <w:highlight w:val="none"/>
          <w:u w:val="single"/>
        </w:rPr>
        <w:t>（采购人）</w:t>
      </w:r>
      <w:r>
        <w:rPr>
          <w:rFonts w:hint="eastAsia" w:ascii="宋体" w:hAnsi="宋体" w:eastAsia="宋体" w:cs="宋体"/>
          <w:color w:val="auto"/>
          <w:sz w:val="22"/>
          <w:szCs w:val="22"/>
          <w:highlight w:val="none"/>
          <w:u w:val="single"/>
          <w:lang w:eastAsia="zh-CN"/>
        </w:rPr>
        <w:t>：</w:t>
      </w:r>
    </w:p>
    <w:p w14:paraId="249F56F1">
      <w:pPr>
        <w:pStyle w:val="9"/>
        <w:shd w:val="clear" w:color="auto" w:fill="auto"/>
        <w:kinsoku/>
        <w:wordWrap w:val="0"/>
        <w:overflowPunct/>
        <w:bidi w:val="0"/>
        <w:spacing w:line="360" w:lineRule="auto"/>
        <w:rPr>
          <w:rFonts w:hint="eastAsia" w:ascii="宋体" w:hAnsi="宋体" w:eastAsia="宋体" w:cs="宋体"/>
          <w:color w:val="auto"/>
          <w:sz w:val="22"/>
          <w:szCs w:val="22"/>
          <w:highlight w:val="none"/>
        </w:rPr>
      </w:pPr>
    </w:p>
    <w:p w14:paraId="4E5C41C7">
      <w:pPr>
        <w:pStyle w:val="24"/>
        <w:shd w:val="clear" w:color="auto" w:fill="auto"/>
        <w:kinsoku/>
        <w:wordWrap w:val="0"/>
        <w:overflowPunct/>
        <w:bidi w:val="0"/>
        <w:spacing w:before="0" w:beforeAutospacing="0" w:after="0" w:afterAutospacing="0" w:line="360" w:lineRule="auto"/>
        <w:ind w:left="40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我方</w:t>
      </w:r>
      <w:r>
        <w:rPr>
          <w:rFonts w:hint="eastAsia" w:ascii="宋体" w:hAnsi="宋体" w:eastAsia="宋体" w:cs="宋体"/>
          <w:color w:val="auto"/>
          <w:sz w:val="22"/>
          <w:szCs w:val="22"/>
          <w:highlight w:val="none"/>
          <w:u w:val="single"/>
        </w:rPr>
        <w:t xml:space="preserve">    </w:t>
      </w:r>
      <w:r>
        <w:rPr>
          <w:rFonts w:hint="eastAsia" w:ascii="宋体" w:hAnsi="宋体" w:eastAsia="宋体" w:cs="宋体"/>
          <w:i/>
          <w:iCs/>
          <w:color w:val="auto"/>
          <w:sz w:val="22"/>
          <w:szCs w:val="22"/>
          <w:highlight w:val="none"/>
          <w:u w:val="single"/>
        </w:rPr>
        <w:t>（</w:t>
      </w:r>
      <w:r>
        <w:rPr>
          <w:rFonts w:hint="eastAsia" w:ascii="宋体" w:hAnsi="宋体" w:eastAsia="宋体" w:cs="宋体"/>
          <w:i/>
          <w:iCs/>
          <w:color w:val="auto"/>
          <w:sz w:val="22"/>
          <w:szCs w:val="22"/>
          <w:highlight w:val="none"/>
          <w:u w:val="single"/>
          <w:lang w:eastAsia="zh-CN"/>
        </w:rPr>
        <w:t>投标供应商</w:t>
      </w:r>
      <w:r>
        <w:rPr>
          <w:rFonts w:hint="eastAsia" w:ascii="宋体" w:hAnsi="宋体" w:eastAsia="宋体" w:cs="宋体"/>
          <w:i/>
          <w:iCs/>
          <w:color w:val="auto"/>
          <w:sz w:val="22"/>
          <w:szCs w:val="22"/>
          <w:highlight w:val="none"/>
          <w:u w:val="single"/>
        </w:rPr>
        <w:t>全称）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参与</w:t>
      </w:r>
      <w:r>
        <w:rPr>
          <w:rFonts w:hint="eastAsia" w:ascii="宋体" w:hAnsi="宋体" w:eastAsia="宋体" w:cs="宋体"/>
          <w:color w:val="auto"/>
          <w:sz w:val="22"/>
          <w:szCs w:val="22"/>
          <w:highlight w:val="none"/>
          <w:u w:val="single"/>
        </w:rPr>
        <w:t xml:space="preserve">    </w:t>
      </w:r>
      <w:r>
        <w:rPr>
          <w:rFonts w:hint="eastAsia" w:ascii="宋体" w:hAnsi="宋体" w:eastAsia="宋体" w:cs="宋体"/>
          <w:i/>
          <w:iCs/>
          <w:color w:val="auto"/>
          <w:sz w:val="22"/>
          <w:szCs w:val="22"/>
          <w:highlight w:val="none"/>
          <w:u w:val="single"/>
        </w:rPr>
        <w:t xml:space="preserve">  （项目名称）   </w:t>
      </w:r>
      <w:r>
        <w:rPr>
          <w:rFonts w:hint="eastAsia" w:ascii="宋体" w:hAnsi="宋体" w:eastAsia="宋体" w:cs="宋体"/>
          <w:color w:val="auto"/>
          <w:sz w:val="22"/>
          <w:szCs w:val="22"/>
          <w:highlight w:val="none"/>
        </w:rPr>
        <w:t>国企采购活动，针对《平阳县县属国有企业采购管理办法（试行）》第十四条所述条件做如下承诺</w:t>
      </w:r>
      <w:r>
        <w:rPr>
          <w:rFonts w:hint="eastAsia" w:ascii="宋体" w:hAnsi="宋体" w:eastAsia="宋体" w:cs="宋体"/>
          <w:color w:val="auto"/>
          <w:sz w:val="22"/>
          <w:szCs w:val="22"/>
          <w:highlight w:val="none"/>
          <w:lang w:eastAsia="zh-CN"/>
        </w:rPr>
        <w:t>：</w:t>
      </w:r>
    </w:p>
    <w:p w14:paraId="0AF2BF6D">
      <w:pPr>
        <w:pStyle w:val="24"/>
        <w:shd w:val="clear" w:color="auto" w:fill="auto"/>
        <w:kinsoku/>
        <w:wordWrap w:val="0"/>
        <w:overflowPunct/>
        <w:bidi w:val="0"/>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1.我方具有独立承担民事责任的能力；</w:t>
      </w:r>
    </w:p>
    <w:p w14:paraId="44F1741B">
      <w:pPr>
        <w:pStyle w:val="24"/>
        <w:shd w:val="clear" w:color="auto" w:fill="auto"/>
        <w:kinsoku/>
        <w:wordWrap w:val="0"/>
        <w:overflowPunct/>
        <w:bidi w:val="0"/>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2.我方具有良好的商业信誉和健全的财务会计制度；</w:t>
      </w:r>
    </w:p>
    <w:p w14:paraId="394BB1DC">
      <w:pPr>
        <w:pStyle w:val="24"/>
        <w:shd w:val="clear" w:color="auto" w:fill="auto"/>
        <w:kinsoku/>
        <w:wordWrap w:val="0"/>
        <w:overflowPunct/>
        <w:bidi w:val="0"/>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3.我方具有履行合同所必需的设备和专业技术、售后保障等能力；</w:t>
      </w:r>
    </w:p>
    <w:p w14:paraId="73140A53">
      <w:pPr>
        <w:pStyle w:val="24"/>
        <w:shd w:val="clear" w:color="auto" w:fill="auto"/>
        <w:kinsoku/>
        <w:wordWrap w:val="0"/>
        <w:overflowPunct/>
        <w:bidi w:val="0"/>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4.我方有依法缴纳税收和社会保障资金的良好记录；</w:t>
      </w:r>
    </w:p>
    <w:p w14:paraId="1418B02C">
      <w:pPr>
        <w:pStyle w:val="24"/>
        <w:shd w:val="clear" w:color="auto" w:fill="auto"/>
        <w:kinsoku/>
        <w:wordWrap w:val="0"/>
        <w:overflowPunct/>
        <w:bidi w:val="0"/>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我方在参加本次政府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1C46A37F">
      <w:pPr>
        <w:pStyle w:val="24"/>
        <w:shd w:val="clear" w:color="auto" w:fill="auto"/>
        <w:kinsoku/>
        <w:wordWrap w:val="0"/>
        <w:overflowPunct/>
        <w:bidi w:val="0"/>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6.我方与参加本次项目同一合同项下政府采购活动的其他供应商不存在单位负责人为同一人或者直接控股、管理关系。</w:t>
      </w:r>
    </w:p>
    <w:p w14:paraId="04C9BA81">
      <w:pPr>
        <w:pStyle w:val="24"/>
        <w:shd w:val="clear" w:color="auto" w:fill="auto"/>
        <w:kinsoku/>
        <w:wordWrap w:val="0"/>
        <w:overflowPunct/>
        <w:bidi w:val="0"/>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7.我方未被“信用中国”（www.creditchina.gov.cn）、中国政府采购网（www.ccgp.gov.cn）列入失信被执行人名单、重大税收违法案件当事人名单、政府采购严重违法失信行为记录名单</w:t>
      </w:r>
    </w:p>
    <w:p w14:paraId="1D87482C">
      <w:pPr>
        <w:pStyle w:val="24"/>
        <w:shd w:val="clear" w:color="auto" w:fill="auto"/>
        <w:kinsoku/>
        <w:wordWrap w:val="0"/>
        <w:overflowPunct/>
        <w:bidi w:val="0"/>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方对上述承诺内容的真实性负责。我公司郑重声明，我公司参加本次政府采购活动中所提交的《资格文件》所有内容真实、有效，不存在提供虚假材料的行为。如有违反，愿承担一切责任。如有虚假，将依法承担相应责任。</w:t>
      </w:r>
    </w:p>
    <w:p w14:paraId="6325F1C1">
      <w:pPr>
        <w:pStyle w:val="24"/>
        <w:shd w:val="clear" w:color="auto" w:fill="auto"/>
        <w:kinsoku/>
        <w:wordWrap w:val="0"/>
        <w:overflowPunct/>
        <w:bidi w:val="0"/>
        <w:spacing w:before="0" w:beforeAutospacing="0" w:after="0" w:afterAutospacing="0" w:line="360" w:lineRule="auto"/>
        <w:ind w:left="400" w:firstLine="440" w:firstLineChars="200"/>
        <w:rPr>
          <w:rFonts w:hint="eastAsia" w:ascii="宋体" w:hAnsi="宋体" w:eastAsia="宋体" w:cs="宋体"/>
          <w:bCs/>
          <w:color w:val="auto"/>
          <w:sz w:val="22"/>
          <w:szCs w:val="22"/>
          <w:highlight w:val="none"/>
        </w:rPr>
      </w:pPr>
    </w:p>
    <w:p w14:paraId="6C756DBD">
      <w:pPr>
        <w:pStyle w:val="24"/>
        <w:shd w:val="clear" w:color="auto" w:fill="auto"/>
        <w:kinsoku/>
        <w:wordWrap w:val="0"/>
        <w:overflowPunct/>
        <w:bidi w:val="0"/>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供应商名称（盖章）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5D55EA51">
      <w:pPr>
        <w:pStyle w:val="24"/>
        <w:shd w:val="clear" w:color="auto" w:fill="auto"/>
        <w:kinsoku/>
        <w:wordWrap w:val="0"/>
        <w:overflowPunct/>
        <w:bidi w:val="0"/>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法定代表人或授权代表（签字或盖章）</w:t>
      </w:r>
    </w:p>
    <w:p w14:paraId="364383CC">
      <w:pPr>
        <w:shd w:val="clear" w:color="auto" w:fill="auto"/>
        <w:kinsoku/>
        <w:wordWrap w:val="0"/>
        <w:overflowPunct/>
        <w:bidi w:val="0"/>
        <w:spacing w:line="360" w:lineRule="auto"/>
        <w:ind w:firstLine="880" w:firstLineChars="400"/>
        <w:rPr>
          <w:rFonts w:hint="eastAsia" w:ascii="宋体" w:hAnsi="宋体" w:eastAsia="宋体" w:cs="宋体"/>
          <w:color w:val="auto"/>
          <w:w w:val="90"/>
          <w:sz w:val="22"/>
          <w:szCs w:val="22"/>
          <w:highlight w:val="none"/>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年  月  日 </w:t>
      </w:r>
    </w:p>
    <w:p w14:paraId="0CF00E81">
      <w:pPr>
        <w:pStyle w:val="4"/>
        <w:shd w:val="clear" w:color="auto" w:fill="auto"/>
        <w:kinsoku/>
        <w:wordWrap w:val="0"/>
        <w:overflowPunct/>
        <w:bidi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1.</w:t>
      </w:r>
      <w:r>
        <w:rPr>
          <w:rFonts w:hint="eastAsia" w:ascii="宋体" w:hAnsi="宋体" w:cs="宋体"/>
          <w:color w:val="auto"/>
          <w:highlight w:val="none"/>
          <w:lang w:val="en-US" w:eastAsia="zh-CN"/>
        </w:rPr>
        <w:t>5</w:t>
      </w:r>
      <w:r>
        <w:rPr>
          <w:rFonts w:hint="eastAsia" w:ascii="宋体" w:hAnsi="宋体" w:eastAsia="宋体" w:cs="宋体"/>
          <w:color w:val="auto"/>
          <w:highlight w:val="none"/>
        </w:rPr>
        <w:t>特定资质要求</w:t>
      </w:r>
    </w:p>
    <w:tbl>
      <w:tblPr>
        <w:tblStyle w:val="26"/>
        <w:tblW w:w="9072" w:type="dxa"/>
        <w:tblInd w:w="25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072"/>
      </w:tblGrid>
      <w:tr w14:paraId="2FD66CCE">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1801" w:hRule="atLeast"/>
        </w:trPr>
        <w:tc>
          <w:tcPr>
            <w:tcW w:w="9072" w:type="dxa"/>
            <w:noWrap w:val="0"/>
            <w:vAlign w:val="center"/>
          </w:tcPr>
          <w:p w14:paraId="78B34470">
            <w:pPr>
              <w:keepNext w:val="0"/>
              <w:keepLines w:val="0"/>
              <w:suppressLineNumbers w:val="0"/>
              <w:kinsoku/>
              <w:wordWrap w:val="0"/>
              <w:overflowPunct/>
              <w:bidi w:val="0"/>
              <w:spacing w:before="0" w:beforeAutospacing="0" w:after="0" w:afterAutospacing="0" w:line="360" w:lineRule="auto"/>
              <w:ind w:left="0" w:right="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资质要求:</w:t>
            </w:r>
          </w:p>
          <w:p w14:paraId="461AC88D">
            <w:pPr>
              <w:pStyle w:val="6"/>
              <w:keepNext w:val="0"/>
              <w:keepLines w:val="0"/>
              <w:suppressLineNumbers w:val="0"/>
              <w:kinsoku/>
              <w:wordWrap w:val="0"/>
              <w:overflowPunct/>
              <w:bidi w:val="0"/>
              <w:spacing w:before="0" w:beforeAutospacing="0" w:after="0" w:afterAutospacing="0"/>
              <w:ind w:left="0" w:right="0"/>
              <w:rPr>
                <w:rFonts w:hint="default"/>
                <w:color w:val="auto"/>
                <w:highlight w:val="none"/>
              </w:rPr>
            </w:pPr>
            <w:r>
              <w:rPr>
                <w:rFonts w:hint="eastAsia" w:ascii="宋体" w:hAnsi="宋体" w:cs="宋体"/>
                <w:b/>
                <w:bCs/>
                <w:color w:val="auto"/>
                <w:sz w:val="22"/>
                <w:szCs w:val="22"/>
                <w:highlight w:val="none"/>
                <w:lang w:val="en-US" w:eastAsia="zh-CN"/>
              </w:rPr>
              <w:t>特定资质详见采购公告</w:t>
            </w:r>
            <w:r>
              <w:rPr>
                <w:rFonts w:hint="eastAsia" w:ascii="宋体" w:hAnsi="宋体" w:eastAsia="宋体" w:cs="宋体"/>
                <w:b/>
                <w:bCs/>
                <w:color w:val="auto"/>
                <w:sz w:val="22"/>
                <w:szCs w:val="22"/>
                <w:highlight w:val="none"/>
                <w:lang w:val="en-US" w:eastAsia="zh-CN"/>
              </w:rPr>
              <w:t>。</w:t>
            </w:r>
            <w:r>
              <w:rPr>
                <w:rFonts w:hint="eastAsia" w:ascii="宋体" w:hAnsi="宋体"/>
                <w:b w:val="0"/>
                <w:bCs w:val="0"/>
                <w:color w:val="auto"/>
                <w:sz w:val="22"/>
                <w:szCs w:val="22"/>
                <w:highlight w:val="none"/>
                <w:lang w:eastAsia="zh-CN"/>
              </w:rPr>
              <w:t>须提供相关证书复印件或扫描件。</w:t>
            </w:r>
          </w:p>
          <w:p w14:paraId="547EE940">
            <w:pPr>
              <w:pStyle w:val="46"/>
              <w:keepNext w:val="0"/>
              <w:keepLines w:val="0"/>
              <w:suppressLineNumbers w:val="0"/>
              <w:kinsoku/>
              <w:wordWrap w:val="0"/>
              <w:overflowPunct/>
              <w:bidi w:val="0"/>
              <w:spacing w:before="0" w:beforeAutospacing="0" w:after="0" w:afterAutospacing="0"/>
              <w:ind w:left="0" w:right="0"/>
              <w:rPr>
                <w:rFonts w:hint="default"/>
                <w:color w:val="auto"/>
                <w:highlight w:val="none"/>
              </w:rPr>
            </w:pPr>
          </w:p>
        </w:tc>
      </w:tr>
    </w:tbl>
    <w:p w14:paraId="2B3A0E05">
      <w:pPr>
        <w:widowControl/>
        <w:shd w:val="clear" w:color="auto" w:fill="auto"/>
        <w:tabs>
          <w:tab w:val="left" w:pos="360"/>
        </w:tabs>
        <w:kinsoku/>
        <w:wordWrap w:val="0"/>
        <w:overflowPunct/>
        <w:bidi w:val="0"/>
        <w:snapToGrid w:val="0"/>
        <w:spacing w:line="360" w:lineRule="auto"/>
        <w:ind w:left="360"/>
        <w:jc w:val="left"/>
        <w:rPr>
          <w:rFonts w:hint="eastAsia" w:ascii="宋体" w:hAnsi="宋体" w:eastAsia="宋体" w:cs="宋体"/>
          <w:b/>
          <w:color w:val="auto"/>
          <w:sz w:val="22"/>
          <w:szCs w:val="22"/>
          <w:highlight w:val="none"/>
        </w:rPr>
      </w:pPr>
    </w:p>
    <w:p w14:paraId="5B276C0C">
      <w:pPr>
        <w:pStyle w:val="6"/>
        <w:kinsoku/>
        <w:wordWrap w:val="0"/>
        <w:overflowPunct/>
        <w:bidi w:val="0"/>
        <w:rPr>
          <w:rFonts w:hint="eastAsia" w:ascii="宋体" w:hAnsi="宋体" w:eastAsia="宋体" w:cs="宋体"/>
          <w:b/>
          <w:color w:val="auto"/>
          <w:sz w:val="22"/>
          <w:szCs w:val="22"/>
          <w:highlight w:val="none"/>
        </w:rPr>
      </w:pPr>
    </w:p>
    <w:p w14:paraId="308A3766">
      <w:pPr>
        <w:kinsoku/>
        <w:wordWrap w:val="0"/>
        <w:overflowPunct/>
        <w:bidi w:val="0"/>
        <w:rPr>
          <w:rFonts w:hint="eastAsia" w:ascii="宋体" w:hAnsi="宋体" w:eastAsia="宋体" w:cs="宋体"/>
          <w:b/>
          <w:color w:val="auto"/>
          <w:sz w:val="22"/>
          <w:szCs w:val="22"/>
          <w:highlight w:val="none"/>
        </w:rPr>
      </w:pPr>
    </w:p>
    <w:p w14:paraId="3B0533BE">
      <w:pPr>
        <w:pStyle w:val="6"/>
        <w:kinsoku/>
        <w:wordWrap w:val="0"/>
        <w:overflowPunct/>
        <w:bidi w:val="0"/>
        <w:rPr>
          <w:rFonts w:hint="eastAsia" w:ascii="宋体" w:hAnsi="宋体" w:eastAsia="宋体" w:cs="宋体"/>
          <w:b/>
          <w:color w:val="auto"/>
          <w:sz w:val="22"/>
          <w:szCs w:val="22"/>
          <w:highlight w:val="none"/>
        </w:rPr>
      </w:pPr>
    </w:p>
    <w:p w14:paraId="7AE1DDDC">
      <w:pPr>
        <w:keepNext/>
        <w:keepLines/>
        <w:widowControl w:val="0"/>
        <w:shd w:val="clear" w:color="auto" w:fill="auto"/>
        <w:kinsoku/>
        <w:wordWrap w:val="0"/>
        <w:overflowPunct/>
        <w:bidi w:val="0"/>
        <w:spacing w:before="0" w:after="0" w:line="360" w:lineRule="auto"/>
        <w:jc w:val="both"/>
        <w:outlineLvl w:val="2"/>
        <w:rPr>
          <w:rFonts w:hint="default"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1.6联合体协议书</w:t>
      </w:r>
    </w:p>
    <w:p w14:paraId="1F013D15">
      <w:pPr>
        <w:pageBreakBefore w:val="0"/>
        <w:widowControl w:val="0"/>
        <w:kinsoku/>
        <w:wordWrap w:val="0"/>
        <w:overflowPunct/>
        <w:topLinePunct w:val="0"/>
        <w:bidi w:val="0"/>
        <w:snapToGrid w:val="0"/>
        <w:spacing w:line="360" w:lineRule="auto"/>
        <w:jc w:val="center"/>
        <w:rPr>
          <w:rFonts w:hint="eastAsia" w:ascii="宋体" w:hAnsi="宋体" w:eastAsia="宋体" w:cs="宋体"/>
          <w:b/>
          <w:color w:val="auto"/>
          <w:kern w:val="2"/>
          <w:sz w:val="24"/>
          <w:highlight w:val="none"/>
          <w:lang w:val="en-US" w:eastAsia="zh-CN" w:bidi="ar-SA"/>
        </w:rPr>
      </w:pPr>
      <w:r>
        <w:rPr>
          <w:rFonts w:hint="eastAsia" w:ascii="宋体" w:hAnsi="宋体" w:eastAsia="宋体" w:cs="宋体"/>
          <w:b/>
          <w:color w:val="auto"/>
          <w:kern w:val="2"/>
          <w:sz w:val="24"/>
          <w:highlight w:val="none"/>
          <w:lang w:val="en-US" w:eastAsia="zh-CN" w:bidi="ar-SA"/>
        </w:rPr>
        <w:t>联合体协议书</w:t>
      </w:r>
    </w:p>
    <w:p w14:paraId="7C22BDFC">
      <w:pPr>
        <w:pageBreakBefore w:val="0"/>
        <w:widowControl w:val="0"/>
        <w:kinsoku/>
        <w:wordWrap w:val="0"/>
        <w:overflowPunct/>
        <w:topLinePunct w:val="0"/>
        <w:bidi w:val="0"/>
        <w:snapToGrid w:val="0"/>
        <w:spacing w:line="360" w:lineRule="auto"/>
        <w:jc w:val="both"/>
        <w:rPr>
          <w:rFonts w:hint="eastAsia" w:ascii="宋体" w:hAnsi="宋体" w:eastAsia="宋体" w:cs="宋体"/>
          <w:b/>
          <w:color w:val="auto"/>
          <w:kern w:val="2"/>
          <w:sz w:val="24"/>
          <w:highlight w:val="none"/>
          <w:lang w:val="en-US" w:eastAsia="zh-CN" w:bidi="ar-SA"/>
        </w:rPr>
      </w:pPr>
      <w:r>
        <w:rPr>
          <w:rFonts w:hint="eastAsia" w:ascii="宋体" w:hAnsi="宋体" w:eastAsia="宋体" w:cs="宋体"/>
          <w:bCs/>
          <w:color w:val="auto"/>
          <w:kern w:val="2"/>
          <w:sz w:val="24"/>
          <w:highlight w:val="none"/>
          <w:lang w:val="en-US" w:eastAsia="zh-CN" w:bidi="ar-SA"/>
        </w:rPr>
        <w:t>采购人：</w:t>
      </w:r>
      <w:r>
        <w:rPr>
          <w:rFonts w:hint="eastAsia" w:ascii="宋体" w:hAnsi="宋体" w:eastAsia="宋体" w:cs="宋体"/>
          <w:bCs/>
          <w:color w:val="auto"/>
          <w:kern w:val="2"/>
          <w:sz w:val="24"/>
          <w:highlight w:val="none"/>
          <w:u w:val="single"/>
          <w:lang w:val="en-US" w:eastAsia="zh-CN" w:bidi="ar-SA"/>
        </w:rPr>
        <w:t xml:space="preserve">  （采购人）   </w:t>
      </w:r>
    </w:p>
    <w:p w14:paraId="097C6EF8">
      <w:pPr>
        <w:pageBreakBefore w:val="0"/>
        <w:widowControl w:val="0"/>
        <w:kinsoku/>
        <w:wordWrap w:val="0"/>
        <w:overflowPunct/>
        <w:topLinePunct w:val="0"/>
        <w:bidi w:val="0"/>
        <w:snapToGrid w:val="0"/>
        <w:spacing w:line="360" w:lineRule="auto"/>
        <w:ind w:firstLine="480" w:firstLineChars="200"/>
        <w:jc w:val="both"/>
        <w:rPr>
          <w:rFonts w:hint="eastAsia" w:ascii="宋体" w:hAnsi="宋体" w:eastAsia="宋体" w:cs="宋体"/>
          <w:bCs/>
          <w:color w:val="auto"/>
          <w:kern w:val="2"/>
          <w:sz w:val="24"/>
          <w:highlight w:val="none"/>
          <w:lang w:val="en-US" w:eastAsia="zh-CN" w:bidi="ar-SA"/>
        </w:rPr>
      </w:pPr>
      <w:r>
        <w:rPr>
          <w:rFonts w:hint="eastAsia" w:ascii="宋体" w:hAnsi="宋体" w:eastAsia="宋体" w:cs="宋体"/>
          <w:bCs/>
          <w:color w:val="auto"/>
          <w:kern w:val="2"/>
          <w:sz w:val="24"/>
          <w:highlight w:val="none"/>
          <w:lang w:val="en-US" w:eastAsia="zh-CN" w:bidi="ar-SA"/>
        </w:rPr>
        <w:t>各方经协商，就响应</w:t>
      </w:r>
      <w:r>
        <w:rPr>
          <w:rFonts w:hint="eastAsia" w:ascii="宋体" w:hAnsi="宋体" w:eastAsia="宋体" w:cs="宋体"/>
          <w:bCs/>
          <w:color w:val="auto"/>
          <w:kern w:val="2"/>
          <w:sz w:val="24"/>
          <w:highlight w:val="none"/>
          <w:u w:val="single"/>
          <w:lang w:val="en-US" w:eastAsia="zh-CN" w:bidi="ar-SA"/>
        </w:rPr>
        <w:t xml:space="preserve">  （采购人）   </w:t>
      </w:r>
      <w:r>
        <w:rPr>
          <w:rFonts w:hint="eastAsia" w:ascii="宋体" w:hAnsi="宋体" w:eastAsia="宋体" w:cs="宋体"/>
          <w:bCs/>
          <w:color w:val="auto"/>
          <w:kern w:val="2"/>
          <w:sz w:val="24"/>
          <w:highlight w:val="none"/>
          <w:lang w:val="en-US" w:eastAsia="zh-CN" w:bidi="ar-SA"/>
        </w:rPr>
        <w:t>组织实施的</w:t>
      </w:r>
      <w:r>
        <w:rPr>
          <w:rFonts w:hint="eastAsia" w:ascii="宋体" w:hAnsi="宋体" w:eastAsia="宋体" w:cs="宋体"/>
          <w:bCs/>
          <w:color w:val="auto"/>
          <w:kern w:val="2"/>
          <w:sz w:val="24"/>
          <w:highlight w:val="none"/>
          <w:u w:val="single"/>
          <w:lang w:val="en-US" w:eastAsia="zh-CN" w:bidi="ar-SA"/>
        </w:rPr>
        <w:t xml:space="preserve">（项目名称）          （项目编号        </w:t>
      </w:r>
      <w:r>
        <w:rPr>
          <w:rFonts w:hint="eastAsia" w:ascii="宋体" w:hAnsi="宋体" w:eastAsia="宋体" w:cs="宋体"/>
          <w:bCs/>
          <w:color w:val="auto"/>
          <w:kern w:val="2"/>
          <w:sz w:val="24"/>
          <w:highlight w:val="none"/>
          <w:lang w:val="en-US" w:eastAsia="zh-CN" w:bidi="ar-SA"/>
        </w:rPr>
        <w:t>）的采购活动联合参与采购之事宜，达成如下协议：</w:t>
      </w:r>
    </w:p>
    <w:p w14:paraId="6C97AD50">
      <w:pPr>
        <w:pageBreakBefore w:val="0"/>
        <w:widowControl w:val="0"/>
        <w:kinsoku/>
        <w:wordWrap w:val="0"/>
        <w:overflowPunct/>
        <w:topLinePunct w:val="0"/>
        <w:bidi w:val="0"/>
        <w:snapToGrid w:val="0"/>
        <w:spacing w:line="360" w:lineRule="auto"/>
        <w:ind w:firstLine="420"/>
        <w:jc w:val="both"/>
        <w:rPr>
          <w:rFonts w:hint="eastAsia" w:ascii="宋体" w:hAnsi="宋体" w:eastAsia="宋体" w:cs="宋体"/>
          <w:bCs/>
          <w:color w:val="auto"/>
          <w:kern w:val="2"/>
          <w:sz w:val="24"/>
          <w:highlight w:val="none"/>
          <w:lang w:val="en-US" w:eastAsia="zh-CN" w:bidi="ar-SA"/>
        </w:rPr>
      </w:pPr>
      <w:r>
        <w:rPr>
          <w:rFonts w:hint="eastAsia" w:ascii="宋体" w:hAnsi="宋体" w:eastAsia="宋体" w:cs="宋体"/>
          <w:bCs/>
          <w:color w:val="auto"/>
          <w:kern w:val="2"/>
          <w:sz w:val="24"/>
          <w:highlight w:val="none"/>
          <w:lang w:val="en-US" w:eastAsia="zh-CN" w:bidi="ar-SA"/>
        </w:rPr>
        <w:t>一、各方一致决定，以</w:t>
      </w:r>
      <w:r>
        <w:rPr>
          <w:rFonts w:hint="eastAsia" w:ascii="宋体" w:hAnsi="宋体" w:eastAsia="宋体" w:cs="宋体"/>
          <w:bCs/>
          <w:color w:val="auto"/>
          <w:kern w:val="2"/>
          <w:sz w:val="24"/>
          <w:highlight w:val="none"/>
          <w:u w:val="single"/>
          <w:lang w:val="en-US" w:eastAsia="zh-CN" w:bidi="ar-SA"/>
        </w:rPr>
        <w:t xml:space="preserve">      （牵头人名称）        </w:t>
      </w:r>
      <w:r>
        <w:rPr>
          <w:rFonts w:hint="eastAsia" w:ascii="宋体" w:hAnsi="宋体" w:eastAsia="宋体" w:cs="宋体"/>
          <w:bCs/>
          <w:color w:val="auto"/>
          <w:kern w:val="2"/>
          <w:sz w:val="24"/>
          <w:highlight w:val="none"/>
          <w:lang w:val="en-US" w:eastAsia="zh-CN" w:bidi="ar-SA"/>
        </w:rPr>
        <w:t>为牵头人进行采购活动，并按照公开采购文件的规定提交采购响应文件。</w:t>
      </w:r>
    </w:p>
    <w:p w14:paraId="0C0B71DA">
      <w:pPr>
        <w:pageBreakBefore w:val="0"/>
        <w:widowControl w:val="0"/>
        <w:kinsoku/>
        <w:wordWrap w:val="0"/>
        <w:overflowPunct/>
        <w:topLinePunct w:val="0"/>
        <w:bidi w:val="0"/>
        <w:snapToGrid w:val="0"/>
        <w:spacing w:line="360" w:lineRule="auto"/>
        <w:ind w:firstLine="420"/>
        <w:jc w:val="both"/>
        <w:rPr>
          <w:rFonts w:hint="eastAsia" w:ascii="宋体" w:hAnsi="宋体" w:eastAsia="宋体" w:cs="宋体"/>
          <w:bCs/>
          <w:color w:val="auto"/>
          <w:kern w:val="2"/>
          <w:sz w:val="24"/>
          <w:highlight w:val="none"/>
          <w:lang w:val="en-US" w:eastAsia="zh-CN" w:bidi="ar-SA"/>
        </w:rPr>
      </w:pPr>
      <w:r>
        <w:rPr>
          <w:rFonts w:hint="eastAsia" w:ascii="宋体" w:hAnsi="宋体" w:eastAsia="宋体" w:cs="宋体"/>
          <w:bCs/>
          <w:color w:val="auto"/>
          <w:kern w:val="2"/>
          <w:sz w:val="24"/>
          <w:highlight w:val="none"/>
          <w:lang w:val="en-US" w:eastAsia="zh-CN" w:bidi="ar-SA"/>
        </w:rPr>
        <w:t>二、在本次采购过程中，牵头人的</w:t>
      </w:r>
      <w:r>
        <w:rPr>
          <w:rFonts w:hint="eastAsia" w:ascii="宋体" w:hAnsi="宋体" w:eastAsia="宋体" w:cs="宋体"/>
          <w:bCs/>
          <w:color w:val="auto"/>
          <w:kern w:val="2"/>
          <w:sz w:val="24"/>
          <w:highlight w:val="none"/>
          <w:u w:val="single"/>
          <w:lang w:val="en-US" w:eastAsia="zh-CN" w:bidi="ar-SA"/>
        </w:rPr>
        <w:t>（法定代表人或委托代理人）</w:t>
      </w:r>
      <w:r>
        <w:rPr>
          <w:rFonts w:hint="eastAsia" w:ascii="宋体" w:hAnsi="宋体" w:eastAsia="宋体" w:cs="宋体"/>
          <w:bCs/>
          <w:color w:val="auto"/>
          <w:kern w:val="2"/>
          <w:sz w:val="24"/>
          <w:highlight w:val="none"/>
          <w:lang w:val="en-US" w:eastAsia="zh-CN" w:bidi="ar-SA"/>
        </w:rPr>
        <w:t>根据公开招标采购文件规定及采购内容而对采购人所作的任何合法承诺，包括书面澄清及响应等均对联合体各方产生约束力。如果中标（或成交）并签订合同，则联合体各方将共同履行对采购人所负有的全部义务并就采购合同约定的事项对采购人承担连带责任。</w:t>
      </w:r>
    </w:p>
    <w:p w14:paraId="4EBC0188">
      <w:pPr>
        <w:pageBreakBefore w:val="0"/>
        <w:widowControl w:val="0"/>
        <w:kinsoku/>
        <w:wordWrap w:val="0"/>
        <w:overflowPunct/>
        <w:topLinePunct w:val="0"/>
        <w:bidi w:val="0"/>
        <w:snapToGrid w:val="0"/>
        <w:spacing w:line="360" w:lineRule="auto"/>
        <w:ind w:firstLine="420"/>
        <w:jc w:val="both"/>
        <w:rPr>
          <w:rFonts w:hint="eastAsia" w:ascii="宋体" w:hAnsi="宋体" w:eastAsia="宋体" w:cs="宋体"/>
          <w:bCs/>
          <w:color w:val="auto"/>
          <w:kern w:val="2"/>
          <w:sz w:val="24"/>
          <w:highlight w:val="none"/>
          <w:lang w:val="en-US" w:eastAsia="zh-CN" w:bidi="ar-SA"/>
        </w:rPr>
      </w:pPr>
      <w:r>
        <w:rPr>
          <w:rFonts w:hint="eastAsia" w:ascii="宋体" w:hAnsi="宋体" w:eastAsia="宋体" w:cs="宋体"/>
          <w:bCs/>
          <w:color w:val="auto"/>
          <w:kern w:val="2"/>
          <w:sz w:val="24"/>
          <w:highlight w:val="none"/>
          <w:lang w:val="en-US" w:eastAsia="zh-CN" w:bidi="ar-SA"/>
        </w:rPr>
        <w:t>三、联合体其余各方保证对牵头人为响应本次采购而提供的产品和服务提供全部质量保证及售后服务支持。</w:t>
      </w:r>
    </w:p>
    <w:p w14:paraId="64A8199B">
      <w:pPr>
        <w:pageBreakBefore w:val="0"/>
        <w:widowControl w:val="0"/>
        <w:kinsoku/>
        <w:wordWrap w:val="0"/>
        <w:overflowPunct/>
        <w:topLinePunct w:val="0"/>
        <w:bidi w:val="0"/>
        <w:snapToGrid w:val="0"/>
        <w:spacing w:line="360" w:lineRule="auto"/>
        <w:ind w:firstLine="420"/>
        <w:jc w:val="both"/>
        <w:rPr>
          <w:rFonts w:hint="eastAsia" w:ascii="宋体" w:hAnsi="宋体" w:eastAsia="宋体" w:cs="宋体"/>
          <w:bCs/>
          <w:color w:val="auto"/>
          <w:kern w:val="2"/>
          <w:sz w:val="24"/>
          <w:highlight w:val="none"/>
          <w:lang w:val="en-US" w:eastAsia="zh-CN" w:bidi="ar-SA"/>
        </w:rPr>
      </w:pPr>
      <w:r>
        <w:rPr>
          <w:rFonts w:hint="eastAsia" w:ascii="宋体" w:hAnsi="宋体" w:eastAsia="宋体" w:cs="宋体"/>
          <w:bCs/>
          <w:color w:val="auto"/>
          <w:kern w:val="2"/>
          <w:sz w:val="24"/>
          <w:highlight w:val="none"/>
          <w:lang w:val="en-US" w:eastAsia="zh-CN" w:bidi="ar-SA"/>
        </w:rPr>
        <w:t>四、本次联合体中</w:t>
      </w:r>
    </w:p>
    <w:p w14:paraId="00F32551">
      <w:pPr>
        <w:pageBreakBefore w:val="0"/>
        <w:widowControl w:val="0"/>
        <w:kinsoku/>
        <w:wordWrap w:val="0"/>
        <w:overflowPunct/>
        <w:topLinePunct w:val="0"/>
        <w:bidi w:val="0"/>
        <w:snapToGrid w:val="0"/>
        <w:spacing w:line="360" w:lineRule="auto"/>
        <w:ind w:left="479" w:leftChars="228"/>
        <w:jc w:val="both"/>
        <w:rPr>
          <w:rFonts w:hint="eastAsia" w:ascii="宋体" w:hAnsi="宋体" w:eastAsia="宋体" w:cs="宋体"/>
          <w:bCs/>
          <w:color w:val="auto"/>
          <w:kern w:val="2"/>
          <w:sz w:val="24"/>
          <w:highlight w:val="none"/>
          <w:u w:val="single"/>
          <w:lang w:val="en-US" w:eastAsia="zh-CN" w:bidi="ar-SA"/>
        </w:rPr>
      </w:pPr>
      <w:r>
        <w:rPr>
          <w:rFonts w:hint="eastAsia" w:ascii="宋体" w:hAnsi="宋体" w:eastAsia="宋体" w:cs="宋体"/>
          <w:bCs/>
          <w:color w:val="auto"/>
          <w:kern w:val="2"/>
          <w:sz w:val="24"/>
          <w:highlight w:val="none"/>
          <w:u w:val="single"/>
          <w:lang w:val="en-US" w:eastAsia="zh-CN" w:bidi="ar-SA"/>
        </w:rPr>
        <w:t>联合体成员1</w:t>
      </w:r>
      <w:r>
        <w:rPr>
          <w:rFonts w:hint="eastAsia" w:ascii="宋体" w:hAnsi="宋体" w:eastAsia="宋体" w:cs="宋体"/>
          <w:bCs/>
          <w:color w:val="auto"/>
          <w:kern w:val="2"/>
          <w:sz w:val="24"/>
          <w:highlight w:val="none"/>
          <w:lang w:val="en-US" w:eastAsia="zh-CN" w:bidi="ar-SA"/>
        </w:rPr>
        <w:t>承担的工作和义务为：</w:t>
      </w:r>
      <w:r>
        <w:rPr>
          <w:rFonts w:hint="eastAsia" w:ascii="宋体" w:hAnsi="宋体" w:eastAsia="宋体" w:cs="宋体"/>
          <w:bCs/>
          <w:color w:val="auto"/>
          <w:kern w:val="2"/>
          <w:sz w:val="24"/>
          <w:highlight w:val="none"/>
          <w:u w:val="single"/>
          <w:lang w:val="en-US" w:eastAsia="zh-CN" w:bidi="ar-SA"/>
        </w:rPr>
        <w:t xml:space="preserve"> （工作内容及义务）；占比：（百分比）</w:t>
      </w:r>
    </w:p>
    <w:p w14:paraId="306052AF">
      <w:pPr>
        <w:pageBreakBefore w:val="0"/>
        <w:widowControl w:val="0"/>
        <w:kinsoku/>
        <w:wordWrap w:val="0"/>
        <w:overflowPunct/>
        <w:topLinePunct w:val="0"/>
        <w:bidi w:val="0"/>
        <w:snapToGrid w:val="0"/>
        <w:spacing w:line="360" w:lineRule="auto"/>
        <w:ind w:left="479" w:leftChars="228"/>
        <w:jc w:val="both"/>
        <w:rPr>
          <w:rFonts w:hint="eastAsia" w:ascii="宋体" w:hAnsi="宋体" w:eastAsia="宋体" w:cs="宋体"/>
          <w:bCs/>
          <w:color w:val="auto"/>
          <w:kern w:val="2"/>
          <w:sz w:val="24"/>
          <w:highlight w:val="none"/>
          <w:lang w:val="en-US" w:eastAsia="zh-CN" w:bidi="ar-SA"/>
        </w:rPr>
      </w:pPr>
      <w:r>
        <w:rPr>
          <w:rFonts w:hint="eastAsia" w:ascii="宋体" w:hAnsi="宋体" w:eastAsia="宋体" w:cs="宋体"/>
          <w:bCs/>
          <w:color w:val="auto"/>
          <w:kern w:val="2"/>
          <w:sz w:val="24"/>
          <w:highlight w:val="none"/>
          <w:u w:val="single"/>
          <w:lang w:val="en-US" w:eastAsia="zh-CN" w:bidi="ar-SA"/>
        </w:rPr>
        <w:t>联合体成员2</w:t>
      </w:r>
      <w:r>
        <w:rPr>
          <w:rFonts w:hint="eastAsia" w:ascii="宋体" w:hAnsi="宋体" w:eastAsia="宋体" w:cs="宋体"/>
          <w:bCs/>
          <w:color w:val="auto"/>
          <w:kern w:val="2"/>
          <w:sz w:val="24"/>
          <w:highlight w:val="none"/>
          <w:lang w:val="en-US" w:eastAsia="zh-CN" w:bidi="ar-SA"/>
        </w:rPr>
        <w:t>承担的工作和义务为：</w:t>
      </w:r>
      <w:r>
        <w:rPr>
          <w:rFonts w:hint="eastAsia" w:ascii="宋体" w:hAnsi="宋体" w:eastAsia="宋体" w:cs="宋体"/>
          <w:bCs/>
          <w:color w:val="auto"/>
          <w:kern w:val="2"/>
          <w:sz w:val="24"/>
          <w:highlight w:val="none"/>
          <w:u w:val="single"/>
          <w:lang w:val="en-US" w:eastAsia="zh-CN" w:bidi="ar-SA"/>
        </w:rPr>
        <w:t xml:space="preserve"> （工作内容及义务）；占比：（百分比）</w:t>
      </w:r>
    </w:p>
    <w:p w14:paraId="7700DF55">
      <w:pPr>
        <w:pageBreakBefore w:val="0"/>
        <w:widowControl w:val="0"/>
        <w:kinsoku/>
        <w:wordWrap w:val="0"/>
        <w:overflowPunct/>
        <w:topLinePunct w:val="0"/>
        <w:bidi w:val="0"/>
        <w:snapToGrid w:val="0"/>
        <w:spacing w:line="360" w:lineRule="auto"/>
        <w:ind w:firstLine="420"/>
        <w:jc w:val="both"/>
        <w:rPr>
          <w:rFonts w:hint="eastAsia" w:ascii="宋体" w:hAnsi="宋体" w:eastAsia="宋体" w:cs="宋体"/>
          <w:bCs/>
          <w:color w:val="auto"/>
          <w:kern w:val="2"/>
          <w:sz w:val="24"/>
          <w:highlight w:val="none"/>
          <w:u w:val="single"/>
          <w:lang w:val="en-US" w:eastAsia="zh-CN" w:bidi="ar-SA"/>
        </w:rPr>
      </w:pPr>
      <w:r>
        <w:rPr>
          <w:rFonts w:hint="eastAsia" w:ascii="宋体" w:hAnsi="宋体" w:eastAsia="宋体" w:cs="宋体"/>
          <w:bCs/>
          <w:color w:val="auto"/>
          <w:kern w:val="2"/>
          <w:sz w:val="24"/>
          <w:highlight w:val="none"/>
          <w:lang w:val="en-US" w:eastAsia="zh-CN" w:bidi="ar-SA"/>
        </w:rPr>
        <w:t>五、有关本次联合体的其他事宜：</w:t>
      </w:r>
      <w:r>
        <w:rPr>
          <w:rFonts w:hint="eastAsia" w:ascii="宋体" w:hAnsi="宋体" w:eastAsia="宋体" w:cs="宋体"/>
          <w:bCs/>
          <w:color w:val="auto"/>
          <w:kern w:val="2"/>
          <w:sz w:val="24"/>
          <w:highlight w:val="none"/>
          <w:u w:val="single"/>
          <w:lang w:val="en-US" w:eastAsia="zh-CN" w:bidi="ar-SA"/>
        </w:rPr>
        <w:t xml:space="preserve">                          </w:t>
      </w:r>
    </w:p>
    <w:p w14:paraId="04A3187A">
      <w:pPr>
        <w:pageBreakBefore w:val="0"/>
        <w:widowControl w:val="0"/>
        <w:kinsoku/>
        <w:wordWrap w:val="0"/>
        <w:overflowPunct/>
        <w:topLinePunct w:val="0"/>
        <w:bidi w:val="0"/>
        <w:snapToGrid w:val="0"/>
        <w:spacing w:line="360" w:lineRule="auto"/>
        <w:ind w:firstLine="420"/>
        <w:jc w:val="both"/>
        <w:rPr>
          <w:rFonts w:hint="eastAsia" w:ascii="宋体" w:hAnsi="宋体" w:eastAsia="宋体" w:cs="宋体"/>
          <w:b/>
          <w:color w:val="auto"/>
          <w:kern w:val="2"/>
          <w:sz w:val="24"/>
          <w:highlight w:val="none"/>
          <w:lang w:val="en-US" w:eastAsia="zh-CN" w:bidi="ar-SA"/>
        </w:rPr>
      </w:pPr>
      <w:r>
        <w:rPr>
          <w:rFonts w:hint="eastAsia" w:ascii="宋体" w:hAnsi="宋体" w:eastAsia="宋体" w:cs="宋体"/>
          <w:bCs/>
          <w:color w:val="auto"/>
          <w:kern w:val="2"/>
          <w:sz w:val="24"/>
          <w:highlight w:val="none"/>
          <w:lang w:val="en-US" w:eastAsia="zh-CN" w:bidi="ar-SA"/>
        </w:rPr>
        <w:t>六、本协议提交后，联合体各方不得以任何形式对上述实质内容进行修改或撤销。</w:t>
      </w:r>
    </w:p>
    <w:p w14:paraId="69E5376C">
      <w:pPr>
        <w:pageBreakBefore w:val="0"/>
        <w:widowControl w:val="0"/>
        <w:kinsoku/>
        <w:wordWrap w:val="0"/>
        <w:overflowPunct/>
        <w:topLinePunct w:val="0"/>
        <w:bidi w:val="0"/>
        <w:snapToGrid w:val="0"/>
        <w:spacing w:line="360" w:lineRule="auto"/>
        <w:ind w:firstLine="420"/>
        <w:jc w:val="both"/>
        <w:rPr>
          <w:rFonts w:hint="eastAsia" w:ascii="宋体" w:hAnsi="宋体" w:eastAsia="宋体" w:cs="宋体"/>
          <w:bCs/>
          <w:color w:val="auto"/>
          <w:kern w:val="2"/>
          <w:sz w:val="24"/>
          <w:highlight w:val="none"/>
          <w:lang w:val="en-US" w:eastAsia="zh-CN" w:bidi="ar-SA"/>
        </w:rPr>
      </w:pPr>
      <w:r>
        <w:rPr>
          <w:rFonts w:hint="eastAsia" w:ascii="宋体" w:hAnsi="宋体" w:eastAsia="宋体" w:cs="宋体"/>
          <w:bCs/>
          <w:color w:val="auto"/>
          <w:kern w:val="2"/>
          <w:sz w:val="24"/>
          <w:highlight w:val="none"/>
          <w:lang w:val="en-US" w:eastAsia="zh-CN" w:bidi="ar-SA"/>
        </w:rPr>
        <w:t>七、本协议一式</w:t>
      </w:r>
      <w:r>
        <w:rPr>
          <w:rFonts w:hint="eastAsia" w:ascii="宋体" w:hAnsi="宋体" w:eastAsia="宋体" w:cs="宋体"/>
          <w:bCs/>
          <w:color w:val="auto"/>
          <w:kern w:val="2"/>
          <w:sz w:val="24"/>
          <w:highlight w:val="none"/>
          <w:u w:val="single"/>
          <w:lang w:val="en-US" w:eastAsia="zh-CN" w:bidi="ar-SA"/>
        </w:rPr>
        <w:t xml:space="preserve">   </w:t>
      </w:r>
      <w:r>
        <w:rPr>
          <w:rFonts w:hint="eastAsia" w:ascii="宋体" w:hAnsi="宋体" w:eastAsia="宋体" w:cs="宋体"/>
          <w:bCs/>
          <w:color w:val="auto"/>
          <w:kern w:val="2"/>
          <w:sz w:val="24"/>
          <w:highlight w:val="none"/>
          <w:lang w:val="en-US" w:eastAsia="zh-CN" w:bidi="ar-SA"/>
        </w:rPr>
        <w:t>份，联合成员各一份。</w:t>
      </w:r>
    </w:p>
    <w:p w14:paraId="5EA3557E">
      <w:pPr>
        <w:pageBreakBefore w:val="0"/>
        <w:widowControl w:val="0"/>
        <w:kinsoku/>
        <w:wordWrap w:val="0"/>
        <w:overflowPunct/>
        <w:topLinePunct w:val="0"/>
        <w:bidi w:val="0"/>
        <w:snapToGrid w:val="0"/>
        <w:spacing w:line="360" w:lineRule="auto"/>
        <w:ind w:firstLine="420"/>
        <w:jc w:val="both"/>
        <w:rPr>
          <w:rFonts w:hint="eastAsia" w:ascii="宋体" w:hAnsi="宋体" w:eastAsia="宋体" w:cs="宋体"/>
          <w:bCs/>
          <w:color w:val="auto"/>
          <w:kern w:val="2"/>
          <w:sz w:val="24"/>
          <w:highlight w:val="none"/>
          <w:lang w:val="en-US" w:eastAsia="zh-CN" w:bidi="ar-SA"/>
        </w:rPr>
      </w:pPr>
    </w:p>
    <w:p w14:paraId="50BEB979">
      <w:pPr>
        <w:pageBreakBefore w:val="0"/>
        <w:widowControl w:val="0"/>
        <w:kinsoku/>
        <w:wordWrap w:val="0"/>
        <w:overflowPunct/>
        <w:topLinePunct w:val="0"/>
        <w:bidi w:val="0"/>
        <w:snapToGrid w:val="0"/>
        <w:spacing w:line="360" w:lineRule="auto"/>
        <w:ind w:firstLine="420"/>
        <w:jc w:val="both"/>
        <w:rPr>
          <w:rFonts w:hint="eastAsia" w:ascii="宋体" w:hAnsi="宋体" w:eastAsia="宋体" w:cs="宋体"/>
          <w:bCs/>
          <w:color w:val="auto"/>
          <w:kern w:val="2"/>
          <w:sz w:val="24"/>
          <w:highlight w:val="none"/>
          <w:lang w:val="en-US" w:eastAsia="zh-CN" w:bidi="ar-SA"/>
        </w:rPr>
      </w:pPr>
      <w:r>
        <w:rPr>
          <w:rFonts w:hint="eastAsia" w:ascii="宋体" w:hAnsi="宋体" w:eastAsia="宋体" w:cs="宋体"/>
          <w:bCs/>
          <w:color w:val="auto"/>
          <w:kern w:val="2"/>
          <w:sz w:val="24"/>
          <w:highlight w:val="none"/>
          <w:lang w:val="en-US" w:eastAsia="zh-CN" w:bidi="ar-SA"/>
        </w:rPr>
        <w:t>联合体成员1（盖章）：</w:t>
      </w:r>
    </w:p>
    <w:p w14:paraId="63AC2EED">
      <w:pPr>
        <w:pageBreakBefore w:val="0"/>
        <w:widowControl w:val="0"/>
        <w:kinsoku/>
        <w:wordWrap w:val="0"/>
        <w:overflowPunct/>
        <w:topLinePunct w:val="0"/>
        <w:bidi w:val="0"/>
        <w:snapToGrid w:val="0"/>
        <w:spacing w:line="360" w:lineRule="auto"/>
        <w:ind w:firstLine="420"/>
        <w:jc w:val="both"/>
        <w:rPr>
          <w:rFonts w:hint="eastAsia" w:ascii="宋体" w:hAnsi="宋体" w:eastAsia="宋体" w:cs="宋体"/>
          <w:bCs/>
          <w:color w:val="auto"/>
          <w:kern w:val="2"/>
          <w:sz w:val="24"/>
          <w:highlight w:val="none"/>
          <w:lang w:val="en-US" w:eastAsia="zh-CN" w:bidi="ar-SA"/>
        </w:rPr>
      </w:pPr>
      <w:r>
        <w:rPr>
          <w:rFonts w:hint="eastAsia" w:ascii="宋体" w:hAnsi="宋体" w:eastAsia="宋体" w:cs="宋体"/>
          <w:bCs/>
          <w:color w:val="auto"/>
          <w:kern w:val="2"/>
          <w:sz w:val="24"/>
          <w:highlight w:val="none"/>
          <w:lang w:val="en-US" w:eastAsia="zh-CN" w:bidi="ar-SA"/>
        </w:rPr>
        <w:t>联合体成员1法定代表人或委托人（盖章）：</w:t>
      </w:r>
    </w:p>
    <w:p w14:paraId="4E02E36E">
      <w:pPr>
        <w:pageBreakBefore w:val="0"/>
        <w:kinsoku/>
        <w:wordWrap w:val="0"/>
        <w:overflowPunct/>
        <w:topLinePunct w:val="0"/>
        <w:bidi w:val="0"/>
        <w:rPr>
          <w:rFonts w:hint="eastAsia" w:ascii="宋体" w:hAnsi="宋体" w:eastAsia="宋体" w:cs="宋体"/>
          <w:color w:val="auto"/>
          <w:kern w:val="0"/>
          <w:sz w:val="20"/>
          <w:szCs w:val="20"/>
          <w:highlight w:val="none"/>
        </w:rPr>
      </w:pPr>
    </w:p>
    <w:p w14:paraId="4EF70322">
      <w:pPr>
        <w:pageBreakBefore w:val="0"/>
        <w:widowControl w:val="0"/>
        <w:kinsoku/>
        <w:wordWrap w:val="0"/>
        <w:overflowPunct/>
        <w:topLinePunct w:val="0"/>
        <w:bidi w:val="0"/>
        <w:snapToGrid w:val="0"/>
        <w:spacing w:line="360" w:lineRule="auto"/>
        <w:ind w:firstLine="420"/>
        <w:jc w:val="both"/>
        <w:rPr>
          <w:rFonts w:hint="eastAsia" w:ascii="宋体" w:hAnsi="宋体" w:eastAsia="宋体" w:cs="宋体"/>
          <w:bCs/>
          <w:color w:val="auto"/>
          <w:kern w:val="2"/>
          <w:sz w:val="24"/>
          <w:highlight w:val="none"/>
          <w:lang w:val="en-US" w:eastAsia="zh-CN" w:bidi="ar-SA"/>
        </w:rPr>
      </w:pPr>
      <w:r>
        <w:rPr>
          <w:rFonts w:hint="eastAsia" w:ascii="宋体" w:hAnsi="宋体" w:eastAsia="宋体" w:cs="宋体"/>
          <w:bCs/>
          <w:color w:val="auto"/>
          <w:kern w:val="2"/>
          <w:sz w:val="24"/>
          <w:highlight w:val="none"/>
          <w:lang w:val="en-US" w:eastAsia="zh-CN" w:bidi="ar-SA"/>
        </w:rPr>
        <w:t>联合体成员2（盖章）：</w:t>
      </w:r>
    </w:p>
    <w:p w14:paraId="3B3792B4">
      <w:pPr>
        <w:pageBreakBefore w:val="0"/>
        <w:widowControl w:val="0"/>
        <w:kinsoku/>
        <w:wordWrap w:val="0"/>
        <w:overflowPunct/>
        <w:topLinePunct w:val="0"/>
        <w:bidi w:val="0"/>
        <w:snapToGrid w:val="0"/>
        <w:spacing w:line="360" w:lineRule="auto"/>
        <w:ind w:firstLine="420"/>
        <w:jc w:val="both"/>
        <w:rPr>
          <w:rFonts w:hint="eastAsia" w:ascii="宋体" w:hAnsi="宋体" w:eastAsia="宋体" w:cs="宋体"/>
          <w:bCs/>
          <w:color w:val="auto"/>
          <w:kern w:val="2"/>
          <w:sz w:val="24"/>
          <w:highlight w:val="none"/>
          <w:lang w:val="en-US" w:eastAsia="zh-CN" w:bidi="ar-SA"/>
        </w:rPr>
      </w:pPr>
      <w:r>
        <w:rPr>
          <w:rFonts w:hint="eastAsia" w:ascii="宋体" w:hAnsi="宋体" w:eastAsia="宋体" w:cs="宋体"/>
          <w:bCs/>
          <w:color w:val="auto"/>
          <w:kern w:val="2"/>
          <w:sz w:val="24"/>
          <w:highlight w:val="none"/>
          <w:lang w:val="en-US" w:eastAsia="zh-CN" w:bidi="ar-SA"/>
        </w:rPr>
        <w:t>联合体成员2法定代表人或委托人（盖章）：</w:t>
      </w:r>
    </w:p>
    <w:p w14:paraId="7AEA81ED">
      <w:pPr>
        <w:pageBreakBefore w:val="0"/>
        <w:widowControl w:val="0"/>
        <w:kinsoku/>
        <w:wordWrap w:val="0"/>
        <w:overflowPunct/>
        <w:topLinePunct w:val="0"/>
        <w:bidi w:val="0"/>
        <w:snapToGrid w:val="0"/>
        <w:spacing w:line="360" w:lineRule="auto"/>
        <w:ind w:firstLine="420"/>
        <w:jc w:val="both"/>
        <w:rPr>
          <w:rFonts w:hint="eastAsia" w:ascii="宋体" w:hAnsi="宋体" w:eastAsia="宋体" w:cs="宋体"/>
          <w:bCs/>
          <w:color w:val="auto"/>
          <w:kern w:val="2"/>
          <w:sz w:val="24"/>
          <w:highlight w:val="none"/>
          <w:lang w:val="en-US" w:eastAsia="zh-CN" w:bidi="ar-SA"/>
        </w:rPr>
      </w:pPr>
    </w:p>
    <w:p w14:paraId="41A4D815">
      <w:pPr>
        <w:pageBreakBefore w:val="0"/>
        <w:widowControl w:val="0"/>
        <w:kinsoku/>
        <w:wordWrap w:val="0"/>
        <w:overflowPunct/>
        <w:topLinePunct w:val="0"/>
        <w:bidi w:val="0"/>
        <w:spacing w:after="120"/>
        <w:ind w:firstLine="240" w:firstLineChars="100"/>
        <w:jc w:val="both"/>
        <w:rPr>
          <w:rFonts w:hint="eastAsia" w:ascii="宋体" w:hAnsi="宋体" w:eastAsia="宋体" w:cs="宋体"/>
          <w:b w:val="0"/>
          <w:bCs/>
          <w:color w:val="auto"/>
          <w:kern w:val="2"/>
          <w:sz w:val="24"/>
          <w:szCs w:val="20"/>
          <w:highlight w:val="none"/>
          <w:lang w:val="en-US" w:eastAsia="zh-CN" w:bidi="ar-SA"/>
        </w:rPr>
      </w:pPr>
      <w:r>
        <w:rPr>
          <w:rFonts w:hint="eastAsia" w:ascii="宋体" w:hAnsi="宋体" w:eastAsia="宋体" w:cs="宋体"/>
          <w:b w:val="0"/>
          <w:bCs/>
          <w:color w:val="auto"/>
          <w:kern w:val="2"/>
          <w:sz w:val="24"/>
          <w:szCs w:val="20"/>
          <w:highlight w:val="none"/>
          <w:lang w:val="en-US" w:eastAsia="zh-CN" w:bidi="ar-SA"/>
        </w:rPr>
        <w:t>日期：</w:t>
      </w:r>
    </w:p>
    <w:p w14:paraId="74866263">
      <w:pPr>
        <w:kinsoku/>
        <w:wordWrap w:val="0"/>
        <w:overflowPunct/>
        <w:bidi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page"/>
      </w:r>
    </w:p>
    <w:p w14:paraId="44DE0F52">
      <w:pPr>
        <w:pStyle w:val="4"/>
        <w:shd w:val="clear" w:color="auto" w:fill="auto"/>
        <w:kinsoku/>
        <w:wordWrap w:val="0"/>
        <w:overflowPunct/>
        <w:bidi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cs="宋体"/>
          <w:color w:val="auto"/>
          <w:highlight w:val="none"/>
          <w:lang w:val="en-US" w:eastAsia="zh-CN"/>
        </w:rPr>
        <w:t>7</w:t>
      </w:r>
      <w:r>
        <w:rPr>
          <w:rFonts w:hint="eastAsia" w:ascii="宋体" w:hAnsi="宋体" w:eastAsia="宋体" w:cs="宋体"/>
          <w:color w:val="auto"/>
          <w:highlight w:val="none"/>
        </w:rPr>
        <w:t>法定代表人授权书</w:t>
      </w:r>
    </w:p>
    <w:p w14:paraId="0B33572D">
      <w:pPr>
        <w:widowControl/>
        <w:shd w:val="clear" w:color="auto" w:fill="auto"/>
        <w:kinsoku/>
        <w:wordWrap w:val="0"/>
        <w:overflowPunct/>
        <w:autoSpaceDE w:val="0"/>
        <w:autoSpaceDN w:val="0"/>
        <w:bidi w:val="0"/>
        <w:snapToGrid w:val="0"/>
        <w:spacing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法定代表人授权书</w:t>
      </w:r>
    </w:p>
    <w:p w14:paraId="4C10FEBD">
      <w:pPr>
        <w:widowControl/>
        <w:shd w:val="clear" w:color="auto" w:fill="auto"/>
        <w:kinsoku/>
        <w:wordWrap w:val="0"/>
        <w:overflowPunct/>
        <w:autoSpaceDE w:val="0"/>
        <w:autoSpaceDN w:val="0"/>
        <w:bidi w:val="0"/>
        <w:snapToGrid w:val="0"/>
        <w:spacing w:line="360" w:lineRule="auto"/>
        <w:jc w:val="left"/>
        <w:rPr>
          <w:rFonts w:hint="eastAsia" w:ascii="宋体" w:hAnsi="宋体" w:eastAsia="宋体" w:cs="宋体"/>
          <w:color w:val="auto"/>
          <w:sz w:val="24"/>
          <w:highlight w:val="none"/>
        </w:rPr>
      </w:pPr>
    </w:p>
    <w:p w14:paraId="466EADCB">
      <w:pPr>
        <w:widowControl/>
        <w:shd w:val="clear" w:color="auto" w:fill="auto"/>
        <w:kinsoku/>
        <w:wordWrap w:val="0"/>
        <w:overflowPunct/>
        <w:bidi w:val="0"/>
        <w:snapToGrid w:val="0"/>
        <w:spacing w:line="360" w:lineRule="auto"/>
        <w:jc w:val="left"/>
        <w:rPr>
          <w:rFonts w:hint="eastAsia" w:ascii="宋体" w:hAnsi="宋体" w:eastAsia="宋体" w:cs="宋体"/>
          <w:color w:val="auto"/>
          <w:highlight w:val="none"/>
          <w:u w:val="single"/>
        </w:rPr>
      </w:pPr>
    </w:p>
    <w:p w14:paraId="0FBF993B">
      <w:pPr>
        <w:widowControl/>
        <w:shd w:val="clear" w:color="auto" w:fill="auto"/>
        <w:kinsoku/>
        <w:wordWrap w:val="0"/>
        <w:overflowPunct/>
        <w:bidi w:val="0"/>
        <w:snapToGrid w:val="0"/>
        <w:spacing w:line="360" w:lineRule="auto"/>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u w:val="single"/>
          <w:lang w:val="en-US" w:eastAsia="zh-CN"/>
        </w:rPr>
        <w:t>平阳县兴致房地产开发有限公司</w:t>
      </w:r>
      <w:r>
        <w:rPr>
          <w:rFonts w:hint="eastAsia" w:ascii="宋体" w:hAnsi="宋体" w:eastAsia="宋体" w:cs="宋体"/>
          <w:color w:val="auto"/>
          <w:sz w:val="22"/>
          <w:szCs w:val="22"/>
          <w:highlight w:val="none"/>
          <w:lang w:eastAsia="zh-CN"/>
        </w:rPr>
        <w:t>：</w:t>
      </w:r>
    </w:p>
    <w:p w14:paraId="0213CC5B">
      <w:pPr>
        <w:widowControl/>
        <w:shd w:val="clear" w:color="auto" w:fill="auto"/>
        <w:kinsoku/>
        <w:wordWrap w:val="0"/>
        <w:overflowPunct/>
        <w:bidi w:val="0"/>
        <w:snapToGrid w:val="0"/>
        <w:spacing w:line="360" w:lineRule="auto"/>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本授权委托书声明</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我</w:t>
      </w:r>
      <w:r>
        <w:rPr>
          <w:rFonts w:hint="eastAsia" w:ascii="宋体" w:hAnsi="宋体" w:eastAsia="宋体" w:cs="宋体"/>
          <w:color w:val="auto"/>
          <w:sz w:val="22"/>
          <w:szCs w:val="22"/>
          <w:highlight w:val="none"/>
          <w:u w:val="single"/>
        </w:rPr>
        <w:t xml:space="preserve">   （法定代表人姓名）   </w:t>
      </w:r>
      <w:r>
        <w:rPr>
          <w:rFonts w:hint="eastAsia" w:ascii="宋体" w:hAnsi="宋体" w:eastAsia="宋体" w:cs="宋体"/>
          <w:color w:val="auto"/>
          <w:sz w:val="22"/>
          <w:szCs w:val="22"/>
          <w:highlight w:val="none"/>
        </w:rPr>
        <w:t>系</w:t>
      </w:r>
      <w:r>
        <w:rPr>
          <w:rFonts w:hint="eastAsia" w:ascii="宋体" w:hAnsi="宋体" w:eastAsia="宋体" w:cs="宋体"/>
          <w:color w:val="auto"/>
          <w:sz w:val="22"/>
          <w:szCs w:val="22"/>
          <w:highlight w:val="none"/>
          <w:u w:val="single"/>
        </w:rPr>
        <w:t xml:space="preserve">   （供应商名称）  </w:t>
      </w:r>
      <w:r>
        <w:rPr>
          <w:rFonts w:hint="eastAsia" w:ascii="宋体" w:hAnsi="宋体" w:eastAsia="宋体" w:cs="宋体"/>
          <w:color w:val="auto"/>
          <w:sz w:val="22"/>
          <w:szCs w:val="22"/>
          <w:highlight w:val="none"/>
        </w:rPr>
        <w:t>的法定代表人，现授权委托</w:t>
      </w:r>
      <w:r>
        <w:rPr>
          <w:rFonts w:hint="eastAsia" w:ascii="宋体" w:hAnsi="宋体" w:eastAsia="宋体" w:cs="宋体"/>
          <w:color w:val="auto"/>
          <w:sz w:val="22"/>
          <w:szCs w:val="22"/>
          <w:highlight w:val="none"/>
          <w:u w:val="single"/>
        </w:rPr>
        <w:t xml:space="preserve">  （单 位 名 称）   </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 xml:space="preserve">  （授权代表姓名）  </w:t>
      </w:r>
      <w:r>
        <w:rPr>
          <w:rFonts w:hint="eastAsia" w:ascii="宋体" w:hAnsi="宋体" w:eastAsia="宋体" w:cs="宋体"/>
          <w:color w:val="auto"/>
          <w:sz w:val="22"/>
          <w:szCs w:val="22"/>
          <w:highlight w:val="none"/>
        </w:rPr>
        <w:t>为我公司法定代表人授权代表，参加贵处组织的</w:t>
      </w:r>
      <w:r>
        <w:rPr>
          <w:rFonts w:hint="eastAsia" w:ascii="宋体" w:hAnsi="宋体" w:eastAsia="宋体" w:cs="宋体"/>
          <w:color w:val="auto"/>
          <w:sz w:val="22"/>
          <w:szCs w:val="22"/>
          <w:highlight w:val="none"/>
          <w:u w:val="single"/>
        </w:rPr>
        <w:t xml:space="preserve"> 项目名称（括号中填写项目编号）   </w:t>
      </w:r>
      <w:r>
        <w:rPr>
          <w:rFonts w:hint="eastAsia" w:ascii="宋体" w:hAnsi="宋体" w:eastAsia="宋体" w:cs="宋体"/>
          <w:color w:val="auto"/>
          <w:sz w:val="22"/>
          <w:szCs w:val="22"/>
          <w:highlight w:val="none"/>
        </w:rPr>
        <w:t>项目投标，全权处理本次招投标活动中的一切事宜，我承认授权代表全权代表我所签署的本项目的投标文件的内容。</w:t>
      </w:r>
    </w:p>
    <w:p w14:paraId="3E04144B">
      <w:pPr>
        <w:widowControl/>
        <w:shd w:val="clear" w:color="auto" w:fill="auto"/>
        <w:kinsoku/>
        <w:wordWrap w:val="0"/>
        <w:overflowPunct/>
        <w:bidi w:val="0"/>
        <w:snapToGrid w:val="0"/>
        <w:spacing w:line="360" w:lineRule="auto"/>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授权代表无转授权，特此授权</w:t>
      </w:r>
    </w:p>
    <w:p w14:paraId="48C93DC8">
      <w:pPr>
        <w:widowControl/>
        <w:shd w:val="clear" w:color="auto" w:fill="auto"/>
        <w:kinsoku/>
        <w:wordWrap w:val="0"/>
        <w:overflowPunct/>
        <w:bidi w:val="0"/>
        <w:snapToGrid w:val="0"/>
        <w:spacing w:line="360" w:lineRule="auto"/>
        <w:ind w:left="1260"/>
        <w:jc w:val="left"/>
        <w:rPr>
          <w:rFonts w:hint="eastAsia" w:ascii="宋体" w:hAnsi="宋体" w:eastAsia="宋体" w:cs="宋体"/>
          <w:color w:val="auto"/>
          <w:sz w:val="22"/>
          <w:szCs w:val="22"/>
          <w:highlight w:val="none"/>
        </w:rPr>
      </w:pPr>
    </w:p>
    <w:p w14:paraId="291DD7D1">
      <w:pPr>
        <w:widowControl/>
        <w:shd w:val="clear" w:color="auto" w:fill="auto"/>
        <w:kinsoku/>
        <w:wordWrap w:val="0"/>
        <w:overflowPunct/>
        <w:bidi w:val="0"/>
        <w:snapToGrid w:val="0"/>
        <w:spacing w:line="360" w:lineRule="auto"/>
        <w:ind w:left="2098" w:firstLine="959"/>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授权代表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性别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年龄</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198CB7A3">
      <w:pPr>
        <w:widowControl/>
        <w:shd w:val="clear" w:color="auto" w:fill="auto"/>
        <w:kinsoku/>
        <w:wordWrap w:val="0"/>
        <w:overflowPunct/>
        <w:bidi w:val="0"/>
        <w:snapToGrid w:val="0"/>
        <w:spacing w:line="360" w:lineRule="auto"/>
        <w:ind w:left="2098" w:firstLine="959"/>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身份证号码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职务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3774F22F">
      <w:pPr>
        <w:widowControl/>
        <w:shd w:val="clear" w:color="auto" w:fill="auto"/>
        <w:kinsoku/>
        <w:wordWrap w:val="0"/>
        <w:overflowPunct/>
        <w:bidi w:val="0"/>
        <w:snapToGrid w:val="0"/>
        <w:spacing w:line="360" w:lineRule="auto"/>
        <w:ind w:left="2098" w:firstLine="959"/>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详细通讯地址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邮政编码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041EF36D">
      <w:pPr>
        <w:widowControl/>
        <w:shd w:val="clear" w:color="auto" w:fill="auto"/>
        <w:kinsoku/>
        <w:wordWrap w:val="0"/>
        <w:overflowPunct/>
        <w:bidi w:val="0"/>
        <w:snapToGrid w:val="0"/>
        <w:spacing w:line="360" w:lineRule="auto"/>
        <w:ind w:left="2098" w:firstLine="959"/>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电话</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传真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21C391EF">
      <w:pPr>
        <w:widowControl/>
        <w:shd w:val="clear" w:color="auto" w:fill="auto"/>
        <w:kinsoku/>
        <w:wordWrap w:val="0"/>
        <w:overflowPunct/>
        <w:bidi w:val="0"/>
        <w:snapToGrid w:val="0"/>
        <w:spacing w:line="360" w:lineRule="auto"/>
        <w:ind w:left="2098" w:firstLine="959"/>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004B125E">
      <w:pPr>
        <w:widowControl/>
        <w:shd w:val="clear" w:color="auto" w:fill="auto"/>
        <w:kinsoku/>
        <w:wordWrap w:val="0"/>
        <w:overflowPunct/>
        <w:bidi w:val="0"/>
        <w:snapToGrid w:val="0"/>
        <w:spacing w:line="360" w:lineRule="auto"/>
        <w:ind w:left="2098" w:right="440" w:firstLine="959"/>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（盖章）</w:t>
      </w:r>
    </w:p>
    <w:p w14:paraId="0B3C9E61">
      <w:pPr>
        <w:widowControl/>
        <w:shd w:val="clear" w:color="auto" w:fill="auto"/>
        <w:kinsoku/>
        <w:wordWrap w:val="0"/>
        <w:overflowPunct/>
        <w:bidi w:val="0"/>
        <w:snapToGrid w:val="0"/>
        <w:spacing w:line="360" w:lineRule="auto"/>
        <w:ind w:left="2098" w:right="440" w:firstLine="959"/>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（签字或盖章）</w:t>
      </w:r>
    </w:p>
    <w:p w14:paraId="44B3FA4C">
      <w:pPr>
        <w:widowControl/>
        <w:shd w:val="clear" w:color="auto" w:fill="auto"/>
        <w:kinsoku/>
        <w:wordWrap w:val="0"/>
        <w:overflowPunct/>
        <w:bidi w:val="0"/>
        <w:snapToGrid w:val="0"/>
        <w:spacing w:line="360" w:lineRule="auto"/>
        <w:jc w:val="left"/>
        <w:rPr>
          <w:rFonts w:hint="eastAsia" w:ascii="宋体" w:hAnsi="宋体" w:eastAsia="宋体" w:cs="宋体"/>
          <w:color w:val="auto"/>
          <w:sz w:val="22"/>
          <w:szCs w:val="22"/>
          <w:highlight w:val="none"/>
        </w:rPr>
      </w:pPr>
    </w:p>
    <w:p w14:paraId="25B2858B">
      <w:pPr>
        <w:widowControl/>
        <w:shd w:val="clear" w:color="auto" w:fill="auto"/>
        <w:kinsoku/>
        <w:wordWrap w:val="0"/>
        <w:overflowPunct/>
        <w:bidi w:val="0"/>
        <w:snapToGrid w:val="0"/>
        <w:spacing w:line="360" w:lineRule="auto"/>
        <w:ind w:left="2098" w:right="440" w:firstLine="959"/>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授权委托日期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年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bl>
      <w:tblPr>
        <w:tblStyle w:val="26"/>
        <w:tblW w:w="0" w:type="auto"/>
        <w:tblInd w:w="108" w:type="dxa"/>
        <w:tblLayout w:type="fixed"/>
        <w:tblCellMar>
          <w:top w:w="0" w:type="dxa"/>
          <w:left w:w="0" w:type="dxa"/>
          <w:bottom w:w="0" w:type="dxa"/>
          <w:right w:w="0" w:type="dxa"/>
        </w:tblCellMar>
      </w:tblPr>
      <w:tblGrid>
        <w:gridCol w:w="8657"/>
      </w:tblGrid>
      <w:tr w14:paraId="7BF7FE9A">
        <w:tblPrEx>
          <w:tblCellMar>
            <w:top w:w="0" w:type="dxa"/>
            <w:left w:w="0" w:type="dxa"/>
            <w:bottom w:w="0" w:type="dxa"/>
            <w:right w:w="0" w:type="dxa"/>
          </w:tblCellMar>
        </w:tblPrEx>
        <w:trPr>
          <w:trHeight w:val="2891" w:hRule="atLeast"/>
        </w:trPr>
        <w:tc>
          <w:tcPr>
            <w:tcW w:w="865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E81E6CF">
            <w:pPr>
              <w:keepNext w:val="0"/>
              <w:keepLines w:val="0"/>
              <w:widowControl/>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58E05C5F">
            <w:pPr>
              <w:keepNext w:val="0"/>
              <w:keepLines w:val="0"/>
              <w:widowControl/>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3AD51305">
            <w:pPr>
              <w:keepNext w:val="0"/>
              <w:keepLines w:val="0"/>
              <w:widowControl/>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授权代表身份证复印件与影印件粘贴处</w:t>
            </w:r>
          </w:p>
          <w:p w14:paraId="542EB4DF">
            <w:pPr>
              <w:keepNext w:val="0"/>
              <w:keepLines w:val="0"/>
              <w:widowControl/>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6BC74002">
            <w:pPr>
              <w:keepNext w:val="0"/>
              <w:keepLines w:val="0"/>
              <w:widowControl/>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78EC2B1D">
            <w:pPr>
              <w:keepNext w:val="0"/>
              <w:keepLines w:val="0"/>
              <w:widowControl/>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1722E4F6">
            <w:pPr>
              <w:keepNext w:val="0"/>
              <w:keepLines w:val="0"/>
              <w:widowControl/>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3234FC16">
            <w:pPr>
              <w:keepNext w:val="0"/>
              <w:keepLines w:val="0"/>
              <w:widowControl/>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bl>
    <w:p w14:paraId="29A845B4">
      <w:pPr>
        <w:widowControl/>
        <w:shd w:val="clear" w:color="auto" w:fill="auto"/>
        <w:tabs>
          <w:tab w:val="left" w:pos="360"/>
        </w:tabs>
        <w:kinsoku/>
        <w:wordWrap w:val="0"/>
        <w:overflowPunct/>
        <w:bidi w:val="0"/>
        <w:snapToGrid w:val="0"/>
        <w:spacing w:line="360" w:lineRule="auto"/>
        <w:ind w:left="36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注</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法定代表人必须签字或盖章，否则做无效标处理。如为法定代表人投标，则无需提供。</w:t>
      </w:r>
    </w:p>
    <w:p w14:paraId="60851B15">
      <w:pPr>
        <w:pStyle w:val="6"/>
        <w:kinsoku/>
        <w:wordWrap w:val="0"/>
        <w:overflowPunct/>
        <w:bidi w:val="0"/>
        <w:ind w:left="0" w:leftChars="0" w:firstLine="0" w:firstLineChars="0"/>
        <w:rPr>
          <w:rFonts w:hint="eastAsia"/>
          <w:color w:val="auto"/>
          <w:highlight w:val="none"/>
        </w:rPr>
      </w:pPr>
    </w:p>
    <w:p w14:paraId="56516AC0">
      <w:pPr>
        <w:widowControl/>
        <w:shd w:val="clear" w:color="auto" w:fill="auto"/>
        <w:kinsoku/>
        <w:wordWrap w:val="0"/>
        <w:overflowPunct/>
        <w:bidi w:val="0"/>
        <w:snapToGrid w:val="0"/>
        <w:spacing w:line="360" w:lineRule="auto"/>
        <w:jc w:val="left"/>
        <w:rPr>
          <w:rFonts w:hint="eastAsia" w:ascii="宋体" w:hAnsi="宋体" w:eastAsia="宋体" w:cs="宋体"/>
          <w:color w:val="auto"/>
          <w:sz w:val="22"/>
          <w:szCs w:val="22"/>
          <w:highlight w:val="none"/>
        </w:rPr>
      </w:pPr>
    </w:p>
    <w:p w14:paraId="4874DC47">
      <w:pPr>
        <w:kinsoku/>
        <w:wordWrap w:val="0"/>
        <w:overflowPunct/>
        <w:bidi w:val="0"/>
        <w:rPr>
          <w:rFonts w:hint="eastAsia" w:ascii="宋体" w:hAnsi="宋体" w:eastAsia="宋体" w:cs="宋体"/>
          <w:color w:val="auto"/>
          <w:highlight w:val="none"/>
          <w:lang w:val="en-US" w:eastAsia="zh-CN"/>
        </w:rPr>
      </w:pPr>
      <w:bookmarkStart w:id="96" w:name="_Toc817"/>
      <w:bookmarkStart w:id="97" w:name="_Toc28966"/>
      <w:bookmarkStart w:id="98" w:name="_Toc13445"/>
      <w:r>
        <w:rPr>
          <w:rFonts w:hint="eastAsia" w:ascii="宋体" w:hAnsi="宋体" w:eastAsia="宋体" w:cs="宋体"/>
          <w:color w:val="auto"/>
          <w:sz w:val="22"/>
          <w:szCs w:val="22"/>
          <w:highlight w:val="none"/>
        </w:rPr>
        <w:br w:type="page"/>
      </w:r>
      <w:bookmarkEnd w:id="96"/>
      <w:bookmarkEnd w:id="97"/>
      <w:bookmarkEnd w:id="98"/>
      <w:bookmarkStart w:id="99" w:name="_Toc28635"/>
      <w:bookmarkStart w:id="100" w:name="_Toc6047"/>
      <w:bookmarkStart w:id="101" w:name="_Toc28157"/>
    </w:p>
    <w:p w14:paraId="40BCF7EE">
      <w:pPr>
        <w:pStyle w:val="3"/>
        <w:shd w:val="clear" w:color="auto" w:fill="auto"/>
        <w:kinsoku/>
        <w:wordWrap w:val="0"/>
        <w:overflowPunct/>
        <w:bidi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二、“报价文件”格式</w:t>
      </w:r>
      <w:bookmarkEnd w:id="99"/>
      <w:bookmarkEnd w:id="100"/>
      <w:bookmarkEnd w:id="101"/>
    </w:p>
    <w:p w14:paraId="63E62BF6">
      <w:pPr>
        <w:pStyle w:val="5"/>
        <w:shd w:val="clear" w:color="auto" w:fill="auto"/>
        <w:kinsoku/>
        <w:wordWrap w:val="0"/>
        <w:overflowPunct/>
        <w:bidi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2.1 “报价文件”封面</w:t>
      </w:r>
    </w:p>
    <w:p w14:paraId="069AA41B">
      <w:pPr>
        <w:kinsoku/>
        <w:wordWrap w:val="0"/>
        <w:overflowPunct/>
        <w:bidi w:val="0"/>
        <w:rPr>
          <w:rFonts w:hint="eastAsia" w:ascii="宋体" w:hAnsi="宋体" w:eastAsia="宋体" w:cs="宋体"/>
          <w:color w:val="auto"/>
          <w:highlight w:val="none"/>
        </w:rPr>
      </w:pPr>
    </w:p>
    <w:p w14:paraId="49F13024">
      <w:pPr>
        <w:pStyle w:val="10"/>
        <w:kinsoku/>
        <w:wordWrap w:val="0"/>
        <w:overflowPunct/>
        <w:bidi w:val="0"/>
        <w:rPr>
          <w:rFonts w:hint="eastAsia"/>
          <w:color w:val="auto"/>
          <w:highlight w:val="none"/>
        </w:rPr>
      </w:pPr>
    </w:p>
    <w:p w14:paraId="4D32A1E2">
      <w:pPr>
        <w:shd w:val="clear" w:color="auto" w:fill="auto"/>
        <w:kinsoku/>
        <w:wordWrap w:val="0"/>
        <w:overflowPunct/>
        <w:bidi w:val="0"/>
        <w:spacing w:line="360" w:lineRule="auto"/>
        <w:jc w:val="center"/>
        <w:rPr>
          <w:rFonts w:hint="eastAsia" w:ascii="宋体" w:hAnsi="宋体" w:eastAsia="宋体" w:cs="宋体"/>
          <w:color w:val="auto"/>
          <w:sz w:val="48"/>
          <w:szCs w:val="48"/>
          <w:highlight w:val="none"/>
          <w:lang w:eastAsia="zh-CN"/>
        </w:rPr>
      </w:pPr>
      <w:r>
        <w:rPr>
          <w:rFonts w:hint="eastAsia" w:ascii="宋体" w:hAnsi="宋体" w:cs="宋体"/>
          <w:color w:val="auto"/>
          <w:sz w:val="48"/>
          <w:szCs w:val="48"/>
          <w:highlight w:val="none"/>
          <w:lang w:eastAsia="zh-CN"/>
        </w:rPr>
        <w:t>平阳县万全镇中心区B12地块项目代建（含初步设计及品牌冠名）服务采购</w:t>
      </w:r>
    </w:p>
    <w:p w14:paraId="56189C2C">
      <w:pPr>
        <w:pStyle w:val="60"/>
        <w:shd w:val="clear" w:color="auto" w:fill="auto"/>
        <w:kinsoku/>
        <w:wordWrap w:val="0"/>
        <w:overflowPunct/>
        <w:bidi w:val="0"/>
        <w:spacing w:after="0" w:line="360" w:lineRule="auto"/>
        <w:rPr>
          <w:rFonts w:hint="eastAsia" w:ascii="宋体" w:hAnsi="宋体" w:eastAsia="宋体" w:cs="宋体"/>
          <w:color w:val="auto"/>
          <w:highlight w:val="none"/>
        </w:rPr>
      </w:pPr>
    </w:p>
    <w:p w14:paraId="743CFBC8">
      <w:pPr>
        <w:shd w:val="clear" w:color="auto" w:fill="auto"/>
        <w:kinsoku/>
        <w:wordWrap w:val="0"/>
        <w:overflowPunct/>
        <w:bidi w:val="0"/>
        <w:spacing w:line="360" w:lineRule="auto"/>
        <w:jc w:val="center"/>
        <w:rPr>
          <w:rFonts w:hint="eastAsia" w:ascii="宋体" w:hAnsi="宋体" w:eastAsia="宋体" w:cs="宋体"/>
          <w:color w:val="auto"/>
          <w:sz w:val="96"/>
          <w:szCs w:val="22"/>
          <w:highlight w:val="none"/>
        </w:rPr>
      </w:pPr>
      <w:r>
        <w:rPr>
          <w:rFonts w:hint="eastAsia" w:ascii="宋体" w:hAnsi="宋体" w:eastAsia="宋体" w:cs="宋体"/>
          <w:color w:val="auto"/>
          <w:sz w:val="96"/>
          <w:szCs w:val="22"/>
          <w:highlight w:val="none"/>
        </w:rPr>
        <w:t>投 标 文 件</w:t>
      </w:r>
    </w:p>
    <w:p w14:paraId="4665F794">
      <w:pPr>
        <w:shd w:val="clear" w:color="auto" w:fill="auto"/>
        <w:kinsoku/>
        <w:wordWrap w:val="0"/>
        <w:overflowPunct/>
        <w:bidi w:val="0"/>
        <w:spacing w:line="360" w:lineRule="auto"/>
        <w:jc w:val="center"/>
        <w:rPr>
          <w:rFonts w:hint="eastAsia" w:ascii="宋体" w:hAnsi="宋体" w:eastAsia="宋体" w:cs="宋体"/>
          <w:b/>
          <w:color w:val="auto"/>
          <w:sz w:val="52"/>
          <w:szCs w:val="22"/>
          <w:highlight w:val="none"/>
        </w:rPr>
      </w:pPr>
      <w:r>
        <w:rPr>
          <w:rFonts w:hint="eastAsia" w:ascii="宋体" w:hAnsi="宋体" w:eastAsia="宋体" w:cs="宋体"/>
          <w:b/>
          <w:color w:val="auto"/>
          <w:sz w:val="52"/>
          <w:szCs w:val="22"/>
          <w:highlight w:val="none"/>
        </w:rPr>
        <w:t>（报价文件）</w:t>
      </w:r>
    </w:p>
    <w:p w14:paraId="3ECDA6F5">
      <w:pPr>
        <w:shd w:val="clear" w:color="auto" w:fill="auto"/>
        <w:kinsoku/>
        <w:wordWrap w:val="0"/>
        <w:overflowPunct/>
        <w:bidi w:val="0"/>
        <w:spacing w:line="360" w:lineRule="auto"/>
        <w:jc w:val="center"/>
        <w:rPr>
          <w:rFonts w:hint="eastAsia" w:ascii="宋体" w:hAnsi="宋体" w:eastAsia="宋体" w:cs="宋体"/>
          <w:b/>
          <w:color w:val="auto"/>
          <w:sz w:val="52"/>
          <w:szCs w:val="22"/>
          <w:highlight w:val="none"/>
        </w:rPr>
      </w:pPr>
    </w:p>
    <w:tbl>
      <w:tblPr>
        <w:tblStyle w:val="26"/>
        <w:tblW w:w="0" w:type="auto"/>
        <w:tblInd w:w="250" w:type="dxa"/>
        <w:tblLayout w:type="fixed"/>
        <w:tblCellMar>
          <w:top w:w="0" w:type="dxa"/>
          <w:left w:w="108" w:type="dxa"/>
          <w:bottom w:w="0" w:type="dxa"/>
          <w:right w:w="108" w:type="dxa"/>
        </w:tblCellMar>
      </w:tblPr>
      <w:tblGrid>
        <w:gridCol w:w="8789"/>
      </w:tblGrid>
      <w:tr w14:paraId="0D781334">
        <w:tblPrEx>
          <w:tblCellMar>
            <w:top w:w="0" w:type="dxa"/>
            <w:left w:w="108" w:type="dxa"/>
            <w:bottom w:w="0" w:type="dxa"/>
            <w:right w:w="108" w:type="dxa"/>
          </w:tblCellMar>
        </w:tblPrEx>
        <w:trPr>
          <w:trHeight w:val="680" w:hRule="atLeast"/>
        </w:trPr>
        <w:tc>
          <w:tcPr>
            <w:tcW w:w="8789" w:type="dxa"/>
            <w:noWrap w:val="0"/>
            <w:vAlign w:val="center"/>
          </w:tcPr>
          <w:p w14:paraId="4EB6D52E">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 xml:space="preserve"> </w:t>
            </w:r>
            <w:r>
              <w:rPr>
                <w:rFonts w:hint="eastAsia" w:ascii="宋体" w:hAnsi="宋体" w:cs="宋体"/>
                <w:b/>
                <w:color w:val="auto"/>
                <w:sz w:val="28"/>
                <w:szCs w:val="28"/>
                <w:highlight w:val="none"/>
                <w:lang w:eastAsia="zh-CN"/>
              </w:rPr>
              <w:t>PYCG250930104</w:t>
            </w:r>
            <w:r>
              <w:rPr>
                <w:rFonts w:hint="eastAsia" w:ascii="宋体" w:hAnsi="宋体" w:eastAsia="宋体" w:cs="宋体"/>
                <w:b/>
                <w:color w:val="auto"/>
                <w:sz w:val="28"/>
                <w:szCs w:val="28"/>
                <w:highlight w:val="none"/>
              </w:rPr>
              <w:t xml:space="preserve">    </w:t>
            </w:r>
          </w:p>
        </w:tc>
      </w:tr>
      <w:tr w14:paraId="4C5E0892">
        <w:tblPrEx>
          <w:tblCellMar>
            <w:top w:w="0" w:type="dxa"/>
            <w:left w:w="108" w:type="dxa"/>
            <w:bottom w:w="0" w:type="dxa"/>
            <w:right w:w="108" w:type="dxa"/>
          </w:tblCellMar>
        </w:tblPrEx>
        <w:trPr>
          <w:trHeight w:val="680" w:hRule="atLeast"/>
        </w:trPr>
        <w:tc>
          <w:tcPr>
            <w:tcW w:w="8789" w:type="dxa"/>
            <w:noWrap w:val="0"/>
            <w:vAlign w:val="center"/>
          </w:tcPr>
          <w:p w14:paraId="7732096C">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供应商名称（盖章）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w:t>
            </w:r>
          </w:p>
        </w:tc>
      </w:tr>
      <w:tr w14:paraId="33D698D7">
        <w:tblPrEx>
          <w:tblCellMar>
            <w:top w:w="0" w:type="dxa"/>
            <w:left w:w="108" w:type="dxa"/>
            <w:bottom w:w="0" w:type="dxa"/>
            <w:right w:w="108" w:type="dxa"/>
          </w:tblCellMar>
        </w:tblPrEx>
        <w:trPr>
          <w:trHeight w:val="680" w:hRule="atLeast"/>
        </w:trPr>
        <w:tc>
          <w:tcPr>
            <w:tcW w:w="8789" w:type="dxa"/>
            <w:noWrap w:val="0"/>
            <w:vAlign w:val="center"/>
          </w:tcPr>
          <w:p w14:paraId="29CD3875">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供应商地址</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w:t>
            </w:r>
          </w:p>
        </w:tc>
      </w:tr>
      <w:tr w14:paraId="417B7E98">
        <w:tblPrEx>
          <w:tblCellMar>
            <w:top w:w="0" w:type="dxa"/>
            <w:left w:w="108" w:type="dxa"/>
            <w:bottom w:w="0" w:type="dxa"/>
            <w:right w:w="108" w:type="dxa"/>
          </w:tblCellMar>
        </w:tblPrEx>
        <w:trPr>
          <w:trHeight w:val="680" w:hRule="atLeast"/>
        </w:trPr>
        <w:tc>
          <w:tcPr>
            <w:tcW w:w="8789" w:type="dxa"/>
            <w:noWrap w:val="0"/>
            <w:vAlign w:val="center"/>
          </w:tcPr>
          <w:p w14:paraId="1E2A2B80">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法定代表人或其授权代表（签字或签章）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w:t>
            </w:r>
          </w:p>
        </w:tc>
      </w:tr>
      <w:tr w14:paraId="26B002D3">
        <w:tblPrEx>
          <w:tblCellMar>
            <w:top w:w="0" w:type="dxa"/>
            <w:left w:w="108" w:type="dxa"/>
            <w:bottom w:w="0" w:type="dxa"/>
            <w:right w:w="108" w:type="dxa"/>
          </w:tblCellMar>
        </w:tblPrEx>
        <w:trPr>
          <w:trHeight w:val="680" w:hRule="atLeast"/>
        </w:trPr>
        <w:tc>
          <w:tcPr>
            <w:tcW w:w="8789" w:type="dxa"/>
            <w:noWrap w:val="0"/>
            <w:vAlign w:val="center"/>
          </w:tcPr>
          <w:p w14:paraId="19180A83">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__________________________________________________________</w:t>
            </w:r>
          </w:p>
        </w:tc>
      </w:tr>
      <w:tr w14:paraId="38FCFAB6">
        <w:tblPrEx>
          <w:tblCellMar>
            <w:top w:w="0" w:type="dxa"/>
            <w:left w:w="108" w:type="dxa"/>
            <w:bottom w:w="0" w:type="dxa"/>
            <w:right w:w="108" w:type="dxa"/>
          </w:tblCellMar>
        </w:tblPrEx>
        <w:trPr>
          <w:trHeight w:val="335" w:hRule="atLeast"/>
        </w:trPr>
        <w:tc>
          <w:tcPr>
            <w:tcW w:w="8789" w:type="dxa"/>
            <w:noWrap w:val="0"/>
            <w:vAlign w:val="center"/>
          </w:tcPr>
          <w:p w14:paraId="199DCBF7">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8"/>
                <w:szCs w:val="28"/>
                <w:highlight w:val="none"/>
              </w:rPr>
            </w:pPr>
          </w:p>
        </w:tc>
      </w:tr>
      <w:tr w14:paraId="7D8720DA">
        <w:tblPrEx>
          <w:tblCellMar>
            <w:top w:w="0" w:type="dxa"/>
            <w:left w:w="108" w:type="dxa"/>
            <w:bottom w:w="0" w:type="dxa"/>
            <w:right w:w="108" w:type="dxa"/>
          </w:tblCellMar>
        </w:tblPrEx>
        <w:trPr>
          <w:trHeight w:val="680" w:hRule="atLeast"/>
        </w:trPr>
        <w:tc>
          <w:tcPr>
            <w:tcW w:w="8789" w:type="dxa"/>
            <w:noWrap w:val="0"/>
            <w:vAlign w:val="center"/>
          </w:tcPr>
          <w:p w14:paraId="2B19D8BD">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b/>
                <w:color w:val="auto"/>
                <w:sz w:val="28"/>
                <w:szCs w:val="28"/>
                <w:highlight w:val="none"/>
                <w:lang w:eastAsia="zh-CN"/>
              </w:rPr>
            </w:pPr>
          </w:p>
        </w:tc>
      </w:tr>
    </w:tbl>
    <w:p w14:paraId="2F5BBD75">
      <w:pPr>
        <w:shd w:val="clear" w:color="auto" w:fill="auto"/>
        <w:kinsoku/>
        <w:wordWrap w:val="0"/>
        <w:overflowPunct/>
        <w:autoSpaceDE w:val="0"/>
        <w:autoSpaceDN w:val="0"/>
        <w:bidi w:val="0"/>
        <w:adjustRightInd w:val="0"/>
        <w:snapToGrid w:val="0"/>
        <w:spacing w:line="360" w:lineRule="auto"/>
        <w:rPr>
          <w:rFonts w:hint="eastAsia" w:ascii="宋体" w:hAnsi="宋体" w:eastAsia="宋体" w:cs="宋体"/>
          <w:color w:val="auto"/>
          <w:highlight w:val="none"/>
        </w:rPr>
        <w:sectPr>
          <w:headerReference r:id="rId5" w:type="first"/>
          <w:footerReference r:id="rId7" w:type="first"/>
          <w:headerReference r:id="rId4" w:type="default"/>
          <w:footerReference r:id="rId6" w:type="default"/>
          <w:pgSz w:w="11906" w:h="16838"/>
          <w:pgMar w:top="1440" w:right="748" w:bottom="1440" w:left="1361" w:header="720" w:footer="720" w:gutter="0"/>
          <w:cols w:space="720" w:num="1"/>
          <w:titlePg/>
          <w:docGrid w:linePitch="286" w:charSpace="-3831"/>
        </w:sectPr>
      </w:pPr>
    </w:p>
    <w:p w14:paraId="107A0813">
      <w:pPr>
        <w:pStyle w:val="5"/>
        <w:shd w:val="clear" w:color="auto" w:fill="auto"/>
        <w:kinsoku/>
        <w:wordWrap w:val="0"/>
        <w:overflowPunct/>
        <w:bidi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2.2 开标一览表</w:t>
      </w:r>
    </w:p>
    <w:p w14:paraId="28530820">
      <w:pPr>
        <w:pStyle w:val="14"/>
        <w:shd w:val="clear" w:color="auto" w:fill="auto"/>
        <w:kinsoku/>
        <w:wordWrap w:val="0"/>
        <w:overflowPunct/>
        <w:bidi w:val="0"/>
        <w:adjustRightInd w:val="0"/>
        <w:snapToGrid w:val="0"/>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开标一览表</w:t>
      </w:r>
    </w:p>
    <w:p w14:paraId="5FB68A00">
      <w:pPr>
        <w:pStyle w:val="14"/>
        <w:shd w:val="clear" w:color="auto" w:fill="auto"/>
        <w:kinsoku/>
        <w:wordWrap w:val="0"/>
        <w:overflowPunct/>
        <w:bidi w:val="0"/>
        <w:adjustRightInd w:val="0"/>
        <w:snapToGrid w:val="0"/>
        <w:spacing w:line="360" w:lineRule="auto"/>
        <w:rPr>
          <w:rFonts w:hint="eastAsia" w:ascii="宋体" w:hAnsi="宋体" w:eastAsia="宋体" w:cs="宋体"/>
          <w:color w:val="auto"/>
          <w:sz w:val="36"/>
          <w:szCs w:val="36"/>
          <w:highlight w:val="none"/>
        </w:rPr>
      </w:pPr>
    </w:p>
    <w:p w14:paraId="597187FB">
      <w:pPr>
        <w:pStyle w:val="14"/>
        <w:shd w:val="clear" w:color="auto" w:fill="auto"/>
        <w:kinsoku/>
        <w:wordWrap w:val="0"/>
        <w:overflowPunct/>
        <w:bidi w:val="0"/>
        <w:adjustRightInd w:val="0"/>
        <w:snapToGrid w:val="0"/>
        <w:spacing w:line="360" w:lineRule="auto"/>
        <w:rPr>
          <w:rFonts w:hint="eastAsia" w:ascii="宋体" w:hAnsi="宋体" w:eastAsia="宋体" w:cs="宋体"/>
          <w:color w:val="auto"/>
          <w:sz w:val="36"/>
          <w:szCs w:val="36"/>
          <w:highlight w:val="none"/>
        </w:rPr>
      </w:pPr>
    </w:p>
    <w:p w14:paraId="686D1690">
      <w:pPr>
        <w:pStyle w:val="14"/>
        <w:shd w:val="clear" w:color="auto" w:fill="auto"/>
        <w:kinsoku/>
        <w:wordWrap w:val="0"/>
        <w:overflowPunct/>
        <w:bidi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项目编号</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0"/>
        <w:gridCol w:w="4729"/>
        <w:gridCol w:w="1623"/>
      </w:tblGrid>
      <w:tr w14:paraId="2325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930" w:type="dxa"/>
            <w:noWrap w:val="0"/>
            <w:vAlign w:val="center"/>
          </w:tcPr>
          <w:p w14:paraId="11B47E77">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4729" w:type="dxa"/>
            <w:noWrap w:val="0"/>
            <w:vAlign w:val="center"/>
          </w:tcPr>
          <w:p w14:paraId="56E2999D">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w:t>
            </w:r>
            <w:r>
              <w:rPr>
                <w:rFonts w:hint="eastAsia" w:ascii="宋体" w:hAnsi="宋体" w:cs="宋体"/>
                <w:color w:val="auto"/>
                <w:sz w:val="22"/>
                <w:szCs w:val="22"/>
                <w:highlight w:val="none"/>
                <w:lang w:val="en-US" w:eastAsia="zh-CN"/>
              </w:rPr>
              <w:t>总</w:t>
            </w:r>
            <w:r>
              <w:rPr>
                <w:rFonts w:hint="eastAsia" w:ascii="宋体" w:hAnsi="宋体" w:eastAsia="宋体" w:cs="宋体"/>
                <w:color w:val="auto"/>
                <w:sz w:val="22"/>
                <w:szCs w:val="22"/>
                <w:highlight w:val="none"/>
              </w:rPr>
              <w:t>价（元）</w:t>
            </w:r>
          </w:p>
        </w:tc>
        <w:tc>
          <w:tcPr>
            <w:tcW w:w="1623" w:type="dxa"/>
            <w:noWrap w:val="0"/>
            <w:vAlign w:val="center"/>
          </w:tcPr>
          <w:p w14:paraId="3564ED5A">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246B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2930" w:type="dxa"/>
            <w:noWrap w:val="0"/>
            <w:vAlign w:val="center"/>
          </w:tcPr>
          <w:p w14:paraId="4149FFAC">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平阳县万全镇中心区B12地块项目代建（含初步设计及品牌冠名）服务采购</w:t>
            </w:r>
          </w:p>
        </w:tc>
        <w:tc>
          <w:tcPr>
            <w:tcW w:w="4729" w:type="dxa"/>
            <w:noWrap w:val="0"/>
            <w:vAlign w:val="center"/>
          </w:tcPr>
          <w:p w14:paraId="2F40FF84">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小写</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元</w:t>
            </w:r>
          </w:p>
          <w:p w14:paraId="0637595C">
            <w:pPr>
              <w:pStyle w:val="10"/>
              <w:keepNext w:val="0"/>
              <w:keepLines w:val="0"/>
              <w:suppressLineNumbers w:val="0"/>
              <w:shd w:val="clear" w:color="auto" w:fill="auto"/>
              <w:kinsoku/>
              <w:wordWrap w:val="0"/>
              <w:overflowPunct/>
              <w:bidi w:val="0"/>
              <w:spacing w:before="0" w:beforeAutospacing="0" w:after="0" w:afterAutospacing="0" w:line="360" w:lineRule="auto"/>
              <w:ind w:left="0" w:right="0" w:firstLine="0" w:firstLineChars="0"/>
              <w:rPr>
                <w:rFonts w:hint="eastAsia" w:ascii="宋体" w:hAnsi="宋体" w:eastAsia="宋体" w:cs="宋体"/>
                <w:bCs w:val="0"/>
                <w:color w:val="auto"/>
                <w:sz w:val="22"/>
                <w:szCs w:val="22"/>
                <w:highlight w:val="none"/>
                <w:u w:val="single"/>
              </w:rPr>
            </w:pPr>
          </w:p>
          <w:p w14:paraId="12C7E870">
            <w:pPr>
              <w:pStyle w:val="10"/>
              <w:keepNext w:val="0"/>
              <w:keepLines w:val="0"/>
              <w:suppressLineNumbers w:val="0"/>
              <w:shd w:val="clear" w:color="auto" w:fill="auto"/>
              <w:kinsoku/>
              <w:wordWrap w:val="0"/>
              <w:overflowPunct/>
              <w:bidi w:val="0"/>
              <w:spacing w:before="0" w:beforeAutospacing="0" w:after="0" w:afterAutospacing="0" w:line="360" w:lineRule="auto"/>
              <w:ind w:left="0" w:right="0" w:firstLine="0" w:firstLineChars="0"/>
              <w:rPr>
                <w:rFonts w:hint="eastAsia" w:ascii="宋体" w:hAnsi="宋体" w:eastAsia="宋体" w:cs="宋体"/>
                <w:color w:val="auto"/>
                <w:sz w:val="22"/>
                <w:szCs w:val="22"/>
                <w:highlight w:val="none"/>
              </w:rPr>
            </w:pPr>
            <w:r>
              <w:rPr>
                <w:rFonts w:hint="eastAsia" w:ascii="宋体" w:hAnsi="宋体" w:eastAsia="宋体" w:cs="宋体"/>
                <w:bCs w:val="0"/>
                <w:color w:val="auto"/>
                <w:sz w:val="22"/>
                <w:szCs w:val="22"/>
                <w:highlight w:val="none"/>
              </w:rPr>
              <w:t>大写</w:t>
            </w:r>
            <w:r>
              <w:rPr>
                <w:rFonts w:hint="eastAsia" w:ascii="宋体" w:hAnsi="宋体" w:eastAsia="宋体" w:cs="宋体"/>
                <w:bCs w:val="0"/>
                <w:color w:val="auto"/>
                <w:sz w:val="22"/>
                <w:szCs w:val="22"/>
                <w:highlight w:val="none"/>
                <w:lang w:eastAsia="zh-CN"/>
              </w:rPr>
              <w:t>：</w:t>
            </w:r>
            <w:r>
              <w:rPr>
                <w:rFonts w:hint="eastAsia" w:ascii="宋体" w:hAnsi="宋体" w:eastAsia="宋体" w:cs="宋体"/>
                <w:bCs w:val="0"/>
                <w:color w:val="auto"/>
                <w:sz w:val="22"/>
                <w:szCs w:val="22"/>
                <w:highlight w:val="none"/>
                <w:u w:val="single"/>
              </w:rPr>
              <w:t xml:space="preserve">                      元整</w:t>
            </w:r>
          </w:p>
        </w:tc>
        <w:tc>
          <w:tcPr>
            <w:tcW w:w="1623" w:type="dxa"/>
            <w:noWrap w:val="0"/>
            <w:vAlign w:val="center"/>
          </w:tcPr>
          <w:p w14:paraId="602DE045">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bl>
    <w:p w14:paraId="122ED5B6">
      <w:pPr>
        <w:pStyle w:val="14"/>
        <w:numPr>
          <w:ilvl w:val="0"/>
          <w:numId w:val="5"/>
        </w:numPr>
        <w:shd w:val="clear" w:color="auto" w:fill="auto"/>
        <w:kinsoku/>
        <w:wordWrap w:val="0"/>
        <w:overflowPunct/>
        <w:bidi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▲开标一览表中报价为符合采购文件要求的项目投标总价，包括整个项目实施过程中所有费用。</w:t>
      </w:r>
    </w:p>
    <w:p w14:paraId="2C872CDA">
      <w:pPr>
        <w:pStyle w:val="14"/>
        <w:numPr>
          <w:ilvl w:val="0"/>
          <w:numId w:val="5"/>
        </w:numPr>
        <w:shd w:val="clear" w:color="auto" w:fill="auto"/>
        <w:kinsoku/>
        <w:wordWrap w:val="0"/>
        <w:overflowPunct/>
        <w:bidi w:val="0"/>
        <w:adjustRightInd w:val="0"/>
        <w:snapToGrid w:val="0"/>
        <w:spacing w:line="360" w:lineRule="auto"/>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u w:val="single"/>
        </w:rPr>
        <w:t>▲本项目最高限价</w:t>
      </w:r>
      <w:r>
        <w:rPr>
          <w:rFonts w:hint="eastAsia" w:hAnsi="宋体" w:cs="宋体"/>
          <w:b/>
          <w:bCs/>
          <w:color w:val="auto"/>
          <w:sz w:val="22"/>
          <w:szCs w:val="22"/>
          <w:highlight w:val="none"/>
          <w:u w:val="single"/>
          <w:shd w:val="clear" w:color="auto" w:fill="FFFFFF"/>
          <w:lang w:val="en-US" w:eastAsia="zh-CN"/>
        </w:rPr>
        <w:t>17918656</w:t>
      </w:r>
      <w:r>
        <w:rPr>
          <w:rFonts w:hint="eastAsia" w:ascii="宋体" w:hAnsi="宋体" w:eastAsia="宋体" w:cs="宋体"/>
          <w:b/>
          <w:color w:val="auto"/>
          <w:sz w:val="22"/>
          <w:szCs w:val="22"/>
          <w:highlight w:val="none"/>
          <w:u w:val="single"/>
        </w:rPr>
        <w:t>元</w:t>
      </w:r>
      <w:r>
        <w:rPr>
          <w:rFonts w:hint="eastAsia" w:ascii="宋体" w:hAnsi="宋体" w:eastAsia="宋体" w:cs="宋体"/>
          <w:b/>
          <w:bCs/>
          <w:color w:val="auto"/>
          <w:sz w:val="22"/>
          <w:szCs w:val="22"/>
          <w:highlight w:val="none"/>
          <w:u w:val="single"/>
        </w:rPr>
        <w:t>，超过最高限价的投标报价为无效标。</w:t>
      </w:r>
    </w:p>
    <w:p w14:paraId="66ADA3E5">
      <w:pPr>
        <w:pStyle w:val="15"/>
        <w:shd w:val="clear" w:color="auto" w:fill="auto"/>
        <w:kinsoku/>
        <w:wordWrap w:val="0"/>
        <w:overflowPunct/>
        <w:bidi w:val="0"/>
        <w:spacing w:line="360" w:lineRule="auto"/>
        <w:ind w:left="0" w:leftChars="0"/>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3、▲不提供此表格的将视为没有实质性响应采购文件。</w:t>
      </w:r>
    </w:p>
    <w:p w14:paraId="28749337">
      <w:pPr>
        <w:shd w:val="clear" w:color="auto" w:fill="auto"/>
        <w:kinsoku/>
        <w:wordWrap w:val="0"/>
        <w:overflowPunct/>
        <w:autoSpaceDE w:val="0"/>
        <w:autoSpaceDN w:val="0"/>
        <w:bidi w:val="0"/>
        <w:adjustRightInd w:val="0"/>
        <w:spacing w:line="360" w:lineRule="auto"/>
        <w:rPr>
          <w:rFonts w:hint="eastAsia" w:ascii="宋体" w:hAnsi="宋体" w:eastAsia="宋体" w:cs="宋体"/>
          <w:color w:val="auto"/>
          <w:sz w:val="22"/>
          <w:szCs w:val="22"/>
          <w:highlight w:val="none"/>
          <w:lang w:val="zh-CN"/>
        </w:rPr>
      </w:pPr>
    </w:p>
    <w:p w14:paraId="2C258224">
      <w:pPr>
        <w:shd w:val="clear" w:color="auto" w:fill="auto"/>
        <w:kinsoku/>
        <w:wordWrap w:val="0"/>
        <w:overflowPunct/>
        <w:autoSpaceDE w:val="0"/>
        <w:autoSpaceDN w:val="0"/>
        <w:bidi w:val="0"/>
        <w:adjustRightInd w:val="0"/>
        <w:spacing w:line="360" w:lineRule="auto"/>
        <w:rPr>
          <w:rFonts w:hint="eastAsia" w:ascii="宋体" w:hAnsi="宋体" w:eastAsia="宋体" w:cs="宋体"/>
          <w:color w:val="auto"/>
          <w:sz w:val="22"/>
          <w:szCs w:val="22"/>
          <w:highlight w:val="none"/>
          <w:lang w:val="zh-CN"/>
        </w:rPr>
      </w:pPr>
    </w:p>
    <w:p w14:paraId="7175FDE5">
      <w:pPr>
        <w:shd w:val="clear" w:color="auto" w:fill="auto"/>
        <w:kinsoku/>
        <w:wordWrap w:val="0"/>
        <w:overflowPunct/>
        <w:autoSpaceDE w:val="0"/>
        <w:autoSpaceDN w:val="0"/>
        <w:bidi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供应商全称（盖章）：</w:t>
      </w:r>
    </w:p>
    <w:p w14:paraId="625088D2">
      <w:pPr>
        <w:shd w:val="clear" w:color="auto" w:fill="auto"/>
        <w:kinsoku/>
        <w:wordWrap w:val="0"/>
        <w:overflowPunct/>
        <w:autoSpaceDE w:val="0"/>
        <w:autoSpaceDN w:val="0"/>
        <w:bidi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法定代表人或授权代表（签字或盖章）：</w:t>
      </w:r>
    </w:p>
    <w:p w14:paraId="10E95CD0">
      <w:pPr>
        <w:shd w:val="clear" w:color="auto" w:fill="auto"/>
        <w:kinsoku/>
        <w:wordWrap w:val="0"/>
        <w:overflowPunct/>
        <w:autoSpaceDE w:val="0"/>
        <w:autoSpaceDN w:val="0"/>
        <w:bidi w:val="0"/>
        <w:adjustRightInd w:val="0"/>
        <w:spacing w:line="360" w:lineRule="auto"/>
        <w:rPr>
          <w:rFonts w:hint="eastAsia" w:ascii="宋体" w:hAnsi="宋体" w:eastAsia="宋体" w:cs="宋体"/>
          <w:b/>
          <w:color w:val="auto"/>
          <w:sz w:val="22"/>
          <w:szCs w:val="22"/>
          <w:highlight w:val="none"/>
          <w:lang w:val="zh-CN"/>
        </w:rPr>
      </w:pPr>
      <w:r>
        <w:rPr>
          <w:rFonts w:hint="eastAsia" w:ascii="宋体" w:hAnsi="宋体" w:eastAsia="宋体" w:cs="宋体"/>
          <w:color w:val="auto"/>
          <w:sz w:val="22"/>
          <w:szCs w:val="22"/>
          <w:highlight w:val="none"/>
          <w:lang w:val="zh-CN"/>
        </w:rPr>
        <w:t>日期：</w:t>
      </w:r>
    </w:p>
    <w:p w14:paraId="3A35EFBD">
      <w:pPr>
        <w:shd w:val="clear" w:color="auto" w:fill="auto"/>
        <w:kinsoku/>
        <w:wordWrap w:val="0"/>
        <w:overflowPunct/>
        <w:autoSpaceDE w:val="0"/>
        <w:autoSpaceDN w:val="0"/>
        <w:bidi w:val="0"/>
        <w:adjustRightInd w:val="0"/>
        <w:spacing w:line="360" w:lineRule="auto"/>
        <w:rPr>
          <w:rFonts w:hint="eastAsia" w:ascii="宋体" w:hAnsi="宋体" w:eastAsia="宋体" w:cs="宋体"/>
          <w:b/>
          <w:color w:val="auto"/>
          <w:sz w:val="22"/>
          <w:szCs w:val="22"/>
          <w:highlight w:val="none"/>
          <w:lang w:val="zh-CN"/>
        </w:rPr>
      </w:pPr>
    </w:p>
    <w:p w14:paraId="0C893A10">
      <w:pPr>
        <w:shd w:val="clear" w:color="auto" w:fill="auto"/>
        <w:kinsoku/>
        <w:wordWrap w:val="0"/>
        <w:overflowPunct/>
        <w:autoSpaceDE w:val="0"/>
        <w:autoSpaceDN w:val="0"/>
        <w:bidi w:val="0"/>
        <w:adjustRightInd w:val="0"/>
        <w:spacing w:line="360" w:lineRule="auto"/>
        <w:rPr>
          <w:rFonts w:hint="eastAsia" w:ascii="宋体" w:hAnsi="宋体" w:eastAsia="宋体" w:cs="宋体"/>
          <w:b/>
          <w:color w:val="auto"/>
          <w:sz w:val="22"/>
          <w:szCs w:val="22"/>
          <w:highlight w:val="none"/>
          <w:lang w:val="zh-CN"/>
        </w:rPr>
      </w:pPr>
    </w:p>
    <w:p w14:paraId="4B943DB9">
      <w:pPr>
        <w:shd w:val="clear" w:color="auto" w:fill="auto"/>
        <w:kinsoku/>
        <w:wordWrap w:val="0"/>
        <w:overflowPunct/>
        <w:autoSpaceDE w:val="0"/>
        <w:autoSpaceDN w:val="0"/>
        <w:bidi w:val="0"/>
        <w:adjustRightInd w:val="0"/>
        <w:spacing w:line="360" w:lineRule="auto"/>
        <w:rPr>
          <w:rFonts w:hint="eastAsia" w:ascii="宋体" w:hAnsi="宋体" w:eastAsia="宋体" w:cs="宋体"/>
          <w:b/>
          <w:color w:val="auto"/>
          <w:sz w:val="22"/>
          <w:szCs w:val="22"/>
          <w:highlight w:val="none"/>
          <w:lang w:val="zh-CN"/>
        </w:rPr>
      </w:pPr>
    </w:p>
    <w:p w14:paraId="0F39BFEF">
      <w:pPr>
        <w:shd w:val="clear" w:color="auto" w:fill="auto"/>
        <w:kinsoku/>
        <w:wordWrap w:val="0"/>
        <w:overflowPunct/>
        <w:autoSpaceDE w:val="0"/>
        <w:autoSpaceDN w:val="0"/>
        <w:bidi w:val="0"/>
        <w:adjustRightInd w:val="0"/>
        <w:spacing w:line="360" w:lineRule="auto"/>
        <w:rPr>
          <w:rFonts w:hint="eastAsia" w:ascii="宋体" w:hAnsi="宋体" w:eastAsia="宋体" w:cs="宋体"/>
          <w:b/>
          <w:color w:val="auto"/>
          <w:sz w:val="30"/>
          <w:highlight w:val="none"/>
          <w:lang w:val="zh-CN"/>
        </w:rPr>
      </w:pPr>
    </w:p>
    <w:p w14:paraId="6C1BE582">
      <w:pPr>
        <w:shd w:val="clear" w:color="auto" w:fill="auto"/>
        <w:kinsoku/>
        <w:wordWrap w:val="0"/>
        <w:overflowPunct/>
        <w:autoSpaceDE w:val="0"/>
        <w:autoSpaceDN w:val="0"/>
        <w:bidi w:val="0"/>
        <w:adjustRightInd w:val="0"/>
        <w:spacing w:line="360" w:lineRule="auto"/>
        <w:rPr>
          <w:rFonts w:hint="eastAsia" w:ascii="宋体" w:hAnsi="宋体" w:eastAsia="宋体" w:cs="宋体"/>
          <w:b/>
          <w:color w:val="auto"/>
          <w:sz w:val="30"/>
          <w:highlight w:val="none"/>
          <w:lang w:val="zh-CN"/>
        </w:rPr>
      </w:pPr>
    </w:p>
    <w:p w14:paraId="66B0DC72">
      <w:pPr>
        <w:shd w:val="clear" w:color="auto" w:fill="auto"/>
        <w:kinsoku/>
        <w:wordWrap w:val="0"/>
        <w:overflowPunct/>
        <w:autoSpaceDE w:val="0"/>
        <w:autoSpaceDN w:val="0"/>
        <w:bidi w:val="0"/>
        <w:adjustRightInd w:val="0"/>
        <w:spacing w:line="360" w:lineRule="auto"/>
        <w:rPr>
          <w:rFonts w:hint="eastAsia" w:ascii="宋体" w:hAnsi="宋体" w:eastAsia="宋体" w:cs="宋体"/>
          <w:color w:val="auto"/>
          <w:sz w:val="22"/>
          <w:szCs w:val="22"/>
          <w:highlight w:val="none"/>
          <w:lang w:val="zh-CN"/>
        </w:rPr>
      </w:pPr>
    </w:p>
    <w:p w14:paraId="7B916908">
      <w:pPr>
        <w:pStyle w:val="14"/>
        <w:shd w:val="clear" w:color="auto" w:fill="auto"/>
        <w:kinsoku/>
        <w:wordWrap w:val="0"/>
        <w:overflowPunct/>
        <w:bidi w:val="0"/>
        <w:spacing w:line="360" w:lineRule="auto"/>
        <w:rPr>
          <w:rFonts w:hint="eastAsia" w:ascii="宋体" w:hAnsi="宋体" w:eastAsia="宋体" w:cs="宋体"/>
          <w:b/>
          <w:color w:val="auto"/>
          <w:sz w:val="30"/>
          <w:highlight w:val="none"/>
        </w:rPr>
        <w:sectPr>
          <w:pgSz w:w="11906" w:h="16838"/>
          <w:pgMar w:top="1440" w:right="1361" w:bottom="1440" w:left="1361" w:header="851" w:footer="992" w:gutter="0"/>
          <w:cols w:space="720" w:num="1"/>
          <w:docGrid w:linePitch="312" w:charSpace="0"/>
        </w:sectPr>
      </w:pPr>
    </w:p>
    <w:p w14:paraId="4B814C11">
      <w:pPr>
        <w:pStyle w:val="14"/>
        <w:kinsoku/>
        <w:wordWrap w:val="0"/>
        <w:overflowPunct/>
        <w:bidi w:val="0"/>
        <w:adjustRightInd w:val="0"/>
        <w:snapToGrid w:val="0"/>
        <w:spacing w:line="400" w:lineRule="exact"/>
        <w:rPr>
          <w:rFonts w:hint="eastAsia" w:hAnsi="宋体" w:cs="宋体"/>
          <w:color w:val="auto"/>
          <w:sz w:val="36"/>
          <w:szCs w:val="36"/>
          <w:highlight w:val="none"/>
          <w:lang w:val="en-US" w:eastAsia="zh-CN"/>
        </w:rPr>
      </w:pPr>
      <w:r>
        <w:rPr>
          <w:rFonts w:hint="eastAsia" w:ascii="Cambria" w:hAnsi="Cambria" w:eastAsia="宋体" w:cs="Times New Roman"/>
          <w:b/>
          <w:bCs/>
          <w:color w:val="auto"/>
          <w:kern w:val="2"/>
          <w:sz w:val="28"/>
          <w:szCs w:val="28"/>
          <w:highlight w:val="none"/>
          <w:lang w:val="en-US" w:eastAsia="zh-CN" w:bidi="ar-SA"/>
        </w:rPr>
        <w:t>2.3分项报价表</w:t>
      </w:r>
    </w:p>
    <w:p w14:paraId="31B972CF">
      <w:pPr>
        <w:pStyle w:val="15"/>
        <w:kinsoku/>
        <w:wordWrap w:val="0"/>
        <w:overflowPunct/>
        <w:bidi w:val="0"/>
        <w:rPr>
          <w:rFonts w:hint="eastAsia" w:hAnsi="宋体" w:cs="宋体"/>
          <w:color w:val="auto"/>
          <w:sz w:val="36"/>
          <w:szCs w:val="36"/>
          <w:highlight w:val="none"/>
          <w:lang w:val="en-US" w:eastAsia="zh-CN"/>
        </w:rPr>
      </w:pPr>
    </w:p>
    <w:p w14:paraId="3DADFAB5">
      <w:pPr>
        <w:kinsoku/>
        <w:wordWrap w:val="0"/>
        <w:overflowPunct/>
        <w:bidi w:val="0"/>
        <w:jc w:val="center"/>
        <w:rPr>
          <w:rFonts w:hint="eastAsia" w:hAnsi="宋体" w:cs="宋体"/>
          <w:color w:val="auto"/>
          <w:sz w:val="36"/>
          <w:szCs w:val="36"/>
          <w:highlight w:val="none"/>
          <w:lang w:val="en-US" w:eastAsia="zh-CN"/>
        </w:rPr>
      </w:pPr>
      <w:r>
        <w:rPr>
          <w:rFonts w:hint="eastAsia" w:hAnsi="宋体" w:cs="宋体"/>
          <w:color w:val="auto"/>
          <w:sz w:val="36"/>
          <w:szCs w:val="36"/>
          <w:highlight w:val="none"/>
          <w:lang w:val="en-US" w:eastAsia="zh-CN"/>
        </w:rPr>
        <w:t>分项报价表</w:t>
      </w:r>
    </w:p>
    <w:p w14:paraId="24B1EE54">
      <w:pPr>
        <w:kinsoku/>
        <w:wordWrap w:val="0"/>
        <w:overflowPunct/>
        <w:bidi w:val="0"/>
        <w:rPr>
          <w:rFonts w:hint="eastAsia" w:ascii="宋体" w:hAnsi="宋体" w:eastAsia="宋体" w:cs="宋体"/>
          <w:color w:val="auto"/>
          <w:sz w:val="22"/>
          <w:szCs w:val="22"/>
          <w:highlight w:val="none"/>
          <w:lang w:val="en-US" w:eastAsia="zh-CN"/>
        </w:rPr>
      </w:pPr>
    </w:p>
    <w:p w14:paraId="58615DA2">
      <w:pPr>
        <w:kinsoku/>
        <w:wordWrap w:val="0"/>
        <w:overflowPunct/>
        <w:bidi w:val="0"/>
        <w:snapToGrid w:val="0"/>
        <w:spacing w:line="30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项目编号：</w:t>
      </w:r>
    </w:p>
    <w:p w14:paraId="33DE2082">
      <w:pPr>
        <w:kinsoku/>
        <w:wordWrap w:val="0"/>
        <w:overflowPunct/>
        <w:bidi w:val="0"/>
        <w:snapToGrid w:val="0"/>
        <w:spacing w:line="30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价格单位：元人民币</w:t>
      </w:r>
    </w:p>
    <w:tbl>
      <w:tblPr>
        <w:tblStyle w:val="26"/>
        <w:tblW w:w="922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12"/>
        <w:gridCol w:w="1927"/>
        <w:gridCol w:w="1716"/>
        <w:gridCol w:w="3265"/>
        <w:gridCol w:w="1304"/>
      </w:tblGrid>
      <w:tr w14:paraId="216E19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12" w:type="dxa"/>
            <w:noWrap w:val="0"/>
            <w:vAlign w:val="center"/>
          </w:tcPr>
          <w:p w14:paraId="3F5FA372">
            <w:pPr>
              <w:pStyle w:val="14"/>
              <w:keepNext w:val="0"/>
              <w:keepLines w:val="0"/>
              <w:suppressLineNumbers w:val="0"/>
              <w:kinsoku/>
              <w:wordWrap w:val="0"/>
              <w:overflowPunct/>
              <w:bidi w:val="0"/>
              <w:adjustRightInd w:val="0"/>
              <w:snapToGrid w:val="0"/>
              <w:spacing w:before="0" w:beforeAutospacing="0" w:after="0" w:afterAutospacing="0" w:line="30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1927" w:type="dxa"/>
            <w:noWrap w:val="0"/>
            <w:vAlign w:val="center"/>
          </w:tcPr>
          <w:p w14:paraId="33877929">
            <w:pPr>
              <w:pStyle w:val="14"/>
              <w:keepNext w:val="0"/>
              <w:keepLines w:val="0"/>
              <w:suppressLineNumbers w:val="0"/>
              <w:kinsoku/>
              <w:wordWrap w:val="0"/>
              <w:overflowPunct/>
              <w:bidi w:val="0"/>
              <w:adjustRightInd w:val="0"/>
              <w:snapToGrid w:val="0"/>
              <w:spacing w:before="0" w:beforeAutospacing="0" w:after="0" w:afterAutospacing="0" w:line="300" w:lineRule="auto"/>
              <w:ind w:left="0" w:right="0"/>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服务内容</w:t>
            </w:r>
          </w:p>
        </w:tc>
        <w:tc>
          <w:tcPr>
            <w:tcW w:w="1716" w:type="dxa"/>
            <w:noWrap w:val="0"/>
            <w:vAlign w:val="center"/>
          </w:tcPr>
          <w:p w14:paraId="77AC03E9">
            <w:pPr>
              <w:pStyle w:val="14"/>
              <w:keepNext w:val="0"/>
              <w:keepLines w:val="0"/>
              <w:suppressLineNumbers w:val="0"/>
              <w:kinsoku/>
              <w:wordWrap w:val="0"/>
              <w:overflowPunct/>
              <w:bidi w:val="0"/>
              <w:adjustRightInd w:val="0"/>
              <w:snapToGrid w:val="0"/>
              <w:spacing w:before="0" w:beforeAutospacing="0" w:after="0" w:afterAutospacing="0" w:line="300" w:lineRule="auto"/>
              <w:ind w:left="0" w:right="0"/>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投标报价</w:t>
            </w:r>
          </w:p>
        </w:tc>
        <w:tc>
          <w:tcPr>
            <w:tcW w:w="3265" w:type="dxa"/>
            <w:tcBorders>
              <w:right w:val="single" w:color="auto" w:sz="4" w:space="0"/>
            </w:tcBorders>
            <w:noWrap w:val="0"/>
            <w:vAlign w:val="center"/>
          </w:tcPr>
          <w:p w14:paraId="6B5DE6DE">
            <w:pPr>
              <w:pStyle w:val="14"/>
              <w:keepNext w:val="0"/>
              <w:keepLines w:val="0"/>
              <w:suppressLineNumbers w:val="0"/>
              <w:kinsoku/>
              <w:wordWrap w:val="0"/>
              <w:overflowPunct/>
              <w:bidi w:val="0"/>
              <w:adjustRightInd w:val="0"/>
              <w:snapToGrid w:val="0"/>
              <w:spacing w:before="0" w:beforeAutospacing="0" w:after="0" w:afterAutospacing="0" w:line="300" w:lineRule="auto"/>
              <w:ind w:left="0" w:right="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费率</w:t>
            </w:r>
          </w:p>
        </w:tc>
        <w:tc>
          <w:tcPr>
            <w:tcW w:w="1304" w:type="dxa"/>
            <w:tcBorders>
              <w:left w:val="single" w:color="auto" w:sz="4" w:space="0"/>
            </w:tcBorders>
            <w:noWrap w:val="0"/>
            <w:vAlign w:val="center"/>
          </w:tcPr>
          <w:p w14:paraId="05F99087">
            <w:pPr>
              <w:pStyle w:val="14"/>
              <w:keepNext w:val="0"/>
              <w:keepLines w:val="0"/>
              <w:suppressLineNumbers w:val="0"/>
              <w:kinsoku/>
              <w:wordWrap w:val="0"/>
              <w:overflowPunct/>
              <w:bidi w:val="0"/>
              <w:adjustRightInd w:val="0"/>
              <w:snapToGrid w:val="0"/>
              <w:spacing w:before="0" w:beforeAutospacing="0" w:after="0" w:afterAutospacing="0" w:line="30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38AB8D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06" w:hRule="atLeast"/>
          <w:jc w:val="center"/>
        </w:trPr>
        <w:tc>
          <w:tcPr>
            <w:tcW w:w="1012" w:type="dxa"/>
            <w:noWrap w:val="0"/>
            <w:vAlign w:val="center"/>
          </w:tcPr>
          <w:p w14:paraId="6FA9832F">
            <w:pPr>
              <w:pStyle w:val="14"/>
              <w:keepNext w:val="0"/>
              <w:keepLines w:val="0"/>
              <w:suppressLineNumbers w:val="0"/>
              <w:kinsoku/>
              <w:wordWrap w:val="0"/>
              <w:overflowPunct/>
              <w:bidi w:val="0"/>
              <w:adjustRightInd w:val="0"/>
              <w:snapToGrid w:val="0"/>
              <w:spacing w:before="0" w:beforeAutospacing="0" w:after="0" w:afterAutospacing="0" w:line="30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1927" w:type="dxa"/>
            <w:noWrap w:val="0"/>
            <w:vAlign w:val="center"/>
          </w:tcPr>
          <w:p w14:paraId="0190B0B1">
            <w:pPr>
              <w:pStyle w:val="14"/>
              <w:keepNext w:val="0"/>
              <w:keepLines w:val="0"/>
              <w:suppressLineNumbers w:val="0"/>
              <w:kinsoku/>
              <w:wordWrap w:val="0"/>
              <w:overflowPunct/>
              <w:bidi w:val="0"/>
              <w:adjustRightInd w:val="0"/>
              <w:snapToGrid w:val="0"/>
              <w:spacing w:before="0" w:beforeAutospacing="0" w:after="0" w:afterAutospacing="0" w:line="30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设计费</w:t>
            </w:r>
          </w:p>
        </w:tc>
        <w:tc>
          <w:tcPr>
            <w:tcW w:w="1716" w:type="dxa"/>
            <w:noWrap w:val="0"/>
            <w:vAlign w:val="center"/>
          </w:tcPr>
          <w:p w14:paraId="5EEB84BB">
            <w:pPr>
              <w:pStyle w:val="14"/>
              <w:keepNext w:val="0"/>
              <w:keepLines w:val="0"/>
              <w:suppressLineNumbers w:val="0"/>
              <w:kinsoku/>
              <w:wordWrap w:val="0"/>
              <w:overflowPunct/>
              <w:bidi w:val="0"/>
              <w:adjustRightInd w:val="0"/>
              <w:snapToGrid w:val="0"/>
              <w:spacing w:before="0" w:beforeAutospacing="0" w:after="0" w:afterAutospacing="0" w:line="300" w:lineRule="auto"/>
              <w:ind w:left="0" w:right="0"/>
              <w:jc w:val="center"/>
              <w:rPr>
                <w:rFonts w:hint="eastAsia" w:ascii="宋体" w:hAnsi="宋体" w:eastAsia="宋体" w:cs="宋体"/>
                <w:color w:val="auto"/>
                <w:sz w:val="22"/>
                <w:szCs w:val="22"/>
                <w:highlight w:val="none"/>
              </w:rPr>
            </w:pPr>
            <w:r>
              <w:rPr>
                <w:rFonts w:hint="default" w:ascii="Times New Roman" w:eastAsia="Times New Roman"/>
                <w:color w:val="auto"/>
                <w:w w:val="100"/>
                <w:sz w:val="21"/>
                <w:highlight w:val="none"/>
                <w:u w:val="single"/>
              </w:rPr>
              <w:t xml:space="preserve"> </w:t>
            </w:r>
            <w:r>
              <w:rPr>
                <w:rFonts w:hint="default" w:ascii="Times New Roman" w:eastAsia="Times New Roman"/>
                <w:color w:val="auto"/>
                <w:sz w:val="21"/>
                <w:highlight w:val="none"/>
                <w:u w:val="single"/>
              </w:rPr>
              <w:tab/>
            </w:r>
            <w:r>
              <w:rPr>
                <w:rFonts w:hint="default"/>
                <w:color w:val="auto"/>
                <w:sz w:val="21"/>
                <w:highlight w:val="none"/>
              </w:rPr>
              <w:t>元</w:t>
            </w:r>
          </w:p>
        </w:tc>
        <w:tc>
          <w:tcPr>
            <w:tcW w:w="3265" w:type="dxa"/>
            <w:tcBorders>
              <w:right w:val="single" w:color="auto" w:sz="4" w:space="0"/>
            </w:tcBorders>
            <w:noWrap w:val="0"/>
            <w:vAlign w:val="center"/>
          </w:tcPr>
          <w:p w14:paraId="42E46FD2">
            <w:pPr>
              <w:pStyle w:val="14"/>
              <w:keepNext w:val="0"/>
              <w:keepLines w:val="0"/>
              <w:suppressLineNumbers w:val="0"/>
              <w:kinsoku/>
              <w:wordWrap w:val="0"/>
              <w:overflowPunct/>
              <w:bidi w:val="0"/>
              <w:adjustRightInd w:val="0"/>
              <w:snapToGrid w:val="0"/>
              <w:spacing w:before="0" w:beforeAutospacing="0" w:after="0" w:afterAutospacing="0" w:line="30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w:t>
            </w:r>
          </w:p>
        </w:tc>
        <w:tc>
          <w:tcPr>
            <w:tcW w:w="1304" w:type="dxa"/>
            <w:tcBorders>
              <w:left w:val="single" w:color="auto" w:sz="4" w:space="0"/>
            </w:tcBorders>
            <w:noWrap w:val="0"/>
            <w:vAlign w:val="center"/>
          </w:tcPr>
          <w:p w14:paraId="13996B23">
            <w:pPr>
              <w:pStyle w:val="14"/>
              <w:keepNext w:val="0"/>
              <w:keepLines w:val="0"/>
              <w:suppressLineNumbers w:val="0"/>
              <w:kinsoku/>
              <w:wordWrap w:val="0"/>
              <w:overflowPunct/>
              <w:bidi w:val="0"/>
              <w:adjustRightInd w:val="0"/>
              <w:snapToGrid w:val="0"/>
              <w:spacing w:before="0" w:beforeAutospacing="0" w:after="0" w:afterAutospacing="0" w:line="300" w:lineRule="auto"/>
              <w:ind w:left="0" w:right="0"/>
              <w:jc w:val="center"/>
              <w:rPr>
                <w:rFonts w:hint="eastAsia" w:ascii="宋体" w:hAnsi="宋体" w:eastAsia="宋体" w:cs="宋体"/>
                <w:color w:val="auto"/>
                <w:sz w:val="22"/>
                <w:szCs w:val="22"/>
                <w:highlight w:val="none"/>
              </w:rPr>
            </w:pPr>
          </w:p>
        </w:tc>
      </w:tr>
      <w:tr w14:paraId="3688A7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643" w:hRule="atLeast"/>
          <w:jc w:val="center"/>
        </w:trPr>
        <w:tc>
          <w:tcPr>
            <w:tcW w:w="1012" w:type="dxa"/>
            <w:noWrap w:val="0"/>
            <w:vAlign w:val="center"/>
          </w:tcPr>
          <w:p w14:paraId="27DAB9E7">
            <w:pPr>
              <w:pStyle w:val="14"/>
              <w:keepNext w:val="0"/>
              <w:keepLines w:val="0"/>
              <w:suppressLineNumbers w:val="0"/>
              <w:kinsoku/>
              <w:wordWrap w:val="0"/>
              <w:overflowPunct/>
              <w:bidi w:val="0"/>
              <w:adjustRightInd w:val="0"/>
              <w:snapToGrid w:val="0"/>
              <w:spacing w:before="0" w:beforeAutospacing="0" w:after="0" w:afterAutospacing="0" w:line="300" w:lineRule="auto"/>
              <w:ind w:left="0" w:right="0"/>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p>
        </w:tc>
        <w:tc>
          <w:tcPr>
            <w:tcW w:w="1927" w:type="dxa"/>
            <w:noWrap w:val="0"/>
            <w:vAlign w:val="center"/>
          </w:tcPr>
          <w:p w14:paraId="6E6BFCB9">
            <w:pPr>
              <w:pStyle w:val="14"/>
              <w:keepNext w:val="0"/>
              <w:keepLines w:val="0"/>
              <w:suppressLineNumbers w:val="0"/>
              <w:kinsoku/>
              <w:wordWrap w:val="0"/>
              <w:overflowPunct/>
              <w:bidi w:val="0"/>
              <w:adjustRightInd w:val="0"/>
              <w:snapToGrid w:val="0"/>
              <w:spacing w:before="0" w:beforeAutospacing="0" w:after="0" w:afterAutospacing="0" w:line="300" w:lineRule="auto"/>
              <w:ind w:left="0" w:right="0"/>
              <w:jc w:val="center"/>
              <w:rPr>
                <w:rFonts w:hint="default" w:ascii="宋体" w:hAnsi="宋体" w:eastAsia="宋体" w:cs="宋体"/>
                <w:color w:val="auto"/>
                <w:sz w:val="22"/>
                <w:szCs w:val="22"/>
                <w:highlight w:val="none"/>
                <w:lang w:val="en-US" w:eastAsia="zh-CN"/>
              </w:rPr>
            </w:pPr>
            <w:r>
              <w:rPr>
                <w:rFonts w:hint="eastAsia" w:ascii="宋体" w:hAnsi="宋体" w:cs="宋体"/>
                <w:b/>
                <w:bCs/>
                <w:color w:val="auto"/>
                <w:highlight w:val="none"/>
                <w:lang w:val="en-US" w:eastAsia="zh-CN"/>
              </w:rPr>
              <w:t>建设管理费（含品牌冠名费）</w:t>
            </w:r>
          </w:p>
        </w:tc>
        <w:tc>
          <w:tcPr>
            <w:tcW w:w="1716" w:type="dxa"/>
            <w:noWrap w:val="0"/>
            <w:vAlign w:val="center"/>
          </w:tcPr>
          <w:p w14:paraId="22C5FB9E">
            <w:pPr>
              <w:pStyle w:val="14"/>
              <w:keepNext w:val="0"/>
              <w:keepLines w:val="0"/>
              <w:suppressLineNumbers w:val="0"/>
              <w:kinsoku/>
              <w:wordWrap w:val="0"/>
              <w:overflowPunct/>
              <w:bidi w:val="0"/>
              <w:adjustRightInd w:val="0"/>
              <w:snapToGrid w:val="0"/>
              <w:spacing w:before="0" w:beforeAutospacing="0" w:after="0" w:afterAutospacing="0" w:line="300" w:lineRule="auto"/>
              <w:ind w:left="0" w:right="0"/>
              <w:jc w:val="center"/>
              <w:rPr>
                <w:rFonts w:hint="eastAsia" w:ascii="宋体" w:hAnsi="宋体" w:eastAsia="宋体" w:cs="宋体"/>
                <w:color w:val="auto"/>
                <w:sz w:val="22"/>
                <w:szCs w:val="22"/>
                <w:highlight w:val="none"/>
              </w:rPr>
            </w:pPr>
            <w:r>
              <w:rPr>
                <w:rFonts w:hint="default" w:ascii="Times New Roman" w:eastAsia="Times New Roman"/>
                <w:color w:val="auto"/>
                <w:w w:val="100"/>
                <w:sz w:val="21"/>
                <w:highlight w:val="none"/>
                <w:u w:val="single"/>
              </w:rPr>
              <w:t xml:space="preserve"> </w:t>
            </w:r>
            <w:r>
              <w:rPr>
                <w:rFonts w:hint="default" w:ascii="Times New Roman" w:eastAsia="Times New Roman"/>
                <w:color w:val="auto"/>
                <w:sz w:val="21"/>
                <w:highlight w:val="none"/>
                <w:u w:val="single"/>
              </w:rPr>
              <w:tab/>
            </w:r>
            <w:r>
              <w:rPr>
                <w:rFonts w:hint="default"/>
                <w:color w:val="auto"/>
                <w:sz w:val="21"/>
                <w:highlight w:val="none"/>
              </w:rPr>
              <w:t>元</w:t>
            </w:r>
          </w:p>
        </w:tc>
        <w:tc>
          <w:tcPr>
            <w:tcW w:w="3265" w:type="dxa"/>
            <w:tcBorders>
              <w:right w:val="single" w:color="auto" w:sz="4" w:space="0"/>
            </w:tcBorders>
            <w:noWrap w:val="0"/>
            <w:vAlign w:val="center"/>
          </w:tcPr>
          <w:p w14:paraId="232E2211">
            <w:pPr>
              <w:pStyle w:val="14"/>
              <w:keepNext w:val="0"/>
              <w:keepLines w:val="0"/>
              <w:suppressLineNumbers w:val="0"/>
              <w:kinsoku/>
              <w:wordWrap w:val="0"/>
              <w:overflowPunct/>
              <w:bidi w:val="0"/>
              <w:adjustRightInd w:val="0"/>
              <w:snapToGrid w:val="0"/>
              <w:spacing w:before="0" w:beforeAutospacing="0" w:after="0" w:afterAutospacing="0" w:line="300" w:lineRule="auto"/>
              <w:ind w:left="0" w:right="0"/>
              <w:jc w:val="both"/>
              <w:rPr>
                <w:rFonts w:hint="eastAsia" w:ascii="宋体" w:hAnsi="宋体" w:eastAsia="宋体" w:cs="宋体"/>
                <w:color w:val="auto"/>
                <w:sz w:val="22"/>
                <w:szCs w:val="22"/>
                <w:highlight w:val="none"/>
                <w:lang w:val="en-US" w:eastAsia="zh-CN"/>
              </w:rPr>
            </w:pPr>
            <w:r>
              <w:rPr>
                <w:rFonts w:hint="eastAsia" w:ascii="宋体" w:hAnsi="宋体" w:cs="宋体"/>
                <w:b/>
                <w:bCs/>
                <w:color w:val="auto"/>
                <w:highlight w:val="none"/>
                <w:lang w:val="en-US" w:eastAsia="zh-CN"/>
              </w:rPr>
              <w:t>建设管理费（含品牌冠名费）</w:t>
            </w:r>
            <w:r>
              <w:rPr>
                <w:rFonts w:hint="eastAsia" w:ascii="宋体" w:hAnsi="宋体" w:eastAsia="宋体" w:cs="宋体"/>
                <w:color w:val="auto"/>
                <w:sz w:val="22"/>
                <w:szCs w:val="22"/>
                <w:highlight w:val="none"/>
                <w:lang w:val="en-US" w:eastAsia="zh-CN"/>
              </w:rPr>
              <w:t>费率：</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val="en-US" w:eastAsia="zh-CN"/>
              </w:rPr>
              <w:t>%（保留小数点后两位，第三位四舍五入）</w:t>
            </w:r>
          </w:p>
          <w:p w14:paraId="419B3622">
            <w:pPr>
              <w:pStyle w:val="15"/>
              <w:keepNext w:val="0"/>
              <w:keepLines w:val="0"/>
              <w:suppressLineNumbers w:val="0"/>
              <w:kinsoku/>
              <w:wordWrap w:val="0"/>
              <w:overflowPunct/>
              <w:bidi w:val="0"/>
              <w:spacing w:before="0" w:beforeAutospacing="0" w:after="0" w:afterAutospacing="0"/>
              <w:ind w:left="0" w:leftChars="0" w:right="0" w:firstLine="0" w:firstLineChars="0"/>
              <w:rPr>
                <w:rFonts w:hint="eastAsia"/>
                <w:color w:val="auto"/>
                <w:highlight w:val="none"/>
              </w:rPr>
            </w:pPr>
            <w:r>
              <w:rPr>
                <w:rFonts w:hint="eastAsia" w:ascii="宋体" w:hAnsi="宋体" w:cs="宋体"/>
                <w:b/>
                <w:bCs/>
                <w:color w:val="auto"/>
                <w:highlight w:val="none"/>
                <w:lang w:val="en-US" w:eastAsia="zh-CN"/>
              </w:rPr>
              <w:t>建设管理费（含品牌冠名费）</w:t>
            </w:r>
            <w:r>
              <w:rPr>
                <w:rFonts w:hint="eastAsia"/>
                <w:color w:val="auto"/>
                <w:highlight w:val="none"/>
                <w:lang w:val="en-US" w:eastAsia="zh-CN"/>
              </w:rPr>
              <w:t>费率=</w:t>
            </w:r>
            <w:r>
              <w:rPr>
                <w:rFonts w:hint="eastAsia" w:ascii="宋体" w:hAnsi="宋体" w:cs="宋体"/>
                <w:b/>
                <w:bCs/>
                <w:color w:val="auto"/>
                <w:highlight w:val="none"/>
                <w:lang w:val="en-US" w:eastAsia="zh-CN"/>
              </w:rPr>
              <w:t>建设管理费（含品牌冠名费）</w:t>
            </w:r>
            <w:r>
              <w:rPr>
                <w:rFonts w:hint="eastAsia"/>
                <w:color w:val="auto"/>
                <w:highlight w:val="none"/>
                <w:lang w:val="en-US" w:eastAsia="zh-CN"/>
              </w:rPr>
              <w:t>报价</w:t>
            </w:r>
            <w:r>
              <w:rPr>
                <w:rFonts w:hint="eastAsia" w:ascii="宋体" w:hAnsi="宋体" w:eastAsia="宋体" w:cs="宋体"/>
                <w:color w:val="auto"/>
                <w:sz w:val="22"/>
                <w:szCs w:val="22"/>
                <w:highlight w:val="none"/>
                <w:lang w:val="en-US" w:eastAsia="zh-CN"/>
              </w:rPr>
              <w:t>/</w:t>
            </w:r>
            <w:r>
              <w:rPr>
                <w:rFonts w:hint="eastAsia" w:ascii="宋体" w:hAnsi="宋体" w:eastAsia="宋体" w:cs="宋体"/>
                <w:b w:val="0"/>
                <w:bCs w:val="0"/>
                <w:color w:val="auto"/>
                <w:sz w:val="22"/>
                <w:szCs w:val="22"/>
                <w:highlight w:val="none"/>
                <w:lang w:val="en-US" w:eastAsia="zh-CN"/>
              </w:rPr>
              <w:t>招标时</w:t>
            </w:r>
            <w:r>
              <w:rPr>
                <w:rFonts w:hint="eastAsia"/>
                <w:color w:val="auto"/>
                <w:highlight w:val="none"/>
                <w:lang w:val="en-US" w:eastAsia="zh-CN"/>
              </w:rPr>
              <w:t>建安工程费（50976 万元）*100%</w:t>
            </w:r>
          </w:p>
        </w:tc>
        <w:tc>
          <w:tcPr>
            <w:tcW w:w="1304" w:type="dxa"/>
            <w:tcBorders>
              <w:left w:val="single" w:color="auto" w:sz="4" w:space="0"/>
            </w:tcBorders>
            <w:noWrap w:val="0"/>
            <w:vAlign w:val="center"/>
          </w:tcPr>
          <w:p w14:paraId="6CA02C1A">
            <w:pPr>
              <w:pStyle w:val="14"/>
              <w:keepNext w:val="0"/>
              <w:keepLines w:val="0"/>
              <w:suppressLineNumbers w:val="0"/>
              <w:kinsoku/>
              <w:wordWrap w:val="0"/>
              <w:overflowPunct/>
              <w:bidi w:val="0"/>
              <w:adjustRightInd w:val="0"/>
              <w:snapToGrid w:val="0"/>
              <w:spacing w:before="0" w:beforeAutospacing="0" w:after="0" w:afterAutospacing="0" w:line="300" w:lineRule="auto"/>
              <w:ind w:left="0" w:right="0"/>
              <w:jc w:val="left"/>
              <w:rPr>
                <w:rFonts w:hint="eastAsia" w:ascii="宋体" w:hAnsi="宋体" w:eastAsia="宋体" w:cs="宋体"/>
                <w:color w:val="auto"/>
                <w:sz w:val="22"/>
                <w:szCs w:val="22"/>
                <w:highlight w:val="none"/>
              </w:rPr>
            </w:pPr>
          </w:p>
        </w:tc>
      </w:tr>
      <w:tr w14:paraId="31AE8E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49" w:hRule="atLeast"/>
          <w:jc w:val="center"/>
        </w:trPr>
        <w:tc>
          <w:tcPr>
            <w:tcW w:w="2939" w:type="dxa"/>
            <w:gridSpan w:val="2"/>
            <w:tcBorders>
              <w:right w:val="single" w:color="auto" w:sz="4" w:space="0"/>
            </w:tcBorders>
            <w:noWrap w:val="0"/>
            <w:vAlign w:val="center"/>
          </w:tcPr>
          <w:p w14:paraId="52B39EFD">
            <w:pPr>
              <w:pStyle w:val="14"/>
              <w:keepNext w:val="0"/>
              <w:keepLines w:val="0"/>
              <w:suppressLineNumbers w:val="0"/>
              <w:kinsoku/>
              <w:wordWrap w:val="0"/>
              <w:overflowPunct/>
              <w:bidi w:val="0"/>
              <w:adjustRightInd w:val="0"/>
              <w:snapToGrid w:val="0"/>
              <w:spacing w:before="0" w:beforeAutospacing="0" w:after="0" w:afterAutospacing="0" w:line="30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合计报</w:t>
            </w:r>
            <w:r>
              <w:rPr>
                <w:rFonts w:hint="eastAsia" w:ascii="宋体" w:hAnsi="宋体" w:eastAsia="宋体" w:cs="宋体"/>
                <w:color w:val="auto"/>
                <w:sz w:val="22"/>
                <w:szCs w:val="22"/>
                <w:highlight w:val="none"/>
              </w:rPr>
              <w:t>价：</w:t>
            </w:r>
          </w:p>
        </w:tc>
        <w:tc>
          <w:tcPr>
            <w:tcW w:w="6285" w:type="dxa"/>
            <w:gridSpan w:val="3"/>
            <w:tcBorders>
              <w:left w:val="single" w:color="auto" w:sz="4" w:space="0"/>
            </w:tcBorders>
            <w:noWrap w:val="0"/>
            <w:vAlign w:val="center"/>
          </w:tcPr>
          <w:p w14:paraId="6A32574E">
            <w:pPr>
              <w:pStyle w:val="14"/>
              <w:keepNext w:val="0"/>
              <w:keepLines w:val="0"/>
              <w:suppressLineNumbers w:val="0"/>
              <w:kinsoku/>
              <w:wordWrap w:val="0"/>
              <w:overflowPunct/>
              <w:bidi w:val="0"/>
              <w:adjustRightInd w:val="0"/>
              <w:snapToGrid w:val="0"/>
              <w:spacing w:before="0" w:beforeAutospacing="0" w:after="0" w:afterAutospacing="0" w:line="300" w:lineRule="auto"/>
              <w:ind w:left="0" w:right="0"/>
              <w:jc w:val="left"/>
              <w:rPr>
                <w:rFonts w:hint="eastAsia" w:ascii="宋体" w:hAnsi="宋体" w:eastAsia="宋体" w:cs="宋体"/>
                <w:color w:val="auto"/>
                <w:sz w:val="22"/>
                <w:szCs w:val="22"/>
                <w:highlight w:val="none"/>
                <w:lang w:val="en-US" w:eastAsia="zh-CN"/>
              </w:rPr>
            </w:pPr>
          </w:p>
        </w:tc>
      </w:tr>
    </w:tbl>
    <w:p w14:paraId="6E6E0844">
      <w:pPr>
        <w:pStyle w:val="14"/>
        <w:kinsoku/>
        <w:wordWrap w:val="0"/>
        <w:overflowPunct/>
        <w:bidi w:val="0"/>
        <w:adjustRightInd w:val="0"/>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说明：</w:t>
      </w:r>
    </w:p>
    <w:p w14:paraId="4C2E2FA6">
      <w:pPr>
        <w:pStyle w:val="14"/>
        <w:kinsoku/>
        <w:wordWrap w:val="0"/>
        <w:overflowPunct/>
        <w:bidi w:val="0"/>
        <w:adjustRightInd w:val="0"/>
        <w:snapToGrid w:val="0"/>
        <w:spacing w:line="360" w:lineRule="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w:t>
      </w:r>
      <w:r>
        <w:rPr>
          <w:rFonts w:hint="eastAsia" w:ascii="宋体" w:hAnsi="宋体" w:eastAsia="宋体" w:cs="宋体"/>
          <w:color w:val="auto"/>
          <w:sz w:val="22"/>
          <w:szCs w:val="22"/>
          <w:highlight w:val="none"/>
        </w:rPr>
        <w:t>▲</w:t>
      </w:r>
      <w:r>
        <w:rPr>
          <w:rFonts w:hint="eastAsia" w:ascii="宋体" w:hAnsi="宋体" w:eastAsia="宋体" w:cs="宋体"/>
          <w:b/>
          <w:bCs/>
          <w:color w:val="auto"/>
          <w:sz w:val="22"/>
          <w:szCs w:val="22"/>
          <w:highlight w:val="none"/>
          <w:lang w:val="en-US" w:eastAsia="zh-CN"/>
        </w:rPr>
        <w:t>本项目超过最高限价</w:t>
      </w:r>
      <w:r>
        <w:rPr>
          <w:rFonts w:hint="eastAsia" w:ascii="宋体" w:hAnsi="宋体" w:cs="宋体"/>
          <w:b/>
          <w:color w:val="auto"/>
          <w:sz w:val="22"/>
          <w:szCs w:val="22"/>
          <w:highlight w:val="none"/>
          <w:lang w:eastAsia="zh-CN"/>
        </w:rPr>
        <w:t>（</w:t>
      </w:r>
      <w:r>
        <w:rPr>
          <w:rFonts w:hint="eastAsia" w:ascii="宋体" w:hAnsi="宋体" w:cs="宋体"/>
          <w:b/>
          <w:color w:val="auto"/>
          <w:sz w:val="22"/>
          <w:szCs w:val="22"/>
          <w:highlight w:val="none"/>
          <w:lang w:val="en-US" w:eastAsia="zh-CN"/>
        </w:rPr>
        <w:t>或分项最高限价</w:t>
      </w:r>
      <w:r>
        <w:rPr>
          <w:rFonts w:hint="eastAsia" w:ascii="宋体" w:hAnsi="宋体" w:cs="宋体"/>
          <w:b/>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的投标报价为无效标；</w:t>
      </w:r>
    </w:p>
    <w:p w14:paraId="7F7D3001">
      <w:pPr>
        <w:pStyle w:val="14"/>
        <w:kinsoku/>
        <w:wordWrap w:val="0"/>
        <w:overflowPunct/>
        <w:bidi w:val="0"/>
        <w:adjustRightInd w:val="0"/>
        <w:snapToGrid w:val="0"/>
        <w:spacing w:line="360" w:lineRule="auto"/>
        <w:rPr>
          <w:rFonts w:hint="eastAsia" w:ascii="宋体" w:hAnsi="宋体" w:eastAsia="宋体" w:cs="宋体"/>
          <w:b/>
          <w:bCs/>
          <w:color w:val="auto"/>
          <w:sz w:val="22"/>
          <w:szCs w:val="22"/>
          <w:highlight w:val="none"/>
          <w:lang w:val="en-US" w:eastAsia="zh-CN"/>
        </w:rPr>
      </w:pPr>
      <w:r>
        <w:rPr>
          <w:rFonts w:hint="eastAsia" w:hAnsi="宋体" w:cs="宋体"/>
          <w:b/>
          <w:bCs/>
          <w:color w:val="auto"/>
          <w:sz w:val="22"/>
          <w:szCs w:val="22"/>
          <w:highlight w:val="none"/>
          <w:lang w:val="en-US" w:eastAsia="zh-CN"/>
        </w:rPr>
        <w:t>2</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本表中合计报价应与“开标一览表”中投标总价相一致。</w:t>
      </w:r>
    </w:p>
    <w:p w14:paraId="15555D61">
      <w:pPr>
        <w:pStyle w:val="10"/>
        <w:kinsoku/>
        <w:wordWrap w:val="0"/>
        <w:overflowPunct/>
        <w:bidi w:val="0"/>
        <w:ind w:left="0" w:leftChars="0" w:firstLine="0" w:firstLineChars="0"/>
        <w:rPr>
          <w:rFonts w:hint="eastAsia"/>
          <w:color w:val="auto"/>
          <w:highlight w:val="none"/>
          <w:lang w:val="en-US" w:eastAsia="zh-CN"/>
        </w:rPr>
      </w:pPr>
    </w:p>
    <w:p w14:paraId="65BD6846">
      <w:pPr>
        <w:pStyle w:val="11"/>
        <w:kinsoku/>
        <w:wordWrap w:val="0"/>
        <w:overflowPunct/>
        <w:bidi w:val="0"/>
        <w:rPr>
          <w:rFonts w:hint="eastAsia"/>
          <w:color w:val="auto"/>
          <w:highlight w:val="none"/>
          <w:lang w:val="en-US" w:eastAsia="zh-CN"/>
        </w:rPr>
      </w:pPr>
    </w:p>
    <w:p w14:paraId="4C32E6BB">
      <w:pPr>
        <w:kinsoku/>
        <w:wordWrap w:val="0"/>
        <w:overflowPunct/>
        <w:bidi w:val="0"/>
        <w:rPr>
          <w:rFonts w:hint="eastAsia"/>
          <w:color w:val="auto"/>
          <w:highlight w:val="none"/>
          <w:lang w:val="en-US" w:eastAsia="zh-CN"/>
        </w:rPr>
      </w:pPr>
    </w:p>
    <w:p w14:paraId="1178CA5C">
      <w:pPr>
        <w:kinsoku/>
        <w:wordWrap w:val="0"/>
        <w:overflowPunct/>
        <w:bidi w:val="0"/>
        <w:rPr>
          <w:rFonts w:hint="eastAsia"/>
          <w:color w:val="auto"/>
          <w:highlight w:val="none"/>
          <w:lang w:val="en-US" w:eastAsia="zh-CN"/>
        </w:rPr>
      </w:pPr>
    </w:p>
    <w:p w14:paraId="1586328E">
      <w:pPr>
        <w:kinsoku/>
        <w:wordWrap w:val="0"/>
        <w:overflowPunct/>
        <w:bidi w:val="0"/>
        <w:rPr>
          <w:rFonts w:hint="eastAsia"/>
          <w:color w:val="auto"/>
          <w:highlight w:val="none"/>
          <w:lang w:val="en-US" w:eastAsia="zh-CN"/>
        </w:rPr>
      </w:pPr>
    </w:p>
    <w:p w14:paraId="2C1B727E">
      <w:pPr>
        <w:kinsoku/>
        <w:wordWrap w:val="0"/>
        <w:overflowPunct/>
        <w:autoSpaceDE w:val="0"/>
        <w:autoSpaceDN w:val="0"/>
        <w:bidi w:val="0"/>
        <w:adjustRightInd w:val="0"/>
        <w:spacing w:line="440" w:lineRule="atLeas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供应商全称（盖章）：</w:t>
      </w:r>
    </w:p>
    <w:p w14:paraId="2336B16E">
      <w:pPr>
        <w:kinsoku/>
        <w:wordWrap w:val="0"/>
        <w:overflowPunct/>
        <w:autoSpaceDE w:val="0"/>
        <w:autoSpaceDN w:val="0"/>
        <w:bidi w:val="0"/>
        <w:adjustRightInd w:val="0"/>
        <w:spacing w:line="440" w:lineRule="atLeas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法定代表人或授权代表（签字或盖章）：</w:t>
      </w:r>
    </w:p>
    <w:p w14:paraId="631A20B2">
      <w:pPr>
        <w:kinsoku/>
        <w:wordWrap w:val="0"/>
        <w:overflowPunct/>
        <w:autoSpaceDE w:val="0"/>
        <w:autoSpaceDN w:val="0"/>
        <w:bidi w:val="0"/>
        <w:adjustRightInd w:val="0"/>
        <w:spacing w:line="440" w:lineRule="atLeas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日期：</w:t>
      </w:r>
    </w:p>
    <w:p w14:paraId="66B02393">
      <w:pPr>
        <w:shd w:val="clear" w:color="auto" w:fill="auto"/>
        <w:kinsoku/>
        <w:wordWrap w:val="0"/>
        <w:overflowPunct/>
        <w:autoSpaceDE w:val="0"/>
        <w:autoSpaceDN w:val="0"/>
        <w:bidi w:val="0"/>
        <w:adjustRightInd w:val="0"/>
        <w:spacing w:line="360" w:lineRule="auto"/>
        <w:rPr>
          <w:rFonts w:hint="eastAsia" w:ascii="宋体" w:hAnsi="宋体" w:eastAsia="宋体" w:cs="宋体"/>
          <w:color w:val="auto"/>
          <w:sz w:val="22"/>
          <w:szCs w:val="22"/>
          <w:highlight w:val="none"/>
          <w:lang w:val="zh-CN"/>
        </w:rPr>
      </w:pPr>
    </w:p>
    <w:p w14:paraId="1C25E787">
      <w:pPr>
        <w:pStyle w:val="14"/>
        <w:shd w:val="clear" w:color="auto" w:fill="auto"/>
        <w:kinsoku/>
        <w:wordWrap w:val="0"/>
        <w:overflowPunct/>
        <w:bidi w:val="0"/>
        <w:spacing w:line="360" w:lineRule="auto"/>
        <w:rPr>
          <w:rFonts w:hint="eastAsia" w:ascii="宋体" w:hAnsi="宋体" w:eastAsia="宋体" w:cs="宋体"/>
          <w:b/>
          <w:color w:val="auto"/>
          <w:sz w:val="30"/>
          <w:highlight w:val="none"/>
        </w:rPr>
        <w:sectPr>
          <w:pgSz w:w="11906" w:h="16838"/>
          <w:pgMar w:top="1440" w:right="1361" w:bottom="1440" w:left="1361" w:header="851" w:footer="992" w:gutter="0"/>
          <w:cols w:space="720" w:num="1"/>
          <w:docGrid w:linePitch="312" w:charSpace="0"/>
        </w:sectPr>
      </w:pPr>
    </w:p>
    <w:p w14:paraId="65E33B1B">
      <w:pPr>
        <w:shd w:val="clear" w:color="auto" w:fill="auto"/>
        <w:kinsoku/>
        <w:wordWrap w:val="0"/>
        <w:overflowPunct/>
        <w:bidi w:val="0"/>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w:t>
      </w:r>
      <w:r>
        <w:rPr>
          <w:rFonts w:hint="eastAsia" w:ascii="宋体" w:hAnsi="宋体" w:cs="宋体"/>
          <w:b/>
          <w:bCs/>
          <w:color w:val="auto"/>
          <w:kern w:val="2"/>
          <w:sz w:val="24"/>
          <w:szCs w:val="24"/>
          <w:highlight w:val="none"/>
          <w:lang w:val="en-US" w:eastAsia="zh-CN" w:bidi="ar-SA"/>
        </w:rPr>
        <w:t>4</w:t>
      </w:r>
      <w:r>
        <w:rPr>
          <w:rFonts w:hint="eastAsia" w:ascii="宋体" w:hAnsi="宋体" w:eastAsia="宋体" w:cs="宋体"/>
          <w:b/>
          <w:bCs/>
          <w:color w:val="auto"/>
          <w:kern w:val="2"/>
          <w:sz w:val="24"/>
          <w:szCs w:val="24"/>
          <w:highlight w:val="none"/>
          <w:lang w:val="en-US" w:eastAsia="zh-CN" w:bidi="ar-SA"/>
        </w:rPr>
        <w:t>中小企业声明函、监狱企业、残疾人福利性单位及其他相关的充分的证明材料</w:t>
      </w:r>
    </w:p>
    <w:p w14:paraId="11BC959F">
      <w:pPr>
        <w:shd w:val="clear" w:color="auto" w:fill="auto"/>
        <w:kinsoku/>
        <w:wordWrap w:val="0"/>
        <w:overflowPunct/>
        <w:bidi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中小企业声明函及其相关的充分的证明材料中小企业声明函</w:t>
      </w:r>
    </w:p>
    <w:p w14:paraId="12670B09">
      <w:pPr>
        <w:shd w:val="clear" w:color="auto" w:fill="auto"/>
        <w:kinsoku/>
        <w:wordWrap w:val="0"/>
        <w:overflowPunct/>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【不属于中小企业的无需填写、递交】</w:t>
      </w:r>
    </w:p>
    <w:p w14:paraId="2CF74F01">
      <w:pPr>
        <w:shd w:val="clear" w:color="auto" w:fill="auto"/>
        <w:kinsoku/>
        <w:wordWrap w:val="0"/>
        <w:overflowPunct/>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中小企业声明函（服务、工程）</w:t>
      </w:r>
    </w:p>
    <w:p w14:paraId="7BC5C7C3">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本公司（联合体）郑重声明，根据《政府采购促进中小 企业发展管理办法》（财库﹝2020﹞46 号）的规定，本公司 （联合体）参加</w:t>
      </w:r>
      <w:r>
        <w:rPr>
          <w:rFonts w:hint="eastAsia" w:ascii="宋体" w:hAnsi="宋体" w:eastAsia="宋体" w:cs="宋体"/>
          <w:color w:val="auto"/>
          <w:sz w:val="22"/>
          <w:szCs w:val="22"/>
          <w:highlight w:val="none"/>
          <w:u w:val="single"/>
        </w:rPr>
        <w:t>（单位名称）</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采购活动，工程的施工单位全部为符合政策要求的中小企业（或者</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服务全部由符合政策要求的中小企业承接）。相关企业（含联合体中的中小企业、签订分包意向协议的中小企业）的具体情况如下</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2306E82D">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lang w:eastAsia="zh-CN"/>
        </w:rPr>
        <w:t>其他未列明行业</w:t>
      </w:r>
      <w:r>
        <w:rPr>
          <w:rFonts w:hint="eastAsia" w:ascii="宋体" w:hAnsi="宋体" w:eastAsia="宋体" w:cs="宋体"/>
          <w:color w:val="auto"/>
          <w:sz w:val="22"/>
          <w:szCs w:val="22"/>
          <w:highlight w:val="none"/>
        </w:rPr>
        <w:t>；承建（承接）企业为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万元（注1），属于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09D3D83B">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lang w:eastAsia="zh-CN"/>
        </w:rPr>
        <w:t>其他未列明行业</w:t>
      </w:r>
      <w:r>
        <w:rPr>
          <w:rFonts w:hint="eastAsia" w:ascii="宋体" w:hAnsi="宋体" w:eastAsia="宋体" w:cs="宋体"/>
          <w:color w:val="auto"/>
          <w:sz w:val="22"/>
          <w:szCs w:val="22"/>
          <w:highlight w:val="none"/>
        </w:rPr>
        <w:t>；承建（承接）企业为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103545F3">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775DA331">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以上企业，不属于大企业的分支机构，不存在控股股东为大企业的情形，也不存在与大企业的负责人为同一人的情形。 </w:t>
      </w:r>
    </w:p>
    <w:p w14:paraId="10AA8D26">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本企业对上述声明内容的真实性负责。如有虚假，将依法承担相应责任。</w:t>
      </w:r>
    </w:p>
    <w:p w14:paraId="0306D1C2">
      <w:pPr>
        <w:widowControl/>
        <w:shd w:val="clear" w:color="auto" w:fill="auto"/>
        <w:kinsoku/>
        <w:wordWrap w:val="0"/>
        <w:overflowPunct/>
        <w:bidi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0F1279BC">
      <w:pPr>
        <w:widowControl/>
        <w:shd w:val="clear" w:color="auto" w:fill="auto"/>
        <w:kinsoku/>
        <w:wordWrap w:val="0"/>
        <w:overflowPunct/>
        <w:bidi w:val="0"/>
        <w:snapToGrid w:val="0"/>
        <w:spacing w:line="360" w:lineRule="auto"/>
        <w:ind w:firstLine="440" w:firstLineChars="200"/>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企业名称（盖章）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2E76014A">
      <w:pPr>
        <w:shd w:val="clear" w:color="auto" w:fill="auto"/>
        <w:kinsoku/>
        <w:wordWrap w:val="0"/>
        <w:overflowPunct/>
        <w:bidi w:val="0"/>
        <w:snapToGrid w:val="0"/>
        <w:spacing w:line="360" w:lineRule="auto"/>
        <w:ind w:firstLine="3740" w:firstLineChars="1700"/>
        <w:jc w:val="righ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p>
    <w:p w14:paraId="0563BCA8">
      <w:pPr>
        <w:pBdr>
          <w:bottom w:val="single" w:color="auto" w:sz="6" w:space="1"/>
        </w:pBdr>
        <w:shd w:val="clear" w:color="auto" w:fill="auto"/>
        <w:kinsoku/>
        <w:wordWrap w:val="0"/>
        <w:overflowPunct/>
        <w:bidi w:val="0"/>
        <w:snapToGrid w:val="0"/>
        <w:spacing w:line="360" w:lineRule="auto"/>
        <w:ind w:firstLine="464" w:firstLineChars="200"/>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（注1）从业人员、营业收入、资产总额填报上一年度数据，无上一年度数据的新成立企业可不填</w:t>
      </w:r>
      <w:r>
        <w:rPr>
          <w:rFonts w:hint="eastAsia" w:ascii="宋体" w:hAnsi="宋体" w:eastAsia="宋体" w:cs="宋体"/>
          <w:color w:val="auto"/>
          <w:sz w:val="22"/>
          <w:szCs w:val="22"/>
          <w:highlight w:val="none"/>
        </w:rPr>
        <w:t>报。 </w:t>
      </w:r>
    </w:p>
    <w:p w14:paraId="3540E76A">
      <w:pPr>
        <w:shd w:val="clear" w:color="auto" w:fill="auto"/>
        <w:kinsoku/>
        <w:wordWrap w:val="0"/>
        <w:overflowPunct/>
        <w:bidi w:val="0"/>
        <w:snapToGrid w:val="0"/>
        <w:spacing w:line="360" w:lineRule="auto"/>
        <w:ind w:firstLine="400" w:firstLineChars="200"/>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填写说明</w:t>
      </w:r>
      <w:r>
        <w:rPr>
          <w:rFonts w:hint="eastAsia" w:ascii="宋体" w:hAnsi="宋体" w:eastAsia="宋体" w:cs="宋体"/>
          <w:color w:val="auto"/>
          <w:sz w:val="20"/>
          <w:szCs w:val="20"/>
          <w:highlight w:val="none"/>
          <w:lang w:eastAsia="zh-CN"/>
        </w:rPr>
        <w:t>：</w:t>
      </w:r>
    </w:p>
    <w:p w14:paraId="4DFCDA39">
      <w:pPr>
        <w:shd w:val="clear" w:color="auto" w:fill="auto"/>
        <w:kinsoku/>
        <w:wordWrap w:val="0"/>
        <w:overflowPunct/>
        <w:bidi w:val="0"/>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1）投标供应商为中型、小型、微型企业的提供此函；</w:t>
      </w:r>
    </w:p>
    <w:p w14:paraId="0B1B514F">
      <w:pPr>
        <w:shd w:val="clear" w:color="auto" w:fill="auto"/>
        <w:kinsoku/>
        <w:wordWrap w:val="0"/>
        <w:overflowPunct/>
        <w:bidi w:val="0"/>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2）中型企业不享受价格扣除，小型、微型企业的行业类别由评审专家结合投标供应商出具的证明材料认定；经认定不符合小型、微型企业标准的，不享受价格扣除；</w:t>
      </w:r>
    </w:p>
    <w:p w14:paraId="41BBA314">
      <w:pPr>
        <w:shd w:val="clear" w:color="auto" w:fill="auto"/>
        <w:kinsoku/>
        <w:wordWrap w:val="0"/>
        <w:overflowPunct/>
        <w:bidi w:val="0"/>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3）所投标项内的产品如由多个企业制造的，在填写企业类型时，按产品生产企业中规模最大的企业类型填写；</w:t>
      </w:r>
    </w:p>
    <w:p w14:paraId="7EB113D8">
      <w:pPr>
        <w:shd w:val="clear" w:color="auto" w:fill="auto"/>
        <w:kinsoku/>
        <w:wordWrap w:val="0"/>
        <w:overflowPunct/>
        <w:bidi w:val="0"/>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4）投标产品制造商投标，提供投标供应商出具的《中小企业声明函》及其相关的充分的证明材料；代理商投标，提供投标供应商及产品制造商出具的《中小企业声明函》及其相关的充分的证明材料； </w:t>
      </w:r>
    </w:p>
    <w:p w14:paraId="46A39253">
      <w:pPr>
        <w:shd w:val="clear" w:color="auto" w:fill="auto"/>
        <w:kinsoku/>
        <w:wordWrap w:val="0"/>
        <w:overflowPunct/>
        <w:bidi w:val="0"/>
        <w:snapToGrid w:val="0"/>
        <w:spacing w:line="360" w:lineRule="auto"/>
        <w:ind w:firstLine="400" w:firstLineChars="200"/>
        <w:rPr>
          <w:rFonts w:hint="eastAsia" w:ascii="宋体" w:hAnsi="宋体" w:eastAsia="宋体" w:cs="宋体"/>
          <w:b/>
          <w:color w:val="auto"/>
          <w:sz w:val="20"/>
          <w:szCs w:val="20"/>
          <w:highlight w:val="none"/>
        </w:rPr>
      </w:pPr>
      <w:r>
        <w:rPr>
          <w:rFonts w:hint="eastAsia" w:ascii="宋体" w:hAnsi="宋体" w:eastAsia="宋体" w:cs="宋体"/>
          <w:color w:val="auto"/>
          <w:sz w:val="20"/>
          <w:szCs w:val="20"/>
          <w:highlight w:val="none"/>
        </w:rPr>
        <w:t>5）注</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小型、微型企业参加采购活动时，应提供</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a）《中小企业声明函》；上述证明材料提供不齐全的，不能享受价格扣除。</w:t>
      </w:r>
    </w:p>
    <w:p w14:paraId="60D32075">
      <w:pPr>
        <w:shd w:val="clear" w:color="auto" w:fill="auto"/>
        <w:kinsoku/>
        <w:wordWrap w:val="0"/>
        <w:overflowPunct/>
        <w:bidi w:val="0"/>
        <w:snapToGrid w:val="0"/>
        <w:spacing w:line="360" w:lineRule="auto"/>
        <w:ind w:firstLine="402" w:firstLineChars="200"/>
        <w:rPr>
          <w:rFonts w:hint="eastAsia" w:ascii="宋体" w:hAnsi="宋体" w:eastAsia="宋体" w:cs="宋体"/>
          <w:b/>
          <w:bCs/>
          <w:color w:val="auto"/>
          <w:highlight w:val="none"/>
        </w:rPr>
      </w:pPr>
      <w:r>
        <w:rPr>
          <w:rFonts w:hint="eastAsia" w:ascii="宋体" w:hAnsi="宋体" w:eastAsia="宋体" w:cs="宋体"/>
          <w:b/>
          <w:bCs/>
          <w:color w:val="auto"/>
          <w:sz w:val="20"/>
          <w:szCs w:val="22"/>
          <w:highlight w:val="none"/>
        </w:rPr>
        <w:t>▲投标供应商提供的中小企业声明函与实际情况不符的，视为投标供应商提供虚假材料投标的，投标无效。</w:t>
      </w:r>
    </w:p>
    <w:p w14:paraId="1A178C27">
      <w:pPr>
        <w:shd w:val="clear" w:color="auto" w:fill="auto"/>
        <w:kinsoku/>
        <w:wordWrap w:val="0"/>
        <w:overflowPunct/>
        <w:bidi w:val="0"/>
        <w:snapToGrid w:val="0"/>
        <w:spacing w:line="360" w:lineRule="auto"/>
        <w:jc w:val="center"/>
        <w:rPr>
          <w:rFonts w:hint="eastAsia" w:ascii="宋体" w:hAnsi="宋体" w:eastAsia="宋体" w:cs="宋体"/>
          <w:b/>
          <w:color w:val="auto"/>
          <w:sz w:val="28"/>
          <w:szCs w:val="36"/>
          <w:highlight w:val="none"/>
        </w:rPr>
      </w:pPr>
      <w:r>
        <w:rPr>
          <w:rFonts w:hint="eastAsia" w:ascii="宋体" w:hAnsi="宋体" w:eastAsia="宋体" w:cs="宋体"/>
          <w:b/>
          <w:color w:val="auto"/>
          <w:sz w:val="28"/>
          <w:szCs w:val="36"/>
          <w:highlight w:val="none"/>
        </w:rPr>
        <w:t>监狱企业声明函</w:t>
      </w:r>
    </w:p>
    <w:p w14:paraId="661931D3">
      <w:pPr>
        <w:shd w:val="clear" w:color="auto" w:fill="auto"/>
        <w:kinsoku/>
        <w:wordWrap w:val="0"/>
        <w:overflowPunct/>
        <w:bidi w:val="0"/>
        <w:snapToGrid w:val="0"/>
        <w:spacing w:line="360" w:lineRule="auto"/>
        <w:ind w:firstLine="42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t>【不属于监狱企业的无需填写、递交】</w:t>
      </w:r>
    </w:p>
    <w:p w14:paraId="1CE5B4D2">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rPr>
      </w:pPr>
    </w:p>
    <w:p w14:paraId="11370392">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本公司郑重声明，根据《关于政府采购支持监狱企业发展有关问题的通知》 （财库[2014]68 号）的规定，本公司为</w:t>
      </w:r>
      <w:r>
        <w:rPr>
          <w:rFonts w:hint="eastAsia" w:ascii="宋体" w:hAnsi="宋体" w:eastAsia="宋体" w:cs="宋体"/>
          <w:color w:val="auto"/>
          <w:highlight w:val="none"/>
          <w:u w:val="single"/>
        </w:rPr>
        <w:t>监狱企业</w:t>
      </w:r>
      <w:r>
        <w:rPr>
          <w:rFonts w:hint="eastAsia" w:ascii="宋体" w:hAnsi="宋体" w:eastAsia="宋体" w:cs="宋体"/>
          <w:color w:val="auto"/>
          <w:highlight w:val="none"/>
        </w:rPr>
        <w:t>。</w:t>
      </w:r>
    </w:p>
    <w:p w14:paraId="63AD491F">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根据上述标准，我公司属于监狱企业的理由为</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B2EDBE7">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本公司为参加（</w:t>
      </w:r>
      <w:r>
        <w:rPr>
          <w:rFonts w:hint="eastAsia" w:ascii="宋体" w:hAnsi="宋体" w:eastAsia="宋体" w:cs="宋体"/>
          <w:color w:val="auto"/>
          <w:highlight w:val="none"/>
          <w:u w:val="single"/>
        </w:rPr>
        <w:t xml:space="preserve">    项目名称    </w:t>
      </w:r>
      <w:r>
        <w:rPr>
          <w:rFonts w:hint="eastAsia" w:ascii="宋体" w:hAnsi="宋体" w:eastAsia="宋体" w:cs="宋体"/>
          <w:color w:val="auto"/>
          <w:highlight w:val="none"/>
        </w:rPr>
        <w:t>） （项目编号</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）采购活动提供本企业提供服务。</w:t>
      </w:r>
    </w:p>
    <w:p w14:paraId="48863E38">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本公司对上述声明的真实性负责。如有虚假，将依法承担相应责任。</w:t>
      </w:r>
    </w:p>
    <w:p w14:paraId="242ABE2F">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rPr>
      </w:pPr>
    </w:p>
    <w:p w14:paraId="432AEF0B">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投标供应商名称（盖章）</w:t>
      </w:r>
      <w:r>
        <w:rPr>
          <w:rFonts w:hint="eastAsia" w:ascii="宋体" w:hAnsi="宋体" w:eastAsia="宋体" w:cs="宋体"/>
          <w:color w:val="auto"/>
          <w:highlight w:val="none"/>
          <w:lang w:eastAsia="zh-CN"/>
        </w:rPr>
        <w:t>：</w:t>
      </w:r>
    </w:p>
    <w:p w14:paraId="7F4D4073">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    年  月  日</w:t>
      </w:r>
    </w:p>
    <w:p w14:paraId="40C5BA09">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rPr>
      </w:pPr>
    </w:p>
    <w:p w14:paraId="1CEDB9F4">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rPr>
      </w:pPr>
    </w:p>
    <w:p w14:paraId="7734D8F6">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rPr>
      </w:pPr>
    </w:p>
    <w:p w14:paraId="266C87FD">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rPr>
      </w:pPr>
    </w:p>
    <w:p w14:paraId="49D13845">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rPr>
      </w:pPr>
    </w:p>
    <w:p w14:paraId="76CFADF2">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rPr>
      </w:pPr>
    </w:p>
    <w:p w14:paraId="4129D330">
      <w:pPr>
        <w:shd w:val="clear" w:color="auto" w:fill="auto"/>
        <w:kinsoku/>
        <w:wordWrap w:val="0"/>
        <w:overflowPunct/>
        <w:bidi w:val="0"/>
        <w:snapToGrid w:val="0"/>
        <w:spacing w:line="360" w:lineRule="auto"/>
        <w:rPr>
          <w:rFonts w:hint="eastAsia" w:ascii="宋体" w:hAnsi="宋体" w:eastAsia="宋体" w:cs="宋体"/>
          <w:b/>
          <w:color w:val="auto"/>
          <w:spacing w:val="6"/>
          <w:highlight w:val="none"/>
        </w:rPr>
      </w:pPr>
    </w:p>
    <w:p w14:paraId="18069837">
      <w:pPr>
        <w:shd w:val="clear" w:color="auto" w:fill="auto"/>
        <w:kinsoku/>
        <w:wordWrap w:val="0"/>
        <w:overflowPunct/>
        <w:bidi w:val="0"/>
        <w:snapToGrid w:val="0"/>
        <w:spacing w:line="360" w:lineRule="auto"/>
        <w:rPr>
          <w:rFonts w:hint="eastAsia" w:ascii="宋体" w:hAnsi="宋体" w:eastAsia="宋体" w:cs="宋体"/>
          <w:b/>
          <w:color w:val="auto"/>
          <w:spacing w:val="6"/>
          <w:highlight w:val="none"/>
        </w:rPr>
      </w:pPr>
    </w:p>
    <w:p w14:paraId="5C55781C">
      <w:pPr>
        <w:shd w:val="clear" w:color="auto" w:fill="auto"/>
        <w:kinsoku/>
        <w:wordWrap w:val="0"/>
        <w:overflowPunct/>
        <w:bidi w:val="0"/>
        <w:snapToGrid w:val="0"/>
        <w:spacing w:line="360" w:lineRule="auto"/>
        <w:jc w:val="center"/>
        <w:rPr>
          <w:rFonts w:hint="eastAsia" w:ascii="宋体" w:hAnsi="宋体" w:eastAsia="宋体" w:cs="宋体"/>
          <w:b/>
          <w:color w:val="auto"/>
          <w:spacing w:val="6"/>
          <w:highlight w:val="none"/>
        </w:rPr>
      </w:pPr>
    </w:p>
    <w:p w14:paraId="4FF3F2C8">
      <w:pPr>
        <w:shd w:val="clear" w:color="auto" w:fill="auto"/>
        <w:kinsoku/>
        <w:wordWrap w:val="0"/>
        <w:overflowPunct/>
        <w:bidi w:val="0"/>
        <w:snapToGrid w:val="0"/>
        <w:spacing w:line="360" w:lineRule="auto"/>
        <w:jc w:val="center"/>
        <w:rPr>
          <w:rFonts w:hint="eastAsia" w:ascii="宋体" w:hAnsi="宋体" w:eastAsia="宋体" w:cs="宋体"/>
          <w:b/>
          <w:color w:val="auto"/>
          <w:spacing w:val="6"/>
          <w:highlight w:val="none"/>
        </w:rPr>
      </w:pPr>
    </w:p>
    <w:p w14:paraId="704C6A1A">
      <w:pPr>
        <w:pageBreakBefore/>
        <w:shd w:val="clear" w:color="auto" w:fill="auto"/>
        <w:kinsoku/>
        <w:wordWrap w:val="0"/>
        <w:overflowPunct/>
        <w:bidi w:val="0"/>
        <w:snapToGrid w:val="0"/>
        <w:spacing w:line="360" w:lineRule="auto"/>
        <w:jc w:val="center"/>
        <w:rPr>
          <w:rFonts w:hint="eastAsia" w:ascii="宋体" w:hAnsi="宋体" w:eastAsia="宋体" w:cs="宋体"/>
          <w:b/>
          <w:color w:val="auto"/>
          <w:spacing w:val="6"/>
          <w:sz w:val="28"/>
          <w:szCs w:val="36"/>
          <w:highlight w:val="none"/>
        </w:rPr>
      </w:pPr>
      <w:r>
        <w:rPr>
          <w:rFonts w:hint="eastAsia" w:ascii="宋体" w:hAnsi="宋体" w:eastAsia="宋体" w:cs="宋体"/>
          <w:b/>
          <w:color w:val="auto"/>
          <w:spacing w:val="6"/>
          <w:sz w:val="28"/>
          <w:szCs w:val="36"/>
          <w:highlight w:val="none"/>
        </w:rPr>
        <w:t>残疾人福利性单位声明函</w:t>
      </w:r>
    </w:p>
    <w:p w14:paraId="4487C193">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rPr>
      </w:pPr>
    </w:p>
    <w:p w14:paraId="498F30F8">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单位的</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项目采购活动提供本单位制造的货物（由本单位承担工程/提供服务），或者提供其他残疾人福利性单位制造的货物（不包括使用非残疾人福利性单位注册商标的货物）。</w:t>
      </w:r>
    </w:p>
    <w:p w14:paraId="36561F4C">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本单位对上述声明的真实性负责。如有虚假，将依法承担相应责任。</w:t>
      </w:r>
    </w:p>
    <w:p w14:paraId="0585C528">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p>
    <w:p w14:paraId="2ED1F78F">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p>
    <w:p w14:paraId="28D4B426">
      <w:pPr>
        <w:shd w:val="clear" w:color="auto" w:fill="auto"/>
        <w:tabs>
          <w:tab w:val="left" w:pos="4860"/>
        </w:tabs>
        <w:kinsoku/>
        <w:wordWrap w:val="0"/>
        <w:overflowPunct/>
        <w:bidi w:val="0"/>
        <w:snapToGrid w:val="0"/>
        <w:spacing w:line="360" w:lineRule="auto"/>
        <w:ind w:right="156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 xml:space="preserve">       单位名称（盖章）</w:t>
      </w:r>
      <w:r>
        <w:rPr>
          <w:rFonts w:hint="eastAsia" w:ascii="宋体" w:hAnsi="宋体" w:eastAsia="宋体" w:cs="宋体"/>
          <w:color w:val="auto"/>
          <w:sz w:val="22"/>
          <w:szCs w:val="22"/>
          <w:highlight w:val="none"/>
          <w:lang w:eastAsia="zh-CN"/>
        </w:rPr>
        <w:t>：</w:t>
      </w:r>
    </w:p>
    <w:p w14:paraId="5A08C579">
      <w:pPr>
        <w:shd w:val="clear" w:color="auto" w:fill="auto"/>
        <w:tabs>
          <w:tab w:val="left" w:pos="4860"/>
        </w:tabs>
        <w:kinsoku/>
        <w:wordWrap w:val="0"/>
        <w:overflowPunct/>
        <w:bidi w:val="0"/>
        <w:snapToGrid w:val="0"/>
        <w:spacing w:line="360" w:lineRule="auto"/>
        <w:ind w:right="156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 xml:space="preserve">       日  期</w:t>
      </w:r>
      <w:r>
        <w:rPr>
          <w:rFonts w:hint="eastAsia" w:ascii="宋体" w:hAnsi="宋体" w:eastAsia="宋体" w:cs="宋体"/>
          <w:color w:val="auto"/>
          <w:sz w:val="22"/>
          <w:szCs w:val="22"/>
          <w:highlight w:val="none"/>
          <w:lang w:eastAsia="zh-CN"/>
        </w:rPr>
        <w:t>：</w:t>
      </w:r>
    </w:p>
    <w:p w14:paraId="2681C941">
      <w:pPr>
        <w:pStyle w:val="62"/>
        <w:shd w:val="clear" w:color="auto" w:fill="auto"/>
        <w:kinsoku/>
        <w:wordWrap w:val="0"/>
        <w:overflowPunct/>
        <w:bidi w:val="0"/>
        <w:snapToGrid w:val="0"/>
        <w:spacing w:line="360" w:lineRule="auto"/>
        <w:ind w:left="360" w:firstLine="0" w:firstLineChars="0"/>
        <w:rPr>
          <w:rFonts w:hint="eastAsia" w:ascii="宋体" w:hAnsi="宋体" w:eastAsia="宋体" w:cs="宋体"/>
          <w:color w:val="auto"/>
          <w:sz w:val="22"/>
          <w:szCs w:val="22"/>
          <w:highlight w:val="none"/>
        </w:rPr>
      </w:pPr>
    </w:p>
    <w:p w14:paraId="0F3F126D">
      <w:pPr>
        <w:pStyle w:val="62"/>
        <w:shd w:val="clear" w:color="auto" w:fill="auto"/>
        <w:kinsoku/>
        <w:wordWrap w:val="0"/>
        <w:overflowPunct/>
        <w:bidi w:val="0"/>
        <w:snapToGrid w:val="0"/>
        <w:spacing w:line="360" w:lineRule="auto"/>
        <w:ind w:left="360" w:firstLine="0" w:firstLineChars="0"/>
        <w:rPr>
          <w:rFonts w:hint="eastAsia" w:ascii="宋体" w:hAnsi="宋体" w:eastAsia="宋体" w:cs="宋体"/>
          <w:color w:val="auto"/>
          <w:sz w:val="22"/>
          <w:szCs w:val="22"/>
          <w:highlight w:val="none"/>
        </w:rPr>
      </w:pPr>
    </w:p>
    <w:p w14:paraId="3CC5D0D1">
      <w:pPr>
        <w:pStyle w:val="62"/>
        <w:shd w:val="clear" w:color="auto" w:fill="auto"/>
        <w:kinsoku/>
        <w:wordWrap w:val="0"/>
        <w:overflowPunct/>
        <w:bidi w:val="0"/>
        <w:snapToGrid w:val="0"/>
        <w:spacing w:line="360" w:lineRule="auto"/>
        <w:ind w:firstLine="0" w:firstLineChars="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rPr>
        <w:t>扶持政策说明</w:t>
      </w:r>
      <w:r>
        <w:rPr>
          <w:rFonts w:hint="eastAsia" w:ascii="宋体" w:hAnsi="宋体" w:eastAsia="宋体" w:cs="宋体"/>
          <w:b/>
          <w:bCs/>
          <w:color w:val="auto"/>
          <w:sz w:val="22"/>
          <w:szCs w:val="22"/>
          <w:highlight w:val="none"/>
          <w:lang w:eastAsia="zh-CN"/>
        </w:rPr>
        <w:t>：</w:t>
      </w:r>
    </w:p>
    <w:p w14:paraId="137AACCC">
      <w:pPr>
        <w:pStyle w:val="62"/>
        <w:shd w:val="clear" w:color="auto" w:fill="auto"/>
        <w:kinsoku/>
        <w:wordWrap w:val="0"/>
        <w:overflowPunct/>
        <w:bidi w:val="0"/>
        <w:snapToGrid w:val="0"/>
        <w:spacing w:line="360" w:lineRule="auto"/>
        <w:ind w:firstLine="422"/>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根据财政部、工业和信息化部制定的《政府采购促进中小企业发展暂行办法》和转发财政部工业和信息化部关于印发《政府采购促进中小企业发展暂行办法》的通知（浙财采监[2012]11号），对小型或微型企业的投标报价给予</w:t>
      </w:r>
      <w:r>
        <w:rPr>
          <w:rFonts w:hint="eastAsia" w:ascii="宋体" w:hAnsi="宋体" w:eastAsia="宋体" w:cs="宋体"/>
          <w:b/>
          <w:bCs/>
          <w:color w:val="auto"/>
          <w:sz w:val="22"/>
          <w:szCs w:val="22"/>
          <w:highlight w:val="none"/>
          <w:u w:val="single"/>
        </w:rPr>
        <w:t>6%</w:t>
      </w:r>
      <w:r>
        <w:rPr>
          <w:rFonts w:hint="eastAsia" w:ascii="宋体" w:hAnsi="宋体" w:eastAsia="宋体" w:cs="宋体"/>
          <w:b/>
          <w:bCs/>
          <w:color w:val="auto"/>
          <w:sz w:val="22"/>
          <w:szCs w:val="22"/>
          <w:highlight w:val="none"/>
        </w:rPr>
        <w:t>的扣除，并用扣除后的价格计算价格评分。</w:t>
      </w:r>
    </w:p>
    <w:p w14:paraId="3ECA9DB2">
      <w:pPr>
        <w:shd w:val="clear" w:color="auto" w:fill="auto"/>
        <w:kinsoku/>
        <w:wordWrap w:val="0"/>
        <w:overflowPunct/>
        <w:bidi w:val="0"/>
        <w:snapToGrid w:val="0"/>
        <w:spacing w:line="360" w:lineRule="auto"/>
        <w:ind w:firstLine="221" w:firstLineChars="1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2、监狱企业视同小微企业，参加本项目投标的，享受小微企业同等的价格扣除。【注</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提供《监狱企业声明函》及其相关的充分的证明材料】。</w:t>
      </w:r>
    </w:p>
    <w:p w14:paraId="5586A36E">
      <w:pPr>
        <w:pStyle w:val="62"/>
        <w:shd w:val="clear" w:color="auto" w:fill="auto"/>
        <w:kinsoku/>
        <w:wordWrap w:val="0"/>
        <w:overflowPunct/>
        <w:bidi w:val="0"/>
        <w:snapToGrid w:val="0"/>
        <w:spacing w:line="360" w:lineRule="auto"/>
        <w:ind w:firstLine="221" w:firstLineChars="1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3、残疾人福利性单位参加投标【提供《残疾人福利性单位声明函》】，视为小型、微型企业，享受小微企业政策扶持。</w:t>
      </w:r>
    </w:p>
    <w:p w14:paraId="56A6F4AE">
      <w:pPr>
        <w:pStyle w:val="62"/>
        <w:shd w:val="clear" w:color="auto" w:fill="auto"/>
        <w:kinsoku/>
        <w:wordWrap w:val="0"/>
        <w:overflowPunct/>
        <w:bidi w:val="0"/>
        <w:snapToGrid w:val="0"/>
        <w:spacing w:line="360" w:lineRule="auto"/>
        <w:ind w:firstLine="221" w:firstLineChars="100"/>
        <w:rPr>
          <w:rFonts w:hint="eastAsia" w:ascii="宋体" w:hAnsi="宋体" w:eastAsia="宋体" w:cs="宋体"/>
          <w:b/>
          <w:bCs/>
          <w:color w:val="auto"/>
          <w:sz w:val="22"/>
          <w:szCs w:val="22"/>
          <w:highlight w:val="none"/>
        </w:rPr>
      </w:pPr>
    </w:p>
    <w:p w14:paraId="0F90E152">
      <w:pPr>
        <w:pStyle w:val="14"/>
        <w:shd w:val="clear" w:color="auto" w:fill="auto"/>
        <w:kinsoku/>
        <w:wordWrap w:val="0"/>
        <w:overflowPunct/>
        <w:bidi w:val="0"/>
        <w:adjustRightInd w:val="0"/>
        <w:snapToGrid w:val="0"/>
        <w:spacing w:line="360" w:lineRule="auto"/>
        <w:rPr>
          <w:rFonts w:hint="eastAsia" w:ascii="宋体" w:hAnsi="宋体" w:eastAsia="宋体" w:cs="宋体"/>
          <w:color w:val="auto"/>
          <w:sz w:val="22"/>
          <w:szCs w:val="22"/>
          <w:highlight w:val="none"/>
        </w:rPr>
      </w:pPr>
    </w:p>
    <w:p w14:paraId="7B099C5A">
      <w:pPr>
        <w:pStyle w:val="14"/>
        <w:shd w:val="clear" w:color="auto" w:fill="auto"/>
        <w:kinsoku/>
        <w:wordWrap w:val="0"/>
        <w:overflowPunct/>
        <w:bidi w:val="0"/>
        <w:adjustRightInd w:val="0"/>
        <w:snapToGrid w:val="0"/>
        <w:spacing w:line="360" w:lineRule="auto"/>
        <w:rPr>
          <w:rFonts w:hint="eastAsia" w:ascii="宋体" w:hAnsi="宋体" w:eastAsia="宋体" w:cs="宋体"/>
          <w:color w:val="auto"/>
          <w:sz w:val="30"/>
          <w:highlight w:val="none"/>
        </w:rPr>
      </w:pPr>
    </w:p>
    <w:p w14:paraId="372AAEFD">
      <w:pPr>
        <w:pStyle w:val="14"/>
        <w:shd w:val="clear" w:color="auto" w:fill="auto"/>
        <w:kinsoku/>
        <w:wordWrap w:val="0"/>
        <w:overflowPunct/>
        <w:bidi w:val="0"/>
        <w:adjustRightInd w:val="0"/>
        <w:snapToGrid w:val="0"/>
        <w:spacing w:line="360" w:lineRule="auto"/>
        <w:rPr>
          <w:rFonts w:hint="eastAsia" w:ascii="宋体" w:hAnsi="宋体" w:eastAsia="宋体" w:cs="宋体"/>
          <w:color w:val="auto"/>
          <w:sz w:val="30"/>
          <w:highlight w:val="none"/>
        </w:rPr>
      </w:pPr>
    </w:p>
    <w:p w14:paraId="1984FD0B">
      <w:pPr>
        <w:pStyle w:val="14"/>
        <w:shd w:val="clear" w:color="auto" w:fill="auto"/>
        <w:kinsoku/>
        <w:wordWrap w:val="0"/>
        <w:overflowPunct/>
        <w:bidi w:val="0"/>
        <w:adjustRightInd w:val="0"/>
        <w:snapToGrid w:val="0"/>
        <w:spacing w:line="360" w:lineRule="auto"/>
        <w:rPr>
          <w:rFonts w:hint="eastAsia" w:ascii="宋体" w:hAnsi="宋体" w:eastAsia="宋体" w:cs="宋体"/>
          <w:color w:val="auto"/>
          <w:sz w:val="30"/>
          <w:highlight w:val="none"/>
        </w:rPr>
      </w:pPr>
    </w:p>
    <w:p w14:paraId="1BF98B20">
      <w:pPr>
        <w:pStyle w:val="14"/>
        <w:shd w:val="clear" w:color="auto" w:fill="auto"/>
        <w:kinsoku/>
        <w:wordWrap w:val="0"/>
        <w:overflowPunct/>
        <w:bidi w:val="0"/>
        <w:adjustRightInd w:val="0"/>
        <w:snapToGrid w:val="0"/>
        <w:spacing w:line="360" w:lineRule="auto"/>
        <w:rPr>
          <w:rFonts w:hint="eastAsia" w:ascii="宋体" w:hAnsi="宋体" w:eastAsia="宋体" w:cs="宋体"/>
          <w:color w:val="auto"/>
          <w:sz w:val="30"/>
          <w:highlight w:val="none"/>
        </w:rPr>
      </w:pPr>
    </w:p>
    <w:p w14:paraId="02B24AB2">
      <w:pPr>
        <w:pStyle w:val="14"/>
        <w:shd w:val="clear" w:color="auto" w:fill="auto"/>
        <w:kinsoku/>
        <w:wordWrap w:val="0"/>
        <w:overflowPunct/>
        <w:bidi w:val="0"/>
        <w:adjustRightInd w:val="0"/>
        <w:snapToGrid w:val="0"/>
        <w:spacing w:line="360" w:lineRule="auto"/>
        <w:rPr>
          <w:rFonts w:hint="eastAsia" w:ascii="宋体" w:hAnsi="宋体" w:eastAsia="宋体" w:cs="宋体"/>
          <w:color w:val="auto"/>
          <w:sz w:val="30"/>
          <w:highlight w:val="none"/>
        </w:rPr>
      </w:pPr>
    </w:p>
    <w:p w14:paraId="1CDBB7CD">
      <w:pPr>
        <w:pStyle w:val="3"/>
        <w:shd w:val="clear" w:color="auto" w:fill="auto"/>
        <w:kinsoku/>
        <w:wordWrap w:val="0"/>
        <w:overflowPunct/>
        <w:bidi w:val="0"/>
        <w:spacing w:before="0" w:after="0" w:line="360" w:lineRule="auto"/>
        <w:rPr>
          <w:rFonts w:hint="eastAsia" w:ascii="宋体" w:hAnsi="宋体" w:eastAsia="宋体" w:cs="宋体"/>
          <w:color w:val="auto"/>
          <w:highlight w:val="none"/>
        </w:rPr>
      </w:pPr>
      <w:bookmarkStart w:id="102" w:name="_Toc30408915"/>
      <w:bookmarkStart w:id="103" w:name="_Toc20870"/>
      <w:bookmarkStart w:id="104" w:name="_Toc7988468"/>
      <w:bookmarkStart w:id="105" w:name="_Toc8008423"/>
      <w:bookmarkStart w:id="106" w:name="_Toc11423"/>
      <w:bookmarkStart w:id="107" w:name="_Toc24550050"/>
      <w:bookmarkStart w:id="108" w:name="_Toc440162800"/>
      <w:bookmarkStart w:id="109" w:name="_Toc424164168"/>
      <w:bookmarkStart w:id="110" w:name="_Toc13216"/>
      <w:bookmarkStart w:id="111" w:name="_Toc7988414"/>
      <w:r>
        <w:rPr>
          <w:rFonts w:hint="eastAsia" w:ascii="宋体" w:hAnsi="宋体" w:eastAsia="宋体" w:cs="宋体"/>
          <w:color w:val="auto"/>
          <w:highlight w:val="none"/>
        </w:rPr>
        <w:t>三、“商务技术文件”格式</w:t>
      </w:r>
      <w:bookmarkEnd w:id="102"/>
      <w:bookmarkEnd w:id="103"/>
      <w:bookmarkEnd w:id="104"/>
      <w:bookmarkEnd w:id="105"/>
      <w:bookmarkEnd w:id="106"/>
      <w:bookmarkEnd w:id="107"/>
      <w:bookmarkEnd w:id="108"/>
      <w:bookmarkEnd w:id="109"/>
      <w:bookmarkEnd w:id="110"/>
      <w:bookmarkEnd w:id="111"/>
    </w:p>
    <w:p w14:paraId="2063DE8F">
      <w:pPr>
        <w:pStyle w:val="4"/>
        <w:shd w:val="clear" w:color="auto" w:fill="auto"/>
        <w:kinsoku/>
        <w:wordWrap w:val="0"/>
        <w:overflowPunct/>
        <w:bidi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3.1 “商务技术文件”封面</w:t>
      </w:r>
    </w:p>
    <w:p w14:paraId="1DB16DFD">
      <w:pPr>
        <w:shd w:val="clear" w:color="auto" w:fill="auto"/>
        <w:kinsoku/>
        <w:wordWrap w:val="0"/>
        <w:overflowPunct/>
        <w:bidi w:val="0"/>
        <w:spacing w:line="360" w:lineRule="auto"/>
        <w:jc w:val="right"/>
        <w:rPr>
          <w:rFonts w:hint="eastAsia" w:ascii="宋体" w:hAnsi="宋体" w:eastAsia="宋体" w:cs="宋体"/>
          <w:b/>
          <w:color w:val="auto"/>
          <w:sz w:val="32"/>
          <w:szCs w:val="22"/>
          <w:highlight w:val="none"/>
        </w:rPr>
      </w:pPr>
    </w:p>
    <w:p w14:paraId="07B43E82">
      <w:pPr>
        <w:shd w:val="clear" w:color="auto" w:fill="auto"/>
        <w:kinsoku/>
        <w:wordWrap w:val="0"/>
        <w:overflowPunct/>
        <w:bidi w:val="0"/>
        <w:spacing w:line="360" w:lineRule="auto"/>
        <w:jc w:val="center"/>
        <w:rPr>
          <w:rFonts w:hint="eastAsia" w:ascii="宋体" w:hAnsi="宋体" w:eastAsia="宋体" w:cs="宋体"/>
          <w:b/>
          <w:color w:val="auto"/>
          <w:w w:val="90"/>
          <w:sz w:val="44"/>
          <w:szCs w:val="44"/>
          <w:highlight w:val="none"/>
        </w:rPr>
      </w:pPr>
      <w:r>
        <w:rPr>
          <w:rFonts w:hint="eastAsia" w:ascii="宋体" w:hAnsi="宋体" w:cs="宋体"/>
          <w:b/>
          <w:color w:val="auto"/>
          <w:w w:val="90"/>
          <w:sz w:val="44"/>
          <w:szCs w:val="44"/>
          <w:highlight w:val="none"/>
          <w:lang w:eastAsia="zh-CN"/>
        </w:rPr>
        <w:t>平阳县万全镇中心区B12地块项目代建（含初步设计及品牌冠名）服务采购</w:t>
      </w:r>
    </w:p>
    <w:p w14:paraId="0343F0E7">
      <w:pPr>
        <w:shd w:val="clear" w:color="auto" w:fill="auto"/>
        <w:kinsoku/>
        <w:wordWrap w:val="0"/>
        <w:overflowPunct/>
        <w:bidi w:val="0"/>
        <w:spacing w:line="360" w:lineRule="auto"/>
        <w:jc w:val="center"/>
        <w:rPr>
          <w:rFonts w:hint="eastAsia" w:ascii="宋体" w:hAnsi="宋体" w:eastAsia="宋体" w:cs="宋体"/>
          <w:b/>
          <w:color w:val="auto"/>
          <w:sz w:val="52"/>
          <w:szCs w:val="22"/>
          <w:highlight w:val="none"/>
        </w:rPr>
      </w:pPr>
    </w:p>
    <w:p w14:paraId="552F0D69">
      <w:pPr>
        <w:shd w:val="clear" w:color="auto" w:fill="auto"/>
        <w:kinsoku/>
        <w:wordWrap w:val="0"/>
        <w:overflowPunct/>
        <w:bidi w:val="0"/>
        <w:spacing w:line="360" w:lineRule="auto"/>
        <w:jc w:val="center"/>
        <w:rPr>
          <w:rFonts w:hint="eastAsia" w:ascii="宋体" w:hAnsi="宋体" w:eastAsia="宋体" w:cs="宋体"/>
          <w:color w:val="auto"/>
          <w:sz w:val="96"/>
          <w:szCs w:val="22"/>
          <w:highlight w:val="none"/>
        </w:rPr>
      </w:pPr>
      <w:r>
        <w:rPr>
          <w:rFonts w:hint="eastAsia" w:ascii="宋体" w:hAnsi="宋体" w:eastAsia="宋体" w:cs="宋体"/>
          <w:color w:val="auto"/>
          <w:sz w:val="96"/>
          <w:szCs w:val="22"/>
          <w:highlight w:val="none"/>
        </w:rPr>
        <w:t>投 标 文 件</w:t>
      </w:r>
    </w:p>
    <w:p w14:paraId="2435851C">
      <w:pPr>
        <w:shd w:val="clear" w:color="auto" w:fill="auto"/>
        <w:kinsoku/>
        <w:wordWrap w:val="0"/>
        <w:overflowPunct/>
        <w:bidi w:val="0"/>
        <w:spacing w:line="360" w:lineRule="auto"/>
        <w:jc w:val="center"/>
        <w:rPr>
          <w:rFonts w:hint="eastAsia" w:ascii="宋体" w:hAnsi="宋体" w:eastAsia="宋体" w:cs="宋体"/>
          <w:b/>
          <w:color w:val="auto"/>
          <w:sz w:val="52"/>
          <w:szCs w:val="22"/>
          <w:highlight w:val="none"/>
        </w:rPr>
      </w:pPr>
      <w:r>
        <w:rPr>
          <w:rFonts w:hint="eastAsia" w:ascii="宋体" w:hAnsi="宋体" w:eastAsia="宋体" w:cs="宋体"/>
          <w:b/>
          <w:color w:val="auto"/>
          <w:sz w:val="52"/>
          <w:szCs w:val="22"/>
          <w:highlight w:val="none"/>
        </w:rPr>
        <w:t>（商务技术文件）</w:t>
      </w:r>
    </w:p>
    <w:p w14:paraId="31E30A00">
      <w:pPr>
        <w:shd w:val="clear" w:color="auto" w:fill="auto"/>
        <w:kinsoku/>
        <w:wordWrap w:val="0"/>
        <w:overflowPunct/>
        <w:bidi w:val="0"/>
        <w:spacing w:line="360" w:lineRule="auto"/>
        <w:jc w:val="center"/>
        <w:rPr>
          <w:rFonts w:hint="eastAsia" w:ascii="宋体" w:hAnsi="宋体" w:eastAsia="宋体" w:cs="宋体"/>
          <w:b/>
          <w:color w:val="auto"/>
          <w:sz w:val="52"/>
          <w:szCs w:val="22"/>
          <w:highlight w:val="none"/>
        </w:rPr>
      </w:pPr>
    </w:p>
    <w:tbl>
      <w:tblPr>
        <w:tblStyle w:val="26"/>
        <w:tblW w:w="0" w:type="auto"/>
        <w:tblInd w:w="250" w:type="dxa"/>
        <w:tblLayout w:type="fixed"/>
        <w:tblCellMar>
          <w:top w:w="0" w:type="dxa"/>
          <w:left w:w="108" w:type="dxa"/>
          <w:bottom w:w="0" w:type="dxa"/>
          <w:right w:w="108" w:type="dxa"/>
        </w:tblCellMar>
      </w:tblPr>
      <w:tblGrid>
        <w:gridCol w:w="8789"/>
      </w:tblGrid>
      <w:tr w14:paraId="3AF418FC">
        <w:tblPrEx>
          <w:tblCellMar>
            <w:top w:w="0" w:type="dxa"/>
            <w:left w:w="108" w:type="dxa"/>
            <w:bottom w:w="0" w:type="dxa"/>
            <w:right w:w="108" w:type="dxa"/>
          </w:tblCellMar>
        </w:tblPrEx>
        <w:trPr>
          <w:trHeight w:val="680" w:hRule="atLeast"/>
        </w:trPr>
        <w:tc>
          <w:tcPr>
            <w:tcW w:w="8789" w:type="dxa"/>
            <w:noWrap w:val="0"/>
            <w:vAlign w:val="center"/>
          </w:tcPr>
          <w:p w14:paraId="0AB636D2">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sz w:val="28"/>
                <w:szCs w:val="28"/>
                <w:highlight w:val="none"/>
                <w:lang w:eastAsia="zh-CN"/>
              </w:rPr>
              <w:t>：</w:t>
            </w:r>
            <w:r>
              <w:rPr>
                <w:rFonts w:hint="eastAsia" w:ascii="宋体" w:hAnsi="宋体" w:cs="宋体"/>
                <w:b/>
                <w:color w:val="auto"/>
                <w:sz w:val="28"/>
                <w:szCs w:val="28"/>
                <w:highlight w:val="none"/>
                <w:lang w:eastAsia="zh-CN"/>
              </w:rPr>
              <w:t>PYCG250930104</w:t>
            </w:r>
            <w:r>
              <w:rPr>
                <w:rFonts w:hint="eastAsia" w:ascii="宋体" w:hAnsi="宋体" w:eastAsia="宋体" w:cs="宋体"/>
                <w:b/>
                <w:color w:val="auto"/>
                <w:sz w:val="28"/>
                <w:szCs w:val="28"/>
                <w:highlight w:val="none"/>
              </w:rPr>
              <w:t xml:space="preserve">   </w:t>
            </w:r>
          </w:p>
        </w:tc>
      </w:tr>
      <w:tr w14:paraId="1AC7D228">
        <w:tblPrEx>
          <w:tblCellMar>
            <w:top w:w="0" w:type="dxa"/>
            <w:left w:w="108" w:type="dxa"/>
            <w:bottom w:w="0" w:type="dxa"/>
            <w:right w:w="108" w:type="dxa"/>
          </w:tblCellMar>
        </w:tblPrEx>
        <w:trPr>
          <w:trHeight w:val="680" w:hRule="atLeast"/>
        </w:trPr>
        <w:tc>
          <w:tcPr>
            <w:tcW w:w="8789" w:type="dxa"/>
            <w:noWrap w:val="0"/>
            <w:vAlign w:val="center"/>
          </w:tcPr>
          <w:p w14:paraId="2F48377E">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供应商名称（盖章）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w:t>
            </w:r>
          </w:p>
        </w:tc>
      </w:tr>
      <w:tr w14:paraId="4C99DCFC">
        <w:tblPrEx>
          <w:tblCellMar>
            <w:top w:w="0" w:type="dxa"/>
            <w:left w:w="108" w:type="dxa"/>
            <w:bottom w:w="0" w:type="dxa"/>
            <w:right w:w="108" w:type="dxa"/>
          </w:tblCellMar>
        </w:tblPrEx>
        <w:trPr>
          <w:trHeight w:val="680" w:hRule="atLeast"/>
        </w:trPr>
        <w:tc>
          <w:tcPr>
            <w:tcW w:w="8789" w:type="dxa"/>
            <w:noWrap w:val="0"/>
            <w:vAlign w:val="center"/>
          </w:tcPr>
          <w:p w14:paraId="7EC7353A">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供应商地址</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w:t>
            </w:r>
          </w:p>
        </w:tc>
      </w:tr>
      <w:tr w14:paraId="665393BE">
        <w:tblPrEx>
          <w:tblCellMar>
            <w:top w:w="0" w:type="dxa"/>
            <w:left w:w="108" w:type="dxa"/>
            <w:bottom w:w="0" w:type="dxa"/>
            <w:right w:w="108" w:type="dxa"/>
          </w:tblCellMar>
        </w:tblPrEx>
        <w:trPr>
          <w:trHeight w:val="680" w:hRule="atLeast"/>
        </w:trPr>
        <w:tc>
          <w:tcPr>
            <w:tcW w:w="8789" w:type="dxa"/>
            <w:noWrap w:val="0"/>
            <w:vAlign w:val="center"/>
          </w:tcPr>
          <w:p w14:paraId="0CA35B1D">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法定代表人或其授权代表（签字或盖章）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w:t>
            </w:r>
          </w:p>
        </w:tc>
      </w:tr>
      <w:tr w14:paraId="7B77475A">
        <w:tblPrEx>
          <w:tblCellMar>
            <w:top w:w="0" w:type="dxa"/>
            <w:left w:w="108" w:type="dxa"/>
            <w:bottom w:w="0" w:type="dxa"/>
            <w:right w:w="108" w:type="dxa"/>
          </w:tblCellMar>
        </w:tblPrEx>
        <w:trPr>
          <w:trHeight w:val="680" w:hRule="atLeast"/>
        </w:trPr>
        <w:tc>
          <w:tcPr>
            <w:tcW w:w="8789" w:type="dxa"/>
            <w:noWrap w:val="0"/>
            <w:vAlign w:val="center"/>
          </w:tcPr>
          <w:p w14:paraId="773284B8">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__________________________________________________________</w:t>
            </w:r>
          </w:p>
        </w:tc>
      </w:tr>
      <w:tr w14:paraId="3D1DBC19">
        <w:tblPrEx>
          <w:tblCellMar>
            <w:top w:w="0" w:type="dxa"/>
            <w:left w:w="108" w:type="dxa"/>
            <w:bottom w:w="0" w:type="dxa"/>
            <w:right w:w="108" w:type="dxa"/>
          </w:tblCellMar>
        </w:tblPrEx>
        <w:trPr>
          <w:trHeight w:val="335" w:hRule="atLeast"/>
        </w:trPr>
        <w:tc>
          <w:tcPr>
            <w:tcW w:w="8789" w:type="dxa"/>
            <w:noWrap w:val="0"/>
            <w:vAlign w:val="center"/>
          </w:tcPr>
          <w:p w14:paraId="7B0F8D6F">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8"/>
                <w:szCs w:val="28"/>
                <w:highlight w:val="none"/>
              </w:rPr>
            </w:pPr>
          </w:p>
        </w:tc>
      </w:tr>
    </w:tbl>
    <w:p w14:paraId="3C1EA542">
      <w:pPr>
        <w:shd w:val="clear" w:color="auto" w:fill="auto"/>
        <w:kinsoku/>
        <w:wordWrap w:val="0"/>
        <w:overflowPunct/>
        <w:bidi w:val="0"/>
        <w:spacing w:line="360" w:lineRule="auto"/>
        <w:rPr>
          <w:rFonts w:hint="eastAsia" w:ascii="宋体" w:hAnsi="宋体" w:eastAsia="宋体" w:cs="宋体"/>
          <w:color w:val="auto"/>
          <w:highlight w:val="none"/>
        </w:rPr>
      </w:pPr>
    </w:p>
    <w:p w14:paraId="790E0D57">
      <w:pPr>
        <w:pStyle w:val="4"/>
        <w:shd w:val="clear" w:color="auto" w:fill="auto"/>
        <w:kinsoku/>
        <w:wordWrap w:val="0"/>
        <w:overflowPunct/>
        <w:bidi w:val="0"/>
        <w:spacing w:before="0" w:after="0" w:line="360" w:lineRule="auto"/>
        <w:rPr>
          <w:rFonts w:hint="eastAsia" w:ascii="宋体" w:hAnsi="宋体" w:eastAsia="宋体" w:cs="宋体"/>
          <w:color w:val="auto"/>
          <w:highlight w:val="none"/>
        </w:rPr>
      </w:pPr>
    </w:p>
    <w:p w14:paraId="538D2B7C">
      <w:pPr>
        <w:pStyle w:val="4"/>
        <w:shd w:val="clear" w:color="auto" w:fill="auto"/>
        <w:kinsoku/>
        <w:wordWrap w:val="0"/>
        <w:overflowPunct/>
        <w:bidi w:val="0"/>
        <w:spacing w:before="0" w:after="0" w:line="360" w:lineRule="auto"/>
        <w:rPr>
          <w:rFonts w:hint="eastAsia" w:ascii="宋体" w:hAnsi="宋体" w:eastAsia="宋体" w:cs="宋体"/>
          <w:color w:val="auto"/>
          <w:highlight w:val="none"/>
        </w:rPr>
      </w:pPr>
    </w:p>
    <w:p w14:paraId="616A8741">
      <w:pPr>
        <w:pStyle w:val="4"/>
        <w:shd w:val="clear" w:color="auto" w:fill="auto"/>
        <w:kinsoku/>
        <w:wordWrap w:val="0"/>
        <w:overflowPunct/>
        <w:bidi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3.2供应商自评分指引表</w:t>
      </w:r>
    </w:p>
    <w:tbl>
      <w:tblPr>
        <w:tblStyle w:val="26"/>
        <w:tblW w:w="0" w:type="auto"/>
        <w:tblInd w:w="0" w:type="dxa"/>
        <w:tblLayout w:type="fixed"/>
        <w:tblCellMar>
          <w:top w:w="0" w:type="dxa"/>
          <w:left w:w="0" w:type="dxa"/>
          <w:bottom w:w="0" w:type="dxa"/>
          <w:right w:w="0" w:type="dxa"/>
        </w:tblCellMar>
      </w:tblPr>
      <w:tblGrid>
        <w:gridCol w:w="1095"/>
        <w:gridCol w:w="7470"/>
        <w:gridCol w:w="1340"/>
      </w:tblGrid>
      <w:tr w14:paraId="7668AA90">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9965A3">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序号</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438BBA">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评分项目</w:t>
            </w: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7981CE">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投标文件索引（页码）</w:t>
            </w:r>
          </w:p>
        </w:tc>
      </w:tr>
      <w:tr w14:paraId="41F24757">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C4CA67">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741E0B">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387E0F">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173B37D9">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9F799F">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2</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AA0A20">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8F1C28">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2E22ABC2">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0DF8D4">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3</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F6FA32">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69BC61">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63C6B983">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53DD7F">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4</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0B286D">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CFB858">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0C2B740F">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918E59">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5</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7432EF">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FBD5BD">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4FA384CC">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E82547">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6</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A9879F">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2ECC1A">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29E2B858">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0003B5">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7</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F1C4FE">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7CC122">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189CF705">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C1DE1F">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8</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D4483D">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972216">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5678AD3D">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BEC535">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9</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16B122">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1BC3A6">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26C51075">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619F98">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10</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62F23D">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6A4252">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7F579AF5">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D4E84F">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11</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CE6908">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6434E9">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3BD1308B">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293C87">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F6FB6D">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F3F015">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048B6F02">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514621">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8CA041">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BBD1D3">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bl>
    <w:p w14:paraId="404A95C5">
      <w:pPr>
        <w:shd w:val="clear" w:color="auto" w:fill="auto"/>
        <w:kinsoku/>
        <w:wordWrap w:val="0"/>
        <w:overflowPunct/>
        <w:bidi w:val="0"/>
        <w:spacing w:line="360" w:lineRule="auto"/>
        <w:rPr>
          <w:rFonts w:hint="eastAsia" w:ascii="宋体" w:hAnsi="宋体" w:eastAsia="宋体" w:cs="宋体"/>
          <w:color w:val="auto"/>
          <w:highlight w:val="none"/>
        </w:rPr>
      </w:pPr>
    </w:p>
    <w:p w14:paraId="33A2EE29">
      <w:pPr>
        <w:shd w:val="clear" w:color="auto" w:fill="auto"/>
        <w:kinsoku/>
        <w:wordWrap w:val="0"/>
        <w:overflowPunct/>
        <w:bidi w:val="0"/>
        <w:spacing w:line="360" w:lineRule="auto"/>
        <w:rPr>
          <w:rFonts w:hint="eastAsia" w:ascii="宋体" w:hAnsi="宋体" w:eastAsia="宋体" w:cs="宋体"/>
          <w:color w:val="auto"/>
          <w:sz w:val="32"/>
          <w:highlight w:val="none"/>
        </w:rPr>
      </w:pPr>
    </w:p>
    <w:p w14:paraId="053B6828">
      <w:pPr>
        <w:shd w:val="clear" w:color="auto" w:fill="auto"/>
        <w:kinsoku/>
        <w:wordWrap w:val="0"/>
        <w:overflowPunct/>
        <w:bidi w:val="0"/>
        <w:spacing w:line="360" w:lineRule="auto"/>
        <w:rPr>
          <w:rFonts w:hint="eastAsia" w:ascii="宋体" w:hAnsi="宋体" w:eastAsia="宋体" w:cs="宋体"/>
          <w:color w:val="auto"/>
          <w:sz w:val="32"/>
          <w:highlight w:val="none"/>
        </w:rPr>
      </w:pPr>
    </w:p>
    <w:p w14:paraId="70BAC7C5">
      <w:pPr>
        <w:pStyle w:val="6"/>
        <w:kinsoku/>
        <w:wordWrap w:val="0"/>
        <w:overflowPunct/>
        <w:bidi w:val="0"/>
        <w:rPr>
          <w:rFonts w:hint="eastAsia" w:ascii="宋体" w:hAnsi="宋体" w:eastAsia="宋体" w:cs="宋体"/>
          <w:color w:val="auto"/>
          <w:sz w:val="32"/>
          <w:highlight w:val="none"/>
        </w:rPr>
      </w:pPr>
    </w:p>
    <w:p w14:paraId="3D377CA4">
      <w:pPr>
        <w:kinsoku/>
        <w:wordWrap w:val="0"/>
        <w:overflowPunct/>
        <w:bidi w:val="0"/>
        <w:rPr>
          <w:rFonts w:hint="eastAsia" w:ascii="宋体" w:hAnsi="宋体" w:eastAsia="宋体" w:cs="宋体"/>
          <w:color w:val="auto"/>
          <w:sz w:val="32"/>
          <w:highlight w:val="none"/>
        </w:rPr>
      </w:pPr>
    </w:p>
    <w:p w14:paraId="30257BD2">
      <w:pPr>
        <w:pStyle w:val="6"/>
        <w:kinsoku/>
        <w:wordWrap w:val="0"/>
        <w:overflowPunct/>
        <w:bidi w:val="0"/>
        <w:rPr>
          <w:rFonts w:hint="eastAsia" w:ascii="宋体" w:hAnsi="宋体" w:eastAsia="宋体" w:cs="宋体"/>
          <w:color w:val="auto"/>
          <w:sz w:val="32"/>
          <w:highlight w:val="none"/>
        </w:rPr>
      </w:pPr>
    </w:p>
    <w:p w14:paraId="48F8915B">
      <w:pPr>
        <w:kinsoku/>
        <w:wordWrap w:val="0"/>
        <w:overflowPunct/>
        <w:bidi w:val="0"/>
        <w:rPr>
          <w:rFonts w:hint="eastAsia"/>
          <w:color w:val="auto"/>
          <w:highlight w:val="none"/>
        </w:rPr>
      </w:pPr>
    </w:p>
    <w:p w14:paraId="157450FF">
      <w:pPr>
        <w:shd w:val="clear" w:color="auto" w:fill="auto"/>
        <w:kinsoku/>
        <w:wordWrap w:val="0"/>
        <w:overflowPunct/>
        <w:bidi w:val="0"/>
        <w:spacing w:line="360" w:lineRule="auto"/>
        <w:rPr>
          <w:rFonts w:hint="eastAsia" w:ascii="宋体" w:hAnsi="宋体" w:eastAsia="宋体" w:cs="宋体"/>
          <w:color w:val="auto"/>
          <w:sz w:val="32"/>
          <w:highlight w:val="none"/>
        </w:rPr>
      </w:pPr>
      <w:r>
        <w:rPr>
          <w:rFonts w:hint="eastAsia" w:ascii="宋体" w:hAnsi="宋体" w:eastAsia="宋体" w:cs="宋体"/>
          <w:color w:val="auto"/>
          <w:sz w:val="32"/>
          <w:highlight w:val="none"/>
        </w:rPr>
        <w:t>3.3供应商参与政府采购活动投标资格声明函</w:t>
      </w:r>
    </w:p>
    <w:p w14:paraId="7ADAF50C">
      <w:pPr>
        <w:shd w:val="clear" w:color="auto" w:fill="auto"/>
        <w:kinsoku/>
        <w:wordWrap w:val="0"/>
        <w:overflowPunct/>
        <w:bidi w:val="0"/>
        <w:snapToGrid w:val="0"/>
        <w:spacing w:line="36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供应商参与政府采购活动投标资格声明函</w:t>
      </w:r>
    </w:p>
    <w:tbl>
      <w:tblPr>
        <w:tblStyle w:val="26"/>
        <w:tblW w:w="0" w:type="auto"/>
        <w:tblInd w:w="108" w:type="dxa"/>
        <w:tblLayout w:type="fixed"/>
        <w:tblCellMar>
          <w:top w:w="0" w:type="dxa"/>
          <w:left w:w="0" w:type="dxa"/>
          <w:bottom w:w="0" w:type="dxa"/>
          <w:right w:w="0" w:type="dxa"/>
        </w:tblCellMar>
      </w:tblPr>
      <w:tblGrid>
        <w:gridCol w:w="1620"/>
        <w:gridCol w:w="7992"/>
      </w:tblGrid>
      <w:tr w14:paraId="382EFB99">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E3D7B5">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7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C8A07C3">
            <w:pPr>
              <w:keepNext w:val="0"/>
              <w:keepLines w:val="0"/>
              <w:suppressLineNumbers w:val="0"/>
              <w:shd w:val="clear" w:color="auto" w:fill="auto"/>
              <w:kinsoku/>
              <w:wordWrap w:val="0"/>
              <w:overflowPunct/>
              <w:bidi w:val="0"/>
              <w:snapToGrid w:val="0"/>
              <w:spacing w:before="0" w:beforeAutospacing="0" w:after="0" w:afterAutospacing="0" w:line="360" w:lineRule="auto"/>
              <w:ind w:left="422" w:right="0" w:firstLine="331"/>
              <w:rPr>
                <w:rFonts w:hint="eastAsia" w:ascii="宋体" w:hAnsi="宋体" w:eastAsia="宋体" w:cs="宋体"/>
                <w:color w:val="auto"/>
                <w:sz w:val="22"/>
                <w:szCs w:val="22"/>
                <w:highlight w:val="none"/>
              </w:rPr>
            </w:pPr>
          </w:p>
        </w:tc>
      </w:tr>
      <w:tr w14:paraId="0E862908">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F5182A">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项目采购编号</w:t>
            </w:r>
          </w:p>
        </w:tc>
        <w:tc>
          <w:tcPr>
            <w:tcW w:w="7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82BAA93">
            <w:pPr>
              <w:keepNext w:val="0"/>
              <w:keepLines w:val="0"/>
              <w:suppressLineNumbers w:val="0"/>
              <w:shd w:val="clear" w:color="auto" w:fill="auto"/>
              <w:kinsoku/>
              <w:wordWrap w:val="0"/>
              <w:overflowPunct/>
              <w:bidi w:val="0"/>
              <w:snapToGrid w:val="0"/>
              <w:spacing w:before="0" w:beforeAutospacing="0" w:after="0" w:afterAutospacing="0" w:line="360" w:lineRule="auto"/>
              <w:ind w:left="422" w:right="0" w:firstLine="361"/>
              <w:rPr>
                <w:rFonts w:hint="eastAsia" w:ascii="宋体" w:hAnsi="宋体" w:eastAsia="宋体" w:cs="宋体"/>
                <w:color w:val="auto"/>
                <w:sz w:val="22"/>
                <w:szCs w:val="22"/>
                <w:highlight w:val="none"/>
              </w:rPr>
            </w:pPr>
          </w:p>
        </w:tc>
      </w:tr>
      <w:tr w14:paraId="27BD55D3">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0D8EC5">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w:t>
            </w:r>
          </w:p>
        </w:tc>
        <w:tc>
          <w:tcPr>
            <w:tcW w:w="7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1394114">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p>
        </w:tc>
      </w:tr>
      <w:tr w14:paraId="55893889">
        <w:tblPrEx>
          <w:tblCellMar>
            <w:top w:w="0" w:type="dxa"/>
            <w:left w:w="0" w:type="dxa"/>
            <w:bottom w:w="0" w:type="dxa"/>
            <w:right w:w="0" w:type="dxa"/>
          </w:tblCellMar>
        </w:tblPrEx>
        <w:trPr>
          <w:trHeight w:val="5376"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1988A21">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firstLine="45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1、根据平阳县县属国有企业采购管理办法（试行）第十四条规定，我单位满足以下条件</w:t>
            </w:r>
            <w:r>
              <w:rPr>
                <w:rFonts w:hint="eastAsia" w:ascii="宋体" w:hAnsi="宋体" w:eastAsia="宋体" w:cs="宋体"/>
                <w:color w:val="auto"/>
                <w:sz w:val="22"/>
                <w:szCs w:val="22"/>
                <w:highlight w:val="none"/>
                <w:lang w:eastAsia="zh-CN"/>
              </w:rPr>
              <w:t>：</w:t>
            </w:r>
          </w:p>
          <w:p w14:paraId="2A16C05A">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（一）具有独立承担民事责任的能力； </w:t>
            </w:r>
          </w:p>
          <w:p w14:paraId="651BC72F">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（二）具有良好的商业信誉和健全的财务会计制度； </w:t>
            </w:r>
          </w:p>
          <w:p w14:paraId="103FF4E6">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（三）具有履行合同所必需的设备和专业技术能力； </w:t>
            </w:r>
          </w:p>
          <w:p w14:paraId="6C6AC011">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（四）有依法缴纳税收和社会保障资金的良好记录； </w:t>
            </w:r>
          </w:p>
          <w:p w14:paraId="05E96CFB">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（五）参加政府采购活动前三年内，在经营活动中没有重大违法记录； </w:t>
            </w:r>
          </w:p>
          <w:p w14:paraId="0CCF3626">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（六）法律、行政法规规定的其他条件。 </w:t>
            </w:r>
          </w:p>
          <w:p w14:paraId="09EAEB6F">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firstLine="45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2、根据财政部与有关部门联合签署了《关于对重大税收违法案件当事人实施联合惩戒措施的合作备忘录》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发改财金〔2014〕3062号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、《失信企业协同监管和联合惩戒合作备忘录》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发改财金〔2015〕2045号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、《关于对违法失信上市公司相关责任主体实施联合惩戒的合作备忘录》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发改财金〔2015〕3062号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、《关于对失信被执行人实施联合惩戒的合作备忘录》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发改财金〔2016〕141号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、《关于对安全生产领域失信生产经营单位及其有关人员开展联合惩戒的合作备忘录》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发改财金〔2016〕1001号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，依法限制相关失信主体参与政府采购活动。</w:t>
            </w:r>
            <w:r>
              <w:rPr>
                <w:rFonts w:hint="eastAsia" w:ascii="宋体" w:hAnsi="宋体" w:eastAsia="宋体" w:cs="宋体"/>
                <w:b/>
                <w:color w:val="auto"/>
                <w:sz w:val="22"/>
                <w:szCs w:val="22"/>
                <w:highlight w:val="none"/>
              </w:rPr>
              <w:t>我单位承诺不存在上述文件规定依法限制参与政府采购的情况。</w:t>
            </w:r>
          </w:p>
          <w:p w14:paraId="2C477A97">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firstLine="4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3、我单位承诺没有被各地、各级财政部门限制参加政府采购活动。</w:t>
            </w:r>
          </w:p>
          <w:p w14:paraId="021963D9">
            <w:pPr>
              <w:keepNext w:val="0"/>
              <w:keepLines w:val="0"/>
              <w:suppressLineNumbers w:val="0"/>
              <w:shd w:val="clear" w:color="auto" w:fill="auto"/>
              <w:tabs>
                <w:tab w:val="center" w:pos="4483"/>
              </w:tabs>
              <w:kinsoku/>
              <w:wordWrap w:val="0"/>
              <w:overflowPunct/>
              <w:bidi w:val="0"/>
              <w:snapToGrid w:val="0"/>
              <w:spacing w:before="0" w:beforeAutospacing="0" w:after="0" w:afterAutospacing="0" w:line="360" w:lineRule="auto"/>
              <w:ind w:left="0" w:right="0" w:firstLine="4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4、我单位承诺参与本项目政府采购活动3年内没有其它重大违法记录（重大违法记录，是指供应商因违法经营受到刑事处罚或者责令停产停业、吊销许可证或者执照、较大数额罚款等行政处罚）。</w:t>
            </w:r>
          </w:p>
          <w:p w14:paraId="39184585">
            <w:pPr>
              <w:keepNext w:val="0"/>
              <w:keepLines w:val="0"/>
              <w:suppressLineNumbers w:val="0"/>
              <w:shd w:val="clear" w:color="auto" w:fill="auto"/>
              <w:tabs>
                <w:tab w:val="center" w:pos="4483"/>
              </w:tabs>
              <w:kinsoku/>
              <w:wordWrap w:val="0"/>
              <w:overflowPunct/>
              <w:bidi w:val="0"/>
              <w:snapToGrid w:val="0"/>
              <w:spacing w:before="0" w:beforeAutospacing="0" w:after="0" w:afterAutospacing="0" w:line="360" w:lineRule="auto"/>
              <w:ind w:left="0" w:right="0"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16B99981">
        <w:tblPrEx>
          <w:tblCellMar>
            <w:top w:w="0" w:type="dxa"/>
            <w:left w:w="0" w:type="dxa"/>
            <w:bottom w:w="0" w:type="dxa"/>
            <w:right w:w="0" w:type="dxa"/>
          </w:tblCellMar>
        </w:tblPrEx>
        <w:trPr>
          <w:trHeight w:val="341"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6154EE">
            <w:pPr>
              <w:keepNext w:val="0"/>
              <w:keepLines w:val="0"/>
              <w:suppressLineNumbers w:val="0"/>
              <w:shd w:val="clear" w:color="auto" w:fill="auto"/>
              <w:kinsoku/>
              <w:wordWrap w:val="0"/>
              <w:overflowPunct/>
              <w:bidi w:val="0"/>
              <w:snapToGrid w:val="0"/>
              <w:spacing w:before="0" w:beforeAutospacing="0" w:after="0" w:afterAutospacing="0" w:line="360" w:lineRule="auto"/>
              <w:ind w:left="422" w:right="0" w:firstLine="331"/>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供应商名称（加盖盖章）</w:t>
            </w:r>
            <w:r>
              <w:rPr>
                <w:rFonts w:hint="eastAsia" w:ascii="宋体" w:hAnsi="宋体" w:eastAsia="宋体" w:cs="宋体"/>
                <w:color w:val="auto"/>
                <w:sz w:val="22"/>
                <w:szCs w:val="22"/>
                <w:highlight w:val="none"/>
                <w:lang w:eastAsia="zh-CN"/>
              </w:rPr>
              <w:t>：</w:t>
            </w:r>
          </w:p>
        </w:tc>
      </w:tr>
      <w:tr w14:paraId="74862E4E">
        <w:tblPrEx>
          <w:tblCellMar>
            <w:top w:w="0" w:type="dxa"/>
            <w:left w:w="0" w:type="dxa"/>
            <w:bottom w:w="0" w:type="dxa"/>
            <w:right w:w="0" w:type="dxa"/>
          </w:tblCellMar>
        </w:tblPrEx>
        <w:trPr>
          <w:trHeight w:val="219"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ECAF41">
            <w:pPr>
              <w:keepNext w:val="0"/>
              <w:keepLines w:val="0"/>
              <w:suppressLineNumbers w:val="0"/>
              <w:shd w:val="clear" w:color="auto" w:fill="auto"/>
              <w:kinsoku/>
              <w:wordWrap w:val="0"/>
              <w:overflowPunct/>
              <w:bidi w:val="0"/>
              <w:snapToGrid w:val="0"/>
              <w:spacing w:before="0" w:beforeAutospacing="0" w:after="0" w:afterAutospacing="0" w:line="360" w:lineRule="auto"/>
              <w:ind w:left="422" w:right="0" w:firstLine="316"/>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法定代表人或授权代表（签字或盖章）</w:t>
            </w:r>
            <w:r>
              <w:rPr>
                <w:rFonts w:hint="eastAsia" w:ascii="宋体" w:hAnsi="宋体" w:eastAsia="宋体" w:cs="宋体"/>
                <w:color w:val="auto"/>
                <w:sz w:val="22"/>
                <w:szCs w:val="22"/>
                <w:highlight w:val="none"/>
                <w:lang w:eastAsia="zh-CN"/>
              </w:rPr>
              <w:t>：</w:t>
            </w:r>
          </w:p>
        </w:tc>
      </w:tr>
      <w:tr w14:paraId="62662E8D">
        <w:tblPrEx>
          <w:tblCellMar>
            <w:top w:w="0" w:type="dxa"/>
            <w:left w:w="0" w:type="dxa"/>
            <w:bottom w:w="0" w:type="dxa"/>
            <w:right w:w="0" w:type="dxa"/>
          </w:tblCellMar>
        </w:tblPrEx>
        <w:trPr>
          <w:trHeight w:val="97"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E8221E">
            <w:pPr>
              <w:keepNext w:val="0"/>
              <w:keepLines w:val="0"/>
              <w:suppressLineNumbers w:val="0"/>
              <w:shd w:val="clear" w:color="auto" w:fill="auto"/>
              <w:kinsoku/>
              <w:wordWrap w:val="0"/>
              <w:overflowPunct/>
              <w:bidi w:val="0"/>
              <w:snapToGrid w:val="0"/>
              <w:spacing w:before="0" w:beforeAutospacing="0" w:after="0" w:afterAutospacing="0" w:line="360" w:lineRule="auto"/>
              <w:ind w:left="422" w:right="0" w:firstLine="331"/>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签署日期</w:t>
            </w:r>
            <w:r>
              <w:rPr>
                <w:rFonts w:hint="eastAsia" w:ascii="宋体" w:hAnsi="宋体" w:eastAsia="宋体" w:cs="宋体"/>
                <w:color w:val="auto"/>
                <w:sz w:val="22"/>
                <w:szCs w:val="22"/>
                <w:highlight w:val="none"/>
                <w:lang w:eastAsia="zh-CN"/>
              </w:rPr>
              <w:t>：</w:t>
            </w:r>
          </w:p>
        </w:tc>
      </w:tr>
    </w:tbl>
    <w:p w14:paraId="7F0E90F2">
      <w:pPr>
        <w:shd w:val="clear" w:color="auto" w:fill="auto"/>
        <w:kinsoku/>
        <w:wordWrap w:val="0"/>
        <w:overflowPunct/>
        <w:bidi w:val="0"/>
        <w:spacing w:line="360" w:lineRule="auto"/>
        <w:rPr>
          <w:rFonts w:hint="eastAsia" w:ascii="宋体" w:hAnsi="宋体" w:eastAsia="宋体" w:cs="宋体"/>
          <w:color w:val="auto"/>
          <w:sz w:val="36"/>
          <w:highlight w:val="none"/>
        </w:rPr>
      </w:pPr>
    </w:p>
    <w:p w14:paraId="0958577D">
      <w:pPr>
        <w:pStyle w:val="14"/>
        <w:shd w:val="clear" w:color="auto" w:fill="auto"/>
        <w:kinsoku/>
        <w:wordWrap w:val="0"/>
        <w:overflowPunct/>
        <w:bidi w:val="0"/>
        <w:adjustRightInd w:val="0"/>
        <w:snapToGrid w:val="0"/>
        <w:spacing w:line="360" w:lineRule="auto"/>
        <w:rPr>
          <w:rFonts w:hint="eastAsia" w:ascii="宋体" w:hAnsi="宋体" w:eastAsia="宋体" w:cs="宋体"/>
          <w:color w:val="auto"/>
          <w:sz w:val="36"/>
          <w:highlight w:val="none"/>
        </w:rPr>
      </w:pPr>
      <w:r>
        <w:rPr>
          <w:rFonts w:hint="eastAsia" w:ascii="宋体" w:hAnsi="宋体" w:eastAsia="宋体" w:cs="宋体"/>
          <w:color w:val="auto"/>
          <w:kern w:val="0"/>
          <w:sz w:val="32"/>
          <w:szCs w:val="24"/>
          <w:highlight w:val="none"/>
        </w:rPr>
        <w:t>3.4投标函</w:t>
      </w:r>
      <w:r>
        <w:rPr>
          <w:rFonts w:hint="eastAsia" w:ascii="宋体" w:hAnsi="宋体" w:eastAsia="宋体" w:cs="宋体"/>
          <w:color w:val="auto"/>
          <w:kern w:val="0"/>
          <w:sz w:val="32"/>
          <w:szCs w:val="24"/>
          <w:highlight w:val="none"/>
        </w:rPr>
        <w:cr/>
      </w:r>
      <w:r>
        <w:rPr>
          <w:rFonts w:hint="eastAsia" w:ascii="宋体" w:hAnsi="宋体" w:eastAsia="宋体" w:cs="宋体"/>
          <w:color w:val="auto"/>
          <w:sz w:val="32"/>
          <w:highlight w:val="none"/>
        </w:rPr>
        <w:t xml:space="preserve">                      </w:t>
      </w:r>
      <w:r>
        <w:rPr>
          <w:rFonts w:hint="eastAsia" w:ascii="宋体" w:hAnsi="宋体" w:eastAsia="宋体" w:cs="宋体"/>
          <w:b/>
          <w:bCs/>
          <w:color w:val="auto"/>
          <w:sz w:val="32"/>
          <w:highlight w:val="none"/>
        </w:rPr>
        <w:t xml:space="preserve">   </w:t>
      </w:r>
      <w:r>
        <w:rPr>
          <w:rFonts w:hint="eastAsia" w:ascii="宋体" w:hAnsi="宋体" w:eastAsia="宋体" w:cs="宋体"/>
          <w:b/>
          <w:bCs/>
          <w:color w:val="auto"/>
          <w:sz w:val="36"/>
          <w:highlight w:val="none"/>
        </w:rPr>
        <w:t>投  标  函</w:t>
      </w:r>
    </w:p>
    <w:p w14:paraId="4816E256">
      <w:pPr>
        <w:pStyle w:val="14"/>
        <w:shd w:val="clear" w:color="auto" w:fill="auto"/>
        <w:kinsoku/>
        <w:wordWrap w:val="0"/>
        <w:overflowPunct/>
        <w:bidi w:val="0"/>
        <w:adjustRightInd w:val="0"/>
        <w:snapToGrid w:val="0"/>
        <w:spacing w:line="360" w:lineRule="auto"/>
        <w:ind w:firstLine="450"/>
        <w:rPr>
          <w:rFonts w:hint="eastAsia" w:ascii="宋体" w:hAnsi="宋体" w:eastAsia="宋体" w:cs="宋体"/>
          <w:color w:val="auto"/>
          <w:sz w:val="22"/>
          <w:szCs w:val="22"/>
          <w:highlight w:val="none"/>
          <w:u w:val="single"/>
          <w:lang w:eastAsia="zh-CN"/>
        </w:rPr>
      </w:pPr>
      <w:r>
        <w:rPr>
          <w:rFonts w:hint="eastAsia" w:hAnsi="宋体" w:cs="宋体"/>
          <w:color w:val="auto"/>
          <w:sz w:val="22"/>
          <w:szCs w:val="22"/>
          <w:highlight w:val="none"/>
          <w:u w:val="single"/>
          <w:lang w:val="en-US" w:eastAsia="zh-CN"/>
        </w:rPr>
        <w:t>平阳县兴致房地产开发有限公司</w:t>
      </w:r>
      <w:r>
        <w:rPr>
          <w:rFonts w:hint="eastAsia" w:hAnsi="宋体" w:eastAsia="宋体" w:cs="宋体"/>
          <w:color w:val="auto"/>
          <w:sz w:val="22"/>
          <w:szCs w:val="22"/>
          <w:highlight w:val="none"/>
          <w:u w:val="single"/>
          <w:lang w:eastAsia="zh-CN"/>
        </w:rPr>
        <w:t>：</w:t>
      </w:r>
    </w:p>
    <w:p w14:paraId="2A8BD370">
      <w:pPr>
        <w:pStyle w:val="14"/>
        <w:shd w:val="clear" w:color="auto" w:fill="auto"/>
        <w:kinsoku/>
        <w:wordWrap w:val="0"/>
        <w:overflowPunct/>
        <w:bidi w:val="0"/>
        <w:adjustRightInd w:val="0"/>
        <w:snapToGrid w:val="0"/>
        <w:spacing w:line="360" w:lineRule="auto"/>
        <w:ind w:firstLine="450"/>
        <w:rPr>
          <w:rFonts w:hint="eastAsia" w:ascii="宋体" w:hAnsi="宋体" w:eastAsia="宋体" w:cs="宋体"/>
          <w:color w:val="auto"/>
          <w:sz w:val="22"/>
          <w:szCs w:val="22"/>
          <w:highlight w:val="none"/>
        </w:rPr>
      </w:pPr>
    </w:p>
    <w:p w14:paraId="35EF1587">
      <w:pPr>
        <w:shd w:val="clear" w:color="auto" w:fill="auto"/>
        <w:kinsoku/>
        <w:wordWrap w:val="0"/>
        <w:overflowPunct/>
        <w:autoSpaceDE w:val="0"/>
        <w:autoSpaceDN w:val="0"/>
        <w:bidi w:val="0"/>
        <w:adjustRightInd w:val="0"/>
        <w:snapToGri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zh-CN"/>
        </w:rPr>
        <w:t xml:space="preserve"> </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（供应商全称）授权</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 xml:space="preserve"> （授权代表名称）</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（职务、职称）为授权代表，参加贵方组织的</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（招标项目名称）（括号内填投标编号）招标的有关活动，为此：并对</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 xml:space="preserve">项目（采购项目名称）进行投标。   </w:t>
      </w:r>
    </w:p>
    <w:p w14:paraId="5BDB61C5">
      <w:pPr>
        <w:shd w:val="clear" w:color="auto" w:fill="auto"/>
        <w:kinsoku/>
        <w:wordWrap w:val="0"/>
        <w:overflowPunct/>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1、提供供应商须知规定的全部投标文件。</w:t>
      </w:r>
    </w:p>
    <w:p w14:paraId="1D642C5C">
      <w:pPr>
        <w:shd w:val="clear" w:color="auto" w:fill="auto"/>
        <w:kinsoku/>
        <w:wordWrap w:val="0"/>
        <w:overflowPunct/>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2、保证遵守采购文件中的有关规定和收费标准。</w:t>
      </w:r>
    </w:p>
    <w:p w14:paraId="34C66AC3">
      <w:pPr>
        <w:shd w:val="clear" w:color="auto" w:fill="auto"/>
        <w:kinsoku/>
        <w:wordWrap w:val="0"/>
        <w:overflowPunct/>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3、保证忠实地执行采购人、中标供应商双方所签的合同， 并承担合同规定的责任义务。</w:t>
      </w:r>
    </w:p>
    <w:p w14:paraId="1BE35A23">
      <w:pPr>
        <w:shd w:val="clear" w:color="auto" w:fill="auto"/>
        <w:kinsoku/>
        <w:wordWrap w:val="0"/>
        <w:overflowPunct/>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4、我方承诺在合同生效后</w:t>
      </w:r>
      <w:r>
        <w:rPr>
          <w:rFonts w:hint="eastAsia" w:ascii="宋体" w:hAnsi="宋体" w:eastAsia="宋体" w:cs="宋体"/>
          <w:b/>
          <w:color w:val="auto"/>
          <w:sz w:val="22"/>
          <w:szCs w:val="22"/>
          <w:highlight w:val="none"/>
          <w:u w:val="single"/>
          <w:lang w:val="zh-CN"/>
        </w:rPr>
        <w:t>按采购文件要求完成本项目</w:t>
      </w:r>
      <w:r>
        <w:rPr>
          <w:rFonts w:hint="eastAsia" w:ascii="宋体" w:hAnsi="宋体" w:eastAsia="宋体" w:cs="宋体"/>
          <w:color w:val="auto"/>
          <w:sz w:val="22"/>
          <w:szCs w:val="22"/>
          <w:highlight w:val="none"/>
          <w:lang w:val="zh-CN"/>
        </w:rPr>
        <w:t>。</w:t>
      </w:r>
    </w:p>
    <w:p w14:paraId="15DCD0C1">
      <w:pPr>
        <w:shd w:val="clear" w:color="auto" w:fill="auto"/>
        <w:kinsoku/>
        <w:wordWrap w:val="0"/>
        <w:overflowPunct/>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5、供应商已详细审查全部采购文件，包括采购文件补充文件（如果有的话）。我方完全理解并同意放弃对这方面有不明及误解的权力。如果采购文件有相互矛盾之处，我方同意按采购人的理解处理。</w:t>
      </w:r>
    </w:p>
    <w:p w14:paraId="2AEC271A">
      <w:pPr>
        <w:shd w:val="clear" w:color="auto" w:fill="auto"/>
        <w:kinsoku/>
        <w:wordWrap w:val="0"/>
        <w:overflowPunct/>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6、利益冲突：近三年内直至目前，我公司与本项目的采购人、采购机构没有任何的利害关系。</w:t>
      </w:r>
    </w:p>
    <w:p w14:paraId="0B749377">
      <w:pPr>
        <w:shd w:val="clear" w:color="auto" w:fill="auto"/>
        <w:kinsoku/>
        <w:wordWrap w:val="0"/>
        <w:overflowPunct/>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7、我公司近三年内没有行贿受贿记录；我公司符合</w:t>
      </w:r>
      <w:r>
        <w:rPr>
          <w:rFonts w:hint="eastAsia" w:ascii="宋体" w:hAnsi="宋体" w:eastAsia="宋体" w:cs="宋体"/>
          <w:color w:val="auto"/>
          <w:sz w:val="22"/>
          <w:szCs w:val="22"/>
          <w:highlight w:val="none"/>
        </w:rPr>
        <w:t>《平阳县县属国有企业采购管理办法（试行）》第十四条对供应商的资格要求；</w:t>
      </w:r>
      <w:r>
        <w:rPr>
          <w:rFonts w:hint="eastAsia" w:ascii="宋体" w:hAnsi="宋体" w:eastAsia="宋体" w:cs="宋体"/>
          <w:color w:val="auto"/>
          <w:sz w:val="22"/>
          <w:szCs w:val="22"/>
          <w:highlight w:val="none"/>
          <w:lang w:val="zh-CN"/>
        </w:rPr>
        <w:t>我公司没有被政府采购管理部门限制参加投标。</w:t>
      </w:r>
    </w:p>
    <w:p w14:paraId="444A27DF">
      <w:pPr>
        <w:shd w:val="clear" w:color="auto" w:fill="auto"/>
        <w:kinsoku/>
        <w:wordWrap w:val="0"/>
        <w:overflowPunct/>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8、愿意向贵方提供任何与该项投标有关的数据、情况和技术资料，完全理解贵方不一定接受最低价的投标或收到的任何投标。</w:t>
      </w:r>
    </w:p>
    <w:p w14:paraId="0E16BCC6">
      <w:pPr>
        <w:shd w:val="clear" w:color="auto" w:fill="auto"/>
        <w:kinsoku/>
        <w:wordWrap w:val="0"/>
        <w:overflowPunct/>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9、本投标自开标之日起90天内有效。</w:t>
      </w:r>
    </w:p>
    <w:p w14:paraId="5EE2C3D7">
      <w:pPr>
        <w:shd w:val="clear" w:color="auto" w:fill="auto"/>
        <w:kinsoku/>
        <w:wordWrap w:val="0"/>
        <w:overflowPunct/>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10、与本投标有关的一切往来通讯请寄：</w:t>
      </w:r>
    </w:p>
    <w:p w14:paraId="7177F7FE">
      <w:pPr>
        <w:shd w:val="clear" w:color="auto" w:fill="auto"/>
        <w:kinsoku/>
        <w:wordWrap w:val="0"/>
        <w:overflowPunct/>
        <w:autoSpaceDE w:val="0"/>
        <w:autoSpaceDN w:val="0"/>
        <w:bidi w:val="0"/>
        <w:adjustRightInd w:val="0"/>
        <w:snapToGrid w:val="0"/>
        <w:spacing w:line="360" w:lineRule="auto"/>
        <w:ind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地址：</w:t>
      </w:r>
      <w:r>
        <w:rPr>
          <w:rFonts w:hint="eastAsia" w:ascii="宋体" w:hAnsi="宋体" w:eastAsia="宋体" w:cs="宋体"/>
          <w:color w:val="auto"/>
          <w:sz w:val="22"/>
          <w:szCs w:val="22"/>
          <w:highlight w:val="none"/>
          <w:u w:val="single"/>
          <w:lang w:val="zh-CN"/>
        </w:rPr>
        <w:t xml:space="preserve">                                 </w:t>
      </w:r>
    </w:p>
    <w:p w14:paraId="4B0A0850">
      <w:pPr>
        <w:shd w:val="clear" w:color="auto" w:fill="auto"/>
        <w:kinsoku/>
        <w:wordWrap w:val="0"/>
        <w:overflowPunct/>
        <w:autoSpaceDE w:val="0"/>
        <w:autoSpaceDN w:val="0"/>
        <w:bidi w:val="0"/>
        <w:adjustRightInd w:val="0"/>
        <w:snapToGrid w:val="0"/>
        <w:spacing w:line="360" w:lineRule="auto"/>
        <w:ind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邮编：</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电话：</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传真：</w:t>
      </w:r>
      <w:r>
        <w:rPr>
          <w:rFonts w:hint="eastAsia" w:ascii="宋体" w:hAnsi="宋体" w:eastAsia="宋体" w:cs="宋体"/>
          <w:color w:val="auto"/>
          <w:sz w:val="22"/>
          <w:szCs w:val="22"/>
          <w:highlight w:val="none"/>
          <w:u w:val="single"/>
          <w:lang w:val="zh-CN"/>
        </w:rPr>
        <w:t xml:space="preserve">                 </w:t>
      </w:r>
    </w:p>
    <w:p w14:paraId="430ABC54">
      <w:pPr>
        <w:shd w:val="clear" w:color="auto" w:fill="auto"/>
        <w:kinsoku/>
        <w:wordWrap w:val="0"/>
        <w:overflowPunct/>
        <w:autoSpaceDE w:val="0"/>
        <w:autoSpaceDN w:val="0"/>
        <w:bidi w:val="0"/>
        <w:adjustRightInd w:val="0"/>
        <w:snapToGrid w:val="0"/>
        <w:spacing w:line="360" w:lineRule="auto"/>
        <w:ind w:firstLine="26" w:firstLineChars="12"/>
        <w:rPr>
          <w:rFonts w:hint="eastAsia" w:ascii="宋体" w:hAnsi="宋体" w:eastAsia="宋体" w:cs="宋体"/>
          <w:color w:val="auto"/>
          <w:sz w:val="22"/>
          <w:szCs w:val="22"/>
          <w:highlight w:val="none"/>
          <w:lang w:val="zh-CN"/>
        </w:rPr>
      </w:pPr>
    </w:p>
    <w:p w14:paraId="3D93A645">
      <w:pPr>
        <w:shd w:val="clear" w:color="auto" w:fill="auto"/>
        <w:kinsoku/>
        <w:wordWrap w:val="0"/>
        <w:overflowPunct/>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供应商全称（盖章）：</w:t>
      </w:r>
    </w:p>
    <w:p w14:paraId="7ABA9E36">
      <w:pPr>
        <w:shd w:val="clear" w:color="auto" w:fill="auto"/>
        <w:kinsoku/>
        <w:wordWrap w:val="0"/>
        <w:overflowPunct/>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法定代表人（负责人）或授权代表（签字或签章）：</w:t>
      </w:r>
    </w:p>
    <w:p w14:paraId="25A0C395">
      <w:pPr>
        <w:shd w:val="clear" w:color="auto" w:fill="auto"/>
        <w:kinsoku/>
        <w:wordWrap w:val="0"/>
        <w:overflowPunct/>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日期：</w:t>
      </w:r>
    </w:p>
    <w:p w14:paraId="547E9A8B">
      <w:pPr>
        <w:shd w:val="clear" w:color="auto" w:fill="auto"/>
        <w:kinsoku/>
        <w:wordWrap w:val="0"/>
        <w:overflowPunct/>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p>
    <w:p w14:paraId="10F3C3BD">
      <w:pPr>
        <w:shd w:val="clear" w:color="auto" w:fill="auto"/>
        <w:kinsoku/>
        <w:wordWrap w:val="0"/>
        <w:overflowPunct/>
        <w:autoSpaceDE w:val="0"/>
        <w:autoSpaceDN w:val="0"/>
        <w:bidi w:val="0"/>
        <w:adjustRightInd w:val="0"/>
        <w:snapToGrid w:val="0"/>
        <w:spacing w:line="360" w:lineRule="auto"/>
        <w:ind w:firstLine="629" w:firstLineChars="285"/>
        <w:rPr>
          <w:rFonts w:hint="eastAsia" w:ascii="宋体" w:hAnsi="宋体" w:eastAsia="宋体" w:cs="宋体"/>
          <w:b/>
          <w:color w:val="auto"/>
          <w:sz w:val="22"/>
          <w:szCs w:val="22"/>
          <w:highlight w:val="none"/>
          <w:u w:val="single"/>
          <w:lang w:val="zh-CN"/>
        </w:rPr>
      </w:pPr>
      <w:r>
        <w:rPr>
          <w:rFonts w:hint="eastAsia" w:ascii="宋体" w:hAnsi="宋体" w:eastAsia="宋体" w:cs="宋体"/>
          <w:b/>
          <w:color w:val="auto"/>
          <w:sz w:val="22"/>
          <w:szCs w:val="22"/>
          <w:highlight w:val="none"/>
          <w:u w:val="single"/>
        </w:rPr>
        <w:t>不提供本函做无效投标处理。</w:t>
      </w:r>
    </w:p>
    <w:p w14:paraId="1C877555">
      <w:pPr>
        <w:pStyle w:val="14"/>
        <w:shd w:val="clear" w:color="auto" w:fill="auto"/>
        <w:kinsoku/>
        <w:wordWrap w:val="0"/>
        <w:overflowPunct/>
        <w:bidi w:val="0"/>
        <w:spacing w:line="360" w:lineRule="auto"/>
        <w:rPr>
          <w:rFonts w:hint="eastAsia" w:ascii="宋体" w:hAnsi="宋体" w:eastAsia="宋体" w:cs="宋体"/>
          <w:b/>
          <w:color w:val="auto"/>
          <w:sz w:val="32"/>
          <w:szCs w:val="32"/>
          <w:highlight w:val="none"/>
        </w:rPr>
      </w:pPr>
    </w:p>
    <w:p w14:paraId="437750FF">
      <w:pPr>
        <w:pStyle w:val="14"/>
        <w:shd w:val="clear" w:color="auto" w:fill="auto"/>
        <w:kinsoku/>
        <w:wordWrap w:val="0"/>
        <w:overflowPunct/>
        <w:bidi w:val="0"/>
        <w:adjustRightInd w:val="0"/>
        <w:snapToGrid w:val="0"/>
        <w:spacing w:line="360" w:lineRule="auto"/>
        <w:outlineLvl w:val="0"/>
        <w:rPr>
          <w:rFonts w:hint="eastAsia" w:ascii="宋体" w:hAnsi="宋体" w:eastAsia="宋体" w:cs="宋体"/>
          <w:color w:val="auto"/>
          <w:sz w:val="32"/>
          <w:highlight w:val="none"/>
        </w:rPr>
      </w:pPr>
      <w:r>
        <w:rPr>
          <w:rFonts w:hint="eastAsia" w:ascii="宋体" w:hAnsi="宋体" w:eastAsia="宋体" w:cs="宋体"/>
          <w:color w:val="auto"/>
          <w:kern w:val="0"/>
          <w:sz w:val="32"/>
          <w:szCs w:val="24"/>
          <w:highlight w:val="none"/>
        </w:rPr>
        <w:br w:type="page"/>
      </w:r>
      <w:bookmarkStart w:id="112" w:name="_Toc3313"/>
      <w:bookmarkStart w:id="113" w:name="_Toc29299"/>
      <w:bookmarkStart w:id="114" w:name="_Toc16564"/>
      <w:r>
        <w:rPr>
          <w:rFonts w:hint="eastAsia" w:ascii="宋体" w:hAnsi="宋体" w:eastAsia="宋体" w:cs="宋体"/>
          <w:color w:val="auto"/>
          <w:kern w:val="0"/>
          <w:sz w:val="32"/>
          <w:szCs w:val="24"/>
          <w:highlight w:val="none"/>
        </w:rPr>
        <w:t>3.</w:t>
      </w:r>
      <w:r>
        <w:rPr>
          <w:rFonts w:hint="eastAsia" w:ascii="宋体" w:hAnsi="宋体" w:eastAsia="宋体" w:cs="宋体"/>
          <w:color w:val="auto"/>
          <w:sz w:val="32"/>
          <w:highlight w:val="none"/>
        </w:rPr>
        <w:t>5投标供应商情况声明</w:t>
      </w:r>
      <w:bookmarkEnd w:id="112"/>
      <w:bookmarkEnd w:id="113"/>
      <w:bookmarkEnd w:id="114"/>
    </w:p>
    <w:p w14:paraId="1378D8FD">
      <w:pPr>
        <w:pStyle w:val="14"/>
        <w:shd w:val="clear" w:color="auto" w:fill="auto"/>
        <w:kinsoku/>
        <w:wordWrap w:val="0"/>
        <w:overflowPunct/>
        <w:bidi w:val="0"/>
        <w:adjustRightInd w:val="0"/>
        <w:snapToGrid w:val="0"/>
        <w:spacing w:line="360" w:lineRule="auto"/>
        <w:jc w:val="center"/>
        <w:outlineLvl w:val="0"/>
        <w:rPr>
          <w:rFonts w:hint="eastAsia" w:ascii="宋体" w:hAnsi="宋体" w:eastAsia="宋体" w:cs="宋体"/>
          <w:b/>
          <w:color w:val="auto"/>
          <w:sz w:val="36"/>
          <w:highlight w:val="none"/>
        </w:rPr>
      </w:pPr>
      <w:bookmarkStart w:id="115" w:name="_Toc9797"/>
      <w:bookmarkStart w:id="116" w:name="_Toc28012"/>
      <w:bookmarkStart w:id="117" w:name="_Toc31506"/>
      <w:r>
        <w:rPr>
          <w:rFonts w:hint="eastAsia" w:ascii="宋体" w:hAnsi="宋体" w:eastAsia="宋体" w:cs="宋体"/>
          <w:b/>
          <w:color w:val="auto"/>
          <w:sz w:val="36"/>
          <w:highlight w:val="none"/>
        </w:rPr>
        <w:t>投标供应商情况声明</w:t>
      </w:r>
      <w:bookmarkEnd w:id="115"/>
      <w:bookmarkEnd w:id="116"/>
      <w:bookmarkEnd w:id="117"/>
    </w:p>
    <w:p w14:paraId="673D81D2">
      <w:pPr>
        <w:shd w:val="clear" w:color="auto" w:fill="auto"/>
        <w:kinsoku/>
        <w:wordWrap w:val="0"/>
        <w:overflowPunct/>
        <w:bidi w:val="0"/>
        <w:spacing w:line="360" w:lineRule="auto"/>
        <w:outlineLvl w:val="0"/>
        <w:rPr>
          <w:rFonts w:hint="eastAsia" w:ascii="宋体" w:hAnsi="宋体" w:eastAsia="宋体" w:cs="宋体"/>
          <w:color w:val="auto"/>
          <w:sz w:val="22"/>
          <w:szCs w:val="22"/>
          <w:highlight w:val="none"/>
          <w:lang w:eastAsia="zh-CN"/>
        </w:rPr>
      </w:pPr>
      <w:bookmarkStart w:id="118" w:name="_Toc17869"/>
      <w:bookmarkStart w:id="119" w:name="_Toc10096"/>
      <w:bookmarkStart w:id="120" w:name="_Toc16036"/>
      <w:r>
        <w:rPr>
          <w:rFonts w:hint="eastAsia" w:ascii="宋体" w:hAnsi="宋体" w:eastAsia="宋体" w:cs="宋体"/>
          <w:color w:val="auto"/>
          <w:sz w:val="22"/>
          <w:szCs w:val="22"/>
          <w:highlight w:val="none"/>
        </w:rPr>
        <w:t>1. 名称及概况</w:t>
      </w:r>
      <w:bookmarkEnd w:id="118"/>
      <w:bookmarkEnd w:id="119"/>
      <w:bookmarkEnd w:id="120"/>
      <w:r>
        <w:rPr>
          <w:rFonts w:hint="eastAsia" w:ascii="宋体" w:hAnsi="宋体" w:eastAsia="宋体" w:cs="宋体"/>
          <w:color w:val="auto"/>
          <w:sz w:val="22"/>
          <w:szCs w:val="22"/>
          <w:highlight w:val="none"/>
          <w:lang w:eastAsia="zh-CN"/>
        </w:rPr>
        <w:t>：</w:t>
      </w:r>
    </w:p>
    <w:p w14:paraId="379A48DC">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（1）供应商名称</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62D530D0">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（2）总部地址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1B022815">
      <w:pPr>
        <w:shd w:val="clear" w:color="auto" w:fill="auto"/>
        <w:kinsoku/>
        <w:wordWrap w:val="0"/>
        <w:overflowPunct/>
        <w:bidi w:val="0"/>
        <w:spacing w:line="360" w:lineRule="auto"/>
        <w:ind w:firstLine="6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传真/电话号码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3A72F194">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（3）温州设立长期驻点办公地址（如有）</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50F9EC7B">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电话号码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618C2BC7">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（4）成立或注册日期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11552347">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（5）实收资本</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423707B4">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（6）近期资产负债表（到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日止）</w:t>
      </w:r>
    </w:p>
    <w:p w14:paraId="6CC37F60">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1）固定资产</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588BAB34">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2）流动资产</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75D32A1C">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3）长期负债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03EC143D">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4）流动负债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0276C704">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5）净值</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7F60B81B">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（6）主要负责人姓名</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3EB360C3">
      <w:pPr>
        <w:shd w:val="clear" w:color="auto" w:fill="auto"/>
        <w:kinsoku/>
        <w:wordWrap w:val="0"/>
        <w:overflowPunct/>
        <w:bidi w:val="0"/>
        <w:spacing w:line="360" w:lineRule="auto"/>
        <w:ind w:left="660" w:hanging="660" w:hangingChars="3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2．企业生产设备及规模</w:t>
      </w:r>
      <w:r>
        <w:rPr>
          <w:rFonts w:hint="eastAsia" w:ascii="宋体" w:hAnsi="宋体" w:eastAsia="宋体" w:cs="宋体"/>
          <w:color w:val="auto"/>
          <w:sz w:val="22"/>
          <w:szCs w:val="22"/>
          <w:highlight w:val="none"/>
          <w:lang w:eastAsia="zh-CN"/>
        </w:rPr>
        <w:t>：</w:t>
      </w:r>
    </w:p>
    <w:p w14:paraId="629A855E">
      <w:pPr>
        <w:shd w:val="clear" w:color="auto" w:fill="auto"/>
        <w:kinsoku/>
        <w:wordWrap w:val="0"/>
        <w:overflowPunct/>
        <w:bidi w:val="0"/>
        <w:spacing w:line="360" w:lineRule="auto"/>
        <w:ind w:left="660" w:hanging="660" w:hangingChars="300"/>
        <w:outlineLvl w:val="0"/>
        <w:rPr>
          <w:rFonts w:hint="eastAsia" w:ascii="宋体" w:hAnsi="宋体" w:eastAsia="宋体" w:cs="宋体"/>
          <w:color w:val="auto"/>
          <w:sz w:val="22"/>
          <w:szCs w:val="22"/>
          <w:highlight w:val="none"/>
          <w:lang w:eastAsia="zh-CN"/>
        </w:rPr>
      </w:pPr>
      <w:bookmarkStart w:id="121" w:name="_Toc3048"/>
      <w:bookmarkStart w:id="122" w:name="_Toc5309"/>
      <w:bookmarkStart w:id="123" w:name="_Toc30295"/>
      <w:r>
        <w:rPr>
          <w:rFonts w:hint="eastAsia" w:ascii="宋体" w:hAnsi="宋体" w:eastAsia="宋体" w:cs="宋体"/>
          <w:color w:val="auto"/>
          <w:sz w:val="22"/>
          <w:szCs w:val="22"/>
          <w:highlight w:val="none"/>
        </w:rPr>
        <w:t>3. 企业人员情况</w:t>
      </w:r>
      <w:bookmarkEnd w:id="121"/>
      <w:bookmarkEnd w:id="122"/>
      <w:bookmarkEnd w:id="123"/>
      <w:r>
        <w:rPr>
          <w:rFonts w:hint="eastAsia" w:ascii="宋体" w:hAnsi="宋体" w:eastAsia="宋体" w:cs="宋体"/>
          <w:color w:val="auto"/>
          <w:sz w:val="22"/>
          <w:szCs w:val="22"/>
          <w:highlight w:val="none"/>
          <w:lang w:eastAsia="zh-CN"/>
        </w:rPr>
        <w:t>：</w:t>
      </w:r>
    </w:p>
    <w:p w14:paraId="48658151">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职工（在职）人数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人，其中技术人员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w:t>
      </w:r>
    </w:p>
    <w:p w14:paraId="316FB616">
      <w:pPr>
        <w:shd w:val="clear" w:color="auto" w:fill="auto"/>
        <w:kinsoku/>
        <w:wordWrap w:val="0"/>
        <w:overflowPunct/>
        <w:bidi w:val="0"/>
        <w:spacing w:line="360" w:lineRule="auto"/>
        <w:ind w:left="660" w:hanging="660" w:hangingChars="300"/>
        <w:outlineLvl w:val="0"/>
        <w:rPr>
          <w:rFonts w:hint="eastAsia" w:ascii="宋体" w:hAnsi="宋体" w:eastAsia="宋体" w:cs="宋体"/>
          <w:color w:val="auto"/>
          <w:sz w:val="22"/>
          <w:szCs w:val="22"/>
          <w:highlight w:val="none"/>
        </w:rPr>
      </w:pPr>
      <w:bookmarkStart w:id="124" w:name="_Toc22181"/>
      <w:bookmarkStart w:id="125" w:name="_Toc22922"/>
      <w:bookmarkStart w:id="126" w:name="_Toc1185"/>
      <w:r>
        <w:rPr>
          <w:rFonts w:hint="eastAsia" w:ascii="宋体" w:hAnsi="宋体" w:eastAsia="宋体" w:cs="宋体"/>
          <w:color w:val="auto"/>
          <w:sz w:val="22"/>
          <w:szCs w:val="22"/>
          <w:highlight w:val="none"/>
        </w:rPr>
        <w:t>4. 近三年的年营业总额</w:t>
      </w:r>
      <w:bookmarkEnd w:id="124"/>
      <w:bookmarkEnd w:id="125"/>
      <w:bookmarkEnd w:id="126"/>
      <w:r>
        <w:rPr>
          <w:rFonts w:hint="eastAsia" w:ascii="宋体" w:hAnsi="宋体" w:eastAsia="宋体" w:cs="宋体"/>
          <w:color w:val="auto"/>
          <w:sz w:val="22"/>
          <w:szCs w:val="22"/>
          <w:highlight w:val="none"/>
          <w:u w:val="single"/>
        </w:rPr>
        <w:t xml:space="preserve">                       </w:t>
      </w:r>
    </w:p>
    <w:p w14:paraId="41FC1196">
      <w:pPr>
        <w:shd w:val="clear" w:color="auto" w:fill="auto"/>
        <w:kinsoku/>
        <w:wordWrap w:val="0"/>
        <w:overflowPunct/>
        <w:bidi w:val="0"/>
        <w:spacing w:line="360" w:lineRule="auto"/>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兹证明上述声明是真实、正确的、并提供了全部能提供的资料和数据，我们同意遵照贵方要求出示有关证明文件。</w:t>
      </w:r>
    </w:p>
    <w:p w14:paraId="3FB2DD9F">
      <w:pPr>
        <w:shd w:val="clear" w:color="auto" w:fill="auto"/>
        <w:kinsoku/>
        <w:wordWrap w:val="0"/>
        <w:overflowPunct/>
        <w:bidi w:val="0"/>
        <w:spacing w:line="360" w:lineRule="auto"/>
        <w:rPr>
          <w:rFonts w:hint="eastAsia" w:ascii="宋体" w:hAnsi="宋体" w:eastAsia="宋体" w:cs="宋体"/>
          <w:color w:val="auto"/>
          <w:sz w:val="22"/>
          <w:szCs w:val="22"/>
          <w:highlight w:val="none"/>
        </w:rPr>
      </w:pPr>
    </w:p>
    <w:p w14:paraId="1CA2758E">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w:t>
      </w:r>
      <w:r>
        <w:rPr>
          <w:rFonts w:hint="eastAsia" w:ascii="宋体" w:hAnsi="宋体" w:eastAsia="宋体" w:cs="宋体"/>
          <w:color w:val="auto"/>
          <w:sz w:val="22"/>
          <w:szCs w:val="22"/>
          <w:highlight w:val="none"/>
          <w:u w:val="single"/>
        </w:rPr>
        <w:t xml:space="preserve">                               （盖章）</w:t>
      </w:r>
    </w:p>
    <w:p w14:paraId="481FE868">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法定代表人姓名和职务</w:t>
      </w:r>
      <w:r>
        <w:rPr>
          <w:rFonts w:hint="eastAsia" w:ascii="宋体" w:hAnsi="宋体" w:eastAsia="宋体" w:cs="宋体"/>
          <w:color w:val="auto"/>
          <w:sz w:val="22"/>
          <w:szCs w:val="22"/>
          <w:highlight w:val="none"/>
          <w:u w:val="single"/>
        </w:rPr>
        <w:t xml:space="preserve">                     </w:t>
      </w:r>
    </w:p>
    <w:p w14:paraId="272B2DEC">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法定代表人（负责人）或</w:t>
      </w:r>
      <w:r>
        <w:rPr>
          <w:rFonts w:hint="eastAsia" w:ascii="宋体" w:hAnsi="宋体" w:eastAsia="宋体" w:cs="宋体"/>
          <w:color w:val="auto"/>
          <w:sz w:val="22"/>
          <w:szCs w:val="22"/>
          <w:highlight w:val="none"/>
          <w:lang w:val="zh-CN"/>
        </w:rPr>
        <w:t>授权代表（签字或签章）</w:t>
      </w:r>
      <w:r>
        <w:rPr>
          <w:rFonts w:hint="eastAsia" w:ascii="宋体" w:hAnsi="宋体" w:eastAsia="宋体" w:cs="宋体"/>
          <w:color w:val="auto"/>
          <w:sz w:val="22"/>
          <w:szCs w:val="22"/>
          <w:highlight w:val="none"/>
          <w:u w:val="single"/>
        </w:rPr>
        <w:t xml:space="preserve">                           </w:t>
      </w:r>
    </w:p>
    <w:p w14:paraId="34D60FD4">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签字日期</w:t>
      </w:r>
      <w:r>
        <w:rPr>
          <w:rFonts w:hint="eastAsia" w:ascii="宋体" w:hAnsi="宋体" w:eastAsia="宋体" w:cs="宋体"/>
          <w:color w:val="auto"/>
          <w:sz w:val="22"/>
          <w:szCs w:val="22"/>
          <w:highlight w:val="none"/>
          <w:u w:val="single"/>
        </w:rPr>
        <w:t xml:space="preserve">                                 </w:t>
      </w:r>
    </w:p>
    <w:p w14:paraId="6638A25C">
      <w:pPr>
        <w:shd w:val="clear" w:color="auto" w:fill="auto"/>
        <w:kinsoku/>
        <w:wordWrap w:val="0"/>
        <w:overflowPunct/>
        <w:bidi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电子邮件</w:t>
      </w:r>
      <w:r>
        <w:rPr>
          <w:rFonts w:hint="eastAsia" w:ascii="宋体" w:hAnsi="宋体" w:eastAsia="宋体" w:cs="宋体"/>
          <w:color w:val="auto"/>
          <w:sz w:val="22"/>
          <w:szCs w:val="22"/>
          <w:highlight w:val="none"/>
          <w:u w:val="single"/>
        </w:rPr>
        <w:t xml:space="preserve">                                 </w:t>
      </w:r>
    </w:p>
    <w:p w14:paraId="10063878">
      <w:pPr>
        <w:pStyle w:val="14"/>
        <w:shd w:val="clear" w:color="auto" w:fill="auto"/>
        <w:kinsoku/>
        <w:wordWrap w:val="0"/>
        <w:overflowPunct/>
        <w:bidi w:val="0"/>
        <w:spacing w:line="360" w:lineRule="auto"/>
        <w:rPr>
          <w:rFonts w:hint="eastAsia" w:ascii="宋体" w:hAnsi="宋体" w:eastAsia="宋体" w:cs="宋体"/>
          <w:b/>
          <w:color w:val="auto"/>
          <w:sz w:val="22"/>
          <w:szCs w:val="22"/>
          <w:highlight w:val="none"/>
        </w:rPr>
      </w:pPr>
    </w:p>
    <w:p w14:paraId="0672D995">
      <w:pPr>
        <w:pStyle w:val="14"/>
        <w:shd w:val="clear" w:color="auto" w:fill="auto"/>
        <w:kinsoku/>
        <w:wordWrap w:val="0"/>
        <w:overflowPunct/>
        <w:bidi w:val="0"/>
        <w:spacing w:line="360" w:lineRule="auto"/>
        <w:rPr>
          <w:rFonts w:hint="eastAsia" w:ascii="宋体" w:hAnsi="宋体" w:eastAsia="宋体" w:cs="宋体"/>
          <w:b/>
          <w:color w:val="auto"/>
          <w:sz w:val="32"/>
          <w:szCs w:val="32"/>
          <w:highlight w:val="none"/>
        </w:rPr>
      </w:pPr>
    </w:p>
    <w:p w14:paraId="71017978">
      <w:pPr>
        <w:pStyle w:val="14"/>
        <w:shd w:val="clear" w:color="auto" w:fill="auto"/>
        <w:kinsoku/>
        <w:wordWrap w:val="0"/>
        <w:overflowPunct/>
        <w:bidi w:val="0"/>
        <w:spacing w:line="360" w:lineRule="auto"/>
        <w:rPr>
          <w:rFonts w:hint="eastAsia" w:ascii="宋体" w:hAnsi="宋体" w:eastAsia="宋体" w:cs="宋体"/>
          <w:b/>
          <w:color w:val="auto"/>
          <w:sz w:val="32"/>
          <w:szCs w:val="32"/>
          <w:highlight w:val="none"/>
        </w:rPr>
      </w:pPr>
    </w:p>
    <w:p w14:paraId="53F117B2">
      <w:pPr>
        <w:shd w:val="clear" w:color="auto" w:fill="auto"/>
        <w:kinsoku/>
        <w:wordWrap w:val="0"/>
        <w:overflowPunct/>
        <w:autoSpaceDE w:val="0"/>
        <w:autoSpaceDN w:val="0"/>
        <w:bidi w:val="0"/>
        <w:adjustRightInd w:val="0"/>
        <w:spacing w:line="360" w:lineRule="auto"/>
        <w:outlineLvl w:val="0"/>
        <w:rPr>
          <w:rFonts w:hint="eastAsia" w:ascii="宋体" w:hAnsi="宋体" w:eastAsia="宋体" w:cs="宋体"/>
          <w:b/>
          <w:color w:val="auto"/>
          <w:sz w:val="32"/>
          <w:highlight w:val="none"/>
          <w:lang w:val="zh-CN"/>
        </w:rPr>
      </w:pPr>
      <w:bookmarkStart w:id="127" w:name="_Toc7270"/>
      <w:bookmarkStart w:id="128" w:name="_Toc15806"/>
      <w:bookmarkStart w:id="129" w:name="_Toc12302"/>
      <w:r>
        <w:rPr>
          <w:rFonts w:hint="eastAsia" w:ascii="宋体" w:hAnsi="宋体" w:eastAsia="宋体" w:cs="宋体"/>
          <w:b/>
          <w:color w:val="auto"/>
          <w:sz w:val="32"/>
          <w:highlight w:val="none"/>
          <w:lang w:val="zh-CN"/>
        </w:rPr>
        <w:t>3.</w:t>
      </w:r>
      <w:r>
        <w:rPr>
          <w:rFonts w:hint="eastAsia" w:ascii="宋体" w:hAnsi="宋体" w:eastAsia="宋体" w:cs="宋体"/>
          <w:b/>
          <w:color w:val="auto"/>
          <w:sz w:val="32"/>
          <w:highlight w:val="none"/>
        </w:rPr>
        <w:t>6</w:t>
      </w:r>
      <w:r>
        <w:rPr>
          <w:rFonts w:hint="eastAsia" w:ascii="宋体" w:hAnsi="宋体" w:eastAsia="宋体" w:cs="宋体"/>
          <w:b/>
          <w:color w:val="auto"/>
          <w:sz w:val="32"/>
          <w:highlight w:val="none"/>
          <w:lang w:val="zh-CN"/>
        </w:rPr>
        <w:t>商务偏离表、技术偏离表</w:t>
      </w:r>
      <w:bookmarkEnd w:id="127"/>
      <w:bookmarkEnd w:id="128"/>
      <w:bookmarkEnd w:id="129"/>
    </w:p>
    <w:p w14:paraId="4F89FB85">
      <w:pPr>
        <w:shd w:val="clear" w:color="auto" w:fill="auto"/>
        <w:kinsoku/>
        <w:wordWrap w:val="0"/>
        <w:overflowPunct/>
        <w:autoSpaceDE w:val="0"/>
        <w:autoSpaceDN w:val="0"/>
        <w:bidi w:val="0"/>
        <w:adjustRightInd w:val="0"/>
        <w:spacing w:line="360" w:lineRule="auto"/>
        <w:ind w:firstLine="3413"/>
        <w:outlineLvl w:val="0"/>
        <w:rPr>
          <w:rFonts w:hint="eastAsia" w:ascii="宋体" w:hAnsi="宋体" w:eastAsia="宋体" w:cs="宋体"/>
          <w:b/>
          <w:color w:val="auto"/>
          <w:sz w:val="36"/>
          <w:highlight w:val="none"/>
          <w:lang w:val="zh-CN"/>
        </w:rPr>
      </w:pPr>
      <w:bookmarkStart w:id="130" w:name="_Toc14824"/>
      <w:bookmarkStart w:id="131" w:name="_Toc21941"/>
      <w:bookmarkStart w:id="132" w:name="_Toc18670"/>
      <w:r>
        <w:rPr>
          <w:rFonts w:hint="eastAsia" w:ascii="宋体" w:hAnsi="宋体" w:eastAsia="宋体" w:cs="宋体"/>
          <w:b/>
          <w:color w:val="auto"/>
          <w:sz w:val="36"/>
          <w:highlight w:val="none"/>
          <w:lang w:val="zh-CN"/>
        </w:rPr>
        <w:t>商 务 偏 离 表</w:t>
      </w:r>
      <w:bookmarkEnd w:id="130"/>
      <w:bookmarkEnd w:id="131"/>
      <w:bookmarkEnd w:id="132"/>
    </w:p>
    <w:p w14:paraId="01B80B99">
      <w:pPr>
        <w:shd w:val="clear" w:color="auto" w:fill="auto"/>
        <w:kinsoku/>
        <w:wordWrap w:val="0"/>
        <w:overflowPunct/>
        <w:autoSpaceDE w:val="0"/>
        <w:autoSpaceDN w:val="0"/>
        <w:bidi w:val="0"/>
        <w:adjustRightInd w:val="0"/>
        <w:spacing w:line="360" w:lineRule="auto"/>
        <w:ind w:firstLine="3413"/>
        <w:rPr>
          <w:rFonts w:hint="eastAsia" w:ascii="宋体" w:hAnsi="宋体" w:eastAsia="宋体" w:cs="宋体"/>
          <w:b/>
          <w:color w:val="auto"/>
          <w:sz w:val="36"/>
          <w:highlight w:val="none"/>
          <w:lang w:val="zh-CN"/>
        </w:rPr>
      </w:pPr>
    </w:p>
    <w:tbl>
      <w:tblPr>
        <w:tblStyle w:val="26"/>
        <w:tblW w:w="0" w:type="auto"/>
        <w:tblInd w:w="0" w:type="dxa"/>
        <w:tblLayout w:type="fixed"/>
        <w:tblCellMar>
          <w:top w:w="0" w:type="dxa"/>
          <w:left w:w="108" w:type="dxa"/>
          <w:bottom w:w="0" w:type="dxa"/>
          <w:right w:w="108" w:type="dxa"/>
        </w:tblCellMar>
      </w:tblPr>
      <w:tblGrid>
        <w:gridCol w:w="900"/>
        <w:gridCol w:w="1800"/>
        <w:gridCol w:w="2664"/>
        <w:gridCol w:w="2110"/>
        <w:gridCol w:w="2126"/>
      </w:tblGrid>
      <w:tr w14:paraId="2B17DB63">
        <w:tblPrEx>
          <w:tblCellMar>
            <w:top w:w="0" w:type="dxa"/>
            <w:left w:w="108" w:type="dxa"/>
            <w:bottom w:w="0" w:type="dxa"/>
            <w:right w:w="108" w:type="dxa"/>
          </w:tblCellMar>
        </w:tblPrEx>
        <w:trPr>
          <w:trHeight w:val="936" w:hRule="atLeast"/>
        </w:trPr>
        <w:tc>
          <w:tcPr>
            <w:tcW w:w="900" w:type="dxa"/>
            <w:tcBorders>
              <w:top w:val="single" w:color="auto" w:sz="6" w:space="0"/>
              <w:left w:val="single" w:color="auto" w:sz="6" w:space="0"/>
              <w:bottom w:val="single" w:color="auto" w:sz="6" w:space="0"/>
              <w:right w:val="single" w:color="auto" w:sz="6" w:space="0"/>
            </w:tcBorders>
            <w:noWrap w:val="0"/>
            <w:vAlign w:val="center"/>
          </w:tcPr>
          <w:p w14:paraId="77111AA7">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序 号</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635853B1">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内容</w:t>
            </w:r>
          </w:p>
        </w:tc>
        <w:tc>
          <w:tcPr>
            <w:tcW w:w="2664" w:type="dxa"/>
            <w:tcBorders>
              <w:top w:val="single" w:color="auto" w:sz="6" w:space="0"/>
              <w:left w:val="single" w:color="auto" w:sz="6" w:space="0"/>
              <w:bottom w:val="single" w:color="auto" w:sz="6" w:space="0"/>
              <w:right w:val="single" w:color="auto" w:sz="6" w:space="0"/>
            </w:tcBorders>
            <w:noWrap w:val="0"/>
            <w:vAlign w:val="center"/>
          </w:tcPr>
          <w:p w14:paraId="41DD57E7">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采购文件规范要求</w:t>
            </w:r>
          </w:p>
        </w:tc>
        <w:tc>
          <w:tcPr>
            <w:tcW w:w="2110" w:type="dxa"/>
            <w:tcBorders>
              <w:top w:val="single" w:color="auto" w:sz="6" w:space="0"/>
              <w:left w:val="single" w:color="auto" w:sz="6" w:space="0"/>
              <w:bottom w:val="single" w:color="auto" w:sz="6" w:space="0"/>
              <w:right w:val="single" w:color="auto" w:sz="6" w:space="0"/>
            </w:tcBorders>
            <w:noWrap w:val="0"/>
            <w:vAlign w:val="center"/>
          </w:tcPr>
          <w:p w14:paraId="6817BDC5">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投标文件</w:t>
            </w:r>
          </w:p>
          <w:p w14:paraId="7D310725">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对应规范</w:t>
            </w:r>
          </w:p>
        </w:tc>
        <w:tc>
          <w:tcPr>
            <w:tcW w:w="2126" w:type="dxa"/>
            <w:tcBorders>
              <w:top w:val="single" w:color="auto" w:sz="6" w:space="0"/>
              <w:left w:val="single" w:color="auto" w:sz="6" w:space="0"/>
              <w:bottom w:val="single" w:color="auto" w:sz="6" w:space="0"/>
              <w:right w:val="single" w:color="auto" w:sz="6" w:space="0"/>
            </w:tcBorders>
            <w:noWrap w:val="0"/>
            <w:vAlign w:val="center"/>
          </w:tcPr>
          <w:p w14:paraId="7AAD9CC9">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备 注</w:t>
            </w:r>
          </w:p>
        </w:tc>
      </w:tr>
      <w:tr w14:paraId="6A20F22E">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555FEA9B">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48936486">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7668842C">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7F56A34E">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209BE1EA">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3033664B">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2F7067CC">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14EAE725">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41DBA9F7">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57384106">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1A80391D">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19CF57AF">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194C6395">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67A47397">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4EB4126B">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3A4F7330">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32DD137A">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15D08563">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16E24453">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75549977">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2E970C8D">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3B8F9DCE">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7EC8DC76">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72D2F80D">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464C12EA">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678EDEEB">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01459BDE">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198EAFF8">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6622ECC3">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040B7516">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7E1D896B">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2E594E13">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4D8FB1E5">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63287718">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6CE7D5A3">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bl>
    <w:p w14:paraId="19DF09F8">
      <w:pPr>
        <w:shd w:val="clear" w:color="auto" w:fill="auto"/>
        <w:kinsoku/>
        <w:wordWrap w:val="0"/>
        <w:overflowPunct/>
        <w:autoSpaceDE w:val="0"/>
        <w:autoSpaceDN w:val="0"/>
        <w:bidi w:val="0"/>
        <w:adjustRightInd w:val="0"/>
        <w:spacing w:line="360" w:lineRule="auto"/>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供应商盖章：</w:t>
      </w:r>
    </w:p>
    <w:p w14:paraId="38B2A787">
      <w:pPr>
        <w:shd w:val="clear" w:color="auto" w:fill="auto"/>
        <w:kinsoku/>
        <w:wordWrap w:val="0"/>
        <w:overflowPunct/>
        <w:autoSpaceDE w:val="0"/>
        <w:autoSpaceDN w:val="0"/>
        <w:bidi w:val="0"/>
        <w:adjustRightInd w:val="0"/>
        <w:spacing w:line="360" w:lineRule="auto"/>
        <w:rPr>
          <w:rFonts w:hint="eastAsia" w:ascii="宋体" w:hAnsi="宋体" w:eastAsia="宋体" w:cs="宋体"/>
          <w:b/>
          <w:color w:val="auto"/>
          <w:sz w:val="22"/>
          <w:szCs w:val="22"/>
          <w:highlight w:val="none"/>
          <w:lang w:val="zh-CN"/>
        </w:rPr>
      </w:pPr>
    </w:p>
    <w:p w14:paraId="471E43B9">
      <w:pPr>
        <w:shd w:val="clear" w:color="auto" w:fill="auto"/>
        <w:kinsoku/>
        <w:wordWrap w:val="0"/>
        <w:overflowPunct/>
        <w:autoSpaceDE w:val="0"/>
        <w:autoSpaceDN w:val="0"/>
        <w:bidi w:val="0"/>
        <w:adjustRightInd w:val="0"/>
        <w:spacing w:line="360" w:lineRule="auto"/>
        <w:rPr>
          <w:rFonts w:hint="eastAsia" w:ascii="宋体" w:hAnsi="宋体" w:eastAsia="宋体" w:cs="宋体"/>
          <w:b/>
          <w:color w:val="auto"/>
          <w:sz w:val="32"/>
          <w:highlight w:val="none"/>
          <w:lang w:val="zh-CN"/>
        </w:rPr>
      </w:pPr>
    </w:p>
    <w:p w14:paraId="4793DF48">
      <w:pPr>
        <w:shd w:val="clear" w:color="auto" w:fill="auto"/>
        <w:kinsoku/>
        <w:wordWrap w:val="0"/>
        <w:overflowPunct/>
        <w:autoSpaceDE w:val="0"/>
        <w:autoSpaceDN w:val="0"/>
        <w:bidi w:val="0"/>
        <w:adjustRightInd w:val="0"/>
        <w:spacing w:line="360" w:lineRule="auto"/>
        <w:rPr>
          <w:rFonts w:hint="eastAsia" w:ascii="宋体" w:hAnsi="宋体" w:eastAsia="宋体" w:cs="宋体"/>
          <w:b/>
          <w:color w:val="auto"/>
          <w:sz w:val="32"/>
          <w:highlight w:val="none"/>
          <w:lang w:val="zh-CN"/>
        </w:rPr>
      </w:pPr>
    </w:p>
    <w:p w14:paraId="79BAF286">
      <w:pPr>
        <w:shd w:val="clear" w:color="auto" w:fill="auto"/>
        <w:kinsoku/>
        <w:wordWrap w:val="0"/>
        <w:overflowPunct/>
        <w:autoSpaceDE w:val="0"/>
        <w:autoSpaceDN w:val="0"/>
        <w:bidi w:val="0"/>
        <w:adjustRightInd w:val="0"/>
        <w:spacing w:line="360" w:lineRule="auto"/>
        <w:ind w:firstLine="3614" w:firstLineChars="1000"/>
        <w:outlineLvl w:val="0"/>
        <w:rPr>
          <w:rFonts w:hint="eastAsia" w:ascii="宋体" w:hAnsi="宋体" w:eastAsia="宋体" w:cs="宋体"/>
          <w:b/>
          <w:color w:val="auto"/>
          <w:sz w:val="36"/>
          <w:highlight w:val="none"/>
          <w:lang w:val="zh-CN"/>
        </w:rPr>
      </w:pPr>
      <w:bookmarkStart w:id="133" w:name="_Toc27863"/>
      <w:bookmarkStart w:id="134" w:name="_Toc31864"/>
      <w:bookmarkStart w:id="135" w:name="_Toc18312"/>
      <w:r>
        <w:rPr>
          <w:rFonts w:hint="eastAsia" w:ascii="宋体" w:hAnsi="宋体" w:eastAsia="宋体" w:cs="宋体"/>
          <w:b/>
          <w:color w:val="auto"/>
          <w:sz w:val="36"/>
          <w:highlight w:val="none"/>
          <w:lang w:val="zh-CN"/>
        </w:rPr>
        <w:t>技术偏离表</w:t>
      </w:r>
      <w:bookmarkEnd w:id="133"/>
      <w:bookmarkEnd w:id="134"/>
      <w:bookmarkEnd w:id="135"/>
    </w:p>
    <w:tbl>
      <w:tblPr>
        <w:tblStyle w:val="26"/>
        <w:tblW w:w="0" w:type="auto"/>
        <w:tblInd w:w="-192" w:type="dxa"/>
        <w:tblLayout w:type="fixed"/>
        <w:tblCellMar>
          <w:top w:w="0" w:type="dxa"/>
          <w:left w:w="108" w:type="dxa"/>
          <w:bottom w:w="0" w:type="dxa"/>
          <w:right w:w="108" w:type="dxa"/>
        </w:tblCellMar>
      </w:tblPr>
      <w:tblGrid>
        <w:gridCol w:w="900"/>
        <w:gridCol w:w="1800"/>
        <w:gridCol w:w="2300"/>
        <w:gridCol w:w="2000"/>
        <w:gridCol w:w="2800"/>
      </w:tblGrid>
      <w:tr w14:paraId="5A4DAADE">
        <w:tblPrEx>
          <w:tblCellMar>
            <w:top w:w="0" w:type="dxa"/>
            <w:left w:w="108" w:type="dxa"/>
            <w:bottom w:w="0" w:type="dxa"/>
            <w:right w:w="108" w:type="dxa"/>
          </w:tblCellMar>
        </w:tblPrEx>
        <w:trPr>
          <w:trHeight w:val="918" w:hRule="atLeast"/>
        </w:trPr>
        <w:tc>
          <w:tcPr>
            <w:tcW w:w="900" w:type="dxa"/>
            <w:tcBorders>
              <w:top w:val="single" w:color="auto" w:sz="6" w:space="0"/>
              <w:left w:val="single" w:color="auto" w:sz="6" w:space="0"/>
              <w:bottom w:val="single" w:color="auto" w:sz="6" w:space="0"/>
              <w:right w:val="single" w:color="auto" w:sz="6" w:space="0"/>
            </w:tcBorders>
            <w:noWrap w:val="0"/>
            <w:vAlign w:val="center"/>
          </w:tcPr>
          <w:p w14:paraId="3383989A">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序 号</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1A78323A">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内容</w:t>
            </w:r>
          </w:p>
        </w:tc>
        <w:tc>
          <w:tcPr>
            <w:tcW w:w="2300" w:type="dxa"/>
            <w:tcBorders>
              <w:top w:val="single" w:color="auto" w:sz="6" w:space="0"/>
              <w:left w:val="single" w:color="auto" w:sz="6" w:space="0"/>
              <w:bottom w:val="single" w:color="auto" w:sz="6" w:space="0"/>
              <w:right w:val="single" w:color="auto" w:sz="6" w:space="0"/>
            </w:tcBorders>
            <w:noWrap w:val="0"/>
            <w:vAlign w:val="center"/>
          </w:tcPr>
          <w:p w14:paraId="0A02D1CB">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采购文件规范要求</w:t>
            </w:r>
          </w:p>
        </w:tc>
        <w:tc>
          <w:tcPr>
            <w:tcW w:w="2000" w:type="dxa"/>
            <w:tcBorders>
              <w:top w:val="single" w:color="auto" w:sz="6" w:space="0"/>
              <w:left w:val="single" w:color="auto" w:sz="6" w:space="0"/>
              <w:bottom w:val="single" w:color="auto" w:sz="6" w:space="0"/>
              <w:right w:val="single" w:color="auto" w:sz="6" w:space="0"/>
            </w:tcBorders>
            <w:noWrap w:val="0"/>
            <w:vAlign w:val="center"/>
          </w:tcPr>
          <w:p w14:paraId="7BCE9EB0">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投标文件</w:t>
            </w:r>
          </w:p>
          <w:p w14:paraId="7491E426">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对应规范</w:t>
            </w:r>
          </w:p>
        </w:tc>
        <w:tc>
          <w:tcPr>
            <w:tcW w:w="2800" w:type="dxa"/>
            <w:tcBorders>
              <w:top w:val="single" w:color="auto" w:sz="6" w:space="0"/>
              <w:left w:val="single" w:color="auto" w:sz="6" w:space="0"/>
              <w:bottom w:val="single" w:color="auto" w:sz="6" w:space="0"/>
              <w:right w:val="single" w:color="auto" w:sz="6" w:space="0"/>
            </w:tcBorders>
            <w:noWrap w:val="0"/>
            <w:vAlign w:val="center"/>
          </w:tcPr>
          <w:p w14:paraId="505006EF">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备 注</w:t>
            </w:r>
          </w:p>
        </w:tc>
      </w:tr>
      <w:tr w14:paraId="4BD1BCF5">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1CB0CF4B">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73B6DD0B">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2B25A04E">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66F9E55B">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66756C69">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6E610101">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070ABCF7">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3A2CE3AC">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300C9BE4">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62D29EEA">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08026227">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5A0DAB5B">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10A4282A">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302A5FB0">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1AE1B730">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2026BA5A">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1078FAB5">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3ED5E6DE">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006F783B">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41C75024">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62A5417C">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22ECD82C">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625D16E4">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501967E1">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4EC877AA">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664FC428">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7AE24765">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6D64BC9B">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70AF7DFC">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33FFD947">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6D7167DD">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172C9DA1">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5353B248">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3E37AD6D">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73482574">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bl>
    <w:p w14:paraId="7A7AB6B2">
      <w:pPr>
        <w:shd w:val="clear" w:color="auto" w:fill="auto"/>
        <w:kinsoku/>
        <w:wordWrap w:val="0"/>
        <w:overflowPunct/>
        <w:autoSpaceDE w:val="0"/>
        <w:autoSpaceDN w:val="0"/>
        <w:bidi w:val="0"/>
        <w:adjustRightInd w:val="0"/>
        <w:spacing w:line="360" w:lineRule="auto"/>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供应商盖章：</w:t>
      </w:r>
    </w:p>
    <w:p w14:paraId="1A576A68">
      <w:pPr>
        <w:shd w:val="clear" w:color="auto" w:fill="auto"/>
        <w:kinsoku/>
        <w:wordWrap w:val="0"/>
        <w:overflowPunct/>
        <w:autoSpaceDE w:val="0"/>
        <w:autoSpaceDN w:val="0"/>
        <w:bidi w:val="0"/>
        <w:adjustRightInd w:val="0"/>
        <w:spacing w:line="360" w:lineRule="auto"/>
        <w:rPr>
          <w:rFonts w:hint="eastAsia" w:ascii="宋体" w:hAnsi="宋体" w:eastAsia="宋体" w:cs="宋体"/>
          <w:b/>
          <w:color w:val="auto"/>
          <w:sz w:val="22"/>
          <w:szCs w:val="22"/>
          <w:highlight w:val="none"/>
        </w:rPr>
      </w:pPr>
    </w:p>
    <w:p w14:paraId="7E24D8DA">
      <w:pPr>
        <w:shd w:val="clear" w:color="auto" w:fill="auto"/>
        <w:kinsoku/>
        <w:wordWrap w:val="0"/>
        <w:overflowPunct/>
        <w:bidi w:val="0"/>
        <w:spacing w:line="360" w:lineRule="auto"/>
        <w:rPr>
          <w:rFonts w:hint="eastAsia" w:ascii="宋体" w:hAnsi="宋体" w:eastAsia="宋体" w:cs="宋体"/>
          <w:color w:val="auto"/>
          <w:highlight w:val="none"/>
        </w:rPr>
        <w:sectPr>
          <w:headerReference r:id="rId8" w:type="default"/>
          <w:footerReference r:id="rId9" w:type="default"/>
          <w:pgSz w:w="11906" w:h="16838"/>
          <w:pgMar w:top="1440" w:right="1361" w:bottom="1440" w:left="1361" w:header="851" w:footer="992" w:gutter="0"/>
          <w:cols w:space="720" w:num="1"/>
          <w:docGrid w:linePitch="312" w:charSpace="0"/>
        </w:sectPr>
      </w:pPr>
    </w:p>
    <w:p w14:paraId="5F85EC3A">
      <w:pPr>
        <w:shd w:val="clear" w:color="auto" w:fill="auto"/>
        <w:kinsoku/>
        <w:wordWrap w:val="0"/>
        <w:overflowPunct/>
        <w:bidi w:val="0"/>
        <w:spacing w:line="360" w:lineRule="auto"/>
        <w:rPr>
          <w:rFonts w:hint="eastAsia" w:ascii="宋体" w:hAnsi="宋体" w:eastAsia="宋体" w:cs="宋体"/>
          <w:b/>
          <w:color w:val="auto"/>
          <w:sz w:val="32"/>
          <w:highlight w:val="none"/>
          <w:lang w:val="zh-CN"/>
        </w:rPr>
      </w:pPr>
      <w:r>
        <w:rPr>
          <w:rFonts w:hint="eastAsia" w:ascii="宋体" w:hAnsi="宋体" w:eastAsia="宋体" w:cs="宋体"/>
          <w:b/>
          <w:color w:val="auto"/>
          <w:sz w:val="32"/>
          <w:highlight w:val="none"/>
          <w:lang w:val="zh-CN"/>
        </w:rPr>
        <w:t>3.</w:t>
      </w:r>
      <w:r>
        <w:rPr>
          <w:rFonts w:hint="eastAsia" w:ascii="宋体" w:hAnsi="宋体" w:eastAsia="宋体" w:cs="宋体"/>
          <w:b/>
          <w:color w:val="auto"/>
          <w:sz w:val="32"/>
          <w:highlight w:val="none"/>
          <w:lang w:val="en-US" w:eastAsia="zh-CN"/>
        </w:rPr>
        <w:t>7</w:t>
      </w:r>
      <w:r>
        <w:rPr>
          <w:rFonts w:hint="eastAsia" w:ascii="宋体" w:hAnsi="宋体" w:eastAsia="宋体" w:cs="宋体"/>
          <w:b/>
          <w:color w:val="auto"/>
          <w:sz w:val="32"/>
          <w:highlight w:val="none"/>
          <w:lang w:val="zh-CN"/>
        </w:rPr>
        <w:t>针对本项目拟派人员名单</w:t>
      </w:r>
    </w:p>
    <w:p w14:paraId="10FD2216">
      <w:pPr>
        <w:pStyle w:val="25"/>
        <w:shd w:val="clear" w:color="auto" w:fill="auto"/>
        <w:kinsoku/>
        <w:wordWrap w:val="0"/>
        <w:overflowPunct/>
        <w:bidi w:val="0"/>
        <w:spacing w:before="0" w:after="0" w:line="360" w:lineRule="auto"/>
        <w:ind w:firstLine="723"/>
        <w:rPr>
          <w:rFonts w:hint="eastAsia" w:ascii="宋体" w:hAnsi="宋体" w:eastAsia="宋体" w:cs="宋体"/>
          <w:b w:val="0"/>
          <w:color w:val="auto"/>
          <w:sz w:val="36"/>
          <w:highlight w:val="none"/>
        </w:rPr>
      </w:pPr>
      <w:bookmarkStart w:id="136" w:name="_Toc28398"/>
      <w:bookmarkStart w:id="137" w:name="_Toc24758"/>
      <w:bookmarkStart w:id="138" w:name="_Toc18995"/>
      <w:r>
        <w:rPr>
          <w:rFonts w:hint="eastAsia" w:ascii="宋体" w:hAnsi="宋体" w:eastAsia="宋体" w:cs="宋体"/>
          <w:b w:val="0"/>
          <w:color w:val="auto"/>
          <w:sz w:val="36"/>
          <w:szCs w:val="36"/>
          <w:highlight w:val="none"/>
        </w:rPr>
        <w:t>针对本项目拟派人员名单</w:t>
      </w:r>
      <w:bookmarkEnd w:id="136"/>
      <w:bookmarkEnd w:id="137"/>
      <w:bookmarkEnd w:id="138"/>
    </w:p>
    <w:tbl>
      <w:tblPr>
        <w:tblStyle w:val="26"/>
        <w:tblW w:w="0" w:type="auto"/>
        <w:tblInd w:w="9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87"/>
        <w:gridCol w:w="2205"/>
        <w:gridCol w:w="855"/>
        <w:gridCol w:w="840"/>
        <w:gridCol w:w="780"/>
        <w:gridCol w:w="1005"/>
        <w:gridCol w:w="1065"/>
        <w:gridCol w:w="1188"/>
      </w:tblGrid>
      <w:tr w14:paraId="558D0C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11B777C2">
            <w:pPr>
              <w:keepNext w:val="0"/>
              <w:keepLines w:val="0"/>
              <w:suppressLineNumbers w:val="0"/>
              <w:kinsoku/>
              <w:wordWrap w:val="0"/>
              <w:overflowPunct/>
              <w:bidi w:val="0"/>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姓名</w:t>
            </w:r>
          </w:p>
        </w:tc>
        <w:tc>
          <w:tcPr>
            <w:tcW w:w="2205" w:type="dxa"/>
            <w:noWrap w:val="0"/>
            <w:vAlign w:val="center"/>
          </w:tcPr>
          <w:p w14:paraId="6788F67B">
            <w:pPr>
              <w:keepNext w:val="0"/>
              <w:keepLines w:val="0"/>
              <w:suppressLineNumbers w:val="0"/>
              <w:kinsoku/>
              <w:wordWrap w:val="0"/>
              <w:overflowPunct/>
              <w:bidi w:val="0"/>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本项目主要工作</w:t>
            </w:r>
          </w:p>
        </w:tc>
        <w:tc>
          <w:tcPr>
            <w:tcW w:w="855" w:type="dxa"/>
            <w:noWrap w:val="0"/>
            <w:vAlign w:val="center"/>
          </w:tcPr>
          <w:p w14:paraId="5CE3DA5C">
            <w:pPr>
              <w:keepNext w:val="0"/>
              <w:keepLines w:val="0"/>
              <w:suppressLineNumbers w:val="0"/>
              <w:kinsoku/>
              <w:wordWrap w:val="0"/>
              <w:overflowPunct/>
              <w:bidi w:val="0"/>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年龄</w:t>
            </w:r>
          </w:p>
        </w:tc>
        <w:tc>
          <w:tcPr>
            <w:tcW w:w="840" w:type="dxa"/>
            <w:noWrap w:val="0"/>
            <w:vAlign w:val="center"/>
          </w:tcPr>
          <w:p w14:paraId="3C08C689">
            <w:pPr>
              <w:keepNext w:val="0"/>
              <w:keepLines w:val="0"/>
              <w:suppressLineNumbers w:val="0"/>
              <w:kinsoku/>
              <w:wordWrap w:val="0"/>
              <w:overflowPunct/>
              <w:bidi w:val="0"/>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性别</w:t>
            </w:r>
          </w:p>
        </w:tc>
        <w:tc>
          <w:tcPr>
            <w:tcW w:w="780" w:type="dxa"/>
            <w:noWrap w:val="0"/>
            <w:vAlign w:val="center"/>
          </w:tcPr>
          <w:p w14:paraId="2E5AF145">
            <w:pPr>
              <w:keepNext w:val="0"/>
              <w:keepLines w:val="0"/>
              <w:suppressLineNumbers w:val="0"/>
              <w:kinsoku/>
              <w:wordWrap w:val="0"/>
              <w:overflowPunct/>
              <w:bidi w:val="0"/>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专业</w:t>
            </w:r>
          </w:p>
        </w:tc>
        <w:tc>
          <w:tcPr>
            <w:tcW w:w="1005" w:type="dxa"/>
            <w:noWrap w:val="0"/>
            <w:vAlign w:val="center"/>
          </w:tcPr>
          <w:p w14:paraId="78FA49ED">
            <w:pPr>
              <w:keepNext w:val="0"/>
              <w:keepLines w:val="0"/>
              <w:suppressLineNumbers w:val="0"/>
              <w:kinsoku/>
              <w:wordWrap w:val="0"/>
              <w:overflowPunct/>
              <w:bidi w:val="0"/>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专业年限</w:t>
            </w:r>
          </w:p>
        </w:tc>
        <w:tc>
          <w:tcPr>
            <w:tcW w:w="1065" w:type="dxa"/>
            <w:noWrap w:val="0"/>
            <w:vAlign w:val="center"/>
          </w:tcPr>
          <w:p w14:paraId="7A2A6A28">
            <w:pPr>
              <w:keepNext w:val="0"/>
              <w:keepLines w:val="0"/>
              <w:suppressLineNumbers w:val="0"/>
              <w:kinsoku/>
              <w:wordWrap w:val="0"/>
              <w:overflowPunct/>
              <w:bidi w:val="0"/>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职务和职称</w:t>
            </w:r>
          </w:p>
        </w:tc>
        <w:tc>
          <w:tcPr>
            <w:tcW w:w="1188" w:type="dxa"/>
            <w:noWrap w:val="0"/>
            <w:vAlign w:val="center"/>
          </w:tcPr>
          <w:p w14:paraId="7ED9F2AC">
            <w:pPr>
              <w:keepNext w:val="0"/>
              <w:keepLines w:val="0"/>
              <w:suppressLineNumbers w:val="0"/>
              <w:kinsoku/>
              <w:wordWrap w:val="0"/>
              <w:overflowPunct/>
              <w:bidi w:val="0"/>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联系方式</w:t>
            </w:r>
          </w:p>
        </w:tc>
      </w:tr>
      <w:tr w14:paraId="3D818B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389BEF95">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205" w:type="dxa"/>
            <w:noWrap w:val="0"/>
            <w:vAlign w:val="center"/>
          </w:tcPr>
          <w:p w14:paraId="2ED19FB4">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项目负责人</w:t>
            </w:r>
          </w:p>
        </w:tc>
        <w:tc>
          <w:tcPr>
            <w:tcW w:w="855" w:type="dxa"/>
            <w:noWrap w:val="0"/>
            <w:vAlign w:val="center"/>
          </w:tcPr>
          <w:p w14:paraId="6B634602">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40" w:type="dxa"/>
            <w:noWrap w:val="0"/>
            <w:vAlign w:val="center"/>
          </w:tcPr>
          <w:p w14:paraId="5DF980D2">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80" w:type="dxa"/>
            <w:noWrap w:val="0"/>
            <w:vAlign w:val="center"/>
          </w:tcPr>
          <w:p w14:paraId="6303474C">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05" w:type="dxa"/>
            <w:noWrap w:val="0"/>
            <w:vAlign w:val="center"/>
          </w:tcPr>
          <w:p w14:paraId="7498AF32">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65" w:type="dxa"/>
            <w:noWrap w:val="0"/>
            <w:vAlign w:val="center"/>
          </w:tcPr>
          <w:p w14:paraId="139F5C63">
            <w:pPr>
              <w:pStyle w:val="16"/>
              <w:keepNext w:val="0"/>
              <w:keepLines w:val="0"/>
              <w:suppressLineNumbers w:val="0"/>
              <w:shd w:val="clear" w:color="auto" w:fill="auto"/>
              <w:kinsoku/>
              <w:wordWrap w:val="0"/>
              <w:overflowPunct/>
              <w:bidi w:val="0"/>
              <w:spacing w:before="0" w:beforeAutospacing="0" w:after="0" w:afterAutospacing="0" w:line="360" w:lineRule="auto"/>
              <w:ind w:left="5250" w:right="0"/>
              <w:jc w:val="center"/>
              <w:rPr>
                <w:rFonts w:hint="eastAsia" w:ascii="宋体" w:hAnsi="宋体" w:eastAsia="宋体" w:cs="宋体"/>
                <w:color w:val="auto"/>
                <w:sz w:val="22"/>
                <w:szCs w:val="22"/>
                <w:highlight w:val="none"/>
              </w:rPr>
            </w:pPr>
          </w:p>
        </w:tc>
        <w:tc>
          <w:tcPr>
            <w:tcW w:w="1188" w:type="dxa"/>
            <w:noWrap w:val="0"/>
            <w:vAlign w:val="center"/>
          </w:tcPr>
          <w:p w14:paraId="5E251223">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66F28C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4F2D384F">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0B2D4734">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设计负责人</w:t>
            </w:r>
          </w:p>
        </w:tc>
        <w:tc>
          <w:tcPr>
            <w:tcW w:w="855" w:type="dxa"/>
            <w:noWrap w:val="0"/>
            <w:vAlign w:val="center"/>
          </w:tcPr>
          <w:p w14:paraId="35D1D5A7">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4149A07E">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58BD13D7">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197D18DB">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53078565">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242CDDCA">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549D95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11C18794">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2CC80B22">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69DB4297">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5682DDD2">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0B25760A">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3859D58A">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223BAAC3">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4CA5D031">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342A4A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396" w:hRule="atLeast"/>
        </w:trPr>
        <w:tc>
          <w:tcPr>
            <w:tcW w:w="1287" w:type="dxa"/>
            <w:noWrap w:val="0"/>
            <w:vAlign w:val="center"/>
          </w:tcPr>
          <w:p w14:paraId="2D022412">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47A050FA">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6515EE16">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7236BB9E">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43462DE9">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483346A9">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2610A00B">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4648263D">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47E563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561839B8">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1D2AC4FA">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1F74DEDB">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0D4F27A8">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20044F49">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46DCBBB8">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375F984B">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2040566D">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0A1FE0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396" w:hRule="atLeast"/>
        </w:trPr>
        <w:tc>
          <w:tcPr>
            <w:tcW w:w="1287" w:type="dxa"/>
            <w:noWrap w:val="0"/>
            <w:vAlign w:val="center"/>
          </w:tcPr>
          <w:p w14:paraId="01B3F264">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1A93B0C8">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46FDF238">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7EE81D59">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47322434">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34EF9691">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2A05EDBA">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054FA491">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694FF3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24F28C0B">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08A87F77">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5CEFBFCE">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7C00B3C6">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76B92191">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4B4650E3">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09062976">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7A0CBAAD">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15C909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4A932B41">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53EF4FA7">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eastAsia="zh-CN"/>
              </w:rPr>
            </w:pPr>
          </w:p>
        </w:tc>
        <w:tc>
          <w:tcPr>
            <w:tcW w:w="855" w:type="dxa"/>
            <w:noWrap w:val="0"/>
            <w:vAlign w:val="center"/>
          </w:tcPr>
          <w:p w14:paraId="2C96E47A">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4EF9CF2B">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0D941C4B">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6D2D0A3D">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32CB8C47">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49C149FB">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3F88C5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396" w:hRule="atLeast"/>
        </w:trPr>
        <w:tc>
          <w:tcPr>
            <w:tcW w:w="1287" w:type="dxa"/>
            <w:noWrap w:val="0"/>
            <w:vAlign w:val="center"/>
          </w:tcPr>
          <w:p w14:paraId="7A9CDC26">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3206389A">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2A1D094B">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031B3F34">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1DEA6F20">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6C610B63">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35E79D13">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569E3E57">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081973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4F94648D">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3DAEF21B">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0BD178D4">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7A2CC88E">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5975BA81">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1531D83E">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0B7021A1">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40B71DE1">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22552C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52D60D73">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1B013B90">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15A24B02">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353C3D30">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2311E14C">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09C068C6">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050F2429">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6E914AA1">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1B872F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6B39C6EE">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60D804A6">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7A25C717">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46A7CAC3">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77E61F21">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6727DC4B">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0187CA2D">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203CC949">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569648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5CA1E22E">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6858B308">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5346CB90">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4FEDB157">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43A3F1B9">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2241D842">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2DEDA2F0">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4489BCF4">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617F09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218A414F">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2DF69215">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191B0C3F">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392721E1">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5DE60E0C">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0E5CD106">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1925C67A">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6C1EB9F1">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6AFF26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62CE5354">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3A9D456E">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19310399">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0479732F">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47537624">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59EC5AA1">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75C91D89">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0804A54E">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4994E5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2B3C5B1B">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46135873">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7B5FD335">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13DE9124">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279ADA92">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46C1B55F">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24BE8728">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403A5D6D">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r>
    </w:tbl>
    <w:p w14:paraId="7F8D26DD">
      <w:pPr>
        <w:shd w:val="clear" w:color="auto" w:fill="auto"/>
        <w:kinsoku/>
        <w:wordWrap w:val="0"/>
        <w:overflowPunct/>
        <w:bidi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1、列入本表人员如要更换，需经采购人同意，擅自更换或不到位属违约行为。</w:t>
      </w:r>
    </w:p>
    <w:p w14:paraId="6F81A945">
      <w:pPr>
        <w:shd w:val="clear" w:color="auto" w:fill="auto"/>
        <w:kinsoku/>
        <w:wordWrap w:val="0"/>
        <w:overflowPunct/>
        <w:bidi w:val="0"/>
        <w:adjustRightInd w:val="0"/>
        <w:snapToGrid w:val="0"/>
        <w:spacing w:line="360" w:lineRule="auto"/>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、表格可以延续。</w:t>
      </w:r>
    </w:p>
    <w:p w14:paraId="538BA6FA">
      <w:pPr>
        <w:shd w:val="clear" w:color="auto" w:fill="auto"/>
        <w:kinsoku/>
        <w:wordWrap w:val="0"/>
        <w:overflowPunct/>
        <w:bidi w:val="0"/>
        <w:spacing w:line="360" w:lineRule="auto"/>
        <w:ind w:firstLine="480"/>
        <w:rPr>
          <w:rFonts w:hint="eastAsia" w:ascii="宋体" w:hAnsi="宋体" w:eastAsia="宋体" w:cs="宋体"/>
          <w:color w:val="auto"/>
          <w:spacing w:val="20"/>
          <w:sz w:val="22"/>
          <w:szCs w:val="22"/>
          <w:highlight w:val="none"/>
        </w:rPr>
      </w:pPr>
    </w:p>
    <w:p w14:paraId="1802CF5F">
      <w:pPr>
        <w:shd w:val="clear" w:color="auto" w:fill="auto"/>
        <w:kinsoku/>
        <w:wordWrap w:val="0"/>
        <w:overflowPunct/>
        <w:autoSpaceDE w:val="0"/>
        <w:autoSpaceDN w:val="0"/>
        <w:bidi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投标供应商盖章：</w:t>
      </w:r>
    </w:p>
    <w:p w14:paraId="0144DF6C">
      <w:pPr>
        <w:shd w:val="clear" w:color="auto" w:fill="auto"/>
        <w:kinsoku/>
        <w:wordWrap w:val="0"/>
        <w:overflowPunct/>
        <w:autoSpaceDE w:val="0"/>
        <w:autoSpaceDN w:val="0"/>
        <w:bidi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 xml:space="preserve">法定代表人（负责人）或授权代表（签字或盖章）：            </w:t>
      </w:r>
    </w:p>
    <w:p w14:paraId="567E7662">
      <w:pPr>
        <w:shd w:val="clear" w:color="auto" w:fill="auto"/>
        <w:kinsoku/>
        <w:wordWrap w:val="0"/>
        <w:overflowPunct/>
        <w:autoSpaceDE w:val="0"/>
        <w:autoSpaceDN w:val="0"/>
        <w:bidi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日期：</w:t>
      </w:r>
    </w:p>
    <w:p w14:paraId="4028F2A8">
      <w:pPr>
        <w:shd w:val="clear" w:color="auto" w:fill="auto"/>
        <w:kinsoku/>
        <w:wordWrap w:val="0"/>
        <w:overflowPunct/>
        <w:bidi w:val="0"/>
        <w:spacing w:line="360" w:lineRule="auto"/>
        <w:rPr>
          <w:rFonts w:hint="eastAsia" w:ascii="宋体" w:hAnsi="宋体" w:eastAsia="宋体" w:cs="宋体"/>
          <w:color w:val="auto"/>
          <w:sz w:val="36"/>
          <w:szCs w:val="36"/>
          <w:highlight w:val="none"/>
        </w:rPr>
      </w:pPr>
    </w:p>
    <w:p w14:paraId="31F22898">
      <w:pPr>
        <w:shd w:val="clear" w:color="auto" w:fill="auto"/>
        <w:kinsoku/>
        <w:wordWrap w:val="0"/>
        <w:overflowPunct/>
        <w:bidi w:val="0"/>
        <w:spacing w:line="360" w:lineRule="auto"/>
        <w:rPr>
          <w:rFonts w:hint="eastAsia" w:ascii="宋体" w:hAnsi="宋体" w:eastAsia="宋体" w:cs="宋体"/>
          <w:color w:val="auto"/>
          <w:sz w:val="36"/>
          <w:szCs w:val="36"/>
          <w:highlight w:val="none"/>
        </w:rPr>
      </w:pPr>
    </w:p>
    <w:p w14:paraId="6B45AC14">
      <w:pPr>
        <w:shd w:val="clear" w:color="auto" w:fill="auto"/>
        <w:kinsoku/>
        <w:wordWrap w:val="0"/>
        <w:overflowPunct/>
        <w:bidi w:val="0"/>
        <w:spacing w:line="360" w:lineRule="auto"/>
        <w:rPr>
          <w:rFonts w:hint="eastAsia" w:ascii="宋体" w:hAnsi="宋体" w:eastAsia="宋体" w:cs="宋体"/>
          <w:b/>
          <w:color w:val="auto"/>
          <w:sz w:val="32"/>
          <w:highlight w:val="none"/>
          <w:lang w:val="zh-CN"/>
        </w:rPr>
      </w:pPr>
      <w:r>
        <w:rPr>
          <w:rFonts w:hint="eastAsia" w:ascii="宋体" w:hAnsi="宋体" w:eastAsia="宋体" w:cs="宋体"/>
          <w:b/>
          <w:color w:val="auto"/>
          <w:sz w:val="32"/>
          <w:highlight w:val="none"/>
          <w:lang w:val="zh-CN"/>
        </w:rPr>
        <w:br w:type="page"/>
      </w:r>
      <w:r>
        <w:rPr>
          <w:rFonts w:hint="eastAsia" w:ascii="宋体" w:hAnsi="宋体" w:eastAsia="宋体" w:cs="宋体"/>
          <w:b/>
          <w:color w:val="auto"/>
          <w:sz w:val="32"/>
          <w:highlight w:val="none"/>
        </w:rPr>
        <w:t>3.</w:t>
      </w:r>
      <w:r>
        <w:rPr>
          <w:rFonts w:hint="eastAsia" w:ascii="宋体" w:hAnsi="宋体" w:eastAsia="宋体" w:cs="宋体"/>
          <w:b/>
          <w:color w:val="auto"/>
          <w:sz w:val="32"/>
          <w:highlight w:val="none"/>
          <w:lang w:val="en-US" w:eastAsia="zh-CN"/>
        </w:rPr>
        <w:t>8</w:t>
      </w:r>
      <w:r>
        <w:rPr>
          <w:rFonts w:hint="eastAsia" w:ascii="宋体" w:hAnsi="宋体" w:eastAsia="宋体" w:cs="宋体"/>
          <w:b/>
          <w:color w:val="auto"/>
          <w:sz w:val="32"/>
          <w:highlight w:val="none"/>
        </w:rPr>
        <w:t>项目组织实施方案（供应商根据评分细则自行自拟）</w:t>
      </w:r>
      <w:r>
        <w:rPr>
          <w:rFonts w:hint="eastAsia" w:ascii="宋体" w:hAnsi="宋体" w:eastAsia="宋体" w:cs="宋体"/>
          <w:b/>
          <w:color w:val="auto"/>
          <w:sz w:val="32"/>
          <w:highlight w:val="none"/>
          <w:lang w:val="zh-CN"/>
        </w:rPr>
        <w:br w:type="page"/>
      </w:r>
      <w:r>
        <w:rPr>
          <w:rFonts w:hint="eastAsia" w:ascii="宋体" w:hAnsi="宋体" w:eastAsia="宋体" w:cs="宋体"/>
          <w:b/>
          <w:color w:val="auto"/>
          <w:sz w:val="32"/>
          <w:highlight w:val="none"/>
          <w:lang w:val="zh-CN"/>
        </w:rPr>
        <w:t>3.</w:t>
      </w:r>
      <w:r>
        <w:rPr>
          <w:rFonts w:hint="eastAsia" w:ascii="宋体" w:hAnsi="宋体" w:eastAsia="宋体" w:cs="宋体"/>
          <w:b/>
          <w:color w:val="auto"/>
          <w:sz w:val="32"/>
          <w:highlight w:val="none"/>
          <w:lang w:val="en-US" w:eastAsia="zh-CN"/>
        </w:rPr>
        <w:t>9</w:t>
      </w:r>
      <w:r>
        <w:rPr>
          <w:rFonts w:hint="eastAsia" w:ascii="宋体" w:hAnsi="宋体" w:eastAsia="宋体" w:cs="宋体"/>
          <w:b/>
          <w:color w:val="auto"/>
          <w:sz w:val="32"/>
          <w:highlight w:val="none"/>
          <w:lang w:val="zh-CN"/>
        </w:rPr>
        <w:t>供应商认为有必要提供的其他材料或说明（如有）</w:t>
      </w:r>
    </w:p>
    <w:p w14:paraId="2CB5ADE1">
      <w:pPr>
        <w:pStyle w:val="5"/>
        <w:shd w:val="clear" w:color="auto" w:fill="auto"/>
        <w:kinsoku/>
        <w:wordWrap w:val="0"/>
        <w:overflowPunct/>
        <w:bidi w:val="0"/>
        <w:spacing w:before="0" w:after="0" w:line="360" w:lineRule="auto"/>
        <w:rPr>
          <w:rFonts w:hint="eastAsia" w:ascii="宋体" w:hAnsi="宋体" w:eastAsia="宋体" w:cs="宋体"/>
          <w:color w:val="auto"/>
          <w:highlight w:val="none"/>
        </w:rPr>
      </w:pPr>
    </w:p>
    <w:p w14:paraId="7D296DE7">
      <w:pPr>
        <w:shd w:val="clear" w:color="auto" w:fill="auto"/>
        <w:kinsoku/>
        <w:wordWrap w:val="0"/>
        <w:overflowPunct/>
        <w:bidi w:val="0"/>
        <w:spacing w:line="360" w:lineRule="auto"/>
        <w:jc w:val="center"/>
        <w:outlineLvl w:val="1"/>
        <w:rPr>
          <w:rFonts w:hint="eastAsia" w:ascii="宋体" w:hAnsi="宋体" w:eastAsia="宋体" w:cs="宋体"/>
          <w:b/>
          <w:color w:val="auto"/>
          <w:sz w:val="40"/>
          <w:highlight w:val="none"/>
        </w:rPr>
      </w:pPr>
      <w:bookmarkStart w:id="139" w:name="_Toc5823"/>
      <w:bookmarkStart w:id="140" w:name="_Toc15594"/>
      <w:bookmarkStart w:id="141" w:name="_Toc3954"/>
      <w:r>
        <w:rPr>
          <w:rFonts w:hint="eastAsia" w:ascii="宋体" w:hAnsi="宋体" w:eastAsia="宋体" w:cs="宋体"/>
          <w:b/>
          <w:color w:val="auto"/>
          <w:sz w:val="40"/>
          <w:highlight w:val="none"/>
        </w:rPr>
        <w:t>供应商认为有必要提供的其他材料或说明</w:t>
      </w:r>
      <w:bookmarkEnd w:id="139"/>
      <w:bookmarkEnd w:id="140"/>
      <w:bookmarkEnd w:id="141"/>
    </w:p>
    <w:p w14:paraId="2F9ACEAA">
      <w:pPr>
        <w:shd w:val="clear" w:color="auto" w:fill="auto"/>
        <w:kinsoku/>
        <w:wordWrap w:val="0"/>
        <w:overflowPunct/>
        <w:bidi w:val="0"/>
        <w:spacing w:line="360" w:lineRule="auto"/>
        <w:rPr>
          <w:rFonts w:hint="eastAsia" w:ascii="宋体" w:hAnsi="宋体" w:eastAsia="宋体" w:cs="宋体"/>
          <w:b/>
          <w:color w:val="auto"/>
          <w:sz w:val="22"/>
          <w:szCs w:val="22"/>
          <w:highlight w:val="none"/>
          <w:u w:val="single"/>
          <w:lang w:eastAsia="zh-CN"/>
        </w:rPr>
      </w:pPr>
      <w:r>
        <w:rPr>
          <w:rFonts w:hint="eastAsia" w:ascii="宋体" w:hAnsi="宋体" w:eastAsia="宋体" w:cs="宋体"/>
          <w:b/>
          <w:color w:val="auto"/>
          <w:sz w:val="22"/>
          <w:szCs w:val="22"/>
          <w:highlight w:val="none"/>
        </w:rPr>
        <w:t>项目名称</w:t>
      </w:r>
      <w:r>
        <w:rPr>
          <w:rFonts w:hint="eastAsia" w:ascii="宋体" w:hAnsi="宋体" w:eastAsia="宋体" w:cs="宋体"/>
          <w:b/>
          <w:color w:val="auto"/>
          <w:sz w:val="22"/>
          <w:szCs w:val="22"/>
          <w:highlight w:val="none"/>
          <w:lang w:eastAsia="zh-CN"/>
        </w:rPr>
        <w:t>：</w:t>
      </w:r>
      <w:r>
        <w:rPr>
          <w:rFonts w:hint="eastAsia" w:ascii="宋体" w:hAnsi="宋体" w:cs="宋体"/>
          <w:b/>
          <w:color w:val="auto"/>
          <w:sz w:val="22"/>
          <w:szCs w:val="22"/>
          <w:highlight w:val="none"/>
          <w:lang w:eastAsia="zh-CN"/>
        </w:rPr>
        <w:t>平阳县万全镇中心区B12地块项目代建（含初步设计及品牌冠名）服务采购</w:t>
      </w:r>
    </w:p>
    <w:p w14:paraId="340AD109">
      <w:pPr>
        <w:shd w:val="clear" w:color="auto" w:fill="auto"/>
        <w:kinsoku/>
        <w:wordWrap w:val="0"/>
        <w:overflowPunct/>
        <w:bidi w:val="0"/>
        <w:spacing w:line="360" w:lineRule="auto"/>
        <w:rPr>
          <w:rFonts w:hint="default" w:ascii="宋体" w:hAnsi="宋体" w:eastAsia="宋体" w:cs="宋体"/>
          <w:b/>
          <w:color w:val="auto"/>
          <w:sz w:val="22"/>
          <w:szCs w:val="22"/>
          <w:highlight w:val="none"/>
          <w:u w:val="single"/>
          <w:lang w:val="en-US" w:eastAsia="zh-CN"/>
        </w:rPr>
      </w:pPr>
      <w:r>
        <w:rPr>
          <w:rFonts w:hint="eastAsia" w:ascii="宋体" w:hAnsi="宋体" w:eastAsia="宋体" w:cs="宋体"/>
          <w:b/>
          <w:color w:val="auto"/>
          <w:sz w:val="22"/>
          <w:szCs w:val="22"/>
          <w:highlight w:val="none"/>
        </w:rPr>
        <w:t>项目编号</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u w:val="single"/>
        </w:rPr>
        <w:t xml:space="preserve"> </w:t>
      </w:r>
      <w:r>
        <w:rPr>
          <w:rFonts w:hint="eastAsia" w:ascii="宋体" w:hAnsi="宋体" w:cs="宋体"/>
          <w:b/>
          <w:color w:val="auto"/>
          <w:sz w:val="22"/>
          <w:szCs w:val="22"/>
          <w:highlight w:val="none"/>
          <w:u w:val="single"/>
          <w:lang w:eastAsia="zh-CN"/>
        </w:rPr>
        <w:t>PYCG250930104</w:t>
      </w:r>
      <w:r>
        <w:rPr>
          <w:rFonts w:hint="eastAsia" w:ascii="宋体" w:hAnsi="宋体" w:cs="宋体"/>
          <w:b/>
          <w:color w:val="auto"/>
          <w:sz w:val="22"/>
          <w:szCs w:val="22"/>
          <w:highlight w:val="none"/>
          <w:u w:val="single"/>
          <w:lang w:val="en-US" w:eastAsia="zh-CN"/>
        </w:rPr>
        <w:t xml:space="preserve"> </w:t>
      </w:r>
    </w:p>
    <w:tbl>
      <w:tblPr>
        <w:tblStyle w:val="26"/>
        <w:tblW w:w="0" w:type="auto"/>
        <w:tblInd w:w="0"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14:paraId="1233F372">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7655" w:hRule="atLeast"/>
        </w:trPr>
        <w:tc>
          <w:tcPr>
            <w:tcW w:w="9145" w:type="dxa"/>
            <w:noWrap w:val="0"/>
            <w:vAlign w:val="top"/>
          </w:tcPr>
          <w:p w14:paraId="26F2B067">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r>
    </w:tbl>
    <w:p w14:paraId="177145A8">
      <w:pPr>
        <w:shd w:val="clear" w:color="auto" w:fill="auto"/>
        <w:kinsoku/>
        <w:wordWrap w:val="0"/>
        <w:overflowPunct/>
        <w:bidi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____________________________________________</w:t>
      </w:r>
    </w:p>
    <w:p w14:paraId="1BF97481">
      <w:pPr>
        <w:shd w:val="clear" w:color="auto" w:fill="auto"/>
        <w:kinsoku/>
        <w:wordWrap w:val="0"/>
        <w:overflowPunct/>
        <w:bidi w:val="0"/>
        <w:snapToGrid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法定代表人或其授权代表（签字或盖章）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____________________________</w:t>
      </w:r>
    </w:p>
    <w:p w14:paraId="549970AF">
      <w:pPr>
        <w:shd w:val="clear" w:color="auto" w:fill="auto"/>
        <w:kinsoku/>
        <w:wordWrap w:val="0"/>
        <w:overflowPunct/>
        <w:bidi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________年____月____日</w:t>
      </w:r>
    </w:p>
    <w:p w14:paraId="3FB0EECA">
      <w:pPr>
        <w:shd w:val="clear" w:color="auto" w:fill="auto"/>
        <w:tabs>
          <w:tab w:val="left" w:pos="1575"/>
        </w:tabs>
        <w:kinsoku/>
        <w:wordWrap w:val="0"/>
        <w:overflowPunct/>
        <w:bidi w:val="0"/>
        <w:adjustRightInd w:val="0"/>
        <w:snapToGrid w:val="0"/>
        <w:spacing w:line="360" w:lineRule="auto"/>
        <w:jc w:val="center"/>
        <w:rPr>
          <w:rFonts w:hint="eastAsia" w:ascii="宋体" w:hAnsi="宋体" w:eastAsia="宋体" w:cs="宋体"/>
          <w:b/>
          <w:color w:val="auto"/>
          <w:sz w:val="36"/>
          <w:szCs w:val="36"/>
          <w:highlight w:val="none"/>
        </w:rPr>
      </w:pPr>
    </w:p>
    <w:p w14:paraId="5AFC2C17">
      <w:pPr>
        <w:pStyle w:val="10"/>
        <w:shd w:val="clear" w:color="auto" w:fill="auto"/>
        <w:kinsoku/>
        <w:wordWrap w:val="0"/>
        <w:overflowPunct/>
        <w:bidi w:val="0"/>
        <w:spacing w:after="0" w:line="360" w:lineRule="auto"/>
        <w:ind w:firstLine="361"/>
        <w:rPr>
          <w:rFonts w:hint="eastAsia" w:ascii="宋体" w:hAnsi="宋体" w:eastAsia="宋体" w:cs="宋体"/>
          <w:b/>
          <w:color w:val="auto"/>
          <w:sz w:val="36"/>
          <w:szCs w:val="36"/>
          <w:highlight w:val="none"/>
        </w:rPr>
      </w:pPr>
    </w:p>
    <w:p w14:paraId="0965B83B">
      <w:pPr>
        <w:pStyle w:val="11"/>
        <w:shd w:val="clear" w:color="auto" w:fill="auto"/>
        <w:kinsoku/>
        <w:wordWrap w:val="0"/>
        <w:overflowPunct/>
        <w:bidi w:val="0"/>
        <w:spacing w:line="360" w:lineRule="auto"/>
        <w:rPr>
          <w:rFonts w:hint="eastAsia" w:ascii="宋体" w:hAnsi="宋体" w:eastAsia="宋体" w:cs="宋体"/>
          <w:color w:val="auto"/>
          <w:highlight w:val="none"/>
        </w:rPr>
      </w:pPr>
    </w:p>
    <w:p w14:paraId="793ACD56">
      <w:pPr>
        <w:shd w:val="clear" w:color="auto" w:fill="auto"/>
        <w:tabs>
          <w:tab w:val="left" w:pos="1575"/>
        </w:tabs>
        <w:kinsoku/>
        <w:wordWrap w:val="0"/>
        <w:overflowPunct/>
        <w:bidi w:val="0"/>
        <w:adjustRightInd w:val="0"/>
        <w:snapToGri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5AF20236">
      <w:pPr>
        <w:shd w:val="clear" w:color="auto" w:fill="auto"/>
        <w:tabs>
          <w:tab w:val="left" w:pos="1575"/>
        </w:tabs>
        <w:kinsoku/>
        <w:wordWrap w:val="0"/>
        <w:overflowPunct/>
        <w:bidi w:val="0"/>
        <w:adjustRightInd w:val="0"/>
        <w:snapToGri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质量服务承诺书</w:t>
      </w:r>
    </w:p>
    <w:p w14:paraId="50143626">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（采购人）:</w:t>
      </w:r>
    </w:p>
    <w:p w14:paraId="2DB4AB72">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（供应商）对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（项目名称）项目做出如下承诺。</w:t>
      </w:r>
    </w:p>
    <w:p w14:paraId="7A3DE1EA">
      <w:pPr>
        <w:shd w:val="clear" w:color="auto" w:fill="auto"/>
        <w:kinsoku/>
        <w:wordWrap w:val="0"/>
        <w:overflowPunct/>
        <w:bidi w:val="0"/>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 xml:space="preserve">    如果我公司有幸成为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（项目名称）项目的中标人，将作出以下承诺</w:t>
      </w:r>
      <w:r>
        <w:rPr>
          <w:rFonts w:hint="eastAsia" w:ascii="宋体" w:hAnsi="宋体" w:eastAsia="宋体" w:cs="宋体"/>
          <w:color w:val="auto"/>
          <w:sz w:val="22"/>
          <w:szCs w:val="22"/>
          <w:highlight w:val="none"/>
          <w:lang w:eastAsia="zh-CN"/>
        </w:rPr>
        <w:t>：</w:t>
      </w:r>
    </w:p>
    <w:p w14:paraId="2871CC6C">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p>
    <w:p w14:paraId="18AE3B82">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一、本公司所提供的服务均符合法律法规以及行业相关质量标准；</w:t>
      </w:r>
    </w:p>
    <w:p w14:paraId="66084741">
      <w:pPr>
        <w:shd w:val="clear" w:color="auto" w:fill="auto"/>
        <w:kinsoku/>
        <w:wordWrap w:val="0"/>
        <w:overflowPunct/>
        <w:bidi w:val="0"/>
        <w:spacing w:line="360" w:lineRule="auto"/>
        <w:rPr>
          <w:rFonts w:hint="eastAsia" w:ascii="宋体" w:hAnsi="宋体" w:eastAsia="宋体" w:cs="宋体"/>
          <w:color w:val="auto"/>
          <w:sz w:val="22"/>
          <w:szCs w:val="22"/>
          <w:highlight w:val="none"/>
        </w:rPr>
      </w:pPr>
    </w:p>
    <w:p w14:paraId="3752D883">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二、在采购文件要求的质保期内，无条件服务直至满足使用方的项目使用需求；</w:t>
      </w:r>
    </w:p>
    <w:p w14:paraId="37D67B10">
      <w:pPr>
        <w:shd w:val="clear" w:color="auto" w:fill="auto"/>
        <w:kinsoku/>
        <w:wordWrap w:val="0"/>
        <w:overflowPunct/>
        <w:bidi w:val="0"/>
        <w:spacing w:line="360" w:lineRule="auto"/>
        <w:rPr>
          <w:rFonts w:hint="eastAsia" w:ascii="宋体" w:hAnsi="宋体" w:eastAsia="宋体" w:cs="宋体"/>
          <w:color w:val="auto"/>
          <w:sz w:val="22"/>
          <w:szCs w:val="22"/>
          <w:highlight w:val="none"/>
        </w:rPr>
      </w:pPr>
    </w:p>
    <w:p w14:paraId="48406001">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本承诺书自开标日起至招标方与中标方合同结束之日均有效。</w:t>
      </w:r>
    </w:p>
    <w:p w14:paraId="3E6A4892">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p>
    <w:p w14:paraId="1253A811">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p>
    <w:p w14:paraId="0F7D9392">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p>
    <w:p w14:paraId="5211399D">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p>
    <w:p w14:paraId="6AC29915">
      <w:pPr>
        <w:shd w:val="clear" w:color="auto" w:fill="auto"/>
        <w:kinsoku/>
        <w:wordWrap w:val="0"/>
        <w:overflowPunct/>
        <w:bidi w:val="0"/>
        <w:snapToGrid w:val="0"/>
        <w:spacing w:line="360" w:lineRule="auto"/>
        <w:ind w:right="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邮编</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p>
    <w:p w14:paraId="678DB41A">
      <w:pPr>
        <w:shd w:val="clear" w:color="auto" w:fill="auto"/>
        <w:kinsoku/>
        <w:wordWrap w:val="0"/>
        <w:overflowPunct/>
        <w:bidi w:val="0"/>
        <w:snapToGrid w:val="0"/>
        <w:spacing w:line="360" w:lineRule="auto"/>
        <w:ind w:right="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传真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w:t>
      </w:r>
    </w:p>
    <w:p w14:paraId="0F963679">
      <w:pPr>
        <w:shd w:val="clear" w:color="auto" w:fill="auto"/>
        <w:kinsoku/>
        <w:wordWrap w:val="0"/>
        <w:overflowPunct/>
        <w:bidi w:val="0"/>
        <w:snapToGrid w:val="0"/>
        <w:spacing w:line="360" w:lineRule="auto"/>
        <w:ind w:right="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供应商授权代表姓名职务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w:t>
      </w:r>
    </w:p>
    <w:p w14:paraId="619BE05E">
      <w:pPr>
        <w:shd w:val="clear" w:color="auto" w:fill="auto"/>
        <w:tabs>
          <w:tab w:val="left" w:pos="1260"/>
        </w:tabs>
        <w:kinsoku/>
        <w:wordWrap w:val="0"/>
        <w:overflowPunct/>
        <w:bidi w:val="0"/>
        <w:spacing w:line="360" w:lineRule="auto"/>
        <w:ind w:right="48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供应商名称（公章）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p>
    <w:p w14:paraId="26A6593E">
      <w:pPr>
        <w:shd w:val="clear" w:color="auto" w:fill="auto"/>
        <w:tabs>
          <w:tab w:val="left" w:pos="1260"/>
        </w:tabs>
        <w:kinsoku/>
        <w:wordWrap w:val="0"/>
        <w:overflowPunct/>
        <w:bidi w:val="0"/>
        <w:spacing w:line="360" w:lineRule="auto"/>
        <w:ind w:right="48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法定代表人（负责人）或授权代表（签字或盖章）</w:t>
      </w:r>
      <w:r>
        <w:rPr>
          <w:rFonts w:hint="eastAsia" w:ascii="宋体" w:hAnsi="宋体" w:eastAsia="宋体" w:cs="宋体"/>
          <w:color w:val="auto"/>
          <w:sz w:val="22"/>
          <w:szCs w:val="22"/>
          <w:highlight w:val="none"/>
          <w:lang w:eastAsia="zh-CN"/>
        </w:rPr>
        <w:t>：</w:t>
      </w:r>
    </w:p>
    <w:p w14:paraId="69A08409">
      <w:pPr>
        <w:shd w:val="clear" w:color="auto" w:fill="auto"/>
        <w:kinsoku/>
        <w:wordWrap w:val="0"/>
        <w:overflowPunct/>
        <w:bidi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rPr>
        <w:t>诚信投标承诺书</w:t>
      </w:r>
    </w:p>
    <w:p w14:paraId="1A9983B2">
      <w:pPr>
        <w:shd w:val="clear" w:color="auto" w:fill="auto"/>
        <w:kinsoku/>
        <w:wordWrap w:val="0"/>
        <w:overflowPunct/>
        <w:bidi w:val="0"/>
        <w:spacing w:line="360" w:lineRule="auto"/>
        <w:ind w:right="-153" w:rightChars="-73"/>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本企业郑重承诺</w:t>
      </w:r>
      <w:r>
        <w:rPr>
          <w:rFonts w:hint="eastAsia" w:ascii="宋体" w:hAnsi="宋体" w:eastAsia="宋体" w:cs="宋体"/>
          <w:color w:val="auto"/>
          <w:sz w:val="22"/>
          <w:szCs w:val="22"/>
          <w:highlight w:val="none"/>
          <w:lang w:eastAsia="zh-CN"/>
        </w:rPr>
        <w:t>：</w:t>
      </w:r>
    </w:p>
    <w:p w14:paraId="14A8BB8F">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为了积极配合采购人组织的</w:t>
      </w:r>
      <w:r>
        <w:rPr>
          <w:rFonts w:hint="eastAsia" w:ascii="宋体" w:hAnsi="宋体" w:eastAsia="宋体" w:cs="宋体"/>
          <w:color w:val="auto"/>
          <w:sz w:val="22"/>
          <w:szCs w:val="22"/>
          <w:highlight w:val="none"/>
          <w:u w:val="single"/>
        </w:rPr>
        <w:t xml:space="preserve"> （项目名称） </w:t>
      </w:r>
      <w:r>
        <w:rPr>
          <w:rFonts w:hint="eastAsia" w:ascii="宋体" w:hAnsi="宋体" w:eastAsia="宋体" w:cs="宋体"/>
          <w:color w:val="auto"/>
          <w:sz w:val="22"/>
          <w:szCs w:val="22"/>
          <w:highlight w:val="none"/>
        </w:rPr>
        <w:t>招标工作，有效遏制不公平竞争和违规违纪问题的发生，确保招标工作的公平、公正、公开，我们保证认真贯彻《平阳县县属国有企业采购管理办法（试行）》等法律及有关法规相关规定以及有关廉洁要求，特承诺如下事项</w:t>
      </w:r>
      <w:r>
        <w:rPr>
          <w:rFonts w:hint="eastAsia" w:ascii="宋体" w:hAnsi="宋体" w:eastAsia="宋体" w:cs="宋体"/>
          <w:color w:val="auto"/>
          <w:sz w:val="22"/>
          <w:szCs w:val="22"/>
          <w:highlight w:val="none"/>
          <w:lang w:eastAsia="zh-CN"/>
        </w:rPr>
        <w:t>：</w:t>
      </w:r>
    </w:p>
    <w:p w14:paraId="7EBF7F05">
      <w:pPr>
        <w:shd w:val="clear" w:color="auto" w:fill="auto"/>
        <w:kinsoku/>
        <w:wordWrap w:val="0"/>
        <w:overflowPunct/>
        <w:bidi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1、自觉遵守国家法律法规及有关廉政建设制度。</w:t>
      </w:r>
    </w:p>
    <w:p w14:paraId="58F37643">
      <w:pPr>
        <w:shd w:val="clear" w:color="auto" w:fill="auto"/>
        <w:kinsoku/>
        <w:wordWrap w:val="0"/>
        <w:overflowPunct/>
        <w:bidi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2、主动了解采购人招投标纪律，积极配合采购人执行招投标廉政建设的有关规定。</w:t>
      </w:r>
    </w:p>
    <w:p w14:paraId="27651034">
      <w:pPr>
        <w:shd w:val="clear" w:color="auto" w:fill="auto"/>
        <w:kinsoku/>
        <w:wordWrap w:val="0"/>
        <w:overflowPunct/>
        <w:bidi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3、不使用不正当手段妨碍、排挤其它供应商或串通投标。</w:t>
      </w:r>
    </w:p>
    <w:p w14:paraId="05DEF08E">
      <w:pPr>
        <w:shd w:val="clear" w:color="auto" w:fill="auto"/>
        <w:kinsoku/>
        <w:wordWrap w:val="0"/>
        <w:overflowPunct/>
        <w:bidi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4、按照本采购文件规定的方式进行投标，不隐瞒本单位投标资质的真实情况，投标资质符合规定。</w:t>
      </w:r>
    </w:p>
    <w:p w14:paraId="2CCA2539">
      <w:pPr>
        <w:shd w:val="clear" w:color="auto" w:fill="auto"/>
        <w:kinsoku/>
        <w:wordWrap w:val="0"/>
        <w:overflowPunct/>
        <w:bidi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不以任何方式向采购人员赠送礼品、礼金及有价证券；不宴请或邀请采购人的任何人参加高档娱乐消费、旅游、考察、参观等活动；不以任何形式报销采购人的任何人以及亲友的各种票据及费用；不进行可能影响招投标公平、公正的任何活动。</w:t>
      </w:r>
    </w:p>
    <w:p w14:paraId="60B70FB7">
      <w:pPr>
        <w:shd w:val="clear" w:color="auto" w:fill="auto"/>
        <w:kinsoku/>
        <w:wordWrap w:val="0"/>
        <w:overflowPunct/>
        <w:bidi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6、不向采购人及个人购置或提供通讯工具、交通工具和高档办公用品等。</w:t>
      </w:r>
    </w:p>
    <w:p w14:paraId="05468E75">
      <w:pPr>
        <w:shd w:val="clear" w:color="auto" w:fill="auto"/>
        <w:kinsoku/>
        <w:wordWrap w:val="0"/>
        <w:overflowPunct/>
        <w:bidi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7、不向采购人涉及招标的人员的配偶、子女分包此次招标项目。</w:t>
      </w:r>
    </w:p>
    <w:p w14:paraId="23BB4A23">
      <w:pPr>
        <w:shd w:val="clear" w:color="auto" w:fill="auto"/>
        <w:kinsoku/>
        <w:wordWrap w:val="0"/>
        <w:overflowPunct/>
        <w:bidi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8、不向采购人及个人支付好处费、介绍费。</w:t>
      </w:r>
    </w:p>
    <w:p w14:paraId="555A4746">
      <w:pPr>
        <w:shd w:val="clear" w:color="auto" w:fill="auto"/>
        <w:kinsoku/>
        <w:wordWrap w:val="0"/>
        <w:overflowPunct/>
        <w:bidi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9、一旦发现相关人员在招标过程中的索要财物等不廉洁行为，坚决予以抵制，并及时向有关纪检监察部门举报。</w:t>
      </w:r>
    </w:p>
    <w:p w14:paraId="4752066E">
      <w:pPr>
        <w:shd w:val="clear" w:color="auto" w:fill="auto"/>
        <w:kinsoku/>
        <w:wordWrap w:val="0"/>
        <w:overflowPunct/>
        <w:bidi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10、我们若违反上述承诺，愿接受取消供应商中标资格及其他任何形式的处理。</w:t>
      </w:r>
    </w:p>
    <w:p w14:paraId="14D8686C">
      <w:pPr>
        <w:shd w:val="clear" w:color="auto" w:fill="auto"/>
        <w:kinsoku/>
        <w:wordWrap w:val="0"/>
        <w:overflowPunct/>
        <w:bidi w:val="0"/>
        <w:snapToGrid w:val="0"/>
        <w:spacing w:line="360" w:lineRule="auto"/>
        <w:ind w:firstLine="385" w:firstLineChars="175"/>
        <w:rPr>
          <w:rFonts w:hint="eastAsia" w:ascii="宋体" w:hAnsi="宋体" w:eastAsia="宋体" w:cs="宋体"/>
          <w:color w:val="auto"/>
          <w:sz w:val="22"/>
          <w:szCs w:val="22"/>
          <w:highlight w:val="none"/>
        </w:rPr>
      </w:pPr>
    </w:p>
    <w:p w14:paraId="1A37F5D6">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供应商全称</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203C3520">
      <w:pPr>
        <w:shd w:val="clear" w:color="auto" w:fill="auto"/>
        <w:kinsoku/>
        <w:wordWrap w:val="0"/>
        <w:overflowPunct/>
        <w:bidi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法定代表人（负责人）或授权代表（签字或签章）</w:t>
      </w:r>
      <w:r>
        <w:rPr>
          <w:rFonts w:hint="eastAsia" w:ascii="宋体" w:hAnsi="宋体" w:eastAsia="宋体" w:cs="宋体"/>
          <w:color w:val="auto"/>
          <w:sz w:val="22"/>
          <w:szCs w:val="22"/>
          <w:highlight w:val="none"/>
          <w:u w:val="single"/>
        </w:rPr>
        <w:t xml:space="preserve">          </w:t>
      </w:r>
    </w:p>
    <w:p w14:paraId="7512CFA4">
      <w:pPr>
        <w:shd w:val="clear" w:color="auto" w:fill="auto"/>
        <w:kinsoku/>
        <w:wordWrap w:val="0"/>
        <w:overflowPunct/>
        <w:bidi w:val="0"/>
        <w:spacing w:line="360" w:lineRule="auto"/>
        <w:rPr>
          <w:rFonts w:hint="eastAsia" w:ascii="宋体" w:hAnsi="宋体" w:eastAsia="宋体" w:cs="宋体"/>
          <w:bCs/>
          <w:color w:val="auto"/>
          <w:sz w:val="22"/>
          <w:highlight w:val="none"/>
        </w:rPr>
      </w:pPr>
      <w:r>
        <w:rPr>
          <w:rFonts w:hint="eastAsia" w:ascii="宋体" w:hAnsi="宋体" w:eastAsia="宋体" w:cs="宋体"/>
          <w:color w:val="auto"/>
          <w:sz w:val="22"/>
          <w:szCs w:val="22"/>
          <w:highlight w:val="none"/>
        </w:rPr>
        <w:t>日 期</w:t>
      </w:r>
      <w:r>
        <w:rPr>
          <w:rFonts w:hint="eastAsia" w:ascii="宋体" w:hAnsi="宋体" w:eastAsia="宋体" w:cs="宋体"/>
          <w:color w:val="auto"/>
          <w:sz w:val="22"/>
          <w:szCs w:val="22"/>
          <w:highlight w:val="none"/>
          <w:u w:val="single"/>
        </w:rPr>
        <w:t xml:space="preserve">                               </w:t>
      </w:r>
    </w:p>
    <w:p w14:paraId="23257672">
      <w:pPr>
        <w:pStyle w:val="14"/>
        <w:shd w:val="clear" w:color="auto" w:fill="auto"/>
        <w:kinsoku/>
        <w:wordWrap w:val="0"/>
        <w:overflowPunct/>
        <w:bidi w:val="0"/>
        <w:adjustRightInd w:val="0"/>
        <w:snapToGrid w:val="0"/>
        <w:spacing w:line="360" w:lineRule="auto"/>
        <w:rPr>
          <w:rFonts w:hint="eastAsia" w:ascii="宋体" w:hAnsi="宋体" w:eastAsia="宋体" w:cs="宋体"/>
          <w:color w:val="auto"/>
          <w:sz w:val="30"/>
          <w:highlight w:val="none"/>
        </w:rPr>
      </w:pPr>
    </w:p>
    <w:p w14:paraId="5CB3DD9C">
      <w:pPr>
        <w:pStyle w:val="14"/>
        <w:shd w:val="clear" w:color="auto" w:fill="auto"/>
        <w:kinsoku/>
        <w:wordWrap w:val="0"/>
        <w:overflowPunct/>
        <w:bidi w:val="0"/>
        <w:adjustRightInd w:val="0"/>
        <w:snapToGrid w:val="0"/>
        <w:spacing w:line="360" w:lineRule="auto"/>
        <w:rPr>
          <w:rFonts w:hint="eastAsia" w:ascii="宋体" w:hAnsi="宋体" w:eastAsia="宋体" w:cs="宋体"/>
          <w:color w:val="auto"/>
          <w:sz w:val="30"/>
          <w:highlight w:val="none"/>
        </w:rPr>
      </w:pPr>
    </w:p>
    <w:p w14:paraId="54712F7B">
      <w:pPr>
        <w:shd w:val="clear" w:color="auto" w:fill="auto"/>
        <w:kinsoku/>
        <w:wordWrap w:val="0"/>
        <w:overflowPunct/>
        <w:autoSpaceDE w:val="0"/>
        <w:autoSpaceDN w:val="0"/>
        <w:bidi w:val="0"/>
        <w:adjustRightInd w:val="0"/>
        <w:snapToGrid w:val="0"/>
        <w:spacing w:line="360" w:lineRule="auto"/>
        <w:jc w:val="center"/>
        <w:textAlignment w:val="bottom"/>
        <w:rPr>
          <w:rFonts w:hint="eastAsia" w:ascii="宋体" w:hAnsi="宋体" w:eastAsia="宋体" w:cs="宋体"/>
          <w:b/>
          <w:bCs/>
          <w:color w:val="auto"/>
          <w:sz w:val="36"/>
          <w:highlight w:val="none"/>
        </w:rPr>
      </w:pPr>
      <w:r>
        <w:rPr>
          <w:rFonts w:hint="eastAsia" w:ascii="宋体" w:hAnsi="宋体" w:eastAsia="宋体" w:cs="宋体"/>
          <w:color w:val="auto"/>
          <w:sz w:val="36"/>
          <w:highlight w:val="none"/>
        </w:rPr>
        <w:br w:type="page"/>
      </w:r>
      <w:bookmarkStart w:id="142" w:name="_Toc19137"/>
      <w:r>
        <w:rPr>
          <w:rFonts w:hint="eastAsia" w:ascii="宋体" w:hAnsi="宋体" w:eastAsia="宋体" w:cs="宋体"/>
          <w:b/>
          <w:bCs/>
          <w:color w:val="auto"/>
          <w:sz w:val="36"/>
          <w:highlight w:val="none"/>
        </w:rPr>
        <w:t>第七部分 评标办法</w:t>
      </w:r>
      <w:bookmarkEnd w:id="142"/>
    </w:p>
    <w:p w14:paraId="52E411A9">
      <w:pPr>
        <w:pStyle w:val="17"/>
        <w:shd w:val="clear" w:color="auto" w:fill="auto"/>
        <w:kinsoku/>
        <w:wordWrap w:val="0"/>
        <w:overflowPunct/>
        <w:bidi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根据《平阳县县属国有企业采购管理办法（试行）》等有关政府采购法规，结合本次采购的实际，按照公平、公正、科学、择优的原则选择中标供应商，特制定本评标办法。</w:t>
      </w:r>
    </w:p>
    <w:p w14:paraId="33A121A7">
      <w:pPr>
        <w:pStyle w:val="17"/>
        <w:shd w:val="clear" w:color="auto" w:fill="auto"/>
        <w:kinsoku/>
        <w:wordWrap w:val="0"/>
        <w:overflowPunct/>
        <w:bidi w:val="0"/>
        <w:adjustRightInd w:val="0"/>
        <w:snapToGrid w:val="0"/>
        <w:spacing w:line="360" w:lineRule="auto"/>
        <w:ind w:left="0" w:leftChars="0" w:firstLine="0" w:firstLineChars="0"/>
        <w:jc w:val="center"/>
        <w:outlineLvl w:val="1"/>
        <w:rPr>
          <w:rFonts w:hint="eastAsia" w:ascii="宋体" w:hAnsi="宋体" w:eastAsia="宋体" w:cs="宋体"/>
          <w:color w:val="auto"/>
          <w:sz w:val="22"/>
          <w:szCs w:val="22"/>
          <w:highlight w:val="none"/>
        </w:rPr>
      </w:pPr>
      <w:bookmarkStart w:id="143" w:name="_Toc17848"/>
      <w:bookmarkStart w:id="144" w:name="_Toc3069"/>
      <w:bookmarkStart w:id="145" w:name="_Toc22055"/>
      <w:r>
        <w:rPr>
          <w:rFonts w:hint="eastAsia" w:ascii="宋体" w:hAnsi="宋体" w:eastAsia="宋体" w:cs="宋体"/>
          <w:color w:val="auto"/>
          <w:sz w:val="22"/>
          <w:szCs w:val="22"/>
          <w:highlight w:val="none"/>
        </w:rPr>
        <w:t>一、总则</w:t>
      </w:r>
      <w:bookmarkEnd w:id="143"/>
      <w:bookmarkEnd w:id="144"/>
      <w:bookmarkEnd w:id="145"/>
    </w:p>
    <w:p w14:paraId="3062DA2E">
      <w:pPr>
        <w:pStyle w:val="17"/>
        <w:shd w:val="clear" w:color="auto" w:fill="auto"/>
        <w:kinsoku/>
        <w:wordWrap w:val="0"/>
        <w:overflowPunct/>
        <w:bidi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遵循公平、公正、民主、科学的原则和诚实、信誉、效率的服务原则，本着科学、严谨的态度，认真进行评标，择优选定供应商，确保服务质量，节约投资，最大限度地保护当事人权益。严格按照采购文件的商务、技术要求，对投标文件进行综合评定，提出优选方案，编写评标报告。评标人员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5B3C095D">
      <w:pPr>
        <w:pStyle w:val="17"/>
        <w:shd w:val="clear" w:color="auto" w:fill="auto"/>
        <w:kinsoku/>
        <w:wordWrap w:val="0"/>
        <w:overflowPunct/>
        <w:bidi w:val="0"/>
        <w:adjustRightInd w:val="0"/>
        <w:snapToGrid w:val="0"/>
        <w:spacing w:line="360" w:lineRule="auto"/>
        <w:ind w:left="0" w:leftChars="0" w:firstLine="0" w:firstLineChars="0"/>
        <w:jc w:val="center"/>
        <w:outlineLvl w:val="1"/>
        <w:rPr>
          <w:rFonts w:hint="eastAsia" w:ascii="宋体" w:hAnsi="宋体" w:eastAsia="宋体" w:cs="宋体"/>
          <w:color w:val="auto"/>
          <w:sz w:val="22"/>
          <w:szCs w:val="22"/>
          <w:highlight w:val="none"/>
        </w:rPr>
      </w:pPr>
      <w:bookmarkStart w:id="146" w:name="_Toc11447"/>
      <w:bookmarkStart w:id="147" w:name="_Toc29171"/>
      <w:bookmarkStart w:id="148" w:name="_Toc24880"/>
      <w:r>
        <w:rPr>
          <w:rFonts w:hint="eastAsia" w:ascii="宋体" w:hAnsi="宋体" w:eastAsia="宋体" w:cs="宋体"/>
          <w:color w:val="auto"/>
          <w:sz w:val="22"/>
          <w:szCs w:val="22"/>
          <w:highlight w:val="none"/>
        </w:rPr>
        <w:t>二．评标组织</w:t>
      </w:r>
      <w:bookmarkEnd w:id="146"/>
      <w:bookmarkEnd w:id="147"/>
      <w:bookmarkEnd w:id="148"/>
    </w:p>
    <w:p w14:paraId="0E5214C4">
      <w:pPr>
        <w:pStyle w:val="17"/>
        <w:shd w:val="clear" w:color="auto" w:fill="auto"/>
        <w:kinsoku/>
        <w:wordWrap w:val="0"/>
        <w:overflowPunct/>
        <w:bidi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评标工作由采购机构依法组建的评标委员会负责，评标委员会由采购人依法组建，其中评审专家不得少于成员总数的三分之二；评审专家确定方式</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按相关规定从专家库中抽取。评标全过程由</w:t>
      </w:r>
      <w:r>
        <w:rPr>
          <w:rFonts w:hint="eastAsia" w:hAnsi="宋体" w:cs="宋体"/>
          <w:color w:val="auto"/>
          <w:sz w:val="22"/>
          <w:szCs w:val="22"/>
          <w:highlight w:val="none"/>
          <w:lang w:val="en-US" w:eastAsia="zh-CN"/>
        </w:rPr>
        <w:t>监管</w:t>
      </w:r>
      <w:r>
        <w:rPr>
          <w:rFonts w:hint="eastAsia" w:ascii="宋体" w:hAnsi="宋体" w:eastAsia="宋体" w:cs="宋体"/>
          <w:color w:val="auto"/>
          <w:sz w:val="22"/>
          <w:szCs w:val="22"/>
          <w:highlight w:val="none"/>
        </w:rPr>
        <w:t>部门</w:t>
      </w:r>
      <w:r>
        <w:rPr>
          <w:rFonts w:hint="eastAsia" w:hAnsi="宋体" w:cs="宋体"/>
          <w:color w:val="auto"/>
          <w:sz w:val="22"/>
          <w:szCs w:val="22"/>
          <w:highlight w:val="none"/>
          <w:lang w:val="en-US" w:eastAsia="zh-CN"/>
        </w:rPr>
        <w:t>全程</w:t>
      </w:r>
      <w:r>
        <w:rPr>
          <w:rFonts w:hint="eastAsia" w:ascii="宋体" w:hAnsi="宋体" w:eastAsia="宋体" w:cs="宋体"/>
          <w:color w:val="auto"/>
          <w:sz w:val="22"/>
          <w:szCs w:val="22"/>
          <w:highlight w:val="none"/>
        </w:rPr>
        <w:t>监督整个开标、评标和定标过程。</w:t>
      </w:r>
    </w:p>
    <w:p w14:paraId="600E40E4">
      <w:pPr>
        <w:pStyle w:val="54"/>
        <w:widowControl w:val="0"/>
        <w:pBdr>
          <w:left w:val="none" w:color="auto" w:sz="0" w:space="0"/>
          <w:bottom w:val="none" w:color="auto" w:sz="0" w:space="0"/>
          <w:right w:val="none" w:color="auto" w:sz="0" w:space="0"/>
        </w:pBdr>
        <w:shd w:val="clear" w:color="auto" w:fill="auto"/>
        <w:kinsoku/>
        <w:wordWrap w:val="0"/>
        <w:overflowPunct/>
        <w:bidi w:val="0"/>
        <w:adjustRightInd w:val="0"/>
        <w:snapToGrid w:val="0"/>
        <w:spacing w:before="0" w:beforeAutospacing="0" w:after="0" w:afterAutospacing="0" w:line="360" w:lineRule="auto"/>
        <w:jc w:val="center"/>
        <w:textAlignment w:val="auto"/>
        <w:outlineLvl w:val="1"/>
        <w:rPr>
          <w:rFonts w:hint="eastAsia" w:ascii="宋体" w:hAnsi="宋体" w:eastAsia="宋体" w:cs="宋体"/>
          <w:b w:val="0"/>
          <w:color w:val="auto"/>
          <w:kern w:val="2"/>
          <w:sz w:val="22"/>
          <w:szCs w:val="22"/>
          <w:highlight w:val="none"/>
        </w:rPr>
      </w:pPr>
      <w:bookmarkStart w:id="149" w:name="_Toc16062"/>
      <w:bookmarkStart w:id="150" w:name="_Toc5227"/>
      <w:bookmarkStart w:id="151" w:name="_Toc5207"/>
      <w:r>
        <w:rPr>
          <w:rFonts w:hint="eastAsia" w:ascii="宋体" w:hAnsi="宋体" w:eastAsia="宋体" w:cs="宋体"/>
          <w:b w:val="0"/>
          <w:color w:val="auto"/>
          <w:kern w:val="2"/>
          <w:sz w:val="22"/>
          <w:szCs w:val="22"/>
          <w:highlight w:val="none"/>
        </w:rPr>
        <w:t>三、评标程序</w:t>
      </w:r>
      <w:bookmarkEnd w:id="149"/>
      <w:bookmarkEnd w:id="150"/>
      <w:bookmarkEnd w:id="151"/>
    </w:p>
    <w:p w14:paraId="4B4FE286">
      <w:pPr>
        <w:pStyle w:val="6"/>
        <w:shd w:val="clear" w:color="auto" w:fill="auto"/>
        <w:kinsoku/>
        <w:wordWrap w:val="0"/>
        <w:overflowPunct/>
        <w:bidi w:val="0"/>
        <w:adjustRightInd w:val="0"/>
        <w:snapToGrid w:val="0"/>
        <w:spacing w:line="360" w:lineRule="auto"/>
        <w:ind w:firstLine="44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本次开标，资格审核部分、商务技术文件和报价文件分别开启。开标程序如下</w:t>
      </w:r>
      <w:r>
        <w:rPr>
          <w:rFonts w:hint="eastAsia" w:ascii="宋体" w:hAnsi="宋体" w:eastAsia="宋体" w:cs="宋体"/>
          <w:color w:val="auto"/>
          <w:sz w:val="22"/>
          <w:szCs w:val="22"/>
          <w:highlight w:val="none"/>
          <w:lang w:eastAsia="zh-CN"/>
        </w:rPr>
        <w:t>：</w:t>
      </w:r>
    </w:p>
    <w:p w14:paraId="10D8065F">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第一步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首先开启资格审核资料部分及商务技术文件投标文件，</w:t>
      </w:r>
      <w:r>
        <w:rPr>
          <w:rFonts w:hint="eastAsia" w:ascii="宋体" w:hAnsi="宋体" w:eastAsia="宋体" w:cs="宋体"/>
          <w:color w:val="auto"/>
          <w:sz w:val="22"/>
          <w:szCs w:val="22"/>
          <w:highlight w:val="none"/>
        </w:rPr>
        <w:t>采购人或采购代理机构根据投标资格要求对各投标供应商投标资格进行审核，资格审核未通过的供应商做无效标处理，不进入技术资信及商务标评审。评标委员会根据评审原则和评审办法，对资格审核通过的各供应商的资信、技术部分投标进行评审并打分，商务、技术标不合格的供应商做无效标处理，不进入商务标评审。</w:t>
      </w:r>
    </w:p>
    <w:p w14:paraId="7C63D1CB">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公布资格审核情况及商务、技术标得分</w:t>
      </w:r>
      <w:r>
        <w:rPr>
          <w:rFonts w:hint="eastAsia" w:ascii="宋体" w:hAnsi="宋体" w:eastAsia="宋体" w:cs="宋体"/>
          <w:color w:val="auto"/>
          <w:sz w:val="22"/>
          <w:szCs w:val="22"/>
          <w:highlight w:val="none"/>
        </w:rPr>
        <w:t>，开启合格供应商的报价文件。</w:t>
      </w:r>
    </w:p>
    <w:p w14:paraId="1904583A">
      <w:pPr>
        <w:pStyle w:val="22"/>
        <w:shd w:val="clear" w:color="auto" w:fill="auto"/>
        <w:kinsoku/>
        <w:wordWrap w:val="0"/>
        <w:overflowPunct/>
        <w:bidi w:val="0"/>
        <w:snapToGrid w:val="0"/>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第三步</w:t>
      </w:r>
      <w:r>
        <w:rPr>
          <w:rFonts w:hint="eastAsia" w:ascii="宋体" w:hAnsi="宋体" w:eastAsia="宋体" w:cs="宋体"/>
          <w:color w:val="auto"/>
          <w:sz w:val="22"/>
          <w:szCs w:val="22"/>
          <w:highlight w:val="none"/>
          <w:lang w:eastAsia="zh-CN"/>
        </w:rPr>
        <w:t>：</w:t>
      </w:r>
      <w:r>
        <w:rPr>
          <w:rFonts w:hint="eastAsia" w:ascii="宋体" w:hAnsi="宋体" w:eastAsia="宋体" w:cs="宋体"/>
          <w:bCs/>
          <w:color w:val="auto"/>
          <w:sz w:val="22"/>
          <w:szCs w:val="22"/>
          <w:highlight w:val="none"/>
        </w:rPr>
        <w:t>评标委员会</w:t>
      </w:r>
      <w:r>
        <w:rPr>
          <w:rFonts w:hint="eastAsia" w:ascii="宋体" w:hAnsi="宋体" w:eastAsia="宋体" w:cs="宋体"/>
          <w:color w:val="auto"/>
          <w:sz w:val="22"/>
          <w:szCs w:val="22"/>
          <w:highlight w:val="none"/>
        </w:rPr>
        <w:t>以商务、技术标和报价标合计分值由高到低的顺序</w:t>
      </w:r>
      <w:r>
        <w:rPr>
          <w:rFonts w:hint="eastAsia" w:ascii="宋体" w:hAnsi="宋体" w:eastAsia="宋体" w:cs="宋体"/>
          <w:bCs/>
          <w:color w:val="auto"/>
          <w:sz w:val="22"/>
          <w:szCs w:val="22"/>
          <w:highlight w:val="none"/>
        </w:rPr>
        <w:t>推荐</w:t>
      </w:r>
      <w:r>
        <w:rPr>
          <w:rFonts w:hint="eastAsia" w:ascii="宋体" w:hAnsi="宋体" w:eastAsia="宋体" w:cs="宋体"/>
          <w:color w:val="auto"/>
          <w:sz w:val="22"/>
          <w:szCs w:val="22"/>
          <w:highlight w:val="none"/>
        </w:rPr>
        <w:t>供应商名单，并提交书面评审报告。</w:t>
      </w:r>
    </w:p>
    <w:p w14:paraId="56774C6C">
      <w:pPr>
        <w:pStyle w:val="22"/>
        <w:shd w:val="clear" w:color="auto" w:fill="auto"/>
        <w:kinsoku/>
        <w:wordWrap w:val="0"/>
        <w:overflowPunct/>
        <w:bidi w:val="0"/>
        <w:snapToGrid w:val="0"/>
        <w:spacing w:line="360" w:lineRule="auto"/>
        <w:ind w:firstLine="440"/>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第四步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采购人授权由评标委员会根据评审报告直接确定综合得分第一名的供应商为中标供应商。如果得分相同的，按投标报价由低到高顺序排列。得分且投标报价相同的并列。投标文件满足采购文件全部实质性要求，且按照评审因素的量化指标评审得分最高的投标供应商为排名第一的中标候选人。</w:t>
      </w:r>
    </w:p>
    <w:p w14:paraId="12CC994A">
      <w:pPr>
        <w:shd w:val="clear" w:color="auto" w:fill="auto"/>
        <w:kinsoku/>
        <w:wordWrap w:val="0"/>
        <w:overflowPunct/>
        <w:bidi w:val="0"/>
        <w:adjustRightInd w:val="0"/>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中标供应商放弃中标，或者因不可抗力提出不能履行合同，采购机构可以取消其中标资格。本次采购失败，依法重新组织采购。</w:t>
      </w:r>
    </w:p>
    <w:p w14:paraId="0B6EA3A7">
      <w:pPr>
        <w:shd w:val="clear" w:color="auto" w:fill="auto"/>
        <w:kinsoku/>
        <w:wordWrap w:val="0"/>
        <w:overflowPunct/>
        <w:bidi w:val="0"/>
        <w:adjustRightInd w:val="0"/>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其它参见本采购文件第三部分</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“供应商须知” 中的相关内容。</w:t>
      </w:r>
    </w:p>
    <w:p w14:paraId="77D44094">
      <w:pPr>
        <w:shd w:val="clear" w:color="auto" w:fill="auto"/>
        <w:kinsoku/>
        <w:wordWrap w:val="0"/>
        <w:overflowPunct/>
        <w:bidi w:val="0"/>
        <w:adjustRightInd w:val="0"/>
        <w:snapToGrid w:val="0"/>
        <w:spacing w:line="360" w:lineRule="auto"/>
        <w:rPr>
          <w:rFonts w:hint="eastAsia" w:ascii="宋体" w:hAnsi="宋体" w:eastAsia="宋体" w:cs="宋体"/>
          <w:color w:val="auto"/>
          <w:sz w:val="24"/>
          <w:highlight w:val="none"/>
        </w:rPr>
        <w:sectPr>
          <w:headerReference r:id="rId10" w:type="default"/>
          <w:footerReference r:id="rId11" w:type="default"/>
          <w:pgSz w:w="11907" w:h="16840"/>
          <w:pgMar w:top="1440" w:right="1106" w:bottom="1440" w:left="1157" w:header="720" w:footer="720" w:gutter="0"/>
          <w:cols w:space="720" w:num="1"/>
          <w:docGrid w:linePitch="312" w:charSpace="0"/>
        </w:sectPr>
      </w:pPr>
    </w:p>
    <w:p w14:paraId="6F586B6A">
      <w:pPr>
        <w:pStyle w:val="14"/>
        <w:shd w:val="clear" w:color="auto" w:fill="auto"/>
        <w:kinsoku/>
        <w:wordWrap w:val="0"/>
        <w:overflowPunct/>
        <w:bidi w:val="0"/>
        <w:adjustRightInd w:val="0"/>
        <w:snapToGrid w:val="0"/>
        <w:spacing w:line="360" w:lineRule="auto"/>
        <w:jc w:val="center"/>
        <w:outlineLvl w:val="0"/>
        <w:rPr>
          <w:rFonts w:hint="eastAsia" w:ascii="宋体" w:hAnsi="宋体" w:eastAsia="宋体" w:cs="宋体"/>
          <w:b/>
          <w:color w:val="auto"/>
          <w:sz w:val="36"/>
          <w:szCs w:val="36"/>
          <w:highlight w:val="none"/>
        </w:rPr>
      </w:pPr>
      <w:bookmarkStart w:id="152" w:name="_Toc22630"/>
      <w:bookmarkStart w:id="153" w:name="_Toc23951"/>
      <w:bookmarkStart w:id="154" w:name="_Toc10562"/>
      <w:r>
        <w:rPr>
          <w:rFonts w:hint="eastAsia" w:ascii="宋体" w:hAnsi="宋体" w:eastAsia="宋体" w:cs="宋体"/>
          <w:b/>
          <w:color w:val="auto"/>
          <w:sz w:val="36"/>
          <w:szCs w:val="36"/>
          <w:highlight w:val="none"/>
        </w:rPr>
        <w:t>评标细则</w:t>
      </w:r>
      <w:bookmarkEnd w:id="152"/>
      <w:bookmarkEnd w:id="153"/>
      <w:bookmarkEnd w:id="154"/>
    </w:p>
    <w:p w14:paraId="1B089FA2">
      <w:pPr>
        <w:pStyle w:val="14"/>
        <w:shd w:val="clear" w:color="auto" w:fill="auto"/>
        <w:tabs>
          <w:tab w:val="left" w:pos="5325"/>
        </w:tabs>
        <w:kinsoku/>
        <w:wordWrap w:val="0"/>
        <w:overflowPunct/>
        <w:bidi w:val="0"/>
        <w:adjustRightInd w:val="0"/>
        <w:snapToGrid w:val="0"/>
        <w:spacing w:line="360" w:lineRule="auto"/>
        <w:outlineLvl w:val="1"/>
        <w:rPr>
          <w:rFonts w:hint="eastAsia" w:ascii="宋体" w:hAnsi="宋体" w:eastAsia="宋体" w:cs="宋体"/>
          <w:b/>
          <w:bCs/>
          <w:color w:val="auto"/>
          <w:sz w:val="22"/>
          <w:szCs w:val="22"/>
          <w:highlight w:val="none"/>
        </w:rPr>
      </w:pPr>
      <w:bookmarkStart w:id="155" w:name="_Toc16331"/>
      <w:bookmarkStart w:id="156" w:name="_Toc20537"/>
      <w:bookmarkStart w:id="157" w:name="_Toc9058"/>
      <w:r>
        <w:rPr>
          <w:rFonts w:hint="eastAsia" w:ascii="宋体" w:hAnsi="宋体" w:eastAsia="宋体" w:cs="宋体"/>
          <w:b/>
          <w:bCs/>
          <w:color w:val="auto"/>
          <w:sz w:val="22"/>
          <w:szCs w:val="22"/>
          <w:highlight w:val="none"/>
        </w:rPr>
        <w:t>一、</w:t>
      </w:r>
      <w:r>
        <w:rPr>
          <w:rFonts w:hint="eastAsia" w:ascii="宋体" w:hAnsi="宋体" w:eastAsia="宋体" w:cs="宋体"/>
          <w:b/>
          <w:bCs/>
          <w:color w:val="auto"/>
          <w:sz w:val="22"/>
          <w:szCs w:val="22"/>
          <w:highlight w:val="none"/>
          <w:u w:val="single"/>
        </w:rPr>
        <w:t>报价评分</w:t>
      </w:r>
      <w:r>
        <w:rPr>
          <w:rFonts w:hint="eastAsia" w:hAnsi="宋体" w:cs="宋体"/>
          <w:b/>
          <w:bCs/>
          <w:color w:val="auto"/>
          <w:sz w:val="22"/>
          <w:szCs w:val="22"/>
          <w:highlight w:val="none"/>
          <w:lang w:val="en-US" w:eastAsia="zh-CN"/>
        </w:rPr>
        <w:t>10</w:t>
      </w:r>
      <w:r>
        <w:rPr>
          <w:rFonts w:hint="eastAsia" w:ascii="宋体" w:hAnsi="宋体" w:eastAsia="宋体" w:cs="宋体"/>
          <w:b/>
          <w:bCs/>
          <w:color w:val="auto"/>
          <w:sz w:val="22"/>
          <w:szCs w:val="22"/>
          <w:highlight w:val="none"/>
        </w:rPr>
        <w:t>分</w:t>
      </w:r>
      <w:bookmarkEnd w:id="155"/>
      <w:bookmarkEnd w:id="156"/>
      <w:bookmarkEnd w:id="157"/>
      <w:r>
        <w:rPr>
          <w:rFonts w:hint="eastAsia" w:ascii="宋体" w:hAnsi="宋体" w:eastAsia="宋体" w:cs="宋体"/>
          <w:b/>
          <w:bCs/>
          <w:color w:val="auto"/>
          <w:sz w:val="22"/>
          <w:szCs w:val="22"/>
          <w:highlight w:val="none"/>
        </w:rPr>
        <w:t xml:space="preserve"> </w:t>
      </w:r>
      <w:r>
        <w:rPr>
          <w:rFonts w:hint="eastAsia" w:ascii="宋体" w:hAnsi="宋体" w:eastAsia="宋体" w:cs="宋体"/>
          <w:b/>
          <w:bCs/>
          <w:color w:val="auto"/>
          <w:sz w:val="22"/>
          <w:szCs w:val="22"/>
          <w:highlight w:val="none"/>
        </w:rPr>
        <w:tab/>
      </w:r>
    </w:p>
    <w:p w14:paraId="4DF219F7">
      <w:pPr>
        <w:pStyle w:val="12"/>
        <w:shd w:val="clear" w:color="auto" w:fill="auto"/>
        <w:kinsoku/>
        <w:wordWrap w:val="0"/>
        <w:overflowPunct/>
        <w:bidi w:val="0"/>
        <w:spacing w:after="0"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1、以有效投标供应商的有效投标价中的最低价为评标基准价，得满分</w:t>
      </w: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rPr>
        <w:t>分。报价评分结算公式为:报价得分=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评标基准价／投标价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rPr>
        <w:t>%×100；</w:t>
      </w:r>
    </w:p>
    <w:p w14:paraId="32BCF923">
      <w:pPr>
        <w:pStyle w:val="12"/>
        <w:shd w:val="clear" w:color="auto" w:fill="auto"/>
        <w:kinsoku/>
        <w:wordWrap w:val="0"/>
        <w:overflowPunct/>
        <w:bidi w:val="0"/>
        <w:spacing w:after="0"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2、如果某些（个）供应商投标报价超出该采购预算，该供应商投标按无效投标处理。</w:t>
      </w:r>
    </w:p>
    <w:p w14:paraId="79B691BE">
      <w:pPr>
        <w:pStyle w:val="12"/>
        <w:shd w:val="clear" w:color="auto" w:fill="auto"/>
        <w:kinsoku/>
        <w:wordWrap w:val="0"/>
        <w:overflowPunct/>
        <w:bidi w:val="0"/>
        <w:spacing w:after="0"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3、享受政策优惠的供应商按政策优惠后的参与评审。</w:t>
      </w:r>
    </w:p>
    <w:p w14:paraId="7632FF85">
      <w:pPr>
        <w:pStyle w:val="14"/>
        <w:shd w:val="clear" w:color="auto" w:fill="auto"/>
        <w:kinsoku/>
        <w:wordWrap w:val="0"/>
        <w:overflowPunct/>
        <w:bidi w:val="0"/>
        <w:adjustRightInd w:val="0"/>
        <w:snapToGrid w:val="0"/>
        <w:spacing w:line="360" w:lineRule="auto"/>
        <w:outlineLvl w:val="1"/>
        <w:rPr>
          <w:rFonts w:hint="eastAsia" w:ascii="宋体" w:hAnsi="宋体" w:eastAsia="宋体" w:cs="宋体"/>
          <w:b/>
          <w:color w:val="auto"/>
          <w:sz w:val="22"/>
          <w:szCs w:val="22"/>
          <w:highlight w:val="none"/>
        </w:rPr>
      </w:pPr>
      <w:bookmarkStart w:id="158" w:name="_Toc23612"/>
      <w:bookmarkStart w:id="159" w:name="_Toc11731"/>
      <w:bookmarkStart w:id="160" w:name="_Toc25823"/>
      <w:r>
        <w:rPr>
          <w:rFonts w:hint="eastAsia" w:ascii="宋体" w:hAnsi="宋体" w:eastAsia="宋体" w:cs="宋体"/>
          <w:b/>
          <w:color w:val="auto"/>
          <w:sz w:val="22"/>
          <w:szCs w:val="22"/>
          <w:highlight w:val="none"/>
        </w:rPr>
        <w:t>二、</w:t>
      </w:r>
      <w:r>
        <w:rPr>
          <w:rFonts w:hint="eastAsia" w:ascii="宋体" w:hAnsi="宋体" w:eastAsia="宋体" w:cs="宋体"/>
          <w:b/>
          <w:color w:val="auto"/>
          <w:sz w:val="22"/>
          <w:szCs w:val="22"/>
          <w:highlight w:val="none"/>
          <w:u w:val="single"/>
        </w:rPr>
        <w:t>商务、技术评分</w:t>
      </w:r>
      <w:r>
        <w:rPr>
          <w:rFonts w:hint="eastAsia" w:hAnsi="宋体" w:cs="宋体"/>
          <w:b/>
          <w:color w:val="auto"/>
          <w:sz w:val="22"/>
          <w:szCs w:val="22"/>
          <w:highlight w:val="none"/>
          <w:lang w:val="en-US" w:eastAsia="zh-CN"/>
        </w:rPr>
        <w:t>90</w:t>
      </w:r>
      <w:r>
        <w:rPr>
          <w:rFonts w:hint="eastAsia" w:ascii="宋体" w:hAnsi="宋体" w:eastAsia="宋体" w:cs="宋体"/>
          <w:b/>
          <w:color w:val="auto"/>
          <w:sz w:val="22"/>
          <w:szCs w:val="22"/>
          <w:highlight w:val="none"/>
        </w:rPr>
        <w:t>分</w:t>
      </w:r>
      <w:bookmarkEnd w:id="158"/>
      <w:bookmarkEnd w:id="159"/>
      <w:bookmarkEnd w:id="160"/>
    </w:p>
    <w:tbl>
      <w:tblPr>
        <w:tblStyle w:val="26"/>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110"/>
        <w:gridCol w:w="6228"/>
        <w:gridCol w:w="898"/>
        <w:gridCol w:w="1110"/>
      </w:tblGrid>
      <w:tr w14:paraId="50461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tcBorders>
              <w:top w:val="single" w:color="auto" w:sz="4" w:space="0"/>
              <w:left w:val="single" w:color="auto" w:sz="4" w:space="0"/>
              <w:right w:val="single" w:color="auto" w:sz="4" w:space="0"/>
            </w:tcBorders>
            <w:noWrap w:val="0"/>
            <w:vAlign w:val="center"/>
          </w:tcPr>
          <w:p w14:paraId="00F899EA">
            <w:pPr>
              <w:keepNext w:val="0"/>
              <w:keepLines w:val="0"/>
              <w:widowControl/>
              <w:suppressLineNumbers w:val="0"/>
              <w:kinsoku/>
              <w:wordWrap w:val="0"/>
              <w:overflowPunct/>
              <w:bidi w:val="0"/>
              <w:spacing w:before="0" w:beforeAutospacing="0" w:after="0" w:afterAutospacing="0" w:line="24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10" w:type="dxa"/>
            <w:tcBorders>
              <w:top w:val="single" w:color="auto" w:sz="4" w:space="0"/>
              <w:left w:val="single" w:color="auto" w:sz="4" w:space="0"/>
              <w:right w:val="single" w:color="auto" w:sz="4" w:space="0"/>
            </w:tcBorders>
            <w:noWrap w:val="0"/>
            <w:vAlign w:val="center"/>
          </w:tcPr>
          <w:p w14:paraId="2E1B9D37">
            <w:pPr>
              <w:keepNext w:val="0"/>
              <w:keepLines w:val="0"/>
              <w:widowControl/>
              <w:suppressLineNumbers w:val="0"/>
              <w:kinsoku/>
              <w:wordWrap w:val="0"/>
              <w:overflowPunct/>
              <w:bidi w:val="0"/>
              <w:spacing w:before="0" w:beforeAutospacing="0" w:after="0" w:afterAutospacing="0" w:line="24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评分项目</w:t>
            </w:r>
          </w:p>
        </w:tc>
        <w:tc>
          <w:tcPr>
            <w:tcW w:w="6228" w:type="dxa"/>
            <w:tcBorders>
              <w:top w:val="single" w:color="auto" w:sz="4" w:space="0"/>
              <w:left w:val="single" w:color="auto" w:sz="4" w:space="0"/>
              <w:right w:val="single" w:color="auto" w:sz="4" w:space="0"/>
            </w:tcBorders>
            <w:noWrap w:val="0"/>
            <w:vAlign w:val="center"/>
          </w:tcPr>
          <w:p w14:paraId="5C1615A5">
            <w:pPr>
              <w:keepNext w:val="0"/>
              <w:keepLines w:val="0"/>
              <w:suppressLineNumbers w:val="0"/>
              <w:kinsoku/>
              <w:wordWrap w:val="0"/>
              <w:overflowPunct/>
              <w:bidi w:val="0"/>
              <w:snapToGrid w:val="0"/>
              <w:spacing w:before="0" w:beforeAutospacing="0" w:after="0" w:afterAutospacing="0" w:line="24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c>
          <w:tcPr>
            <w:tcW w:w="898" w:type="dxa"/>
            <w:tcBorders>
              <w:top w:val="single" w:color="auto" w:sz="4" w:space="0"/>
              <w:left w:val="single" w:color="auto" w:sz="4" w:space="0"/>
              <w:right w:val="single" w:color="auto" w:sz="4" w:space="0"/>
            </w:tcBorders>
            <w:noWrap w:val="0"/>
            <w:vAlign w:val="center"/>
          </w:tcPr>
          <w:p w14:paraId="5C296D37">
            <w:pPr>
              <w:keepNext w:val="0"/>
              <w:keepLines w:val="0"/>
              <w:suppressLineNumbers w:val="0"/>
              <w:kinsoku/>
              <w:wordWrap w:val="0"/>
              <w:overflowPunct/>
              <w:autoSpaceDE w:val="0"/>
              <w:autoSpaceDN w:val="0"/>
              <w:bidi w:val="0"/>
              <w:adjustRightInd w:val="0"/>
              <w:spacing w:before="0" w:beforeAutospacing="0" w:after="0" w:afterAutospacing="0" w:line="24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1110" w:type="dxa"/>
            <w:tcBorders>
              <w:top w:val="single" w:color="auto" w:sz="4" w:space="0"/>
              <w:left w:val="single" w:color="auto" w:sz="4" w:space="0"/>
              <w:right w:val="single" w:color="auto" w:sz="4" w:space="0"/>
            </w:tcBorders>
            <w:noWrap w:val="0"/>
            <w:vAlign w:val="center"/>
          </w:tcPr>
          <w:p w14:paraId="0C98F378">
            <w:pPr>
              <w:keepNext w:val="0"/>
              <w:keepLines w:val="0"/>
              <w:suppressLineNumbers w:val="0"/>
              <w:kinsoku/>
              <w:wordWrap w:val="0"/>
              <w:overflowPunct/>
              <w:autoSpaceDE w:val="0"/>
              <w:autoSpaceDN w:val="0"/>
              <w:bidi w:val="0"/>
              <w:adjustRightInd w:val="0"/>
              <w:spacing w:before="0" w:beforeAutospacing="0" w:after="0" w:afterAutospacing="0" w:line="240" w:lineRule="auto"/>
              <w:ind w:left="0" w:right="0"/>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评分方式</w:t>
            </w:r>
          </w:p>
        </w:tc>
      </w:tr>
      <w:tr w14:paraId="46BEE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jc w:val="center"/>
        </w:trPr>
        <w:tc>
          <w:tcPr>
            <w:tcW w:w="686" w:type="dxa"/>
            <w:tcBorders>
              <w:left w:val="single" w:color="auto" w:sz="4" w:space="0"/>
              <w:right w:val="single" w:color="auto" w:sz="4" w:space="0"/>
            </w:tcBorders>
            <w:noWrap w:val="0"/>
            <w:vAlign w:val="center"/>
          </w:tcPr>
          <w:p w14:paraId="0C0C4AB3">
            <w:pPr>
              <w:keepNext w:val="0"/>
              <w:keepLines w:val="0"/>
              <w:widowControl w:val="0"/>
              <w:suppressLineNumbers w:val="0"/>
              <w:kinsoku/>
              <w:wordWrap w:val="0"/>
              <w:overflowPunct/>
              <w:bidi w:val="0"/>
              <w:snapToGrid w:val="0"/>
              <w:spacing w:before="0" w:beforeAutospacing="0" w:after="0" w:afterAutospacing="0" w:line="24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w:t>
            </w:r>
          </w:p>
        </w:tc>
        <w:tc>
          <w:tcPr>
            <w:tcW w:w="1110" w:type="dxa"/>
            <w:tcBorders>
              <w:left w:val="single" w:color="auto" w:sz="4" w:space="0"/>
              <w:right w:val="single" w:color="auto" w:sz="4" w:space="0"/>
            </w:tcBorders>
            <w:noWrap w:val="0"/>
            <w:vAlign w:val="center"/>
          </w:tcPr>
          <w:p w14:paraId="75A516B1">
            <w:pPr>
              <w:keepNext w:val="0"/>
              <w:keepLines w:val="0"/>
              <w:widowControl w:val="0"/>
              <w:suppressLineNumbers w:val="0"/>
              <w:kinsoku/>
              <w:wordWrap w:val="0"/>
              <w:overflowPunct/>
              <w:bidi w:val="0"/>
              <w:snapToGrid w:val="0"/>
              <w:spacing w:before="0" w:beforeAutospacing="0" w:after="0" w:afterAutospacing="0" w:line="24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SA"/>
              </w:rPr>
              <w:t>品牌价值</w:t>
            </w:r>
          </w:p>
        </w:tc>
        <w:tc>
          <w:tcPr>
            <w:tcW w:w="6228" w:type="dxa"/>
            <w:tcBorders>
              <w:top w:val="single" w:color="auto" w:sz="4" w:space="0"/>
              <w:left w:val="single" w:color="auto" w:sz="4" w:space="0"/>
              <w:right w:val="single" w:color="auto" w:sz="4" w:space="0"/>
            </w:tcBorders>
            <w:noWrap w:val="0"/>
            <w:vAlign w:val="center"/>
          </w:tcPr>
          <w:p w14:paraId="4F313453">
            <w:pPr>
              <w:keepNext w:val="0"/>
              <w:keepLines w:val="0"/>
              <w:suppressLineNumbers w:val="0"/>
              <w:kinsoku/>
              <w:wordWrap w:val="0"/>
              <w:overflowPunct/>
              <w:bidi w:val="0"/>
              <w:snapToGrid w:val="0"/>
              <w:spacing w:before="0" w:beforeAutospacing="0" w:after="0" w:afterAutospacing="0"/>
              <w:ind w:left="0" w:right="0"/>
              <w:jc w:val="left"/>
              <w:rPr>
                <w:rFonts w:hint="default" w:ascii="宋体" w:hAnsi="宋体" w:eastAsia="宋体" w:cs="宋体"/>
                <w:color w:val="auto"/>
                <w:szCs w:val="21"/>
                <w:highlight w:val="none"/>
                <w:lang w:val="en-US" w:eastAsia="zh-CN"/>
              </w:rPr>
            </w:pPr>
            <w:r>
              <w:rPr>
                <w:rFonts w:hint="eastAsia" w:ascii="宋体" w:hAnsi="宋体" w:eastAsia="宋体" w:cs="宋体"/>
                <w:b w:val="0"/>
                <w:bCs w:val="0"/>
                <w:color w:val="auto"/>
                <w:sz w:val="21"/>
                <w:szCs w:val="21"/>
                <w:highlight w:val="none"/>
                <w:lang w:val="en-US" w:eastAsia="zh-CN"/>
              </w:rPr>
              <w:t>投标供应商</w:t>
            </w:r>
            <w:r>
              <w:rPr>
                <w:rFonts w:hint="eastAsia" w:ascii="宋体" w:hAnsi="宋体" w:cs="宋体"/>
                <w:b w:val="0"/>
                <w:bCs w:val="0"/>
                <w:color w:val="auto"/>
                <w:sz w:val="21"/>
                <w:szCs w:val="21"/>
                <w:highlight w:val="none"/>
                <w:lang w:val="en-US" w:eastAsia="zh-CN"/>
              </w:rPr>
              <w:t>（如为联合体投标的指房地产开发单位）</w:t>
            </w:r>
            <w:r>
              <w:rPr>
                <w:rFonts w:hint="eastAsia" w:ascii="宋体" w:hAnsi="宋体" w:cs="宋体"/>
                <w:color w:val="auto"/>
                <w:szCs w:val="21"/>
                <w:highlight w:val="none"/>
              </w:rPr>
              <w:t>的品牌价值（以中国房地产TOP10研究组颁发的202</w:t>
            </w:r>
            <w:r>
              <w:rPr>
                <w:rFonts w:hint="default" w:ascii="宋体" w:hAnsi="宋体" w:cs="宋体"/>
                <w:color w:val="auto"/>
                <w:szCs w:val="21"/>
                <w:highlight w:val="none"/>
              </w:rPr>
              <w:t>4</w:t>
            </w:r>
            <w:r>
              <w:rPr>
                <w:rFonts w:hint="eastAsia" w:ascii="宋体" w:hAnsi="宋体" w:cs="宋体"/>
                <w:color w:val="auto"/>
                <w:szCs w:val="21"/>
                <w:highlight w:val="none"/>
              </w:rPr>
              <w:t>年中国房地产品牌价值研究成果鉴定证书</w:t>
            </w:r>
            <w:r>
              <w:rPr>
                <w:rFonts w:hint="eastAsia" w:ascii="宋体" w:hAnsi="宋体" w:cs="宋体"/>
                <w:b/>
                <w:bCs/>
                <w:color w:val="auto"/>
                <w:szCs w:val="21"/>
                <w:highlight w:val="none"/>
                <w:lang w:val="en-US" w:eastAsia="zh-CN"/>
              </w:rPr>
              <w:t>所载金额</w:t>
            </w:r>
            <w:r>
              <w:rPr>
                <w:rFonts w:hint="eastAsia" w:ascii="宋体" w:hAnsi="宋体" w:cs="宋体"/>
                <w:color w:val="auto"/>
                <w:szCs w:val="21"/>
                <w:highlight w:val="none"/>
              </w:rPr>
              <w:t>为准）：</w:t>
            </w:r>
            <w:r>
              <w:rPr>
                <w:rFonts w:hint="eastAsia" w:ascii="Calibri" w:hAnsi="Calibri" w:eastAsia="宋体" w:cs="Times New Roman"/>
                <w:color w:val="auto"/>
                <w:sz w:val="21"/>
                <w:szCs w:val="21"/>
                <w:highlight w:val="none"/>
                <w:lang w:val="en-US" w:eastAsia="zh-CN" w:bidi="ar-SA"/>
              </w:rPr>
              <w:t>品牌价值</w:t>
            </w:r>
            <w:r>
              <w:rPr>
                <w:rFonts w:hint="default" w:ascii="Calibri" w:hAnsi="Calibri" w:eastAsia="宋体" w:cs="Times New Roman"/>
                <w:color w:val="auto"/>
                <w:sz w:val="21"/>
                <w:szCs w:val="21"/>
                <w:highlight w:val="none"/>
                <w:lang w:val="en-US" w:eastAsia="zh-CN" w:bidi="ar-SA"/>
              </w:rPr>
              <w:t>≥</w:t>
            </w:r>
            <w:r>
              <w:rPr>
                <w:rFonts w:hint="eastAsia" w:ascii="Calibri" w:hAnsi="Calibri" w:eastAsia="宋体" w:cs="Times New Roman"/>
                <w:color w:val="auto"/>
                <w:sz w:val="21"/>
                <w:szCs w:val="21"/>
                <w:highlight w:val="none"/>
                <w:lang w:val="en-US" w:eastAsia="zh-CN" w:bidi="ar-SA"/>
              </w:rPr>
              <w:t>300亿元</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r>
              <w:rPr>
                <w:rFonts w:hint="eastAsia" w:ascii="Calibri" w:hAnsi="Calibri" w:eastAsia="宋体" w:cs="Times New Roman"/>
                <w:color w:val="auto"/>
                <w:sz w:val="21"/>
                <w:szCs w:val="21"/>
                <w:highlight w:val="none"/>
                <w:lang w:val="en-US" w:eastAsia="zh-CN" w:bidi="ar-SA"/>
              </w:rPr>
              <w:t>200亿元</w:t>
            </w:r>
            <w:r>
              <w:rPr>
                <w:rFonts w:hint="default" w:ascii="Calibri" w:hAnsi="Calibri" w:eastAsia="宋体" w:cs="Times New Roman"/>
                <w:color w:val="auto"/>
                <w:sz w:val="21"/>
                <w:szCs w:val="21"/>
                <w:highlight w:val="none"/>
                <w:lang w:val="en-US" w:eastAsia="zh-CN" w:bidi="ar-SA"/>
              </w:rPr>
              <w:t>≤</w:t>
            </w:r>
            <w:r>
              <w:rPr>
                <w:rFonts w:hint="eastAsia" w:ascii="Calibri" w:hAnsi="Calibri" w:eastAsia="宋体" w:cs="Times New Roman"/>
                <w:color w:val="auto"/>
                <w:sz w:val="21"/>
                <w:szCs w:val="21"/>
                <w:highlight w:val="none"/>
                <w:lang w:val="en-US" w:eastAsia="zh-CN" w:bidi="ar-SA"/>
              </w:rPr>
              <w:t>品牌价值&lt;300亿元</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100</w:t>
            </w:r>
            <w:r>
              <w:rPr>
                <w:rFonts w:hint="eastAsia" w:ascii="Calibri" w:hAnsi="Calibri" w:eastAsia="宋体" w:cs="Times New Roman"/>
                <w:color w:val="auto"/>
                <w:sz w:val="21"/>
                <w:szCs w:val="21"/>
                <w:highlight w:val="none"/>
                <w:lang w:val="en-US" w:eastAsia="zh-CN" w:bidi="ar-SA"/>
              </w:rPr>
              <w:t>亿元</w:t>
            </w:r>
            <w:r>
              <w:rPr>
                <w:rFonts w:hint="eastAsia" w:ascii="宋体" w:hAnsi="宋体" w:cs="宋体"/>
                <w:color w:val="auto"/>
                <w:szCs w:val="21"/>
                <w:highlight w:val="none"/>
                <w:lang w:val="en-US" w:eastAsia="zh-CN"/>
              </w:rPr>
              <w:t>≤品牌价值&lt;200</w:t>
            </w:r>
            <w:r>
              <w:rPr>
                <w:rFonts w:hint="eastAsia" w:ascii="Calibri" w:hAnsi="Calibri" w:eastAsia="宋体" w:cs="Times New Roman"/>
                <w:color w:val="auto"/>
                <w:sz w:val="21"/>
                <w:szCs w:val="21"/>
                <w:highlight w:val="none"/>
                <w:lang w:val="en-US" w:eastAsia="zh-CN" w:bidi="ar-SA"/>
              </w:rPr>
              <w:t>亿元</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其余不得分。</w:t>
            </w:r>
          </w:p>
          <w:p w14:paraId="0A80781A">
            <w:pPr>
              <w:keepNext w:val="0"/>
              <w:keepLines w:val="0"/>
              <w:suppressLineNumbers w:val="0"/>
              <w:kinsoku/>
              <w:wordWrap w:val="0"/>
              <w:overflowPunct/>
              <w:bidi w:val="0"/>
              <w:snapToGrid w:val="0"/>
              <w:spacing w:before="0" w:beforeAutospacing="0" w:after="0" w:afterAutospacing="0" w:line="240" w:lineRule="auto"/>
              <w:ind w:left="0" w:leftChars="0" w:right="0" w:rightChars="0"/>
              <w:jc w:val="left"/>
              <w:rPr>
                <w:rFonts w:hint="default" w:ascii="宋体" w:hAnsi="宋体" w:eastAsia="宋体" w:cs="宋体"/>
                <w:b w:val="0"/>
                <w:bCs w:val="0"/>
                <w:color w:val="auto"/>
                <w:sz w:val="21"/>
                <w:szCs w:val="21"/>
                <w:highlight w:val="none"/>
                <w:lang w:val="en-US" w:eastAsia="zh-CN"/>
              </w:rPr>
            </w:pPr>
            <w:r>
              <w:rPr>
                <w:rFonts w:hint="eastAsia" w:ascii="Times New Roman" w:hAnsi="Times New Roman" w:cs="Times New Roman"/>
                <w:color w:val="auto"/>
                <w:highlight w:val="none"/>
              </w:rPr>
              <w:t>有效证明</w:t>
            </w:r>
            <w:r>
              <w:rPr>
                <w:rFonts w:hint="eastAsia" w:ascii="Times New Roman" w:hAnsi="Times New Roman" w:cs="Times New Roman"/>
                <w:color w:val="auto"/>
                <w:highlight w:val="none"/>
                <w:lang w:val="en-US" w:eastAsia="zh-CN"/>
              </w:rPr>
              <w:t>材料</w:t>
            </w:r>
            <w:r>
              <w:rPr>
                <w:rFonts w:hint="eastAsia" w:ascii="Times New Roman" w:hAnsi="Times New Roman" w:cs="Times New Roman"/>
                <w:color w:val="auto"/>
                <w:highlight w:val="none"/>
              </w:rPr>
              <w:t>：提供</w:t>
            </w:r>
            <w:r>
              <w:rPr>
                <w:rFonts w:hint="eastAsia" w:ascii="宋体" w:hAnsi="宋体" w:cs="宋体"/>
                <w:color w:val="auto"/>
                <w:szCs w:val="21"/>
                <w:highlight w:val="none"/>
              </w:rPr>
              <w:t>202</w:t>
            </w:r>
            <w:r>
              <w:rPr>
                <w:rFonts w:hint="default" w:ascii="宋体" w:hAnsi="宋体" w:cs="宋体"/>
                <w:color w:val="auto"/>
                <w:szCs w:val="21"/>
                <w:highlight w:val="none"/>
              </w:rPr>
              <w:t>4</w:t>
            </w:r>
            <w:r>
              <w:rPr>
                <w:rFonts w:hint="eastAsia" w:ascii="宋体" w:hAnsi="宋体" w:cs="宋体"/>
                <w:color w:val="auto"/>
                <w:szCs w:val="21"/>
                <w:highlight w:val="none"/>
              </w:rPr>
              <w:t>年中国房地产品牌价值研究成果鉴定证书</w:t>
            </w:r>
            <w:r>
              <w:rPr>
                <w:rFonts w:hint="eastAsia" w:ascii="Times New Roman" w:hAnsi="Times New Roman" w:cs="Times New Roman"/>
                <w:color w:val="auto"/>
                <w:highlight w:val="none"/>
              </w:rPr>
              <w:t>扫描件（加盖公章），否则不得分。</w:t>
            </w:r>
          </w:p>
        </w:tc>
        <w:tc>
          <w:tcPr>
            <w:tcW w:w="898" w:type="dxa"/>
            <w:tcBorders>
              <w:top w:val="single" w:color="auto" w:sz="4" w:space="0"/>
              <w:left w:val="single" w:color="auto" w:sz="4" w:space="0"/>
              <w:right w:val="single" w:color="auto" w:sz="4" w:space="0"/>
            </w:tcBorders>
            <w:noWrap w:val="0"/>
            <w:vAlign w:val="center"/>
          </w:tcPr>
          <w:p w14:paraId="7FEA298F">
            <w:pPr>
              <w:keepNext w:val="0"/>
              <w:keepLines w:val="0"/>
              <w:suppressLineNumbers w:val="0"/>
              <w:kinsoku/>
              <w:wordWrap w:val="0"/>
              <w:overflowPunct/>
              <w:autoSpaceDE w:val="0"/>
              <w:autoSpaceDN w:val="0"/>
              <w:bidi w:val="0"/>
              <w:adjustRightIn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0-6分</w:t>
            </w:r>
          </w:p>
        </w:tc>
        <w:tc>
          <w:tcPr>
            <w:tcW w:w="1110" w:type="dxa"/>
            <w:tcBorders>
              <w:top w:val="single" w:color="auto" w:sz="4" w:space="0"/>
              <w:left w:val="single" w:color="auto" w:sz="4" w:space="0"/>
              <w:right w:val="single" w:color="auto" w:sz="4" w:space="0"/>
            </w:tcBorders>
            <w:noWrap w:val="0"/>
            <w:vAlign w:val="center"/>
          </w:tcPr>
          <w:p w14:paraId="28D97888">
            <w:pPr>
              <w:keepNext w:val="0"/>
              <w:keepLines w:val="0"/>
              <w:suppressLineNumbers w:val="0"/>
              <w:kinsoku/>
              <w:wordWrap w:val="0"/>
              <w:overflowPunct/>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客观分</w:t>
            </w:r>
          </w:p>
        </w:tc>
      </w:tr>
      <w:tr w14:paraId="702DF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6" w:type="dxa"/>
            <w:vMerge w:val="restart"/>
            <w:tcBorders>
              <w:left w:val="single" w:color="auto" w:sz="4" w:space="0"/>
              <w:right w:val="single" w:color="auto" w:sz="4" w:space="0"/>
            </w:tcBorders>
            <w:noWrap w:val="0"/>
            <w:vAlign w:val="center"/>
          </w:tcPr>
          <w:p w14:paraId="65025DF8">
            <w:pPr>
              <w:keepNext w:val="0"/>
              <w:keepLines w:val="0"/>
              <w:widowControl w:val="0"/>
              <w:suppressLineNumbers w:val="0"/>
              <w:kinsoku/>
              <w:wordWrap w:val="0"/>
              <w:overflowPunct/>
              <w:bidi w:val="0"/>
              <w:snapToGrid w:val="0"/>
              <w:spacing w:before="0" w:beforeAutospacing="0" w:after="0" w:afterAutospacing="0" w:line="24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w:t>
            </w:r>
          </w:p>
        </w:tc>
        <w:tc>
          <w:tcPr>
            <w:tcW w:w="1110" w:type="dxa"/>
            <w:vMerge w:val="restart"/>
            <w:tcBorders>
              <w:left w:val="single" w:color="auto" w:sz="4" w:space="0"/>
              <w:right w:val="single" w:color="auto" w:sz="4" w:space="0"/>
            </w:tcBorders>
            <w:noWrap w:val="0"/>
            <w:vAlign w:val="center"/>
          </w:tcPr>
          <w:p w14:paraId="6EF801AF">
            <w:pPr>
              <w:keepNext w:val="0"/>
              <w:keepLines w:val="0"/>
              <w:widowControl w:val="0"/>
              <w:suppressLineNumbers w:val="0"/>
              <w:kinsoku/>
              <w:wordWrap w:val="0"/>
              <w:overflowPunct/>
              <w:bidi w:val="0"/>
              <w:snapToGrid w:val="0"/>
              <w:spacing w:before="0" w:beforeAutospacing="0" w:after="0" w:afterAutospacing="0" w:line="240" w:lineRule="auto"/>
              <w:ind w:left="0" w:right="0"/>
              <w:jc w:val="center"/>
              <w:rPr>
                <w:rFonts w:hint="default" w:ascii="宋体" w:hAnsi="宋体" w:eastAsia="宋体" w:cs="宋体"/>
                <w:color w:val="auto"/>
                <w:kern w:val="2"/>
                <w:sz w:val="21"/>
                <w:szCs w:val="21"/>
                <w:highlight w:val="none"/>
                <w:lang w:val="en-US" w:eastAsia="zh-CN" w:bidi="ar"/>
              </w:rPr>
            </w:pPr>
            <w:r>
              <w:rPr>
                <w:rFonts w:hint="default" w:ascii="宋体" w:hAnsi="宋体" w:eastAsia="宋体" w:cs="宋体"/>
                <w:color w:val="auto"/>
                <w:kern w:val="2"/>
                <w:sz w:val="21"/>
                <w:szCs w:val="21"/>
                <w:highlight w:val="none"/>
                <w:lang w:val="en-US" w:eastAsia="zh-CN" w:bidi="ar"/>
              </w:rPr>
              <w:t>企业实力</w:t>
            </w:r>
          </w:p>
        </w:tc>
        <w:tc>
          <w:tcPr>
            <w:tcW w:w="6228" w:type="dxa"/>
            <w:tcBorders>
              <w:top w:val="single" w:color="auto" w:sz="4" w:space="0"/>
              <w:left w:val="single" w:color="auto" w:sz="4" w:space="0"/>
              <w:right w:val="single" w:color="auto" w:sz="4" w:space="0"/>
            </w:tcBorders>
            <w:noWrap w:val="0"/>
            <w:vAlign w:val="center"/>
          </w:tcPr>
          <w:p w14:paraId="1EF1FB54">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投标供应商</w:t>
            </w:r>
            <w:r>
              <w:rPr>
                <w:rFonts w:hint="eastAsia" w:ascii="宋体" w:hAnsi="宋体" w:cs="宋体"/>
                <w:b w:val="0"/>
                <w:bCs w:val="0"/>
                <w:color w:val="auto"/>
                <w:sz w:val="21"/>
                <w:szCs w:val="21"/>
                <w:highlight w:val="none"/>
                <w:lang w:val="en-US" w:eastAsia="zh-CN"/>
              </w:rPr>
              <w:t>（如为联合体投标的指房地产开发单位）</w:t>
            </w:r>
            <w:r>
              <w:rPr>
                <w:rFonts w:hint="eastAsia" w:ascii="宋体" w:hAnsi="宋体" w:eastAsia="宋体" w:cs="宋体"/>
                <w:b w:val="0"/>
                <w:bCs w:val="0"/>
                <w:color w:val="auto"/>
                <w:sz w:val="21"/>
                <w:szCs w:val="21"/>
                <w:highlight w:val="none"/>
                <w:lang w:val="en-US" w:eastAsia="zh-CN"/>
              </w:rPr>
              <w:t>在2021-2025年期间，有4年获得“中国房地产TOP10研究组”颁发的“政府代建运营优秀企业”的得5分</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有3年获得的得3分</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有2年获得的得1分</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否则得0分，本项最多得5分。</w:t>
            </w:r>
          </w:p>
          <w:p w14:paraId="6802829D">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b w:val="0"/>
                <w:bCs w:val="0"/>
                <w:color w:val="auto"/>
                <w:sz w:val="21"/>
                <w:szCs w:val="21"/>
                <w:highlight w:val="none"/>
                <w:lang w:val="en-US" w:eastAsia="zh-CN"/>
              </w:rPr>
              <w:t>有效证明材料：获奖证书或官网（网址地址：https://www.cih-index.com/conference/list.html）公布的榜单截图（加盖公章），否则不得分。</w:t>
            </w:r>
          </w:p>
        </w:tc>
        <w:tc>
          <w:tcPr>
            <w:tcW w:w="898" w:type="dxa"/>
            <w:tcBorders>
              <w:top w:val="single" w:color="auto" w:sz="4" w:space="0"/>
              <w:left w:val="single" w:color="auto" w:sz="4" w:space="0"/>
              <w:right w:val="single" w:color="auto" w:sz="4" w:space="0"/>
            </w:tcBorders>
            <w:noWrap w:val="0"/>
            <w:vAlign w:val="center"/>
          </w:tcPr>
          <w:p w14:paraId="092A60AC">
            <w:pPr>
              <w:keepNext w:val="0"/>
              <w:keepLines w:val="0"/>
              <w:suppressLineNumbers w:val="0"/>
              <w:kinsoku/>
              <w:wordWrap w:val="0"/>
              <w:overflowPunct/>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0-5分</w:t>
            </w:r>
          </w:p>
        </w:tc>
        <w:tc>
          <w:tcPr>
            <w:tcW w:w="1110" w:type="dxa"/>
            <w:tcBorders>
              <w:top w:val="single" w:color="auto" w:sz="4" w:space="0"/>
              <w:left w:val="single" w:color="auto" w:sz="4" w:space="0"/>
              <w:right w:val="single" w:color="auto" w:sz="4" w:space="0"/>
            </w:tcBorders>
            <w:noWrap w:val="0"/>
            <w:vAlign w:val="center"/>
          </w:tcPr>
          <w:p w14:paraId="251DF8FB">
            <w:pPr>
              <w:keepNext w:val="0"/>
              <w:keepLines w:val="0"/>
              <w:suppressLineNumbers w:val="0"/>
              <w:kinsoku/>
              <w:wordWrap w:val="0"/>
              <w:overflowPunct/>
              <w:autoSpaceDE w:val="0"/>
              <w:autoSpaceDN w:val="0"/>
              <w:bidi w:val="0"/>
              <w:adjustRightIn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客观分</w:t>
            </w:r>
          </w:p>
        </w:tc>
      </w:tr>
      <w:tr w14:paraId="3AF6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jc w:val="center"/>
        </w:trPr>
        <w:tc>
          <w:tcPr>
            <w:tcW w:w="686" w:type="dxa"/>
            <w:vMerge w:val="continue"/>
            <w:tcBorders>
              <w:left w:val="single" w:color="auto" w:sz="4" w:space="0"/>
              <w:right w:val="single" w:color="auto" w:sz="4" w:space="0"/>
            </w:tcBorders>
            <w:noWrap w:val="0"/>
            <w:vAlign w:val="center"/>
          </w:tcPr>
          <w:p w14:paraId="1B8B1D94">
            <w:pPr>
              <w:keepNext w:val="0"/>
              <w:keepLines w:val="0"/>
              <w:widowControl w:val="0"/>
              <w:suppressLineNumbers w:val="0"/>
              <w:kinsoku/>
              <w:wordWrap w:val="0"/>
              <w:overflowPunct/>
              <w:bidi w:val="0"/>
              <w:snapToGrid w:val="0"/>
              <w:spacing w:before="0" w:beforeAutospacing="0" w:after="0" w:afterAutospacing="0" w:line="240" w:lineRule="auto"/>
              <w:ind w:left="0" w:right="0"/>
              <w:jc w:val="center"/>
              <w:rPr>
                <w:rFonts w:hint="default" w:ascii="宋体" w:hAnsi="宋体" w:eastAsia="宋体" w:cs="宋体"/>
                <w:color w:val="auto"/>
                <w:kern w:val="2"/>
                <w:sz w:val="21"/>
                <w:szCs w:val="21"/>
                <w:highlight w:val="none"/>
                <w:lang w:val="en-US" w:eastAsia="zh-CN" w:bidi="ar"/>
              </w:rPr>
            </w:pPr>
          </w:p>
        </w:tc>
        <w:tc>
          <w:tcPr>
            <w:tcW w:w="1110" w:type="dxa"/>
            <w:vMerge w:val="continue"/>
            <w:tcBorders>
              <w:left w:val="single" w:color="auto" w:sz="4" w:space="0"/>
              <w:right w:val="single" w:color="auto" w:sz="4" w:space="0"/>
            </w:tcBorders>
            <w:noWrap w:val="0"/>
            <w:vAlign w:val="center"/>
          </w:tcPr>
          <w:p w14:paraId="740E50F1">
            <w:pPr>
              <w:keepNext w:val="0"/>
              <w:keepLines w:val="0"/>
              <w:widowControl w:val="0"/>
              <w:suppressLineNumbers w:val="0"/>
              <w:kinsoku/>
              <w:wordWrap w:val="0"/>
              <w:overflowPunct/>
              <w:bidi w:val="0"/>
              <w:snapToGrid w:val="0"/>
              <w:spacing w:before="0" w:beforeAutospacing="0" w:after="0" w:afterAutospacing="0" w:line="240" w:lineRule="auto"/>
              <w:ind w:left="0" w:right="0"/>
              <w:jc w:val="center"/>
              <w:rPr>
                <w:rFonts w:hint="default" w:ascii="宋体" w:hAnsi="宋体" w:eastAsia="宋体" w:cs="宋体"/>
                <w:color w:val="auto"/>
                <w:kern w:val="2"/>
                <w:sz w:val="21"/>
                <w:szCs w:val="21"/>
                <w:highlight w:val="none"/>
                <w:lang w:val="en-US" w:eastAsia="zh-CN" w:bidi="ar"/>
              </w:rPr>
            </w:pPr>
          </w:p>
        </w:tc>
        <w:tc>
          <w:tcPr>
            <w:tcW w:w="6228" w:type="dxa"/>
            <w:tcBorders>
              <w:top w:val="single" w:color="auto" w:sz="4" w:space="0"/>
              <w:left w:val="single" w:color="auto" w:sz="4" w:space="0"/>
              <w:right w:val="single" w:color="auto" w:sz="4" w:space="0"/>
            </w:tcBorders>
            <w:noWrap w:val="0"/>
            <w:vAlign w:val="center"/>
          </w:tcPr>
          <w:p w14:paraId="676F714E">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投标供应商</w:t>
            </w:r>
            <w:r>
              <w:rPr>
                <w:rFonts w:hint="eastAsia" w:ascii="宋体" w:hAnsi="宋体" w:cs="宋体"/>
                <w:b w:val="0"/>
                <w:bCs w:val="0"/>
                <w:color w:val="auto"/>
                <w:sz w:val="21"/>
                <w:szCs w:val="21"/>
                <w:highlight w:val="none"/>
                <w:lang w:val="en-US" w:eastAsia="zh-CN"/>
              </w:rPr>
              <w:t>（如为联合体投标的指联合体任意单位）</w:t>
            </w:r>
            <w:r>
              <w:rPr>
                <w:rFonts w:hint="eastAsia" w:ascii="宋体" w:hAnsi="宋体" w:eastAsia="宋体" w:cs="宋体"/>
                <w:b w:val="0"/>
                <w:bCs w:val="0"/>
                <w:color w:val="auto"/>
                <w:sz w:val="21"/>
                <w:szCs w:val="21"/>
                <w:highlight w:val="none"/>
                <w:lang w:val="en-US" w:eastAsia="zh-CN"/>
              </w:rPr>
              <w:t>具备</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（1）ISO质量管理体系认证证书；（2）ISO环境管理体系认证证书；（3）ISO职业健康安全管理体系认证证书</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每提供其中一个证书得1分，本项最多得3分。</w:t>
            </w:r>
          </w:p>
          <w:p w14:paraId="547D8B18">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有效证明材料：提供有效证书扫描件及全国认证认可信息公共服务平台（http://cx.cnca.cn/CertECloud/result/skipResultList）查询的证书信息（网页截图），否则不得分。</w:t>
            </w:r>
          </w:p>
          <w:p w14:paraId="4EFAE074">
            <w:pPr>
              <w:keepNext w:val="0"/>
              <w:keepLines w:val="0"/>
              <w:suppressLineNumbers w:val="0"/>
              <w:kinsoku/>
              <w:wordWrap w:val="0"/>
              <w:overflowPunct/>
              <w:bidi w:val="0"/>
              <w:snapToGrid w:val="0"/>
              <w:spacing w:before="0" w:beforeAutospacing="0" w:after="0" w:afterAutospacing="0" w:line="240" w:lineRule="auto"/>
              <w:ind w:left="0" w:leftChars="0" w:right="0" w:rightChars="0"/>
              <w:jc w:val="left"/>
              <w:rPr>
                <w:rFonts w:hint="eastAsia" w:ascii="Times New Roman" w:hAnsi="Times New Roman" w:cs="Times New Roman"/>
                <w:color w:val="auto"/>
                <w:highlight w:val="none"/>
                <w:lang w:val="en-US" w:eastAsia="zh-CN"/>
              </w:rPr>
            </w:pPr>
            <w:r>
              <w:rPr>
                <w:rFonts w:hint="eastAsia" w:ascii="宋体" w:hAnsi="宋体" w:eastAsia="宋体" w:cs="宋体"/>
                <w:b w:val="0"/>
                <w:bCs w:val="0"/>
                <w:color w:val="auto"/>
                <w:sz w:val="21"/>
                <w:szCs w:val="21"/>
                <w:highlight w:val="none"/>
                <w:lang w:val="en-US" w:eastAsia="zh-CN"/>
              </w:rPr>
              <w:t>以上材料提供扫描件（加盖公章），否则不得分。</w:t>
            </w:r>
          </w:p>
        </w:tc>
        <w:tc>
          <w:tcPr>
            <w:tcW w:w="898" w:type="dxa"/>
            <w:tcBorders>
              <w:top w:val="single" w:color="auto" w:sz="4" w:space="0"/>
              <w:left w:val="single" w:color="auto" w:sz="4" w:space="0"/>
              <w:right w:val="single" w:color="auto" w:sz="4" w:space="0"/>
            </w:tcBorders>
            <w:noWrap w:val="0"/>
            <w:vAlign w:val="center"/>
          </w:tcPr>
          <w:p w14:paraId="2A342B20">
            <w:pPr>
              <w:keepNext w:val="0"/>
              <w:keepLines w:val="0"/>
              <w:suppressLineNumbers w:val="0"/>
              <w:kinsoku/>
              <w:wordWrap w:val="0"/>
              <w:overflowPunct/>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0-3分</w:t>
            </w:r>
          </w:p>
        </w:tc>
        <w:tc>
          <w:tcPr>
            <w:tcW w:w="1110" w:type="dxa"/>
            <w:tcBorders>
              <w:top w:val="single" w:color="auto" w:sz="4" w:space="0"/>
              <w:left w:val="single" w:color="auto" w:sz="4" w:space="0"/>
              <w:right w:val="single" w:color="auto" w:sz="4" w:space="0"/>
            </w:tcBorders>
            <w:noWrap w:val="0"/>
            <w:vAlign w:val="center"/>
          </w:tcPr>
          <w:p w14:paraId="65D16A2D">
            <w:pPr>
              <w:keepNext w:val="0"/>
              <w:keepLines w:val="0"/>
              <w:suppressLineNumbers w:val="0"/>
              <w:kinsoku/>
              <w:wordWrap w:val="0"/>
              <w:overflowPunct/>
              <w:autoSpaceDE w:val="0"/>
              <w:autoSpaceDN w:val="0"/>
              <w:bidi w:val="0"/>
              <w:adjustRightIn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客观分</w:t>
            </w:r>
          </w:p>
        </w:tc>
      </w:tr>
      <w:tr w14:paraId="5E69E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1" w:hRule="atLeast"/>
          <w:jc w:val="center"/>
        </w:trPr>
        <w:tc>
          <w:tcPr>
            <w:tcW w:w="686" w:type="dxa"/>
            <w:vMerge w:val="restart"/>
            <w:tcBorders>
              <w:left w:val="single" w:color="auto" w:sz="4" w:space="0"/>
              <w:right w:val="single" w:color="auto" w:sz="4" w:space="0"/>
            </w:tcBorders>
            <w:noWrap w:val="0"/>
            <w:vAlign w:val="center"/>
          </w:tcPr>
          <w:p w14:paraId="7E5C2471">
            <w:pPr>
              <w:keepNext w:val="0"/>
              <w:keepLines w:val="0"/>
              <w:widowControl w:val="0"/>
              <w:suppressLineNumbers w:val="0"/>
              <w:kinsoku/>
              <w:wordWrap w:val="0"/>
              <w:overflowPunct/>
              <w:bidi w:val="0"/>
              <w:snapToGrid w:val="0"/>
              <w:spacing w:before="0" w:beforeAutospacing="0" w:after="0" w:afterAutospacing="0" w:line="24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w:t>
            </w:r>
          </w:p>
        </w:tc>
        <w:tc>
          <w:tcPr>
            <w:tcW w:w="1110" w:type="dxa"/>
            <w:vMerge w:val="restart"/>
            <w:tcBorders>
              <w:left w:val="single" w:color="auto" w:sz="4" w:space="0"/>
              <w:right w:val="single" w:color="auto" w:sz="4" w:space="0"/>
            </w:tcBorders>
            <w:noWrap w:val="0"/>
            <w:vAlign w:val="center"/>
          </w:tcPr>
          <w:p w14:paraId="3D3D687D">
            <w:pPr>
              <w:keepNext w:val="0"/>
              <w:keepLines w:val="0"/>
              <w:widowControl w:val="0"/>
              <w:suppressLineNumbers w:val="0"/>
              <w:kinsoku/>
              <w:wordWrap w:val="0"/>
              <w:overflowPunct/>
              <w:bidi w:val="0"/>
              <w:snapToGrid w:val="0"/>
              <w:spacing w:before="0" w:beforeAutospacing="0" w:after="0" w:afterAutospacing="0" w:line="24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类似业绩</w:t>
            </w:r>
          </w:p>
        </w:tc>
        <w:tc>
          <w:tcPr>
            <w:tcW w:w="6228" w:type="dxa"/>
            <w:tcBorders>
              <w:top w:val="single" w:color="auto" w:sz="4" w:space="0"/>
              <w:left w:val="single" w:color="auto" w:sz="4" w:space="0"/>
              <w:right w:val="single" w:color="auto" w:sz="4" w:space="0"/>
            </w:tcBorders>
            <w:noWrap w:val="0"/>
            <w:vAlign w:val="center"/>
          </w:tcPr>
          <w:p w14:paraId="18F8A664">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投标供应商</w:t>
            </w:r>
            <w:r>
              <w:rPr>
                <w:rFonts w:hint="eastAsia" w:ascii="宋体" w:hAnsi="宋体" w:cs="宋体"/>
                <w:b w:val="0"/>
                <w:bCs w:val="0"/>
                <w:color w:val="auto"/>
                <w:sz w:val="21"/>
                <w:szCs w:val="21"/>
                <w:highlight w:val="none"/>
                <w:lang w:val="en-US" w:eastAsia="zh-CN"/>
              </w:rPr>
              <w:t>（如为联合体投标的指房地产开发单位）</w:t>
            </w:r>
            <w:r>
              <w:rPr>
                <w:rFonts w:hint="eastAsia" w:ascii="宋体" w:hAnsi="宋体" w:eastAsia="宋体" w:cs="宋体"/>
                <w:b w:val="0"/>
                <w:bCs w:val="0"/>
                <w:color w:val="auto"/>
                <w:sz w:val="21"/>
                <w:szCs w:val="21"/>
                <w:highlight w:val="none"/>
                <w:lang w:val="en-US" w:eastAsia="zh-CN"/>
              </w:rPr>
              <w:t>自</w:t>
            </w:r>
            <w:r>
              <w:rPr>
                <w:rFonts w:hint="eastAsia" w:ascii="宋体" w:hAnsi="宋体" w:eastAsia="宋体" w:cs="宋体"/>
                <w:b/>
                <w:bCs/>
                <w:color w:val="auto"/>
                <w:sz w:val="21"/>
                <w:szCs w:val="21"/>
                <w:highlight w:val="none"/>
                <w:lang w:val="en-US" w:eastAsia="zh-CN"/>
              </w:rPr>
              <w:t>2020年1月1日</w:t>
            </w:r>
            <w:r>
              <w:rPr>
                <w:rFonts w:hint="eastAsia" w:ascii="宋体" w:hAnsi="宋体" w:eastAsia="宋体" w:cs="宋体"/>
                <w:b w:val="0"/>
                <w:bCs w:val="0"/>
                <w:color w:val="auto"/>
                <w:sz w:val="21"/>
                <w:szCs w:val="21"/>
                <w:highlight w:val="none"/>
                <w:lang w:val="en-US" w:eastAsia="zh-CN"/>
              </w:rPr>
              <w:t>至今(时间以竣工证明材料为准)，完成过单个合同总建筑面积8万平方米及以上房屋建筑类全过程代建项目的或自主开发项目的，得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分。本项最高得分</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p w14:paraId="4083ECD1">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证明材料： ①提供以下证明材料之一即可：1）竣工验收备案表，2）竣工验收意见表，3）其他竣工验收资料，4）建设行政主管部门出具的竣工验收证明，5）质量监督部门出具的竣工验收证明，以上1）、2）、3）项至少须含建设、施工、监理、设计单位四方主体盖章； ②代建合同；</w:t>
            </w:r>
          </w:p>
          <w:p w14:paraId="502B2267">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材料①、②两者缺一不可（若属于自主开发的业绩，则无需提供代建合同）。材料①或②须能体现项目名称、规模、特征、合同签订时间等因素，否则还需提供建设单位或政府主管部门盖章的证明材料。</w:t>
            </w:r>
          </w:p>
          <w:p w14:paraId="7AA5E667">
            <w:pPr>
              <w:keepNext w:val="0"/>
              <w:keepLines w:val="0"/>
              <w:suppressLineNumbers w:val="0"/>
              <w:kinsoku/>
              <w:wordWrap w:val="0"/>
              <w:overflowPunct/>
              <w:bidi w:val="0"/>
              <w:snapToGrid w:val="0"/>
              <w:spacing w:before="0" w:beforeAutospacing="0" w:after="0" w:afterAutospacing="0" w:line="240" w:lineRule="auto"/>
              <w:ind w:left="0" w:leftChars="0" w:right="0" w:rightChars="0"/>
              <w:jc w:val="left"/>
              <w:rPr>
                <w:rFonts w:hint="default" w:ascii="Times New Roman" w:hAnsi="Times New Roman" w:cs="Times New Roman"/>
                <w:color w:val="auto"/>
                <w:highlight w:val="none"/>
                <w:lang w:val="en-US"/>
              </w:rPr>
            </w:pPr>
            <w:r>
              <w:rPr>
                <w:rFonts w:hint="eastAsia" w:ascii="宋体" w:hAnsi="宋体" w:eastAsia="宋体" w:cs="宋体"/>
                <w:b w:val="0"/>
                <w:bCs w:val="0"/>
                <w:color w:val="auto"/>
                <w:sz w:val="21"/>
                <w:szCs w:val="21"/>
                <w:highlight w:val="none"/>
                <w:lang w:val="en-US" w:eastAsia="zh-CN"/>
              </w:rPr>
              <w:t>以上证明材料提供复印件（加盖公章），否则不得分。</w:t>
            </w:r>
          </w:p>
        </w:tc>
        <w:tc>
          <w:tcPr>
            <w:tcW w:w="898" w:type="dxa"/>
            <w:tcBorders>
              <w:top w:val="single" w:color="auto" w:sz="4" w:space="0"/>
              <w:left w:val="single" w:color="auto" w:sz="4" w:space="0"/>
              <w:right w:val="single" w:color="auto" w:sz="4" w:space="0"/>
            </w:tcBorders>
            <w:noWrap w:val="0"/>
            <w:vAlign w:val="center"/>
          </w:tcPr>
          <w:p w14:paraId="0DF255D2">
            <w:pPr>
              <w:keepNext w:val="0"/>
              <w:keepLines w:val="0"/>
              <w:suppressLineNumbers w:val="0"/>
              <w:kinsoku/>
              <w:wordWrap w:val="0"/>
              <w:overflowPunct/>
              <w:autoSpaceDE w:val="0"/>
              <w:autoSpaceDN w:val="0"/>
              <w:bidi w:val="0"/>
              <w:adjustRightInd w:val="0"/>
              <w:spacing w:before="0" w:beforeAutospacing="0" w:after="0" w:afterAutospacing="0" w:line="240" w:lineRule="auto"/>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0-1分</w:t>
            </w:r>
          </w:p>
        </w:tc>
        <w:tc>
          <w:tcPr>
            <w:tcW w:w="1110" w:type="dxa"/>
            <w:tcBorders>
              <w:top w:val="single" w:color="auto" w:sz="4" w:space="0"/>
              <w:left w:val="single" w:color="auto" w:sz="4" w:space="0"/>
              <w:right w:val="single" w:color="auto" w:sz="4" w:space="0"/>
            </w:tcBorders>
            <w:noWrap w:val="0"/>
            <w:vAlign w:val="center"/>
          </w:tcPr>
          <w:p w14:paraId="02708E21">
            <w:pPr>
              <w:keepNext w:val="0"/>
              <w:keepLines w:val="0"/>
              <w:suppressLineNumbers w:val="0"/>
              <w:kinsoku/>
              <w:wordWrap w:val="0"/>
              <w:overflowPunct/>
              <w:autoSpaceDE w:val="0"/>
              <w:autoSpaceDN w:val="0"/>
              <w:bidi w:val="0"/>
              <w:adjustRightInd w:val="0"/>
              <w:spacing w:before="0" w:beforeAutospacing="0" w:after="0" w:afterAutospacing="0" w:line="240" w:lineRule="auto"/>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客观分</w:t>
            </w:r>
          </w:p>
        </w:tc>
      </w:tr>
      <w:tr w14:paraId="5471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1" w:hRule="atLeast"/>
          <w:jc w:val="center"/>
        </w:trPr>
        <w:tc>
          <w:tcPr>
            <w:tcW w:w="686" w:type="dxa"/>
            <w:vMerge w:val="continue"/>
            <w:tcBorders>
              <w:left w:val="single" w:color="auto" w:sz="4" w:space="0"/>
              <w:right w:val="single" w:color="auto" w:sz="4" w:space="0"/>
            </w:tcBorders>
            <w:noWrap w:val="0"/>
            <w:vAlign w:val="center"/>
          </w:tcPr>
          <w:p w14:paraId="1D328E21">
            <w:pPr>
              <w:keepNext w:val="0"/>
              <w:keepLines w:val="0"/>
              <w:widowControl w:val="0"/>
              <w:suppressLineNumbers w:val="0"/>
              <w:kinsoku/>
              <w:wordWrap w:val="0"/>
              <w:overflowPunct/>
              <w:bidi w:val="0"/>
              <w:snapToGrid w:val="0"/>
              <w:spacing w:before="0" w:beforeAutospacing="0" w:after="0" w:afterAutospacing="0" w:line="240" w:lineRule="auto"/>
              <w:ind w:left="0" w:right="0"/>
              <w:jc w:val="center"/>
              <w:rPr>
                <w:rFonts w:hint="eastAsia" w:ascii="宋体" w:hAnsi="宋体" w:eastAsia="宋体" w:cs="宋体"/>
                <w:color w:val="auto"/>
                <w:kern w:val="2"/>
                <w:sz w:val="21"/>
                <w:szCs w:val="21"/>
                <w:highlight w:val="none"/>
                <w:lang w:val="en-US" w:eastAsia="zh-CN" w:bidi="ar"/>
              </w:rPr>
            </w:pPr>
          </w:p>
        </w:tc>
        <w:tc>
          <w:tcPr>
            <w:tcW w:w="1110" w:type="dxa"/>
            <w:vMerge w:val="continue"/>
            <w:tcBorders>
              <w:left w:val="single" w:color="auto" w:sz="4" w:space="0"/>
              <w:right w:val="single" w:color="auto" w:sz="4" w:space="0"/>
            </w:tcBorders>
            <w:noWrap w:val="0"/>
            <w:vAlign w:val="center"/>
          </w:tcPr>
          <w:p w14:paraId="108B6F39">
            <w:pPr>
              <w:keepNext w:val="0"/>
              <w:keepLines w:val="0"/>
              <w:widowControl w:val="0"/>
              <w:suppressLineNumbers w:val="0"/>
              <w:kinsoku/>
              <w:wordWrap w:val="0"/>
              <w:overflowPunct/>
              <w:bidi w:val="0"/>
              <w:snapToGrid w:val="0"/>
              <w:spacing w:before="0" w:beforeAutospacing="0" w:after="0" w:afterAutospacing="0" w:line="240" w:lineRule="auto"/>
              <w:ind w:left="0" w:right="0"/>
              <w:jc w:val="center"/>
              <w:rPr>
                <w:rFonts w:hint="eastAsia" w:ascii="宋体" w:hAnsi="宋体" w:eastAsia="宋体" w:cs="宋体"/>
                <w:color w:val="auto"/>
                <w:kern w:val="2"/>
                <w:sz w:val="21"/>
                <w:szCs w:val="21"/>
                <w:highlight w:val="none"/>
                <w:lang w:val="en-US" w:eastAsia="zh-CN" w:bidi="ar"/>
              </w:rPr>
            </w:pPr>
          </w:p>
        </w:tc>
        <w:tc>
          <w:tcPr>
            <w:tcW w:w="6228" w:type="dxa"/>
            <w:tcBorders>
              <w:top w:val="single" w:color="auto" w:sz="4" w:space="0"/>
              <w:left w:val="single" w:color="auto" w:sz="4" w:space="0"/>
              <w:right w:val="single" w:color="auto" w:sz="4" w:space="0"/>
            </w:tcBorders>
            <w:noWrap w:val="0"/>
            <w:vAlign w:val="center"/>
          </w:tcPr>
          <w:p w14:paraId="630BE782">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投标供应商</w:t>
            </w:r>
            <w:r>
              <w:rPr>
                <w:rFonts w:hint="eastAsia" w:ascii="宋体" w:hAnsi="宋体" w:cs="宋体"/>
                <w:b w:val="0"/>
                <w:bCs w:val="0"/>
                <w:color w:val="auto"/>
                <w:sz w:val="21"/>
                <w:szCs w:val="21"/>
                <w:highlight w:val="none"/>
                <w:lang w:val="en-US" w:eastAsia="zh-CN"/>
              </w:rPr>
              <w:t>（如为联合体投标的指设计单位）</w:t>
            </w:r>
            <w:r>
              <w:rPr>
                <w:rFonts w:hint="eastAsia" w:ascii="宋体" w:hAnsi="宋体" w:eastAsia="宋体" w:cs="宋体"/>
                <w:b w:val="0"/>
                <w:bCs w:val="0"/>
                <w:color w:val="auto"/>
                <w:sz w:val="21"/>
                <w:szCs w:val="21"/>
                <w:highlight w:val="none"/>
                <w:lang w:val="en-US" w:eastAsia="zh-CN"/>
              </w:rPr>
              <w:t>自</w:t>
            </w:r>
            <w:r>
              <w:rPr>
                <w:rFonts w:hint="eastAsia" w:ascii="宋体" w:hAnsi="宋体" w:eastAsia="宋体" w:cs="宋体"/>
                <w:b/>
                <w:bCs/>
                <w:color w:val="auto"/>
                <w:sz w:val="21"/>
                <w:szCs w:val="21"/>
                <w:highlight w:val="none"/>
                <w:lang w:val="en-US" w:eastAsia="zh-CN"/>
              </w:rPr>
              <w:t>2020年1月1日</w:t>
            </w:r>
            <w:r>
              <w:rPr>
                <w:rFonts w:hint="eastAsia" w:ascii="宋体" w:hAnsi="宋体" w:eastAsia="宋体" w:cs="宋体"/>
                <w:b w:val="0"/>
                <w:bCs w:val="0"/>
                <w:color w:val="auto"/>
                <w:sz w:val="21"/>
                <w:szCs w:val="21"/>
                <w:highlight w:val="none"/>
                <w:lang w:val="en-US" w:eastAsia="zh-CN"/>
              </w:rPr>
              <w:t>至今(时间以竣工证明材料为准)，完成过单个合同总建筑面积8万平方米及以上房屋建筑类</w:t>
            </w:r>
            <w:r>
              <w:rPr>
                <w:rFonts w:hint="eastAsia" w:ascii="宋体" w:hAnsi="宋体" w:cs="宋体"/>
                <w:b w:val="0"/>
                <w:bCs w:val="0"/>
                <w:color w:val="auto"/>
                <w:sz w:val="21"/>
                <w:szCs w:val="21"/>
                <w:highlight w:val="none"/>
                <w:lang w:val="en-US" w:eastAsia="zh-CN"/>
              </w:rPr>
              <w:t>设计</w:t>
            </w:r>
            <w:r>
              <w:rPr>
                <w:rFonts w:hint="eastAsia" w:ascii="宋体" w:hAnsi="宋体" w:eastAsia="宋体" w:cs="宋体"/>
                <w:b w:val="0"/>
                <w:bCs w:val="0"/>
                <w:color w:val="auto"/>
                <w:sz w:val="21"/>
                <w:szCs w:val="21"/>
                <w:highlight w:val="none"/>
                <w:lang w:val="en-US" w:eastAsia="zh-CN"/>
              </w:rPr>
              <w:t>项目的，得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分。本项最高得分</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p w14:paraId="0BA86679">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证明材料： ①提供以下证明材料之一即可：1）竣工验收备案表，2）竣工验收意见表，3）其他竣工验收资料，4）建设行政主管部门出具的竣工验收证明，5）质量监督部门出具的竣工验收证明，以上1）、2）、3）项至少须含建设、施工、监理、设计单位四方主体盖章； ②</w:t>
            </w:r>
            <w:r>
              <w:rPr>
                <w:rFonts w:hint="eastAsia" w:ascii="宋体" w:hAnsi="宋体" w:cs="宋体"/>
                <w:b w:val="0"/>
                <w:bCs w:val="0"/>
                <w:color w:val="auto"/>
                <w:sz w:val="21"/>
                <w:szCs w:val="21"/>
                <w:highlight w:val="none"/>
                <w:lang w:val="en-US" w:eastAsia="zh-CN"/>
              </w:rPr>
              <w:t>设计</w:t>
            </w:r>
            <w:r>
              <w:rPr>
                <w:rFonts w:hint="eastAsia" w:ascii="宋体" w:hAnsi="宋体" w:eastAsia="宋体" w:cs="宋体"/>
                <w:b w:val="0"/>
                <w:bCs w:val="0"/>
                <w:color w:val="auto"/>
                <w:sz w:val="21"/>
                <w:szCs w:val="21"/>
                <w:highlight w:val="none"/>
                <w:lang w:val="en-US" w:eastAsia="zh-CN"/>
              </w:rPr>
              <w:t>合同；</w:t>
            </w:r>
          </w:p>
          <w:p w14:paraId="752B3EDE">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材料①、②两者缺一不可。材料①或②须能体现项目名称、规模、特征、合同签订时间等因素，否则还需提供建设单位或政府主管部门盖章的证明材料。</w:t>
            </w:r>
          </w:p>
          <w:p w14:paraId="6EA9A69E">
            <w:pPr>
              <w:keepNext w:val="0"/>
              <w:keepLines w:val="0"/>
              <w:suppressLineNumbers w:val="0"/>
              <w:kinsoku/>
              <w:wordWrap w:val="0"/>
              <w:overflowPunct/>
              <w:bidi w:val="0"/>
              <w:snapToGrid w:val="0"/>
              <w:spacing w:before="0" w:beforeAutospacing="0" w:after="0" w:afterAutospacing="0" w:line="240" w:lineRule="auto"/>
              <w:ind w:left="0" w:leftChars="0" w:right="0" w:rightChars="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以上证明材料提供复印件（加盖公章），否则不得分。</w:t>
            </w:r>
          </w:p>
        </w:tc>
        <w:tc>
          <w:tcPr>
            <w:tcW w:w="898" w:type="dxa"/>
            <w:tcBorders>
              <w:top w:val="single" w:color="auto" w:sz="4" w:space="0"/>
              <w:left w:val="single" w:color="auto" w:sz="4" w:space="0"/>
              <w:right w:val="single" w:color="auto" w:sz="4" w:space="0"/>
            </w:tcBorders>
            <w:noWrap w:val="0"/>
            <w:vAlign w:val="center"/>
          </w:tcPr>
          <w:p w14:paraId="0E7F850F">
            <w:pPr>
              <w:keepNext w:val="0"/>
              <w:keepLines w:val="0"/>
              <w:suppressLineNumbers w:val="0"/>
              <w:kinsoku/>
              <w:wordWrap w:val="0"/>
              <w:overflowPunct/>
              <w:autoSpaceDE w:val="0"/>
              <w:autoSpaceDN w:val="0"/>
              <w:bidi w:val="0"/>
              <w:adjustRightInd w:val="0"/>
              <w:spacing w:before="0" w:beforeAutospacing="0" w:after="0" w:afterAutospacing="0" w:line="240" w:lineRule="auto"/>
              <w:ind w:left="0" w:leftChars="0" w:right="0" w:right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0-1分</w:t>
            </w:r>
          </w:p>
        </w:tc>
        <w:tc>
          <w:tcPr>
            <w:tcW w:w="1110" w:type="dxa"/>
            <w:tcBorders>
              <w:top w:val="single" w:color="auto" w:sz="4" w:space="0"/>
              <w:left w:val="single" w:color="auto" w:sz="4" w:space="0"/>
              <w:right w:val="single" w:color="auto" w:sz="4" w:space="0"/>
            </w:tcBorders>
            <w:noWrap w:val="0"/>
            <w:vAlign w:val="center"/>
          </w:tcPr>
          <w:p w14:paraId="5B05992A">
            <w:pPr>
              <w:keepNext w:val="0"/>
              <w:keepLines w:val="0"/>
              <w:suppressLineNumbers w:val="0"/>
              <w:kinsoku/>
              <w:wordWrap w:val="0"/>
              <w:overflowPunct/>
              <w:autoSpaceDE w:val="0"/>
              <w:autoSpaceDN w:val="0"/>
              <w:bidi w:val="0"/>
              <w:adjustRightInd w:val="0"/>
              <w:spacing w:before="0" w:beforeAutospacing="0" w:after="0" w:afterAutospacing="0" w:line="240" w:lineRule="auto"/>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客观分</w:t>
            </w:r>
          </w:p>
        </w:tc>
      </w:tr>
      <w:tr w14:paraId="404A3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jc w:val="center"/>
        </w:trPr>
        <w:tc>
          <w:tcPr>
            <w:tcW w:w="686" w:type="dxa"/>
            <w:tcBorders>
              <w:left w:val="single" w:color="auto" w:sz="4" w:space="0"/>
              <w:right w:val="single" w:color="auto" w:sz="4" w:space="0"/>
            </w:tcBorders>
            <w:noWrap w:val="0"/>
            <w:vAlign w:val="center"/>
          </w:tcPr>
          <w:p w14:paraId="21E27219">
            <w:pPr>
              <w:keepNext w:val="0"/>
              <w:keepLines w:val="0"/>
              <w:widowControl w:val="0"/>
              <w:suppressLineNumbers w:val="0"/>
              <w:kinsoku/>
              <w:wordWrap w:val="0"/>
              <w:overflowPunct/>
              <w:bidi w:val="0"/>
              <w:snapToGrid w:val="0"/>
              <w:spacing w:before="0" w:beforeAutospacing="0" w:after="0" w:afterAutospacing="0" w:line="240" w:lineRule="auto"/>
              <w:ind w:left="0" w:right="0"/>
              <w:jc w:val="center"/>
              <w:rPr>
                <w:rFonts w:hint="default"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4</w:t>
            </w:r>
          </w:p>
        </w:tc>
        <w:tc>
          <w:tcPr>
            <w:tcW w:w="1110" w:type="dxa"/>
            <w:tcBorders>
              <w:left w:val="single" w:color="auto" w:sz="4" w:space="0"/>
              <w:right w:val="single" w:color="auto" w:sz="4" w:space="0"/>
            </w:tcBorders>
            <w:noWrap w:val="0"/>
            <w:vAlign w:val="center"/>
          </w:tcPr>
          <w:p w14:paraId="7501DB02">
            <w:pPr>
              <w:keepNext w:val="0"/>
              <w:keepLines w:val="0"/>
              <w:widowControl w:val="0"/>
              <w:suppressLineNumbers w:val="0"/>
              <w:kinsoku/>
              <w:wordWrap w:val="0"/>
              <w:overflowPunct/>
              <w:bidi w:val="0"/>
              <w:snapToGrid w:val="0"/>
              <w:spacing w:before="0" w:beforeAutospacing="0" w:after="0" w:afterAutospacing="0" w:line="240" w:lineRule="auto"/>
              <w:ind w:left="0" w:right="0"/>
              <w:jc w:val="center"/>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SA"/>
              </w:rPr>
              <w:t>风行评估</w:t>
            </w:r>
          </w:p>
        </w:tc>
        <w:tc>
          <w:tcPr>
            <w:tcW w:w="6228" w:type="dxa"/>
            <w:tcBorders>
              <w:top w:val="single" w:color="auto" w:sz="4" w:space="0"/>
              <w:left w:val="single" w:color="auto" w:sz="4" w:space="0"/>
              <w:right w:val="single" w:color="auto" w:sz="4" w:space="0"/>
            </w:tcBorders>
            <w:noWrap w:val="0"/>
            <w:vAlign w:val="center"/>
          </w:tcPr>
          <w:p w14:paraId="12335571">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投标供应商（如为联合体投标的指房地产开发单位）2024年末资产负债率≤70%的，得4分；70%＜资产负债率≤80%的，得2分；80%＜资产负债率，不得分。</w:t>
            </w:r>
          </w:p>
          <w:p w14:paraId="6C6EE716">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资产负债率=（2024年末合并财务报表负债总额/2024年未合并财务报表资产总额）*100%</w:t>
            </w:r>
          </w:p>
          <w:p w14:paraId="21A654D0">
            <w:pPr>
              <w:keepNext w:val="0"/>
              <w:keepLines w:val="0"/>
              <w:suppressLineNumbers w:val="0"/>
              <w:kinsoku/>
              <w:wordWrap w:val="0"/>
              <w:overflowPunct/>
              <w:bidi w:val="0"/>
              <w:snapToGrid w:val="0"/>
              <w:spacing w:before="0" w:beforeAutospacing="0" w:after="0" w:afterAutospacing="0" w:line="240" w:lineRule="auto"/>
              <w:ind w:left="0" w:right="0"/>
              <w:jc w:val="lef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有效证明材料：投标时提供相应的2024年度第三方财务审计报告复印件（或上市公司对外披露的2024年度财务报表复印件）并加盖投标供应商公章，未提供不得分。</w:t>
            </w:r>
          </w:p>
        </w:tc>
        <w:tc>
          <w:tcPr>
            <w:tcW w:w="898" w:type="dxa"/>
            <w:tcBorders>
              <w:top w:val="single" w:color="auto" w:sz="4" w:space="0"/>
              <w:left w:val="single" w:color="auto" w:sz="4" w:space="0"/>
              <w:right w:val="single" w:color="auto" w:sz="4" w:space="0"/>
            </w:tcBorders>
            <w:noWrap w:val="0"/>
            <w:vAlign w:val="center"/>
          </w:tcPr>
          <w:p w14:paraId="396BA582">
            <w:pPr>
              <w:keepNext w:val="0"/>
              <w:keepLines w:val="0"/>
              <w:suppressLineNumbers w:val="0"/>
              <w:kinsoku/>
              <w:wordWrap w:val="0"/>
              <w:overflowPunct/>
              <w:autoSpaceDE w:val="0"/>
              <w:autoSpaceDN w:val="0"/>
              <w:bidi w:val="0"/>
              <w:adjustRightInd w:val="0"/>
              <w:spacing w:before="0" w:beforeAutospacing="0" w:after="0" w:afterAutospacing="0" w:line="240" w:lineRule="auto"/>
              <w:ind w:left="0"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0-4分</w:t>
            </w:r>
          </w:p>
        </w:tc>
        <w:tc>
          <w:tcPr>
            <w:tcW w:w="1110" w:type="dxa"/>
            <w:tcBorders>
              <w:top w:val="single" w:color="auto" w:sz="4" w:space="0"/>
              <w:left w:val="single" w:color="auto" w:sz="4" w:space="0"/>
              <w:right w:val="single" w:color="auto" w:sz="4" w:space="0"/>
            </w:tcBorders>
            <w:noWrap w:val="0"/>
            <w:vAlign w:val="center"/>
          </w:tcPr>
          <w:p w14:paraId="6BD2FF59">
            <w:pPr>
              <w:keepNext w:val="0"/>
              <w:keepLines w:val="0"/>
              <w:suppressLineNumbers w:val="0"/>
              <w:kinsoku/>
              <w:wordWrap w:val="0"/>
              <w:overflowPunct/>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客观分</w:t>
            </w:r>
          </w:p>
        </w:tc>
      </w:tr>
      <w:tr w14:paraId="7865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jc w:val="center"/>
        </w:trPr>
        <w:tc>
          <w:tcPr>
            <w:tcW w:w="686" w:type="dxa"/>
            <w:tcBorders>
              <w:left w:val="single" w:color="auto" w:sz="4" w:space="0"/>
              <w:right w:val="single" w:color="auto" w:sz="4" w:space="0"/>
            </w:tcBorders>
            <w:noWrap w:val="0"/>
            <w:vAlign w:val="center"/>
          </w:tcPr>
          <w:p w14:paraId="299C9D58">
            <w:pPr>
              <w:keepNext w:val="0"/>
              <w:keepLines w:val="0"/>
              <w:widowControl w:val="0"/>
              <w:suppressLineNumbers w:val="0"/>
              <w:kinsoku/>
              <w:wordWrap w:val="0"/>
              <w:overflowPunct/>
              <w:bidi w:val="0"/>
              <w:snapToGrid w:val="0"/>
              <w:spacing w:before="0" w:beforeAutospacing="0" w:after="0" w:afterAutospacing="0" w:line="24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5</w:t>
            </w:r>
          </w:p>
        </w:tc>
        <w:tc>
          <w:tcPr>
            <w:tcW w:w="1110" w:type="dxa"/>
            <w:tcBorders>
              <w:left w:val="single" w:color="auto" w:sz="4" w:space="0"/>
              <w:right w:val="single" w:color="auto" w:sz="4" w:space="0"/>
            </w:tcBorders>
            <w:noWrap w:val="0"/>
            <w:vAlign w:val="center"/>
          </w:tcPr>
          <w:p w14:paraId="0F0943EB">
            <w:pPr>
              <w:keepNext w:val="0"/>
              <w:keepLines w:val="0"/>
              <w:widowControl w:val="0"/>
              <w:suppressLineNumbers w:val="0"/>
              <w:kinsoku/>
              <w:wordWrap w:val="0"/>
              <w:overflowPunct/>
              <w:bidi w:val="0"/>
              <w:snapToGrid w:val="0"/>
              <w:spacing w:before="0" w:beforeAutospacing="0" w:after="0" w:afterAutospacing="0" w:line="240" w:lineRule="auto"/>
              <w:ind w:left="0" w:right="0"/>
              <w:jc w:val="center"/>
              <w:rPr>
                <w:rFonts w:hint="default" w:ascii="宋体" w:hAnsi="宋体" w:eastAsia="宋体" w:cs="宋体"/>
                <w:color w:val="auto"/>
                <w:kern w:val="2"/>
                <w:sz w:val="21"/>
                <w:szCs w:val="21"/>
                <w:highlight w:val="none"/>
                <w:lang w:val="en-US" w:eastAsia="zh-CN" w:bidi="ar"/>
              </w:rPr>
            </w:pPr>
            <w:r>
              <w:rPr>
                <w:rFonts w:hint="default" w:ascii="宋体" w:hAnsi="宋体" w:eastAsia="宋体" w:cs="宋体"/>
                <w:color w:val="auto"/>
                <w:kern w:val="2"/>
                <w:sz w:val="21"/>
                <w:szCs w:val="21"/>
                <w:highlight w:val="none"/>
                <w:lang w:val="en-US" w:eastAsia="zh-CN" w:bidi="ar"/>
              </w:rPr>
              <w:t>项目全周期开发方案</w:t>
            </w:r>
          </w:p>
        </w:tc>
        <w:tc>
          <w:tcPr>
            <w:tcW w:w="6228" w:type="dxa"/>
            <w:tcBorders>
              <w:top w:val="single" w:color="auto" w:sz="4" w:space="0"/>
              <w:left w:val="single" w:color="auto" w:sz="4" w:space="0"/>
              <w:right w:val="single" w:color="auto" w:sz="4" w:space="0"/>
            </w:tcBorders>
            <w:noWrap w:val="0"/>
            <w:vAlign w:val="center"/>
          </w:tcPr>
          <w:p w14:paraId="42E8C85A">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根据供应商提供的项目全周期开发方案进行评价。</w:t>
            </w:r>
          </w:p>
          <w:p w14:paraId="34E65C6E">
            <w:pPr>
              <w:keepNext w:val="0"/>
              <w:keepLines w:val="0"/>
              <w:suppressLineNumbers w:val="0"/>
              <w:kinsoku/>
              <w:wordWrap w:val="0"/>
              <w:overflowPunct/>
              <w:bidi w:val="0"/>
              <w:snapToGrid w:val="0"/>
              <w:spacing w:before="0" w:beforeAutospacing="0" w:after="0" w:afterAutospacing="0" w:line="240" w:lineRule="auto"/>
              <w:ind w:left="0" w:right="0"/>
              <w:jc w:val="lef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评分范围：10、8、6、</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0</w:t>
            </w:r>
          </w:p>
          <w:p w14:paraId="21D527E0">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要求：项目全周期开发方案应包括：</w:t>
            </w:r>
          </w:p>
          <w:p w14:paraId="7CE222F6">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（1）全周期建设的总体安排；</w:t>
            </w:r>
          </w:p>
          <w:p w14:paraId="55BDEA2A">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（2）项目现状及管理中难点、特点的分析；</w:t>
            </w:r>
          </w:p>
          <w:p w14:paraId="6D3FB09C">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（3）设计要求、质量、进度、安全、技术管理目标总体分析。</w:t>
            </w:r>
          </w:p>
        </w:tc>
        <w:tc>
          <w:tcPr>
            <w:tcW w:w="898" w:type="dxa"/>
            <w:tcBorders>
              <w:top w:val="single" w:color="auto" w:sz="4" w:space="0"/>
              <w:left w:val="single" w:color="auto" w:sz="4" w:space="0"/>
              <w:right w:val="single" w:color="auto" w:sz="4" w:space="0"/>
            </w:tcBorders>
            <w:noWrap w:val="0"/>
            <w:vAlign w:val="center"/>
          </w:tcPr>
          <w:p w14:paraId="3D950E1B">
            <w:pPr>
              <w:keepNext w:val="0"/>
              <w:keepLines w:val="0"/>
              <w:suppressLineNumbers w:val="0"/>
              <w:kinsoku/>
              <w:wordWrap w:val="0"/>
              <w:overflowPunct/>
              <w:autoSpaceDE w:val="0"/>
              <w:autoSpaceDN w:val="0"/>
              <w:bidi w:val="0"/>
              <w:adjustRightInd w:val="0"/>
              <w:spacing w:before="0" w:beforeAutospacing="0" w:after="0" w:afterAutospacing="0" w:line="240" w:lineRule="auto"/>
              <w:ind w:left="0" w:right="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0-10分</w:t>
            </w:r>
          </w:p>
        </w:tc>
        <w:tc>
          <w:tcPr>
            <w:tcW w:w="1110" w:type="dxa"/>
            <w:tcBorders>
              <w:top w:val="single" w:color="auto" w:sz="4" w:space="0"/>
              <w:left w:val="single" w:color="auto" w:sz="4" w:space="0"/>
              <w:right w:val="single" w:color="auto" w:sz="4" w:space="0"/>
            </w:tcBorders>
            <w:noWrap w:val="0"/>
            <w:vAlign w:val="center"/>
          </w:tcPr>
          <w:p w14:paraId="5906E6D4">
            <w:pPr>
              <w:keepNext w:val="0"/>
              <w:keepLines w:val="0"/>
              <w:suppressLineNumbers w:val="0"/>
              <w:kinsoku/>
              <w:wordWrap w:val="0"/>
              <w:overflowPunct/>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主观分</w:t>
            </w:r>
          </w:p>
        </w:tc>
      </w:tr>
      <w:tr w14:paraId="67016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jc w:val="center"/>
        </w:trPr>
        <w:tc>
          <w:tcPr>
            <w:tcW w:w="686" w:type="dxa"/>
            <w:tcBorders>
              <w:left w:val="single" w:color="auto" w:sz="4" w:space="0"/>
              <w:right w:val="single" w:color="auto" w:sz="4" w:space="0"/>
            </w:tcBorders>
            <w:noWrap w:val="0"/>
            <w:vAlign w:val="center"/>
          </w:tcPr>
          <w:p w14:paraId="111D18D9">
            <w:pPr>
              <w:keepNext w:val="0"/>
              <w:keepLines w:val="0"/>
              <w:widowControl w:val="0"/>
              <w:suppressLineNumbers w:val="0"/>
              <w:kinsoku/>
              <w:wordWrap w:val="0"/>
              <w:overflowPunct/>
              <w:bidi w:val="0"/>
              <w:snapToGrid w:val="0"/>
              <w:spacing w:before="0" w:beforeAutospacing="0" w:after="0" w:afterAutospacing="0" w:line="24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6</w:t>
            </w:r>
          </w:p>
        </w:tc>
        <w:tc>
          <w:tcPr>
            <w:tcW w:w="1110" w:type="dxa"/>
            <w:tcBorders>
              <w:left w:val="single" w:color="auto" w:sz="4" w:space="0"/>
              <w:right w:val="single" w:color="auto" w:sz="4" w:space="0"/>
            </w:tcBorders>
            <w:noWrap w:val="0"/>
            <w:vAlign w:val="center"/>
          </w:tcPr>
          <w:p w14:paraId="5620887E">
            <w:pPr>
              <w:keepNext w:val="0"/>
              <w:keepLines w:val="0"/>
              <w:widowControl w:val="0"/>
              <w:suppressLineNumbers w:val="0"/>
              <w:kinsoku/>
              <w:wordWrap w:val="0"/>
              <w:overflowPunct/>
              <w:bidi w:val="0"/>
              <w:snapToGrid w:val="0"/>
              <w:spacing w:before="0" w:beforeAutospacing="0" w:after="0" w:afterAutospacing="0" w:line="240" w:lineRule="auto"/>
              <w:ind w:left="0" w:right="0"/>
              <w:jc w:val="center"/>
              <w:rPr>
                <w:rFonts w:hint="default" w:ascii="宋体" w:hAnsi="宋体" w:eastAsia="宋体" w:cs="宋体"/>
                <w:color w:val="auto"/>
                <w:kern w:val="2"/>
                <w:sz w:val="21"/>
                <w:szCs w:val="21"/>
                <w:highlight w:val="none"/>
                <w:lang w:val="en-US" w:eastAsia="zh-CN" w:bidi="ar"/>
              </w:rPr>
            </w:pPr>
            <w:r>
              <w:rPr>
                <w:rFonts w:hint="default" w:ascii="宋体" w:hAnsi="宋体" w:eastAsia="宋体" w:cs="宋体"/>
                <w:color w:val="auto"/>
                <w:kern w:val="2"/>
                <w:sz w:val="21"/>
                <w:szCs w:val="21"/>
                <w:highlight w:val="none"/>
                <w:lang w:val="en-US" w:eastAsia="zh-CN" w:bidi="ar"/>
              </w:rPr>
              <w:t>项目市场及客户定位方案</w:t>
            </w:r>
          </w:p>
        </w:tc>
        <w:tc>
          <w:tcPr>
            <w:tcW w:w="6228" w:type="dxa"/>
            <w:tcBorders>
              <w:top w:val="single" w:color="auto" w:sz="4" w:space="0"/>
              <w:left w:val="single" w:color="auto" w:sz="4" w:space="0"/>
              <w:right w:val="single" w:color="auto" w:sz="4" w:space="0"/>
            </w:tcBorders>
            <w:noWrap w:val="0"/>
            <w:vAlign w:val="center"/>
          </w:tcPr>
          <w:p w14:paraId="7C7E2841">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根据供应商提供的项目市场及客户定位方案进行评价。</w:t>
            </w:r>
          </w:p>
          <w:p w14:paraId="56D1518E">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评分范围：</w:t>
            </w:r>
            <w:r>
              <w:rPr>
                <w:rFonts w:hint="eastAsia" w:ascii="宋体" w:hAnsi="宋体" w:cs="宋体"/>
                <w:b w:val="0"/>
                <w:bCs w:val="0"/>
                <w:color w:val="auto"/>
                <w:sz w:val="21"/>
                <w:szCs w:val="21"/>
                <w:highlight w:val="none"/>
                <w:lang w:val="en-US" w:eastAsia="zh-CN"/>
              </w:rPr>
              <w:t>8、6、4、2、0</w:t>
            </w:r>
          </w:p>
          <w:p w14:paraId="67C69E62">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要求：</w:t>
            </w:r>
            <w:r>
              <w:rPr>
                <w:rFonts w:hint="eastAsia" w:ascii="宋体" w:hAnsi="宋体" w:eastAsia="宋体" w:cs="宋体"/>
                <w:b w:val="0"/>
                <w:bCs w:val="0"/>
                <w:color w:val="auto"/>
                <w:sz w:val="21"/>
                <w:szCs w:val="21"/>
                <w:highlight w:val="none"/>
                <w:lang w:val="en-US" w:eastAsia="zh-CN"/>
              </w:rPr>
              <w:t>项目市场及客户定位方案应包括：</w:t>
            </w:r>
          </w:p>
          <w:p w14:paraId="23ADC43D">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（1）项目市场及客户的综合评定，市场定位及目标消费群体购买心理及行为分析；</w:t>
            </w:r>
          </w:p>
          <w:p w14:paraId="0D63665C">
            <w:pPr>
              <w:keepNext w:val="0"/>
              <w:keepLines w:val="0"/>
              <w:suppressLineNumbers w:val="0"/>
              <w:kinsoku/>
              <w:wordWrap w:val="0"/>
              <w:overflowPunct/>
              <w:bidi w:val="0"/>
              <w:snapToGrid w:val="0"/>
              <w:spacing w:before="0" w:beforeAutospacing="0" w:after="0" w:afterAutospacing="0" w:line="240" w:lineRule="auto"/>
              <w:ind w:left="0" w:right="0"/>
              <w:jc w:val="lef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（2）结合项目市场定位及目标客户特征，对市场竞争及客户需求做进一步分析，对项目产品形态提出指导性意见；</w:t>
            </w:r>
          </w:p>
          <w:p w14:paraId="65E487FA">
            <w:pPr>
              <w:keepNext w:val="0"/>
              <w:keepLines w:val="0"/>
              <w:suppressLineNumbers w:val="0"/>
              <w:kinsoku/>
              <w:wordWrap w:val="0"/>
              <w:overflowPunct/>
              <w:bidi w:val="0"/>
              <w:snapToGrid w:val="0"/>
              <w:spacing w:before="0" w:beforeAutospacing="0" w:after="0" w:afterAutospacing="0" w:line="240" w:lineRule="auto"/>
              <w:ind w:left="0" w:right="0"/>
              <w:jc w:val="left"/>
              <w:rPr>
                <w:rFonts w:hint="default" w:ascii="Times New Roman" w:hAnsi="Times New Roman" w:cs="Times New Roman"/>
                <w:color w:val="auto"/>
                <w:highlight w:val="none"/>
                <w:lang w:val="en-US" w:eastAsia="zh-CN"/>
              </w:rPr>
            </w:pPr>
            <w:r>
              <w:rPr>
                <w:rFonts w:hint="eastAsia" w:ascii="宋体" w:hAnsi="宋体" w:eastAsia="宋体" w:cs="宋体"/>
                <w:b w:val="0"/>
                <w:bCs w:val="0"/>
                <w:color w:val="auto"/>
                <w:sz w:val="21"/>
                <w:szCs w:val="21"/>
                <w:highlight w:val="none"/>
                <w:lang w:val="en-US" w:eastAsia="zh-CN"/>
              </w:rPr>
              <w:t>（3）输出项目整体定位及户型配比、客户定位。</w:t>
            </w:r>
          </w:p>
        </w:tc>
        <w:tc>
          <w:tcPr>
            <w:tcW w:w="898" w:type="dxa"/>
            <w:tcBorders>
              <w:top w:val="single" w:color="auto" w:sz="4" w:space="0"/>
              <w:left w:val="single" w:color="auto" w:sz="4" w:space="0"/>
              <w:right w:val="single" w:color="auto" w:sz="4" w:space="0"/>
            </w:tcBorders>
            <w:noWrap w:val="0"/>
            <w:vAlign w:val="center"/>
          </w:tcPr>
          <w:p w14:paraId="0292F8E3">
            <w:pPr>
              <w:keepNext w:val="0"/>
              <w:keepLines w:val="0"/>
              <w:suppressLineNumbers w:val="0"/>
              <w:kinsoku/>
              <w:wordWrap w:val="0"/>
              <w:overflowPunct/>
              <w:autoSpaceDE w:val="0"/>
              <w:autoSpaceDN w:val="0"/>
              <w:bidi w:val="0"/>
              <w:adjustRightInd w:val="0"/>
              <w:spacing w:before="0" w:beforeAutospacing="0" w:after="0" w:afterAutospacing="0" w:line="240" w:lineRule="auto"/>
              <w:ind w:left="0" w:right="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0-8分</w:t>
            </w:r>
          </w:p>
        </w:tc>
        <w:tc>
          <w:tcPr>
            <w:tcW w:w="1110" w:type="dxa"/>
            <w:tcBorders>
              <w:top w:val="single" w:color="auto" w:sz="4" w:space="0"/>
              <w:left w:val="single" w:color="auto" w:sz="4" w:space="0"/>
              <w:right w:val="single" w:color="auto" w:sz="4" w:space="0"/>
            </w:tcBorders>
            <w:noWrap w:val="0"/>
            <w:vAlign w:val="center"/>
          </w:tcPr>
          <w:p w14:paraId="08D15077">
            <w:pPr>
              <w:keepNext w:val="0"/>
              <w:keepLines w:val="0"/>
              <w:suppressLineNumbers w:val="0"/>
              <w:kinsoku/>
              <w:wordWrap w:val="0"/>
              <w:overflowPunct/>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主观分</w:t>
            </w:r>
          </w:p>
        </w:tc>
      </w:tr>
      <w:tr w14:paraId="1D81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6" w:type="dxa"/>
            <w:vMerge w:val="restart"/>
            <w:tcBorders>
              <w:left w:val="single" w:color="auto" w:sz="4" w:space="0"/>
              <w:right w:val="single" w:color="auto" w:sz="4" w:space="0"/>
            </w:tcBorders>
            <w:noWrap w:val="0"/>
            <w:vAlign w:val="center"/>
          </w:tcPr>
          <w:p w14:paraId="6CE15620">
            <w:pPr>
              <w:keepNext w:val="0"/>
              <w:keepLines w:val="0"/>
              <w:widowControl w:val="0"/>
              <w:suppressLineNumbers w:val="0"/>
              <w:kinsoku/>
              <w:wordWrap w:val="0"/>
              <w:overflowPunct/>
              <w:bidi w:val="0"/>
              <w:snapToGrid w:val="0"/>
              <w:spacing w:before="0" w:beforeAutospacing="0" w:after="0" w:afterAutospacing="0" w:line="24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7</w:t>
            </w:r>
          </w:p>
        </w:tc>
        <w:tc>
          <w:tcPr>
            <w:tcW w:w="1110" w:type="dxa"/>
            <w:vMerge w:val="restart"/>
            <w:tcBorders>
              <w:left w:val="single" w:color="auto" w:sz="4" w:space="0"/>
              <w:right w:val="single" w:color="auto" w:sz="4" w:space="0"/>
            </w:tcBorders>
            <w:noWrap w:val="0"/>
            <w:vAlign w:val="center"/>
          </w:tcPr>
          <w:p w14:paraId="407B3E8E">
            <w:pPr>
              <w:keepNext w:val="0"/>
              <w:keepLines w:val="0"/>
              <w:widowControl w:val="0"/>
              <w:suppressLineNumbers w:val="0"/>
              <w:kinsoku/>
              <w:wordWrap w:val="0"/>
              <w:overflowPunct/>
              <w:bidi w:val="0"/>
              <w:snapToGrid w:val="0"/>
              <w:spacing w:before="0" w:beforeAutospacing="0" w:after="0" w:afterAutospacing="0" w:line="24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项目设计方案</w:t>
            </w:r>
          </w:p>
        </w:tc>
        <w:tc>
          <w:tcPr>
            <w:tcW w:w="6228" w:type="dxa"/>
            <w:tcBorders>
              <w:top w:val="single" w:color="auto" w:sz="4" w:space="0"/>
              <w:left w:val="single" w:color="auto" w:sz="4" w:space="0"/>
              <w:right w:val="single" w:color="auto" w:sz="4" w:space="0"/>
            </w:tcBorders>
            <w:noWrap w:val="0"/>
            <w:vAlign w:val="center"/>
          </w:tcPr>
          <w:p w14:paraId="647BFC3C">
            <w:pPr>
              <w:keepNext w:val="0"/>
              <w:keepLines w:val="0"/>
              <w:suppressLineNumbers w:val="0"/>
              <w:kinsoku/>
              <w:wordWrap w:val="0"/>
              <w:overflowPunct/>
              <w:bidi w:val="0"/>
              <w:snapToGrid w:val="0"/>
              <w:spacing w:before="0" w:beforeAutospacing="0" w:after="0" w:afterAutospacing="0" w:line="240" w:lineRule="auto"/>
              <w:ind w:left="0" w:right="0"/>
              <w:jc w:val="left"/>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根据供应商</w:t>
            </w:r>
            <w:r>
              <w:rPr>
                <w:rFonts w:hint="eastAsia" w:ascii="宋体" w:hAnsi="宋体" w:eastAsia="宋体" w:cs="宋体"/>
                <w:b w:val="0"/>
                <w:bCs w:val="0"/>
                <w:color w:val="auto"/>
                <w:sz w:val="21"/>
                <w:szCs w:val="21"/>
                <w:highlight w:val="none"/>
                <w:lang w:val="en-US" w:eastAsia="zh-CN"/>
              </w:rPr>
              <w:t>提供的</w:t>
            </w:r>
            <w:r>
              <w:rPr>
                <w:rFonts w:hint="default" w:ascii="宋体" w:hAnsi="宋体" w:eastAsia="宋体" w:cs="宋体"/>
                <w:b w:val="0"/>
                <w:bCs w:val="0"/>
                <w:color w:val="auto"/>
                <w:sz w:val="21"/>
                <w:szCs w:val="21"/>
                <w:highlight w:val="none"/>
                <w:lang w:val="en-US" w:eastAsia="zh-CN"/>
              </w:rPr>
              <w:t>项目总平</w:t>
            </w:r>
            <w:r>
              <w:rPr>
                <w:rFonts w:hint="eastAsia" w:ascii="宋体" w:hAnsi="宋体" w:cs="宋体"/>
                <w:b w:val="0"/>
                <w:bCs w:val="0"/>
                <w:color w:val="auto"/>
                <w:sz w:val="21"/>
                <w:szCs w:val="21"/>
                <w:highlight w:val="none"/>
                <w:lang w:val="en-US" w:eastAsia="zh-CN"/>
              </w:rPr>
              <w:t>、</w:t>
            </w:r>
            <w:r>
              <w:rPr>
                <w:rFonts w:hint="default" w:ascii="宋体" w:hAnsi="宋体" w:eastAsia="宋体" w:cs="宋体"/>
                <w:b w:val="0"/>
                <w:bCs w:val="0"/>
                <w:color w:val="auto"/>
                <w:sz w:val="21"/>
                <w:szCs w:val="21"/>
                <w:highlight w:val="none"/>
                <w:lang w:val="en-US" w:eastAsia="zh-CN"/>
              </w:rPr>
              <w:t>交通组织进行评价。</w:t>
            </w:r>
          </w:p>
          <w:p w14:paraId="16D8DF35">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评分范围：</w:t>
            </w:r>
            <w:r>
              <w:rPr>
                <w:rFonts w:hint="eastAsia" w:ascii="宋体" w:hAnsi="宋体" w:cs="宋体"/>
                <w:b w:val="0"/>
                <w:bCs w:val="0"/>
                <w:color w:val="auto"/>
                <w:sz w:val="21"/>
                <w:szCs w:val="21"/>
                <w:highlight w:val="none"/>
                <w:lang w:val="en-US" w:eastAsia="zh-CN"/>
              </w:rPr>
              <w:t>8、6、4、2、0</w:t>
            </w:r>
          </w:p>
          <w:p w14:paraId="53B23F7F">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要求：</w:t>
            </w:r>
            <w:r>
              <w:rPr>
                <w:rFonts w:hint="eastAsia" w:ascii="宋体" w:hAnsi="宋体" w:eastAsia="宋体" w:cs="宋体"/>
                <w:b w:val="0"/>
                <w:bCs w:val="0"/>
                <w:color w:val="auto"/>
                <w:sz w:val="21"/>
                <w:szCs w:val="21"/>
                <w:highlight w:val="none"/>
                <w:lang w:val="en-US" w:eastAsia="zh-CN"/>
              </w:rPr>
              <w:t>项目优化方案应包括：</w:t>
            </w:r>
          </w:p>
          <w:p w14:paraId="50C2FFF6">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（1）结合市场定位形成方案，总平布置；</w:t>
            </w:r>
          </w:p>
          <w:p w14:paraId="2F3EC162">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（2）达到图文并茂，必要的节点位置需重点说明。</w:t>
            </w:r>
          </w:p>
        </w:tc>
        <w:tc>
          <w:tcPr>
            <w:tcW w:w="898" w:type="dxa"/>
            <w:tcBorders>
              <w:top w:val="single" w:color="auto" w:sz="4" w:space="0"/>
              <w:left w:val="single" w:color="auto" w:sz="4" w:space="0"/>
              <w:right w:val="single" w:color="auto" w:sz="4" w:space="0"/>
            </w:tcBorders>
            <w:noWrap w:val="0"/>
            <w:vAlign w:val="center"/>
          </w:tcPr>
          <w:p w14:paraId="083BD19E">
            <w:pPr>
              <w:keepNext w:val="0"/>
              <w:keepLines w:val="0"/>
              <w:suppressLineNumbers w:val="0"/>
              <w:kinsoku/>
              <w:wordWrap w:val="0"/>
              <w:overflowPunct/>
              <w:autoSpaceDE w:val="0"/>
              <w:autoSpaceDN w:val="0"/>
              <w:bidi w:val="0"/>
              <w:adjustRightIn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0-8分</w:t>
            </w:r>
          </w:p>
        </w:tc>
        <w:tc>
          <w:tcPr>
            <w:tcW w:w="1110" w:type="dxa"/>
            <w:tcBorders>
              <w:top w:val="single" w:color="auto" w:sz="4" w:space="0"/>
              <w:left w:val="single" w:color="auto" w:sz="4" w:space="0"/>
              <w:right w:val="single" w:color="auto" w:sz="4" w:space="0"/>
            </w:tcBorders>
            <w:noWrap w:val="0"/>
            <w:vAlign w:val="center"/>
          </w:tcPr>
          <w:p w14:paraId="6D979B83">
            <w:pPr>
              <w:keepNext w:val="0"/>
              <w:keepLines w:val="0"/>
              <w:suppressLineNumbers w:val="0"/>
              <w:kinsoku/>
              <w:wordWrap w:val="0"/>
              <w:overflowPunct/>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主观分</w:t>
            </w:r>
          </w:p>
        </w:tc>
      </w:tr>
      <w:tr w14:paraId="2846F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686" w:type="dxa"/>
            <w:vMerge w:val="continue"/>
            <w:tcBorders>
              <w:left w:val="single" w:color="auto" w:sz="4" w:space="0"/>
              <w:right w:val="single" w:color="auto" w:sz="4" w:space="0"/>
            </w:tcBorders>
            <w:noWrap w:val="0"/>
            <w:vAlign w:val="center"/>
          </w:tcPr>
          <w:p w14:paraId="1F4977DD">
            <w:pPr>
              <w:keepNext w:val="0"/>
              <w:keepLines w:val="0"/>
              <w:widowControl w:val="0"/>
              <w:suppressLineNumbers w:val="0"/>
              <w:kinsoku/>
              <w:wordWrap w:val="0"/>
              <w:overflowPunct/>
              <w:bidi w:val="0"/>
              <w:snapToGrid w:val="0"/>
              <w:spacing w:before="0" w:beforeAutospacing="0" w:after="0" w:afterAutospacing="0" w:line="240" w:lineRule="auto"/>
              <w:ind w:left="0" w:right="0"/>
              <w:jc w:val="center"/>
              <w:rPr>
                <w:rFonts w:hint="eastAsia" w:ascii="宋体" w:hAnsi="宋体" w:eastAsia="宋体" w:cs="宋体"/>
                <w:color w:val="auto"/>
                <w:kern w:val="2"/>
                <w:sz w:val="21"/>
                <w:szCs w:val="21"/>
                <w:highlight w:val="none"/>
                <w:lang w:val="en-US" w:eastAsia="zh-CN" w:bidi="ar"/>
              </w:rPr>
            </w:pPr>
          </w:p>
        </w:tc>
        <w:tc>
          <w:tcPr>
            <w:tcW w:w="1110" w:type="dxa"/>
            <w:vMerge w:val="continue"/>
            <w:tcBorders>
              <w:left w:val="single" w:color="auto" w:sz="4" w:space="0"/>
              <w:right w:val="single" w:color="auto" w:sz="4" w:space="0"/>
            </w:tcBorders>
            <w:noWrap w:val="0"/>
            <w:vAlign w:val="center"/>
          </w:tcPr>
          <w:p w14:paraId="2641BE86">
            <w:pPr>
              <w:keepNext w:val="0"/>
              <w:keepLines w:val="0"/>
              <w:widowControl w:val="0"/>
              <w:suppressLineNumbers w:val="0"/>
              <w:kinsoku/>
              <w:wordWrap w:val="0"/>
              <w:overflowPunct/>
              <w:bidi w:val="0"/>
              <w:snapToGrid w:val="0"/>
              <w:spacing w:before="0" w:beforeAutospacing="0" w:after="0" w:afterAutospacing="0" w:line="240" w:lineRule="auto"/>
              <w:ind w:left="0" w:right="0"/>
              <w:jc w:val="center"/>
              <w:rPr>
                <w:rFonts w:hint="eastAsia" w:ascii="宋体" w:hAnsi="宋体" w:eastAsia="宋体" w:cs="宋体"/>
                <w:color w:val="auto"/>
                <w:kern w:val="2"/>
                <w:sz w:val="21"/>
                <w:szCs w:val="21"/>
                <w:highlight w:val="none"/>
                <w:lang w:val="en-US" w:eastAsia="zh-CN" w:bidi="ar"/>
              </w:rPr>
            </w:pPr>
          </w:p>
        </w:tc>
        <w:tc>
          <w:tcPr>
            <w:tcW w:w="6228" w:type="dxa"/>
            <w:tcBorders>
              <w:top w:val="single" w:color="auto" w:sz="4" w:space="0"/>
              <w:left w:val="single" w:color="auto" w:sz="4" w:space="0"/>
              <w:right w:val="single" w:color="auto" w:sz="4" w:space="0"/>
            </w:tcBorders>
            <w:noWrap w:val="0"/>
            <w:vAlign w:val="center"/>
          </w:tcPr>
          <w:p w14:paraId="6D761C4F">
            <w:pPr>
              <w:keepNext w:val="0"/>
              <w:keepLines w:val="0"/>
              <w:suppressLineNumbers w:val="0"/>
              <w:kinsoku/>
              <w:wordWrap w:val="0"/>
              <w:overflowPunct/>
              <w:bidi w:val="0"/>
              <w:snapToGrid w:val="0"/>
              <w:spacing w:before="0" w:beforeAutospacing="0" w:after="0" w:afterAutospacing="0" w:line="240" w:lineRule="auto"/>
              <w:ind w:left="0" w:right="0"/>
              <w:jc w:val="left"/>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根据供应商</w:t>
            </w:r>
            <w:r>
              <w:rPr>
                <w:rFonts w:hint="eastAsia" w:ascii="宋体" w:hAnsi="宋体" w:eastAsia="宋体" w:cs="宋体"/>
                <w:b w:val="0"/>
                <w:bCs w:val="0"/>
                <w:color w:val="auto"/>
                <w:sz w:val="21"/>
                <w:szCs w:val="21"/>
                <w:highlight w:val="none"/>
                <w:lang w:val="en-US" w:eastAsia="zh-CN"/>
              </w:rPr>
              <w:t>提供的</w:t>
            </w:r>
            <w:r>
              <w:rPr>
                <w:rFonts w:hint="default" w:ascii="宋体" w:hAnsi="宋体" w:eastAsia="宋体" w:cs="宋体"/>
                <w:b w:val="0"/>
                <w:bCs w:val="0"/>
                <w:color w:val="auto"/>
                <w:sz w:val="21"/>
                <w:szCs w:val="21"/>
                <w:highlight w:val="none"/>
                <w:lang w:val="en-US" w:eastAsia="zh-CN"/>
              </w:rPr>
              <w:t>项目立面进行评价。</w:t>
            </w:r>
          </w:p>
          <w:p w14:paraId="798FB378">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评分范围：</w:t>
            </w:r>
            <w:r>
              <w:rPr>
                <w:rFonts w:hint="eastAsia" w:ascii="宋体" w:hAnsi="宋体" w:cs="宋体"/>
                <w:b w:val="0"/>
                <w:bCs w:val="0"/>
                <w:color w:val="auto"/>
                <w:sz w:val="21"/>
                <w:szCs w:val="21"/>
                <w:highlight w:val="none"/>
                <w:lang w:val="en-US" w:eastAsia="zh-CN"/>
              </w:rPr>
              <w:t>6、4、2、0</w:t>
            </w:r>
          </w:p>
          <w:p w14:paraId="2DDE767C">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要求：</w:t>
            </w:r>
            <w:r>
              <w:rPr>
                <w:rFonts w:hint="eastAsia" w:ascii="宋体" w:hAnsi="宋体" w:eastAsia="宋体" w:cs="宋体"/>
                <w:b w:val="0"/>
                <w:bCs w:val="0"/>
                <w:color w:val="auto"/>
                <w:sz w:val="21"/>
                <w:szCs w:val="21"/>
                <w:highlight w:val="none"/>
                <w:lang w:val="en-US" w:eastAsia="zh-CN"/>
              </w:rPr>
              <w:t>项目优化方案应包括：</w:t>
            </w:r>
          </w:p>
          <w:p w14:paraId="0C2F5FDB">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（1）结合市场定位形成方案，动线组织立面效果图；</w:t>
            </w:r>
          </w:p>
          <w:p w14:paraId="71DE1C57">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（2）达到图文并茂，必要的节点位置需重点说明。</w:t>
            </w:r>
          </w:p>
        </w:tc>
        <w:tc>
          <w:tcPr>
            <w:tcW w:w="898" w:type="dxa"/>
            <w:tcBorders>
              <w:top w:val="single" w:color="auto" w:sz="4" w:space="0"/>
              <w:left w:val="single" w:color="auto" w:sz="4" w:space="0"/>
              <w:right w:val="single" w:color="auto" w:sz="4" w:space="0"/>
            </w:tcBorders>
            <w:noWrap w:val="0"/>
            <w:vAlign w:val="center"/>
          </w:tcPr>
          <w:p w14:paraId="2EAFA579">
            <w:pPr>
              <w:keepNext w:val="0"/>
              <w:keepLines w:val="0"/>
              <w:suppressLineNumbers w:val="0"/>
              <w:kinsoku/>
              <w:wordWrap w:val="0"/>
              <w:overflowPunct/>
              <w:autoSpaceDE w:val="0"/>
              <w:autoSpaceDN w:val="0"/>
              <w:bidi w:val="0"/>
              <w:adjustRightInd w:val="0"/>
              <w:spacing w:before="0" w:beforeAutospacing="0" w:after="0" w:afterAutospacing="0" w:line="240" w:lineRule="auto"/>
              <w:ind w:left="0"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0-6分</w:t>
            </w:r>
          </w:p>
        </w:tc>
        <w:tc>
          <w:tcPr>
            <w:tcW w:w="1110" w:type="dxa"/>
            <w:tcBorders>
              <w:top w:val="single" w:color="auto" w:sz="4" w:space="0"/>
              <w:left w:val="single" w:color="auto" w:sz="4" w:space="0"/>
              <w:right w:val="single" w:color="auto" w:sz="4" w:space="0"/>
            </w:tcBorders>
            <w:noWrap w:val="0"/>
            <w:vAlign w:val="center"/>
          </w:tcPr>
          <w:p w14:paraId="27BEFC9A">
            <w:pPr>
              <w:keepNext w:val="0"/>
              <w:keepLines w:val="0"/>
              <w:suppressLineNumbers w:val="0"/>
              <w:kinsoku/>
              <w:wordWrap w:val="0"/>
              <w:overflowPunct/>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主观分</w:t>
            </w:r>
          </w:p>
        </w:tc>
      </w:tr>
      <w:tr w14:paraId="7119E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686" w:type="dxa"/>
            <w:vMerge w:val="continue"/>
            <w:tcBorders>
              <w:left w:val="single" w:color="auto" w:sz="4" w:space="0"/>
              <w:right w:val="single" w:color="auto" w:sz="4" w:space="0"/>
            </w:tcBorders>
            <w:noWrap w:val="0"/>
            <w:vAlign w:val="center"/>
          </w:tcPr>
          <w:p w14:paraId="54196820">
            <w:pPr>
              <w:keepNext w:val="0"/>
              <w:keepLines w:val="0"/>
              <w:widowControl w:val="0"/>
              <w:suppressLineNumbers w:val="0"/>
              <w:kinsoku/>
              <w:wordWrap w:val="0"/>
              <w:overflowPunct/>
              <w:bidi w:val="0"/>
              <w:snapToGrid w:val="0"/>
              <w:spacing w:before="0" w:beforeAutospacing="0" w:after="0" w:afterAutospacing="0" w:line="240" w:lineRule="auto"/>
              <w:ind w:left="0" w:right="0"/>
              <w:jc w:val="center"/>
              <w:rPr>
                <w:rFonts w:hint="eastAsia" w:ascii="宋体" w:hAnsi="宋体" w:eastAsia="宋体" w:cs="宋体"/>
                <w:color w:val="auto"/>
                <w:kern w:val="2"/>
                <w:sz w:val="21"/>
                <w:szCs w:val="21"/>
                <w:highlight w:val="none"/>
                <w:lang w:val="en-US" w:eastAsia="zh-CN" w:bidi="ar"/>
              </w:rPr>
            </w:pPr>
          </w:p>
        </w:tc>
        <w:tc>
          <w:tcPr>
            <w:tcW w:w="1110" w:type="dxa"/>
            <w:vMerge w:val="continue"/>
            <w:tcBorders>
              <w:left w:val="single" w:color="auto" w:sz="4" w:space="0"/>
              <w:right w:val="single" w:color="auto" w:sz="4" w:space="0"/>
            </w:tcBorders>
            <w:noWrap w:val="0"/>
            <w:vAlign w:val="center"/>
          </w:tcPr>
          <w:p w14:paraId="694AF4B4">
            <w:pPr>
              <w:keepNext w:val="0"/>
              <w:keepLines w:val="0"/>
              <w:widowControl w:val="0"/>
              <w:suppressLineNumbers w:val="0"/>
              <w:kinsoku/>
              <w:wordWrap w:val="0"/>
              <w:overflowPunct/>
              <w:bidi w:val="0"/>
              <w:snapToGrid w:val="0"/>
              <w:spacing w:before="0" w:beforeAutospacing="0" w:after="0" w:afterAutospacing="0" w:line="240" w:lineRule="auto"/>
              <w:ind w:left="0" w:right="0"/>
              <w:jc w:val="center"/>
              <w:rPr>
                <w:rFonts w:hint="eastAsia" w:ascii="宋体" w:hAnsi="宋体" w:eastAsia="宋体" w:cs="宋体"/>
                <w:color w:val="auto"/>
                <w:kern w:val="2"/>
                <w:sz w:val="21"/>
                <w:szCs w:val="21"/>
                <w:highlight w:val="none"/>
                <w:lang w:val="en-US" w:eastAsia="zh-CN" w:bidi="ar"/>
              </w:rPr>
            </w:pPr>
          </w:p>
        </w:tc>
        <w:tc>
          <w:tcPr>
            <w:tcW w:w="6228" w:type="dxa"/>
            <w:tcBorders>
              <w:top w:val="single" w:color="auto" w:sz="4" w:space="0"/>
              <w:left w:val="single" w:color="auto" w:sz="4" w:space="0"/>
              <w:right w:val="single" w:color="auto" w:sz="4" w:space="0"/>
            </w:tcBorders>
            <w:noWrap w:val="0"/>
            <w:vAlign w:val="center"/>
          </w:tcPr>
          <w:p w14:paraId="4A719074">
            <w:pPr>
              <w:keepNext w:val="0"/>
              <w:keepLines w:val="0"/>
              <w:suppressLineNumbers w:val="0"/>
              <w:kinsoku/>
              <w:wordWrap w:val="0"/>
              <w:overflowPunct/>
              <w:bidi w:val="0"/>
              <w:snapToGrid w:val="0"/>
              <w:spacing w:before="0" w:beforeAutospacing="0" w:after="0" w:afterAutospacing="0" w:line="240" w:lineRule="auto"/>
              <w:ind w:left="0" w:right="0"/>
              <w:jc w:val="left"/>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根据供应商</w:t>
            </w:r>
            <w:r>
              <w:rPr>
                <w:rFonts w:hint="eastAsia" w:ascii="宋体" w:hAnsi="宋体" w:eastAsia="宋体" w:cs="宋体"/>
                <w:b w:val="0"/>
                <w:bCs w:val="0"/>
                <w:color w:val="auto"/>
                <w:sz w:val="21"/>
                <w:szCs w:val="21"/>
                <w:highlight w:val="none"/>
                <w:lang w:val="en-US" w:eastAsia="zh-CN"/>
              </w:rPr>
              <w:t>提供的</w:t>
            </w:r>
            <w:r>
              <w:rPr>
                <w:rFonts w:hint="default" w:ascii="宋体" w:hAnsi="宋体" w:eastAsia="宋体" w:cs="宋体"/>
                <w:b w:val="0"/>
                <w:bCs w:val="0"/>
                <w:color w:val="auto"/>
                <w:sz w:val="21"/>
                <w:szCs w:val="21"/>
                <w:highlight w:val="none"/>
                <w:lang w:val="en-US" w:eastAsia="zh-CN"/>
              </w:rPr>
              <w:t>项目户型进行评价。</w:t>
            </w:r>
          </w:p>
          <w:p w14:paraId="6C3B1B19">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评分范围：</w:t>
            </w:r>
            <w:r>
              <w:rPr>
                <w:rFonts w:hint="eastAsia" w:ascii="宋体" w:hAnsi="宋体" w:cs="宋体"/>
                <w:b w:val="0"/>
                <w:bCs w:val="0"/>
                <w:color w:val="auto"/>
                <w:sz w:val="21"/>
                <w:szCs w:val="21"/>
                <w:highlight w:val="none"/>
                <w:lang w:val="en-US" w:eastAsia="zh-CN"/>
              </w:rPr>
              <w:t>6、4、2、0</w:t>
            </w:r>
          </w:p>
          <w:p w14:paraId="6504DD1B">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要求：</w:t>
            </w:r>
            <w:r>
              <w:rPr>
                <w:rFonts w:hint="eastAsia" w:ascii="宋体" w:hAnsi="宋体" w:eastAsia="宋体" w:cs="宋体"/>
                <w:b w:val="0"/>
                <w:bCs w:val="0"/>
                <w:color w:val="auto"/>
                <w:sz w:val="21"/>
                <w:szCs w:val="21"/>
                <w:highlight w:val="none"/>
                <w:lang w:val="en-US" w:eastAsia="zh-CN"/>
              </w:rPr>
              <w:t>项目优化方案应包括：</w:t>
            </w:r>
          </w:p>
          <w:p w14:paraId="5CEDFB7C">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（1）结合市场定位形成方案，户型图；</w:t>
            </w:r>
          </w:p>
          <w:p w14:paraId="7B878B2E">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（2）达到图文并茂，必要的节点位置需重点说明。</w:t>
            </w:r>
          </w:p>
        </w:tc>
        <w:tc>
          <w:tcPr>
            <w:tcW w:w="898" w:type="dxa"/>
            <w:tcBorders>
              <w:top w:val="single" w:color="auto" w:sz="4" w:space="0"/>
              <w:left w:val="single" w:color="auto" w:sz="4" w:space="0"/>
              <w:right w:val="single" w:color="auto" w:sz="4" w:space="0"/>
            </w:tcBorders>
            <w:noWrap w:val="0"/>
            <w:vAlign w:val="center"/>
          </w:tcPr>
          <w:p w14:paraId="6CDBB7FD">
            <w:pPr>
              <w:keepNext w:val="0"/>
              <w:keepLines w:val="0"/>
              <w:suppressLineNumbers w:val="0"/>
              <w:kinsoku/>
              <w:wordWrap w:val="0"/>
              <w:overflowPunct/>
              <w:autoSpaceDE w:val="0"/>
              <w:autoSpaceDN w:val="0"/>
              <w:bidi w:val="0"/>
              <w:adjustRightInd w:val="0"/>
              <w:spacing w:before="0" w:beforeAutospacing="0" w:after="0" w:afterAutospacing="0" w:line="240" w:lineRule="auto"/>
              <w:ind w:left="0" w:right="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0-6分</w:t>
            </w:r>
          </w:p>
        </w:tc>
        <w:tc>
          <w:tcPr>
            <w:tcW w:w="1110" w:type="dxa"/>
            <w:tcBorders>
              <w:top w:val="single" w:color="auto" w:sz="4" w:space="0"/>
              <w:left w:val="single" w:color="auto" w:sz="4" w:space="0"/>
              <w:right w:val="single" w:color="auto" w:sz="4" w:space="0"/>
            </w:tcBorders>
            <w:noWrap w:val="0"/>
            <w:vAlign w:val="center"/>
          </w:tcPr>
          <w:p w14:paraId="52F5D466">
            <w:pPr>
              <w:keepNext w:val="0"/>
              <w:keepLines w:val="0"/>
              <w:suppressLineNumbers w:val="0"/>
              <w:kinsoku/>
              <w:wordWrap w:val="0"/>
              <w:overflowPunct/>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主观分</w:t>
            </w:r>
          </w:p>
        </w:tc>
      </w:tr>
      <w:tr w14:paraId="56A3D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86" w:type="dxa"/>
            <w:tcBorders>
              <w:left w:val="single" w:color="auto" w:sz="4" w:space="0"/>
              <w:right w:val="single" w:color="auto" w:sz="4" w:space="0"/>
            </w:tcBorders>
            <w:noWrap w:val="0"/>
            <w:vAlign w:val="center"/>
          </w:tcPr>
          <w:p w14:paraId="779B0871">
            <w:pPr>
              <w:keepNext w:val="0"/>
              <w:keepLines w:val="0"/>
              <w:widowControl w:val="0"/>
              <w:suppressLineNumbers w:val="0"/>
              <w:kinsoku/>
              <w:wordWrap w:val="0"/>
              <w:overflowPunct/>
              <w:bidi w:val="0"/>
              <w:snapToGrid w:val="0"/>
              <w:spacing w:before="0" w:beforeAutospacing="0" w:after="0" w:afterAutospacing="0" w:line="24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8</w:t>
            </w:r>
          </w:p>
        </w:tc>
        <w:tc>
          <w:tcPr>
            <w:tcW w:w="1110" w:type="dxa"/>
            <w:tcBorders>
              <w:left w:val="single" w:color="auto" w:sz="4" w:space="0"/>
              <w:right w:val="single" w:color="auto" w:sz="4" w:space="0"/>
            </w:tcBorders>
            <w:noWrap w:val="0"/>
            <w:vAlign w:val="center"/>
          </w:tcPr>
          <w:p w14:paraId="5460988B">
            <w:pPr>
              <w:keepNext w:val="0"/>
              <w:keepLines w:val="0"/>
              <w:widowControl w:val="0"/>
              <w:suppressLineNumbers w:val="0"/>
              <w:kinsoku/>
              <w:wordWrap w:val="0"/>
              <w:overflowPunct/>
              <w:bidi w:val="0"/>
              <w:snapToGrid w:val="0"/>
              <w:spacing w:before="0" w:beforeAutospacing="0" w:after="0" w:afterAutospacing="0" w:line="24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项目质量控制</w:t>
            </w:r>
          </w:p>
        </w:tc>
        <w:tc>
          <w:tcPr>
            <w:tcW w:w="622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912F369">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根据供应商提供的项目质量控制方案进行评价。</w:t>
            </w:r>
          </w:p>
          <w:p w14:paraId="2D42A799">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评分范围：</w:t>
            </w:r>
            <w:r>
              <w:rPr>
                <w:rFonts w:hint="eastAsia" w:ascii="宋体" w:hAnsi="宋体" w:cs="宋体"/>
                <w:b w:val="0"/>
                <w:bCs w:val="0"/>
                <w:color w:val="auto"/>
                <w:sz w:val="21"/>
                <w:szCs w:val="21"/>
                <w:highlight w:val="none"/>
                <w:lang w:val="en-US" w:eastAsia="zh-CN"/>
              </w:rPr>
              <w:t>6、4、2、0</w:t>
            </w:r>
          </w:p>
          <w:p w14:paraId="14197E0C">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要求：</w:t>
            </w:r>
            <w:r>
              <w:rPr>
                <w:rFonts w:hint="eastAsia" w:ascii="宋体" w:hAnsi="宋体" w:eastAsia="宋体" w:cs="宋体"/>
                <w:b w:val="0"/>
                <w:bCs w:val="0"/>
                <w:color w:val="auto"/>
                <w:sz w:val="21"/>
                <w:szCs w:val="21"/>
                <w:highlight w:val="none"/>
                <w:lang w:val="en-US" w:eastAsia="zh-CN"/>
              </w:rPr>
              <w:t>项目质量控制方案应包括：</w:t>
            </w:r>
          </w:p>
          <w:p w14:paraId="796214CD">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（1）总体质量管理目标；</w:t>
            </w:r>
          </w:p>
          <w:p w14:paraId="37D5AAAE">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（2）质量目标控制的主要措施；</w:t>
            </w:r>
          </w:p>
          <w:p w14:paraId="7249AE69">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（3）工程质量控制重点分析；</w:t>
            </w:r>
          </w:p>
          <w:p w14:paraId="1A1FB40B">
            <w:pPr>
              <w:keepNext w:val="0"/>
              <w:keepLines w:val="0"/>
              <w:suppressLineNumbers w:val="0"/>
              <w:kinsoku/>
              <w:wordWrap w:val="0"/>
              <w:overflowPunct/>
              <w:bidi w:val="0"/>
              <w:snapToGrid w:val="0"/>
              <w:spacing w:before="0" w:beforeAutospacing="0" w:after="0" w:afterAutospacing="0" w:line="240" w:lineRule="auto"/>
              <w:ind w:left="0" w:right="0"/>
              <w:jc w:val="left"/>
              <w:rPr>
                <w:rFonts w:hint="default" w:ascii="Times New Roman" w:hAnsi="Times New Roman" w:cs="Times New Roman"/>
                <w:color w:val="auto"/>
                <w:spacing w:val="-1"/>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（4）各单位工程、分部分项工程的质量控制、施工技术应用控制及各种材料的质量保证措施。</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1D60D8F9">
            <w:pPr>
              <w:keepNext w:val="0"/>
              <w:keepLines w:val="0"/>
              <w:suppressLineNumbers w:val="0"/>
              <w:kinsoku/>
              <w:wordWrap w:val="0"/>
              <w:overflowPunct/>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0-6分</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0319E477">
            <w:pPr>
              <w:keepNext w:val="0"/>
              <w:keepLines w:val="0"/>
              <w:suppressLineNumbers w:val="0"/>
              <w:kinsoku/>
              <w:wordWrap w:val="0"/>
              <w:overflowPunct/>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主观分</w:t>
            </w:r>
          </w:p>
        </w:tc>
      </w:tr>
      <w:tr w14:paraId="1717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86" w:type="dxa"/>
            <w:tcBorders>
              <w:left w:val="single" w:color="auto" w:sz="4" w:space="0"/>
              <w:right w:val="single" w:color="auto" w:sz="4" w:space="0"/>
            </w:tcBorders>
            <w:noWrap w:val="0"/>
            <w:vAlign w:val="center"/>
          </w:tcPr>
          <w:p w14:paraId="7818D520">
            <w:pPr>
              <w:keepNext w:val="0"/>
              <w:keepLines w:val="0"/>
              <w:widowControl w:val="0"/>
              <w:suppressLineNumbers w:val="0"/>
              <w:kinsoku/>
              <w:wordWrap w:val="0"/>
              <w:overflowPunct/>
              <w:bidi w:val="0"/>
              <w:snapToGrid w:val="0"/>
              <w:spacing w:before="0" w:beforeAutospacing="0" w:after="0" w:afterAutospacing="0" w:line="24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9</w:t>
            </w:r>
          </w:p>
        </w:tc>
        <w:tc>
          <w:tcPr>
            <w:tcW w:w="1110" w:type="dxa"/>
            <w:tcBorders>
              <w:left w:val="single" w:color="auto" w:sz="4" w:space="0"/>
              <w:right w:val="single" w:color="auto" w:sz="4" w:space="0"/>
            </w:tcBorders>
            <w:noWrap w:val="0"/>
            <w:vAlign w:val="center"/>
          </w:tcPr>
          <w:p w14:paraId="4EF1E31E">
            <w:pPr>
              <w:keepNext w:val="0"/>
              <w:keepLines w:val="0"/>
              <w:widowControl w:val="0"/>
              <w:suppressLineNumbers w:val="0"/>
              <w:kinsoku/>
              <w:wordWrap w:val="0"/>
              <w:overflowPunct/>
              <w:bidi w:val="0"/>
              <w:snapToGrid w:val="0"/>
              <w:spacing w:before="0" w:beforeAutospacing="0" w:after="0" w:afterAutospacing="0" w:line="24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项目进度控制</w:t>
            </w:r>
          </w:p>
        </w:tc>
        <w:tc>
          <w:tcPr>
            <w:tcW w:w="622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809294E">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根据供应商提供的项目进度控制方案进行评价。</w:t>
            </w:r>
          </w:p>
          <w:p w14:paraId="3F750948">
            <w:pPr>
              <w:keepNext w:val="0"/>
              <w:keepLines w:val="0"/>
              <w:suppressLineNumbers w:val="0"/>
              <w:kinsoku/>
              <w:wordWrap w:val="0"/>
              <w:overflowPunct/>
              <w:bidi w:val="0"/>
              <w:snapToGrid w:val="0"/>
              <w:spacing w:before="0" w:beforeAutospacing="0" w:after="0" w:afterAutospacing="0" w:line="240" w:lineRule="auto"/>
              <w:ind w:left="0" w:right="0"/>
              <w:jc w:val="lef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评分范围：</w:t>
            </w:r>
            <w:r>
              <w:rPr>
                <w:rFonts w:hint="eastAsia" w:ascii="宋体" w:hAnsi="宋体" w:cs="宋体"/>
                <w:b w:val="0"/>
                <w:bCs w:val="0"/>
                <w:color w:val="auto"/>
                <w:sz w:val="21"/>
                <w:szCs w:val="21"/>
                <w:highlight w:val="none"/>
                <w:lang w:val="en-US" w:eastAsia="zh-CN"/>
              </w:rPr>
              <w:t>6、4、2、0</w:t>
            </w:r>
          </w:p>
          <w:p w14:paraId="624754A7">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要求：</w:t>
            </w:r>
            <w:r>
              <w:rPr>
                <w:rFonts w:hint="eastAsia" w:ascii="宋体" w:hAnsi="宋体" w:eastAsia="宋体" w:cs="宋体"/>
                <w:b w:val="0"/>
                <w:bCs w:val="0"/>
                <w:color w:val="auto"/>
                <w:sz w:val="21"/>
                <w:szCs w:val="21"/>
                <w:highlight w:val="none"/>
                <w:lang w:val="en-US" w:eastAsia="zh-CN"/>
              </w:rPr>
              <w:t>项目进度控制方案应包括：</w:t>
            </w:r>
          </w:p>
          <w:p w14:paraId="071C4FDB">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（1）整体进度目标及阶段目标；</w:t>
            </w:r>
          </w:p>
          <w:p w14:paraId="3578CB30">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（2）前期实施阶段的管理；</w:t>
            </w:r>
          </w:p>
          <w:p w14:paraId="12F3E4E6">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（3）进度目标控制的主要措施；</w:t>
            </w:r>
          </w:p>
          <w:p w14:paraId="1B8E6A27">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（4）各阶段施工实施计划；</w:t>
            </w:r>
          </w:p>
          <w:p w14:paraId="2C61A637">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Times New Roman" w:hAnsi="Times New Roman" w:cs="Times New Roman"/>
                <w:color w:val="auto"/>
                <w:spacing w:val="-1"/>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（5）进度控制的重点、难点分析及临时补救措施。</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2C355B92">
            <w:pPr>
              <w:keepNext w:val="0"/>
              <w:keepLines w:val="0"/>
              <w:suppressLineNumbers w:val="0"/>
              <w:kinsoku/>
              <w:wordWrap w:val="0"/>
              <w:overflowPunct/>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0-6分</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495557E2">
            <w:pPr>
              <w:keepNext w:val="0"/>
              <w:keepLines w:val="0"/>
              <w:suppressLineNumbers w:val="0"/>
              <w:kinsoku/>
              <w:wordWrap w:val="0"/>
              <w:overflowPunct/>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主观分</w:t>
            </w:r>
          </w:p>
        </w:tc>
      </w:tr>
      <w:tr w14:paraId="1717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86" w:type="dxa"/>
            <w:tcBorders>
              <w:left w:val="single" w:color="auto" w:sz="4" w:space="0"/>
              <w:right w:val="single" w:color="auto" w:sz="4" w:space="0"/>
            </w:tcBorders>
            <w:noWrap w:val="0"/>
            <w:vAlign w:val="center"/>
          </w:tcPr>
          <w:p w14:paraId="1745F12F">
            <w:pPr>
              <w:keepNext w:val="0"/>
              <w:keepLines w:val="0"/>
              <w:widowControl w:val="0"/>
              <w:suppressLineNumbers w:val="0"/>
              <w:kinsoku/>
              <w:wordWrap w:val="0"/>
              <w:overflowPunct/>
              <w:bidi w:val="0"/>
              <w:snapToGrid w:val="0"/>
              <w:spacing w:before="0" w:beforeAutospacing="0" w:after="0" w:afterAutospacing="0" w:line="24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10</w:t>
            </w:r>
          </w:p>
        </w:tc>
        <w:tc>
          <w:tcPr>
            <w:tcW w:w="1110" w:type="dxa"/>
            <w:tcBorders>
              <w:left w:val="single" w:color="auto" w:sz="4" w:space="0"/>
              <w:right w:val="single" w:color="auto" w:sz="4" w:space="0"/>
            </w:tcBorders>
            <w:noWrap w:val="0"/>
            <w:vAlign w:val="center"/>
          </w:tcPr>
          <w:p w14:paraId="5929A276">
            <w:pPr>
              <w:keepNext w:val="0"/>
              <w:keepLines w:val="0"/>
              <w:widowControl w:val="0"/>
              <w:suppressLineNumbers w:val="0"/>
              <w:kinsoku/>
              <w:wordWrap w:val="0"/>
              <w:overflowPunct/>
              <w:bidi w:val="0"/>
              <w:snapToGrid w:val="0"/>
              <w:spacing w:before="0" w:beforeAutospacing="0" w:after="0" w:afterAutospacing="0" w:line="24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项目成本控制</w:t>
            </w:r>
          </w:p>
        </w:tc>
        <w:tc>
          <w:tcPr>
            <w:tcW w:w="622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BEFFDC6">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根据供应商提供的项目成本控制方案进行评价。</w:t>
            </w:r>
          </w:p>
          <w:p w14:paraId="7758A0EE">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评分范围：</w:t>
            </w:r>
            <w:r>
              <w:rPr>
                <w:rFonts w:hint="eastAsia" w:ascii="宋体" w:hAnsi="宋体" w:cs="宋体"/>
                <w:b w:val="0"/>
                <w:bCs w:val="0"/>
                <w:color w:val="auto"/>
                <w:sz w:val="21"/>
                <w:szCs w:val="21"/>
                <w:highlight w:val="none"/>
                <w:lang w:val="en-US" w:eastAsia="zh-CN"/>
              </w:rPr>
              <w:t>6、4、2、0</w:t>
            </w:r>
          </w:p>
          <w:p w14:paraId="574E7AB2">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要求：</w:t>
            </w:r>
            <w:r>
              <w:rPr>
                <w:rFonts w:hint="eastAsia" w:ascii="宋体" w:hAnsi="宋体" w:eastAsia="宋体" w:cs="宋体"/>
                <w:b w:val="0"/>
                <w:bCs w:val="0"/>
                <w:color w:val="auto"/>
                <w:sz w:val="21"/>
                <w:szCs w:val="21"/>
                <w:highlight w:val="none"/>
                <w:lang w:val="en-US" w:eastAsia="zh-CN"/>
              </w:rPr>
              <w:t>项目成本控制方案应包括：</w:t>
            </w:r>
          </w:p>
          <w:p w14:paraId="5604C00A">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（1）成本控制目标及计划；</w:t>
            </w:r>
          </w:p>
          <w:p w14:paraId="2A3FE033">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（2）施工现场的联系单控制；</w:t>
            </w:r>
          </w:p>
          <w:p w14:paraId="62796C3B">
            <w:pPr>
              <w:keepNext w:val="0"/>
              <w:keepLines w:val="0"/>
              <w:suppressLineNumbers w:val="0"/>
              <w:kinsoku/>
              <w:wordWrap w:val="0"/>
              <w:overflowPunct/>
              <w:bidi w:val="0"/>
              <w:snapToGrid w:val="0"/>
              <w:spacing w:before="0" w:beforeAutospacing="0" w:after="0" w:afterAutospacing="0" w:line="240" w:lineRule="auto"/>
              <w:ind w:left="0" w:right="0"/>
              <w:jc w:val="left"/>
              <w:rPr>
                <w:rFonts w:hint="default" w:ascii="Times New Roman" w:hAnsi="Times New Roman" w:cs="Times New Roman"/>
                <w:color w:val="auto"/>
                <w:spacing w:val="-1"/>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（3）竣工决算的控制。</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1EE52B01">
            <w:pPr>
              <w:keepNext w:val="0"/>
              <w:keepLines w:val="0"/>
              <w:suppressLineNumbers w:val="0"/>
              <w:kinsoku/>
              <w:wordWrap w:val="0"/>
              <w:overflowPunct/>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0-6分</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68332D5A">
            <w:pPr>
              <w:keepNext w:val="0"/>
              <w:keepLines w:val="0"/>
              <w:suppressLineNumbers w:val="0"/>
              <w:kinsoku/>
              <w:wordWrap w:val="0"/>
              <w:overflowPunct/>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主观分</w:t>
            </w:r>
          </w:p>
        </w:tc>
      </w:tr>
      <w:tr w14:paraId="1FABB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86" w:type="dxa"/>
            <w:tcBorders>
              <w:left w:val="single" w:color="auto" w:sz="4" w:space="0"/>
              <w:right w:val="single" w:color="auto" w:sz="4" w:space="0"/>
            </w:tcBorders>
            <w:noWrap w:val="0"/>
            <w:vAlign w:val="center"/>
          </w:tcPr>
          <w:p w14:paraId="1075C08E">
            <w:pPr>
              <w:keepNext w:val="0"/>
              <w:keepLines w:val="0"/>
              <w:widowControl w:val="0"/>
              <w:suppressLineNumbers w:val="0"/>
              <w:kinsoku/>
              <w:wordWrap w:val="0"/>
              <w:overflowPunct/>
              <w:bidi w:val="0"/>
              <w:snapToGrid w:val="0"/>
              <w:spacing w:before="0" w:beforeAutospacing="0" w:after="0" w:afterAutospacing="0" w:line="24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11</w:t>
            </w:r>
          </w:p>
        </w:tc>
        <w:tc>
          <w:tcPr>
            <w:tcW w:w="1110" w:type="dxa"/>
            <w:tcBorders>
              <w:left w:val="single" w:color="auto" w:sz="4" w:space="0"/>
              <w:right w:val="single" w:color="auto" w:sz="4" w:space="0"/>
            </w:tcBorders>
            <w:noWrap w:val="0"/>
            <w:vAlign w:val="center"/>
          </w:tcPr>
          <w:p w14:paraId="67D8FABF">
            <w:pPr>
              <w:keepNext w:val="0"/>
              <w:keepLines w:val="0"/>
              <w:widowControl w:val="0"/>
              <w:suppressLineNumbers w:val="0"/>
              <w:kinsoku/>
              <w:wordWrap w:val="0"/>
              <w:overflowPunct/>
              <w:bidi w:val="0"/>
              <w:snapToGrid w:val="0"/>
              <w:spacing w:before="0" w:beforeAutospacing="0" w:after="0" w:afterAutospacing="0" w:line="24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项目安全、文明及环境保护控制</w:t>
            </w:r>
          </w:p>
        </w:tc>
        <w:tc>
          <w:tcPr>
            <w:tcW w:w="622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7F15E70">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根据供应商提供的项目安全、文明及环境保护控制方案进行评价。评分范围：</w:t>
            </w:r>
            <w:r>
              <w:rPr>
                <w:rFonts w:hint="eastAsia" w:ascii="宋体" w:hAnsi="宋体" w:cs="宋体"/>
                <w:b w:val="0"/>
                <w:bCs w:val="0"/>
                <w:color w:val="auto"/>
                <w:sz w:val="21"/>
                <w:szCs w:val="21"/>
                <w:highlight w:val="none"/>
                <w:lang w:val="en-US" w:eastAsia="zh-CN"/>
              </w:rPr>
              <w:t>6、4、2、0</w:t>
            </w:r>
          </w:p>
          <w:p w14:paraId="42B134B4">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要求：</w:t>
            </w:r>
            <w:r>
              <w:rPr>
                <w:rFonts w:hint="eastAsia" w:ascii="宋体" w:hAnsi="宋体" w:eastAsia="宋体" w:cs="宋体"/>
                <w:b w:val="0"/>
                <w:bCs w:val="0"/>
                <w:color w:val="auto"/>
                <w:sz w:val="21"/>
                <w:szCs w:val="21"/>
                <w:highlight w:val="none"/>
                <w:lang w:val="en-US" w:eastAsia="zh-CN"/>
              </w:rPr>
              <w:t>项目安全、文明及环境保护控制方案应包括：</w:t>
            </w:r>
          </w:p>
          <w:p w14:paraId="462B7769">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（1）安全、文明保证计划及控制手段；</w:t>
            </w:r>
          </w:p>
          <w:p w14:paraId="18BFBAFC">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（2）重点部位安全措施；</w:t>
            </w:r>
          </w:p>
          <w:p w14:paraId="6309EE1E">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（3）安全管理落实措施；</w:t>
            </w:r>
          </w:p>
          <w:p w14:paraId="2BE0C006">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Times New Roman" w:hAnsi="Times New Roman" w:cs="Times New Roman"/>
                <w:color w:val="auto"/>
                <w:spacing w:val="-1"/>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（4）环境保护控制措施。</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4C9EB0BD">
            <w:pPr>
              <w:keepNext w:val="0"/>
              <w:keepLines w:val="0"/>
              <w:suppressLineNumbers w:val="0"/>
              <w:kinsoku/>
              <w:wordWrap w:val="0"/>
              <w:overflowPunct/>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0-6分</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50E3A436">
            <w:pPr>
              <w:keepNext w:val="0"/>
              <w:keepLines w:val="0"/>
              <w:suppressLineNumbers w:val="0"/>
              <w:kinsoku/>
              <w:wordWrap w:val="0"/>
              <w:overflowPunct/>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主观分</w:t>
            </w:r>
          </w:p>
        </w:tc>
      </w:tr>
      <w:tr w14:paraId="2FE6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86" w:type="dxa"/>
            <w:tcBorders>
              <w:left w:val="single" w:color="auto" w:sz="4" w:space="0"/>
              <w:right w:val="single" w:color="auto" w:sz="4" w:space="0"/>
            </w:tcBorders>
            <w:noWrap w:val="0"/>
            <w:vAlign w:val="center"/>
          </w:tcPr>
          <w:p w14:paraId="5CA3D13B">
            <w:pPr>
              <w:keepNext w:val="0"/>
              <w:keepLines w:val="0"/>
              <w:widowControl w:val="0"/>
              <w:suppressLineNumbers w:val="0"/>
              <w:kinsoku/>
              <w:wordWrap w:val="0"/>
              <w:overflowPunct/>
              <w:bidi w:val="0"/>
              <w:snapToGrid w:val="0"/>
              <w:spacing w:before="0" w:beforeAutospacing="0" w:after="0" w:afterAutospacing="0" w:line="24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12</w:t>
            </w:r>
          </w:p>
        </w:tc>
        <w:tc>
          <w:tcPr>
            <w:tcW w:w="1110" w:type="dxa"/>
            <w:tcBorders>
              <w:left w:val="single" w:color="auto" w:sz="4" w:space="0"/>
              <w:right w:val="single" w:color="auto" w:sz="4" w:space="0"/>
            </w:tcBorders>
            <w:noWrap w:val="0"/>
            <w:vAlign w:val="center"/>
          </w:tcPr>
          <w:p w14:paraId="2F23181B">
            <w:pPr>
              <w:keepNext w:val="0"/>
              <w:keepLines w:val="0"/>
              <w:widowControl w:val="0"/>
              <w:suppressLineNumbers w:val="0"/>
              <w:kinsoku/>
              <w:wordWrap w:val="0"/>
              <w:overflowPunct/>
              <w:bidi w:val="0"/>
              <w:snapToGrid w:val="0"/>
              <w:spacing w:before="0" w:beforeAutospacing="0" w:after="0" w:afterAutospacing="0" w:line="24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项目合同管理及控制措施</w:t>
            </w:r>
          </w:p>
        </w:tc>
        <w:tc>
          <w:tcPr>
            <w:tcW w:w="622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766A7CE">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根据供应商提供的项目合同管理方案进行评价。</w:t>
            </w:r>
          </w:p>
          <w:p w14:paraId="41AC1916">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评分范围：</w:t>
            </w:r>
            <w:r>
              <w:rPr>
                <w:rFonts w:hint="eastAsia" w:ascii="宋体" w:hAnsi="宋体" w:cs="宋体"/>
                <w:b w:val="0"/>
                <w:bCs w:val="0"/>
                <w:color w:val="auto"/>
                <w:sz w:val="21"/>
                <w:szCs w:val="21"/>
                <w:highlight w:val="none"/>
                <w:lang w:val="en-US" w:eastAsia="zh-CN"/>
              </w:rPr>
              <w:t>4、2、1、0</w:t>
            </w:r>
          </w:p>
          <w:p w14:paraId="0045BDF7">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要求：</w:t>
            </w:r>
            <w:r>
              <w:rPr>
                <w:rFonts w:hint="eastAsia" w:ascii="宋体" w:hAnsi="宋体" w:eastAsia="宋体" w:cs="宋体"/>
                <w:b w:val="0"/>
                <w:bCs w:val="0"/>
                <w:color w:val="auto"/>
                <w:sz w:val="21"/>
                <w:szCs w:val="21"/>
                <w:highlight w:val="none"/>
                <w:lang w:val="en-US" w:eastAsia="zh-CN"/>
              </w:rPr>
              <w:t>项目合同管理方案应包括：</w:t>
            </w:r>
          </w:p>
          <w:p w14:paraId="54F25E2E">
            <w:pPr>
              <w:keepNext w:val="0"/>
              <w:keepLines w:val="0"/>
              <w:suppressLineNumbers w:val="0"/>
              <w:kinsoku/>
              <w:wordWrap w:val="0"/>
              <w:overflowPunct/>
              <w:bidi w:val="0"/>
              <w:snapToGrid w:val="0"/>
              <w:spacing w:before="0" w:beforeAutospacing="0" w:after="0" w:afterAutospacing="0" w:line="240" w:lineRule="auto"/>
              <w:ind w:left="0" w:right="0"/>
              <w:jc w:val="lef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（1）合同风险管理分析及控制措施。</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47F2B5F3">
            <w:pPr>
              <w:keepNext w:val="0"/>
              <w:keepLines w:val="0"/>
              <w:suppressLineNumbers w:val="0"/>
              <w:kinsoku/>
              <w:wordWrap w:val="0"/>
              <w:overflowPunct/>
              <w:autoSpaceDE w:val="0"/>
              <w:autoSpaceDN w:val="0"/>
              <w:bidi w:val="0"/>
              <w:adjustRightInd w:val="0"/>
              <w:spacing w:before="0" w:beforeAutospacing="0" w:after="0" w:afterAutospacing="0" w:line="240" w:lineRule="auto"/>
              <w:ind w:left="0"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0-4分</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288AE670">
            <w:pPr>
              <w:keepNext w:val="0"/>
              <w:keepLines w:val="0"/>
              <w:suppressLineNumbers w:val="0"/>
              <w:kinsoku/>
              <w:wordWrap w:val="0"/>
              <w:overflowPunct/>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主观分</w:t>
            </w:r>
          </w:p>
        </w:tc>
      </w:tr>
      <w:tr w14:paraId="0CD87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86" w:type="dxa"/>
            <w:tcBorders>
              <w:left w:val="single" w:color="auto" w:sz="4" w:space="0"/>
              <w:right w:val="single" w:color="auto" w:sz="4" w:space="0"/>
            </w:tcBorders>
            <w:noWrap w:val="0"/>
            <w:vAlign w:val="center"/>
          </w:tcPr>
          <w:p w14:paraId="16B22906">
            <w:pPr>
              <w:keepNext w:val="0"/>
              <w:keepLines w:val="0"/>
              <w:widowControl w:val="0"/>
              <w:suppressLineNumbers w:val="0"/>
              <w:kinsoku/>
              <w:wordWrap w:val="0"/>
              <w:overflowPunct/>
              <w:bidi w:val="0"/>
              <w:snapToGrid w:val="0"/>
              <w:spacing w:before="0" w:beforeAutospacing="0" w:after="0" w:afterAutospacing="0" w:line="24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13</w:t>
            </w:r>
          </w:p>
        </w:tc>
        <w:tc>
          <w:tcPr>
            <w:tcW w:w="1110" w:type="dxa"/>
            <w:tcBorders>
              <w:left w:val="single" w:color="auto" w:sz="4" w:space="0"/>
              <w:right w:val="single" w:color="auto" w:sz="4" w:space="0"/>
            </w:tcBorders>
            <w:noWrap w:val="0"/>
            <w:vAlign w:val="center"/>
          </w:tcPr>
          <w:p w14:paraId="0B2270D2">
            <w:pPr>
              <w:keepNext w:val="0"/>
              <w:keepLines w:val="0"/>
              <w:widowControl w:val="0"/>
              <w:suppressLineNumbers w:val="0"/>
              <w:kinsoku/>
              <w:wordWrap w:val="0"/>
              <w:overflowPunct/>
              <w:bidi w:val="0"/>
              <w:snapToGrid w:val="0"/>
              <w:spacing w:before="0" w:beforeAutospacing="0" w:after="0" w:afterAutospacing="0" w:line="24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项目合理化建议</w:t>
            </w:r>
          </w:p>
        </w:tc>
        <w:tc>
          <w:tcPr>
            <w:tcW w:w="6228" w:type="dxa"/>
            <w:tcBorders>
              <w:top w:val="single" w:color="auto" w:sz="4" w:space="0"/>
              <w:left w:val="single" w:color="auto" w:sz="4" w:space="0"/>
              <w:right w:val="single" w:color="auto" w:sz="4" w:space="0"/>
            </w:tcBorders>
            <w:shd w:val="clear" w:color="auto" w:fill="auto"/>
            <w:noWrap w:val="0"/>
            <w:vAlign w:val="top"/>
          </w:tcPr>
          <w:p w14:paraId="725A42C0">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根据供应商提供的合理化建议进行评价。</w:t>
            </w:r>
          </w:p>
          <w:p w14:paraId="5E9210A2">
            <w:pPr>
              <w:keepNext w:val="0"/>
              <w:keepLines w:val="0"/>
              <w:suppressLineNumbers w:val="0"/>
              <w:kinsoku/>
              <w:wordWrap w:val="0"/>
              <w:overflowPunct/>
              <w:bidi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评分范围：</w:t>
            </w:r>
            <w:r>
              <w:rPr>
                <w:rFonts w:hint="eastAsia" w:ascii="宋体" w:hAnsi="宋体" w:cs="宋体"/>
                <w:b w:val="0"/>
                <w:bCs w:val="0"/>
                <w:color w:val="auto"/>
                <w:sz w:val="21"/>
                <w:szCs w:val="21"/>
                <w:highlight w:val="none"/>
                <w:lang w:val="en-US" w:eastAsia="zh-CN"/>
              </w:rPr>
              <w:t>4、2、1、0</w:t>
            </w:r>
          </w:p>
          <w:p w14:paraId="2039E853">
            <w:pPr>
              <w:keepNext w:val="0"/>
              <w:keepLines w:val="0"/>
              <w:suppressLineNumbers w:val="0"/>
              <w:kinsoku/>
              <w:wordWrap w:val="0"/>
              <w:overflowPunct/>
              <w:bidi w:val="0"/>
              <w:snapToGrid w:val="0"/>
              <w:spacing w:before="0" w:beforeAutospacing="0" w:after="0" w:afterAutospacing="0" w:line="240" w:lineRule="auto"/>
              <w:ind w:left="0" w:right="0"/>
              <w:jc w:val="lef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要求：项目合理化建议应贴合实际，科学合理。</w:t>
            </w:r>
          </w:p>
        </w:tc>
        <w:tc>
          <w:tcPr>
            <w:tcW w:w="898" w:type="dxa"/>
            <w:tcBorders>
              <w:top w:val="single" w:color="auto" w:sz="4" w:space="0"/>
              <w:left w:val="single" w:color="auto" w:sz="4" w:space="0"/>
              <w:right w:val="single" w:color="auto" w:sz="4" w:space="0"/>
            </w:tcBorders>
            <w:noWrap w:val="0"/>
            <w:vAlign w:val="center"/>
          </w:tcPr>
          <w:p w14:paraId="34EB8184">
            <w:pPr>
              <w:keepNext w:val="0"/>
              <w:keepLines w:val="0"/>
              <w:suppressLineNumbers w:val="0"/>
              <w:kinsoku/>
              <w:wordWrap w:val="0"/>
              <w:overflowPunct/>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0-4分</w:t>
            </w:r>
          </w:p>
        </w:tc>
        <w:tc>
          <w:tcPr>
            <w:tcW w:w="1110" w:type="dxa"/>
            <w:tcBorders>
              <w:top w:val="single" w:color="auto" w:sz="4" w:space="0"/>
              <w:left w:val="single" w:color="auto" w:sz="4" w:space="0"/>
              <w:right w:val="single" w:color="auto" w:sz="4" w:space="0"/>
            </w:tcBorders>
            <w:noWrap w:val="0"/>
            <w:vAlign w:val="center"/>
          </w:tcPr>
          <w:p w14:paraId="68FAA5C2">
            <w:pPr>
              <w:keepNext w:val="0"/>
              <w:keepLines w:val="0"/>
              <w:suppressLineNumbers w:val="0"/>
              <w:kinsoku/>
              <w:wordWrap w:val="0"/>
              <w:overflowPunct/>
              <w:autoSpaceDE w:val="0"/>
              <w:autoSpaceDN w:val="0"/>
              <w:bidi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主观分</w:t>
            </w:r>
          </w:p>
        </w:tc>
      </w:tr>
    </w:tbl>
    <w:p w14:paraId="6BF945CB">
      <w:pPr>
        <w:pStyle w:val="15"/>
        <w:kinsoku/>
        <w:wordWrap w:val="0"/>
        <w:overflowPunct/>
        <w:bidi w:val="0"/>
        <w:rPr>
          <w:rFonts w:hint="eastAsia" w:ascii="宋体" w:hAnsi="宋体" w:eastAsia="宋体" w:cs="宋体"/>
          <w:color w:val="auto"/>
          <w:highlight w:val="none"/>
        </w:rPr>
      </w:pPr>
    </w:p>
    <w:p w14:paraId="09D665CD">
      <w:pPr>
        <w:pStyle w:val="14"/>
        <w:shd w:val="clear" w:color="auto" w:fill="auto"/>
        <w:kinsoku/>
        <w:wordWrap w:val="0"/>
        <w:overflowPunct/>
        <w:bidi w:val="0"/>
        <w:adjustRightInd w:val="0"/>
        <w:snapToGrid w:val="0"/>
        <w:spacing w:line="360" w:lineRule="auto"/>
        <w:outlineLvl w:val="1"/>
        <w:rPr>
          <w:rFonts w:hint="eastAsia" w:ascii="宋体" w:hAnsi="宋体" w:eastAsia="宋体" w:cs="宋体"/>
          <w:color w:val="auto"/>
          <w:sz w:val="22"/>
          <w:szCs w:val="22"/>
          <w:highlight w:val="none"/>
        </w:rPr>
      </w:pPr>
      <w:bookmarkStart w:id="161" w:name="_Toc22569"/>
      <w:bookmarkStart w:id="162" w:name="_Toc31681"/>
      <w:bookmarkStart w:id="163" w:name="_Toc16891"/>
      <w:r>
        <w:rPr>
          <w:rFonts w:hint="eastAsia" w:ascii="宋体" w:hAnsi="宋体" w:eastAsia="宋体" w:cs="宋体"/>
          <w:color w:val="auto"/>
          <w:sz w:val="22"/>
          <w:szCs w:val="22"/>
          <w:highlight w:val="none"/>
        </w:rPr>
        <w:t>三、说明</w:t>
      </w:r>
      <w:bookmarkEnd w:id="161"/>
      <w:bookmarkEnd w:id="162"/>
      <w:bookmarkEnd w:id="163"/>
    </w:p>
    <w:p w14:paraId="424011D4">
      <w:pPr>
        <w:pStyle w:val="17"/>
        <w:widowControl w:val="0"/>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1、每个供应商最终得分=商务、技术部分分值（所有评标委员会成员的算术平均值）＋报价部分分值。</w:t>
      </w:r>
    </w:p>
    <w:p w14:paraId="440E0500">
      <w:pPr>
        <w:pStyle w:val="17"/>
        <w:widowControl w:val="0"/>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2、所有分值计算保留小数点后两位，小数点</w:t>
      </w:r>
      <w:r>
        <w:rPr>
          <w:rFonts w:hint="eastAsia" w:hAnsi="宋体" w:cs="宋体"/>
          <w:color w:val="auto"/>
          <w:sz w:val="22"/>
          <w:szCs w:val="22"/>
          <w:highlight w:val="none"/>
          <w:lang w:val="en-US" w:eastAsia="zh-CN"/>
        </w:rPr>
        <w:t>第</w:t>
      </w:r>
      <w:r>
        <w:rPr>
          <w:rFonts w:hint="eastAsia" w:ascii="宋体" w:hAnsi="宋体" w:eastAsia="宋体" w:cs="宋体"/>
          <w:color w:val="auto"/>
          <w:sz w:val="22"/>
          <w:szCs w:val="22"/>
          <w:highlight w:val="none"/>
        </w:rPr>
        <w:t>三位四舍五入。</w:t>
      </w:r>
    </w:p>
    <w:p w14:paraId="1BD9BAB1">
      <w:pPr>
        <w:pStyle w:val="56"/>
        <w:widowControl w:val="0"/>
        <w:shd w:val="clear" w:color="auto" w:fill="auto"/>
        <w:kinsoku/>
        <w:wordWrap w:val="0"/>
        <w:overflowPunct/>
        <w:bidi w:val="0"/>
        <w:snapToGrid w:val="0"/>
        <w:spacing w:line="360" w:lineRule="auto"/>
        <w:jc w:val="center"/>
        <w:outlineLvl w:val="0"/>
        <w:rPr>
          <w:rFonts w:hint="eastAsia" w:ascii="宋体" w:hAnsi="宋体" w:eastAsia="宋体" w:cs="宋体"/>
          <w:b/>
          <w:bCs/>
          <w:color w:val="auto"/>
          <w:sz w:val="32"/>
          <w:szCs w:val="32"/>
          <w:highlight w:val="none"/>
        </w:rPr>
      </w:pPr>
      <w:bookmarkStart w:id="164" w:name="_Toc23666"/>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国企采购活动现场确认声明书</w:t>
      </w:r>
      <w:bookmarkEnd w:id="164"/>
    </w:p>
    <w:p w14:paraId="6B6E88B3">
      <w:pPr>
        <w:pStyle w:val="56"/>
        <w:widowControl w:val="0"/>
        <w:shd w:val="clear" w:color="auto" w:fill="auto"/>
        <w:kinsoku/>
        <w:wordWrap w:val="0"/>
        <w:overflowPunct/>
        <w:bidi w:val="0"/>
        <w:snapToGrid w:val="0"/>
        <w:spacing w:line="360" w:lineRule="auto"/>
        <w:jc w:val="both"/>
        <w:rPr>
          <w:rFonts w:hint="eastAsia" w:ascii="宋体" w:hAnsi="宋体" w:eastAsia="宋体" w:cs="宋体"/>
          <w:color w:val="auto"/>
          <w:sz w:val="22"/>
          <w:szCs w:val="22"/>
          <w:highlight w:val="none"/>
          <w:lang w:eastAsia="zh-CN"/>
        </w:rPr>
      </w:pPr>
      <w:r>
        <w:rPr>
          <w:rFonts w:hint="eastAsia" w:hAnsi="宋体" w:cs="宋体"/>
          <w:color w:val="auto"/>
          <w:kern w:val="0"/>
          <w:sz w:val="22"/>
          <w:szCs w:val="22"/>
          <w:highlight w:val="none"/>
          <w:u w:val="single"/>
          <w:lang w:eastAsia="zh-CN"/>
        </w:rPr>
        <w:t>浙江德亿项目管理咨询有限公司</w:t>
      </w:r>
      <w:r>
        <w:rPr>
          <w:rFonts w:hint="eastAsia" w:ascii="宋体" w:hAnsi="宋体" w:eastAsia="宋体" w:cs="宋体"/>
          <w:color w:val="auto"/>
          <w:kern w:val="0"/>
          <w:sz w:val="22"/>
          <w:szCs w:val="22"/>
          <w:highlight w:val="none"/>
          <w:u w:val="single"/>
        </w:rPr>
        <w:t>（采购组织机构名称）</w:t>
      </w:r>
      <w:r>
        <w:rPr>
          <w:rFonts w:hint="eastAsia" w:hAnsi="宋体" w:eastAsia="宋体" w:cs="宋体"/>
          <w:color w:val="auto"/>
          <w:kern w:val="0"/>
          <w:sz w:val="22"/>
          <w:szCs w:val="22"/>
          <w:highlight w:val="none"/>
          <w:lang w:eastAsia="zh-CN"/>
        </w:rPr>
        <w:t>：</w:t>
      </w:r>
    </w:p>
    <w:p w14:paraId="439179EC">
      <w:pPr>
        <w:pStyle w:val="56"/>
        <w:widowControl w:val="0"/>
        <w:shd w:val="clear" w:color="auto" w:fill="auto"/>
        <w:kinsoku/>
        <w:wordWrap w:val="0"/>
        <w:overflowPunct/>
        <w:bidi w:val="0"/>
        <w:snapToGrid w:val="0"/>
        <w:spacing w:line="360" w:lineRule="auto"/>
        <w:ind w:firstLine="464" w:firstLineChars="200"/>
        <w:jc w:val="both"/>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u w:val="single"/>
        </w:rPr>
        <w:t>本人经由                            （单位）负责人      （姓名）合法授权参加</w:t>
      </w:r>
      <w:r>
        <w:rPr>
          <w:rFonts w:hint="eastAsia" w:hAnsi="宋体" w:cs="宋体"/>
          <w:color w:val="auto"/>
          <w:spacing w:val="6"/>
          <w:sz w:val="22"/>
          <w:szCs w:val="22"/>
          <w:highlight w:val="none"/>
          <w:u w:val="single"/>
          <w:lang w:eastAsia="zh-CN"/>
        </w:rPr>
        <w:t>平阳县万全镇中心区B12地块项目代建（含初步设计及品牌冠名）服务采购</w:t>
      </w:r>
      <w:r>
        <w:rPr>
          <w:rFonts w:hint="eastAsia" w:ascii="宋体" w:hAnsi="宋体" w:eastAsia="宋体" w:cs="宋体"/>
          <w:color w:val="auto"/>
          <w:spacing w:val="6"/>
          <w:sz w:val="22"/>
          <w:szCs w:val="22"/>
          <w:highlight w:val="none"/>
          <w:u w:val="single"/>
        </w:rPr>
        <w:t>（采购编号</w:t>
      </w:r>
      <w:r>
        <w:rPr>
          <w:rFonts w:hint="eastAsia" w:hAnsi="宋体" w:eastAsia="宋体" w:cs="宋体"/>
          <w:color w:val="auto"/>
          <w:spacing w:val="6"/>
          <w:sz w:val="22"/>
          <w:szCs w:val="22"/>
          <w:highlight w:val="none"/>
          <w:u w:val="single"/>
          <w:lang w:eastAsia="zh-CN"/>
        </w:rPr>
        <w:t>：</w:t>
      </w:r>
      <w:r>
        <w:rPr>
          <w:rFonts w:hint="eastAsia" w:hAnsi="宋体" w:cs="宋体"/>
          <w:color w:val="auto"/>
          <w:spacing w:val="6"/>
          <w:sz w:val="22"/>
          <w:szCs w:val="22"/>
          <w:highlight w:val="none"/>
          <w:u w:val="single"/>
          <w:lang w:eastAsia="zh-CN"/>
        </w:rPr>
        <w:t>PYCG250930104</w:t>
      </w:r>
      <w:r>
        <w:rPr>
          <w:rFonts w:hint="eastAsia" w:ascii="宋体" w:hAnsi="宋体" w:eastAsia="宋体" w:cs="宋体"/>
          <w:color w:val="auto"/>
          <w:spacing w:val="6"/>
          <w:sz w:val="22"/>
          <w:szCs w:val="22"/>
          <w:highlight w:val="none"/>
          <w:u w:val="single"/>
        </w:rPr>
        <w:t>）</w:t>
      </w:r>
      <w:r>
        <w:rPr>
          <w:rFonts w:hint="eastAsia" w:ascii="宋体" w:hAnsi="宋体" w:eastAsia="宋体" w:cs="宋体"/>
          <w:color w:val="auto"/>
          <w:spacing w:val="6"/>
          <w:sz w:val="22"/>
          <w:szCs w:val="22"/>
          <w:highlight w:val="none"/>
        </w:rPr>
        <w:t>国企采购活动，经与本单位法人代表（负责人）联系确认，现就有关公平竞争事项郑重声明如下</w:t>
      </w:r>
      <w:r>
        <w:rPr>
          <w:rFonts w:hint="eastAsia" w:hAnsi="宋体" w:eastAsia="宋体" w:cs="宋体"/>
          <w:color w:val="auto"/>
          <w:spacing w:val="6"/>
          <w:sz w:val="22"/>
          <w:szCs w:val="22"/>
          <w:highlight w:val="none"/>
          <w:lang w:eastAsia="zh-CN"/>
        </w:rPr>
        <w:t>：</w:t>
      </w:r>
      <w:r>
        <w:rPr>
          <w:rFonts w:hint="eastAsia" w:ascii="宋体" w:hAnsi="宋体" w:eastAsia="宋体" w:cs="宋体"/>
          <w:color w:val="auto"/>
          <w:spacing w:val="6"/>
          <w:sz w:val="22"/>
          <w:szCs w:val="22"/>
          <w:highlight w:val="none"/>
        </w:rPr>
        <w:t xml:space="preserve"> </w:t>
      </w:r>
    </w:p>
    <w:p w14:paraId="4A3326DF">
      <w:pPr>
        <w:pStyle w:val="64"/>
        <w:widowControl/>
        <w:numPr>
          <w:ilvl w:val="0"/>
          <w:numId w:val="6"/>
        </w:numPr>
        <w:shd w:val="clear" w:color="auto" w:fill="auto"/>
        <w:kinsoku/>
        <w:wordWrap w:val="0"/>
        <w:overflowPunct/>
        <w:bidi w:val="0"/>
        <w:snapToGrid w:val="0"/>
        <w:spacing w:line="360" w:lineRule="auto"/>
        <w:ind w:firstLine="415" w:firstLineChars="18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本单位与采购人之间 </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不存在利害关系 □存在下列利害关系</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lang w:eastAsia="zh-CN"/>
        </w:rPr>
        <w:t>：</w:t>
      </w:r>
    </w:p>
    <w:p w14:paraId="2E57A0A7">
      <w:pPr>
        <w:pStyle w:val="64"/>
        <w:widowControl/>
        <w:shd w:val="clear" w:color="auto" w:fill="auto"/>
        <w:kinsoku/>
        <w:wordWrap w:val="0"/>
        <w:overflowPunct/>
        <w:bidi w:val="0"/>
        <w:snapToGrid w:val="0"/>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A.投资关系    B.行政隶属关系    C.业务指导关系</w:t>
      </w:r>
    </w:p>
    <w:p w14:paraId="2778838D">
      <w:pPr>
        <w:pStyle w:val="64"/>
        <w:widowControl/>
        <w:shd w:val="clear" w:color="auto" w:fill="auto"/>
        <w:kinsoku/>
        <w:wordWrap w:val="0"/>
        <w:overflowPunct/>
        <w:bidi w:val="0"/>
        <w:snapToGrid w:val="0"/>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D.其他可能</w:t>
      </w:r>
      <w:r>
        <w:rPr>
          <w:rFonts w:hint="eastAsia" w:ascii="宋体" w:hAnsi="宋体" w:eastAsia="宋体" w:cs="宋体"/>
          <w:color w:val="auto"/>
          <w:sz w:val="22"/>
          <w:szCs w:val="22"/>
          <w:highlight w:val="none"/>
        </w:rPr>
        <w:t>影响采购公正的</w:t>
      </w:r>
      <w:r>
        <w:rPr>
          <w:rFonts w:hint="eastAsia" w:ascii="宋体" w:hAnsi="宋体" w:eastAsia="宋体" w:cs="宋体"/>
          <w:color w:val="auto"/>
          <w:kern w:val="0"/>
          <w:sz w:val="22"/>
          <w:szCs w:val="22"/>
          <w:highlight w:val="none"/>
        </w:rPr>
        <w:t>利害关系</w:t>
      </w:r>
      <w:r>
        <w:rPr>
          <w:rFonts w:hint="eastAsia" w:ascii="宋体" w:hAnsi="宋体" w:eastAsia="宋体" w:cs="宋体"/>
          <w:color w:val="auto"/>
          <w:kern w:val="0"/>
          <w:sz w:val="22"/>
          <w:szCs w:val="22"/>
          <w:highlight w:val="none"/>
          <w:u w:val="single"/>
        </w:rPr>
        <w:t xml:space="preserve">（如有，请如实说明）                 </w:t>
      </w:r>
      <w:r>
        <w:rPr>
          <w:rFonts w:hint="eastAsia" w:ascii="宋体" w:hAnsi="宋体" w:eastAsia="宋体" w:cs="宋体"/>
          <w:color w:val="auto"/>
          <w:kern w:val="0"/>
          <w:sz w:val="22"/>
          <w:szCs w:val="22"/>
          <w:highlight w:val="none"/>
        </w:rPr>
        <w:t>。</w:t>
      </w:r>
    </w:p>
    <w:p w14:paraId="33A04575">
      <w:pPr>
        <w:pStyle w:val="64"/>
        <w:widowControl/>
        <w:shd w:val="clear" w:color="auto" w:fill="auto"/>
        <w:kinsoku/>
        <w:wordWrap w:val="0"/>
        <w:overflowPunct/>
        <w:bidi w:val="0"/>
        <w:snapToGrid w:val="0"/>
        <w:spacing w:line="360" w:lineRule="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spacing w:val="6"/>
          <w:sz w:val="22"/>
          <w:szCs w:val="22"/>
          <w:highlight w:val="none"/>
        </w:rPr>
        <w:t xml:space="preserve">  二、</w:t>
      </w:r>
      <w:r>
        <w:rPr>
          <w:rFonts w:hint="eastAsia" w:ascii="宋体" w:hAnsi="宋体" w:eastAsia="宋体" w:cs="宋体"/>
          <w:color w:val="auto"/>
          <w:kern w:val="0"/>
          <w:sz w:val="22"/>
          <w:szCs w:val="22"/>
          <w:highlight w:val="none"/>
        </w:rPr>
        <w:t xml:space="preserve">现已清楚知道参加本项目采购活动的其他所有供应商名称，本单位 </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与其他所有供应商之间均不存在利害关系 □与</w:t>
      </w:r>
      <w:r>
        <w:rPr>
          <w:rFonts w:hint="eastAsia" w:ascii="宋体" w:hAnsi="宋体" w:eastAsia="宋体" w:cs="宋体"/>
          <w:color w:val="auto"/>
          <w:kern w:val="0"/>
          <w:sz w:val="22"/>
          <w:szCs w:val="22"/>
          <w:highlight w:val="none"/>
          <w:u w:val="single"/>
        </w:rPr>
        <w:t xml:space="preserve">           （供应商名称）</w:t>
      </w:r>
      <w:r>
        <w:rPr>
          <w:rFonts w:hint="eastAsia" w:ascii="宋体" w:hAnsi="宋体" w:eastAsia="宋体" w:cs="宋体"/>
          <w:color w:val="auto"/>
          <w:kern w:val="0"/>
          <w:sz w:val="22"/>
          <w:szCs w:val="22"/>
          <w:highlight w:val="none"/>
        </w:rPr>
        <w:t>之间存在下列利害关系</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lang w:eastAsia="zh-CN"/>
        </w:rPr>
        <w:t>：</w:t>
      </w:r>
    </w:p>
    <w:p w14:paraId="05870583">
      <w:pPr>
        <w:pStyle w:val="56"/>
        <w:widowControl w:val="0"/>
        <w:shd w:val="clear" w:color="auto" w:fill="auto"/>
        <w:kinsoku/>
        <w:wordWrap w:val="0"/>
        <w:overflowPunct/>
        <w:bidi w:val="0"/>
        <w:snapToGrid w:val="0"/>
        <w:spacing w:line="360" w:lineRule="auto"/>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A.法定代表人或负责人或实际控制人是同一人</w:t>
      </w:r>
    </w:p>
    <w:p w14:paraId="56AFFAF3">
      <w:pPr>
        <w:pStyle w:val="56"/>
        <w:widowControl w:val="0"/>
        <w:shd w:val="clear" w:color="auto" w:fill="auto"/>
        <w:kinsoku/>
        <w:wordWrap w:val="0"/>
        <w:overflowPunct/>
        <w:bidi w:val="0"/>
        <w:snapToGrid w:val="0"/>
        <w:spacing w:line="36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rPr>
        <w:t xml:space="preserve">  B.法定代表人或负责人或实际控制人是夫妻关系</w:t>
      </w:r>
    </w:p>
    <w:p w14:paraId="24BA004D">
      <w:pPr>
        <w:pStyle w:val="56"/>
        <w:widowControl w:val="0"/>
        <w:shd w:val="clear" w:color="auto" w:fill="auto"/>
        <w:kinsoku/>
        <w:wordWrap w:val="0"/>
        <w:overflowPunct/>
        <w:bidi w:val="0"/>
        <w:snapToGrid w:val="0"/>
        <w:spacing w:line="36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rPr>
        <w:t xml:space="preserve">  C.法定代表人或负责人或实际控制人是直系血亲关系</w:t>
      </w:r>
    </w:p>
    <w:p w14:paraId="10E2F1FA">
      <w:pPr>
        <w:pStyle w:val="56"/>
        <w:widowControl w:val="0"/>
        <w:shd w:val="clear" w:color="auto" w:fill="auto"/>
        <w:kinsoku/>
        <w:wordWrap w:val="0"/>
        <w:overflowPunct/>
        <w:bidi w:val="0"/>
        <w:snapToGrid w:val="0"/>
        <w:spacing w:line="36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rPr>
        <w:t xml:space="preserve">  D.法定代表人或负责人或实际控制人存在三代以内旁系血亲关系</w:t>
      </w:r>
    </w:p>
    <w:p w14:paraId="55E12118">
      <w:pPr>
        <w:pStyle w:val="56"/>
        <w:widowControl w:val="0"/>
        <w:shd w:val="clear" w:color="auto" w:fill="auto"/>
        <w:kinsoku/>
        <w:wordWrap w:val="0"/>
        <w:overflowPunct/>
        <w:bidi w:val="0"/>
        <w:snapToGrid w:val="0"/>
        <w:spacing w:line="360" w:lineRule="auto"/>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E.法定代表人或负责人或实际控制人存在近姻亲关系</w:t>
      </w:r>
    </w:p>
    <w:p w14:paraId="62239ECD">
      <w:pPr>
        <w:pStyle w:val="56"/>
        <w:widowControl w:val="0"/>
        <w:shd w:val="clear" w:color="auto" w:fill="auto"/>
        <w:kinsoku/>
        <w:wordWrap w:val="0"/>
        <w:overflowPunct/>
        <w:bidi w:val="0"/>
        <w:snapToGrid w:val="0"/>
        <w:spacing w:line="360" w:lineRule="auto"/>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F.法定代表人或负责人或实际控制人存在股份控制或实际控制关系</w:t>
      </w:r>
    </w:p>
    <w:p w14:paraId="37F3715F">
      <w:pPr>
        <w:pStyle w:val="56"/>
        <w:widowControl w:val="0"/>
        <w:shd w:val="clear" w:color="auto" w:fill="auto"/>
        <w:kinsoku/>
        <w:wordWrap w:val="0"/>
        <w:overflowPunct/>
        <w:bidi w:val="0"/>
        <w:snapToGrid w:val="0"/>
        <w:spacing w:line="360" w:lineRule="auto"/>
        <w:jc w:val="both"/>
        <w:outlineLvl w:val="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w:t>
      </w:r>
      <w:bookmarkStart w:id="165" w:name="_Toc8088"/>
      <w:bookmarkStart w:id="166" w:name="_Toc26778"/>
      <w:bookmarkStart w:id="167" w:name="_Toc8771"/>
      <w:r>
        <w:rPr>
          <w:rFonts w:hint="eastAsia" w:ascii="宋体" w:hAnsi="宋体" w:eastAsia="宋体" w:cs="宋体"/>
          <w:color w:val="auto"/>
          <w:kern w:val="0"/>
          <w:sz w:val="22"/>
          <w:szCs w:val="22"/>
          <w:highlight w:val="none"/>
        </w:rPr>
        <w:t>G.存在共同直接或间接投资设立子公司、联营企业和合营企业情况</w:t>
      </w:r>
      <w:bookmarkEnd w:id="165"/>
      <w:bookmarkEnd w:id="166"/>
      <w:bookmarkEnd w:id="167"/>
    </w:p>
    <w:p w14:paraId="2F2164CC">
      <w:pPr>
        <w:pStyle w:val="56"/>
        <w:widowControl w:val="0"/>
        <w:shd w:val="clear" w:color="auto" w:fill="auto"/>
        <w:kinsoku/>
        <w:wordWrap w:val="0"/>
        <w:overflowPunct/>
        <w:bidi w:val="0"/>
        <w:snapToGrid w:val="0"/>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 xml:space="preserve">  H.存在分级代理或代销关系、同一生产制造商关系、</w:t>
      </w:r>
      <w:r>
        <w:rPr>
          <w:rFonts w:hint="eastAsia" w:ascii="宋体" w:hAnsi="宋体" w:eastAsia="宋体" w:cs="宋体"/>
          <w:color w:val="auto"/>
          <w:sz w:val="22"/>
          <w:szCs w:val="22"/>
          <w:highlight w:val="none"/>
        </w:rPr>
        <w:t>管理关系、重要业务（占主营业务收入50%以上）或重要财务往来关系（如融资）等其他实质性控制关系</w:t>
      </w:r>
    </w:p>
    <w:p w14:paraId="7C13426E">
      <w:pPr>
        <w:pStyle w:val="56"/>
        <w:widowControl w:val="0"/>
        <w:shd w:val="clear" w:color="auto" w:fill="auto"/>
        <w:kinsoku/>
        <w:wordWrap w:val="0"/>
        <w:overflowPunct/>
        <w:bidi w:val="0"/>
        <w:snapToGrid w:val="0"/>
        <w:spacing w:line="360" w:lineRule="auto"/>
        <w:jc w:val="both"/>
        <w:outlineLvl w:val="0"/>
        <w:rPr>
          <w:rFonts w:hint="eastAsia" w:ascii="宋体" w:hAnsi="宋体" w:eastAsia="宋体" w:cs="宋体"/>
          <w:color w:val="auto"/>
          <w:spacing w:val="6"/>
          <w:sz w:val="22"/>
          <w:szCs w:val="22"/>
          <w:highlight w:val="none"/>
        </w:rPr>
      </w:pPr>
      <w:r>
        <w:rPr>
          <w:rFonts w:hint="eastAsia" w:ascii="宋体" w:hAnsi="宋体" w:eastAsia="宋体" w:cs="宋体"/>
          <w:color w:val="auto"/>
          <w:sz w:val="22"/>
          <w:szCs w:val="22"/>
          <w:highlight w:val="none"/>
        </w:rPr>
        <w:t xml:space="preserve">    </w:t>
      </w:r>
      <w:bookmarkStart w:id="168" w:name="_Toc6717"/>
      <w:bookmarkStart w:id="169" w:name="_Toc32152"/>
      <w:bookmarkStart w:id="170" w:name="_Toc31554"/>
      <w:r>
        <w:rPr>
          <w:rFonts w:hint="eastAsia" w:ascii="宋体" w:hAnsi="宋体" w:eastAsia="宋体" w:cs="宋体"/>
          <w:color w:val="auto"/>
          <w:sz w:val="22"/>
          <w:szCs w:val="22"/>
          <w:highlight w:val="none"/>
        </w:rPr>
        <w:t>I</w:t>
      </w:r>
      <w:r>
        <w:rPr>
          <w:rFonts w:hint="eastAsia" w:ascii="宋体" w:hAnsi="宋体" w:eastAsia="宋体" w:cs="宋体"/>
          <w:color w:val="auto"/>
          <w:kern w:val="0"/>
          <w:sz w:val="22"/>
          <w:szCs w:val="22"/>
          <w:highlight w:val="none"/>
        </w:rPr>
        <w:t>.</w:t>
      </w:r>
      <w:r>
        <w:rPr>
          <w:rFonts w:hint="eastAsia" w:ascii="宋体" w:hAnsi="宋体" w:eastAsia="宋体" w:cs="宋体"/>
          <w:color w:val="auto"/>
          <w:sz w:val="22"/>
          <w:szCs w:val="22"/>
          <w:highlight w:val="none"/>
        </w:rPr>
        <w:t>其他利害关系情况</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kern w:val="0"/>
          <w:sz w:val="22"/>
          <w:szCs w:val="22"/>
          <w:highlight w:val="none"/>
        </w:rPr>
        <w:t>。</w:t>
      </w:r>
      <w:bookmarkEnd w:id="168"/>
      <w:bookmarkEnd w:id="169"/>
      <w:bookmarkEnd w:id="170"/>
    </w:p>
    <w:p w14:paraId="4F08C1D5">
      <w:pPr>
        <w:pStyle w:val="64"/>
        <w:widowControl/>
        <w:numPr>
          <w:ilvl w:val="0"/>
          <w:numId w:val="7"/>
        </w:numPr>
        <w:shd w:val="clear" w:color="auto" w:fill="auto"/>
        <w:kinsoku/>
        <w:wordWrap w:val="0"/>
        <w:overflowPunct/>
        <w:bidi w:val="0"/>
        <w:snapToGrid w:val="0"/>
        <w:spacing w:line="360" w:lineRule="auto"/>
        <w:ind w:firstLine="415" w:firstLineChars="189"/>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现已清楚知道并</w:t>
      </w:r>
      <w:r>
        <w:rPr>
          <w:rFonts w:hint="eastAsia" w:ascii="宋体" w:hAnsi="宋体" w:eastAsia="宋体" w:cs="宋体"/>
          <w:color w:val="auto"/>
          <w:kern w:val="0"/>
          <w:sz w:val="22"/>
          <w:szCs w:val="22"/>
          <w:highlight w:val="none"/>
        </w:rPr>
        <w:t>严格遵守国企采购法律法规和现场纪律。</w:t>
      </w:r>
    </w:p>
    <w:p w14:paraId="658FE9C6">
      <w:pPr>
        <w:pStyle w:val="64"/>
        <w:widowControl/>
        <w:numPr>
          <w:ilvl w:val="0"/>
          <w:numId w:val="7"/>
        </w:numPr>
        <w:shd w:val="clear" w:color="auto" w:fill="auto"/>
        <w:kinsoku/>
        <w:wordWrap w:val="0"/>
        <w:overflowPunct/>
        <w:bidi w:val="0"/>
        <w:snapToGrid w:val="0"/>
        <w:spacing w:line="360" w:lineRule="auto"/>
        <w:ind w:firstLine="415" w:firstLineChars="18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我发现</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供应商之间存在或可能存在上述第二条第</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项利害关系</w:t>
      </w:r>
    </w:p>
    <w:p w14:paraId="4EF54669">
      <w:pPr>
        <w:pStyle w:val="56"/>
        <w:widowControl w:val="0"/>
        <w:shd w:val="clear" w:color="auto" w:fill="auto"/>
        <w:kinsoku/>
        <w:wordWrap w:val="0"/>
        <w:overflowPunct/>
        <w:bidi w:val="0"/>
        <w:snapToGrid w:val="0"/>
        <w:spacing w:line="360" w:lineRule="auto"/>
        <w:ind w:firstLine="5280" w:firstLineChars="24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（供应商代表签名）</w:t>
      </w:r>
    </w:p>
    <w:p w14:paraId="3F4B680B">
      <w:pPr>
        <w:pStyle w:val="56"/>
        <w:widowControl w:val="0"/>
        <w:shd w:val="clear" w:color="auto" w:fill="auto"/>
        <w:kinsoku/>
        <w:wordWrap w:val="0"/>
        <w:overflowPunct/>
        <w:bidi w:val="0"/>
        <w:snapToGrid w:val="0"/>
        <w:spacing w:line="360" w:lineRule="auto"/>
        <w:ind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年  月   日</w:t>
      </w:r>
    </w:p>
    <w:p w14:paraId="315BA2F2">
      <w:pPr>
        <w:shd w:val="clear" w:color="auto" w:fill="auto"/>
        <w:kinsoku/>
        <w:wordWrap w:val="0"/>
        <w:overflowPunct/>
        <w:bidi w:val="0"/>
        <w:snapToGrid w:val="0"/>
        <w:spacing w:line="360" w:lineRule="auto"/>
        <w:ind w:firstLine="442" w:firstLineChars="200"/>
        <w:rPr>
          <w:rFonts w:hint="eastAsia" w:ascii="宋体" w:hAnsi="宋体" w:eastAsia="宋体" w:cs="宋体"/>
          <w:b/>
          <w:bCs/>
          <w:color w:val="auto"/>
          <w:sz w:val="22"/>
          <w:szCs w:val="22"/>
          <w:highlight w:val="none"/>
        </w:rPr>
      </w:pPr>
    </w:p>
    <w:p w14:paraId="60E2B3A7">
      <w:pPr>
        <w:shd w:val="clear" w:color="auto" w:fill="auto"/>
        <w:kinsoku/>
        <w:wordWrap w:val="0"/>
        <w:overflowPunct/>
        <w:bidi w:val="0"/>
        <w:snapToGrid w:val="0"/>
        <w:spacing w:line="36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注</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投标文件解密结束后，各投标供应商签署《国企采购活动现场确认声明书》，并在15分钟内以扫描件方式发送至代理机构邮箱</w:t>
      </w:r>
      <w:r>
        <w:rPr>
          <w:rFonts w:hint="eastAsia" w:ascii="宋体" w:hAnsi="宋体" w:eastAsia="宋体" w:cs="宋体"/>
          <w:b/>
          <w:bCs/>
          <w:color w:val="auto"/>
          <w:sz w:val="22"/>
          <w:szCs w:val="22"/>
          <w:highlight w:val="none"/>
          <w:lang w:eastAsia="zh-CN"/>
        </w:rPr>
        <w:t>：</w:t>
      </w:r>
      <w:r>
        <w:rPr>
          <w:rFonts w:hint="eastAsia" w:ascii="宋体" w:hAnsi="宋体" w:cs="宋体"/>
          <w:b/>
          <w:bCs/>
          <w:color w:val="auto"/>
          <w:sz w:val="22"/>
          <w:szCs w:val="22"/>
          <w:highlight w:val="none"/>
          <w:lang w:eastAsia="zh-CN"/>
        </w:rPr>
        <w:t>1150016428@qq.com</w:t>
      </w:r>
      <w:r>
        <w:rPr>
          <w:rFonts w:hint="eastAsia" w:ascii="宋体" w:hAnsi="宋体" w:eastAsia="宋体" w:cs="宋体"/>
          <w:b/>
          <w:bCs/>
          <w:color w:val="auto"/>
          <w:sz w:val="22"/>
          <w:szCs w:val="22"/>
          <w:highlight w:val="none"/>
        </w:rPr>
        <w:t>。</w:t>
      </w:r>
    </w:p>
    <w:p w14:paraId="4D6D8455">
      <w:pPr>
        <w:pStyle w:val="46"/>
        <w:shd w:val="clear" w:color="auto" w:fill="auto"/>
        <w:kinsoku/>
        <w:wordWrap w:val="0"/>
        <w:overflowPunct/>
        <w:bidi w:val="0"/>
        <w:spacing w:line="360" w:lineRule="auto"/>
        <w:rPr>
          <w:rFonts w:hint="eastAsia" w:ascii="宋体" w:hAnsi="宋体" w:eastAsia="宋体" w:cs="宋体"/>
          <w:color w:val="auto"/>
          <w:sz w:val="22"/>
          <w:szCs w:val="22"/>
          <w:highlight w:val="none"/>
        </w:rPr>
      </w:pPr>
    </w:p>
    <w:p w14:paraId="6367195E">
      <w:pPr>
        <w:pStyle w:val="13"/>
        <w:shd w:val="clear" w:color="auto" w:fill="auto"/>
        <w:kinsoku/>
        <w:wordWrap w:val="0"/>
        <w:overflowPunct/>
        <w:bidi w:val="0"/>
        <w:spacing w:before="0" w:beforeLines="0" w:after="0" w:afterLines="0" w:line="360" w:lineRule="auto"/>
        <w:rPr>
          <w:rFonts w:hint="eastAsia" w:ascii="宋体" w:hAnsi="宋体" w:eastAsia="宋体" w:cs="宋体"/>
          <w:color w:val="auto"/>
          <w:highlight w:val="none"/>
        </w:rPr>
        <w:sectPr>
          <w:pgSz w:w="11907" w:h="16840"/>
          <w:pgMar w:top="1440" w:right="1106" w:bottom="1440" w:left="1157" w:header="720" w:footer="720" w:gutter="0"/>
          <w:cols w:space="720" w:num="1"/>
          <w:docGrid w:linePitch="312" w:charSpace="0"/>
        </w:sectPr>
      </w:pPr>
    </w:p>
    <w:p w14:paraId="7FF19667">
      <w:pPr>
        <w:shd w:val="clear" w:color="auto" w:fill="auto"/>
        <w:kinsoku/>
        <w:wordWrap w:val="0"/>
        <w:overflowPunct/>
        <w:bidi w:val="0"/>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质疑函范本</w:t>
      </w:r>
    </w:p>
    <w:p w14:paraId="72D59AA3">
      <w:pPr>
        <w:shd w:val="clear" w:color="auto" w:fill="auto"/>
        <w:kinsoku/>
        <w:wordWrap w:val="0"/>
        <w:overflowPunct/>
        <w:bidi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一、质疑供应商基本信息</w:t>
      </w:r>
    </w:p>
    <w:p w14:paraId="77F8285B">
      <w:pPr>
        <w:shd w:val="clear" w:color="auto" w:fill="auto"/>
        <w:kinsoku/>
        <w:wordWrap w:val="0"/>
        <w:overflowPunct/>
        <w:bidi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质疑供应商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3AA23B80">
      <w:pPr>
        <w:shd w:val="clear" w:color="auto" w:fill="auto"/>
        <w:kinsoku/>
        <w:wordWrap w:val="0"/>
        <w:overflowPunct/>
        <w:bidi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4E0B6573">
      <w:pPr>
        <w:shd w:val="clear" w:color="auto" w:fill="auto"/>
        <w:kinsoku/>
        <w:wordWrap w:val="0"/>
        <w:overflowPunct/>
        <w:bidi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42E01E47">
      <w:pPr>
        <w:shd w:val="clear" w:color="auto" w:fill="auto"/>
        <w:kinsoku/>
        <w:wordWrap w:val="0"/>
        <w:overflowPunct/>
        <w:bidi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授权代表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4BB6D78C">
      <w:pPr>
        <w:shd w:val="clear" w:color="auto" w:fill="auto"/>
        <w:kinsoku/>
        <w:wordWrap w:val="0"/>
        <w:overflowPunct/>
        <w:bidi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 xml:space="preserve"> </w:t>
      </w:r>
    </w:p>
    <w:p w14:paraId="4F40C2FF">
      <w:pPr>
        <w:shd w:val="clear" w:color="auto" w:fill="auto"/>
        <w:kinsoku/>
        <w:wordWrap w:val="0"/>
        <w:overflowPunct/>
        <w:bidi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2368363D">
      <w:pPr>
        <w:shd w:val="clear" w:color="auto" w:fill="auto"/>
        <w:kinsoku/>
        <w:wordWrap w:val="0"/>
        <w:overflowPunct/>
        <w:bidi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二、质疑项目基本情况</w:t>
      </w:r>
    </w:p>
    <w:p w14:paraId="11BFAE20">
      <w:pPr>
        <w:shd w:val="clear" w:color="auto" w:fill="auto"/>
        <w:kinsoku/>
        <w:wordWrap w:val="0"/>
        <w:overflowPunct/>
        <w:bidi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质疑项目的名称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1E0A07F4">
      <w:pPr>
        <w:shd w:val="clear" w:color="auto" w:fill="auto"/>
        <w:kinsoku/>
        <w:wordWrap w:val="0"/>
        <w:overflowPunct/>
        <w:bidi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质疑项目的编号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包号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676B31D0">
      <w:pPr>
        <w:shd w:val="clear" w:color="auto" w:fill="auto"/>
        <w:kinsoku/>
        <w:wordWrap w:val="0"/>
        <w:overflowPunct/>
        <w:bidi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采购人名称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5963391F">
      <w:pPr>
        <w:shd w:val="clear" w:color="auto" w:fill="auto"/>
        <w:kinsoku/>
        <w:wordWrap w:val="0"/>
        <w:overflowPunct/>
        <w:bidi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采购文件获取日期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3755AA95">
      <w:pPr>
        <w:shd w:val="clear" w:color="auto" w:fill="auto"/>
        <w:kinsoku/>
        <w:wordWrap w:val="0"/>
        <w:overflowPunct/>
        <w:bidi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三、质疑事项具体内容</w:t>
      </w:r>
    </w:p>
    <w:p w14:paraId="282140D8">
      <w:pPr>
        <w:shd w:val="clear" w:color="auto" w:fill="auto"/>
        <w:kinsoku/>
        <w:wordWrap w:val="0"/>
        <w:overflowPunct/>
        <w:bidi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质疑事项1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010E2296">
      <w:pPr>
        <w:shd w:val="clear" w:color="auto" w:fill="auto"/>
        <w:kinsoku/>
        <w:wordWrap w:val="0"/>
        <w:overflowPunct/>
        <w:bidi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事实依据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730359CA">
      <w:pPr>
        <w:shd w:val="clear" w:color="auto" w:fill="auto"/>
        <w:kinsoku/>
        <w:wordWrap w:val="0"/>
        <w:overflowPunct/>
        <w:bidi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dotted"/>
        </w:rPr>
        <w:t xml:space="preserve">                                                       </w:t>
      </w:r>
    </w:p>
    <w:p w14:paraId="45AE2B08">
      <w:pPr>
        <w:shd w:val="clear" w:color="auto" w:fill="auto"/>
        <w:kinsoku/>
        <w:wordWrap w:val="0"/>
        <w:overflowPunct/>
        <w:bidi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法律依据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63BD4AD6">
      <w:pPr>
        <w:shd w:val="clear" w:color="auto" w:fill="auto"/>
        <w:kinsoku/>
        <w:wordWrap w:val="0"/>
        <w:overflowPunct/>
        <w:bidi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u w:val="dotted"/>
        </w:rPr>
        <w:t xml:space="preserve">                                                     </w:t>
      </w:r>
    </w:p>
    <w:p w14:paraId="7F50F55F">
      <w:pPr>
        <w:shd w:val="clear" w:color="auto" w:fill="auto"/>
        <w:kinsoku/>
        <w:wordWrap w:val="0"/>
        <w:overflowPunct/>
        <w:bidi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质疑事项2</w:t>
      </w:r>
    </w:p>
    <w:p w14:paraId="76A0359E">
      <w:pPr>
        <w:shd w:val="clear" w:color="auto" w:fill="auto"/>
        <w:kinsoku/>
        <w:wordWrap w:val="0"/>
        <w:overflowPunct/>
        <w:bidi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1DA5A6BC">
      <w:pPr>
        <w:shd w:val="clear" w:color="auto" w:fill="auto"/>
        <w:kinsoku/>
        <w:wordWrap w:val="0"/>
        <w:overflowPunct/>
        <w:bidi w:val="0"/>
        <w:adjustRightInd w:val="0"/>
        <w:snapToGrid w:val="0"/>
        <w:spacing w:line="360" w:lineRule="auto"/>
        <w:rPr>
          <w:rFonts w:hint="eastAsia" w:ascii="宋体" w:hAnsi="宋体" w:eastAsia="宋体" w:cs="宋体"/>
          <w:color w:val="auto"/>
          <w:szCs w:val="21"/>
          <w:highlight w:val="none"/>
        </w:rPr>
      </w:pPr>
    </w:p>
    <w:p w14:paraId="6DC01BD2">
      <w:pPr>
        <w:shd w:val="clear" w:color="auto" w:fill="auto"/>
        <w:kinsoku/>
        <w:wordWrap w:val="0"/>
        <w:overflowPunct/>
        <w:bidi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四、与质疑事项相关的质疑请求</w:t>
      </w:r>
    </w:p>
    <w:p w14:paraId="1ABEB078">
      <w:pPr>
        <w:shd w:val="clear" w:color="auto" w:fill="auto"/>
        <w:kinsoku/>
        <w:wordWrap w:val="0"/>
        <w:overflowPunct/>
        <w:bidi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请求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2D58E3E8">
      <w:pPr>
        <w:shd w:val="clear" w:color="auto" w:fill="auto"/>
        <w:kinsoku/>
        <w:wordWrap w:val="0"/>
        <w:overflowPunct/>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签章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公章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33F4FD75">
      <w:pPr>
        <w:shd w:val="clear" w:color="auto" w:fill="auto"/>
        <w:kinsoku/>
        <w:wordWrap w:val="0"/>
        <w:overflowPunct/>
        <w:bidi w:val="0"/>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5ED99DCD">
      <w:pPr>
        <w:shd w:val="clear" w:color="auto" w:fill="auto"/>
        <w:kinsoku/>
        <w:wordWrap w:val="0"/>
        <w:overflowPunct/>
        <w:bidi w:val="0"/>
        <w:spacing w:line="360" w:lineRule="auto"/>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质疑函制作说明</w:t>
      </w:r>
      <w:r>
        <w:rPr>
          <w:rFonts w:hint="eastAsia" w:ascii="宋体" w:hAnsi="宋体" w:eastAsia="宋体" w:cs="宋体"/>
          <w:b/>
          <w:color w:val="auto"/>
          <w:szCs w:val="21"/>
          <w:highlight w:val="none"/>
          <w:lang w:eastAsia="zh-CN"/>
        </w:rPr>
        <w:t>：</w:t>
      </w:r>
    </w:p>
    <w:p w14:paraId="4A5184AF">
      <w:pPr>
        <w:widowControl/>
        <w:shd w:val="clear" w:color="auto" w:fill="auto"/>
        <w:kinsoku/>
        <w:wordWrap w:val="0"/>
        <w:overflowPunct/>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1.供应商提出质疑时，应提交质疑函和必要的证明材料。</w:t>
      </w:r>
    </w:p>
    <w:p w14:paraId="3A7872CC">
      <w:pPr>
        <w:widowControl/>
        <w:shd w:val="clear" w:color="auto" w:fill="auto"/>
        <w:kinsoku/>
        <w:wordWrap w:val="0"/>
        <w:overflowPunct/>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Cs w:val="21"/>
          <w:highlight w:val="none"/>
        </w:rPr>
        <w:t>供应商签署的授权委托书。授权委托书应载明代理人的姓名或者名称、代理事项、具体权限、期限和相关事项。</w:t>
      </w:r>
    </w:p>
    <w:p w14:paraId="6BC8849F">
      <w:pPr>
        <w:widowControl/>
        <w:shd w:val="clear" w:color="auto" w:fill="auto"/>
        <w:kinsoku/>
        <w:wordWrap w:val="0"/>
        <w:overflowPunct/>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3.质疑供应商若对项目的某一分包进行质疑，质疑函中应列明具体分包号。</w:t>
      </w:r>
    </w:p>
    <w:p w14:paraId="29DB3B04">
      <w:pPr>
        <w:widowControl/>
        <w:shd w:val="clear" w:color="auto" w:fill="auto"/>
        <w:kinsoku/>
        <w:wordWrap w:val="0"/>
        <w:overflowPunct/>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4.质疑函的质疑事项应具体、明确，并有必要的事实依据和法律依据。</w:t>
      </w:r>
    </w:p>
    <w:p w14:paraId="67A64D1A">
      <w:pPr>
        <w:widowControl/>
        <w:shd w:val="clear" w:color="auto" w:fill="auto"/>
        <w:kinsoku/>
        <w:wordWrap w:val="0"/>
        <w:overflowPunct/>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5.质疑函的质疑请求应与质疑事项相关。</w:t>
      </w:r>
    </w:p>
    <w:p w14:paraId="7769255F">
      <w:pPr>
        <w:widowControl/>
        <w:shd w:val="clear" w:color="auto" w:fill="auto"/>
        <w:kinsoku/>
        <w:wordWrap w:val="0"/>
        <w:overflowPunct/>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6.质疑供应商为自然人的，质疑函应由本人签字；质疑供应商为法人或者其他组织的，质疑函应由法定代表人、主要负责人，或者其授权代表签字或者盖章，并加盖公章。</w:t>
      </w:r>
    </w:p>
    <w:sectPr>
      <w:pgSz w:w="11907" w:h="16840"/>
      <w:pgMar w:top="1440" w:right="1106" w:bottom="1440" w:left="1157" w:header="720"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W1)">
    <w:altName w:val="Arial"/>
    <w:panose1 w:val="00000000000000000000"/>
    <w:charset w:val="00"/>
    <w:family w:val="auto"/>
    <w:pitch w:val="default"/>
    <w:sig w:usb0="00000000" w:usb1="00000000" w:usb2="00000008" w:usb3="00000000" w:csb0="0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11870">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72F829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81</w:t>
                          </w:r>
                          <w:r>
                            <w:rPr>
                              <w:rFonts w:hint="eastAsia"/>
                              <w:sz w:val="18"/>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JYcOB0QEAAKIDAAAOAAAAAAAAAAEAIAAAAB8BAABk&#10;cnMvZTJvRG9jLnhtbFBLBQYAAAAABgAGAFkBAABiBQAAAAA=&#10;">
              <v:fill on="f" focussize="0,0"/>
              <v:stroke on="f" weight="0.5pt"/>
              <v:imagedata o:title=""/>
              <o:lock v:ext="edit" aspectratio="f"/>
              <v:textbox inset="0mm,0mm,0mm,0mm" style="mso-fit-shape-to-text:t;">
                <w:txbxContent>
                  <w:p w14:paraId="672F829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AE076">
    <w:pPr>
      <w:pStyle w:val="19"/>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A786F7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88</w:t>
                          </w:r>
                          <w:r>
                            <w:rPr>
                              <w:rFonts w:hint="eastAsia"/>
                              <w:sz w:val="18"/>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t1UQLRAQAAogMAAA4AAABkcnMvZTJvRG9jLnhtbK1TzY7TMBC+I/EO&#10;lu802S6s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ZfU+K4xYGff3w///x9/vWN&#10;XGd5+gANZt0HzEvDOz/g0sz3gJeZ9aCizV/kQzCO4p4u4sohEZEfrZarVY0hgbHZQfzq8XmIkN5L&#10;b0k2GI04vSIqP36ENKbOKbma83famDJB40jP6M31m7o8uEQQ3DiskUmMzWYrDbthYrbz7QmJ9bgB&#10;jDpceErMB4cC52WZjTgbu9k4hKj3Xdmm3AmEt4eE3ZQmc4URdiqMoys0pzXLu/G3X7Ief6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LdVEC0QEAAKIDAAAOAAAAAAAAAAEAIAAAAB8BAABk&#10;cnMvZTJvRG9jLnhtbFBLBQYAAAAABgAGAFkBAABiBQAAAAA=&#10;">
              <v:fill on="f" focussize="0,0"/>
              <v:stroke on="f" weight="0.5pt"/>
              <v:imagedata o:title=""/>
              <o:lock v:ext="edit" aspectratio="f"/>
              <v:textbox inset="0mm,0mm,0mm,0mm" style="mso-fit-shape-to-text:t;">
                <w:txbxContent>
                  <w:p w14:paraId="3A786F7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88</w:t>
                    </w:r>
                    <w:r>
                      <w:rPr>
                        <w:rFonts w:hint="eastAsia"/>
                        <w:sz w:val="18"/>
                      </w:rPr>
                      <w:fldChar w:fldCharType="end"/>
                    </w:r>
                  </w:p>
                </w:txbxContent>
              </v:textbox>
            </v:shape>
          </w:pict>
        </mc:Fallback>
      </mc:AlternateContent>
    </w:r>
    <w:r>
      <w:rPr>
        <w:rFonts w:hint="eastAsia"/>
        <w:shd w:val="pct10" w:color="auto" w:fill="FFFFFF"/>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4FAAF">
    <w:pPr>
      <w:pStyle w:val="19"/>
      <w:jc w:val="right"/>
      <w:rPr>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918374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82</w:t>
                          </w:r>
                          <w:r>
                            <w:rPr>
                              <w:rFonts w:hint="eastAsia"/>
                              <w:sz w:val="18"/>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McFDRAQAAogMAAA4AAABkcnMvZTJvRG9jLnhtbK1TzY7TMBC+I/EO&#10;lu802cKu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avKXHc4sDPP76ff/4+//pG&#10;3mR5+gANZt0HzEvDOz/g0sz3gJeZ9aCizV/kQzCO4p4u4sohEZEfrZarVY0hgbHZQfzq8XmIkN5L&#10;b0k2GI04vSIqP36ENKbOKbma83famDJB40jP6M3r67o8uEQQ3DiskUmMzWYrDbthYrbz7QmJ9bgB&#10;jDpceErMB4cC52WZjTgbu9k4hKj3Xdmm3AmEt4eE3ZQmc4URdiqMoys0pzXLu/G3X7Ief6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GjHBQ0QEAAKIDAAAOAAAAAAAAAAEAIAAAAB8BAABk&#10;cnMvZTJvRG9jLnhtbFBLBQYAAAAABgAGAFkBAABiBQAAAAA=&#10;">
              <v:fill on="f" focussize="0,0"/>
              <v:stroke on="f" weight="0.5pt"/>
              <v:imagedata o:title=""/>
              <o:lock v:ext="edit" aspectratio="f"/>
              <v:textbox inset="0mm,0mm,0mm,0mm" style="mso-fit-shape-to-text:t;">
                <w:txbxContent>
                  <w:p w14:paraId="7918374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82</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AC538">
    <w:pPr>
      <w:pStyle w:val="19"/>
      <w:jc w:val="right"/>
      <w:rPr>
        <w:rFonts w:hint="eastAsia"/>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17FC95">
                          <w:pPr>
                            <w:pStyle w:val="19"/>
                            <w:rPr>
                              <w:rStyle w:val="30"/>
                            </w:rPr>
                          </w:pPr>
                          <w:r>
                            <w:fldChar w:fldCharType="begin"/>
                          </w:r>
                          <w:r>
                            <w:rPr>
                              <w:rStyle w:val="30"/>
                            </w:rPr>
                            <w:instrText xml:space="preserve">PAGE  </w:instrText>
                          </w:r>
                          <w:r>
                            <w:fldChar w:fldCharType="separate"/>
                          </w:r>
                          <w:r>
                            <w:rPr>
                              <w:rStyle w:val="30"/>
                            </w:rPr>
                            <w:t>98</w:t>
                          </w:r>
                          <w: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wdv5McBAACZAwAADgAAAGRycy9lMm9Eb2MueG1srVPNjtMwEL4j8Q6W&#10;79TZHiCK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ruWvqLEcYsDv3z/dvnx6/LzK6mz&#10;PEOABrPuA+al8Y0fcWkWP6Azsx5VtPmLfAjGUdzzVVw5JiLyo3pd1xWGBMaWC+Kzh+chQnorvSXZ&#10;aGnE6RVR+ek9pCl1ScnVnL/TxpQJGveXAzGzh+Xepx6zlcb9OBPa++6MfAYcfEsd7jkl5p1DXfOO&#10;LEZcjP1iHEPUh74sUa4H4fUxYROlt1xhgp0L48QKu3m78kr8eS9ZD3/U9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ywdv5McBAACZAwAADgAAAAAAAAABACAAAAAeAQAAZHJzL2Uyb0RvYy54&#10;bWxQSwUGAAAAAAYABgBZAQAAVwUAAAAA&#10;">
              <v:fill on="f" focussize="0,0"/>
              <v:stroke on="f"/>
              <v:imagedata o:title=""/>
              <o:lock v:ext="edit" aspectratio="f"/>
              <v:textbox inset="0mm,0mm,0mm,0mm" style="mso-fit-shape-to-text:t;">
                <w:txbxContent>
                  <w:p w14:paraId="7417FC95">
                    <w:pPr>
                      <w:pStyle w:val="19"/>
                      <w:rPr>
                        <w:rStyle w:val="30"/>
                      </w:rPr>
                    </w:pPr>
                    <w:r>
                      <w:fldChar w:fldCharType="begin"/>
                    </w:r>
                    <w:r>
                      <w:rPr>
                        <w:rStyle w:val="30"/>
                      </w:rPr>
                      <w:instrText xml:space="preserve">PAGE  </w:instrText>
                    </w:r>
                    <w:r>
                      <w:fldChar w:fldCharType="separate"/>
                    </w:r>
                    <w:r>
                      <w:rPr>
                        <w:rStyle w:val="30"/>
                      </w:rPr>
                      <w:t>98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FA9E3">
    <w:pPr>
      <w:pStyle w:val="19"/>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3737984">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111</w:t>
                          </w:r>
                          <w:r>
                            <w:rPr>
                              <w:rFonts w:hint="eastAsia"/>
                              <w:sz w:val="18"/>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DRSkTP0QEAAKIDAAAOAAAAAAAAAAEAIAAAAB8BAABk&#10;cnMvZTJvRG9jLnhtbFBLBQYAAAAABgAGAFkBAABiBQAAAAA=&#10;">
              <v:fill on="f" focussize="0,0"/>
              <v:stroke on="f" weight="0.5pt"/>
              <v:imagedata o:title=""/>
              <o:lock v:ext="edit" aspectratio="f"/>
              <v:textbox inset="0mm,0mm,0mm,0mm" style="mso-fit-shape-to-text:t;">
                <w:txbxContent>
                  <w:p w14:paraId="53737984">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0AB49">
    <w:pPr>
      <w:pStyle w:val="20"/>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38944">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8ED18">
    <w:pPr>
      <w:pStyle w:val="20"/>
      <w:pBdr>
        <w:bottom w:val="none" w:color="auto" w:sz="0" w:space="1"/>
      </w:pBdr>
      <w:jc w:val="both"/>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D6E23">
    <w:pPr>
      <w:pStyle w:val="20"/>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212B14"/>
    <w:multiLevelType w:val="multilevel"/>
    <w:tmpl w:val="EA212B14"/>
    <w:lvl w:ilvl="0" w:tentative="0">
      <w:start w:val="1"/>
      <w:numFmt w:val="decimal"/>
      <w:suff w:val="nothing"/>
      <w:lvlText w:val="%1"/>
      <w:lvlJc w:val="left"/>
      <w:pPr>
        <w:ind w:left="720" w:hanging="720"/>
      </w:pPr>
      <w:rPr>
        <w:rFonts w:hint="default"/>
      </w:rPr>
    </w:lvl>
    <w:lvl w:ilvl="1" w:tentative="0">
      <w:start w:val="1"/>
      <w:numFmt w:val="decimal"/>
      <w:lvlText w:val="%2."/>
      <w:lvlJc w:val="left"/>
      <w:pPr>
        <w:tabs>
          <w:tab w:val="left" w:pos="720"/>
        </w:tabs>
        <w:ind w:left="720" w:hanging="720"/>
      </w:pPr>
      <w:rPr>
        <w:rFonts w:hint="default" w:ascii="Arial (W1)" w:hAnsi="Arial (W1)"/>
        <w:b/>
        <w:i w:val="0"/>
        <w:sz w:val="28"/>
      </w:rPr>
    </w:lvl>
    <w:lvl w:ilvl="2" w:tentative="0">
      <w:start w:val="1"/>
      <w:numFmt w:val="decimal"/>
      <w:lvlText w:val="%1.%3."/>
      <w:lvlJc w:val="left"/>
      <w:pPr>
        <w:tabs>
          <w:tab w:val="left" w:pos="720"/>
        </w:tabs>
        <w:ind w:left="720" w:hanging="720"/>
      </w:pPr>
      <w:rPr>
        <w:rFonts w:hint="default"/>
      </w:rPr>
    </w:lvl>
    <w:lvl w:ilvl="3" w:tentative="0">
      <w:start w:val="1"/>
      <w:numFmt w:val="decimal"/>
      <w:lvlText w:val="%1.%3.%4."/>
      <w:lvlJc w:val="left"/>
      <w:pPr>
        <w:tabs>
          <w:tab w:val="left" w:pos="1728"/>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324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4320"/>
        </w:tabs>
        <w:ind w:left="3744" w:hanging="1224"/>
      </w:pPr>
      <w:rPr>
        <w:rFonts w:hint="default"/>
      </w:rPr>
    </w:lvl>
    <w:lvl w:ilvl="8" w:tentative="0">
      <w:start w:val="1"/>
      <w:numFmt w:val="decimal"/>
      <w:lvlText w:val="%1.%2.%3.%4.%5.%6.%7.%8.%9."/>
      <w:lvlJc w:val="left"/>
      <w:pPr>
        <w:tabs>
          <w:tab w:val="left" w:pos="5040"/>
        </w:tabs>
        <w:ind w:left="4320" w:hanging="1440"/>
      </w:pPr>
      <w:rPr>
        <w:rFonts w:hint="default"/>
      </w:rPr>
    </w:lvl>
  </w:abstractNum>
  <w:abstractNum w:abstractNumId="1">
    <w:nsid w:val="24A0B24D"/>
    <w:multiLevelType w:val="singleLevel"/>
    <w:tmpl w:val="24A0B24D"/>
    <w:lvl w:ilvl="0" w:tentative="0">
      <w:start w:val="2"/>
      <w:numFmt w:val="decimal"/>
      <w:suff w:val="nothing"/>
      <w:lvlText w:val="%1、"/>
      <w:lvlJc w:val="left"/>
    </w:lvl>
  </w:abstractNum>
  <w:abstractNum w:abstractNumId="2">
    <w:nsid w:val="3F0F2FA1"/>
    <w:multiLevelType w:val="singleLevel"/>
    <w:tmpl w:val="3F0F2FA1"/>
    <w:lvl w:ilvl="0" w:tentative="0">
      <w:start w:val="2"/>
      <w:numFmt w:val="chineseCounting"/>
      <w:suff w:val="space"/>
      <w:lvlText w:val="第%1部分"/>
      <w:lvlJc w:val="left"/>
      <w:rPr>
        <w:rFonts w:hint="eastAsia"/>
      </w:rPr>
    </w:lvl>
  </w:abstractNum>
  <w:abstractNum w:abstractNumId="3">
    <w:nsid w:val="54F403B5"/>
    <w:multiLevelType w:val="singleLevel"/>
    <w:tmpl w:val="54F403B5"/>
    <w:lvl w:ilvl="0" w:tentative="0">
      <w:start w:val="1"/>
      <w:numFmt w:val="chineseCounting"/>
      <w:suff w:val="nothing"/>
      <w:lvlText w:val="%1、"/>
      <w:lvlJc w:val="left"/>
    </w:lvl>
  </w:abstractNum>
  <w:abstractNum w:abstractNumId="4">
    <w:nsid w:val="557FD3DA"/>
    <w:multiLevelType w:val="singleLevel"/>
    <w:tmpl w:val="557FD3DA"/>
    <w:lvl w:ilvl="0" w:tentative="0">
      <w:start w:val="3"/>
      <w:numFmt w:val="chineseCounting"/>
      <w:suff w:val="nothing"/>
      <w:lvlText w:val="%1、"/>
      <w:lvlJc w:val="left"/>
    </w:lvl>
  </w:abstractNum>
  <w:abstractNum w:abstractNumId="5">
    <w:nsid w:val="6001A517"/>
    <w:multiLevelType w:val="singleLevel"/>
    <w:tmpl w:val="6001A517"/>
    <w:lvl w:ilvl="0" w:tentative="0">
      <w:start w:val="3"/>
      <w:numFmt w:val="decimal"/>
      <w:suff w:val="nothing"/>
      <w:lvlText w:val="%1）"/>
      <w:lvlJc w:val="left"/>
    </w:lvl>
  </w:abstractNum>
  <w:abstractNum w:abstractNumId="6">
    <w:nsid w:val="7A06B7A8"/>
    <w:multiLevelType w:val="singleLevel"/>
    <w:tmpl w:val="7A06B7A8"/>
    <w:lvl w:ilvl="0" w:tentative="0">
      <w:start w:val="1"/>
      <w:numFmt w:val="decimal"/>
      <w:suff w:val="nothing"/>
      <w:lvlText w:val="%1、"/>
      <w:lvlJc w:val="left"/>
    </w:lvl>
  </w:abstractNum>
  <w:num w:numId="1">
    <w:abstractNumId w:val="1"/>
  </w:num>
  <w:num w:numId="2">
    <w:abstractNumId w:val="0"/>
  </w:num>
  <w:num w:numId="3">
    <w:abstractNumId w:val="2"/>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0ZjdkMGU1YjRiMWNhYzM4NjYxOTViODZjN2ZhYjEifQ=="/>
  </w:docVars>
  <w:rsids>
    <w:rsidRoot w:val="00172A27"/>
    <w:rsid w:val="00044EF2"/>
    <w:rsid w:val="00075CCB"/>
    <w:rsid w:val="000971A9"/>
    <w:rsid w:val="000C7032"/>
    <w:rsid w:val="000D7AD0"/>
    <w:rsid w:val="000E55C5"/>
    <w:rsid w:val="0012649A"/>
    <w:rsid w:val="00160C88"/>
    <w:rsid w:val="001630AF"/>
    <w:rsid w:val="00186BF0"/>
    <w:rsid w:val="001B213F"/>
    <w:rsid w:val="001B223C"/>
    <w:rsid w:val="001B2F1F"/>
    <w:rsid w:val="001D032E"/>
    <w:rsid w:val="002353B5"/>
    <w:rsid w:val="00290B88"/>
    <w:rsid w:val="00297B12"/>
    <w:rsid w:val="002F74EF"/>
    <w:rsid w:val="0031094C"/>
    <w:rsid w:val="00332AAB"/>
    <w:rsid w:val="00344060"/>
    <w:rsid w:val="00353889"/>
    <w:rsid w:val="003B643A"/>
    <w:rsid w:val="003E1BBC"/>
    <w:rsid w:val="003F11C3"/>
    <w:rsid w:val="0040602D"/>
    <w:rsid w:val="00436C08"/>
    <w:rsid w:val="00471C79"/>
    <w:rsid w:val="0049354C"/>
    <w:rsid w:val="004A30DD"/>
    <w:rsid w:val="004D6A9B"/>
    <w:rsid w:val="004F14AE"/>
    <w:rsid w:val="00522102"/>
    <w:rsid w:val="005326E5"/>
    <w:rsid w:val="00534064"/>
    <w:rsid w:val="005A5126"/>
    <w:rsid w:val="005E1230"/>
    <w:rsid w:val="005E150A"/>
    <w:rsid w:val="005F0F67"/>
    <w:rsid w:val="005F4717"/>
    <w:rsid w:val="00606073"/>
    <w:rsid w:val="00613514"/>
    <w:rsid w:val="00676A0C"/>
    <w:rsid w:val="00690CD2"/>
    <w:rsid w:val="006969CA"/>
    <w:rsid w:val="006B7130"/>
    <w:rsid w:val="007141B4"/>
    <w:rsid w:val="00720EA0"/>
    <w:rsid w:val="00721AED"/>
    <w:rsid w:val="00726EFC"/>
    <w:rsid w:val="00732C93"/>
    <w:rsid w:val="0075194C"/>
    <w:rsid w:val="00754B4E"/>
    <w:rsid w:val="00757B9E"/>
    <w:rsid w:val="007732FE"/>
    <w:rsid w:val="00793009"/>
    <w:rsid w:val="007968C9"/>
    <w:rsid w:val="007A6F63"/>
    <w:rsid w:val="007B027C"/>
    <w:rsid w:val="00814FB9"/>
    <w:rsid w:val="00896687"/>
    <w:rsid w:val="008C3344"/>
    <w:rsid w:val="008C4D8F"/>
    <w:rsid w:val="008C7FF6"/>
    <w:rsid w:val="00915903"/>
    <w:rsid w:val="009278D3"/>
    <w:rsid w:val="009340FE"/>
    <w:rsid w:val="009600D9"/>
    <w:rsid w:val="00960906"/>
    <w:rsid w:val="009D0EA3"/>
    <w:rsid w:val="009E61C8"/>
    <w:rsid w:val="009F4C1B"/>
    <w:rsid w:val="00A01EDA"/>
    <w:rsid w:val="00A605DC"/>
    <w:rsid w:val="00A80681"/>
    <w:rsid w:val="00A95A9A"/>
    <w:rsid w:val="00AA3CEC"/>
    <w:rsid w:val="00AA55F0"/>
    <w:rsid w:val="00AC5B18"/>
    <w:rsid w:val="00AD511E"/>
    <w:rsid w:val="00B200B1"/>
    <w:rsid w:val="00B300D7"/>
    <w:rsid w:val="00B45994"/>
    <w:rsid w:val="00B55938"/>
    <w:rsid w:val="00B87B92"/>
    <w:rsid w:val="00BA352C"/>
    <w:rsid w:val="00BD67E5"/>
    <w:rsid w:val="00C02D79"/>
    <w:rsid w:val="00C25DB6"/>
    <w:rsid w:val="00C27CBA"/>
    <w:rsid w:val="00C823C4"/>
    <w:rsid w:val="00CA7EEA"/>
    <w:rsid w:val="00D526C3"/>
    <w:rsid w:val="00D5286B"/>
    <w:rsid w:val="00D63A4C"/>
    <w:rsid w:val="00E20CE5"/>
    <w:rsid w:val="00E36304"/>
    <w:rsid w:val="00E75A51"/>
    <w:rsid w:val="00E76B4D"/>
    <w:rsid w:val="00E8708B"/>
    <w:rsid w:val="00EA78A3"/>
    <w:rsid w:val="00EB1B3C"/>
    <w:rsid w:val="00ED6CBC"/>
    <w:rsid w:val="00EF08E4"/>
    <w:rsid w:val="00F451B8"/>
    <w:rsid w:val="00F871BC"/>
    <w:rsid w:val="010158D6"/>
    <w:rsid w:val="011A5D63"/>
    <w:rsid w:val="011C2456"/>
    <w:rsid w:val="011D2710"/>
    <w:rsid w:val="012A0989"/>
    <w:rsid w:val="01302E15"/>
    <w:rsid w:val="01323C68"/>
    <w:rsid w:val="01345E86"/>
    <w:rsid w:val="014D3873"/>
    <w:rsid w:val="014F1046"/>
    <w:rsid w:val="0160164B"/>
    <w:rsid w:val="016B3DE1"/>
    <w:rsid w:val="016C2D4F"/>
    <w:rsid w:val="0170260A"/>
    <w:rsid w:val="01727438"/>
    <w:rsid w:val="017A36FD"/>
    <w:rsid w:val="018379C9"/>
    <w:rsid w:val="01895C07"/>
    <w:rsid w:val="01897A84"/>
    <w:rsid w:val="01A050EF"/>
    <w:rsid w:val="01A60743"/>
    <w:rsid w:val="01AC264C"/>
    <w:rsid w:val="01AC5842"/>
    <w:rsid w:val="01B57AA4"/>
    <w:rsid w:val="01B81CE2"/>
    <w:rsid w:val="01BD35AB"/>
    <w:rsid w:val="01C225F2"/>
    <w:rsid w:val="01C25065"/>
    <w:rsid w:val="01C761D7"/>
    <w:rsid w:val="01D14E0A"/>
    <w:rsid w:val="01D66AD2"/>
    <w:rsid w:val="01D83224"/>
    <w:rsid w:val="01E22D7D"/>
    <w:rsid w:val="01EA0118"/>
    <w:rsid w:val="01F82AD7"/>
    <w:rsid w:val="01F86CD9"/>
    <w:rsid w:val="0213766F"/>
    <w:rsid w:val="02140D77"/>
    <w:rsid w:val="022573A2"/>
    <w:rsid w:val="022E44A8"/>
    <w:rsid w:val="023A7B7C"/>
    <w:rsid w:val="02441F1E"/>
    <w:rsid w:val="02537C67"/>
    <w:rsid w:val="02544B87"/>
    <w:rsid w:val="026362FC"/>
    <w:rsid w:val="026B74AB"/>
    <w:rsid w:val="02775BE8"/>
    <w:rsid w:val="02836E2C"/>
    <w:rsid w:val="02886B37"/>
    <w:rsid w:val="02976F77"/>
    <w:rsid w:val="029C58B6"/>
    <w:rsid w:val="02A64486"/>
    <w:rsid w:val="02AF1C72"/>
    <w:rsid w:val="02AF69F7"/>
    <w:rsid w:val="02B01361"/>
    <w:rsid w:val="02B217FD"/>
    <w:rsid w:val="02BE3A7E"/>
    <w:rsid w:val="02C12630"/>
    <w:rsid w:val="02EA62D0"/>
    <w:rsid w:val="02F95761"/>
    <w:rsid w:val="02FB4422"/>
    <w:rsid w:val="03077FCF"/>
    <w:rsid w:val="030A2132"/>
    <w:rsid w:val="030F42DA"/>
    <w:rsid w:val="031B1345"/>
    <w:rsid w:val="0320479A"/>
    <w:rsid w:val="03214DA3"/>
    <w:rsid w:val="03261EB9"/>
    <w:rsid w:val="03292E3E"/>
    <w:rsid w:val="032F0DAD"/>
    <w:rsid w:val="035C6DF3"/>
    <w:rsid w:val="036120F0"/>
    <w:rsid w:val="036D3220"/>
    <w:rsid w:val="03716D43"/>
    <w:rsid w:val="03730909"/>
    <w:rsid w:val="03734118"/>
    <w:rsid w:val="03772BBD"/>
    <w:rsid w:val="037A40C6"/>
    <w:rsid w:val="038C1E2A"/>
    <w:rsid w:val="03936CB9"/>
    <w:rsid w:val="0398274B"/>
    <w:rsid w:val="039D4F10"/>
    <w:rsid w:val="03A6563A"/>
    <w:rsid w:val="03A81AA6"/>
    <w:rsid w:val="03AC7394"/>
    <w:rsid w:val="03B01365"/>
    <w:rsid w:val="03B1713F"/>
    <w:rsid w:val="03C661BF"/>
    <w:rsid w:val="03C837AB"/>
    <w:rsid w:val="03CA1FAF"/>
    <w:rsid w:val="03D33F30"/>
    <w:rsid w:val="03D41080"/>
    <w:rsid w:val="03D609D8"/>
    <w:rsid w:val="03FF434E"/>
    <w:rsid w:val="03FF5FEC"/>
    <w:rsid w:val="04077C52"/>
    <w:rsid w:val="040D4BBB"/>
    <w:rsid w:val="040F5AE1"/>
    <w:rsid w:val="04164273"/>
    <w:rsid w:val="04266270"/>
    <w:rsid w:val="042E69E2"/>
    <w:rsid w:val="043210F1"/>
    <w:rsid w:val="043438CC"/>
    <w:rsid w:val="04354274"/>
    <w:rsid w:val="04392C7B"/>
    <w:rsid w:val="043D4F04"/>
    <w:rsid w:val="04436E0D"/>
    <w:rsid w:val="04480CE1"/>
    <w:rsid w:val="045301F6"/>
    <w:rsid w:val="04543412"/>
    <w:rsid w:val="047343F5"/>
    <w:rsid w:val="048358F9"/>
    <w:rsid w:val="0491498E"/>
    <w:rsid w:val="04984319"/>
    <w:rsid w:val="04A3012C"/>
    <w:rsid w:val="04AB5538"/>
    <w:rsid w:val="04BC45FD"/>
    <w:rsid w:val="04BE31D4"/>
    <w:rsid w:val="04BF6221"/>
    <w:rsid w:val="04C44C50"/>
    <w:rsid w:val="04CD7F6B"/>
    <w:rsid w:val="04D01847"/>
    <w:rsid w:val="04D32E79"/>
    <w:rsid w:val="04D72BD5"/>
    <w:rsid w:val="04DD0B5F"/>
    <w:rsid w:val="04E3143E"/>
    <w:rsid w:val="04F135D7"/>
    <w:rsid w:val="0512295E"/>
    <w:rsid w:val="05164FAF"/>
    <w:rsid w:val="05191440"/>
    <w:rsid w:val="051F632A"/>
    <w:rsid w:val="05382B9E"/>
    <w:rsid w:val="05487DE8"/>
    <w:rsid w:val="054C7CD0"/>
    <w:rsid w:val="055830D2"/>
    <w:rsid w:val="055A65D5"/>
    <w:rsid w:val="055C757F"/>
    <w:rsid w:val="056736ED"/>
    <w:rsid w:val="0570657B"/>
    <w:rsid w:val="05771392"/>
    <w:rsid w:val="05864354"/>
    <w:rsid w:val="05875678"/>
    <w:rsid w:val="05900FD6"/>
    <w:rsid w:val="05922DEE"/>
    <w:rsid w:val="05962A91"/>
    <w:rsid w:val="05AE424C"/>
    <w:rsid w:val="05B01562"/>
    <w:rsid w:val="05B63C67"/>
    <w:rsid w:val="05B821F2"/>
    <w:rsid w:val="05BE46B8"/>
    <w:rsid w:val="05C8248C"/>
    <w:rsid w:val="05D71325"/>
    <w:rsid w:val="05EF21A1"/>
    <w:rsid w:val="05FE73D1"/>
    <w:rsid w:val="05FF16A9"/>
    <w:rsid w:val="06023C82"/>
    <w:rsid w:val="060317A8"/>
    <w:rsid w:val="06085010"/>
    <w:rsid w:val="060A6FDB"/>
    <w:rsid w:val="06144B58"/>
    <w:rsid w:val="061614DB"/>
    <w:rsid w:val="061B11E8"/>
    <w:rsid w:val="063D115E"/>
    <w:rsid w:val="063D41EF"/>
    <w:rsid w:val="063F594E"/>
    <w:rsid w:val="06436049"/>
    <w:rsid w:val="064552D9"/>
    <w:rsid w:val="06493522"/>
    <w:rsid w:val="06544FAB"/>
    <w:rsid w:val="065D70FD"/>
    <w:rsid w:val="06645CA5"/>
    <w:rsid w:val="066D4490"/>
    <w:rsid w:val="0670611D"/>
    <w:rsid w:val="06962173"/>
    <w:rsid w:val="069A7E12"/>
    <w:rsid w:val="069C40D7"/>
    <w:rsid w:val="06AC1035"/>
    <w:rsid w:val="06AC78C9"/>
    <w:rsid w:val="06C14C23"/>
    <w:rsid w:val="06CD3AAA"/>
    <w:rsid w:val="06D80E87"/>
    <w:rsid w:val="06F20789"/>
    <w:rsid w:val="071316CD"/>
    <w:rsid w:val="071A324D"/>
    <w:rsid w:val="07205EF4"/>
    <w:rsid w:val="072126BE"/>
    <w:rsid w:val="073E7B8E"/>
    <w:rsid w:val="07404390"/>
    <w:rsid w:val="07455FA1"/>
    <w:rsid w:val="074A1A9F"/>
    <w:rsid w:val="074D717F"/>
    <w:rsid w:val="075C3866"/>
    <w:rsid w:val="075F2127"/>
    <w:rsid w:val="07713742"/>
    <w:rsid w:val="07716FC5"/>
    <w:rsid w:val="07883367"/>
    <w:rsid w:val="07995B53"/>
    <w:rsid w:val="07A019A5"/>
    <w:rsid w:val="07A11279"/>
    <w:rsid w:val="07A5520D"/>
    <w:rsid w:val="07A82FEA"/>
    <w:rsid w:val="07B7616C"/>
    <w:rsid w:val="07BB6C8C"/>
    <w:rsid w:val="07C644D1"/>
    <w:rsid w:val="07C85627"/>
    <w:rsid w:val="07D928F6"/>
    <w:rsid w:val="07DC6B08"/>
    <w:rsid w:val="07EA0E72"/>
    <w:rsid w:val="07EB560A"/>
    <w:rsid w:val="07EF46DA"/>
    <w:rsid w:val="07F06EA1"/>
    <w:rsid w:val="07F608D1"/>
    <w:rsid w:val="07FC6546"/>
    <w:rsid w:val="08014519"/>
    <w:rsid w:val="08030185"/>
    <w:rsid w:val="08167BBE"/>
    <w:rsid w:val="08191757"/>
    <w:rsid w:val="081B28A5"/>
    <w:rsid w:val="081B727D"/>
    <w:rsid w:val="081D1247"/>
    <w:rsid w:val="081E0B1B"/>
    <w:rsid w:val="08236F6E"/>
    <w:rsid w:val="0825634E"/>
    <w:rsid w:val="08284C82"/>
    <w:rsid w:val="08302794"/>
    <w:rsid w:val="08346591"/>
    <w:rsid w:val="083D5414"/>
    <w:rsid w:val="08406CE4"/>
    <w:rsid w:val="084B7A66"/>
    <w:rsid w:val="0858227F"/>
    <w:rsid w:val="085C6BC2"/>
    <w:rsid w:val="086168CD"/>
    <w:rsid w:val="08647852"/>
    <w:rsid w:val="08984829"/>
    <w:rsid w:val="08A07782"/>
    <w:rsid w:val="08A81C9B"/>
    <w:rsid w:val="08A92ADB"/>
    <w:rsid w:val="08A957EA"/>
    <w:rsid w:val="08B44F60"/>
    <w:rsid w:val="08B65FD7"/>
    <w:rsid w:val="08BE59DA"/>
    <w:rsid w:val="08D45B9F"/>
    <w:rsid w:val="08E10FC2"/>
    <w:rsid w:val="08E2593F"/>
    <w:rsid w:val="08E25FED"/>
    <w:rsid w:val="08E7715F"/>
    <w:rsid w:val="08EB30F3"/>
    <w:rsid w:val="08F00C5F"/>
    <w:rsid w:val="08FA3336"/>
    <w:rsid w:val="09005B9E"/>
    <w:rsid w:val="090504BF"/>
    <w:rsid w:val="090F06A4"/>
    <w:rsid w:val="09175C96"/>
    <w:rsid w:val="09283A19"/>
    <w:rsid w:val="09295FE7"/>
    <w:rsid w:val="092A0515"/>
    <w:rsid w:val="093F343F"/>
    <w:rsid w:val="093F6F9B"/>
    <w:rsid w:val="09562DBC"/>
    <w:rsid w:val="095830FB"/>
    <w:rsid w:val="095A48E7"/>
    <w:rsid w:val="09656115"/>
    <w:rsid w:val="09693D0A"/>
    <w:rsid w:val="09827358"/>
    <w:rsid w:val="0983332C"/>
    <w:rsid w:val="0984370C"/>
    <w:rsid w:val="098705F9"/>
    <w:rsid w:val="09A06EDB"/>
    <w:rsid w:val="09AC226C"/>
    <w:rsid w:val="09AC306C"/>
    <w:rsid w:val="09B74C81"/>
    <w:rsid w:val="09BC4A90"/>
    <w:rsid w:val="09C67499"/>
    <w:rsid w:val="09D20B4E"/>
    <w:rsid w:val="09D56068"/>
    <w:rsid w:val="09D71932"/>
    <w:rsid w:val="09D9119E"/>
    <w:rsid w:val="09E35B78"/>
    <w:rsid w:val="09E544CB"/>
    <w:rsid w:val="09EB5E26"/>
    <w:rsid w:val="09FC30DE"/>
    <w:rsid w:val="09FF022D"/>
    <w:rsid w:val="0A0501E5"/>
    <w:rsid w:val="0A0C0525"/>
    <w:rsid w:val="0A271761"/>
    <w:rsid w:val="0A2C21B6"/>
    <w:rsid w:val="0A334D52"/>
    <w:rsid w:val="0A3B59B5"/>
    <w:rsid w:val="0A3D57A2"/>
    <w:rsid w:val="0A3D6B27"/>
    <w:rsid w:val="0A3E3CF5"/>
    <w:rsid w:val="0A3E54A5"/>
    <w:rsid w:val="0A4557E9"/>
    <w:rsid w:val="0A4725AB"/>
    <w:rsid w:val="0A542580"/>
    <w:rsid w:val="0A5842C4"/>
    <w:rsid w:val="0A6749FB"/>
    <w:rsid w:val="0A7F7F97"/>
    <w:rsid w:val="0A805ABD"/>
    <w:rsid w:val="0A8452CE"/>
    <w:rsid w:val="0A8A2A5A"/>
    <w:rsid w:val="0A8D4C82"/>
    <w:rsid w:val="0A9357F1"/>
    <w:rsid w:val="0A94336A"/>
    <w:rsid w:val="0A9F522E"/>
    <w:rsid w:val="0AA76940"/>
    <w:rsid w:val="0AAE6112"/>
    <w:rsid w:val="0AAF1EFF"/>
    <w:rsid w:val="0AB15C77"/>
    <w:rsid w:val="0AB35E1D"/>
    <w:rsid w:val="0AC74ABE"/>
    <w:rsid w:val="0AC7549A"/>
    <w:rsid w:val="0ACF6099"/>
    <w:rsid w:val="0ADE4913"/>
    <w:rsid w:val="0AEC727C"/>
    <w:rsid w:val="0AEE5030"/>
    <w:rsid w:val="0AF83D3C"/>
    <w:rsid w:val="0AFA22DE"/>
    <w:rsid w:val="0B0C7351"/>
    <w:rsid w:val="0B114967"/>
    <w:rsid w:val="0B141172"/>
    <w:rsid w:val="0B1E057C"/>
    <w:rsid w:val="0B220922"/>
    <w:rsid w:val="0B3A2110"/>
    <w:rsid w:val="0B3C7C36"/>
    <w:rsid w:val="0B5115B8"/>
    <w:rsid w:val="0B5B1AAE"/>
    <w:rsid w:val="0B5B3E3A"/>
    <w:rsid w:val="0B6B594F"/>
    <w:rsid w:val="0B6F7B86"/>
    <w:rsid w:val="0B753148"/>
    <w:rsid w:val="0B7550AF"/>
    <w:rsid w:val="0B7735DC"/>
    <w:rsid w:val="0B7E11CA"/>
    <w:rsid w:val="0B813EEC"/>
    <w:rsid w:val="0B982C8E"/>
    <w:rsid w:val="0B9F6417"/>
    <w:rsid w:val="0BA12222"/>
    <w:rsid w:val="0BA13F3D"/>
    <w:rsid w:val="0BA55558"/>
    <w:rsid w:val="0BA852CC"/>
    <w:rsid w:val="0BAD28E2"/>
    <w:rsid w:val="0BC55E7E"/>
    <w:rsid w:val="0BD06D33"/>
    <w:rsid w:val="0BEA7DE9"/>
    <w:rsid w:val="0BEC35D5"/>
    <w:rsid w:val="0BF942A5"/>
    <w:rsid w:val="0C01741F"/>
    <w:rsid w:val="0C08603B"/>
    <w:rsid w:val="0C091155"/>
    <w:rsid w:val="0C0E4028"/>
    <w:rsid w:val="0C0F058D"/>
    <w:rsid w:val="0C171433"/>
    <w:rsid w:val="0C1734E1"/>
    <w:rsid w:val="0C211085"/>
    <w:rsid w:val="0C3152C1"/>
    <w:rsid w:val="0C394176"/>
    <w:rsid w:val="0C395F24"/>
    <w:rsid w:val="0C3C06D6"/>
    <w:rsid w:val="0C3E33A6"/>
    <w:rsid w:val="0C3F3894"/>
    <w:rsid w:val="0C452D30"/>
    <w:rsid w:val="0C5919D1"/>
    <w:rsid w:val="0C5E3BDC"/>
    <w:rsid w:val="0C670E7C"/>
    <w:rsid w:val="0C6A432F"/>
    <w:rsid w:val="0C6A44A1"/>
    <w:rsid w:val="0C6C347A"/>
    <w:rsid w:val="0C6E21CE"/>
    <w:rsid w:val="0C747BE1"/>
    <w:rsid w:val="0C7B02EA"/>
    <w:rsid w:val="0C9F68C2"/>
    <w:rsid w:val="0CC67C0B"/>
    <w:rsid w:val="0CD24497"/>
    <w:rsid w:val="0CD72A6E"/>
    <w:rsid w:val="0CDF3D0D"/>
    <w:rsid w:val="0CE02843"/>
    <w:rsid w:val="0CE05439"/>
    <w:rsid w:val="0CE560AB"/>
    <w:rsid w:val="0CEE4F60"/>
    <w:rsid w:val="0CF62B54"/>
    <w:rsid w:val="0CFF2C96"/>
    <w:rsid w:val="0D0226E7"/>
    <w:rsid w:val="0D0227BA"/>
    <w:rsid w:val="0D134683"/>
    <w:rsid w:val="0D15459B"/>
    <w:rsid w:val="0D1C170F"/>
    <w:rsid w:val="0D2F254B"/>
    <w:rsid w:val="0D3007D3"/>
    <w:rsid w:val="0D395DCD"/>
    <w:rsid w:val="0D417786"/>
    <w:rsid w:val="0D49488C"/>
    <w:rsid w:val="0D4A144A"/>
    <w:rsid w:val="0D4A2C07"/>
    <w:rsid w:val="0D4D3563"/>
    <w:rsid w:val="0D5C629C"/>
    <w:rsid w:val="0D6214AA"/>
    <w:rsid w:val="0D743CCE"/>
    <w:rsid w:val="0DB32676"/>
    <w:rsid w:val="0DBF42FF"/>
    <w:rsid w:val="0DBF68FD"/>
    <w:rsid w:val="0DD2755A"/>
    <w:rsid w:val="0DDB664A"/>
    <w:rsid w:val="0DDF724E"/>
    <w:rsid w:val="0DE87C01"/>
    <w:rsid w:val="0DEA1BCB"/>
    <w:rsid w:val="0DED6FC6"/>
    <w:rsid w:val="0E074511"/>
    <w:rsid w:val="0E095E94"/>
    <w:rsid w:val="0E121122"/>
    <w:rsid w:val="0E19600D"/>
    <w:rsid w:val="0E1C1499"/>
    <w:rsid w:val="0E247D43"/>
    <w:rsid w:val="0E286749"/>
    <w:rsid w:val="0E2F5830"/>
    <w:rsid w:val="0E356BBF"/>
    <w:rsid w:val="0E3756DF"/>
    <w:rsid w:val="0E4D215A"/>
    <w:rsid w:val="0E52151F"/>
    <w:rsid w:val="0E576B35"/>
    <w:rsid w:val="0E5E02DE"/>
    <w:rsid w:val="0E63197E"/>
    <w:rsid w:val="0E641635"/>
    <w:rsid w:val="0E6A377C"/>
    <w:rsid w:val="0E6A4ABA"/>
    <w:rsid w:val="0E77096C"/>
    <w:rsid w:val="0E7C03D1"/>
    <w:rsid w:val="0E7D5E53"/>
    <w:rsid w:val="0EA0228A"/>
    <w:rsid w:val="0EA0672E"/>
    <w:rsid w:val="0EA24565"/>
    <w:rsid w:val="0EA63619"/>
    <w:rsid w:val="0EB45D35"/>
    <w:rsid w:val="0EB648C8"/>
    <w:rsid w:val="0EBB5AE7"/>
    <w:rsid w:val="0ECC12D1"/>
    <w:rsid w:val="0ECD4728"/>
    <w:rsid w:val="0ED20ACE"/>
    <w:rsid w:val="0EE35DB9"/>
    <w:rsid w:val="0EE77A81"/>
    <w:rsid w:val="0EF8693D"/>
    <w:rsid w:val="0F046CBD"/>
    <w:rsid w:val="0F0C3DC3"/>
    <w:rsid w:val="0F1473FB"/>
    <w:rsid w:val="0F16254C"/>
    <w:rsid w:val="0F2365E1"/>
    <w:rsid w:val="0F296723"/>
    <w:rsid w:val="0F2C6214"/>
    <w:rsid w:val="0F307AB2"/>
    <w:rsid w:val="0F3550C8"/>
    <w:rsid w:val="0F3A448D"/>
    <w:rsid w:val="0F665DD1"/>
    <w:rsid w:val="0F7726DF"/>
    <w:rsid w:val="0F773AEC"/>
    <w:rsid w:val="0F7B24F3"/>
    <w:rsid w:val="0F97226F"/>
    <w:rsid w:val="0F9A13CF"/>
    <w:rsid w:val="0F9B6046"/>
    <w:rsid w:val="0FB43F9D"/>
    <w:rsid w:val="0FB75ADD"/>
    <w:rsid w:val="0FBE50B0"/>
    <w:rsid w:val="0FBE65E3"/>
    <w:rsid w:val="0FC95E75"/>
    <w:rsid w:val="0FCB1589"/>
    <w:rsid w:val="0FD146C5"/>
    <w:rsid w:val="0FE30C1D"/>
    <w:rsid w:val="0FFC5BE6"/>
    <w:rsid w:val="10082EB6"/>
    <w:rsid w:val="100F5919"/>
    <w:rsid w:val="101A6B79"/>
    <w:rsid w:val="10282537"/>
    <w:rsid w:val="1028629D"/>
    <w:rsid w:val="102C4895"/>
    <w:rsid w:val="103A6CBA"/>
    <w:rsid w:val="104579BD"/>
    <w:rsid w:val="104E26BF"/>
    <w:rsid w:val="104F3929"/>
    <w:rsid w:val="105D36FE"/>
    <w:rsid w:val="1068327B"/>
    <w:rsid w:val="10685A0B"/>
    <w:rsid w:val="10692AC2"/>
    <w:rsid w:val="106A1357"/>
    <w:rsid w:val="106D4CA7"/>
    <w:rsid w:val="107A78DA"/>
    <w:rsid w:val="10807BA2"/>
    <w:rsid w:val="1084524A"/>
    <w:rsid w:val="10B332E3"/>
    <w:rsid w:val="10BB33AB"/>
    <w:rsid w:val="10C55FD8"/>
    <w:rsid w:val="10CF6E57"/>
    <w:rsid w:val="10DC3590"/>
    <w:rsid w:val="10E21D49"/>
    <w:rsid w:val="10EA39CE"/>
    <w:rsid w:val="10F22B45"/>
    <w:rsid w:val="10F47B61"/>
    <w:rsid w:val="10FB387F"/>
    <w:rsid w:val="10FB74BF"/>
    <w:rsid w:val="11050D56"/>
    <w:rsid w:val="111156C1"/>
    <w:rsid w:val="111972EE"/>
    <w:rsid w:val="111D5E14"/>
    <w:rsid w:val="112F3D99"/>
    <w:rsid w:val="113849FC"/>
    <w:rsid w:val="113B4A52"/>
    <w:rsid w:val="11470A12"/>
    <w:rsid w:val="114E5C71"/>
    <w:rsid w:val="11567B18"/>
    <w:rsid w:val="11764849"/>
    <w:rsid w:val="11770942"/>
    <w:rsid w:val="1178129C"/>
    <w:rsid w:val="117B32BD"/>
    <w:rsid w:val="11845641"/>
    <w:rsid w:val="1189710D"/>
    <w:rsid w:val="11943E04"/>
    <w:rsid w:val="11B20C52"/>
    <w:rsid w:val="11C720B8"/>
    <w:rsid w:val="11CA303C"/>
    <w:rsid w:val="11DA10D8"/>
    <w:rsid w:val="11DC0AA5"/>
    <w:rsid w:val="11E51668"/>
    <w:rsid w:val="11E74B6B"/>
    <w:rsid w:val="11ED22F7"/>
    <w:rsid w:val="11F32E4C"/>
    <w:rsid w:val="11F56C74"/>
    <w:rsid w:val="121865DB"/>
    <w:rsid w:val="12193AFD"/>
    <w:rsid w:val="121C60CC"/>
    <w:rsid w:val="12295E7D"/>
    <w:rsid w:val="123E0DFD"/>
    <w:rsid w:val="1256746E"/>
    <w:rsid w:val="125A03CD"/>
    <w:rsid w:val="127B5531"/>
    <w:rsid w:val="12832EBF"/>
    <w:rsid w:val="12841571"/>
    <w:rsid w:val="129D1301"/>
    <w:rsid w:val="12A96320"/>
    <w:rsid w:val="12B01397"/>
    <w:rsid w:val="12B33D73"/>
    <w:rsid w:val="12CD4BAE"/>
    <w:rsid w:val="12D40754"/>
    <w:rsid w:val="12D71EE1"/>
    <w:rsid w:val="12E6735C"/>
    <w:rsid w:val="12E8131E"/>
    <w:rsid w:val="12FB03D7"/>
    <w:rsid w:val="130C3C2A"/>
    <w:rsid w:val="1321612F"/>
    <w:rsid w:val="13300A18"/>
    <w:rsid w:val="133441B3"/>
    <w:rsid w:val="133B4C77"/>
    <w:rsid w:val="1346072F"/>
    <w:rsid w:val="134B6026"/>
    <w:rsid w:val="13510A26"/>
    <w:rsid w:val="13581549"/>
    <w:rsid w:val="135875D7"/>
    <w:rsid w:val="135D699C"/>
    <w:rsid w:val="135E2714"/>
    <w:rsid w:val="13650603"/>
    <w:rsid w:val="136829FF"/>
    <w:rsid w:val="13684E9C"/>
    <w:rsid w:val="136917E4"/>
    <w:rsid w:val="136B5578"/>
    <w:rsid w:val="136F1779"/>
    <w:rsid w:val="13893636"/>
    <w:rsid w:val="13961EAE"/>
    <w:rsid w:val="13987DB4"/>
    <w:rsid w:val="13A117B4"/>
    <w:rsid w:val="13B10E5E"/>
    <w:rsid w:val="13B32A60"/>
    <w:rsid w:val="13B363E0"/>
    <w:rsid w:val="13BB7B66"/>
    <w:rsid w:val="13BE7271"/>
    <w:rsid w:val="13C3447C"/>
    <w:rsid w:val="13C44B8A"/>
    <w:rsid w:val="13C540FC"/>
    <w:rsid w:val="13D8547C"/>
    <w:rsid w:val="13DC75A4"/>
    <w:rsid w:val="13E33120"/>
    <w:rsid w:val="13E62E35"/>
    <w:rsid w:val="13EC34E5"/>
    <w:rsid w:val="13FD3CDB"/>
    <w:rsid w:val="14190AC4"/>
    <w:rsid w:val="14212297"/>
    <w:rsid w:val="14245587"/>
    <w:rsid w:val="143D6344"/>
    <w:rsid w:val="143F0636"/>
    <w:rsid w:val="144B713C"/>
    <w:rsid w:val="144C0FB4"/>
    <w:rsid w:val="14575AE1"/>
    <w:rsid w:val="146464BB"/>
    <w:rsid w:val="146855F8"/>
    <w:rsid w:val="146A2CD4"/>
    <w:rsid w:val="146C3610"/>
    <w:rsid w:val="14706BA3"/>
    <w:rsid w:val="14740441"/>
    <w:rsid w:val="14807650"/>
    <w:rsid w:val="149B08DC"/>
    <w:rsid w:val="149E54BE"/>
    <w:rsid w:val="14C46D22"/>
    <w:rsid w:val="14C64A14"/>
    <w:rsid w:val="14CE59EA"/>
    <w:rsid w:val="14E24C7A"/>
    <w:rsid w:val="14E34525"/>
    <w:rsid w:val="14EC1F13"/>
    <w:rsid w:val="15057436"/>
    <w:rsid w:val="15131A84"/>
    <w:rsid w:val="153579F9"/>
    <w:rsid w:val="153F6FA5"/>
    <w:rsid w:val="15415E49"/>
    <w:rsid w:val="15491CF9"/>
    <w:rsid w:val="15602773"/>
    <w:rsid w:val="15845472"/>
    <w:rsid w:val="158F35DD"/>
    <w:rsid w:val="159E329B"/>
    <w:rsid w:val="15B500A8"/>
    <w:rsid w:val="15BE749A"/>
    <w:rsid w:val="15D17368"/>
    <w:rsid w:val="15D418DD"/>
    <w:rsid w:val="15D64DE0"/>
    <w:rsid w:val="15DC256D"/>
    <w:rsid w:val="15E05662"/>
    <w:rsid w:val="15EC04AB"/>
    <w:rsid w:val="15EE7D7F"/>
    <w:rsid w:val="15F35C13"/>
    <w:rsid w:val="15F8213A"/>
    <w:rsid w:val="15F9269F"/>
    <w:rsid w:val="15FD5E75"/>
    <w:rsid w:val="15FF01DE"/>
    <w:rsid w:val="1600268E"/>
    <w:rsid w:val="160E6E14"/>
    <w:rsid w:val="161C45BB"/>
    <w:rsid w:val="161F262E"/>
    <w:rsid w:val="16257997"/>
    <w:rsid w:val="162E2871"/>
    <w:rsid w:val="16351E52"/>
    <w:rsid w:val="16383B80"/>
    <w:rsid w:val="163D2AB4"/>
    <w:rsid w:val="16450C97"/>
    <w:rsid w:val="164E4CC1"/>
    <w:rsid w:val="16526560"/>
    <w:rsid w:val="16563013"/>
    <w:rsid w:val="16651F56"/>
    <w:rsid w:val="166D59E0"/>
    <w:rsid w:val="1675224E"/>
    <w:rsid w:val="1677496A"/>
    <w:rsid w:val="16822CFB"/>
    <w:rsid w:val="168D108C"/>
    <w:rsid w:val="16924BAE"/>
    <w:rsid w:val="16946498"/>
    <w:rsid w:val="16A3500D"/>
    <w:rsid w:val="16A67A37"/>
    <w:rsid w:val="16AA7D9E"/>
    <w:rsid w:val="16B929F1"/>
    <w:rsid w:val="16C90357"/>
    <w:rsid w:val="16D326D7"/>
    <w:rsid w:val="16DC407B"/>
    <w:rsid w:val="16F13850"/>
    <w:rsid w:val="16F26832"/>
    <w:rsid w:val="16F577B6"/>
    <w:rsid w:val="17144E25"/>
    <w:rsid w:val="17224E02"/>
    <w:rsid w:val="172779EC"/>
    <w:rsid w:val="17334DF1"/>
    <w:rsid w:val="17380989"/>
    <w:rsid w:val="174540BD"/>
    <w:rsid w:val="17494CC2"/>
    <w:rsid w:val="174F49CD"/>
    <w:rsid w:val="175B5F64"/>
    <w:rsid w:val="175E7186"/>
    <w:rsid w:val="17620A24"/>
    <w:rsid w:val="178751D9"/>
    <w:rsid w:val="17A10651"/>
    <w:rsid w:val="17A66FF5"/>
    <w:rsid w:val="17B84AE8"/>
    <w:rsid w:val="17BF6E6B"/>
    <w:rsid w:val="17D06220"/>
    <w:rsid w:val="17D102E2"/>
    <w:rsid w:val="17D62327"/>
    <w:rsid w:val="17E85AC5"/>
    <w:rsid w:val="17E92EF4"/>
    <w:rsid w:val="18027B12"/>
    <w:rsid w:val="18077A2D"/>
    <w:rsid w:val="180C0F2C"/>
    <w:rsid w:val="181124EE"/>
    <w:rsid w:val="18324C3F"/>
    <w:rsid w:val="18345F44"/>
    <w:rsid w:val="183D3240"/>
    <w:rsid w:val="18430CCB"/>
    <w:rsid w:val="18522F76"/>
    <w:rsid w:val="185C7A25"/>
    <w:rsid w:val="1862578F"/>
    <w:rsid w:val="186E51A7"/>
    <w:rsid w:val="188D6746"/>
    <w:rsid w:val="188E5E55"/>
    <w:rsid w:val="18930C11"/>
    <w:rsid w:val="18A44846"/>
    <w:rsid w:val="18BB5017"/>
    <w:rsid w:val="18BD5362"/>
    <w:rsid w:val="18CC5500"/>
    <w:rsid w:val="18DA0A8E"/>
    <w:rsid w:val="18DC3B60"/>
    <w:rsid w:val="18E27836"/>
    <w:rsid w:val="18E637EA"/>
    <w:rsid w:val="18EE1B86"/>
    <w:rsid w:val="18F45C46"/>
    <w:rsid w:val="18F733EE"/>
    <w:rsid w:val="18FC27B3"/>
    <w:rsid w:val="18FC310E"/>
    <w:rsid w:val="18FE29CF"/>
    <w:rsid w:val="19112EC7"/>
    <w:rsid w:val="19225659"/>
    <w:rsid w:val="19263CD4"/>
    <w:rsid w:val="19285748"/>
    <w:rsid w:val="193A6740"/>
    <w:rsid w:val="19461F1D"/>
    <w:rsid w:val="19566985"/>
    <w:rsid w:val="195720DF"/>
    <w:rsid w:val="195F7C30"/>
    <w:rsid w:val="196056B2"/>
    <w:rsid w:val="19680B28"/>
    <w:rsid w:val="196B01BF"/>
    <w:rsid w:val="196D1144"/>
    <w:rsid w:val="197A4BF2"/>
    <w:rsid w:val="19921369"/>
    <w:rsid w:val="19992FDC"/>
    <w:rsid w:val="19BB1243"/>
    <w:rsid w:val="19BD63E6"/>
    <w:rsid w:val="19DF017E"/>
    <w:rsid w:val="19F17E3E"/>
    <w:rsid w:val="19F85670"/>
    <w:rsid w:val="19FD1DFB"/>
    <w:rsid w:val="1A0738C1"/>
    <w:rsid w:val="1A074196"/>
    <w:rsid w:val="1A0A60E9"/>
    <w:rsid w:val="1A0D57CA"/>
    <w:rsid w:val="1A1324AA"/>
    <w:rsid w:val="1A217CEE"/>
    <w:rsid w:val="1A220020"/>
    <w:rsid w:val="1A481FA6"/>
    <w:rsid w:val="1A4E5290"/>
    <w:rsid w:val="1A5823C6"/>
    <w:rsid w:val="1A643C5B"/>
    <w:rsid w:val="1A690C8F"/>
    <w:rsid w:val="1A6F19DF"/>
    <w:rsid w:val="1A804D46"/>
    <w:rsid w:val="1A841F91"/>
    <w:rsid w:val="1A8A3E9A"/>
    <w:rsid w:val="1A9C7638"/>
    <w:rsid w:val="1A9E0504"/>
    <w:rsid w:val="1AAC7AE0"/>
    <w:rsid w:val="1AB570BD"/>
    <w:rsid w:val="1ABA6BE8"/>
    <w:rsid w:val="1ACC4407"/>
    <w:rsid w:val="1AD25EC1"/>
    <w:rsid w:val="1AD46E53"/>
    <w:rsid w:val="1AD80FFE"/>
    <w:rsid w:val="1AD95F08"/>
    <w:rsid w:val="1AE31E7C"/>
    <w:rsid w:val="1AE94D58"/>
    <w:rsid w:val="1AEB0D31"/>
    <w:rsid w:val="1B187FA0"/>
    <w:rsid w:val="1B206AFF"/>
    <w:rsid w:val="1B340308"/>
    <w:rsid w:val="1B363FB3"/>
    <w:rsid w:val="1B515E62"/>
    <w:rsid w:val="1B575FC4"/>
    <w:rsid w:val="1B59213E"/>
    <w:rsid w:val="1B5A129B"/>
    <w:rsid w:val="1B726396"/>
    <w:rsid w:val="1B7F1479"/>
    <w:rsid w:val="1B811695"/>
    <w:rsid w:val="1B826631"/>
    <w:rsid w:val="1B8E2FB5"/>
    <w:rsid w:val="1B991227"/>
    <w:rsid w:val="1BA86FE3"/>
    <w:rsid w:val="1BB004AD"/>
    <w:rsid w:val="1BC229A4"/>
    <w:rsid w:val="1BC3238D"/>
    <w:rsid w:val="1BC451FA"/>
    <w:rsid w:val="1BC72FED"/>
    <w:rsid w:val="1BCB46BE"/>
    <w:rsid w:val="1BD73B3C"/>
    <w:rsid w:val="1BD87507"/>
    <w:rsid w:val="1BE51C24"/>
    <w:rsid w:val="1BEB246A"/>
    <w:rsid w:val="1BED6409"/>
    <w:rsid w:val="1BF73705"/>
    <w:rsid w:val="1C0025BA"/>
    <w:rsid w:val="1C00530A"/>
    <w:rsid w:val="1C016EFF"/>
    <w:rsid w:val="1C0E2F29"/>
    <w:rsid w:val="1C13269C"/>
    <w:rsid w:val="1C16002F"/>
    <w:rsid w:val="1C26713F"/>
    <w:rsid w:val="1C381D54"/>
    <w:rsid w:val="1C3D55BC"/>
    <w:rsid w:val="1C420E24"/>
    <w:rsid w:val="1C485D0F"/>
    <w:rsid w:val="1C504EAB"/>
    <w:rsid w:val="1C512E16"/>
    <w:rsid w:val="1C5C1105"/>
    <w:rsid w:val="1C5E064B"/>
    <w:rsid w:val="1C681DB6"/>
    <w:rsid w:val="1C6D4038"/>
    <w:rsid w:val="1C7A236C"/>
    <w:rsid w:val="1CA12143"/>
    <w:rsid w:val="1CA23671"/>
    <w:rsid w:val="1CAB3B5A"/>
    <w:rsid w:val="1CAC629E"/>
    <w:rsid w:val="1CB41C92"/>
    <w:rsid w:val="1CB908AC"/>
    <w:rsid w:val="1CBA09BB"/>
    <w:rsid w:val="1CBB2985"/>
    <w:rsid w:val="1CC17F9B"/>
    <w:rsid w:val="1CC96E50"/>
    <w:rsid w:val="1CCE4466"/>
    <w:rsid w:val="1CD0325F"/>
    <w:rsid w:val="1CD34CD9"/>
    <w:rsid w:val="1CDE306A"/>
    <w:rsid w:val="1CE27AFE"/>
    <w:rsid w:val="1CE7177B"/>
    <w:rsid w:val="1CF2439F"/>
    <w:rsid w:val="1CF245F9"/>
    <w:rsid w:val="1D0205B4"/>
    <w:rsid w:val="1D053ADB"/>
    <w:rsid w:val="1D085BCA"/>
    <w:rsid w:val="1D0F1968"/>
    <w:rsid w:val="1D122720"/>
    <w:rsid w:val="1D194148"/>
    <w:rsid w:val="1D1F4309"/>
    <w:rsid w:val="1D24481E"/>
    <w:rsid w:val="1D301809"/>
    <w:rsid w:val="1D37200B"/>
    <w:rsid w:val="1D453D13"/>
    <w:rsid w:val="1D4B1F5B"/>
    <w:rsid w:val="1D4E0DCB"/>
    <w:rsid w:val="1D5030CD"/>
    <w:rsid w:val="1D554B87"/>
    <w:rsid w:val="1D5752B2"/>
    <w:rsid w:val="1D5E26BE"/>
    <w:rsid w:val="1D5F5A06"/>
    <w:rsid w:val="1D6B2D1C"/>
    <w:rsid w:val="1D6D3C7F"/>
    <w:rsid w:val="1D87544D"/>
    <w:rsid w:val="1D8B67FB"/>
    <w:rsid w:val="1D8B76AD"/>
    <w:rsid w:val="1D9822C6"/>
    <w:rsid w:val="1DA86D22"/>
    <w:rsid w:val="1DAD1AB6"/>
    <w:rsid w:val="1DB84052"/>
    <w:rsid w:val="1DBE272D"/>
    <w:rsid w:val="1DEB104E"/>
    <w:rsid w:val="1DF0665E"/>
    <w:rsid w:val="1DF45021"/>
    <w:rsid w:val="1DF90653"/>
    <w:rsid w:val="1E0E5043"/>
    <w:rsid w:val="1E0F41EC"/>
    <w:rsid w:val="1E122A78"/>
    <w:rsid w:val="1E205195"/>
    <w:rsid w:val="1E2B4A54"/>
    <w:rsid w:val="1E2F7187"/>
    <w:rsid w:val="1E3511F3"/>
    <w:rsid w:val="1E387E23"/>
    <w:rsid w:val="1E3A48B1"/>
    <w:rsid w:val="1E422931"/>
    <w:rsid w:val="1E451C37"/>
    <w:rsid w:val="1E4723F1"/>
    <w:rsid w:val="1E5310C7"/>
    <w:rsid w:val="1E5B61F8"/>
    <w:rsid w:val="1E5C30C8"/>
    <w:rsid w:val="1E621C8E"/>
    <w:rsid w:val="1E694C6D"/>
    <w:rsid w:val="1E6F3F54"/>
    <w:rsid w:val="1E847584"/>
    <w:rsid w:val="1E8703FF"/>
    <w:rsid w:val="1E9D2CA9"/>
    <w:rsid w:val="1EA913DC"/>
    <w:rsid w:val="1EB23191"/>
    <w:rsid w:val="1EBF357F"/>
    <w:rsid w:val="1EDA0C11"/>
    <w:rsid w:val="1EEC6612"/>
    <w:rsid w:val="1EF15053"/>
    <w:rsid w:val="1EF53F2C"/>
    <w:rsid w:val="1EFB0FB2"/>
    <w:rsid w:val="1F0A017C"/>
    <w:rsid w:val="1F0B0800"/>
    <w:rsid w:val="1F212F73"/>
    <w:rsid w:val="1F243D61"/>
    <w:rsid w:val="1F3C0119"/>
    <w:rsid w:val="1F404DD2"/>
    <w:rsid w:val="1F4A3163"/>
    <w:rsid w:val="1F4D40E8"/>
    <w:rsid w:val="1F4E1084"/>
    <w:rsid w:val="1F515AC7"/>
    <w:rsid w:val="1F5E41C7"/>
    <w:rsid w:val="1F600EF4"/>
    <w:rsid w:val="1F63408D"/>
    <w:rsid w:val="1F6F209E"/>
    <w:rsid w:val="1F721A21"/>
    <w:rsid w:val="1F7532BF"/>
    <w:rsid w:val="1F90436C"/>
    <w:rsid w:val="1F910080"/>
    <w:rsid w:val="1F953961"/>
    <w:rsid w:val="1FA40CD6"/>
    <w:rsid w:val="1FC3402A"/>
    <w:rsid w:val="1FC57184"/>
    <w:rsid w:val="1FD8134E"/>
    <w:rsid w:val="1FDE74F9"/>
    <w:rsid w:val="1FE16BA6"/>
    <w:rsid w:val="2019376E"/>
    <w:rsid w:val="201C7BDE"/>
    <w:rsid w:val="201F2242"/>
    <w:rsid w:val="20216FA3"/>
    <w:rsid w:val="20242025"/>
    <w:rsid w:val="202A5E57"/>
    <w:rsid w:val="20337402"/>
    <w:rsid w:val="20386DA2"/>
    <w:rsid w:val="20407429"/>
    <w:rsid w:val="20510A2A"/>
    <w:rsid w:val="20592BE1"/>
    <w:rsid w:val="205B24B5"/>
    <w:rsid w:val="206F4A2B"/>
    <w:rsid w:val="206F54C4"/>
    <w:rsid w:val="207143EB"/>
    <w:rsid w:val="20780352"/>
    <w:rsid w:val="207812B9"/>
    <w:rsid w:val="20793D13"/>
    <w:rsid w:val="207D47DA"/>
    <w:rsid w:val="20875058"/>
    <w:rsid w:val="20896A66"/>
    <w:rsid w:val="20907F89"/>
    <w:rsid w:val="20A01F11"/>
    <w:rsid w:val="20A5599E"/>
    <w:rsid w:val="20A70EA1"/>
    <w:rsid w:val="20AE4A92"/>
    <w:rsid w:val="20BC55C4"/>
    <w:rsid w:val="20BE2A44"/>
    <w:rsid w:val="20CA501D"/>
    <w:rsid w:val="20CE6D68"/>
    <w:rsid w:val="20E67BE0"/>
    <w:rsid w:val="20FE3242"/>
    <w:rsid w:val="20FF01A8"/>
    <w:rsid w:val="210C1A01"/>
    <w:rsid w:val="210D0846"/>
    <w:rsid w:val="211749D8"/>
    <w:rsid w:val="211865F8"/>
    <w:rsid w:val="211A411E"/>
    <w:rsid w:val="211D776A"/>
    <w:rsid w:val="212B3679"/>
    <w:rsid w:val="213665E0"/>
    <w:rsid w:val="21384B83"/>
    <w:rsid w:val="213B5E42"/>
    <w:rsid w:val="2141581D"/>
    <w:rsid w:val="21572348"/>
    <w:rsid w:val="21597A44"/>
    <w:rsid w:val="21617F9F"/>
    <w:rsid w:val="2173382E"/>
    <w:rsid w:val="21771B35"/>
    <w:rsid w:val="217B6E8F"/>
    <w:rsid w:val="218B6F16"/>
    <w:rsid w:val="218D2B42"/>
    <w:rsid w:val="219F0AC7"/>
    <w:rsid w:val="21A400A0"/>
    <w:rsid w:val="21A97250"/>
    <w:rsid w:val="21B0012A"/>
    <w:rsid w:val="21B04A82"/>
    <w:rsid w:val="21B14BD7"/>
    <w:rsid w:val="21B77BBF"/>
    <w:rsid w:val="21BE7D8E"/>
    <w:rsid w:val="21BF60EB"/>
    <w:rsid w:val="21C84315"/>
    <w:rsid w:val="21D246A9"/>
    <w:rsid w:val="21D642B4"/>
    <w:rsid w:val="21D73792"/>
    <w:rsid w:val="21E5239A"/>
    <w:rsid w:val="21EA1D42"/>
    <w:rsid w:val="21EB6575"/>
    <w:rsid w:val="21F66939"/>
    <w:rsid w:val="21FB192E"/>
    <w:rsid w:val="220172ED"/>
    <w:rsid w:val="2217240B"/>
    <w:rsid w:val="221B5875"/>
    <w:rsid w:val="222D4521"/>
    <w:rsid w:val="2230725F"/>
    <w:rsid w:val="223554C5"/>
    <w:rsid w:val="224A614F"/>
    <w:rsid w:val="22625D7D"/>
    <w:rsid w:val="22651ECE"/>
    <w:rsid w:val="22710E72"/>
    <w:rsid w:val="22801147"/>
    <w:rsid w:val="22811D43"/>
    <w:rsid w:val="228C453A"/>
    <w:rsid w:val="22A31EF1"/>
    <w:rsid w:val="22B440FE"/>
    <w:rsid w:val="22B569E9"/>
    <w:rsid w:val="22B61C24"/>
    <w:rsid w:val="22B934C3"/>
    <w:rsid w:val="22C01AA7"/>
    <w:rsid w:val="22CE3412"/>
    <w:rsid w:val="22CE3EC6"/>
    <w:rsid w:val="22CE4F8B"/>
    <w:rsid w:val="22D56430"/>
    <w:rsid w:val="22D8424D"/>
    <w:rsid w:val="22E61751"/>
    <w:rsid w:val="22F242F0"/>
    <w:rsid w:val="22F550CA"/>
    <w:rsid w:val="22F95B0A"/>
    <w:rsid w:val="2302130E"/>
    <w:rsid w:val="23052BAC"/>
    <w:rsid w:val="230706D2"/>
    <w:rsid w:val="23076924"/>
    <w:rsid w:val="230A068C"/>
    <w:rsid w:val="23160915"/>
    <w:rsid w:val="231F3C6E"/>
    <w:rsid w:val="232242AD"/>
    <w:rsid w:val="2322550C"/>
    <w:rsid w:val="23320F26"/>
    <w:rsid w:val="23332B2C"/>
    <w:rsid w:val="23345F4F"/>
    <w:rsid w:val="23475B35"/>
    <w:rsid w:val="234A44CD"/>
    <w:rsid w:val="234D0922"/>
    <w:rsid w:val="23574F07"/>
    <w:rsid w:val="235C6C70"/>
    <w:rsid w:val="23614286"/>
    <w:rsid w:val="23623360"/>
    <w:rsid w:val="23651C9F"/>
    <w:rsid w:val="2375712B"/>
    <w:rsid w:val="237779BB"/>
    <w:rsid w:val="23777AB7"/>
    <w:rsid w:val="2378337E"/>
    <w:rsid w:val="238F60D5"/>
    <w:rsid w:val="239C7197"/>
    <w:rsid w:val="239D70CC"/>
    <w:rsid w:val="23AB4992"/>
    <w:rsid w:val="23BA4FAC"/>
    <w:rsid w:val="23CB16FF"/>
    <w:rsid w:val="23E8649C"/>
    <w:rsid w:val="23F23130"/>
    <w:rsid w:val="23FA5A14"/>
    <w:rsid w:val="2406231C"/>
    <w:rsid w:val="241412F8"/>
    <w:rsid w:val="241B61C8"/>
    <w:rsid w:val="2423778D"/>
    <w:rsid w:val="244377C9"/>
    <w:rsid w:val="24547BF1"/>
    <w:rsid w:val="246102B6"/>
    <w:rsid w:val="2473241F"/>
    <w:rsid w:val="24746E9C"/>
    <w:rsid w:val="2477734D"/>
    <w:rsid w:val="24865DB9"/>
    <w:rsid w:val="24A16B4E"/>
    <w:rsid w:val="24A51F50"/>
    <w:rsid w:val="24A5262B"/>
    <w:rsid w:val="24A85EE5"/>
    <w:rsid w:val="24C22B02"/>
    <w:rsid w:val="24CD1023"/>
    <w:rsid w:val="24DD6008"/>
    <w:rsid w:val="24DE36B4"/>
    <w:rsid w:val="24EB5AC4"/>
    <w:rsid w:val="24ED40A4"/>
    <w:rsid w:val="24EE6FC3"/>
    <w:rsid w:val="24F37160"/>
    <w:rsid w:val="24F43A2F"/>
    <w:rsid w:val="24F5112A"/>
    <w:rsid w:val="24F55EFC"/>
    <w:rsid w:val="25053949"/>
    <w:rsid w:val="250F2123"/>
    <w:rsid w:val="25145328"/>
    <w:rsid w:val="251903EC"/>
    <w:rsid w:val="2533755C"/>
    <w:rsid w:val="253A38C1"/>
    <w:rsid w:val="25490842"/>
    <w:rsid w:val="255167BA"/>
    <w:rsid w:val="25556F4C"/>
    <w:rsid w:val="255676EF"/>
    <w:rsid w:val="255D282B"/>
    <w:rsid w:val="256718FC"/>
    <w:rsid w:val="256911D0"/>
    <w:rsid w:val="256A6EF1"/>
    <w:rsid w:val="25755DC7"/>
    <w:rsid w:val="25787665"/>
    <w:rsid w:val="25812C6B"/>
    <w:rsid w:val="25826536"/>
    <w:rsid w:val="2589043C"/>
    <w:rsid w:val="259C77F7"/>
    <w:rsid w:val="25A76CA1"/>
    <w:rsid w:val="25B85CA6"/>
    <w:rsid w:val="25B924F3"/>
    <w:rsid w:val="25D73CA2"/>
    <w:rsid w:val="25D774E6"/>
    <w:rsid w:val="25D81723"/>
    <w:rsid w:val="25DB557C"/>
    <w:rsid w:val="25E20F82"/>
    <w:rsid w:val="25FA451E"/>
    <w:rsid w:val="260B2287"/>
    <w:rsid w:val="260B672B"/>
    <w:rsid w:val="260E3B25"/>
    <w:rsid w:val="26170C2C"/>
    <w:rsid w:val="261750D0"/>
    <w:rsid w:val="26207919"/>
    <w:rsid w:val="26222264"/>
    <w:rsid w:val="26280DF4"/>
    <w:rsid w:val="262F59B5"/>
    <w:rsid w:val="263539EF"/>
    <w:rsid w:val="263A2B6C"/>
    <w:rsid w:val="26435EC5"/>
    <w:rsid w:val="26473603"/>
    <w:rsid w:val="26593253"/>
    <w:rsid w:val="266B4515"/>
    <w:rsid w:val="267E5CB6"/>
    <w:rsid w:val="267E6EFD"/>
    <w:rsid w:val="268D2DA0"/>
    <w:rsid w:val="26955FF5"/>
    <w:rsid w:val="26977AEE"/>
    <w:rsid w:val="269E134D"/>
    <w:rsid w:val="26A24A66"/>
    <w:rsid w:val="26BE2301"/>
    <w:rsid w:val="26CC0ECA"/>
    <w:rsid w:val="26D332DC"/>
    <w:rsid w:val="26D46DA1"/>
    <w:rsid w:val="26D66D39"/>
    <w:rsid w:val="26E41910"/>
    <w:rsid w:val="270E58BE"/>
    <w:rsid w:val="270F5BCF"/>
    <w:rsid w:val="27125E21"/>
    <w:rsid w:val="272623F8"/>
    <w:rsid w:val="272E0923"/>
    <w:rsid w:val="2751016E"/>
    <w:rsid w:val="27541A0C"/>
    <w:rsid w:val="276A1EBA"/>
    <w:rsid w:val="276E08C0"/>
    <w:rsid w:val="27763384"/>
    <w:rsid w:val="2779507C"/>
    <w:rsid w:val="277E2C49"/>
    <w:rsid w:val="279010FF"/>
    <w:rsid w:val="27924C4A"/>
    <w:rsid w:val="27936A9B"/>
    <w:rsid w:val="279544FE"/>
    <w:rsid w:val="279C2917"/>
    <w:rsid w:val="279F519A"/>
    <w:rsid w:val="27A06B10"/>
    <w:rsid w:val="27A45517"/>
    <w:rsid w:val="27A527DE"/>
    <w:rsid w:val="27AA5AD0"/>
    <w:rsid w:val="27B01338"/>
    <w:rsid w:val="27B97A3A"/>
    <w:rsid w:val="27BF5A1F"/>
    <w:rsid w:val="27C22649"/>
    <w:rsid w:val="27C46B92"/>
    <w:rsid w:val="27C82E0F"/>
    <w:rsid w:val="27C923FA"/>
    <w:rsid w:val="27CE635B"/>
    <w:rsid w:val="27D50D9F"/>
    <w:rsid w:val="27DB34DA"/>
    <w:rsid w:val="27DC037F"/>
    <w:rsid w:val="27F42830"/>
    <w:rsid w:val="280129BA"/>
    <w:rsid w:val="280E29C8"/>
    <w:rsid w:val="28154197"/>
    <w:rsid w:val="282370EA"/>
    <w:rsid w:val="282910EA"/>
    <w:rsid w:val="282A31F1"/>
    <w:rsid w:val="28331903"/>
    <w:rsid w:val="283420B1"/>
    <w:rsid w:val="28412892"/>
    <w:rsid w:val="284506AF"/>
    <w:rsid w:val="28575C58"/>
    <w:rsid w:val="28637626"/>
    <w:rsid w:val="2868435B"/>
    <w:rsid w:val="287C56BE"/>
    <w:rsid w:val="28922842"/>
    <w:rsid w:val="289C7B0E"/>
    <w:rsid w:val="28AA5BC6"/>
    <w:rsid w:val="28B135BA"/>
    <w:rsid w:val="28B37BA6"/>
    <w:rsid w:val="28B81B5C"/>
    <w:rsid w:val="28C672A8"/>
    <w:rsid w:val="28C81DF6"/>
    <w:rsid w:val="28CD286D"/>
    <w:rsid w:val="28D63020"/>
    <w:rsid w:val="28DC6898"/>
    <w:rsid w:val="28ED0D31"/>
    <w:rsid w:val="28F2772E"/>
    <w:rsid w:val="28F72945"/>
    <w:rsid w:val="28F90ABD"/>
    <w:rsid w:val="28FE60C3"/>
    <w:rsid w:val="29086F52"/>
    <w:rsid w:val="291104DB"/>
    <w:rsid w:val="29373393"/>
    <w:rsid w:val="2941433C"/>
    <w:rsid w:val="29423D72"/>
    <w:rsid w:val="295108F9"/>
    <w:rsid w:val="295E607F"/>
    <w:rsid w:val="296A19BB"/>
    <w:rsid w:val="29763EBB"/>
    <w:rsid w:val="298567F4"/>
    <w:rsid w:val="2987256D"/>
    <w:rsid w:val="29894181"/>
    <w:rsid w:val="298F4F7D"/>
    <w:rsid w:val="29915199"/>
    <w:rsid w:val="2996683F"/>
    <w:rsid w:val="29B2695E"/>
    <w:rsid w:val="29B9024C"/>
    <w:rsid w:val="29B97180"/>
    <w:rsid w:val="29C7365C"/>
    <w:rsid w:val="29C966E1"/>
    <w:rsid w:val="29D55086"/>
    <w:rsid w:val="29E277A3"/>
    <w:rsid w:val="29F70D19"/>
    <w:rsid w:val="2A026DDA"/>
    <w:rsid w:val="2A0C569A"/>
    <w:rsid w:val="2A207EBE"/>
    <w:rsid w:val="2A2403B3"/>
    <w:rsid w:val="2A24682F"/>
    <w:rsid w:val="2A2542B1"/>
    <w:rsid w:val="2A2803A2"/>
    <w:rsid w:val="2A282CB7"/>
    <w:rsid w:val="2A3B1CD8"/>
    <w:rsid w:val="2A505ABB"/>
    <w:rsid w:val="2A5A6D09"/>
    <w:rsid w:val="2A5C7555"/>
    <w:rsid w:val="2A5F7045"/>
    <w:rsid w:val="2A636B36"/>
    <w:rsid w:val="2A64640A"/>
    <w:rsid w:val="2A6C49E2"/>
    <w:rsid w:val="2A71013E"/>
    <w:rsid w:val="2A7F0300"/>
    <w:rsid w:val="2A7F518B"/>
    <w:rsid w:val="2A946CEF"/>
    <w:rsid w:val="2AA331A9"/>
    <w:rsid w:val="2AA932E7"/>
    <w:rsid w:val="2AAB4039"/>
    <w:rsid w:val="2AAE7F81"/>
    <w:rsid w:val="2AB23619"/>
    <w:rsid w:val="2ABA24CE"/>
    <w:rsid w:val="2AC35845"/>
    <w:rsid w:val="2ACA2711"/>
    <w:rsid w:val="2AD92954"/>
    <w:rsid w:val="2ADB2B70"/>
    <w:rsid w:val="2ADB79D1"/>
    <w:rsid w:val="2ADC2444"/>
    <w:rsid w:val="2AEF03C9"/>
    <w:rsid w:val="2AF21C68"/>
    <w:rsid w:val="2AF55E30"/>
    <w:rsid w:val="2B0F45B6"/>
    <w:rsid w:val="2B1402D6"/>
    <w:rsid w:val="2B2143CC"/>
    <w:rsid w:val="2B262EC6"/>
    <w:rsid w:val="2B4746D6"/>
    <w:rsid w:val="2B490A56"/>
    <w:rsid w:val="2B4B02A9"/>
    <w:rsid w:val="2B510E7D"/>
    <w:rsid w:val="2B5D7D13"/>
    <w:rsid w:val="2B6A1424"/>
    <w:rsid w:val="2B732DA8"/>
    <w:rsid w:val="2B75075B"/>
    <w:rsid w:val="2B880114"/>
    <w:rsid w:val="2B886323"/>
    <w:rsid w:val="2B8F74B6"/>
    <w:rsid w:val="2B9151BF"/>
    <w:rsid w:val="2B965EA7"/>
    <w:rsid w:val="2BA54F29"/>
    <w:rsid w:val="2BA63136"/>
    <w:rsid w:val="2BA96401"/>
    <w:rsid w:val="2BAB0E80"/>
    <w:rsid w:val="2BAC273D"/>
    <w:rsid w:val="2BAC62BA"/>
    <w:rsid w:val="2BAD07E2"/>
    <w:rsid w:val="2BBD5E0C"/>
    <w:rsid w:val="2BBF4052"/>
    <w:rsid w:val="2BC8409A"/>
    <w:rsid w:val="2BCA23E3"/>
    <w:rsid w:val="2BCE6231"/>
    <w:rsid w:val="2BD74490"/>
    <w:rsid w:val="2BD83508"/>
    <w:rsid w:val="2BEE0864"/>
    <w:rsid w:val="2BFF463C"/>
    <w:rsid w:val="2C1602E4"/>
    <w:rsid w:val="2C1C51EE"/>
    <w:rsid w:val="2C2C2488"/>
    <w:rsid w:val="2C302A48"/>
    <w:rsid w:val="2C336309"/>
    <w:rsid w:val="2C35005E"/>
    <w:rsid w:val="2C401DFA"/>
    <w:rsid w:val="2C5524AE"/>
    <w:rsid w:val="2C645E65"/>
    <w:rsid w:val="2C7063B4"/>
    <w:rsid w:val="2C7C5C8D"/>
    <w:rsid w:val="2C840854"/>
    <w:rsid w:val="2C8A4A20"/>
    <w:rsid w:val="2C8D1C48"/>
    <w:rsid w:val="2C92742C"/>
    <w:rsid w:val="2CA433CB"/>
    <w:rsid w:val="2CA90A4C"/>
    <w:rsid w:val="2CAB0320"/>
    <w:rsid w:val="2CC66F08"/>
    <w:rsid w:val="2CC94C4A"/>
    <w:rsid w:val="2CDA39A0"/>
    <w:rsid w:val="2CDC672B"/>
    <w:rsid w:val="2CDD2F33"/>
    <w:rsid w:val="2CDF57AE"/>
    <w:rsid w:val="2CDF621C"/>
    <w:rsid w:val="2CF03F85"/>
    <w:rsid w:val="2CF972DD"/>
    <w:rsid w:val="2CFE66A2"/>
    <w:rsid w:val="2CFE69AB"/>
    <w:rsid w:val="2D0A3299"/>
    <w:rsid w:val="2D0A62AC"/>
    <w:rsid w:val="2D0B6272"/>
    <w:rsid w:val="2D0D0FDB"/>
    <w:rsid w:val="2D121481"/>
    <w:rsid w:val="2D216218"/>
    <w:rsid w:val="2D261C60"/>
    <w:rsid w:val="2D377E06"/>
    <w:rsid w:val="2D3F3249"/>
    <w:rsid w:val="2D4228B3"/>
    <w:rsid w:val="2D664D43"/>
    <w:rsid w:val="2D78607F"/>
    <w:rsid w:val="2D7C300A"/>
    <w:rsid w:val="2D8E33FB"/>
    <w:rsid w:val="2D8F379E"/>
    <w:rsid w:val="2D9D235F"/>
    <w:rsid w:val="2DAB617C"/>
    <w:rsid w:val="2DAF7BE0"/>
    <w:rsid w:val="2DBB0A37"/>
    <w:rsid w:val="2DBF0527"/>
    <w:rsid w:val="2DBF4E1C"/>
    <w:rsid w:val="2DCB62A3"/>
    <w:rsid w:val="2E083F3B"/>
    <w:rsid w:val="2E0F261D"/>
    <w:rsid w:val="2E196C4A"/>
    <w:rsid w:val="2E2B414C"/>
    <w:rsid w:val="2E3B4E0B"/>
    <w:rsid w:val="2E4E527B"/>
    <w:rsid w:val="2E5B4C9B"/>
    <w:rsid w:val="2E623499"/>
    <w:rsid w:val="2E6764C9"/>
    <w:rsid w:val="2E6855F6"/>
    <w:rsid w:val="2E6E7857"/>
    <w:rsid w:val="2E7528AB"/>
    <w:rsid w:val="2E7745CB"/>
    <w:rsid w:val="2E7A2976"/>
    <w:rsid w:val="2E84707B"/>
    <w:rsid w:val="2E8E1454"/>
    <w:rsid w:val="2E8F6794"/>
    <w:rsid w:val="2E996208"/>
    <w:rsid w:val="2EA56411"/>
    <w:rsid w:val="2EA7199A"/>
    <w:rsid w:val="2EAA0E5A"/>
    <w:rsid w:val="2EAF13CF"/>
    <w:rsid w:val="2EB37960"/>
    <w:rsid w:val="2EBD14BC"/>
    <w:rsid w:val="2EC02CA1"/>
    <w:rsid w:val="2EC45F7C"/>
    <w:rsid w:val="2EC61441"/>
    <w:rsid w:val="2ECC3CD5"/>
    <w:rsid w:val="2ECE4FDA"/>
    <w:rsid w:val="2ED25BDE"/>
    <w:rsid w:val="2EE57E42"/>
    <w:rsid w:val="2EE8112F"/>
    <w:rsid w:val="2EF75A9F"/>
    <w:rsid w:val="2EF835C5"/>
    <w:rsid w:val="2F025BDF"/>
    <w:rsid w:val="2F06464D"/>
    <w:rsid w:val="2F171749"/>
    <w:rsid w:val="2F182CE6"/>
    <w:rsid w:val="2F2D624F"/>
    <w:rsid w:val="2F2F348A"/>
    <w:rsid w:val="2F332780"/>
    <w:rsid w:val="2F566C69"/>
    <w:rsid w:val="2F5729E1"/>
    <w:rsid w:val="2F5A7DDB"/>
    <w:rsid w:val="2F666935"/>
    <w:rsid w:val="2F752008"/>
    <w:rsid w:val="2F8337D6"/>
    <w:rsid w:val="2F893A0E"/>
    <w:rsid w:val="2F8B2EB9"/>
    <w:rsid w:val="2F923A19"/>
    <w:rsid w:val="2FAA7CA3"/>
    <w:rsid w:val="2FAA7E40"/>
    <w:rsid w:val="2FAF6379"/>
    <w:rsid w:val="2FB248C3"/>
    <w:rsid w:val="2FB36551"/>
    <w:rsid w:val="2FB7522E"/>
    <w:rsid w:val="2FBC2844"/>
    <w:rsid w:val="2FBE65BC"/>
    <w:rsid w:val="2FD84CAE"/>
    <w:rsid w:val="2FF05A81"/>
    <w:rsid w:val="2FF344B8"/>
    <w:rsid w:val="2FF417D9"/>
    <w:rsid w:val="2FFD1E48"/>
    <w:rsid w:val="300466C5"/>
    <w:rsid w:val="300701D9"/>
    <w:rsid w:val="301104EC"/>
    <w:rsid w:val="30133FEC"/>
    <w:rsid w:val="30153013"/>
    <w:rsid w:val="30153334"/>
    <w:rsid w:val="301949EE"/>
    <w:rsid w:val="301B57BD"/>
    <w:rsid w:val="30275F10"/>
    <w:rsid w:val="302C79CA"/>
    <w:rsid w:val="30360848"/>
    <w:rsid w:val="305112C3"/>
    <w:rsid w:val="30527354"/>
    <w:rsid w:val="30601421"/>
    <w:rsid w:val="307003A6"/>
    <w:rsid w:val="30866529"/>
    <w:rsid w:val="308974AE"/>
    <w:rsid w:val="308B29B1"/>
    <w:rsid w:val="309410C2"/>
    <w:rsid w:val="309522C9"/>
    <w:rsid w:val="30A25EDE"/>
    <w:rsid w:val="30B20672"/>
    <w:rsid w:val="30B27249"/>
    <w:rsid w:val="30B40AB9"/>
    <w:rsid w:val="30BA4FD6"/>
    <w:rsid w:val="30C36E5E"/>
    <w:rsid w:val="30CF42B4"/>
    <w:rsid w:val="30D41EAC"/>
    <w:rsid w:val="30DF2C8E"/>
    <w:rsid w:val="30E107B4"/>
    <w:rsid w:val="30E51140"/>
    <w:rsid w:val="30EE1123"/>
    <w:rsid w:val="30F85C3B"/>
    <w:rsid w:val="30FD0AD3"/>
    <w:rsid w:val="30FD19EB"/>
    <w:rsid w:val="31022D6A"/>
    <w:rsid w:val="310C0E96"/>
    <w:rsid w:val="311566B0"/>
    <w:rsid w:val="31171EC5"/>
    <w:rsid w:val="31283645"/>
    <w:rsid w:val="312A215B"/>
    <w:rsid w:val="312C253A"/>
    <w:rsid w:val="313409B9"/>
    <w:rsid w:val="314011DB"/>
    <w:rsid w:val="314B0284"/>
    <w:rsid w:val="314E2C27"/>
    <w:rsid w:val="31533C64"/>
    <w:rsid w:val="31575186"/>
    <w:rsid w:val="315F3DDA"/>
    <w:rsid w:val="316030CA"/>
    <w:rsid w:val="31675F59"/>
    <w:rsid w:val="316D029A"/>
    <w:rsid w:val="316F26AD"/>
    <w:rsid w:val="317433D6"/>
    <w:rsid w:val="31754028"/>
    <w:rsid w:val="317C036E"/>
    <w:rsid w:val="317E4255"/>
    <w:rsid w:val="31A23020"/>
    <w:rsid w:val="31A2473F"/>
    <w:rsid w:val="31A359FC"/>
    <w:rsid w:val="31AD4B3A"/>
    <w:rsid w:val="31AE65B8"/>
    <w:rsid w:val="31AF2249"/>
    <w:rsid w:val="31B43718"/>
    <w:rsid w:val="31B732C3"/>
    <w:rsid w:val="31BA0EA5"/>
    <w:rsid w:val="31C0486E"/>
    <w:rsid w:val="31D40319"/>
    <w:rsid w:val="31D64821"/>
    <w:rsid w:val="31D64EC5"/>
    <w:rsid w:val="31D65E3F"/>
    <w:rsid w:val="31D71BB7"/>
    <w:rsid w:val="31EB0362"/>
    <w:rsid w:val="31FA1445"/>
    <w:rsid w:val="31FC04FB"/>
    <w:rsid w:val="31FE0EF2"/>
    <w:rsid w:val="32035938"/>
    <w:rsid w:val="32075108"/>
    <w:rsid w:val="320E382B"/>
    <w:rsid w:val="32142089"/>
    <w:rsid w:val="32186458"/>
    <w:rsid w:val="322748ED"/>
    <w:rsid w:val="32317ABF"/>
    <w:rsid w:val="3234700A"/>
    <w:rsid w:val="32353291"/>
    <w:rsid w:val="325D18AF"/>
    <w:rsid w:val="32655036"/>
    <w:rsid w:val="32697CF5"/>
    <w:rsid w:val="32737410"/>
    <w:rsid w:val="327D450D"/>
    <w:rsid w:val="32885138"/>
    <w:rsid w:val="32902492"/>
    <w:rsid w:val="32994503"/>
    <w:rsid w:val="329F2634"/>
    <w:rsid w:val="32B85544"/>
    <w:rsid w:val="32C4309F"/>
    <w:rsid w:val="32D06BC0"/>
    <w:rsid w:val="32DB0F7C"/>
    <w:rsid w:val="32DB47FF"/>
    <w:rsid w:val="32DB4B37"/>
    <w:rsid w:val="32E54213"/>
    <w:rsid w:val="32EA3FE2"/>
    <w:rsid w:val="32EF7C1D"/>
    <w:rsid w:val="32F9638D"/>
    <w:rsid w:val="331658DE"/>
    <w:rsid w:val="331C3A9A"/>
    <w:rsid w:val="33251FB9"/>
    <w:rsid w:val="33340FA4"/>
    <w:rsid w:val="33361C3D"/>
    <w:rsid w:val="33384CA1"/>
    <w:rsid w:val="33471930"/>
    <w:rsid w:val="33572FB0"/>
    <w:rsid w:val="335D1CC5"/>
    <w:rsid w:val="33751F41"/>
    <w:rsid w:val="337D5EB4"/>
    <w:rsid w:val="337D6587"/>
    <w:rsid w:val="339139D3"/>
    <w:rsid w:val="339562DA"/>
    <w:rsid w:val="339B5B37"/>
    <w:rsid w:val="33BB606C"/>
    <w:rsid w:val="33C10429"/>
    <w:rsid w:val="33C5697B"/>
    <w:rsid w:val="33D56AE0"/>
    <w:rsid w:val="33D92F7A"/>
    <w:rsid w:val="33E800AC"/>
    <w:rsid w:val="33EA422B"/>
    <w:rsid w:val="33F16546"/>
    <w:rsid w:val="33F407FF"/>
    <w:rsid w:val="33F444BF"/>
    <w:rsid w:val="340D03F4"/>
    <w:rsid w:val="340D366E"/>
    <w:rsid w:val="34121EC5"/>
    <w:rsid w:val="341449FD"/>
    <w:rsid w:val="34153282"/>
    <w:rsid w:val="3416543E"/>
    <w:rsid w:val="3417273F"/>
    <w:rsid w:val="341F3B92"/>
    <w:rsid w:val="342F3BA3"/>
    <w:rsid w:val="343313EF"/>
    <w:rsid w:val="343D21A6"/>
    <w:rsid w:val="34403A44"/>
    <w:rsid w:val="34592D57"/>
    <w:rsid w:val="34651F7F"/>
    <w:rsid w:val="346F4329"/>
    <w:rsid w:val="347579EB"/>
    <w:rsid w:val="34802290"/>
    <w:rsid w:val="34907B91"/>
    <w:rsid w:val="34923F3A"/>
    <w:rsid w:val="349F46E1"/>
    <w:rsid w:val="34A22009"/>
    <w:rsid w:val="34B03955"/>
    <w:rsid w:val="34C75F13"/>
    <w:rsid w:val="34CA77B1"/>
    <w:rsid w:val="34CE04B2"/>
    <w:rsid w:val="34D348B8"/>
    <w:rsid w:val="34E5114A"/>
    <w:rsid w:val="34E54854"/>
    <w:rsid w:val="34EB58BD"/>
    <w:rsid w:val="34EC3F9F"/>
    <w:rsid w:val="34FA62E8"/>
    <w:rsid w:val="34FF56AD"/>
    <w:rsid w:val="35105C34"/>
    <w:rsid w:val="351A72AD"/>
    <w:rsid w:val="352300E7"/>
    <w:rsid w:val="352E3D4F"/>
    <w:rsid w:val="354444AC"/>
    <w:rsid w:val="355F7EFA"/>
    <w:rsid w:val="356419B4"/>
    <w:rsid w:val="357B0781"/>
    <w:rsid w:val="357D01F7"/>
    <w:rsid w:val="35811B60"/>
    <w:rsid w:val="35824F96"/>
    <w:rsid w:val="35AE3564"/>
    <w:rsid w:val="35BC36A0"/>
    <w:rsid w:val="35C366DA"/>
    <w:rsid w:val="35C651C7"/>
    <w:rsid w:val="35CC5FB4"/>
    <w:rsid w:val="35E02F9E"/>
    <w:rsid w:val="35E82DEC"/>
    <w:rsid w:val="35EF10B3"/>
    <w:rsid w:val="35F9034E"/>
    <w:rsid w:val="361F1786"/>
    <w:rsid w:val="36252EF1"/>
    <w:rsid w:val="363650FE"/>
    <w:rsid w:val="363A3E94"/>
    <w:rsid w:val="363E4169"/>
    <w:rsid w:val="364F4412"/>
    <w:rsid w:val="36541F37"/>
    <w:rsid w:val="366C3230"/>
    <w:rsid w:val="367871E9"/>
    <w:rsid w:val="36806379"/>
    <w:rsid w:val="368A1C5C"/>
    <w:rsid w:val="368C2F70"/>
    <w:rsid w:val="368E4C10"/>
    <w:rsid w:val="368F0CB2"/>
    <w:rsid w:val="369E1627"/>
    <w:rsid w:val="369E4A52"/>
    <w:rsid w:val="36C070BE"/>
    <w:rsid w:val="36CC5A63"/>
    <w:rsid w:val="36D6705D"/>
    <w:rsid w:val="36D80507"/>
    <w:rsid w:val="36D95F89"/>
    <w:rsid w:val="36DF7E92"/>
    <w:rsid w:val="36E16C19"/>
    <w:rsid w:val="36E3362D"/>
    <w:rsid w:val="36E83F1F"/>
    <w:rsid w:val="36EF34FF"/>
    <w:rsid w:val="36F5338D"/>
    <w:rsid w:val="36F626F5"/>
    <w:rsid w:val="37005384"/>
    <w:rsid w:val="370116CC"/>
    <w:rsid w:val="370451FC"/>
    <w:rsid w:val="3707541C"/>
    <w:rsid w:val="37184804"/>
    <w:rsid w:val="371A057C"/>
    <w:rsid w:val="371F40D7"/>
    <w:rsid w:val="373C3BD5"/>
    <w:rsid w:val="37490E61"/>
    <w:rsid w:val="37607F59"/>
    <w:rsid w:val="378E0F6A"/>
    <w:rsid w:val="379028BA"/>
    <w:rsid w:val="379A126C"/>
    <w:rsid w:val="379A346B"/>
    <w:rsid w:val="379D5206"/>
    <w:rsid w:val="37A4078E"/>
    <w:rsid w:val="37A8202C"/>
    <w:rsid w:val="37B620F4"/>
    <w:rsid w:val="37BF4F82"/>
    <w:rsid w:val="37DF3574"/>
    <w:rsid w:val="38066D52"/>
    <w:rsid w:val="380A0E63"/>
    <w:rsid w:val="380F1889"/>
    <w:rsid w:val="38163139"/>
    <w:rsid w:val="381A4397"/>
    <w:rsid w:val="381F3945"/>
    <w:rsid w:val="38253A2D"/>
    <w:rsid w:val="38332099"/>
    <w:rsid w:val="383A3F02"/>
    <w:rsid w:val="383B234D"/>
    <w:rsid w:val="38402264"/>
    <w:rsid w:val="384956BC"/>
    <w:rsid w:val="384F06F9"/>
    <w:rsid w:val="38527D74"/>
    <w:rsid w:val="385E26EA"/>
    <w:rsid w:val="38697999"/>
    <w:rsid w:val="386A0C9E"/>
    <w:rsid w:val="386B2E9C"/>
    <w:rsid w:val="38710629"/>
    <w:rsid w:val="38730223"/>
    <w:rsid w:val="388572C9"/>
    <w:rsid w:val="38864D4B"/>
    <w:rsid w:val="388F1DD7"/>
    <w:rsid w:val="38912AC0"/>
    <w:rsid w:val="38AE268C"/>
    <w:rsid w:val="38C84008"/>
    <w:rsid w:val="38CF183A"/>
    <w:rsid w:val="38D5034D"/>
    <w:rsid w:val="38E27663"/>
    <w:rsid w:val="38F372D7"/>
    <w:rsid w:val="39026893"/>
    <w:rsid w:val="391B05DB"/>
    <w:rsid w:val="39285E1A"/>
    <w:rsid w:val="394538AA"/>
    <w:rsid w:val="39456083"/>
    <w:rsid w:val="39504729"/>
    <w:rsid w:val="3955089B"/>
    <w:rsid w:val="3955411F"/>
    <w:rsid w:val="395B6028"/>
    <w:rsid w:val="39691347"/>
    <w:rsid w:val="396957EB"/>
    <w:rsid w:val="396E5985"/>
    <w:rsid w:val="397F500E"/>
    <w:rsid w:val="39806B4E"/>
    <w:rsid w:val="39820A82"/>
    <w:rsid w:val="39934616"/>
    <w:rsid w:val="399E325D"/>
    <w:rsid w:val="399F0A89"/>
    <w:rsid w:val="399F4147"/>
    <w:rsid w:val="39AA790D"/>
    <w:rsid w:val="39B23486"/>
    <w:rsid w:val="39C3314D"/>
    <w:rsid w:val="39E9692C"/>
    <w:rsid w:val="39F55B5C"/>
    <w:rsid w:val="3A03088E"/>
    <w:rsid w:val="3A124BCC"/>
    <w:rsid w:val="3A1741DD"/>
    <w:rsid w:val="3A1E4827"/>
    <w:rsid w:val="3A1F40FB"/>
    <w:rsid w:val="3A255BB6"/>
    <w:rsid w:val="3A2C1BA2"/>
    <w:rsid w:val="3A2F2590"/>
    <w:rsid w:val="3A355F37"/>
    <w:rsid w:val="3A3F1B1E"/>
    <w:rsid w:val="3A4A56FD"/>
    <w:rsid w:val="3A577B3E"/>
    <w:rsid w:val="3A5C766D"/>
    <w:rsid w:val="3A63048C"/>
    <w:rsid w:val="3A6730A3"/>
    <w:rsid w:val="3A6E340A"/>
    <w:rsid w:val="3A793EC2"/>
    <w:rsid w:val="3A802DEC"/>
    <w:rsid w:val="3A9A1B01"/>
    <w:rsid w:val="3AB5672F"/>
    <w:rsid w:val="3AC059F9"/>
    <w:rsid w:val="3AC16F61"/>
    <w:rsid w:val="3AD76784"/>
    <w:rsid w:val="3AE01ADD"/>
    <w:rsid w:val="3AE04600"/>
    <w:rsid w:val="3AF510BF"/>
    <w:rsid w:val="3AF61300"/>
    <w:rsid w:val="3AFF08D7"/>
    <w:rsid w:val="3B003F2D"/>
    <w:rsid w:val="3B0A6B5A"/>
    <w:rsid w:val="3B0F23C2"/>
    <w:rsid w:val="3B1479D8"/>
    <w:rsid w:val="3B181276"/>
    <w:rsid w:val="3B1A0C17"/>
    <w:rsid w:val="3B1B2B15"/>
    <w:rsid w:val="3B29751D"/>
    <w:rsid w:val="3B344138"/>
    <w:rsid w:val="3B3B31B7"/>
    <w:rsid w:val="3B3F720A"/>
    <w:rsid w:val="3B5B1163"/>
    <w:rsid w:val="3B6B3A9C"/>
    <w:rsid w:val="3B750477"/>
    <w:rsid w:val="3B7F01E6"/>
    <w:rsid w:val="3B96401F"/>
    <w:rsid w:val="3B9C7DED"/>
    <w:rsid w:val="3BA26D92"/>
    <w:rsid w:val="3BA62150"/>
    <w:rsid w:val="3BAC7AF6"/>
    <w:rsid w:val="3BB05953"/>
    <w:rsid w:val="3BB53149"/>
    <w:rsid w:val="3BBB6A8C"/>
    <w:rsid w:val="3BBD597A"/>
    <w:rsid w:val="3BC05FBB"/>
    <w:rsid w:val="3BC44F5A"/>
    <w:rsid w:val="3BC907C3"/>
    <w:rsid w:val="3BCB0097"/>
    <w:rsid w:val="3BCB12A4"/>
    <w:rsid w:val="3BD07F9E"/>
    <w:rsid w:val="3BD3469A"/>
    <w:rsid w:val="3BDD426E"/>
    <w:rsid w:val="3BDE5D47"/>
    <w:rsid w:val="3BE178BA"/>
    <w:rsid w:val="3BE47C50"/>
    <w:rsid w:val="3BEC3774"/>
    <w:rsid w:val="3BF369DE"/>
    <w:rsid w:val="3BF70E6F"/>
    <w:rsid w:val="3BFD5C1E"/>
    <w:rsid w:val="3BFF5BFB"/>
    <w:rsid w:val="3C123C16"/>
    <w:rsid w:val="3C136F60"/>
    <w:rsid w:val="3C173922"/>
    <w:rsid w:val="3C1C7DAA"/>
    <w:rsid w:val="3C292943"/>
    <w:rsid w:val="3C294B9E"/>
    <w:rsid w:val="3C3F1E27"/>
    <w:rsid w:val="3C504D81"/>
    <w:rsid w:val="3C5373A5"/>
    <w:rsid w:val="3C662E76"/>
    <w:rsid w:val="3C6B206F"/>
    <w:rsid w:val="3C6F7834"/>
    <w:rsid w:val="3C751E2D"/>
    <w:rsid w:val="3C774C40"/>
    <w:rsid w:val="3C7D43E9"/>
    <w:rsid w:val="3C810DD3"/>
    <w:rsid w:val="3C82472C"/>
    <w:rsid w:val="3C8342D6"/>
    <w:rsid w:val="3C8D17A0"/>
    <w:rsid w:val="3C9035EC"/>
    <w:rsid w:val="3C9167E0"/>
    <w:rsid w:val="3C926AEF"/>
    <w:rsid w:val="3CA442DF"/>
    <w:rsid w:val="3CB66F99"/>
    <w:rsid w:val="3CB90837"/>
    <w:rsid w:val="3CBD65EE"/>
    <w:rsid w:val="3CBF08B8"/>
    <w:rsid w:val="3CC83746"/>
    <w:rsid w:val="3CDE0EAF"/>
    <w:rsid w:val="3CE974FE"/>
    <w:rsid w:val="3CED5F04"/>
    <w:rsid w:val="3CF05F53"/>
    <w:rsid w:val="3CFA1996"/>
    <w:rsid w:val="3D1D0DC6"/>
    <w:rsid w:val="3D1D5F62"/>
    <w:rsid w:val="3D233718"/>
    <w:rsid w:val="3D2757A1"/>
    <w:rsid w:val="3D2A34E3"/>
    <w:rsid w:val="3D2C1009"/>
    <w:rsid w:val="3D385C00"/>
    <w:rsid w:val="3D395934"/>
    <w:rsid w:val="3D515BBF"/>
    <w:rsid w:val="3D5278E3"/>
    <w:rsid w:val="3D6C3AFB"/>
    <w:rsid w:val="3D72615D"/>
    <w:rsid w:val="3D805ADE"/>
    <w:rsid w:val="3D8449A1"/>
    <w:rsid w:val="3D87623F"/>
    <w:rsid w:val="3D8B431A"/>
    <w:rsid w:val="3D962E9A"/>
    <w:rsid w:val="3DA037A5"/>
    <w:rsid w:val="3DA46DF1"/>
    <w:rsid w:val="3DAA2D57"/>
    <w:rsid w:val="3DD2267A"/>
    <w:rsid w:val="3DD3167A"/>
    <w:rsid w:val="3DD55670"/>
    <w:rsid w:val="3DDA6CB7"/>
    <w:rsid w:val="3DE25B6C"/>
    <w:rsid w:val="3DE7087F"/>
    <w:rsid w:val="3DE970A0"/>
    <w:rsid w:val="3E2919ED"/>
    <w:rsid w:val="3E2B12C1"/>
    <w:rsid w:val="3E3229D7"/>
    <w:rsid w:val="3E3F09CE"/>
    <w:rsid w:val="3E4238B7"/>
    <w:rsid w:val="3E4464B5"/>
    <w:rsid w:val="3E4B54BF"/>
    <w:rsid w:val="3E52548F"/>
    <w:rsid w:val="3E5A7DF8"/>
    <w:rsid w:val="3E675770"/>
    <w:rsid w:val="3E75253C"/>
    <w:rsid w:val="3E78548D"/>
    <w:rsid w:val="3E7A2248"/>
    <w:rsid w:val="3EB07A18"/>
    <w:rsid w:val="3EB66257"/>
    <w:rsid w:val="3EB966EC"/>
    <w:rsid w:val="3EBC4E7A"/>
    <w:rsid w:val="3EC11302"/>
    <w:rsid w:val="3ED40DD5"/>
    <w:rsid w:val="3EDB1EAC"/>
    <w:rsid w:val="3EE14075"/>
    <w:rsid w:val="3EE85802"/>
    <w:rsid w:val="3EEA1576"/>
    <w:rsid w:val="3EFA2761"/>
    <w:rsid w:val="3F072E26"/>
    <w:rsid w:val="3F1735F3"/>
    <w:rsid w:val="3F244EC9"/>
    <w:rsid w:val="3F2D1CB6"/>
    <w:rsid w:val="3F402B4A"/>
    <w:rsid w:val="3F4305D7"/>
    <w:rsid w:val="3F495D63"/>
    <w:rsid w:val="3F5605BF"/>
    <w:rsid w:val="3F56236D"/>
    <w:rsid w:val="3F5A3A7F"/>
    <w:rsid w:val="3F7F61DF"/>
    <w:rsid w:val="3F89361E"/>
    <w:rsid w:val="3F8E5FAB"/>
    <w:rsid w:val="3F8F44CC"/>
    <w:rsid w:val="3F9410E8"/>
    <w:rsid w:val="3FA318F5"/>
    <w:rsid w:val="3FAC6431"/>
    <w:rsid w:val="3FB76397"/>
    <w:rsid w:val="3FBA151A"/>
    <w:rsid w:val="3FBF6165"/>
    <w:rsid w:val="3FCC1C54"/>
    <w:rsid w:val="3FCD5281"/>
    <w:rsid w:val="3FD63E0A"/>
    <w:rsid w:val="3FDF2363"/>
    <w:rsid w:val="3FE15E75"/>
    <w:rsid w:val="3FE756BB"/>
    <w:rsid w:val="4007741B"/>
    <w:rsid w:val="400A0FAE"/>
    <w:rsid w:val="401044A7"/>
    <w:rsid w:val="40185875"/>
    <w:rsid w:val="401E017D"/>
    <w:rsid w:val="402D476A"/>
    <w:rsid w:val="403036C9"/>
    <w:rsid w:val="404B1562"/>
    <w:rsid w:val="404B7B20"/>
    <w:rsid w:val="404F4CAF"/>
    <w:rsid w:val="4050500F"/>
    <w:rsid w:val="405D42B8"/>
    <w:rsid w:val="4065019B"/>
    <w:rsid w:val="406B713F"/>
    <w:rsid w:val="40710FCD"/>
    <w:rsid w:val="407231D7"/>
    <w:rsid w:val="409B49AA"/>
    <w:rsid w:val="40A9471F"/>
    <w:rsid w:val="40AC51FF"/>
    <w:rsid w:val="40B029AF"/>
    <w:rsid w:val="40B75214"/>
    <w:rsid w:val="40B830C1"/>
    <w:rsid w:val="40CC4BF7"/>
    <w:rsid w:val="40D774DE"/>
    <w:rsid w:val="40D91E85"/>
    <w:rsid w:val="40DC06F8"/>
    <w:rsid w:val="40DC2D46"/>
    <w:rsid w:val="40E1210B"/>
    <w:rsid w:val="40F94425"/>
    <w:rsid w:val="40F97454"/>
    <w:rsid w:val="40FA572A"/>
    <w:rsid w:val="41006A35"/>
    <w:rsid w:val="411249BA"/>
    <w:rsid w:val="41140916"/>
    <w:rsid w:val="41147F22"/>
    <w:rsid w:val="411C75E7"/>
    <w:rsid w:val="411E510F"/>
    <w:rsid w:val="411F4664"/>
    <w:rsid w:val="412805BB"/>
    <w:rsid w:val="413F299B"/>
    <w:rsid w:val="41523BBA"/>
    <w:rsid w:val="41524DB6"/>
    <w:rsid w:val="415B010F"/>
    <w:rsid w:val="4182744A"/>
    <w:rsid w:val="41860619"/>
    <w:rsid w:val="41880811"/>
    <w:rsid w:val="419724D4"/>
    <w:rsid w:val="419F4E61"/>
    <w:rsid w:val="41B82E6B"/>
    <w:rsid w:val="41BE244C"/>
    <w:rsid w:val="41BE5467"/>
    <w:rsid w:val="41BF069E"/>
    <w:rsid w:val="41CA7043"/>
    <w:rsid w:val="41D100B9"/>
    <w:rsid w:val="41D42E8E"/>
    <w:rsid w:val="41D8350E"/>
    <w:rsid w:val="41DC1814"/>
    <w:rsid w:val="41F216BC"/>
    <w:rsid w:val="41F46AB0"/>
    <w:rsid w:val="4204365E"/>
    <w:rsid w:val="4214123F"/>
    <w:rsid w:val="42153698"/>
    <w:rsid w:val="421E75F3"/>
    <w:rsid w:val="421E75F9"/>
    <w:rsid w:val="423050F8"/>
    <w:rsid w:val="423170C2"/>
    <w:rsid w:val="423821FE"/>
    <w:rsid w:val="42397034"/>
    <w:rsid w:val="4242068F"/>
    <w:rsid w:val="42440BA3"/>
    <w:rsid w:val="424B3DD2"/>
    <w:rsid w:val="42530DE6"/>
    <w:rsid w:val="425A03C6"/>
    <w:rsid w:val="425D1AEE"/>
    <w:rsid w:val="42693382"/>
    <w:rsid w:val="42705CC0"/>
    <w:rsid w:val="4271078E"/>
    <w:rsid w:val="428042FE"/>
    <w:rsid w:val="428259BF"/>
    <w:rsid w:val="428B450A"/>
    <w:rsid w:val="428B4A24"/>
    <w:rsid w:val="4290203A"/>
    <w:rsid w:val="42910920"/>
    <w:rsid w:val="429D007B"/>
    <w:rsid w:val="42A561D4"/>
    <w:rsid w:val="42BA508F"/>
    <w:rsid w:val="42C22B17"/>
    <w:rsid w:val="42CB6BCE"/>
    <w:rsid w:val="42D33CD5"/>
    <w:rsid w:val="42DA493A"/>
    <w:rsid w:val="42DF4645"/>
    <w:rsid w:val="42F779C3"/>
    <w:rsid w:val="43036368"/>
    <w:rsid w:val="43192030"/>
    <w:rsid w:val="431C43A5"/>
    <w:rsid w:val="431E31A2"/>
    <w:rsid w:val="431F7F95"/>
    <w:rsid w:val="43254DBA"/>
    <w:rsid w:val="43404555"/>
    <w:rsid w:val="43412C0D"/>
    <w:rsid w:val="434A3F97"/>
    <w:rsid w:val="434B5F61"/>
    <w:rsid w:val="434D4C79"/>
    <w:rsid w:val="434D7F2B"/>
    <w:rsid w:val="435C1F1C"/>
    <w:rsid w:val="436C03B1"/>
    <w:rsid w:val="437544CD"/>
    <w:rsid w:val="437955A3"/>
    <w:rsid w:val="438501B2"/>
    <w:rsid w:val="43A13550"/>
    <w:rsid w:val="43B03699"/>
    <w:rsid w:val="43B533A4"/>
    <w:rsid w:val="43BD25E0"/>
    <w:rsid w:val="43BD3224"/>
    <w:rsid w:val="43C0001A"/>
    <w:rsid w:val="43CE7E9D"/>
    <w:rsid w:val="43D441A9"/>
    <w:rsid w:val="43D922DF"/>
    <w:rsid w:val="43DB04EB"/>
    <w:rsid w:val="43DB3FAF"/>
    <w:rsid w:val="43DE2931"/>
    <w:rsid w:val="43EE0F7F"/>
    <w:rsid w:val="43F1380D"/>
    <w:rsid w:val="43F6182A"/>
    <w:rsid w:val="4400471D"/>
    <w:rsid w:val="440B425E"/>
    <w:rsid w:val="441B20B5"/>
    <w:rsid w:val="442347E8"/>
    <w:rsid w:val="44256EDB"/>
    <w:rsid w:val="44296355"/>
    <w:rsid w:val="442A3DC9"/>
    <w:rsid w:val="44336526"/>
    <w:rsid w:val="443A0603"/>
    <w:rsid w:val="44422136"/>
    <w:rsid w:val="44650C44"/>
    <w:rsid w:val="446753C6"/>
    <w:rsid w:val="44815866"/>
    <w:rsid w:val="449A491B"/>
    <w:rsid w:val="449C2EB3"/>
    <w:rsid w:val="44A06825"/>
    <w:rsid w:val="44A973E3"/>
    <w:rsid w:val="44B738AE"/>
    <w:rsid w:val="44C71617"/>
    <w:rsid w:val="44CE29A6"/>
    <w:rsid w:val="44D16FF4"/>
    <w:rsid w:val="44D21876"/>
    <w:rsid w:val="44D84400"/>
    <w:rsid w:val="44E950E4"/>
    <w:rsid w:val="44EA3560"/>
    <w:rsid w:val="450F53C4"/>
    <w:rsid w:val="45153A1F"/>
    <w:rsid w:val="451A208F"/>
    <w:rsid w:val="45203E78"/>
    <w:rsid w:val="45274ABE"/>
    <w:rsid w:val="452B429C"/>
    <w:rsid w:val="4536479A"/>
    <w:rsid w:val="453C66A3"/>
    <w:rsid w:val="454163AE"/>
    <w:rsid w:val="45423128"/>
    <w:rsid w:val="454362A3"/>
    <w:rsid w:val="45467528"/>
    <w:rsid w:val="454864B0"/>
    <w:rsid w:val="454C693D"/>
    <w:rsid w:val="454F1D39"/>
    <w:rsid w:val="455957D0"/>
    <w:rsid w:val="455B692F"/>
    <w:rsid w:val="4564607F"/>
    <w:rsid w:val="45746617"/>
    <w:rsid w:val="45793729"/>
    <w:rsid w:val="458319E2"/>
    <w:rsid w:val="45A81449"/>
    <w:rsid w:val="45A94570"/>
    <w:rsid w:val="45AA3B09"/>
    <w:rsid w:val="45BA27F4"/>
    <w:rsid w:val="45BC6CA2"/>
    <w:rsid w:val="45BE1328"/>
    <w:rsid w:val="45C142B9"/>
    <w:rsid w:val="45C27766"/>
    <w:rsid w:val="45CB251C"/>
    <w:rsid w:val="45CF6F16"/>
    <w:rsid w:val="45D24718"/>
    <w:rsid w:val="45D43FEC"/>
    <w:rsid w:val="45E41201"/>
    <w:rsid w:val="45ED672C"/>
    <w:rsid w:val="45FA69EE"/>
    <w:rsid w:val="45FB3C6E"/>
    <w:rsid w:val="46006793"/>
    <w:rsid w:val="46054AED"/>
    <w:rsid w:val="46146386"/>
    <w:rsid w:val="461D3BE5"/>
    <w:rsid w:val="462767CE"/>
    <w:rsid w:val="46464590"/>
    <w:rsid w:val="4649335D"/>
    <w:rsid w:val="465F5C69"/>
    <w:rsid w:val="46621D09"/>
    <w:rsid w:val="46641988"/>
    <w:rsid w:val="466850F2"/>
    <w:rsid w:val="467E7FB4"/>
    <w:rsid w:val="46810DC8"/>
    <w:rsid w:val="4683443C"/>
    <w:rsid w:val="468406EE"/>
    <w:rsid w:val="46927EFF"/>
    <w:rsid w:val="46A165C4"/>
    <w:rsid w:val="46AA1A50"/>
    <w:rsid w:val="46AC31BB"/>
    <w:rsid w:val="46AF0E9C"/>
    <w:rsid w:val="46B50C90"/>
    <w:rsid w:val="46C027C2"/>
    <w:rsid w:val="46C422B2"/>
    <w:rsid w:val="46C91677"/>
    <w:rsid w:val="46DD1652"/>
    <w:rsid w:val="46DE494D"/>
    <w:rsid w:val="46E46DDB"/>
    <w:rsid w:val="46E95465"/>
    <w:rsid w:val="46F102F3"/>
    <w:rsid w:val="46F81F5C"/>
    <w:rsid w:val="470F78A3"/>
    <w:rsid w:val="47134FE8"/>
    <w:rsid w:val="47240FA3"/>
    <w:rsid w:val="472A6618"/>
    <w:rsid w:val="472D0BDD"/>
    <w:rsid w:val="47310001"/>
    <w:rsid w:val="473A4323"/>
    <w:rsid w:val="473C166C"/>
    <w:rsid w:val="47504BE3"/>
    <w:rsid w:val="475E7622"/>
    <w:rsid w:val="476218AB"/>
    <w:rsid w:val="47637D1D"/>
    <w:rsid w:val="47691236"/>
    <w:rsid w:val="476D6A52"/>
    <w:rsid w:val="477159E0"/>
    <w:rsid w:val="4776054C"/>
    <w:rsid w:val="477E06B3"/>
    <w:rsid w:val="478B4B7E"/>
    <w:rsid w:val="479223B1"/>
    <w:rsid w:val="479972EB"/>
    <w:rsid w:val="47A65F99"/>
    <w:rsid w:val="47B73BC5"/>
    <w:rsid w:val="47BC567F"/>
    <w:rsid w:val="47C21363"/>
    <w:rsid w:val="47C94BC8"/>
    <w:rsid w:val="47E04C35"/>
    <w:rsid w:val="47ED1B1B"/>
    <w:rsid w:val="47F46BC7"/>
    <w:rsid w:val="47F93301"/>
    <w:rsid w:val="4803505C"/>
    <w:rsid w:val="48040BAD"/>
    <w:rsid w:val="480908C5"/>
    <w:rsid w:val="480E19C4"/>
    <w:rsid w:val="48116A32"/>
    <w:rsid w:val="48194880"/>
    <w:rsid w:val="481E7A60"/>
    <w:rsid w:val="48253225"/>
    <w:rsid w:val="48270370"/>
    <w:rsid w:val="48517B76"/>
    <w:rsid w:val="48562D80"/>
    <w:rsid w:val="48584FE2"/>
    <w:rsid w:val="486E5261"/>
    <w:rsid w:val="487011F2"/>
    <w:rsid w:val="487335D5"/>
    <w:rsid w:val="48760998"/>
    <w:rsid w:val="4880045B"/>
    <w:rsid w:val="488054E7"/>
    <w:rsid w:val="48853CC3"/>
    <w:rsid w:val="488A79AF"/>
    <w:rsid w:val="488B4811"/>
    <w:rsid w:val="489B34E7"/>
    <w:rsid w:val="48A4239B"/>
    <w:rsid w:val="48A56114"/>
    <w:rsid w:val="48A979B2"/>
    <w:rsid w:val="48BF2D31"/>
    <w:rsid w:val="48D81343"/>
    <w:rsid w:val="48D8656A"/>
    <w:rsid w:val="48F6071D"/>
    <w:rsid w:val="48F74BC1"/>
    <w:rsid w:val="490B75D5"/>
    <w:rsid w:val="4916491B"/>
    <w:rsid w:val="492846DE"/>
    <w:rsid w:val="49652CD0"/>
    <w:rsid w:val="496C0725"/>
    <w:rsid w:val="49787384"/>
    <w:rsid w:val="498D72D3"/>
    <w:rsid w:val="49901EC0"/>
    <w:rsid w:val="499248EA"/>
    <w:rsid w:val="49997A26"/>
    <w:rsid w:val="499C12C5"/>
    <w:rsid w:val="49A308A5"/>
    <w:rsid w:val="49A50722"/>
    <w:rsid w:val="49AA71E7"/>
    <w:rsid w:val="49B06B1E"/>
    <w:rsid w:val="49C03205"/>
    <w:rsid w:val="49C53294"/>
    <w:rsid w:val="49C83134"/>
    <w:rsid w:val="49CD3F23"/>
    <w:rsid w:val="49D12759"/>
    <w:rsid w:val="49FB423D"/>
    <w:rsid w:val="4A084BAC"/>
    <w:rsid w:val="4A1A5506"/>
    <w:rsid w:val="4A1B28BA"/>
    <w:rsid w:val="4A2D52FC"/>
    <w:rsid w:val="4A36793C"/>
    <w:rsid w:val="4A5B5CA1"/>
    <w:rsid w:val="4A5B700A"/>
    <w:rsid w:val="4A6358AB"/>
    <w:rsid w:val="4A6D6AAB"/>
    <w:rsid w:val="4A7668AA"/>
    <w:rsid w:val="4A8E3680"/>
    <w:rsid w:val="4A9F62FD"/>
    <w:rsid w:val="4AA0365E"/>
    <w:rsid w:val="4AA8258C"/>
    <w:rsid w:val="4ABA06A9"/>
    <w:rsid w:val="4ACB00B3"/>
    <w:rsid w:val="4AD0259E"/>
    <w:rsid w:val="4AD66A58"/>
    <w:rsid w:val="4AD8632C"/>
    <w:rsid w:val="4AE1490A"/>
    <w:rsid w:val="4AF45DC4"/>
    <w:rsid w:val="4AFD4615"/>
    <w:rsid w:val="4B0B04B0"/>
    <w:rsid w:val="4B0E61F2"/>
    <w:rsid w:val="4B1E4B4A"/>
    <w:rsid w:val="4B26353C"/>
    <w:rsid w:val="4B2C6678"/>
    <w:rsid w:val="4B322921"/>
    <w:rsid w:val="4B39541F"/>
    <w:rsid w:val="4B3D524B"/>
    <w:rsid w:val="4B521B21"/>
    <w:rsid w:val="4B533C05"/>
    <w:rsid w:val="4B5633BD"/>
    <w:rsid w:val="4B5D6832"/>
    <w:rsid w:val="4B6B3E92"/>
    <w:rsid w:val="4B7C315C"/>
    <w:rsid w:val="4B7C7600"/>
    <w:rsid w:val="4B8169C4"/>
    <w:rsid w:val="4B973AEA"/>
    <w:rsid w:val="4BC36FDC"/>
    <w:rsid w:val="4BC74E87"/>
    <w:rsid w:val="4BD17C96"/>
    <w:rsid w:val="4BD20FCE"/>
    <w:rsid w:val="4BE07B8E"/>
    <w:rsid w:val="4BE551A5"/>
    <w:rsid w:val="4BE64A79"/>
    <w:rsid w:val="4BE9413D"/>
    <w:rsid w:val="4BEA4569"/>
    <w:rsid w:val="4BEF4EA2"/>
    <w:rsid w:val="4BF56DAC"/>
    <w:rsid w:val="4C043E95"/>
    <w:rsid w:val="4C094761"/>
    <w:rsid w:val="4C0E2493"/>
    <w:rsid w:val="4C15165E"/>
    <w:rsid w:val="4C1A156A"/>
    <w:rsid w:val="4C1F06FA"/>
    <w:rsid w:val="4C215AB1"/>
    <w:rsid w:val="4C4F3FC2"/>
    <w:rsid w:val="4C515F9F"/>
    <w:rsid w:val="4C5A6005"/>
    <w:rsid w:val="4C5B5467"/>
    <w:rsid w:val="4C675BBA"/>
    <w:rsid w:val="4C711F79"/>
    <w:rsid w:val="4C7A7005"/>
    <w:rsid w:val="4C7E4CB1"/>
    <w:rsid w:val="4C964EF2"/>
    <w:rsid w:val="4C980C50"/>
    <w:rsid w:val="4CA46E0E"/>
    <w:rsid w:val="4CBE2078"/>
    <w:rsid w:val="4CCF357B"/>
    <w:rsid w:val="4CDA6125"/>
    <w:rsid w:val="4CE7444F"/>
    <w:rsid w:val="4CE74F4D"/>
    <w:rsid w:val="4CEA0599"/>
    <w:rsid w:val="4CEB3AC4"/>
    <w:rsid w:val="4CEB5ACC"/>
    <w:rsid w:val="4CF85A25"/>
    <w:rsid w:val="4CFD3EE8"/>
    <w:rsid w:val="4D027691"/>
    <w:rsid w:val="4D0553D3"/>
    <w:rsid w:val="4D063625"/>
    <w:rsid w:val="4D162733"/>
    <w:rsid w:val="4D1965D0"/>
    <w:rsid w:val="4D2E3F3F"/>
    <w:rsid w:val="4D312C5B"/>
    <w:rsid w:val="4D383F40"/>
    <w:rsid w:val="4D3F6FBF"/>
    <w:rsid w:val="4D6050E5"/>
    <w:rsid w:val="4D706CF0"/>
    <w:rsid w:val="4D83739D"/>
    <w:rsid w:val="4D861A21"/>
    <w:rsid w:val="4D933355"/>
    <w:rsid w:val="4D9A1FBF"/>
    <w:rsid w:val="4DA16ADE"/>
    <w:rsid w:val="4DB3336D"/>
    <w:rsid w:val="4DBE6397"/>
    <w:rsid w:val="4DD3727F"/>
    <w:rsid w:val="4DD827C4"/>
    <w:rsid w:val="4DE8619F"/>
    <w:rsid w:val="4DF51062"/>
    <w:rsid w:val="4E01203E"/>
    <w:rsid w:val="4E015F16"/>
    <w:rsid w:val="4E036E8C"/>
    <w:rsid w:val="4E10291E"/>
    <w:rsid w:val="4E114353"/>
    <w:rsid w:val="4E135C1D"/>
    <w:rsid w:val="4E194024"/>
    <w:rsid w:val="4E362286"/>
    <w:rsid w:val="4E3973F3"/>
    <w:rsid w:val="4E3A32D0"/>
    <w:rsid w:val="4E437F61"/>
    <w:rsid w:val="4E4E3A88"/>
    <w:rsid w:val="4E555CA6"/>
    <w:rsid w:val="4E557C94"/>
    <w:rsid w:val="4E5C508E"/>
    <w:rsid w:val="4E7F4257"/>
    <w:rsid w:val="4E860383"/>
    <w:rsid w:val="4E880069"/>
    <w:rsid w:val="4E8D5680"/>
    <w:rsid w:val="4E940979"/>
    <w:rsid w:val="4EA01857"/>
    <w:rsid w:val="4EB237AC"/>
    <w:rsid w:val="4EB3158A"/>
    <w:rsid w:val="4EB47AF9"/>
    <w:rsid w:val="4EB600E0"/>
    <w:rsid w:val="4EBA3B62"/>
    <w:rsid w:val="4EBC78D4"/>
    <w:rsid w:val="4ECA68D4"/>
    <w:rsid w:val="4ECF3EEA"/>
    <w:rsid w:val="4ED513E2"/>
    <w:rsid w:val="4EDB7C89"/>
    <w:rsid w:val="4EDF5575"/>
    <w:rsid w:val="4EE82601"/>
    <w:rsid w:val="4EF15C0F"/>
    <w:rsid w:val="4EFC7613"/>
    <w:rsid w:val="4F007BC3"/>
    <w:rsid w:val="4F0A15BF"/>
    <w:rsid w:val="4F135B85"/>
    <w:rsid w:val="4F1638C7"/>
    <w:rsid w:val="4F1B67C9"/>
    <w:rsid w:val="4F2C5674"/>
    <w:rsid w:val="4F334FFF"/>
    <w:rsid w:val="4F367AC5"/>
    <w:rsid w:val="4F4233B7"/>
    <w:rsid w:val="4F457D08"/>
    <w:rsid w:val="4F5C03C2"/>
    <w:rsid w:val="4F60418D"/>
    <w:rsid w:val="4F6C7D95"/>
    <w:rsid w:val="4F74239C"/>
    <w:rsid w:val="4F8151E4"/>
    <w:rsid w:val="4F8944AF"/>
    <w:rsid w:val="4F970D1C"/>
    <w:rsid w:val="4F9A62A6"/>
    <w:rsid w:val="4FA42819"/>
    <w:rsid w:val="4FA61ABB"/>
    <w:rsid w:val="4FC34047"/>
    <w:rsid w:val="4FCF3DBA"/>
    <w:rsid w:val="4FD212C0"/>
    <w:rsid w:val="4FD76F97"/>
    <w:rsid w:val="4FDD00E1"/>
    <w:rsid w:val="4FE92D8A"/>
    <w:rsid w:val="4FED5F2A"/>
    <w:rsid w:val="4FEE65F2"/>
    <w:rsid w:val="4FFC2ABD"/>
    <w:rsid w:val="50106568"/>
    <w:rsid w:val="50146059"/>
    <w:rsid w:val="50246BE6"/>
    <w:rsid w:val="50247B60"/>
    <w:rsid w:val="50281B04"/>
    <w:rsid w:val="503264DF"/>
    <w:rsid w:val="50380ABA"/>
    <w:rsid w:val="503A21F4"/>
    <w:rsid w:val="503C57AF"/>
    <w:rsid w:val="504B6141"/>
    <w:rsid w:val="504E6A51"/>
    <w:rsid w:val="504F0E3F"/>
    <w:rsid w:val="50521A79"/>
    <w:rsid w:val="50616DC4"/>
    <w:rsid w:val="50683D77"/>
    <w:rsid w:val="506B379F"/>
    <w:rsid w:val="506B7C43"/>
    <w:rsid w:val="50704A07"/>
    <w:rsid w:val="50722108"/>
    <w:rsid w:val="50770396"/>
    <w:rsid w:val="50836D3A"/>
    <w:rsid w:val="50870DA9"/>
    <w:rsid w:val="50980B6A"/>
    <w:rsid w:val="509F054C"/>
    <w:rsid w:val="50A61150"/>
    <w:rsid w:val="50AE0278"/>
    <w:rsid w:val="50B163AF"/>
    <w:rsid w:val="50B415EA"/>
    <w:rsid w:val="50B85D0D"/>
    <w:rsid w:val="50CE26AB"/>
    <w:rsid w:val="50D2381E"/>
    <w:rsid w:val="50D57231"/>
    <w:rsid w:val="51085E7F"/>
    <w:rsid w:val="510A0D9D"/>
    <w:rsid w:val="51254295"/>
    <w:rsid w:val="512914C1"/>
    <w:rsid w:val="513475E8"/>
    <w:rsid w:val="51360251"/>
    <w:rsid w:val="513642E7"/>
    <w:rsid w:val="51380BCD"/>
    <w:rsid w:val="513F6978"/>
    <w:rsid w:val="514214DC"/>
    <w:rsid w:val="514606C6"/>
    <w:rsid w:val="51524190"/>
    <w:rsid w:val="515D463D"/>
    <w:rsid w:val="515D758B"/>
    <w:rsid w:val="516052CE"/>
    <w:rsid w:val="51632D16"/>
    <w:rsid w:val="51724C3F"/>
    <w:rsid w:val="51742FB0"/>
    <w:rsid w:val="517D19DC"/>
    <w:rsid w:val="5180327A"/>
    <w:rsid w:val="5186674D"/>
    <w:rsid w:val="518741CF"/>
    <w:rsid w:val="518B03C1"/>
    <w:rsid w:val="518C7E71"/>
    <w:rsid w:val="519F7BA4"/>
    <w:rsid w:val="51A60C76"/>
    <w:rsid w:val="51A927D1"/>
    <w:rsid w:val="51AB39CE"/>
    <w:rsid w:val="51C51AB5"/>
    <w:rsid w:val="51C6703A"/>
    <w:rsid w:val="51DC2BA6"/>
    <w:rsid w:val="51EE4E78"/>
    <w:rsid w:val="51F966FC"/>
    <w:rsid w:val="51FA0C8B"/>
    <w:rsid w:val="52077FA0"/>
    <w:rsid w:val="520F56F6"/>
    <w:rsid w:val="52134095"/>
    <w:rsid w:val="521D4F6D"/>
    <w:rsid w:val="522462FB"/>
    <w:rsid w:val="522608AF"/>
    <w:rsid w:val="522B3570"/>
    <w:rsid w:val="5245701D"/>
    <w:rsid w:val="52466EEA"/>
    <w:rsid w:val="524D6516"/>
    <w:rsid w:val="524E2262"/>
    <w:rsid w:val="52597DAA"/>
    <w:rsid w:val="525B7A2A"/>
    <w:rsid w:val="52720E14"/>
    <w:rsid w:val="52826DAC"/>
    <w:rsid w:val="52860D64"/>
    <w:rsid w:val="528E6F4B"/>
    <w:rsid w:val="52990A97"/>
    <w:rsid w:val="529945F3"/>
    <w:rsid w:val="529F1E45"/>
    <w:rsid w:val="52AD0E8E"/>
    <w:rsid w:val="52B70F1D"/>
    <w:rsid w:val="52BA6868"/>
    <w:rsid w:val="52BC6534"/>
    <w:rsid w:val="52C25403"/>
    <w:rsid w:val="52C45947"/>
    <w:rsid w:val="52C8312A"/>
    <w:rsid w:val="52C9356C"/>
    <w:rsid w:val="52D407EB"/>
    <w:rsid w:val="52D62BF7"/>
    <w:rsid w:val="52E1554F"/>
    <w:rsid w:val="52E23108"/>
    <w:rsid w:val="52E3448B"/>
    <w:rsid w:val="52E511BE"/>
    <w:rsid w:val="52E573E7"/>
    <w:rsid w:val="52EE6FB6"/>
    <w:rsid w:val="52EF7482"/>
    <w:rsid w:val="52F07DFC"/>
    <w:rsid w:val="52F474CB"/>
    <w:rsid w:val="52F71FF5"/>
    <w:rsid w:val="52FD2A61"/>
    <w:rsid w:val="531254ED"/>
    <w:rsid w:val="53185E60"/>
    <w:rsid w:val="53197213"/>
    <w:rsid w:val="53311592"/>
    <w:rsid w:val="53316F22"/>
    <w:rsid w:val="53327A8E"/>
    <w:rsid w:val="533407C0"/>
    <w:rsid w:val="533F163E"/>
    <w:rsid w:val="533F6DA3"/>
    <w:rsid w:val="53513120"/>
    <w:rsid w:val="535E75EB"/>
    <w:rsid w:val="53605111"/>
    <w:rsid w:val="53656BCB"/>
    <w:rsid w:val="53794425"/>
    <w:rsid w:val="53874D93"/>
    <w:rsid w:val="53930B93"/>
    <w:rsid w:val="53987432"/>
    <w:rsid w:val="53A0483E"/>
    <w:rsid w:val="53B0035C"/>
    <w:rsid w:val="53B86CFB"/>
    <w:rsid w:val="53C658BC"/>
    <w:rsid w:val="53D004E8"/>
    <w:rsid w:val="53D14261"/>
    <w:rsid w:val="53D64112"/>
    <w:rsid w:val="53D8114B"/>
    <w:rsid w:val="53DC205C"/>
    <w:rsid w:val="53DC329D"/>
    <w:rsid w:val="53DF5E7C"/>
    <w:rsid w:val="53E72A34"/>
    <w:rsid w:val="53E930F7"/>
    <w:rsid w:val="53F70AD0"/>
    <w:rsid w:val="54065D20"/>
    <w:rsid w:val="5415330F"/>
    <w:rsid w:val="541A6706"/>
    <w:rsid w:val="543C0BE9"/>
    <w:rsid w:val="543F566E"/>
    <w:rsid w:val="545D3CF8"/>
    <w:rsid w:val="5462237E"/>
    <w:rsid w:val="546C6511"/>
    <w:rsid w:val="5477485C"/>
    <w:rsid w:val="547905AA"/>
    <w:rsid w:val="548825BE"/>
    <w:rsid w:val="54931516"/>
    <w:rsid w:val="54AB5F5C"/>
    <w:rsid w:val="54B15980"/>
    <w:rsid w:val="54B4727E"/>
    <w:rsid w:val="54B75DA2"/>
    <w:rsid w:val="54C36F1F"/>
    <w:rsid w:val="54CF254E"/>
    <w:rsid w:val="54D44008"/>
    <w:rsid w:val="54E16A77"/>
    <w:rsid w:val="54FB4092"/>
    <w:rsid w:val="55160030"/>
    <w:rsid w:val="5524472E"/>
    <w:rsid w:val="55276C44"/>
    <w:rsid w:val="55322ADD"/>
    <w:rsid w:val="553304D8"/>
    <w:rsid w:val="553700F3"/>
    <w:rsid w:val="55424374"/>
    <w:rsid w:val="554C0043"/>
    <w:rsid w:val="554F368F"/>
    <w:rsid w:val="555516BB"/>
    <w:rsid w:val="55571991"/>
    <w:rsid w:val="555920AA"/>
    <w:rsid w:val="55616C37"/>
    <w:rsid w:val="55640394"/>
    <w:rsid w:val="556940EB"/>
    <w:rsid w:val="55924DCB"/>
    <w:rsid w:val="55956F28"/>
    <w:rsid w:val="559A7000"/>
    <w:rsid w:val="55A4620D"/>
    <w:rsid w:val="55AE2AAB"/>
    <w:rsid w:val="55BB3BD0"/>
    <w:rsid w:val="55BD4A9D"/>
    <w:rsid w:val="55C23E61"/>
    <w:rsid w:val="55C94E39"/>
    <w:rsid w:val="55CD5551"/>
    <w:rsid w:val="55D65AE8"/>
    <w:rsid w:val="55DB4F23"/>
    <w:rsid w:val="55E31575"/>
    <w:rsid w:val="55E71B19"/>
    <w:rsid w:val="55EA4047"/>
    <w:rsid w:val="56004A8C"/>
    <w:rsid w:val="5604752C"/>
    <w:rsid w:val="560662B2"/>
    <w:rsid w:val="561E5EF3"/>
    <w:rsid w:val="561F7505"/>
    <w:rsid w:val="563A3B68"/>
    <w:rsid w:val="563D7C13"/>
    <w:rsid w:val="563E5F58"/>
    <w:rsid w:val="56582A17"/>
    <w:rsid w:val="565C59BC"/>
    <w:rsid w:val="56661B4F"/>
    <w:rsid w:val="567761E5"/>
    <w:rsid w:val="567945D6"/>
    <w:rsid w:val="569E667C"/>
    <w:rsid w:val="56A10441"/>
    <w:rsid w:val="56AB0FBE"/>
    <w:rsid w:val="56B55774"/>
    <w:rsid w:val="56BB1A3C"/>
    <w:rsid w:val="56BF0987"/>
    <w:rsid w:val="56DC53F6"/>
    <w:rsid w:val="56E018A9"/>
    <w:rsid w:val="56E0560F"/>
    <w:rsid w:val="56E10D7D"/>
    <w:rsid w:val="56F711D3"/>
    <w:rsid w:val="57096C9D"/>
    <w:rsid w:val="570C0F09"/>
    <w:rsid w:val="571760EF"/>
    <w:rsid w:val="57284F8E"/>
    <w:rsid w:val="5729188C"/>
    <w:rsid w:val="572C2811"/>
    <w:rsid w:val="57316C99"/>
    <w:rsid w:val="573471D2"/>
    <w:rsid w:val="57365C7E"/>
    <w:rsid w:val="573E1C0D"/>
    <w:rsid w:val="574127B6"/>
    <w:rsid w:val="57497BC3"/>
    <w:rsid w:val="574D2267"/>
    <w:rsid w:val="5756729A"/>
    <w:rsid w:val="575F6B30"/>
    <w:rsid w:val="576176AA"/>
    <w:rsid w:val="576202BF"/>
    <w:rsid w:val="57846852"/>
    <w:rsid w:val="57847330"/>
    <w:rsid w:val="579E08FE"/>
    <w:rsid w:val="57A75A04"/>
    <w:rsid w:val="57A85B5A"/>
    <w:rsid w:val="57B141AA"/>
    <w:rsid w:val="57B87882"/>
    <w:rsid w:val="57C049B1"/>
    <w:rsid w:val="57C540DC"/>
    <w:rsid w:val="57D52571"/>
    <w:rsid w:val="57D55747"/>
    <w:rsid w:val="57DD33CB"/>
    <w:rsid w:val="57E27D11"/>
    <w:rsid w:val="57E722A5"/>
    <w:rsid w:val="57ED4E4E"/>
    <w:rsid w:val="57ED561B"/>
    <w:rsid w:val="57F44ADD"/>
    <w:rsid w:val="57FB1BE5"/>
    <w:rsid w:val="57FC7666"/>
    <w:rsid w:val="58014E0A"/>
    <w:rsid w:val="580E5A83"/>
    <w:rsid w:val="5812180A"/>
    <w:rsid w:val="58121BBD"/>
    <w:rsid w:val="5814471C"/>
    <w:rsid w:val="581D28B2"/>
    <w:rsid w:val="582278A6"/>
    <w:rsid w:val="582E1C82"/>
    <w:rsid w:val="583667C5"/>
    <w:rsid w:val="583A6878"/>
    <w:rsid w:val="583B6995"/>
    <w:rsid w:val="58474262"/>
    <w:rsid w:val="585039A6"/>
    <w:rsid w:val="5856139C"/>
    <w:rsid w:val="585B2F03"/>
    <w:rsid w:val="585E3E88"/>
    <w:rsid w:val="58621378"/>
    <w:rsid w:val="58661294"/>
    <w:rsid w:val="586B71BC"/>
    <w:rsid w:val="586D09FC"/>
    <w:rsid w:val="58733B38"/>
    <w:rsid w:val="58794897"/>
    <w:rsid w:val="58841C85"/>
    <w:rsid w:val="588440C7"/>
    <w:rsid w:val="58906498"/>
    <w:rsid w:val="58987048"/>
    <w:rsid w:val="58A6364C"/>
    <w:rsid w:val="58A67A6A"/>
    <w:rsid w:val="58AB6E2E"/>
    <w:rsid w:val="58BF734E"/>
    <w:rsid w:val="58C75F18"/>
    <w:rsid w:val="58C93758"/>
    <w:rsid w:val="58CC5BAC"/>
    <w:rsid w:val="58E453E6"/>
    <w:rsid w:val="591F133F"/>
    <w:rsid w:val="592106AE"/>
    <w:rsid w:val="59222CCC"/>
    <w:rsid w:val="592A4855"/>
    <w:rsid w:val="592C090B"/>
    <w:rsid w:val="592D3CE7"/>
    <w:rsid w:val="592F7A5F"/>
    <w:rsid w:val="59301A29"/>
    <w:rsid w:val="593037D7"/>
    <w:rsid w:val="59401C6C"/>
    <w:rsid w:val="59457F9D"/>
    <w:rsid w:val="594613D7"/>
    <w:rsid w:val="594D4C89"/>
    <w:rsid w:val="59527BF2"/>
    <w:rsid w:val="59554FEC"/>
    <w:rsid w:val="596508EF"/>
    <w:rsid w:val="59701E26"/>
    <w:rsid w:val="59814033"/>
    <w:rsid w:val="598A738C"/>
    <w:rsid w:val="599E6993"/>
    <w:rsid w:val="59A61C20"/>
    <w:rsid w:val="59A85123"/>
    <w:rsid w:val="59A85348"/>
    <w:rsid w:val="59B055ED"/>
    <w:rsid w:val="59B3425C"/>
    <w:rsid w:val="59C0604D"/>
    <w:rsid w:val="59C73975"/>
    <w:rsid w:val="59CC1752"/>
    <w:rsid w:val="59CF475B"/>
    <w:rsid w:val="59D2488F"/>
    <w:rsid w:val="59D32AE1"/>
    <w:rsid w:val="59DA0E48"/>
    <w:rsid w:val="59DC20FA"/>
    <w:rsid w:val="59E545C2"/>
    <w:rsid w:val="59E54F88"/>
    <w:rsid w:val="59E6628D"/>
    <w:rsid w:val="59E90836"/>
    <w:rsid w:val="59F93C29"/>
    <w:rsid w:val="59F969E3"/>
    <w:rsid w:val="5A00764E"/>
    <w:rsid w:val="5A032094"/>
    <w:rsid w:val="5A054C64"/>
    <w:rsid w:val="5A0C06CB"/>
    <w:rsid w:val="5A0C4E48"/>
    <w:rsid w:val="5A1E1882"/>
    <w:rsid w:val="5A1E7A21"/>
    <w:rsid w:val="5A201A9E"/>
    <w:rsid w:val="5A2F6381"/>
    <w:rsid w:val="5A461C11"/>
    <w:rsid w:val="5A4D6F36"/>
    <w:rsid w:val="5A4D705A"/>
    <w:rsid w:val="5A4E4387"/>
    <w:rsid w:val="5A5B5812"/>
    <w:rsid w:val="5A5D05FC"/>
    <w:rsid w:val="5A6E0A5B"/>
    <w:rsid w:val="5A6E2809"/>
    <w:rsid w:val="5A6F4AC9"/>
    <w:rsid w:val="5A76346C"/>
    <w:rsid w:val="5A7D2A4C"/>
    <w:rsid w:val="5A7E5C4F"/>
    <w:rsid w:val="5A81078E"/>
    <w:rsid w:val="5A96220A"/>
    <w:rsid w:val="5A964DAC"/>
    <w:rsid w:val="5A995D31"/>
    <w:rsid w:val="5A9B58EC"/>
    <w:rsid w:val="5AA02126"/>
    <w:rsid w:val="5AB521E6"/>
    <w:rsid w:val="5ABB5323"/>
    <w:rsid w:val="5ABD236D"/>
    <w:rsid w:val="5AC323F8"/>
    <w:rsid w:val="5ADA679A"/>
    <w:rsid w:val="5AF56A87"/>
    <w:rsid w:val="5AFA5E4B"/>
    <w:rsid w:val="5B027490"/>
    <w:rsid w:val="5B0867BA"/>
    <w:rsid w:val="5B0E1A3C"/>
    <w:rsid w:val="5B16743A"/>
    <w:rsid w:val="5B1A6899"/>
    <w:rsid w:val="5B1E422F"/>
    <w:rsid w:val="5B1E5F8A"/>
    <w:rsid w:val="5B264E92"/>
    <w:rsid w:val="5B2C2D21"/>
    <w:rsid w:val="5B4A138C"/>
    <w:rsid w:val="5B5154DF"/>
    <w:rsid w:val="5B5163B3"/>
    <w:rsid w:val="5B624408"/>
    <w:rsid w:val="5B6661A9"/>
    <w:rsid w:val="5B6B0AF7"/>
    <w:rsid w:val="5B75441A"/>
    <w:rsid w:val="5B773066"/>
    <w:rsid w:val="5B7B6323"/>
    <w:rsid w:val="5B7D779A"/>
    <w:rsid w:val="5B833730"/>
    <w:rsid w:val="5B857E0A"/>
    <w:rsid w:val="5B865931"/>
    <w:rsid w:val="5B991157"/>
    <w:rsid w:val="5B9F2D78"/>
    <w:rsid w:val="5B9F6406"/>
    <w:rsid w:val="5BA147B5"/>
    <w:rsid w:val="5BA67282"/>
    <w:rsid w:val="5BAA7871"/>
    <w:rsid w:val="5BCF61FE"/>
    <w:rsid w:val="5BDC060C"/>
    <w:rsid w:val="5BF34CE8"/>
    <w:rsid w:val="5BF60D08"/>
    <w:rsid w:val="5BF949F3"/>
    <w:rsid w:val="5BFB1E7B"/>
    <w:rsid w:val="5BFB7DDE"/>
    <w:rsid w:val="5C013FFE"/>
    <w:rsid w:val="5C225659"/>
    <w:rsid w:val="5C2C64D8"/>
    <w:rsid w:val="5C337866"/>
    <w:rsid w:val="5C36109E"/>
    <w:rsid w:val="5C452E6E"/>
    <w:rsid w:val="5C4D667C"/>
    <w:rsid w:val="5C4F21C6"/>
    <w:rsid w:val="5C68052A"/>
    <w:rsid w:val="5C6C36AD"/>
    <w:rsid w:val="5C6D112F"/>
    <w:rsid w:val="5C7346DF"/>
    <w:rsid w:val="5C735EC7"/>
    <w:rsid w:val="5C904575"/>
    <w:rsid w:val="5C91188E"/>
    <w:rsid w:val="5C911E6C"/>
    <w:rsid w:val="5C916A65"/>
    <w:rsid w:val="5CA86694"/>
    <w:rsid w:val="5CAB54B0"/>
    <w:rsid w:val="5CBD2B03"/>
    <w:rsid w:val="5CBE3035"/>
    <w:rsid w:val="5CC40525"/>
    <w:rsid w:val="5CD01559"/>
    <w:rsid w:val="5CFB721B"/>
    <w:rsid w:val="5D012DAA"/>
    <w:rsid w:val="5D027239"/>
    <w:rsid w:val="5D1640AF"/>
    <w:rsid w:val="5D273DE0"/>
    <w:rsid w:val="5D340819"/>
    <w:rsid w:val="5D38165A"/>
    <w:rsid w:val="5D3A4BD9"/>
    <w:rsid w:val="5D3A69D3"/>
    <w:rsid w:val="5D3D7C30"/>
    <w:rsid w:val="5D6E5737"/>
    <w:rsid w:val="5D7330E8"/>
    <w:rsid w:val="5D7E0FB5"/>
    <w:rsid w:val="5D92012D"/>
    <w:rsid w:val="5D926ACE"/>
    <w:rsid w:val="5D9B1B67"/>
    <w:rsid w:val="5DA930B5"/>
    <w:rsid w:val="5DB2695F"/>
    <w:rsid w:val="5DBB20D6"/>
    <w:rsid w:val="5DBE13B2"/>
    <w:rsid w:val="5DC0137C"/>
    <w:rsid w:val="5DC310BE"/>
    <w:rsid w:val="5DCD3CEB"/>
    <w:rsid w:val="5DEA7758"/>
    <w:rsid w:val="5DF64FF0"/>
    <w:rsid w:val="5DF66A37"/>
    <w:rsid w:val="5DF748C4"/>
    <w:rsid w:val="5DF76AAF"/>
    <w:rsid w:val="5E005A13"/>
    <w:rsid w:val="5E007C1C"/>
    <w:rsid w:val="5E0771FD"/>
    <w:rsid w:val="5E090AC7"/>
    <w:rsid w:val="5E0D204F"/>
    <w:rsid w:val="5E0F1C0D"/>
    <w:rsid w:val="5E220F75"/>
    <w:rsid w:val="5E230800"/>
    <w:rsid w:val="5E2C27BF"/>
    <w:rsid w:val="5E333019"/>
    <w:rsid w:val="5E370EEC"/>
    <w:rsid w:val="5E3866C8"/>
    <w:rsid w:val="5E3E6996"/>
    <w:rsid w:val="5E5166CA"/>
    <w:rsid w:val="5E5644D2"/>
    <w:rsid w:val="5E6B7D23"/>
    <w:rsid w:val="5E6C57A6"/>
    <w:rsid w:val="5E6E102A"/>
    <w:rsid w:val="5E71624F"/>
    <w:rsid w:val="5E717C83"/>
    <w:rsid w:val="5E724E4C"/>
    <w:rsid w:val="5E731884"/>
    <w:rsid w:val="5E751504"/>
    <w:rsid w:val="5E7D73A5"/>
    <w:rsid w:val="5E9465B6"/>
    <w:rsid w:val="5EA04BD7"/>
    <w:rsid w:val="5EAE2404"/>
    <w:rsid w:val="5EB5776A"/>
    <w:rsid w:val="5EB822A5"/>
    <w:rsid w:val="5EC32DFB"/>
    <w:rsid w:val="5EC455DD"/>
    <w:rsid w:val="5ED1433D"/>
    <w:rsid w:val="5EEC63F2"/>
    <w:rsid w:val="5EED5641"/>
    <w:rsid w:val="5EF16715"/>
    <w:rsid w:val="5F04373C"/>
    <w:rsid w:val="5F2E2567"/>
    <w:rsid w:val="5F381638"/>
    <w:rsid w:val="5F3B384B"/>
    <w:rsid w:val="5F3C12FF"/>
    <w:rsid w:val="5F3F2125"/>
    <w:rsid w:val="5F4253D5"/>
    <w:rsid w:val="5F630463"/>
    <w:rsid w:val="5F683CCB"/>
    <w:rsid w:val="5F6B5097"/>
    <w:rsid w:val="5F772160"/>
    <w:rsid w:val="5F7C7B38"/>
    <w:rsid w:val="5F7D4D16"/>
    <w:rsid w:val="5F831352"/>
    <w:rsid w:val="5F8D54E0"/>
    <w:rsid w:val="5F93686E"/>
    <w:rsid w:val="5FA93E7F"/>
    <w:rsid w:val="5FBE7704"/>
    <w:rsid w:val="5FCA1E36"/>
    <w:rsid w:val="5FD27B73"/>
    <w:rsid w:val="5FD44EBD"/>
    <w:rsid w:val="5FE03FD9"/>
    <w:rsid w:val="5FE61094"/>
    <w:rsid w:val="5FF358A6"/>
    <w:rsid w:val="5FFC08B7"/>
    <w:rsid w:val="60060996"/>
    <w:rsid w:val="6009519E"/>
    <w:rsid w:val="600A4521"/>
    <w:rsid w:val="602045A6"/>
    <w:rsid w:val="6023312C"/>
    <w:rsid w:val="602C2F4B"/>
    <w:rsid w:val="603144C3"/>
    <w:rsid w:val="60363DC9"/>
    <w:rsid w:val="60624BBE"/>
    <w:rsid w:val="606D08D2"/>
    <w:rsid w:val="60705E47"/>
    <w:rsid w:val="60830691"/>
    <w:rsid w:val="60850BD1"/>
    <w:rsid w:val="60866C2D"/>
    <w:rsid w:val="60B22A8D"/>
    <w:rsid w:val="60B35636"/>
    <w:rsid w:val="60C018E5"/>
    <w:rsid w:val="60D809DC"/>
    <w:rsid w:val="60DB486A"/>
    <w:rsid w:val="60F33C49"/>
    <w:rsid w:val="60F87FED"/>
    <w:rsid w:val="61044220"/>
    <w:rsid w:val="6105554A"/>
    <w:rsid w:val="610648A2"/>
    <w:rsid w:val="6126686F"/>
    <w:rsid w:val="612956DC"/>
    <w:rsid w:val="612B63A9"/>
    <w:rsid w:val="61306EDC"/>
    <w:rsid w:val="61330309"/>
    <w:rsid w:val="61406F72"/>
    <w:rsid w:val="61500F67"/>
    <w:rsid w:val="61587D6F"/>
    <w:rsid w:val="617950AB"/>
    <w:rsid w:val="617B36D1"/>
    <w:rsid w:val="61803A85"/>
    <w:rsid w:val="618F2A1B"/>
    <w:rsid w:val="61931421"/>
    <w:rsid w:val="619A4202"/>
    <w:rsid w:val="619A682E"/>
    <w:rsid w:val="61A60ADB"/>
    <w:rsid w:val="61A700C2"/>
    <w:rsid w:val="61A77850"/>
    <w:rsid w:val="61AB60F1"/>
    <w:rsid w:val="61AD1F23"/>
    <w:rsid w:val="61B52C5B"/>
    <w:rsid w:val="61BA4A46"/>
    <w:rsid w:val="61BF72C0"/>
    <w:rsid w:val="61C3168D"/>
    <w:rsid w:val="61CB22C1"/>
    <w:rsid w:val="61E544A6"/>
    <w:rsid w:val="61E6342A"/>
    <w:rsid w:val="61EA4E6B"/>
    <w:rsid w:val="61F57D74"/>
    <w:rsid w:val="61FC4B9F"/>
    <w:rsid w:val="620771B2"/>
    <w:rsid w:val="62080A1D"/>
    <w:rsid w:val="622D4D58"/>
    <w:rsid w:val="622E02E3"/>
    <w:rsid w:val="624E643B"/>
    <w:rsid w:val="625B2843"/>
    <w:rsid w:val="625E7A86"/>
    <w:rsid w:val="6265177A"/>
    <w:rsid w:val="626F711E"/>
    <w:rsid w:val="62712821"/>
    <w:rsid w:val="62730F7B"/>
    <w:rsid w:val="62892E3B"/>
    <w:rsid w:val="628A03FC"/>
    <w:rsid w:val="62953005"/>
    <w:rsid w:val="62A27631"/>
    <w:rsid w:val="62A27C60"/>
    <w:rsid w:val="62A3501A"/>
    <w:rsid w:val="62AA45FB"/>
    <w:rsid w:val="62AF0FEF"/>
    <w:rsid w:val="62B372FA"/>
    <w:rsid w:val="62B45479"/>
    <w:rsid w:val="62C17A7B"/>
    <w:rsid w:val="62CB49A1"/>
    <w:rsid w:val="62D046AC"/>
    <w:rsid w:val="62DE38C5"/>
    <w:rsid w:val="62E73159"/>
    <w:rsid w:val="62F10271"/>
    <w:rsid w:val="62FC3469"/>
    <w:rsid w:val="630A358C"/>
    <w:rsid w:val="630C4460"/>
    <w:rsid w:val="63116428"/>
    <w:rsid w:val="63141A74"/>
    <w:rsid w:val="631C34A7"/>
    <w:rsid w:val="63220635"/>
    <w:rsid w:val="632E6C44"/>
    <w:rsid w:val="633059CA"/>
    <w:rsid w:val="63375355"/>
    <w:rsid w:val="633A26F8"/>
    <w:rsid w:val="633A3BD0"/>
    <w:rsid w:val="635A1B7D"/>
    <w:rsid w:val="6361115D"/>
    <w:rsid w:val="6364313A"/>
    <w:rsid w:val="63660521"/>
    <w:rsid w:val="636D1953"/>
    <w:rsid w:val="636F09B8"/>
    <w:rsid w:val="637D3ABD"/>
    <w:rsid w:val="6383116A"/>
    <w:rsid w:val="63916CE9"/>
    <w:rsid w:val="63B04B6E"/>
    <w:rsid w:val="63B75221"/>
    <w:rsid w:val="63B86E2C"/>
    <w:rsid w:val="63BA5D30"/>
    <w:rsid w:val="63CA40E4"/>
    <w:rsid w:val="63D27B62"/>
    <w:rsid w:val="63D979B2"/>
    <w:rsid w:val="63DF10FC"/>
    <w:rsid w:val="63E14E13"/>
    <w:rsid w:val="63F14784"/>
    <w:rsid w:val="63F56A0D"/>
    <w:rsid w:val="63F773CC"/>
    <w:rsid w:val="63FC2C37"/>
    <w:rsid w:val="63FD189B"/>
    <w:rsid w:val="6420020E"/>
    <w:rsid w:val="64246DFF"/>
    <w:rsid w:val="64265F03"/>
    <w:rsid w:val="642A1AC8"/>
    <w:rsid w:val="642B10E5"/>
    <w:rsid w:val="64316114"/>
    <w:rsid w:val="644267A7"/>
    <w:rsid w:val="64442D0F"/>
    <w:rsid w:val="64526DA7"/>
    <w:rsid w:val="6454481E"/>
    <w:rsid w:val="645760BC"/>
    <w:rsid w:val="6458033D"/>
    <w:rsid w:val="64592EAE"/>
    <w:rsid w:val="64A05CB5"/>
    <w:rsid w:val="64A81D2B"/>
    <w:rsid w:val="64C228DE"/>
    <w:rsid w:val="64C435D1"/>
    <w:rsid w:val="64C76D65"/>
    <w:rsid w:val="64D002AE"/>
    <w:rsid w:val="64D70A5F"/>
    <w:rsid w:val="64F00CFA"/>
    <w:rsid w:val="64FD143E"/>
    <w:rsid w:val="64FF53F0"/>
    <w:rsid w:val="65053D6A"/>
    <w:rsid w:val="6513595F"/>
    <w:rsid w:val="65214639"/>
    <w:rsid w:val="65220637"/>
    <w:rsid w:val="65401C24"/>
    <w:rsid w:val="65490238"/>
    <w:rsid w:val="65562818"/>
    <w:rsid w:val="65624D19"/>
    <w:rsid w:val="657038D9"/>
    <w:rsid w:val="65821697"/>
    <w:rsid w:val="659B0C70"/>
    <w:rsid w:val="65A417D5"/>
    <w:rsid w:val="65A4764D"/>
    <w:rsid w:val="65AE61B0"/>
    <w:rsid w:val="65B91B2F"/>
    <w:rsid w:val="65CB6D62"/>
    <w:rsid w:val="65DA0D53"/>
    <w:rsid w:val="65DB0A87"/>
    <w:rsid w:val="65E46075"/>
    <w:rsid w:val="65E62B17"/>
    <w:rsid w:val="65EA5BC3"/>
    <w:rsid w:val="65F8567D"/>
    <w:rsid w:val="66063C56"/>
    <w:rsid w:val="66140709"/>
    <w:rsid w:val="661D24F4"/>
    <w:rsid w:val="661E7317"/>
    <w:rsid w:val="662B662D"/>
    <w:rsid w:val="664B39FF"/>
    <w:rsid w:val="66552ACF"/>
    <w:rsid w:val="66570776"/>
    <w:rsid w:val="66652D12"/>
    <w:rsid w:val="666708AB"/>
    <w:rsid w:val="667747F4"/>
    <w:rsid w:val="66890422"/>
    <w:rsid w:val="668C53CC"/>
    <w:rsid w:val="66915D04"/>
    <w:rsid w:val="66937143"/>
    <w:rsid w:val="669E48A6"/>
    <w:rsid w:val="66A551F1"/>
    <w:rsid w:val="66A95111"/>
    <w:rsid w:val="66AF4687"/>
    <w:rsid w:val="66B45A49"/>
    <w:rsid w:val="66B50FD2"/>
    <w:rsid w:val="66B64012"/>
    <w:rsid w:val="66C33EDD"/>
    <w:rsid w:val="66E005EB"/>
    <w:rsid w:val="66E14363"/>
    <w:rsid w:val="66EB147E"/>
    <w:rsid w:val="66ED0F5A"/>
    <w:rsid w:val="66F2031E"/>
    <w:rsid w:val="67001AC3"/>
    <w:rsid w:val="670375E7"/>
    <w:rsid w:val="670A3A9C"/>
    <w:rsid w:val="6712451C"/>
    <w:rsid w:val="671958AB"/>
    <w:rsid w:val="671B4CC0"/>
    <w:rsid w:val="671F493B"/>
    <w:rsid w:val="672A7AB8"/>
    <w:rsid w:val="673E5F91"/>
    <w:rsid w:val="67472502"/>
    <w:rsid w:val="67523E04"/>
    <w:rsid w:val="675A6D1E"/>
    <w:rsid w:val="676818B7"/>
    <w:rsid w:val="677A27ED"/>
    <w:rsid w:val="678371C8"/>
    <w:rsid w:val="67891DEC"/>
    <w:rsid w:val="67906760"/>
    <w:rsid w:val="67980EC5"/>
    <w:rsid w:val="679A112F"/>
    <w:rsid w:val="679C0437"/>
    <w:rsid w:val="679D028A"/>
    <w:rsid w:val="67B247DD"/>
    <w:rsid w:val="67BC1058"/>
    <w:rsid w:val="67C23573"/>
    <w:rsid w:val="67C831A4"/>
    <w:rsid w:val="67C8720F"/>
    <w:rsid w:val="67C92BE3"/>
    <w:rsid w:val="67D21E42"/>
    <w:rsid w:val="67D510FF"/>
    <w:rsid w:val="67D62633"/>
    <w:rsid w:val="67E31201"/>
    <w:rsid w:val="67E759A9"/>
    <w:rsid w:val="67F30523"/>
    <w:rsid w:val="67F65B74"/>
    <w:rsid w:val="67FF2CF3"/>
    <w:rsid w:val="68166636"/>
    <w:rsid w:val="68205AFC"/>
    <w:rsid w:val="68232E85"/>
    <w:rsid w:val="68330D7C"/>
    <w:rsid w:val="6835132F"/>
    <w:rsid w:val="68351F05"/>
    <w:rsid w:val="683B3E0E"/>
    <w:rsid w:val="68541712"/>
    <w:rsid w:val="68860A0A"/>
    <w:rsid w:val="68880203"/>
    <w:rsid w:val="6888718C"/>
    <w:rsid w:val="68953223"/>
    <w:rsid w:val="689C6793"/>
    <w:rsid w:val="68B702B5"/>
    <w:rsid w:val="68B86C5B"/>
    <w:rsid w:val="68BE0B64"/>
    <w:rsid w:val="68C169C5"/>
    <w:rsid w:val="68D04302"/>
    <w:rsid w:val="68E32614"/>
    <w:rsid w:val="68F11526"/>
    <w:rsid w:val="68F550AB"/>
    <w:rsid w:val="68FD3ECC"/>
    <w:rsid w:val="69025DD5"/>
    <w:rsid w:val="69064AB6"/>
    <w:rsid w:val="69074555"/>
    <w:rsid w:val="69083E29"/>
    <w:rsid w:val="691602F4"/>
    <w:rsid w:val="69187539"/>
    <w:rsid w:val="691D2203"/>
    <w:rsid w:val="69231B8D"/>
    <w:rsid w:val="692A4234"/>
    <w:rsid w:val="692F13B6"/>
    <w:rsid w:val="69584819"/>
    <w:rsid w:val="695D5F23"/>
    <w:rsid w:val="69605006"/>
    <w:rsid w:val="69643755"/>
    <w:rsid w:val="69670B4F"/>
    <w:rsid w:val="69763488"/>
    <w:rsid w:val="69840B6F"/>
    <w:rsid w:val="69852B2B"/>
    <w:rsid w:val="698D100B"/>
    <w:rsid w:val="69974C48"/>
    <w:rsid w:val="699E5C54"/>
    <w:rsid w:val="69A12B8F"/>
    <w:rsid w:val="69CB5582"/>
    <w:rsid w:val="69D967D1"/>
    <w:rsid w:val="69E00902"/>
    <w:rsid w:val="69F61ED3"/>
    <w:rsid w:val="6A000ADF"/>
    <w:rsid w:val="6A0D7E5B"/>
    <w:rsid w:val="6A1876FA"/>
    <w:rsid w:val="6A231730"/>
    <w:rsid w:val="6A2B6021"/>
    <w:rsid w:val="6A310775"/>
    <w:rsid w:val="6A3B5729"/>
    <w:rsid w:val="6A440E91"/>
    <w:rsid w:val="6A5527D2"/>
    <w:rsid w:val="6A596387"/>
    <w:rsid w:val="6A5A768C"/>
    <w:rsid w:val="6A61544A"/>
    <w:rsid w:val="6A61799A"/>
    <w:rsid w:val="6A6A42B6"/>
    <w:rsid w:val="6A7B241B"/>
    <w:rsid w:val="6A811ACA"/>
    <w:rsid w:val="6A883473"/>
    <w:rsid w:val="6A940797"/>
    <w:rsid w:val="6A995680"/>
    <w:rsid w:val="6A9B792A"/>
    <w:rsid w:val="6A9C0CCD"/>
    <w:rsid w:val="6AAA5681"/>
    <w:rsid w:val="6AAE27AE"/>
    <w:rsid w:val="6AC50223"/>
    <w:rsid w:val="6ACA017A"/>
    <w:rsid w:val="6ACF301A"/>
    <w:rsid w:val="6ADC0A6B"/>
    <w:rsid w:val="6AE1319A"/>
    <w:rsid w:val="6AE663EC"/>
    <w:rsid w:val="6AE77D3C"/>
    <w:rsid w:val="6AED32D6"/>
    <w:rsid w:val="6AF02DC7"/>
    <w:rsid w:val="6AFA14FA"/>
    <w:rsid w:val="6B0718B5"/>
    <w:rsid w:val="6B0F76F1"/>
    <w:rsid w:val="6B154A35"/>
    <w:rsid w:val="6B1A09C3"/>
    <w:rsid w:val="6B212E61"/>
    <w:rsid w:val="6B33736F"/>
    <w:rsid w:val="6B37170B"/>
    <w:rsid w:val="6B3C7DBA"/>
    <w:rsid w:val="6B421B88"/>
    <w:rsid w:val="6B433442"/>
    <w:rsid w:val="6B4B53FD"/>
    <w:rsid w:val="6B767361"/>
    <w:rsid w:val="6B822867"/>
    <w:rsid w:val="6B847065"/>
    <w:rsid w:val="6B9D4CFC"/>
    <w:rsid w:val="6BA06610"/>
    <w:rsid w:val="6BAF2C82"/>
    <w:rsid w:val="6BB32772"/>
    <w:rsid w:val="6BB655AF"/>
    <w:rsid w:val="6BB957B0"/>
    <w:rsid w:val="6BBD0EFB"/>
    <w:rsid w:val="6BBF3FBF"/>
    <w:rsid w:val="6BCD5068"/>
    <w:rsid w:val="6BD076FD"/>
    <w:rsid w:val="6BD55C8E"/>
    <w:rsid w:val="6BD97AFD"/>
    <w:rsid w:val="6BE33C8F"/>
    <w:rsid w:val="6BEB40A9"/>
    <w:rsid w:val="6C021860"/>
    <w:rsid w:val="6C022EBF"/>
    <w:rsid w:val="6C060F0D"/>
    <w:rsid w:val="6C092392"/>
    <w:rsid w:val="6C123FA9"/>
    <w:rsid w:val="6C311810"/>
    <w:rsid w:val="6C340216"/>
    <w:rsid w:val="6C3867D3"/>
    <w:rsid w:val="6C39327C"/>
    <w:rsid w:val="6C3E2AE1"/>
    <w:rsid w:val="6C435618"/>
    <w:rsid w:val="6C44786E"/>
    <w:rsid w:val="6C450EF0"/>
    <w:rsid w:val="6C4F3C3C"/>
    <w:rsid w:val="6C547446"/>
    <w:rsid w:val="6C597B84"/>
    <w:rsid w:val="6C5D5657"/>
    <w:rsid w:val="6C68265A"/>
    <w:rsid w:val="6C6D0B73"/>
    <w:rsid w:val="6C700663"/>
    <w:rsid w:val="6C7222AE"/>
    <w:rsid w:val="6C770900"/>
    <w:rsid w:val="6C783074"/>
    <w:rsid w:val="6C832144"/>
    <w:rsid w:val="6C90182A"/>
    <w:rsid w:val="6CA963BE"/>
    <w:rsid w:val="6CB23063"/>
    <w:rsid w:val="6CB57E24"/>
    <w:rsid w:val="6CC570A5"/>
    <w:rsid w:val="6CC70228"/>
    <w:rsid w:val="6CD935A2"/>
    <w:rsid w:val="6CE12132"/>
    <w:rsid w:val="6CE125B1"/>
    <w:rsid w:val="6CEC3F75"/>
    <w:rsid w:val="6CEE5E4F"/>
    <w:rsid w:val="6CF7148A"/>
    <w:rsid w:val="6D117F87"/>
    <w:rsid w:val="6D1E2ED5"/>
    <w:rsid w:val="6D262638"/>
    <w:rsid w:val="6D2F00AE"/>
    <w:rsid w:val="6D38593A"/>
    <w:rsid w:val="6D4B2536"/>
    <w:rsid w:val="6D4D2752"/>
    <w:rsid w:val="6D4D7584"/>
    <w:rsid w:val="6D627B71"/>
    <w:rsid w:val="6D6537A5"/>
    <w:rsid w:val="6D771B27"/>
    <w:rsid w:val="6D772E30"/>
    <w:rsid w:val="6D8057A7"/>
    <w:rsid w:val="6D8141AA"/>
    <w:rsid w:val="6D8360D1"/>
    <w:rsid w:val="6D836174"/>
    <w:rsid w:val="6D9F41F8"/>
    <w:rsid w:val="6DA91761"/>
    <w:rsid w:val="6DB17A2E"/>
    <w:rsid w:val="6DB17CD1"/>
    <w:rsid w:val="6DB77BCC"/>
    <w:rsid w:val="6DB82591"/>
    <w:rsid w:val="6DC1541F"/>
    <w:rsid w:val="6DC5053A"/>
    <w:rsid w:val="6DCA5B51"/>
    <w:rsid w:val="6DCD73EF"/>
    <w:rsid w:val="6DD32C57"/>
    <w:rsid w:val="6DE5298B"/>
    <w:rsid w:val="6DEB5F7A"/>
    <w:rsid w:val="6DEE5CE3"/>
    <w:rsid w:val="6DF026EB"/>
    <w:rsid w:val="6DF27794"/>
    <w:rsid w:val="6DF36E56"/>
    <w:rsid w:val="6DFB42FF"/>
    <w:rsid w:val="6E0F64FE"/>
    <w:rsid w:val="6E1178BF"/>
    <w:rsid w:val="6E196FF3"/>
    <w:rsid w:val="6E21673D"/>
    <w:rsid w:val="6E217E67"/>
    <w:rsid w:val="6E284011"/>
    <w:rsid w:val="6E296D1B"/>
    <w:rsid w:val="6E2E47C2"/>
    <w:rsid w:val="6E315BD0"/>
    <w:rsid w:val="6E3851B0"/>
    <w:rsid w:val="6E436498"/>
    <w:rsid w:val="6E481EBF"/>
    <w:rsid w:val="6E49116B"/>
    <w:rsid w:val="6E4B39E7"/>
    <w:rsid w:val="6E51148A"/>
    <w:rsid w:val="6E55366C"/>
    <w:rsid w:val="6E5B561D"/>
    <w:rsid w:val="6E601AA5"/>
    <w:rsid w:val="6E612755"/>
    <w:rsid w:val="6E6C6B0E"/>
    <w:rsid w:val="6E6D3339"/>
    <w:rsid w:val="6E737441"/>
    <w:rsid w:val="6E82136D"/>
    <w:rsid w:val="6E867CCA"/>
    <w:rsid w:val="6E881964"/>
    <w:rsid w:val="6E90735F"/>
    <w:rsid w:val="6EA44B97"/>
    <w:rsid w:val="6EA6036C"/>
    <w:rsid w:val="6EA60D2B"/>
    <w:rsid w:val="6EA765DB"/>
    <w:rsid w:val="6EA91C0A"/>
    <w:rsid w:val="6EAE7221"/>
    <w:rsid w:val="6EB26D11"/>
    <w:rsid w:val="6EB579F9"/>
    <w:rsid w:val="6EB611AF"/>
    <w:rsid w:val="6EC12DC3"/>
    <w:rsid w:val="6EC22A43"/>
    <w:rsid w:val="6EC22EA4"/>
    <w:rsid w:val="6EC8494C"/>
    <w:rsid w:val="6EC85F8E"/>
    <w:rsid w:val="6ED2571A"/>
    <w:rsid w:val="6ED34FB9"/>
    <w:rsid w:val="6EE449F0"/>
    <w:rsid w:val="6EEC1804"/>
    <w:rsid w:val="6EF508D8"/>
    <w:rsid w:val="6EFC4273"/>
    <w:rsid w:val="6F0230C8"/>
    <w:rsid w:val="6F026911"/>
    <w:rsid w:val="6F087ADA"/>
    <w:rsid w:val="6F116045"/>
    <w:rsid w:val="6F1277AF"/>
    <w:rsid w:val="6F26325B"/>
    <w:rsid w:val="6F2A6F6F"/>
    <w:rsid w:val="6F32398A"/>
    <w:rsid w:val="6F386628"/>
    <w:rsid w:val="6F3A279F"/>
    <w:rsid w:val="6F3C2A7E"/>
    <w:rsid w:val="6F3C65DA"/>
    <w:rsid w:val="6F4E5EAA"/>
    <w:rsid w:val="6F54398D"/>
    <w:rsid w:val="6F635077"/>
    <w:rsid w:val="6F6F1FE3"/>
    <w:rsid w:val="6F71097A"/>
    <w:rsid w:val="6F781FC5"/>
    <w:rsid w:val="6F7B5355"/>
    <w:rsid w:val="6F873A86"/>
    <w:rsid w:val="6F8E6C94"/>
    <w:rsid w:val="6F90518A"/>
    <w:rsid w:val="6F91484E"/>
    <w:rsid w:val="6F9540A0"/>
    <w:rsid w:val="6F973996"/>
    <w:rsid w:val="6FBB0A5D"/>
    <w:rsid w:val="6FC04EE4"/>
    <w:rsid w:val="6FED6CAD"/>
    <w:rsid w:val="6FF1788D"/>
    <w:rsid w:val="6FF675BD"/>
    <w:rsid w:val="6FF90541"/>
    <w:rsid w:val="6FFB70C8"/>
    <w:rsid w:val="6FFE1AE2"/>
    <w:rsid w:val="6FFF165B"/>
    <w:rsid w:val="700417EE"/>
    <w:rsid w:val="700532A9"/>
    <w:rsid w:val="70074022"/>
    <w:rsid w:val="700D7F77"/>
    <w:rsid w:val="701B2694"/>
    <w:rsid w:val="70266CAE"/>
    <w:rsid w:val="7026716E"/>
    <w:rsid w:val="703674CE"/>
    <w:rsid w:val="703E0D95"/>
    <w:rsid w:val="704240C4"/>
    <w:rsid w:val="70454E8C"/>
    <w:rsid w:val="70500F50"/>
    <w:rsid w:val="70533B97"/>
    <w:rsid w:val="70576BAA"/>
    <w:rsid w:val="705E5CE7"/>
    <w:rsid w:val="70637F71"/>
    <w:rsid w:val="70645DE9"/>
    <w:rsid w:val="70743B98"/>
    <w:rsid w:val="707617CA"/>
    <w:rsid w:val="707D334E"/>
    <w:rsid w:val="70866F8A"/>
    <w:rsid w:val="708B5A6B"/>
    <w:rsid w:val="70B2124A"/>
    <w:rsid w:val="70B30B1E"/>
    <w:rsid w:val="70B54896"/>
    <w:rsid w:val="70BF74C3"/>
    <w:rsid w:val="70C66990"/>
    <w:rsid w:val="70D72EA9"/>
    <w:rsid w:val="70DA0EB4"/>
    <w:rsid w:val="70DE78BA"/>
    <w:rsid w:val="70EB6BD0"/>
    <w:rsid w:val="7104744D"/>
    <w:rsid w:val="71066EA0"/>
    <w:rsid w:val="71094BE2"/>
    <w:rsid w:val="710D4B86"/>
    <w:rsid w:val="711D243B"/>
    <w:rsid w:val="711E28A2"/>
    <w:rsid w:val="71263CB9"/>
    <w:rsid w:val="713B111A"/>
    <w:rsid w:val="71431EA2"/>
    <w:rsid w:val="714F6400"/>
    <w:rsid w:val="714F65DC"/>
    <w:rsid w:val="714F68F5"/>
    <w:rsid w:val="71511DF8"/>
    <w:rsid w:val="7168457C"/>
    <w:rsid w:val="716A3158"/>
    <w:rsid w:val="716E3926"/>
    <w:rsid w:val="716F7776"/>
    <w:rsid w:val="717520BB"/>
    <w:rsid w:val="71797686"/>
    <w:rsid w:val="717B788E"/>
    <w:rsid w:val="718154E4"/>
    <w:rsid w:val="718167B7"/>
    <w:rsid w:val="71835E4A"/>
    <w:rsid w:val="71950F82"/>
    <w:rsid w:val="71A24560"/>
    <w:rsid w:val="71AA3CCF"/>
    <w:rsid w:val="71AB7DE0"/>
    <w:rsid w:val="71B30B97"/>
    <w:rsid w:val="71CA4371"/>
    <w:rsid w:val="71CE71C3"/>
    <w:rsid w:val="71D451F0"/>
    <w:rsid w:val="71DC30DE"/>
    <w:rsid w:val="71DD525F"/>
    <w:rsid w:val="71DE7E1D"/>
    <w:rsid w:val="71E04502"/>
    <w:rsid w:val="71E52F59"/>
    <w:rsid w:val="71EC42E8"/>
    <w:rsid w:val="72181581"/>
    <w:rsid w:val="7218332F"/>
    <w:rsid w:val="7220357F"/>
    <w:rsid w:val="722078C9"/>
    <w:rsid w:val="72314556"/>
    <w:rsid w:val="7248490E"/>
    <w:rsid w:val="725B76BF"/>
    <w:rsid w:val="7263104B"/>
    <w:rsid w:val="726A6011"/>
    <w:rsid w:val="729130E1"/>
    <w:rsid w:val="729460FE"/>
    <w:rsid w:val="729A5612"/>
    <w:rsid w:val="72A03324"/>
    <w:rsid w:val="72A262A2"/>
    <w:rsid w:val="72AA090C"/>
    <w:rsid w:val="72AB6BB1"/>
    <w:rsid w:val="72AE3C93"/>
    <w:rsid w:val="72B164B1"/>
    <w:rsid w:val="72B56DCF"/>
    <w:rsid w:val="72BB13CA"/>
    <w:rsid w:val="72C009E2"/>
    <w:rsid w:val="72D32376"/>
    <w:rsid w:val="72D4375A"/>
    <w:rsid w:val="72D43F44"/>
    <w:rsid w:val="72D75477"/>
    <w:rsid w:val="72DA05FA"/>
    <w:rsid w:val="72DC7380"/>
    <w:rsid w:val="72DD6326"/>
    <w:rsid w:val="72DE6CDA"/>
    <w:rsid w:val="73084A11"/>
    <w:rsid w:val="730B69EF"/>
    <w:rsid w:val="73150AD9"/>
    <w:rsid w:val="73163983"/>
    <w:rsid w:val="7325594C"/>
    <w:rsid w:val="732950C8"/>
    <w:rsid w:val="732D105C"/>
    <w:rsid w:val="73375A36"/>
    <w:rsid w:val="73532145"/>
    <w:rsid w:val="73655FDF"/>
    <w:rsid w:val="73691968"/>
    <w:rsid w:val="73746B0E"/>
    <w:rsid w:val="73762935"/>
    <w:rsid w:val="739764D5"/>
    <w:rsid w:val="7398640D"/>
    <w:rsid w:val="739E1612"/>
    <w:rsid w:val="73A41347"/>
    <w:rsid w:val="73AA3251"/>
    <w:rsid w:val="73AD7903"/>
    <w:rsid w:val="73B02BDC"/>
    <w:rsid w:val="73B41D9C"/>
    <w:rsid w:val="73C37AF4"/>
    <w:rsid w:val="73C64398"/>
    <w:rsid w:val="73CA1A40"/>
    <w:rsid w:val="73CD35DF"/>
    <w:rsid w:val="73D24415"/>
    <w:rsid w:val="73D26CC6"/>
    <w:rsid w:val="73DA6563"/>
    <w:rsid w:val="73DE2A18"/>
    <w:rsid w:val="73E9403A"/>
    <w:rsid w:val="73ED6AAC"/>
    <w:rsid w:val="73F456D6"/>
    <w:rsid w:val="74281823"/>
    <w:rsid w:val="742C2C2D"/>
    <w:rsid w:val="743432D6"/>
    <w:rsid w:val="743E0056"/>
    <w:rsid w:val="744D04DB"/>
    <w:rsid w:val="744D4796"/>
    <w:rsid w:val="74516EE2"/>
    <w:rsid w:val="7457037A"/>
    <w:rsid w:val="7461749A"/>
    <w:rsid w:val="7463285B"/>
    <w:rsid w:val="746C1582"/>
    <w:rsid w:val="748527D2"/>
    <w:rsid w:val="748E78D8"/>
    <w:rsid w:val="749E626A"/>
    <w:rsid w:val="749F7D37"/>
    <w:rsid w:val="74AD3D78"/>
    <w:rsid w:val="74B82BA7"/>
    <w:rsid w:val="74B86703"/>
    <w:rsid w:val="74BF6BC1"/>
    <w:rsid w:val="74C87E25"/>
    <w:rsid w:val="74CC6652"/>
    <w:rsid w:val="74D7496A"/>
    <w:rsid w:val="74DA6E76"/>
    <w:rsid w:val="74F01713"/>
    <w:rsid w:val="74F76776"/>
    <w:rsid w:val="74FD3B6F"/>
    <w:rsid w:val="750B72C2"/>
    <w:rsid w:val="75185176"/>
    <w:rsid w:val="7519017E"/>
    <w:rsid w:val="75263FB5"/>
    <w:rsid w:val="75465AB3"/>
    <w:rsid w:val="754B57C9"/>
    <w:rsid w:val="754E563E"/>
    <w:rsid w:val="757A34CC"/>
    <w:rsid w:val="757A60AE"/>
    <w:rsid w:val="758614DD"/>
    <w:rsid w:val="759A017D"/>
    <w:rsid w:val="759F3CEA"/>
    <w:rsid w:val="75A367D3"/>
    <w:rsid w:val="75A629FF"/>
    <w:rsid w:val="75AB5501"/>
    <w:rsid w:val="75BA77D6"/>
    <w:rsid w:val="75BB2F61"/>
    <w:rsid w:val="75D2195C"/>
    <w:rsid w:val="75DC4F49"/>
    <w:rsid w:val="75DD25A5"/>
    <w:rsid w:val="75E22227"/>
    <w:rsid w:val="75EC5087"/>
    <w:rsid w:val="75F25C45"/>
    <w:rsid w:val="75F37912"/>
    <w:rsid w:val="76034E4A"/>
    <w:rsid w:val="76164725"/>
    <w:rsid w:val="76190ABD"/>
    <w:rsid w:val="76210E5A"/>
    <w:rsid w:val="76280C11"/>
    <w:rsid w:val="763C5A77"/>
    <w:rsid w:val="76450616"/>
    <w:rsid w:val="76587637"/>
    <w:rsid w:val="76622145"/>
    <w:rsid w:val="76637BC6"/>
    <w:rsid w:val="767174B1"/>
    <w:rsid w:val="7677439C"/>
    <w:rsid w:val="767825EE"/>
    <w:rsid w:val="767D7C04"/>
    <w:rsid w:val="76852F5D"/>
    <w:rsid w:val="768F1EE1"/>
    <w:rsid w:val="769164A0"/>
    <w:rsid w:val="769535F7"/>
    <w:rsid w:val="76AA3BBE"/>
    <w:rsid w:val="76C30454"/>
    <w:rsid w:val="76CB0718"/>
    <w:rsid w:val="76D13DEC"/>
    <w:rsid w:val="76F65C09"/>
    <w:rsid w:val="76FB5312"/>
    <w:rsid w:val="7706409E"/>
    <w:rsid w:val="771334B6"/>
    <w:rsid w:val="772A798F"/>
    <w:rsid w:val="7731279D"/>
    <w:rsid w:val="773A78A3"/>
    <w:rsid w:val="77492442"/>
    <w:rsid w:val="774B7D02"/>
    <w:rsid w:val="77514BED"/>
    <w:rsid w:val="7751784F"/>
    <w:rsid w:val="77532D52"/>
    <w:rsid w:val="7759197B"/>
    <w:rsid w:val="776E0CF0"/>
    <w:rsid w:val="77707769"/>
    <w:rsid w:val="77727D83"/>
    <w:rsid w:val="77792F92"/>
    <w:rsid w:val="777C5FCF"/>
    <w:rsid w:val="778B24EF"/>
    <w:rsid w:val="778D031B"/>
    <w:rsid w:val="77903967"/>
    <w:rsid w:val="77996CC0"/>
    <w:rsid w:val="77A17922"/>
    <w:rsid w:val="77A92C7B"/>
    <w:rsid w:val="77B520BF"/>
    <w:rsid w:val="77B533CE"/>
    <w:rsid w:val="77C33470"/>
    <w:rsid w:val="77CB0E43"/>
    <w:rsid w:val="77D01E45"/>
    <w:rsid w:val="77D870BC"/>
    <w:rsid w:val="77DA6802"/>
    <w:rsid w:val="77E0753C"/>
    <w:rsid w:val="77EE09D2"/>
    <w:rsid w:val="77F73860"/>
    <w:rsid w:val="77F86BCB"/>
    <w:rsid w:val="77F959B0"/>
    <w:rsid w:val="780305DD"/>
    <w:rsid w:val="7808174F"/>
    <w:rsid w:val="78141A18"/>
    <w:rsid w:val="782C2A35"/>
    <w:rsid w:val="78337E41"/>
    <w:rsid w:val="78527978"/>
    <w:rsid w:val="785C1A9B"/>
    <w:rsid w:val="786C5A1D"/>
    <w:rsid w:val="787D399F"/>
    <w:rsid w:val="787D3C56"/>
    <w:rsid w:val="787E7C64"/>
    <w:rsid w:val="7883527A"/>
    <w:rsid w:val="7888534D"/>
    <w:rsid w:val="78946528"/>
    <w:rsid w:val="789620E4"/>
    <w:rsid w:val="78A3591C"/>
    <w:rsid w:val="78A771BA"/>
    <w:rsid w:val="78AC5F5A"/>
    <w:rsid w:val="78B33C13"/>
    <w:rsid w:val="78B874E6"/>
    <w:rsid w:val="78B905F3"/>
    <w:rsid w:val="78B93018"/>
    <w:rsid w:val="78BA0DB9"/>
    <w:rsid w:val="78CD2160"/>
    <w:rsid w:val="78E34762"/>
    <w:rsid w:val="78EA52F9"/>
    <w:rsid w:val="78EF0B61"/>
    <w:rsid w:val="78F148D9"/>
    <w:rsid w:val="78FB12B4"/>
    <w:rsid w:val="78FF0DA4"/>
    <w:rsid w:val="7902302B"/>
    <w:rsid w:val="790A49DD"/>
    <w:rsid w:val="790B5EDC"/>
    <w:rsid w:val="79222870"/>
    <w:rsid w:val="79246A5D"/>
    <w:rsid w:val="793876EF"/>
    <w:rsid w:val="793D18CD"/>
    <w:rsid w:val="79405463"/>
    <w:rsid w:val="7942728A"/>
    <w:rsid w:val="795723C3"/>
    <w:rsid w:val="79642735"/>
    <w:rsid w:val="79646E59"/>
    <w:rsid w:val="796B643A"/>
    <w:rsid w:val="79773031"/>
    <w:rsid w:val="797F3C93"/>
    <w:rsid w:val="79A56152"/>
    <w:rsid w:val="79AF3739"/>
    <w:rsid w:val="79B370AD"/>
    <w:rsid w:val="79CE0C39"/>
    <w:rsid w:val="79D00993"/>
    <w:rsid w:val="79D54511"/>
    <w:rsid w:val="79E41D86"/>
    <w:rsid w:val="79EE2BC7"/>
    <w:rsid w:val="79EF399B"/>
    <w:rsid w:val="79FE105C"/>
    <w:rsid w:val="7A0149B0"/>
    <w:rsid w:val="7A036672"/>
    <w:rsid w:val="7A102B3D"/>
    <w:rsid w:val="7A1E34AC"/>
    <w:rsid w:val="7A20416A"/>
    <w:rsid w:val="7A4261B7"/>
    <w:rsid w:val="7A450B26"/>
    <w:rsid w:val="7A5C2227"/>
    <w:rsid w:val="7A6115EB"/>
    <w:rsid w:val="7A653295"/>
    <w:rsid w:val="7A772BBC"/>
    <w:rsid w:val="7A7872D8"/>
    <w:rsid w:val="7A935779"/>
    <w:rsid w:val="7A951295"/>
    <w:rsid w:val="7A9B2D4F"/>
    <w:rsid w:val="7A9D2951"/>
    <w:rsid w:val="7A9E0310"/>
    <w:rsid w:val="7A9E2EB4"/>
    <w:rsid w:val="7AAE1CA3"/>
    <w:rsid w:val="7AB411C2"/>
    <w:rsid w:val="7ABB6566"/>
    <w:rsid w:val="7AC22512"/>
    <w:rsid w:val="7AC426F9"/>
    <w:rsid w:val="7AC51B7A"/>
    <w:rsid w:val="7AC62985"/>
    <w:rsid w:val="7AC758F2"/>
    <w:rsid w:val="7AD3427A"/>
    <w:rsid w:val="7ADC1122"/>
    <w:rsid w:val="7ADF1481"/>
    <w:rsid w:val="7AE244DA"/>
    <w:rsid w:val="7AEA338E"/>
    <w:rsid w:val="7AF1471D"/>
    <w:rsid w:val="7B007056"/>
    <w:rsid w:val="7B0C08EF"/>
    <w:rsid w:val="7B116F75"/>
    <w:rsid w:val="7B1249F7"/>
    <w:rsid w:val="7B1563EB"/>
    <w:rsid w:val="7B1D5512"/>
    <w:rsid w:val="7B1D660B"/>
    <w:rsid w:val="7B2D7082"/>
    <w:rsid w:val="7B3438A9"/>
    <w:rsid w:val="7B446F42"/>
    <w:rsid w:val="7B4C1F4E"/>
    <w:rsid w:val="7B5C65E2"/>
    <w:rsid w:val="7B5E2627"/>
    <w:rsid w:val="7B6334FC"/>
    <w:rsid w:val="7B6E1C39"/>
    <w:rsid w:val="7B6F4C09"/>
    <w:rsid w:val="7B81632F"/>
    <w:rsid w:val="7B823FE2"/>
    <w:rsid w:val="7B861193"/>
    <w:rsid w:val="7B8D17FF"/>
    <w:rsid w:val="7B98728E"/>
    <w:rsid w:val="7B9939D6"/>
    <w:rsid w:val="7BA07EF1"/>
    <w:rsid w:val="7BA41D67"/>
    <w:rsid w:val="7BAD120F"/>
    <w:rsid w:val="7BB37C24"/>
    <w:rsid w:val="7BB51DD7"/>
    <w:rsid w:val="7BB7737D"/>
    <w:rsid w:val="7BB92417"/>
    <w:rsid w:val="7BC21475"/>
    <w:rsid w:val="7BC938EC"/>
    <w:rsid w:val="7BDA728E"/>
    <w:rsid w:val="7BEE3984"/>
    <w:rsid w:val="7C1022A4"/>
    <w:rsid w:val="7C14789E"/>
    <w:rsid w:val="7C19668C"/>
    <w:rsid w:val="7C2C56D5"/>
    <w:rsid w:val="7C367925"/>
    <w:rsid w:val="7C374CF9"/>
    <w:rsid w:val="7C417667"/>
    <w:rsid w:val="7C4902F7"/>
    <w:rsid w:val="7C594C70"/>
    <w:rsid w:val="7C6B3426"/>
    <w:rsid w:val="7C6F2E58"/>
    <w:rsid w:val="7C743857"/>
    <w:rsid w:val="7C7E6484"/>
    <w:rsid w:val="7C9032AE"/>
    <w:rsid w:val="7C9C3669"/>
    <w:rsid w:val="7C9C5AF5"/>
    <w:rsid w:val="7CBA4FE2"/>
    <w:rsid w:val="7CC70442"/>
    <w:rsid w:val="7CD7047A"/>
    <w:rsid w:val="7CE15122"/>
    <w:rsid w:val="7CE7227B"/>
    <w:rsid w:val="7CE81B50"/>
    <w:rsid w:val="7CF77FE5"/>
    <w:rsid w:val="7CFB6BAC"/>
    <w:rsid w:val="7D132363"/>
    <w:rsid w:val="7D1A12A4"/>
    <w:rsid w:val="7D38050F"/>
    <w:rsid w:val="7D3F68A1"/>
    <w:rsid w:val="7D4071CA"/>
    <w:rsid w:val="7D574C31"/>
    <w:rsid w:val="7D603342"/>
    <w:rsid w:val="7D6C09D3"/>
    <w:rsid w:val="7D7157DB"/>
    <w:rsid w:val="7D756F1F"/>
    <w:rsid w:val="7D875780"/>
    <w:rsid w:val="7D8F5235"/>
    <w:rsid w:val="7D8F5794"/>
    <w:rsid w:val="7DA261A2"/>
    <w:rsid w:val="7DA35C21"/>
    <w:rsid w:val="7DA8331F"/>
    <w:rsid w:val="7DB008BF"/>
    <w:rsid w:val="7DB54128"/>
    <w:rsid w:val="7DBB1AC4"/>
    <w:rsid w:val="7DF06F0E"/>
    <w:rsid w:val="7E074257"/>
    <w:rsid w:val="7E1352F2"/>
    <w:rsid w:val="7E140867"/>
    <w:rsid w:val="7E1B0C31"/>
    <w:rsid w:val="7E22407F"/>
    <w:rsid w:val="7E2E35BF"/>
    <w:rsid w:val="7E307B8D"/>
    <w:rsid w:val="7E327526"/>
    <w:rsid w:val="7E3F1C43"/>
    <w:rsid w:val="7E490D14"/>
    <w:rsid w:val="7E4B7B7D"/>
    <w:rsid w:val="7E544334"/>
    <w:rsid w:val="7E755665"/>
    <w:rsid w:val="7E7A4D36"/>
    <w:rsid w:val="7E856124"/>
    <w:rsid w:val="7E9A1DC5"/>
    <w:rsid w:val="7E9B57CD"/>
    <w:rsid w:val="7EA1710A"/>
    <w:rsid w:val="7EA32343"/>
    <w:rsid w:val="7EB54B6D"/>
    <w:rsid w:val="7EB81375"/>
    <w:rsid w:val="7EBA6DD6"/>
    <w:rsid w:val="7ED938D3"/>
    <w:rsid w:val="7EDC4875"/>
    <w:rsid w:val="7EDF40D3"/>
    <w:rsid w:val="7EE54599"/>
    <w:rsid w:val="7EF173E1"/>
    <w:rsid w:val="7EF649F8"/>
    <w:rsid w:val="7F01339C"/>
    <w:rsid w:val="7F0204F0"/>
    <w:rsid w:val="7F101A04"/>
    <w:rsid w:val="7F142ECB"/>
    <w:rsid w:val="7F1A038D"/>
    <w:rsid w:val="7F262EA9"/>
    <w:rsid w:val="7F3E5CFA"/>
    <w:rsid w:val="7F4A6F63"/>
    <w:rsid w:val="7F51026F"/>
    <w:rsid w:val="7F5D4A77"/>
    <w:rsid w:val="7F5E5203"/>
    <w:rsid w:val="7F64728F"/>
    <w:rsid w:val="7F6D458E"/>
    <w:rsid w:val="7F713C2F"/>
    <w:rsid w:val="7F741DC0"/>
    <w:rsid w:val="7F743CA6"/>
    <w:rsid w:val="7F81449B"/>
    <w:rsid w:val="7F8503AD"/>
    <w:rsid w:val="7F9C15E8"/>
    <w:rsid w:val="7F9F508F"/>
    <w:rsid w:val="7FA1423F"/>
    <w:rsid w:val="7FAB5EC3"/>
    <w:rsid w:val="7FB23114"/>
    <w:rsid w:val="7FB36445"/>
    <w:rsid w:val="7FC20D7E"/>
    <w:rsid w:val="7FD8724E"/>
    <w:rsid w:val="7FDD7966"/>
    <w:rsid w:val="7FDE2466"/>
    <w:rsid w:val="7FDF6BD9"/>
    <w:rsid w:val="7FF24575"/>
    <w:rsid w:val="7FF30F37"/>
    <w:rsid w:val="7FF76C79"/>
    <w:rsid w:val="7FFA0518"/>
    <w:rsid w:val="7FFA7E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left"/>
      <w:outlineLvl w:val="0"/>
    </w:pPr>
    <w:rPr>
      <w:rFonts w:ascii="Calibri" w:hAnsi="Calibri"/>
      <w:b/>
      <w:sz w:val="28"/>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28">
    <w:name w:val="Default Paragraph Font"/>
    <w:unhideWhenUsed/>
    <w:qFormat/>
    <w:uiPriority w:val="1"/>
  </w:style>
  <w:style w:type="table" w:default="1" w:styleId="2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next w:val="1"/>
    <w:link w:val="43"/>
    <w:qFormat/>
    <w:uiPriority w:val="0"/>
    <w:pPr>
      <w:ind w:firstLine="420" w:firstLineChars="200"/>
    </w:pPr>
  </w:style>
  <w:style w:type="paragraph" w:styleId="7">
    <w:name w:val="toa heading"/>
    <w:basedOn w:val="1"/>
    <w:next w:val="1"/>
    <w:qFormat/>
    <w:uiPriority w:val="0"/>
    <w:pPr>
      <w:spacing w:before="120" w:line="360" w:lineRule="auto"/>
      <w:ind w:firstLine="480" w:firstLineChars="200"/>
    </w:pPr>
    <w:rPr>
      <w:rFonts w:ascii="Cambria" w:hAnsi="Cambria" w:eastAsia="宋体" w:cs="Times New Roman"/>
      <w:szCs w:val="24"/>
    </w:rPr>
  </w:style>
  <w:style w:type="paragraph" w:styleId="8">
    <w:name w:val="annotation text"/>
    <w:basedOn w:val="1"/>
    <w:qFormat/>
    <w:uiPriority w:val="0"/>
    <w:pPr>
      <w:jc w:val="left"/>
    </w:pPr>
  </w:style>
  <w:style w:type="paragraph" w:styleId="9">
    <w:name w:val="Body Text"/>
    <w:basedOn w:val="1"/>
    <w:next w:val="10"/>
    <w:qFormat/>
    <w:uiPriority w:val="0"/>
    <w:rPr>
      <w:rFonts w:ascii="Arial" w:hAnsi="Arial"/>
      <w:bCs/>
      <w:sz w:val="24"/>
    </w:rPr>
  </w:style>
  <w:style w:type="paragraph" w:styleId="10">
    <w:name w:val="Body Text First Indent"/>
    <w:basedOn w:val="9"/>
    <w:next w:val="11"/>
    <w:link w:val="44"/>
    <w:unhideWhenUsed/>
    <w:qFormat/>
    <w:uiPriority w:val="0"/>
    <w:pPr>
      <w:spacing w:after="120"/>
      <w:ind w:firstLine="420" w:firstLineChars="100"/>
    </w:pPr>
    <w:rPr>
      <w:rFonts w:ascii="Calibri" w:hAnsi="Calibri"/>
      <w:sz w:val="21"/>
      <w:szCs w:val="22"/>
    </w:rPr>
  </w:style>
  <w:style w:type="paragraph" w:styleId="11">
    <w:name w:val="toc 6"/>
    <w:basedOn w:val="1"/>
    <w:next w:val="1"/>
    <w:qFormat/>
    <w:uiPriority w:val="0"/>
    <w:pPr>
      <w:ind w:left="1400"/>
    </w:pPr>
    <w:rPr>
      <w:rFonts w:ascii="Calibri"/>
      <w:sz w:val="18"/>
      <w:szCs w:val="18"/>
    </w:rPr>
  </w:style>
  <w:style w:type="paragraph" w:styleId="12">
    <w:name w:val="Body Text Indent"/>
    <w:basedOn w:val="1"/>
    <w:next w:val="1"/>
    <w:qFormat/>
    <w:uiPriority w:val="0"/>
    <w:pPr>
      <w:spacing w:after="120"/>
      <w:ind w:left="420" w:leftChars="200"/>
    </w:pPr>
  </w:style>
  <w:style w:type="paragraph" w:styleId="13">
    <w:name w:val="Block Text"/>
    <w:basedOn w:val="1"/>
    <w:qFormat/>
    <w:uiPriority w:val="0"/>
    <w:pPr>
      <w:spacing w:before="156" w:beforeLines="50" w:after="156" w:afterLines="50"/>
      <w:ind w:left="426" w:right="-11" w:hanging="426" w:hangingChars="203"/>
    </w:pPr>
    <w:rPr>
      <w:rFonts w:eastAsia="楷体_GB2312"/>
    </w:rPr>
  </w:style>
  <w:style w:type="paragraph" w:styleId="14">
    <w:name w:val="Plain Text"/>
    <w:basedOn w:val="1"/>
    <w:next w:val="15"/>
    <w:qFormat/>
    <w:uiPriority w:val="0"/>
    <w:rPr>
      <w:rFonts w:ascii="宋体" w:hAnsi="Courier New"/>
      <w:szCs w:val="20"/>
    </w:rPr>
  </w:style>
  <w:style w:type="paragraph" w:styleId="15">
    <w:name w:val="toc 2"/>
    <w:basedOn w:val="1"/>
    <w:next w:val="1"/>
    <w:qFormat/>
    <w:uiPriority w:val="0"/>
    <w:pPr>
      <w:ind w:left="420" w:leftChars="200"/>
    </w:pPr>
    <w:rPr>
      <w:szCs w:val="20"/>
    </w:rPr>
  </w:style>
  <w:style w:type="paragraph" w:styleId="16">
    <w:name w:val="Date"/>
    <w:basedOn w:val="1"/>
    <w:next w:val="1"/>
    <w:qFormat/>
    <w:uiPriority w:val="0"/>
    <w:pPr>
      <w:ind w:left="100" w:leftChars="2500"/>
    </w:pPr>
    <w:rPr>
      <w:color w:val="000000"/>
      <w:sz w:val="24"/>
    </w:rPr>
  </w:style>
  <w:style w:type="paragraph" w:styleId="17">
    <w:name w:val="Body Text Indent 2"/>
    <w:basedOn w:val="1"/>
    <w:qFormat/>
    <w:uiPriority w:val="0"/>
    <w:pPr>
      <w:widowControl/>
      <w:spacing w:line="480" w:lineRule="atLeast"/>
      <w:ind w:firstLine="480"/>
    </w:pPr>
    <w:rPr>
      <w:rFonts w:ascii="宋体"/>
      <w:kern w:val="0"/>
      <w:sz w:val="24"/>
      <w:szCs w:val="20"/>
    </w:rPr>
  </w:style>
  <w:style w:type="paragraph" w:styleId="18">
    <w:name w:val="Balloon Text"/>
    <w:basedOn w:val="1"/>
    <w:link w:val="45"/>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0"/>
    <w:rPr>
      <w:szCs w:val="20"/>
    </w:rPr>
  </w:style>
  <w:style w:type="paragraph" w:styleId="22">
    <w:name w:val="Body Text Indent 3"/>
    <w:basedOn w:val="1"/>
    <w:qFormat/>
    <w:uiPriority w:val="0"/>
    <w:pPr>
      <w:autoSpaceDE w:val="0"/>
      <w:autoSpaceDN w:val="0"/>
      <w:spacing w:line="400" w:lineRule="atLeast"/>
      <w:ind w:firstLine="443" w:firstLineChars="200"/>
      <w:textAlignment w:val="bottom"/>
    </w:pPr>
    <w:rPr>
      <w:rFonts w:eastAsia="黑体"/>
      <w:color w:val="000000"/>
      <w:sz w:val="24"/>
    </w:rPr>
  </w:style>
  <w:style w:type="paragraph" w:styleId="23">
    <w:name w:val="Body Text 2"/>
    <w:basedOn w:val="1"/>
    <w:next w:val="9"/>
    <w:qFormat/>
    <w:uiPriority w:val="0"/>
  </w:style>
  <w:style w:type="paragraph" w:styleId="24">
    <w:name w:val="Normal (Web)"/>
    <w:basedOn w:val="1"/>
    <w:qFormat/>
    <w:uiPriority w:val="99"/>
    <w:pPr>
      <w:widowControl/>
      <w:spacing w:before="100" w:beforeAutospacing="1" w:after="100" w:afterAutospacing="1"/>
      <w:jc w:val="left"/>
    </w:pPr>
    <w:rPr>
      <w:rFonts w:ascii="Arial" w:hAnsi="Arial" w:cs="Arial"/>
      <w:color w:val="000000"/>
      <w:kern w:val="0"/>
      <w:sz w:val="18"/>
      <w:szCs w:val="18"/>
    </w:rPr>
  </w:style>
  <w:style w:type="paragraph" w:styleId="25">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page number"/>
    <w:qFormat/>
    <w:uiPriority w:val="0"/>
  </w:style>
  <w:style w:type="character" w:styleId="31">
    <w:name w:val="FollowedHyperlink"/>
    <w:qFormat/>
    <w:uiPriority w:val="0"/>
    <w:rPr>
      <w:color w:val="4A4A4A"/>
      <w:u w:val="none"/>
    </w:rPr>
  </w:style>
  <w:style w:type="character" w:styleId="32">
    <w:name w:val="Emphasis"/>
    <w:qFormat/>
    <w:uiPriority w:val="0"/>
  </w:style>
  <w:style w:type="character" w:styleId="33">
    <w:name w:val="HTML Definition"/>
    <w:qFormat/>
    <w:uiPriority w:val="0"/>
  </w:style>
  <w:style w:type="character" w:styleId="34">
    <w:name w:val="HTML Typewriter"/>
    <w:qFormat/>
    <w:uiPriority w:val="0"/>
    <w:rPr>
      <w:rFonts w:hint="default" w:ascii="monospace" w:hAnsi="monospace" w:eastAsia="monospace" w:cs="monospace"/>
      <w:sz w:val="20"/>
    </w:rPr>
  </w:style>
  <w:style w:type="character" w:styleId="35">
    <w:name w:val="HTML Acronym"/>
    <w:qFormat/>
    <w:uiPriority w:val="0"/>
  </w:style>
  <w:style w:type="character" w:styleId="36">
    <w:name w:val="HTML Variable"/>
    <w:qFormat/>
    <w:uiPriority w:val="0"/>
  </w:style>
  <w:style w:type="character" w:styleId="37">
    <w:name w:val="Hyperlink"/>
    <w:qFormat/>
    <w:uiPriority w:val="0"/>
    <w:rPr>
      <w:color w:val="0000FF"/>
      <w:u w:val="single"/>
    </w:rPr>
  </w:style>
  <w:style w:type="character" w:styleId="38">
    <w:name w:val="HTML Code"/>
    <w:qFormat/>
    <w:uiPriority w:val="0"/>
    <w:rPr>
      <w:rFonts w:hint="default" w:ascii="monospace" w:hAnsi="monospace" w:eastAsia="monospace" w:cs="monospace"/>
      <w:sz w:val="20"/>
    </w:rPr>
  </w:style>
  <w:style w:type="character" w:styleId="39">
    <w:name w:val="annotation reference"/>
    <w:qFormat/>
    <w:uiPriority w:val="0"/>
    <w:rPr>
      <w:sz w:val="21"/>
      <w:szCs w:val="21"/>
    </w:rPr>
  </w:style>
  <w:style w:type="character" w:styleId="40">
    <w:name w:val="HTML Cite"/>
    <w:qFormat/>
    <w:uiPriority w:val="0"/>
  </w:style>
  <w:style w:type="character" w:styleId="41">
    <w:name w:val="HTML Keyboard"/>
    <w:qFormat/>
    <w:uiPriority w:val="0"/>
    <w:rPr>
      <w:rFonts w:ascii="monospace" w:hAnsi="monospace" w:eastAsia="monospace" w:cs="monospace"/>
      <w:sz w:val="20"/>
    </w:rPr>
  </w:style>
  <w:style w:type="character" w:styleId="42">
    <w:name w:val="HTML Sample"/>
    <w:qFormat/>
    <w:uiPriority w:val="0"/>
    <w:rPr>
      <w:rFonts w:hint="default" w:ascii="monospace" w:hAnsi="monospace" w:eastAsia="monospace" w:cs="monospace"/>
    </w:rPr>
  </w:style>
  <w:style w:type="character" w:customStyle="1" w:styleId="43">
    <w:name w:val="正文缩进 Char"/>
    <w:link w:val="6"/>
    <w:qFormat/>
    <w:uiPriority w:val="0"/>
    <w:rPr>
      <w:kern w:val="2"/>
      <w:sz w:val="21"/>
      <w:szCs w:val="24"/>
    </w:rPr>
  </w:style>
  <w:style w:type="character" w:customStyle="1" w:styleId="44">
    <w:name w:val="正文首行缩进 Char"/>
    <w:link w:val="10"/>
    <w:qFormat/>
    <w:uiPriority w:val="0"/>
    <w:rPr>
      <w:rFonts w:ascii="Calibri" w:hAnsi="Calibri"/>
      <w:bCs/>
      <w:kern w:val="2"/>
      <w:sz w:val="21"/>
      <w:szCs w:val="22"/>
    </w:rPr>
  </w:style>
  <w:style w:type="character" w:customStyle="1" w:styleId="45">
    <w:name w:val="批注框文本 Char"/>
    <w:link w:val="18"/>
    <w:qFormat/>
    <w:uiPriority w:val="0"/>
    <w:rPr>
      <w:kern w:val="2"/>
      <w:sz w:val="18"/>
      <w:szCs w:val="18"/>
    </w:rPr>
  </w:style>
  <w:style w:type="paragraph" w:customStyle="1" w:styleId="46">
    <w:name w:val="表格文字"/>
    <w:basedOn w:val="47"/>
    <w:qFormat/>
    <w:uiPriority w:val="0"/>
    <w:pPr>
      <w:adjustRightInd w:val="0"/>
      <w:spacing w:line="420" w:lineRule="atLeast"/>
      <w:jc w:val="left"/>
      <w:textAlignment w:val="baseline"/>
    </w:pPr>
    <w:rPr>
      <w:rFonts w:ascii="Times New Roman" w:hAnsi="Times New Roman"/>
      <w:kern w:val="0"/>
      <w:szCs w:val="24"/>
    </w:rPr>
  </w:style>
  <w:style w:type="paragraph" w:customStyle="1" w:styleId="47">
    <w:name w:val="表格文字（两侧对齐）"/>
    <w:basedOn w:val="1"/>
    <w:qFormat/>
    <w:uiPriority w:val="0"/>
    <w:pPr>
      <w:widowControl w:val="0"/>
      <w:snapToGrid w:val="0"/>
    </w:pPr>
    <w:rPr>
      <w:rFonts w:ascii="Times New Roman" w:hAnsi="Times New Roman" w:cs="Times New Roman"/>
      <w:sz w:val="20"/>
      <w:szCs w:val="20"/>
    </w:rPr>
  </w:style>
  <w:style w:type="character" w:customStyle="1" w:styleId="48">
    <w:name w:val="font41"/>
    <w:qFormat/>
    <w:uiPriority w:val="0"/>
    <w:rPr>
      <w:rFonts w:hint="eastAsia" w:ascii="宋体" w:hAnsi="宋体" w:eastAsia="宋体" w:cs="宋体"/>
      <w:color w:val="000000"/>
      <w:sz w:val="22"/>
      <w:szCs w:val="22"/>
      <w:u w:val="none"/>
    </w:rPr>
  </w:style>
  <w:style w:type="character" w:customStyle="1" w:styleId="49">
    <w:name w:val="font11"/>
    <w:qFormat/>
    <w:uiPriority w:val="0"/>
    <w:rPr>
      <w:rFonts w:ascii="Calibri" w:hAnsi="Calibri" w:cs="Calibri"/>
      <w:color w:val="000000"/>
      <w:sz w:val="21"/>
      <w:szCs w:val="21"/>
      <w:u w:val="none"/>
    </w:rPr>
  </w:style>
  <w:style w:type="character" w:customStyle="1" w:styleId="50">
    <w:name w:val="font01"/>
    <w:qFormat/>
    <w:uiPriority w:val="0"/>
    <w:rPr>
      <w:rFonts w:hint="eastAsia" w:ascii="宋体" w:hAnsi="宋体" w:eastAsia="宋体" w:cs="宋体"/>
      <w:color w:val="000000"/>
      <w:sz w:val="21"/>
      <w:szCs w:val="21"/>
      <w:u w:val="none"/>
    </w:rPr>
  </w:style>
  <w:style w:type="character" w:customStyle="1" w:styleId="51">
    <w:name w:val="font21"/>
    <w:qFormat/>
    <w:uiPriority w:val="0"/>
    <w:rPr>
      <w:rFonts w:ascii="Calibri" w:hAnsi="Calibri" w:cs="Calibri"/>
      <w:color w:val="000000"/>
      <w:sz w:val="22"/>
      <w:szCs w:val="22"/>
      <w:u w:val="none"/>
    </w:rPr>
  </w:style>
  <w:style w:type="paragraph" w:customStyle="1" w:styleId="52">
    <w:name w:val="BodyTextIndent"/>
    <w:basedOn w:val="1"/>
    <w:qFormat/>
    <w:uiPriority w:val="0"/>
    <w:pPr>
      <w:spacing w:after="120"/>
      <w:ind w:left="420" w:leftChars="200"/>
      <w:textAlignment w:val="baseline"/>
    </w:pPr>
    <w:rPr>
      <w:color w:val="000000"/>
    </w:rPr>
  </w:style>
  <w:style w:type="paragraph" w:styleId="53">
    <w:name w:val="List Paragraph"/>
    <w:basedOn w:val="1"/>
    <w:qFormat/>
    <w:uiPriority w:val="0"/>
    <w:pPr>
      <w:ind w:firstLine="420" w:firstLineChars="200"/>
    </w:pPr>
    <w:rPr>
      <w:rFonts w:ascii="Calibri" w:hAnsi="Calibri"/>
      <w:szCs w:val="22"/>
    </w:rPr>
  </w:style>
  <w:style w:type="paragraph" w:customStyle="1" w:styleId="54">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55">
    <w:name w:val="Table Paragraph"/>
    <w:basedOn w:val="1"/>
    <w:qFormat/>
    <w:uiPriority w:val="1"/>
    <w:rPr>
      <w:rFonts w:ascii="宋体" w:hAnsi="宋体" w:cs="宋体"/>
      <w:lang w:val="zh-CN" w:bidi="zh-CN"/>
    </w:rPr>
  </w:style>
  <w:style w:type="paragraph" w:customStyle="1" w:styleId="56">
    <w:name w:val="纯文本1"/>
    <w:qFormat/>
    <w:uiPriority w:val="0"/>
    <w:rPr>
      <w:rFonts w:hint="eastAsia" w:ascii="宋体" w:hAnsi="Courier New" w:eastAsia="宋体" w:cs="Times New Roman"/>
      <w:kern w:val="2"/>
      <w:sz w:val="21"/>
      <w:lang w:val="en-US" w:eastAsia="zh-CN" w:bidi="ar-SA"/>
    </w:rPr>
  </w:style>
  <w:style w:type="paragraph" w:customStyle="1" w:styleId="57">
    <w:name w:val="zw1"/>
    <w:basedOn w:val="1"/>
    <w:qFormat/>
    <w:uiPriority w:val="0"/>
    <w:pPr>
      <w:spacing w:line="360" w:lineRule="auto"/>
      <w:ind w:firstLine="560" w:firstLineChars="200"/>
    </w:pPr>
    <w:rPr>
      <w:sz w:val="28"/>
      <w:szCs w:val="20"/>
    </w:rPr>
  </w:style>
  <w:style w:type="paragraph" w:customStyle="1" w:styleId="58">
    <w:name w:val="xl55"/>
    <w:basedOn w:val="1"/>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59">
    <w:name w:val="正文缩进2"/>
    <w:basedOn w:val="1"/>
    <w:next w:val="1"/>
    <w:qFormat/>
    <w:uiPriority w:val="0"/>
    <w:pPr>
      <w:spacing w:line="500" w:lineRule="exact"/>
      <w:ind w:firstLine="567"/>
    </w:pPr>
    <w:rPr>
      <w:sz w:val="24"/>
      <w:szCs w:val="20"/>
    </w:rPr>
  </w:style>
  <w:style w:type="paragraph" w:customStyle="1" w:styleId="60">
    <w:name w:val="BodyText1I2"/>
    <w:basedOn w:val="52"/>
    <w:qFormat/>
    <w:uiPriority w:val="0"/>
    <w:pPr>
      <w:ind w:firstLine="420" w:firstLineChars="200"/>
    </w:pPr>
  </w:style>
  <w:style w:type="paragraph" w:customStyle="1" w:styleId="61">
    <w:name w:val="正文首行缩进 21"/>
    <w:basedOn w:val="1"/>
    <w:qFormat/>
    <w:uiPriority w:val="0"/>
    <w:pPr>
      <w:spacing w:after="120"/>
      <w:ind w:left="420" w:leftChars="200" w:firstLine="420"/>
    </w:pPr>
    <w:rPr>
      <w:rFonts w:cs="宋体"/>
      <w:color w:val="000000"/>
      <w:sz w:val="21"/>
      <w:szCs w:val="21"/>
    </w:rPr>
  </w:style>
  <w:style w:type="paragraph" w:customStyle="1" w:styleId="62">
    <w:name w:val="列出段落1"/>
    <w:basedOn w:val="1"/>
    <w:qFormat/>
    <w:uiPriority w:val="0"/>
    <w:pPr>
      <w:ind w:firstLine="420" w:firstLineChars="200"/>
    </w:pPr>
    <w:rPr>
      <w:rFonts w:cs="Arial"/>
    </w:rPr>
  </w:style>
  <w:style w:type="paragraph" w:customStyle="1" w:styleId="63">
    <w:name w:val="表内文字"/>
    <w:basedOn w:val="1"/>
    <w:qFormat/>
    <w:uiPriority w:val="0"/>
    <w:pPr>
      <w:spacing w:line="500" w:lineRule="atLeast"/>
      <w:jc w:val="center"/>
    </w:pPr>
    <w:rPr>
      <w:rFonts w:ascii="Arial" w:hAnsi="Arial" w:eastAsia="楷体_GB2312" w:cs="Arial"/>
      <w:sz w:val="28"/>
    </w:rPr>
  </w:style>
  <w:style w:type="paragraph" w:customStyle="1" w:styleId="64">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65">
    <w:name w:val="Default"/>
    <w:basedOn w:val="1"/>
    <w:qFormat/>
    <w:uiPriority w:val="0"/>
    <w:pPr>
      <w:autoSpaceDE w:val="0"/>
      <w:autoSpaceDN w:val="0"/>
      <w:adjustRightInd w:val="0"/>
      <w:jc w:val="left"/>
    </w:pPr>
    <w:rPr>
      <w:rFonts w:ascii="宋体" w:hAnsi="宋体" w:cs="宋体"/>
      <w:color w:val="000000"/>
      <w:kern w:val="0"/>
      <w:sz w:val="24"/>
      <w:szCs w:val="24"/>
    </w:rPr>
  </w:style>
  <w:style w:type="paragraph" w:customStyle="1" w:styleId="66">
    <w:name w:val="Body text|1"/>
    <w:basedOn w:val="1"/>
    <w:qFormat/>
    <w:uiPriority w:val="0"/>
    <w:pPr>
      <w:widowControl w:val="0"/>
      <w:shd w:val="clear" w:color="auto" w:fill="auto"/>
      <w:spacing w:after="100"/>
    </w:pPr>
    <w:rPr>
      <w:rFonts w:ascii="宋体" w:hAnsi="宋体" w:eastAsia="宋体" w:cs="宋体"/>
      <w:sz w:val="22"/>
      <w:szCs w:val="22"/>
      <w:u w:val="none"/>
      <w:shd w:val="clear" w:color="auto" w:fill="auto"/>
      <w:lang w:val="zh-TW" w:eastAsia="zh-TW" w:bidi="zh-TW"/>
    </w:rPr>
  </w:style>
  <w:style w:type="paragraph" w:customStyle="1" w:styleId="67">
    <w:name w:val="1"/>
    <w:basedOn w:val="1"/>
    <w:next w:val="10"/>
    <w:qFormat/>
    <w:uiPriority w:val="0"/>
    <w:rPr>
      <w:szCs w:val="24"/>
    </w:rPr>
  </w:style>
  <w:style w:type="paragraph" w:customStyle="1" w:styleId="68">
    <w:name w:val="BodyText1I"/>
    <w:basedOn w:val="69"/>
    <w:qFormat/>
    <w:uiPriority w:val="0"/>
    <w:pPr>
      <w:ind w:firstLine="420" w:firstLineChars="100"/>
      <w:jc w:val="left"/>
    </w:pPr>
    <w:rPr>
      <w:kern w:val="0"/>
      <w:sz w:val="20"/>
      <w:szCs w:val="20"/>
    </w:rPr>
  </w:style>
  <w:style w:type="paragraph" w:customStyle="1" w:styleId="69">
    <w:name w:val="BodyText"/>
    <w:basedOn w:val="1"/>
    <w:next w:val="68"/>
    <w:qFormat/>
    <w:uiPriority w:val="0"/>
    <w:pPr>
      <w:spacing w:after="120"/>
    </w:pPr>
  </w:style>
  <w:style w:type="character" w:customStyle="1" w:styleId="70">
    <w:name w:val="NormalCharacter"/>
    <w:qFormat/>
    <w:uiPriority w:val="0"/>
  </w:style>
  <w:style w:type="paragraph" w:customStyle="1" w:styleId="71">
    <w:name w:val="WPSOffice手动目录 1"/>
    <w:qFormat/>
    <w:uiPriority w:val="0"/>
    <w:rPr>
      <w:rFonts w:ascii="Times New Roman" w:hAnsi="Times New Roman" w:eastAsia="宋体" w:cs="Times New Roman"/>
      <w:lang w:val="en-US" w:eastAsia="zh-CN" w:bidi="ar-SA"/>
    </w:rPr>
  </w:style>
  <w:style w:type="paragraph" w:customStyle="1" w:styleId="72">
    <w:name w:val="WPSOffice手动目录 2"/>
    <w:qFormat/>
    <w:uiPriority w:val="0"/>
    <w:pPr>
      <w:ind w:leftChars="200"/>
    </w:pPr>
    <w:rPr>
      <w:rFonts w:ascii="Times New Roman" w:hAnsi="Times New Roman" w:eastAsia="宋体" w:cs="Times New Roman"/>
      <w:lang w:val="en-US" w:eastAsia="zh-CN" w:bidi="ar-SA"/>
    </w:rPr>
  </w:style>
  <w:style w:type="character" w:customStyle="1" w:styleId="73">
    <w:name w:val="font31"/>
    <w:basedOn w:val="28"/>
    <w:qFormat/>
    <w:uiPriority w:val="0"/>
    <w:rPr>
      <w:rFonts w:hint="eastAsia" w:ascii="等线" w:hAnsi="等线" w:eastAsia="等线" w:cs="等线"/>
      <w:color w:val="000000"/>
      <w:sz w:val="22"/>
      <w:szCs w:val="22"/>
      <w:u w:val="none"/>
    </w:rPr>
  </w:style>
  <w:style w:type="paragraph" w:customStyle="1" w:styleId="74">
    <w:name w:val="Table Text"/>
    <w:basedOn w:val="1"/>
    <w:semiHidden/>
    <w:qFormat/>
    <w:uiPriority w:val="0"/>
    <w:rPr>
      <w:rFonts w:ascii="宋体" w:hAnsi="宋体" w:eastAsia="宋体" w:cs="宋体"/>
      <w:sz w:val="24"/>
      <w:szCs w:val="24"/>
    </w:rPr>
  </w:style>
  <w:style w:type="table" w:customStyle="1" w:styleId="75">
    <w:name w:val="Table Normal"/>
    <w:semiHidden/>
    <w:unhideWhenUsed/>
    <w:qFormat/>
    <w:uiPriority w:val="0"/>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76">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77">
    <w:name w:val="[Normal]"/>
    <w:qFormat/>
    <w:uiPriority w:val="0"/>
    <w:rPr>
      <w:rFonts w:ascii="宋体" w:hAnsi="宋体" w:eastAsia="宋体" w:cs="Times New Roman"/>
      <w:sz w:val="24"/>
      <w:szCs w:val="22"/>
      <w:lang w:val="zh-CN" w:eastAsia="zh-CN" w:bidi="ar-SA"/>
    </w:rPr>
  </w:style>
  <w:style w:type="paragraph" w:customStyle="1" w:styleId="78">
    <w:name w:val="样式 正文文本"/>
    <w:basedOn w:val="1"/>
    <w:qFormat/>
    <w:uiPriority w:val="0"/>
    <w:pPr>
      <w:autoSpaceDE w:val="0"/>
      <w:autoSpaceDN w:val="0"/>
      <w:adjustRightInd w:val="0"/>
      <w:snapToGrid w:val="0"/>
      <w:spacing w:line="400" w:lineRule="exact"/>
      <w:ind w:firstLine="200" w:firstLineChars="200"/>
      <w:jc w:val="left"/>
    </w:pPr>
    <w:rPr>
      <w:rFonts w:ascii="Arial" w:hAnsi="Arial" w:cs="宋体"/>
      <w:color w:val="000000"/>
      <w:kern w:val="0"/>
      <w:sz w:val="24"/>
      <w:szCs w:val="20"/>
    </w:rPr>
  </w:style>
  <w:style w:type="paragraph" w:customStyle="1" w:styleId="79">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0">
    <w:name w:val="正文2"/>
    <w:basedOn w:val="1"/>
    <w:qFormat/>
    <w:uiPriority w:val="0"/>
    <w:pPr>
      <w:widowControl/>
      <w:autoSpaceDE w:val="0"/>
      <w:autoSpaceDN w:val="0"/>
      <w:adjustRightInd w:val="0"/>
      <w:spacing w:after="160" w:line="360" w:lineRule="auto"/>
      <w:ind w:firstLine="200" w:firstLineChars="200"/>
      <w:jc w:val="left"/>
    </w:pPr>
    <w:rPr>
      <w:rFonts w:ascii="Verdana" w:hAnsi="Verdana" w:eastAsia="黑体" w:cs="宋体"/>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81</Pages>
  <Words>38165</Words>
  <Characters>39372</Characters>
  <Lines>593</Lines>
  <Paragraphs>167</Paragraphs>
  <TotalTime>107</TotalTime>
  <ScaleCrop>false</ScaleCrop>
  <LinksUpToDate>false</LinksUpToDate>
  <CharactersWithSpaces>40709</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2020-06-11T01:16:00Z</dcterms:created>
  <dc:creator>Arthur</dc:creator>
  <cp:lastModifiedBy>Lic</cp:lastModifiedBy>
  <cp:lastPrinted>2025-09-30T02:31:00Z</cp:lastPrinted>
  <dcterms:modified xsi:type="dcterms:W3CDTF">2025-09-30T03:07:04Z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159A07E3C2664F8B96DFDE0BADDCB6F1_13</vt:lpwstr>
  </property>
  <property fmtid="{D5CDD505-2E9C-101B-9397-08002B2CF9AE}" pid="4" name="KSOTemplateDocerSaveRecord">
    <vt:lpwstr>eyJoZGlkIjoiMDY3MzU5NGNlMjM5NjA5NGFkYWZmOWMwMjE2N2VhNjgiLCJ1c2VySWQiOiIyOTYwOTg5NzYifQ==</vt:lpwstr>
  </property>
</Properties>
</file>