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snapToGrid/>
        <w:spacing w:after="0" w:line="440" w:lineRule="exact"/>
        <w:jc w:val="center"/>
        <w:rPr>
          <w:rFonts w:ascii="仿宋" w:hAnsi="仿宋" w:eastAsia="仿宋" w:cs="仿宋"/>
          <w:b/>
          <w:bCs/>
          <w:kern w:val="10"/>
          <w:sz w:val="24"/>
          <w:szCs w:val="24"/>
          <w:lang w:val="zh-CN"/>
        </w:rPr>
      </w:pPr>
    </w:p>
    <w:p>
      <w:pPr>
        <w:widowControl w:val="0"/>
        <w:autoSpaceDE w:val="0"/>
        <w:autoSpaceDN w:val="0"/>
        <w:snapToGrid/>
        <w:spacing w:after="0" w:line="440" w:lineRule="exact"/>
        <w:jc w:val="center"/>
        <w:rPr>
          <w:rFonts w:ascii="仿宋" w:hAnsi="仿宋" w:eastAsia="仿宋" w:cs="仿宋"/>
          <w:b/>
          <w:bCs/>
          <w:kern w:val="10"/>
          <w:sz w:val="32"/>
          <w:szCs w:val="32"/>
          <w:lang w:val="zh-CN"/>
        </w:rPr>
      </w:pPr>
      <w:r>
        <w:rPr>
          <w:rFonts w:hint="eastAsia" w:ascii="仿宋" w:hAnsi="仿宋" w:eastAsia="仿宋" w:cs="仿宋"/>
          <w:b/>
          <w:bCs/>
          <w:kern w:val="10"/>
          <w:sz w:val="32"/>
          <w:szCs w:val="32"/>
          <w:lang w:val="zh-CN"/>
        </w:rPr>
        <w:t>编</w:t>
      </w:r>
      <w:r>
        <w:rPr>
          <w:rFonts w:hint="eastAsia" w:ascii="仿宋" w:hAnsi="仿宋" w:eastAsia="仿宋" w:cs="仿宋"/>
          <w:b/>
          <w:bCs/>
          <w:kern w:val="10"/>
          <w:sz w:val="32"/>
          <w:szCs w:val="32"/>
        </w:rPr>
        <w:t xml:space="preserve"> </w:t>
      </w:r>
      <w:r>
        <w:rPr>
          <w:rFonts w:hint="eastAsia" w:ascii="仿宋" w:hAnsi="仿宋" w:eastAsia="仿宋" w:cs="仿宋"/>
          <w:b/>
          <w:bCs/>
          <w:kern w:val="10"/>
          <w:sz w:val="32"/>
          <w:szCs w:val="32"/>
          <w:lang w:val="zh-CN"/>
        </w:rPr>
        <w:t>制</w:t>
      </w:r>
      <w:r>
        <w:rPr>
          <w:rFonts w:hint="eastAsia" w:ascii="仿宋" w:hAnsi="仿宋" w:eastAsia="仿宋" w:cs="仿宋"/>
          <w:b/>
          <w:bCs/>
          <w:kern w:val="10"/>
          <w:sz w:val="32"/>
          <w:szCs w:val="32"/>
        </w:rPr>
        <w:t xml:space="preserve"> </w:t>
      </w:r>
      <w:r>
        <w:rPr>
          <w:rFonts w:hint="eastAsia" w:ascii="仿宋" w:hAnsi="仿宋" w:eastAsia="仿宋" w:cs="仿宋"/>
          <w:b/>
          <w:bCs/>
          <w:kern w:val="10"/>
          <w:sz w:val="32"/>
          <w:szCs w:val="32"/>
          <w:lang w:val="zh-CN"/>
        </w:rPr>
        <w:t>说</w:t>
      </w:r>
      <w:r>
        <w:rPr>
          <w:rFonts w:hint="eastAsia" w:ascii="仿宋" w:hAnsi="仿宋" w:eastAsia="仿宋" w:cs="仿宋"/>
          <w:b/>
          <w:bCs/>
          <w:kern w:val="10"/>
          <w:sz w:val="32"/>
          <w:szCs w:val="32"/>
        </w:rPr>
        <w:t xml:space="preserve"> </w:t>
      </w:r>
      <w:r>
        <w:rPr>
          <w:rFonts w:hint="eastAsia" w:ascii="仿宋" w:hAnsi="仿宋" w:eastAsia="仿宋" w:cs="仿宋"/>
          <w:b/>
          <w:bCs/>
          <w:kern w:val="10"/>
          <w:sz w:val="32"/>
          <w:szCs w:val="32"/>
          <w:lang w:val="zh-CN"/>
        </w:rPr>
        <w:t>明</w:t>
      </w:r>
    </w:p>
    <w:p>
      <w:pPr>
        <w:widowControl w:val="0"/>
        <w:autoSpaceDE w:val="0"/>
        <w:autoSpaceDN w:val="0"/>
        <w:snapToGrid/>
        <w:spacing w:after="0" w:line="440" w:lineRule="exact"/>
        <w:jc w:val="center"/>
        <w:rPr>
          <w:rFonts w:ascii="仿宋" w:hAnsi="仿宋" w:eastAsia="仿宋" w:cs="仿宋"/>
          <w:b/>
          <w:bCs/>
          <w:kern w:val="10"/>
          <w:sz w:val="24"/>
          <w:szCs w:val="24"/>
          <w:lang w:val="zh-CN"/>
        </w:rPr>
      </w:pPr>
    </w:p>
    <w:p>
      <w:pPr>
        <w:numPr>
          <w:ilvl w:val="0"/>
          <w:numId w:val="1"/>
        </w:numPr>
        <w:spacing w:line="440" w:lineRule="exact"/>
        <w:rPr>
          <w:rFonts w:ascii="仿宋" w:hAnsi="仿宋" w:eastAsia="仿宋" w:cs="仿宋"/>
          <w:b/>
          <w:sz w:val="24"/>
          <w:szCs w:val="24"/>
          <w:lang w:val="zh-CN"/>
        </w:rPr>
      </w:pPr>
      <w:r>
        <w:rPr>
          <w:rFonts w:hint="eastAsia" w:ascii="仿宋" w:hAnsi="仿宋" w:eastAsia="仿宋" w:cs="仿宋"/>
          <w:b/>
          <w:sz w:val="24"/>
          <w:szCs w:val="24"/>
          <w:lang w:val="zh-CN"/>
        </w:rPr>
        <w:t>工程概况:</w:t>
      </w:r>
      <w:bookmarkStart w:id="0" w:name="_GoBack"/>
      <w:bookmarkEnd w:id="0"/>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1.建设工程</w:t>
      </w:r>
      <w:r>
        <w:rPr>
          <w:rFonts w:hint="eastAsia" w:ascii="仿宋" w:hAnsi="仿宋" w:eastAsia="仿宋" w:cs="仿宋"/>
          <w:color w:val="000000"/>
          <w:sz w:val="24"/>
          <w:szCs w:val="24"/>
          <w:lang w:val="zh-CN"/>
        </w:rPr>
        <w:t>内容</w:t>
      </w:r>
      <w:r>
        <w:rPr>
          <w:rFonts w:hint="eastAsia" w:ascii="仿宋" w:hAnsi="仿宋" w:eastAsia="仿宋" w:cs="仿宋"/>
          <w:sz w:val="24"/>
          <w:szCs w:val="24"/>
          <w:lang w:val="zh-CN"/>
        </w:rPr>
        <w:t>：昆阳镇城东新区纬十三路（经五路-万鳌公路）工程，工程主要内容为：道路、给排水、交通工程等，详见施工图。</w:t>
      </w:r>
    </w:p>
    <w:p>
      <w:pPr>
        <w:spacing w:line="440" w:lineRule="exact"/>
        <w:rPr>
          <w:rFonts w:ascii="仿宋" w:hAnsi="仿宋" w:eastAsia="仿宋" w:cs="仿宋"/>
          <w:sz w:val="24"/>
          <w:szCs w:val="24"/>
        </w:rPr>
      </w:pPr>
      <w:r>
        <w:rPr>
          <w:rFonts w:hint="eastAsia" w:ascii="仿宋" w:hAnsi="仿宋" w:eastAsia="仿宋" w:cs="仿宋"/>
          <w:sz w:val="24"/>
          <w:szCs w:val="24"/>
          <w:lang w:val="zh-CN"/>
        </w:rPr>
        <w:t>2.招标工期：见招标文件。</w:t>
      </w:r>
    </w:p>
    <w:p>
      <w:pPr>
        <w:spacing w:line="440" w:lineRule="exact"/>
        <w:rPr>
          <w:rFonts w:hint="eastAsia" w:ascii="仿宋" w:hAnsi="仿宋" w:eastAsia="仿宋" w:cs="仿宋"/>
          <w:sz w:val="24"/>
          <w:szCs w:val="24"/>
          <w:highlight w:val="yellow"/>
          <w:lang w:val="zh-CN"/>
        </w:rPr>
      </w:pPr>
      <w:r>
        <w:rPr>
          <w:rFonts w:hint="eastAsia" w:ascii="仿宋" w:hAnsi="仿宋" w:eastAsia="仿宋" w:cs="仿宋"/>
          <w:sz w:val="24"/>
          <w:szCs w:val="24"/>
          <w:highlight w:val="yellow"/>
          <w:lang w:val="zh-CN" w:eastAsia="zh-CN"/>
        </w:rPr>
        <w:t>二、</w:t>
      </w:r>
      <w:r>
        <w:rPr>
          <w:rFonts w:hint="eastAsia" w:ascii="仿宋" w:hAnsi="仿宋" w:eastAsia="仿宋" w:cs="仿宋"/>
          <w:sz w:val="24"/>
          <w:szCs w:val="24"/>
          <w:highlight w:val="yellow"/>
          <w:lang w:val="zh-CN"/>
        </w:rPr>
        <w:t>.工程招标范围：</w:t>
      </w:r>
    </w:p>
    <w:p>
      <w:pPr>
        <w:keepNext w:val="0"/>
        <w:keepLines w:val="0"/>
        <w:pageBreakBefore w:val="0"/>
        <w:widowControl w:val="0"/>
        <w:numPr>
          <w:ilvl w:val="0"/>
          <w:numId w:val="2"/>
        </w:numPr>
        <w:tabs>
          <w:tab w:val="left" w:pos="3060"/>
          <w:tab w:val="left" w:pos="9180"/>
          <w:tab w:val="left" w:pos="9360"/>
        </w:tabs>
        <w:kinsoku/>
        <w:wordWrap/>
        <w:overflowPunct/>
        <w:topLinePunct w:val="0"/>
        <w:autoSpaceDE/>
        <w:autoSpaceDN/>
        <w:bidi w:val="0"/>
        <w:adjustRightInd/>
        <w:snapToGrid/>
        <w:spacing w:line="360" w:lineRule="auto"/>
        <w:ind w:left="403" w:leftChars="0" w:right="376" w:rightChars="171"/>
        <w:textAlignment w:val="auto"/>
        <w:rPr>
          <w:rFonts w:hint="eastAsia" w:ascii="宋体" w:hAnsi="宋体" w:eastAsia="宋体" w:cs="宋体"/>
          <w:sz w:val="22"/>
          <w:szCs w:val="22"/>
          <w:highlight w:val="yellow"/>
          <w:lang w:eastAsia="zh-CN"/>
        </w:rPr>
      </w:pPr>
      <w:r>
        <w:rPr>
          <w:rFonts w:hint="eastAsia" w:ascii="宋体" w:hAnsi="宋体" w:eastAsia="宋体" w:cs="宋体"/>
          <w:b/>
          <w:sz w:val="22"/>
          <w:szCs w:val="22"/>
          <w:highlight w:val="yellow"/>
        </w:rPr>
        <w:t>道路工程：</w:t>
      </w:r>
      <w:r>
        <w:rPr>
          <w:rFonts w:hint="eastAsia" w:ascii="宋体" w:hAnsi="宋体" w:eastAsia="宋体" w:cs="宋体"/>
          <w:sz w:val="22"/>
          <w:szCs w:val="22"/>
          <w:highlight w:val="yellow"/>
        </w:rPr>
        <w:t>K</w:t>
      </w:r>
      <w:r>
        <w:rPr>
          <w:rFonts w:hint="eastAsia" w:ascii="宋体" w:hAnsi="宋体" w:eastAsia="宋体" w:cs="宋体"/>
          <w:sz w:val="22"/>
          <w:szCs w:val="22"/>
          <w:highlight w:val="yellow"/>
          <w:lang w:val="en-US" w:eastAsia="zh-CN"/>
        </w:rPr>
        <w:t>0+082.344</w:t>
      </w:r>
      <w:r>
        <w:rPr>
          <w:rFonts w:hint="eastAsia" w:ascii="宋体" w:hAnsi="宋体" w:eastAsia="宋体" w:cs="宋体"/>
          <w:sz w:val="22"/>
          <w:szCs w:val="22"/>
          <w:highlight w:val="yellow"/>
        </w:rPr>
        <w:t>-K</w:t>
      </w:r>
      <w:r>
        <w:rPr>
          <w:rFonts w:hint="eastAsia" w:ascii="宋体" w:hAnsi="宋体" w:eastAsia="宋体" w:cs="宋体"/>
          <w:sz w:val="22"/>
          <w:szCs w:val="22"/>
          <w:highlight w:val="yellow"/>
          <w:lang w:val="en-US" w:eastAsia="zh-CN"/>
        </w:rPr>
        <w:t>0</w:t>
      </w:r>
      <w:r>
        <w:rPr>
          <w:rFonts w:hint="eastAsia" w:ascii="宋体" w:hAnsi="宋体" w:eastAsia="宋体" w:cs="宋体"/>
          <w:sz w:val="22"/>
          <w:szCs w:val="22"/>
          <w:highlight w:val="yellow"/>
        </w:rPr>
        <w:t>+</w:t>
      </w:r>
      <w:r>
        <w:rPr>
          <w:rFonts w:hint="eastAsia" w:ascii="宋体" w:hAnsi="宋体" w:eastAsia="宋体" w:cs="宋体"/>
          <w:sz w:val="22"/>
          <w:szCs w:val="22"/>
          <w:highlight w:val="yellow"/>
          <w:lang w:val="en-US" w:eastAsia="zh-CN"/>
        </w:rPr>
        <w:t>581.537</w:t>
      </w:r>
      <w:r>
        <w:rPr>
          <w:rFonts w:hint="eastAsia" w:ascii="宋体" w:hAnsi="宋体" w:eastAsia="宋体" w:cs="宋体"/>
          <w:sz w:val="22"/>
          <w:szCs w:val="22"/>
          <w:highlight w:val="yellow"/>
        </w:rPr>
        <w:t>道路线线拉顺直</w:t>
      </w:r>
      <w:r>
        <w:rPr>
          <w:rFonts w:hint="eastAsia" w:ascii="宋体" w:hAnsi="宋体" w:eastAsia="宋体" w:cs="宋体"/>
          <w:sz w:val="22"/>
          <w:szCs w:val="22"/>
          <w:highlight w:val="yellow"/>
          <w:lang w:eastAsia="zh-CN"/>
        </w:rPr>
        <w:t>；</w:t>
      </w:r>
    </w:p>
    <w:p>
      <w:pPr>
        <w:keepNext w:val="0"/>
        <w:keepLines w:val="0"/>
        <w:pageBreakBefore w:val="0"/>
        <w:widowControl w:val="0"/>
        <w:numPr>
          <w:ilvl w:val="0"/>
          <w:numId w:val="2"/>
        </w:numPr>
        <w:tabs>
          <w:tab w:val="left" w:pos="3060"/>
          <w:tab w:val="left" w:pos="9180"/>
          <w:tab w:val="left" w:pos="9360"/>
        </w:tabs>
        <w:kinsoku/>
        <w:wordWrap/>
        <w:overflowPunct/>
        <w:topLinePunct w:val="0"/>
        <w:autoSpaceDE/>
        <w:autoSpaceDN/>
        <w:bidi w:val="0"/>
        <w:adjustRightInd/>
        <w:snapToGrid/>
        <w:spacing w:line="360" w:lineRule="auto"/>
        <w:ind w:left="403" w:leftChars="0" w:right="376" w:rightChars="171"/>
        <w:textAlignment w:val="auto"/>
        <w:rPr>
          <w:rFonts w:hint="eastAsia" w:ascii="宋体" w:hAnsi="宋体" w:eastAsia="宋体" w:cs="宋体"/>
          <w:sz w:val="22"/>
          <w:szCs w:val="22"/>
          <w:highlight w:val="yellow"/>
          <w:lang w:eastAsia="zh-CN"/>
        </w:rPr>
      </w:pPr>
      <w:r>
        <w:rPr>
          <w:rFonts w:hint="eastAsia" w:ascii="宋体" w:hAnsi="宋体" w:eastAsia="宋体" w:cs="宋体"/>
          <w:b/>
          <w:bCs/>
          <w:sz w:val="22"/>
          <w:szCs w:val="22"/>
          <w:highlight w:val="yellow"/>
        </w:rPr>
        <w:t>雨水：</w:t>
      </w:r>
      <w:r>
        <w:rPr>
          <w:rFonts w:hint="eastAsia" w:ascii="宋体" w:hAnsi="宋体" w:eastAsia="宋体" w:cs="宋体"/>
          <w:sz w:val="22"/>
          <w:szCs w:val="22"/>
          <w:highlight w:val="yellow"/>
        </w:rPr>
        <w:t>Y1（含井）-Y</w:t>
      </w:r>
      <w:r>
        <w:rPr>
          <w:rFonts w:hint="eastAsia" w:ascii="宋体" w:hAnsi="宋体" w:eastAsia="宋体" w:cs="宋体"/>
          <w:sz w:val="22"/>
          <w:szCs w:val="22"/>
          <w:highlight w:val="yellow"/>
          <w:lang w:val="en-US" w:eastAsia="zh-CN"/>
        </w:rPr>
        <w:t>8</w:t>
      </w:r>
      <w:r>
        <w:rPr>
          <w:rFonts w:hint="eastAsia" w:ascii="宋体" w:hAnsi="宋体" w:eastAsia="宋体" w:cs="宋体"/>
          <w:sz w:val="22"/>
          <w:szCs w:val="22"/>
          <w:highlight w:val="yellow"/>
        </w:rPr>
        <w:t>（含井）及相应的支管</w:t>
      </w:r>
      <w:r>
        <w:rPr>
          <w:rFonts w:hint="eastAsia" w:ascii="宋体" w:hAnsi="宋体" w:eastAsia="宋体" w:cs="宋体"/>
          <w:sz w:val="22"/>
          <w:szCs w:val="22"/>
          <w:highlight w:val="yellow"/>
          <w:lang w:eastAsia="zh-CN"/>
        </w:rPr>
        <w:t>；</w:t>
      </w:r>
    </w:p>
    <w:p>
      <w:pPr>
        <w:keepNext w:val="0"/>
        <w:keepLines w:val="0"/>
        <w:pageBreakBefore w:val="0"/>
        <w:widowControl w:val="0"/>
        <w:numPr>
          <w:ilvl w:val="0"/>
          <w:numId w:val="2"/>
        </w:numPr>
        <w:tabs>
          <w:tab w:val="left" w:pos="3060"/>
          <w:tab w:val="left" w:pos="9180"/>
          <w:tab w:val="left" w:pos="9360"/>
        </w:tabs>
        <w:kinsoku/>
        <w:wordWrap/>
        <w:overflowPunct/>
        <w:topLinePunct w:val="0"/>
        <w:autoSpaceDE/>
        <w:autoSpaceDN/>
        <w:bidi w:val="0"/>
        <w:adjustRightInd/>
        <w:snapToGrid/>
        <w:spacing w:line="360" w:lineRule="auto"/>
        <w:ind w:left="403" w:leftChars="0" w:right="376" w:rightChars="171"/>
        <w:textAlignment w:val="auto"/>
        <w:rPr>
          <w:rFonts w:hint="eastAsia" w:ascii="宋体" w:hAnsi="宋体" w:eastAsia="宋体" w:cs="宋体"/>
          <w:sz w:val="22"/>
          <w:szCs w:val="22"/>
          <w:highlight w:val="yellow"/>
          <w:lang w:eastAsia="zh-CN"/>
        </w:rPr>
      </w:pPr>
      <w:r>
        <w:rPr>
          <w:rFonts w:hint="eastAsia" w:ascii="宋体" w:hAnsi="宋体" w:eastAsia="宋体" w:cs="宋体"/>
          <w:b/>
          <w:bCs/>
          <w:sz w:val="22"/>
          <w:szCs w:val="22"/>
          <w:highlight w:val="yellow"/>
        </w:rPr>
        <w:t>污水：</w:t>
      </w:r>
      <w:r>
        <w:rPr>
          <w:rFonts w:hint="eastAsia" w:ascii="宋体" w:hAnsi="宋体" w:eastAsia="宋体" w:cs="宋体"/>
          <w:sz w:val="22"/>
          <w:szCs w:val="22"/>
          <w:highlight w:val="yellow"/>
        </w:rPr>
        <w:t>W1（含井）-W</w:t>
      </w:r>
      <w:r>
        <w:rPr>
          <w:rFonts w:hint="eastAsia" w:ascii="宋体" w:hAnsi="宋体" w:eastAsia="宋体" w:cs="宋体"/>
          <w:sz w:val="22"/>
          <w:szCs w:val="22"/>
          <w:highlight w:val="yellow"/>
          <w:lang w:val="en-US" w:eastAsia="zh-CN"/>
        </w:rPr>
        <w:t>15</w:t>
      </w:r>
      <w:r>
        <w:rPr>
          <w:rFonts w:hint="eastAsia" w:ascii="宋体" w:hAnsi="宋体" w:eastAsia="宋体" w:cs="宋体"/>
          <w:sz w:val="22"/>
          <w:szCs w:val="22"/>
          <w:highlight w:val="yellow"/>
        </w:rPr>
        <w:t>（</w:t>
      </w:r>
      <w:r>
        <w:rPr>
          <w:rFonts w:hint="eastAsia" w:ascii="宋体" w:hAnsi="宋体" w:eastAsia="宋体" w:cs="宋体"/>
          <w:sz w:val="22"/>
          <w:szCs w:val="22"/>
          <w:highlight w:val="yellow"/>
          <w:lang w:val="en-US" w:eastAsia="zh-CN"/>
        </w:rPr>
        <w:t>不</w:t>
      </w:r>
      <w:r>
        <w:rPr>
          <w:rFonts w:hint="eastAsia" w:ascii="宋体" w:hAnsi="宋体" w:eastAsia="宋体" w:cs="宋体"/>
          <w:sz w:val="22"/>
          <w:szCs w:val="22"/>
          <w:highlight w:val="yellow"/>
        </w:rPr>
        <w:t>含井）及相应的支管</w:t>
      </w:r>
      <w:r>
        <w:rPr>
          <w:rFonts w:hint="eastAsia" w:ascii="宋体" w:hAnsi="宋体" w:eastAsia="宋体" w:cs="宋体"/>
          <w:sz w:val="22"/>
          <w:szCs w:val="22"/>
          <w:highlight w:val="yellow"/>
          <w:lang w:eastAsia="zh-CN"/>
        </w:rPr>
        <w:t>；</w:t>
      </w:r>
    </w:p>
    <w:p>
      <w:pPr>
        <w:keepNext w:val="0"/>
        <w:keepLines w:val="0"/>
        <w:pageBreakBefore w:val="0"/>
        <w:widowControl w:val="0"/>
        <w:numPr>
          <w:ilvl w:val="0"/>
          <w:numId w:val="2"/>
        </w:numPr>
        <w:tabs>
          <w:tab w:val="left" w:pos="3060"/>
          <w:tab w:val="left" w:pos="9180"/>
          <w:tab w:val="left" w:pos="9360"/>
        </w:tabs>
        <w:kinsoku/>
        <w:wordWrap/>
        <w:overflowPunct/>
        <w:topLinePunct w:val="0"/>
        <w:autoSpaceDE/>
        <w:autoSpaceDN/>
        <w:bidi w:val="0"/>
        <w:adjustRightInd/>
        <w:snapToGrid/>
        <w:spacing w:line="360" w:lineRule="auto"/>
        <w:ind w:left="403" w:leftChars="0" w:right="376" w:rightChars="171"/>
        <w:textAlignment w:val="auto"/>
        <w:rPr>
          <w:rFonts w:hint="eastAsia" w:ascii="宋体" w:hAnsi="宋体" w:eastAsia="宋体" w:cs="宋体"/>
          <w:sz w:val="22"/>
          <w:szCs w:val="22"/>
          <w:highlight w:val="yellow"/>
          <w:lang w:eastAsia="zh-CN"/>
        </w:rPr>
      </w:pPr>
      <w:r>
        <w:rPr>
          <w:rFonts w:hint="eastAsia" w:ascii="宋体" w:hAnsi="宋体" w:eastAsia="宋体" w:cs="宋体"/>
          <w:b/>
          <w:sz w:val="22"/>
          <w:szCs w:val="22"/>
          <w:highlight w:val="yellow"/>
        </w:rPr>
        <w:t>给水：</w:t>
      </w:r>
      <w:r>
        <w:rPr>
          <w:rFonts w:hint="eastAsia" w:ascii="宋体" w:hAnsi="宋体" w:eastAsia="宋体" w:cs="宋体"/>
          <w:sz w:val="22"/>
          <w:szCs w:val="22"/>
          <w:highlight w:val="yellow"/>
          <w:lang w:val="en-US" w:eastAsia="zh-CN"/>
        </w:rPr>
        <w:t>J1（</w:t>
      </w:r>
      <w:r>
        <w:rPr>
          <w:rFonts w:hint="eastAsia" w:ascii="宋体" w:hAnsi="宋体" w:eastAsia="宋体" w:cs="宋体"/>
          <w:sz w:val="22"/>
          <w:szCs w:val="22"/>
          <w:highlight w:val="yellow"/>
        </w:rPr>
        <w:t>含此支点）-</w:t>
      </w:r>
      <w:r>
        <w:rPr>
          <w:rFonts w:hint="eastAsia" w:ascii="宋体" w:hAnsi="宋体" w:eastAsia="宋体" w:cs="宋体"/>
          <w:sz w:val="22"/>
          <w:szCs w:val="22"/>
          <w:highlight w:val="yellow"/>
          <w:lang w:val="en-US" w:eastAsia="zh-CN"/>
        </w:rPr>
        <w:t>J18（</w:t>
      </w:r>
      <w:r>
        <w:rPr>
          <w:rFonts w:hint="eastAsia" w:ascii="宋体" w:hAnsi="宋体" w:eastAsia="宋体" w:cs="宋体"/>
          <w:sz w:val="22"/>
          <w:szCs w:val="22"/>
          <w:highlight w:val="yellow"/>
        </w:rPr>
        <w:t>含此支点</w:t>
      </w:r>
      <w:r>
        <w:rPr>
          <w:rFonts w:hint="eastAsia" w:ascii="宋体" w:hAnsi="宋体" w:eastAsia="宋体" w:cs="宋体"/>
          <w:sz w:val="22"/>
          <w:szCs w:val="22"/>
          <w:highlight w:val="yellow"/>
          <w:lang w:val="en-US" w:eastAsia="zh-CN"/>
        </w:rPr>
        <w:t>）</w:t>
      </w:r>
      <w:r>
        <w:rPr>
          <w:rFonts w:hint="eastAsia" w:ascii="宋体" w:hAnsi="宋体" w:eastAsia="宋体" w:cs="宋体"/>
          <w:sz w:val="22"/>
          <w:szCs w:val="22"/>
          <w:highlight w:val="yellow"/>
        </w:rPr>
        <w:t>及相应的支管</w:t>
      </w:r>
      <w:r>
        <w:rPr>
          <w:rFonts w:hint="eastAsia" w:ascii="宋体" w:hAnsi="宋体" w:eastAsia="宋体" w:cs="宋体"/>
          <w:sz w:val="22"/>
          <w:szCs w:val="22"/>
          <w:highlight w:val="yellow"/>
          <w:lang w:eastAsia="zh-CN"/>
        </w:rPr>
        <w:t>；</w:t>
      </w:r>
    </w:p>
    <w:p>
      <w:pPr>
        <w:tabs>
          <w:tab w:val="left" w:pos="420"/>
        </w:tabs>
        <w:spacing w:line="440" w:lineRule="exact"/>
        <w:ind w:firstLine="442" w:firstLineChars="200"/>
        <w:rPr>
          <w:rFonts w:hint="eastAsia" w:ascii="宋体" w:hAnsi="宋体" w:eastAsia="宋体" w:cs="宋体"/>
          <w:sz w:val="22"/>
          <w:szCs w:val="22"/>
          <w:highlight w:val="yellow"/>
          <w:lang w:eastAsia="zh-CN"/>
        </w:rPr>
      </w:pPr>
      <w:r>
        <w:rPr>
          <w:rFonts w:hint="eastAsia" w:ascii="宋体" w:hAnsi="宋体" w:eastAsia="宋体" w:cs="宋体"/>
          <w:b/>
          <w:sz w:val="22"/>
          <w:szCs w:val="22"/>
          <w:highlight w:val="yellow"/>
          <w:lang w:eastAsia="zh-CN"/>
        </w:rPr>
        <w:t>（</w:t>
      </w:r>
      <w:r>
        <w:rPr>
          <w:rFonts w:hint="eastAsia" w:ascii="宋体" w:hAnsi="宋体" w:eastAsia="宋体" w:cs="宋体"/>
          <w:b/>
          <w:sz w:val="22"/>
          <w:szCs w:val="22"/>
          <w:highlight w:val="yellow"/>
          <w:lang w:val="en-US" w:eastAsia="zh-CN"/>
        </w:rPr>
        <w:t>5</w:t>
      </w:r>
      <w:r>
        <w:rPr>
          <w:rFonts w:hint="eastAsia" w:ascii="宋体" w:hAnsi="宋体" w:eastAsia="宋体" w:cs="宋体"/>
          <w:b/>
          <w:sz w:val="22"/>
          <w:szCs w:val="22"/>
          <w:highlight w:val="yellow"/>
          <w:lang w:eastAsia="zh-CN"/>
        </w:rPr>
        <w:t>）</w:t>
      </w:r>
      <w:r>
        <w:rPr>
          <w:rFonts w:hint="eastAsia" w:ascii="宋体" w:hAnsi="宋体" w:eastAsia="宋体" w:cs="宋体"/>
          <w:b/>
          <w:sz w:val="22"/>
          <w:szCs w:val="22"/>
          <w:highlight w:val="yellow"/>
        </w:rPr>
        <w:t>交通设施</w:t>
      </w:r>
      <w:r>
        <w:rPr>
          <w:rFonts w:hint="eastAsia" w:ascii="宋体" w:hAnsi="宋体" w:eastAsia="宋体" w:cs="宋体"/>
          <w:sz w:val="22"/>
          <w:szCs w:val="22"/>
          <w:highlight w:val="yellow"/>
        </w:rPr>
        <w:t>：</w:t>
      </w:r>
      <w:r>
        <w:rPr>
          <w:rFonts w:hint="eastAsia" w:ascii="宋体" w:hAnsi="宋体" w:eastAsia="宋体" w:cs="宋体"/>
          <w:sz w:val="22"/>
          <w:szCs w:val="22"/>
          <w:highlight w:val="yellow"/>
          <w:lang w:val="en-US" w:eastAsia="zh-CN"/>
        </w:rPr>
        <w:t>K0+032</w:t>
      </w:r>
      <w:r>
        <w:rPr>
          <w:rFonts w:hint="eastAsia" w:ascii="宋体" w:hAnsi="宋体" w:eastAsia="宋体" w:cs="宋体"/>
          <w:sz w:val="22"/>
          <w:szCs w:val="22"/>
          <w:highlight w:val="yellow"/>
        </w:rPr>
        <w:t>-K</w:t>
      </w:r>
      <w:r>
        <w:rPr>
          <w:rFonts w:hint="eastAsia" w:ascii="宋体" w:hAnsi="宋体" w:eastAsia="宋体" w:cs="宋体"/>
          <w:sz w:val="22"/>
          <w:szCs w:val="22"/>
          <w:highlight w:val="yellow"/>
          <w:lang w:val="en-US" w:eastAsia="zh-CN"/>
        </w:rPr>
        <w:t>0+581.537</w:t>
      </w:r>
      <w:r>
        <w:rPr>
          <w:rFonts w:hint="eastAsia" w:ascii="宋体" w:hAnsi="宋体" w:eastAsia="宋体" w:cs="宋体"/>
          <w:sz w:val="22"/>
          <w:szCs w:val="22"/>
          <w:highlight w:val="yellow"/>
        </w:rPr>
        <w:t>道路线线拉顺直的范围内的标线及标杆</w:t>
      </w:r>
      <w:r>
        <w:rPr>
          <w:rFonts w:hint="eastAsia" w:ascii="宋体" w:hAnsi="宋体" w:eastAsia="宋体" w:cs="宋体"/>
          <w:sz w:val="22"/>
          <w:szCs w:val="22"/>
          <w:highlight w:val="yellow"/>
          <w:lang w:eastAsia="zh-CN"/>
        </w:rPr>
        <w:t>。</w:t>
      </w:r>
    </w:p>
    <w:p>
      <w:pPr>
        <w:tabs>
          <w:tab w:val="left" w:pos="420"/>
        </w:tabs>
        <w:spacing w:line="440" w:lineRule="exact"/>
        <w:ind w:left="420" w:hanging="420"/>
        <w:rPr>
          <w:rFonts w:ascii="仿宋" w:hAnsi="仿宋" w:eastAsia="仿宋" w:cs="仿宋"/>
          <w:b/>
          <w:sz w:val="24"/>
          <w:szCs w:val="24"/>
        </w:rPr>
      </w:pPr>
      <w:r>
        <w:rPr>
          <w:rFonts w:hint="eastAsia" w:ascii="仿宋" w:hAnsi="仿宋" w:eastAsia="仿宋" w:cs="仿宋"/>
          <w:b/>
          <w:sz w:val="24"/>
          <w:szCs w:val="24"/>
          <w:lang w:val="zh-CN"/>
        </w:rPr>
        <w:t>三、工程量清单造价编制依据：</w:t>
      </w:r>
    </w:p>
    <w:p>
      <w:pPr>
        <w:spacing w:line="440" w:lineRule="exact"/>
        <w:ind w:left="26"/>
        <w:rPr>
          <w:rFonts w:ascii="仿宋" w:hAnsi="仿宋" w:eastAsia="仿宋" w:cs="仿宋"/>
          <w:sz w:val="24"/>
          <w:szCs w:val="24"/>
          <w:lang w:val="zh-CN"/>
        </w:rPr>
      </w:pPr>
      <w:r>
        <w:rPr>
          <w:rFonts w:hint="eastAsia" w:ascii="仿宋" w:hAnsi="仿宋" w:eastAsia="仿宋" w:cs="仿宋"/>
          <w:sz w:val="24"/>
          <w:szCs w:val="24"/>
          <w:lang w:val="zh-CN"/>
        </w:rPr>
        <w:t>1.招标文件；</w:t>
      </w:r>
    </w:p>
    <w:p>
      <w:pPr>
        <w:spacing w:line="440" w:lineRule="exact"/>
        <w:ind w:left="26"/>
        <w:rPr>
          <w:rFonts w:ascii="仿宋" w:hAnsi="仿宋" w:eastAsia="仿宋" w:cs="仿宋"/>
          <w:sz w:val="24"/>
          <w:szCs w:val="24"/>
          <w:lang w:val="zh-CN"/>
        </w:rPr>
      </w:pPr>
      <w:r>
        <w:rPr>
          <w:rFonts w:hint="eastAsia" w:ascii="仿宋" w:hAnsi="仿宋" w:eastAsia="仿宋" w:cs="仿宋"/>
          <w:sz w:val="24"/>
          <w:szCs w:val="24"/>
          <w:lang w:val="zh-CN"/>
        </w:rPr>
        <w:t>2.《建设工程工程量清单计价规范》（GB50500－2013）；</w:t>
      </w:r>
    </w:p>
    <w:p>
      <w:pPr>
        <w:spacing w:line="440" w:lineRule="exact"/>
        <w:ind w:left="26"/>
        <w:rPr>
          <w:rFonts w:ascii="仿宋" w:hAnsi="仿宋" w:eastAsia="仿宋" w:cs="仿宋"/>
          <w:sz w:val="24"/>
          <w:szCs w:val="24"/>
          <w:lang w:val="zh-CN"/>
        </w:rPr>
      </w:pPr>
      <w:r>
        <w:rPr>
          <w:rFonts w:hint="eastAsia" w:ascii="仿宋" w:hAnsi="仿宋" w:eastAsia="仿宋" w:cs="仿宋"/>
          <w:sz w:val="24"/>
          <w:szCs w:val="24"/>
          <w:lang w:val="zh-CN"/>
        </w:rPr>
        <w:t>3.《浙江省建设工程计价规则》（2018版）；</w:t>
      </w:r>
    </w:p>
    <w:p>
      <w:pPr>
        <w:spacing w:line="440" w:lineRule="exact"/>
        <w:ind w:left="26"/>
        <w:rPr>
          <w:rFonts w:ascii="仿宋" w:hAnsi="仿宋" w:eastAsia="仿宋" w:cs="仿宋"/>
          <w:sz w:val="24"/>
          <w:szCs w:val="24"/>
          <w:lang w:val="zh-CN"/>
        </w:rPr>
      </w:pPr>
      <w:r>
        <w:rPr>
          <w:rFonts w:hint="eastAsia" w:ascii="仿宋" w:hAnsi="仿宋" w:eastAsia="仿宋" w:cs="仿宋"/>
          <w:sz w:val="24"/>
          <w:szCs w:val="24"/>
          <w:lang w:val="zh-CN"/>
        </w:rPr>
        <w:t>4.《浙江省市政工程预算定额》（2018版）、《浙江省通用安装工程预算定额》（2018版）、《浙江省园林绿化及仿古建筑工程预算定额》（2018版、《浙江省房屋建筑与装饰工程预算定额》（2018版））、《浙江省建设工程施工机械台班费用定额》（2018版）；</w:t>
      </w:r>
    </w:p>
    <w:p>
      <w:pPr>
        <w:spacing w:line="440" w:lineRule="exact"/>
        <w:ind w:left="26"/>
        <w:rPr>
          <w:rFonts w:ascii="仿宋" w:hAnsi="仿宋" w:eastAsia="仿宋" w:cs="仿宋"/>
          <w:sz w:val="24"/>
          <w:szCs w:val="24"/>
          <w:lang w:val="zh-CN"/>
        </w:rPr>
      </w:pPr>
      <w:r>
        <w:rPr>
          <w:rFonts w:hint="eastAsia" w:ascii="仿宋" w:hAnsi="仿宋" w:eastAsia="仿宋" w:cs="仿宋"/>
          <w:sz w:val="24"/>
          <w:szCs w:val="24"/>
          <w:lang w:val="zh-CN"/>
        </w:rPr>
        <w:t>5.</w:t>
      </w:r>
      <w:r>
        <w:rPr>
          <w:rFonts w:hint="eastAsia" w:ascii="仿宋" w:hAnsi="仿宋" w:eastAsia="仿宋" w:cs="仿宋"/>
          <w:sz w:val="24"/>
          <w:szCs w:val="24"/>
          <w:lang w:val="en-US" w:eastAsia="zh-CN"/>
        </w:rPr>
        <w:t>天尚</w:t>
      </w:r>
      <w:r>
        <w:rPr>
          <w:rFonts w:hint="eastAsia" w:ascii="仿宋" w:hAnsi="仿宋" w:eastAsia="仿宋" w:cs="仿宋"/>
          <w:sz w:val="24"/>
          <w:szCs w:val="24"/>
          <w:lang w:val="zh-CN"/>
        </w:rPr>
        <w:t>设计集团有限公司设计的昆阳镇城东新区纬十三路（经五路-万鳌公路）工程；</w:t>
      </w:r>
    </w:p>
    <w:p>
      <w:pPr>
        <w:spacing w:line="440" w:lineRule="exact"/>
        <w:ind w:left="26"/>
        <w:rPr>
          <w:rFonts w:ascii="仿宋" w:hAnsi="仿宋" w:eastAsia="仿宋" w:cs="仿宋"/>
          <w:sz w:val="24"/>
          <w:szCs w:val="24"/>
          <w:lang w:val="zh-CN"/>
        </w:rPr>
      </w:pPr>
      <w:r>
        <w:rPr>
          <w:rFonts w:hint="eastAsia" w:ascii="仿宋" w:hAnsi="仿宋" w:eastAsia="仿宋" w:cs="仿宋"/>
          <w:sz w:val="24"/>
          <w:szCs w:val="24"/>
          <w:lang w:val="zh-CN"/>
        </w:rPr>
        <w:t>6.国家标准图集、同期部省市有关造价政策文件、规范性文件等；</w:t>
      </w:r>
    </w:p>
    <w:p>
      <w:pPr>
        <w:spacing w:line="440" w:lineRule="exact"/>
        <w:rPr>
          <w:rFonts w:ascii="仿宋" w:hAnsi="仿宋" w:eastAsia="仿宋" w:cs="仿宋"/>
          <w:b/>
          <w:sz w:val="24"/>
          <w:szCs w:val="24"/>
          <w:lang w:val="zh-CN"/>
        </w:rPr>
      </w:pPr>
      <w:r>
        <w:rPr>
          <w:rFonts w:hint="eastAsia" w:ascii="仿宋" w:hAnsi="仿宋" w:eastAsia="仿宋" w:cs="仿宋"/>
          <w:b/>
          <w:sz w:val="24"/>
          <w:szCs w:val="24"/>
          <w:lang w:val="zh-CN"/>
        </w:rPr>
        <w:t>四、工程质量要求：见招标文件。</w:t>
      </w:r>
    </w:p>
    <w:p>
      <w:pPr>
        <w:spacing w:line="440" w:lineRule="exact"/>
        <w:rPr>
          <w:rFonts w:ascii="仿宋" w:hAnsi="仿宋" w:eastAsia="仿宋" w:cs="仿宋"/>
          <w:b/>
          <w:sz w:val="24"/>
          <w:szCs w:val="24"/>
          <w:lang w:val="zh-CN"/>
        </w:rPr>
      </w:pPr>
      <w:r>
        <w:rPr>
          <w:rFonts w:hint="eastAsia" w:ascii="仿宋" w:hAnsi="仿宋" w:eastAsia="仿宋" w:cs="仿宋"/>
          <w:b/>
          <w:sz w:val="24"/>
          <w:szCs w:val="24"/>
          <w:lang w:val="zh-CN"/>
        </w:rPr>
        <w:t>五、一般说明：</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1.施工现场情况：以现场踏勘情况为准；</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2.交通运输情况：以现场踏勘情况为准；</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3.环境保护要求：满足省、市及当地政府对环境保护的相关要求和规定；</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4.分部分项工程量清单中对工程项目特征及具体做法只做重点描述，详细情况见施工图设计、技术说明及相关标准图集。组价时应结合投标人现场踏勘情况包括完成所有工序工作内容的全部费用；</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5.投标人应充分考虑施工现场周边的实际情况对施工的影响编制施工方案，并作出报价；</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6.本说明未尽事项，以“计价规范”、“计量规范”招标文件以及有关的法律、法规、建设行政主管部分颁发的文件为准。</w:t>
      </w:r>
    </w:p>
    <w:p>
      <w:pPr>
        <w:spacing w:line="440" w:lineRule="exact"/>
        <w:rPr>
          <w:rFonts w:ascii="仿宋" w:hAnsi="仿宋" w:eastAsia="仿宋" w:cs="仿宋"/>
          <w:b/>
          <w:sz w:val="24"/>
          <w:szCs w:val="24"/>
        </w:rPr>
      </w:pPr>
      <w:r>
        <w:rPr>
          <w:rFonts w:hint="eastAsia" w:ascii="仿宋" w:hAnsi="仿宋" w:eastAsia="仿宋" w:cs="仿宋"/>
          <w:b/>
          <w:sz w:val="24"/>
          <w:szCs w:val="24"/>
          <w:lang w:val="zh-CN"/>
        </w:rPr>
        <w:t>六、编制说明：</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【通用部分】</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1.本工程采用商品混凝土（垫层除外），投标人按施工现场实际情况自行考虑泵送或非泵送，今后不予调整；</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rPr>
        <w:t>.本工程钢筋按设计图纸图示尺寸计算，其损耗、搭接、焊接、连接器等由投标人自行测算，列入综合单价中，结算时工程量不予调整；</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rPr>
        <w:t>.对于本工程的节点做法，本清单只描述了主要要素，投标单位需根据设计图纸全面考虑并包含在主要工程量清单报价内。</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en-US" w:eastAsia="zh-CN"/>
        </w:rPr>
        <w:t>4</w:t>
      </w:r>
      <w:r>
        <w:rPr>
          <w:rFonts w:hint="eastAsia" w:ascii="仿宋" w:hAnsi="仿宋" w:eastAsia="仿宋" w:cs="仿宋"/>
          <w:sz w:val="24"/>
          <w:szCs w:val="24"/>
          <w:lang w:val="zh-CN"/>
        </w:rPr>
        <w:t>.施工单位根据施工现场情况及经验认为需要增加的施工技术措施费用，可在其他施工技术措施费中报价（需列明细）。</w:t>
      </w:r>
    </w:p>
    <w:p>
      <w:pPr>
        <w:spacing w:line="440" w:lineRule="exact"/>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val="zh-CN"/>
        </w:rPr>
        <w:t>.交通协管：施工期间对交通、行人的管理和疏导费用，夜间做好照明措施，各主要路段设置标牌、提示等发生的相关费用所需费用包干，今后不再另行调整；</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en-US" w:eastAsia="zh-CN"/>
        </w:rPr>
        <w:t>6</w:t>
      </w:r>
      <w:r>
        <w:rPr>
          <w:rFonts w:hint="eastAsia" w:ascii="仿宋" w:hAnsi="仿宋" w:eastAsia="仿宋" w:cs="仿宋"/>
          <w:sz w:val="24"/>
          <w:szCs w:val="24"/>
          <w:lang w:val="zh-CN"/>
        </w:rPr>
        <w:t>.施工用水、</w:t>
      </w:r>
      <w:r>
        <w:rPr>
          <w:rFonts w:hint="eastAsia" w:ascii="仿宋" w:hAnsi="仿宋" w:eastAsia="仿宋" w:cs="仿宋"/>
          <w:sz w:val="24"/>
          <w:szCs w:val="24"/>
          <w:lang w:val="en-US" w:eastAsia="zh-CN"/>
        </w:rPr>
        <w:t>用电</w:t>
      </w:r>
      <w:r>
        <w:rPr>
          <w:rFonts w:hint="eastAsia" w:ascii="仿宋" w:hAnsi="仿宋" w:eastAsia="仿宋" w:cs="仿宋"/>
          <w:sz w:val="24"/>
          <w:szCs w:val="24"/>
          <w:lang w:val="zh-CN"/>
        </w:rPr>
        <w:t>：施工单位自行现场勘测，综合报价，费用一次性包干；</w:t>
      </w:r>
    </w:p>
    <w:p>
      <w:pPr>
        <w:spacing w:line="440" w:lineRule="exact"/>
        <w:rPr>
          <w:rFonts w:ascii="仿宋" w:hAnsi="仿宋" w:eastAsia="仿宋" w:cs="仿宋"/>
          <w:sz w:val="24"/>
          <w:szCs w:val="24"/>
          <w:lang w:val="zh-CN"/>
        </w:rPr>
      </w:pPr>
      <w:r>
        <w:rPr>
          <w:rFonts w:hint="eastAsia" w:ascii="仿宋" w:hAnsi="仿宋" w:eastAsia="仿宋" w:cs="仿宋"/>
          <w:b/>
          <w:sz w:val="24"/>
          <w:szCs w:val="24"/>
          <w:lang w:val="zh-CN"/>
        </w:rPr>
        <w:t>【道路部分】</w:t>
      </w:r>
      <w:r>
        <w:rPr>
          <w:rFonts w:hint="eastAsia" w:ascii="仿宋" w:hAnsi="仿宋" w:eastAsia="仿宋" w:cs="仿宋"/>
          <w:sz w:val="24"/>
          <w:szCs w:val="24"/>
          <w:lang w:val="zh-CN"/>
        </w:rPr>
        <w:t>；</w:t>
      </w:r>
    </w:p>
    <w:p>
      <w:pPr>
        <w:tabs>
          <w:tab w:val="left" w:pos="360"/>
        </w:tabs>
        <w:spacing w:line="440" w:lineRule="exact"/>
        <w:rPr>
          <w:rFonts w:ascii="仿宋" w:hAnsi="仿宋" w:eastAsia="仿宋" w:cs="仿宋"/>
          <w:sz w:val="24"/>
          <w:szCs w:val="24"/>
          <w:lang w:val="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rPr>
        <w:t>.</w:t>
      </w:r>
      <w:r>
        <w:rPr>
          <w:rFonts w:hint="eastAsia" w:ascii="仿宋" w:hAnsi="仿宋" w:eastAsia="仿宋" w:cs="仿宋"/>
          <w:sz w:val="24"/>
          <w:szCs w:val="24"/>
          <w:lang w:val="en-US" w:eastAsia="zh-CN"/>
        </w:rPr>
        <w:t>树池花岗岩</w:t>
      </w:r>
      <w:r>
        <w:rPr>
          <w:rFonts w:hint="eastAsia" w:ascii="仿宋" w:hAnsi="仿宋" w:eastAsia="仿宋" w:cs="仿宋"/>
          <w:sz w:val="24"/>
          <w:szCs w:val="24"/>
          <w:lang w:val="zh-CN"/>
        </w:rPr>
        <w:t>尺寸以125*12.5*20cm花岗岩树池挡块为准；</w:t>
      </w:r>
    </w:p>
    <w:p>
      <w:pPr>
        <w:tabs>
          <w:tab w:val="left" w:pos="360"/>
        </w:tabs>
        <w:spacing w:line="440" w:lineRule="exac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rPr>
        <w:t>.水泥稳定级配碎石基层厂拌场地由施工单位自行解决，运输自行考虑；</w:t>
      </w:r>
    </w:p>
    <w:p>
      <w:pPr>
        <w:tabs>
          <w:tab w:val="left" w:pos="360"/>
        </w:tabs>
        <w:spacing w:line="440" w:lineRule="exact"/>
        <w:rPr>
          <w:rFonts w:ascii="仿宋" w:hAnsi="仿宋" w:eastAsia="仿宋" w:cs="仿宋"/>
          <w:sz w:val="24"/>
          <w:szCs w:val="24"/>
          <w:lang w:val="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zh-CN"/>
        </w:rPr>
        <w:t>.泥浆池、河道处理：工程量暂定，</w:t>
      </w:r>
      <w:r>
        <w:rPr>
          <w:rFonts w:hint="eastAsia" w:ascii="仿宋" w:hAnsi="仿宋" w:eastAsia="仿宋" w:cs="仿宋"/>
          <w:sz w:val="24"/>
          <w:szCs w:val="24"/>
          <w:lang w:val="zh-CN" w:eastAsia="zh-CN"/>
        </w:rPr>
        <w:t>最终</w:t>
      </w:r>
      <w:r>
        <w:rPr>
          <w:rFonts w:hint="eastAsia" w:ascii="仿宋" w:hAnsi="仿宋" w:eastAsia="仿宋" w:cs="仿宋"/>
          <w:sz w:val="24"/>
          <w:szCs w:val="24"/>
          <w:lang w:val="zh-CN"/>
        </w:rPr>
        <w:t>结算工程量按第三方测量报告计入；</w:t>
      </w:r>
    </w:p>
    <w:p>
      <w:pPr>
        <w:tabs>
          <w:tab w:val="left" w:pos="360"/>
        </w:tabs>
        <w:spacing w:line="440" w:lineRule="exact"/>
        <w:rPr>
          <w:rFonts w:hint="eastAsia" w:ascii="仿宋" w:hAnsi="仿宋" w:eastAsia="仿宋" w:cs="仿宋"/>
          <w:sz w:val="24"/>
          <w:szCs w:val="24"/>
          <w:lang w:val="zh-CN"/>
        </w:rPr>
      </w:pPr>
      <w:r>
        <w:rPr>
          <w:rFonts w:hint="eastAsia" w:ascii="仿宋" w:hAnsi="仿宋" w:eastAsia="仿宋" w:cs="仿宋"/>
          <w:sz w:val="24"/>
          <w:szCs w:val="24"/>
          <w:lang w:val="zh-CN"/>
        </w:rPr>
        <w:t>5.</w:t>
      </w:r>
      <w:r>
        <w:rPr>
          <w:rFonts w:hint="eastAsia" w:ascii="仿宋" w:hAnsi="仿宋" w:eastAsia="仿宋" w:cs="仿宋"/>
          <w:sz w:val="24"/>
          <w:szCs w:val="24"/>
          <w:lang w:val="en-US" w:eastAsia="zh-CN"/>
        </w:rPr>
        <w:t>土石方</w:t>
      </w:r>
      <w:r>
        <w:rPr>
          <w:rFonts w:hint="eastAsia" w:ascii="仿宋" w:hAnsi="仿宋" w:eastAsia="仿宋" w:cs="仿宋"/>
          <w:sz w:val="24"/>
          <w:szCs w:val="24"/>
          <w:lang w:val="zh-CN"/>
        </w:rPr>
        <w:t>：工程量暂定，</w:t>
      </w:r>
      <w:r>
        <w:rPr>
          <w:rFonts w:hint="eastAsia" w:ascii="仿宋" w:hAnsi="仿宋" w:eastAsia="仿宋" w:cs="仿宋"/>
          <w:sz w:val="24"/>
          <w:szCs w:val="24"/>
          <w:lang w:val="zh-CN" w:eastAsia="zh-CN"/>
        </w:rPr>
        <w:t>最终</w:t>
      </w:r>
      <w:r>
        <w:rPr>
          <w:rFonts w:hint="eastAsia" w:ascii="仿宋" w:hAnsi="仿宋" w:eastAsia="仿宋" w:cs="仿宋"/>
          <w:sz w:val="24"/>
          <w:szCs w:val="24"/>
          <w:lang w:val="zh-CN"/>
        </w:rPr>
        <w:t>结算工程量按第三方测量报告计入；</w:t>
      </w:r>
    </w:p>
    <w:p>
      <w:pPr>
        <w:tabs>
          <w:tab w:val="left" w:pos="360"/>
        </w:tabs>
        <w:spacing w:line="44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6.抛石挤淤：工程量按设计工程量计入，结算按实调整；</w:t>
      </w:r>
    </w:p>
    <w:p>
      <w:pPr>
        <w:spacing w:line="440" w:lineRule="exact"/>
        <w:rPr>
          <w:rFonts w:ascii="仿宋" w:hAnsi="仿宋" w:eastAsia="仿宋" w:cs="仿宋"/>
          <w:b/>
          <w:sz w:val="24"/>
          <w:szCs w:val="24"/>
        </w:rPr>
      </w:pPr>
      <w:r>
        <w:rPr>
          <w:rFonts w:hint="eastAsia" w:ascii="仿宋" w:hAnsi="仿宋" w:eastAsia="仿宋" w:cs="仿宋"/>
          <w:b/>
          <w:sz w:val="24"/>
          <w:szCs w:val="24"/>
          <w:lang w:val="zh-CN"/>
        </w:rPr>
        <w:t>【给排水部分】</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1.给水支墩混凝土强度按C25计入；</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2.球墨铸铁给水管要求球化等级为2级，球墨率为90~95%；</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3.检查井设置聚乙烯防坠网，承载力≥300kg；</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4.塑钢爬梯按GT-1型计入；</w:t>
      </w:r>
    </w:p>
    <w:p>
      <w:pPr>
        <w:spacing w:line="440" w:lineRule="exact"/>
        <w:rPr>
          <w:rFonts w:ascii="仿宋" w:hAnsi="仿宋" w:eastAsia="仿宋" w:cs="仿宋"/>
          <w:sz w:val="24"/>
          <w:szCs w:val="24"/>
          <w:highlight w:val="yellow"/>
          <w:lang w:val="zh-CN"/>
        </w:rPr>
      </w:pPr>
      <w:r>
        <w:rPr>
          <w:rFonts w:hint="eastAsia" w:ascii="仿宋" w:hAnsi="仿宋" w:eastAsia="仿宋" w:cs="仿宋"/>
          <w:sz w:val="24"/>
          <w:szCs w:val="24"/>
          <w:lang w:val="zh-CN"/>
        </w:rPr>
        <w:t>5.</w:t>
      </w:r>
      <w:r>
        <w:rPr>
          <w:rFonts w:hint="eastAsia" w:ascii="仿宋" w:hAnsi="仿宋" w:eastAsia="仿宋" w:cs="仿宋"/>
          <w:sz w:val="24"/>
          <w:szCs w:val="24"/>
          <w:highlight w:val="none"/>
          <w:lang w:val="zh-CN"/>
        </w:rPr>
        <w:t>本工程井盖要求：</w:t>
      </w:r>
      <w:r>
        <w:rPr>
          <w:rFonts w:hint="eastAsia" w:ascii="仿宋" w:hAnsi="仿宋" w:eastAsia="仿宋" w:cs="仿宋"/>
          <w:sz w:val="24"/>
          <w:szCs w:val="24"/>
          <w:highlight w:val="yellow"/>
          <w:lang w:val="zh-CN"/>
        </w:rPr>
        <w:t>按位于车行道及非机动车道上采用Φ700球磨铸铁三防井盖，D400型；位于其他部位采用Φ700钢纤维混凝土井盖（II级）井盖；（球墨铸铁井盖要求球化等级为2级，球墨率为90~95%）；</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6.雨水口井深按1.3m（含落底30cm）计入；</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zh-CN"/>
        </w:rPr>
        <w:t>7.雨水口箅材质按防盗式球墨铸铁计入；</w:t>
      </w:r>
    </w:p>
    <w:p>
      <w:pPr>
        <w:spacing w:line="440" w:lineRule="exact"/>
        <w:rPr>
          <w:rFonts w:hint="eastAsia" w:ascii="仿宋" w:hAnsi="仿宋" w:eastAsia="仿宋" w:cs="仿宋"/>
          <w:sz w:val="24"/>
          <w:szCs w:val="24"/>
          <w:lang w:val="zh-CN"/>
        </w:rPr>
      </w:pPr>
      <w:r>
        <w:rPr>
          <w:rFonts w:hint="eastAsia" w:ascii="仿宋" w:hAnsi="仿宋" w:eastAsia="仿宋" w:cs="仿宋"/>
          <w:sz w:val="24"/>
          <w:szCs w:val="24"/>
          <w:lang w:val="zh-CN"/>
        </w:rPr>
        <w:t>8.混凝土检查井井壁、预制盖板及井圈混凝土强度等级按C30计入；</w:t>
      </w:r>
    </w:p>
    <w:p>
      <w:pPr>
        <w:spacing w:line="44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9.镀锌钢管DN100*8根，横穿道路检查井按矩形检查井1100*1100计入；</w:t>
      </w:r>
    </w:p>
    <w:p>
      <w:pPr>
        <w:spacing w:line="440" w:lineRule="exact"/>
        <w:rPr>
          <w:rFonts w:hint="default" w:ascii="仿宋" w:hAnsi="仿宋" w:eastAsia="仿宋" w:cs="仿宋"/>
          <w:sz w:val="24"/>
          <w:szCs w:val="24"/>
          <w:highlight w:val="yellow"/>
          <w:lang w:val="en-US" w:eastAsia="zh-CN"/>
        </w:rPr>
      </w:pPr>
      <w:r>
        <w:rPr>
          <w:rFonts w:hint="eastAsia" w:ascii="仿宋" w:hAnsi="仿宋" w:eastAsia="仿宋" w:cs="仿宋"/>
          <w:sz w:val="24"/>
          <w:szCs w:val="24"/>
          <w:highlight w:val="yellow"/>
          <w:lang w:val="en-US" w:eastAsia="zh-CN"/>
        </w:rPr>
        <w:t>10.给水管管道基础做法按20cm砂垫层，管顶50cm中粗砂回填；</w:t>
      </w:r>
    </w:p>
    <w:p>
      <w:pPr>
        <w:spacing w:line="440" w:lineRule="exact"/>
        <w:rPr>
          <w:rFonts w:ascii="仿宋" w:hAnsi="仿宋" w:eastAsia="仿宋" w:cs="仿宋"/>
          <w:b/>
          <w:sz w:val="24"/>
          <w:szCs w:val="24"/>
        </w:rPr>
      </w:pPr>
      <w:r>
        <w:rPr>
          <w:rFonts w:hint="eastAsia" w:ascii="仿宋" w:hAnsi="仿宋" w:eastAsia="仿宋" w:cs="仿宋"/>
          <w:b/>
          <w:sz w:val="24"/>
          <w:szCs w:val="24"/>
          <w:lang w:val="zh-CN"/>
        </w:rPr>
        <w:t>【交通设施部分】</w:t>
      </w:r>
    </w:p>
    <w:p>
      <w:pPr>
        <w:spacing w:line="440" w:lineRule="exact"/>
        <w:rPr>
          <w:rFonts w:ascii="仿宋" w:hAnsi="仿宋" w:eastAsia="仿宋" w:cs="仿宋"/>
          <w:sz w:val="24"/>
          <w:szCs w:val="24"/>
          <w:lang w:val="zh-CN"/>
        </w:rPr>
      </w:pPr>
      <w:r>
        <w:rPr>
          <w:rFonts w:hint="eastAsia" w:ascii="仿宋" w:hAnsi="仿宋" w:eastAsia="仿宋" w:cs="仿宋"/>
          <w:sz w:val="24"/>
          <w:szCs w:val="24"/>
          <w:lang w:val="en-US" w:eastAsia="zh-CN"/>
        </w:rPr>
        <w:t>1</w:t>
      </w:r>
      <w:r>
        <w:rPr>
          <w:rFonts w:hint="eastAsia" w:ascii="仿宋" w:hAnsi="仿宋" w:eastAsia="仿宋" w:cs="仿宋"/>
          <w:sz w:val="24"/>
          <w:szCs w:val="24"/>
          <w:lang w:val="zh-CN"/>
        </w:rPr>
        <w:t>.标线标记涂膜厚度按2mm计入；</w:t>
      </w:r>
    </w:p>
    <w:p>
      <w:pPr>
        <w:spacing w:line="440" w:lineRule="exact"/>
        <w:rPr>
          <w:rFonts w:hint="eastAsia" w:ascii="仿宋" w:hAnsi="仿宋" w:eastAsia="仿宋" w:cs="仿宋"/>
          <w:sz w:val="24"/>
          <w:szCs w:val="24"/>
          <w:lang w:val="zh-CN"/>
        </w:rPr>
      </w:pPr>
      <w:r>
        <w:rPr>
          <w:rFonts w:hint="eastAsia" w:ascii="仿宋" w:hAnsi="仿宋" w:eastAsia="仿宋" w:cs="仿宋"/>
          <w:sz w:val="24"/>
          <w:szCs w:val="24"/>
          <w:lang w:val="en-US" w:eastAsia="zh-CN"/>
        </w:rPr>
        <w:t>2</w:t>
      </w:r>
      <w:r>
        <w:rPr>
          <w:rFonts w:hint="eastAsia" w:ascii="仿宋" w:hAnsi="仿宋" w:eastAsia="仿宋" w:cs="仿宋"/>
          <w:sz w:val="24"/>
          <w:szCs w:val="24"/>
          <w:lang w:val="zh-CN"/>
        </w:rPr>
        <w:t>.标志板牌号以3004为准；</w:t>
      </w:r>
    </w:p>
    <w:p>
      <w:pPr>
        <w:spacing w:line="44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3.电缆不计入本工程。</w:t>
      </w:r>
    </w:p>
    <w:p>
      <w:pPr>
        <w:spacing w:line="440" w:lineRule="exac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4.电缆保护管工程量暂定，结算按实调整。</w:t>
      </w:r>
    </w:p>
    <w:p>
      <w:pPr>
        <w:widowControl w:val="0"/>
        <w:autoSpaceDE w:val="0"/>
        <w:autoSpaceDN w:val="0"/>
        <w:snapToGrid/>
        <w:spacing w:after="0" w:line="440" w:lineRule="exact"/>
        <w:ind w:left="420" w:hanging="420"/>
        <w:jc w:val="both"/>
        <w:rPr>
          <w:rFonts w:ascii="仿宋" w:hAnsi="仿宋" w:eastAsia="仿宋" w:cs="仿宋"/>
          <w:b/>
          <w:bCs/>
          <w:color w:val="000000"/>
          <w:kern w:val="2"/>
          <w:sz w:val="24"/>
          <w:szCs w:val="24"/>
        </w:rPr>
      </w:pPr>
      <w:r>
        <w:rPr>
          <w:rFonts w:hint="eastAsia" w:ascii="仿宋" w:hAnsi="仿宋" w:eastAsia="仿宋" w:cs="仿宋"/>
          <w:b/>
          <w:bCs/>
          <w:color w:val="000000"/>
          <w:kern w:val="2"/>
          <w:sz w:val="24"/>
          <w:szCs w:val="24"/>
          <w:lang w:val="zh-CN"/>
        </w:rPr>
        <w:t>以下空白</w:t>
      </w:r>
    </w:p>
    <w:p>
      <w:pPr>
        <w:spacing w:line="440" w:lineRule="exact"/>
        <w:rPr>
          <w:rFonts w:ascii="仿宋" w:hAnsi="仿宋" w:eastAsia="仿宋" w:cs="仿宋"/>
          <w:sz w:val="24"/>
          <w:szCs w:val="24"/>
        </w:rPr>
      </w:pPr>
    </w:p>
    <w:sectPr>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5A097"/>
    <w:multiLevelType w:val="singleLevel"/>
    <w:tmpl w:val="0955A097"/>
    <w:lvl w:ilvl="0" w:tentative="0">
      <w:start w:val="1"/>
      <w:numFmt w:val="decimal"/>
      <w:suff w:val="nothing"/>
      <w:lvlText w:val="（%1）"/>
      <w:lvlJc w:val="left"/>
    </w:lvl>
  </w:abstractNum>
  <w:abstractNum w:abstractNumId="1">
    <w:nsid w:val="6852EEAF"/>
    <w:multiLevelType w:val="singleLevel"/>
    <w:tmpl w:val="6852EEA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88"/>
    <w:rsid w:val="00012A18"/>
    <w:rsid w:val="00013C31"/>
    <w:rsid w:val="00025B53"/>
    <w:rsid w:val="00070884"/>
    <w:rsid w:val="000769FA"/>
    <w:rsid w:val="000863A4"/>
    <w:rsid w:val="00086625"/>
    <w:rsid w:val="00091094"/>
    <w:rsid w:val="000B0D5A"/>
    <w:rsid w:val="000B57DE"/>
    <w:rsid w:val="000F04AB"/>
    <w:rsid w:val="000F6525"/>
    <w:rsid w:val="001167C9"/>
    <w:rsid w:val="00172A27"/>
    <w:rsid w:val="00176628"/>
    <w:rsid w:val="00183BD1"/>
    <w:rsid w:val="00190F03"/>
    <w:rsid w:val="00191411"/>
    <w:rsid w:val="001A3F5E"/>
    <w:rsid w:val="001B6259"/>
    <w:rsid w:val="001C5451"/>
    <w:rsid w:val="001F18F2"/>
    <w:rsid w:val="00206E8F"/>
    <w:rsid w:val="0022184E"/>
    <w:rsid w:val="00223DCF"/>
    <w:rsid w:val="00227EDA"/>
    <w:rsid w:val="00236359"/>
    <w:rsid w:val="00241357"/>
    <w:rsid w:val="002610D4"/>
    <w:rsid w:val="002665F8"/>
    <w:rsid w:val="002740B9"/>
    <w:rsid w:val="00303957"/>
    <w:rsid w:val="0031507F"/>
    <w:rsid w:val="00323B41"/>
    <w:rsid w:val="00323B43"/>
    <w:rsid w:val="0033611E"/>
    <w:rsid w:val="00346A4E"/>
    <w:rsid w:val="00356001"/>
    <w:rsid w:val="003650DE"/>
    <w:rsid w:val="00376072"/>
    <w:rsid w:val="003B34E7"/>
    <w:rsid w:val="003B4CD5"/>
    <w:rsid w:val="003D37D8"/>
    <w:rsid w:val="004033EF"/>
    <w:rsid w:val="004035FE"/>
    <w:rsid w:val="00406FF6"/>
    <w:rsid w:val="00410FDF"/>
    <w:rsid w:val="004229F0"/>
    <w:rsid w:val="00426133"/>
    <w:rsid w:val="004358AB"/>
    <w:rsid w:val="0044134B"/>
    <w:rsid w:val="00447951"/>
    <w:rsid w:val="00453FDE"/>
    <w:rsid w:val="00477FBE"/>
    <w:rsid w:val="005358C5"/>
    <w:rsid w:val="00544C9F"/>
    <w:rsid w:val="005A154D"/>
    <w:rsid w:val="005A1A43"/>
    <w:rsid w:val="005A4B3A"/>
    <w:rsid w:val="005B7ED9"/>
    <w:rsid w:val="005C1108"/>
    <w:rsid w:val="005C1917"/>
    <w:rsid w:val="005D2C17"/>
    <w:rsid w:val="005D6A09"/>
    <w:rsid w:val="005F680B"/>
    <w:rsid w:val="00602BE2"/>
    <w:rsid w:val="00607B1B"/>
    <w:rsid w:val="0061012F"/>
    <w:rsid w:val="00627578"/>
    <w:rsid w:val="0066346E"/>
    <w:rsid w:val="006635E1"/>
    <w:rsid w:val="00673FD4"/>
    <w:rsid w:val="00681129"/>
    <w:rsid w:val="00695116"/>
    <w:rsid w:val="006C4C06"/>
    <w:rsid w:val="006E33C0"/>
    <w:rsid w:val="006E5BBB"/>
    <w:rsid w:val="007023A5"/>
    <w:rsid w:val="0071246E"/>
    <w:rsid w:val="00713F6E"/>
    <w:rsid w:val="00761ED2"/>
    <w:rsid w:val="00766FE6"/>
    <w:rsid w:val="007C756E"/>
    <w:rsid w:val="007D7555"/>
    <w:rsid w:val="007F6F93"/>
    <w:rsid w:val="00801DE7"/>
    <w:rsid w:val="00802FA6"/>
    <w:rsid w:val="00812A42"/>
    <w:rsid w:val="00835E4D"/>
    <w:rsid w:val="00842CA2"/>
    <w:rsid w:val="008537E2"/>
    <w:rsid w:val="00865929"/>
    <w:rsid w:val="00882223"/>
    <w:rsid w:val="008B4E4D"/>
    <w:rsid w:val="008B4E81"/>
    <w:rsid w:val="008B7726"/>
    <w:rsid w:val="008D74B3"/>
    <w:rsid w:val="00920C40"/>
    <w:rsid w:val="0092319E"/>
    <w:rsid w:val="00932CB7"/>
    <w:rsid w:val="00934C45"/>
    <w:rsid w:val="00940916"/>
    <w:rsid w:val="009443C7"/>
    <w:rsid w:val="00960584"/>
    <w:rsid w:val="00974DE9"/>
    <w:rsid w:val="009800D8"/>
    <w:rsid w:val="009A4753"/>
    <w:rsid w:val="009C3B7C"/>
    <w:rsid w:val="009D2A30"/>
    <w:rsid w:val="009E1320"/>
    <w:rsid w:val="009F2F73"/>
    <w:rsid w:val="009F53B2"/>
    <w:rsid w:val="00A064E8"/>
    <w:rsid w:val="00A149C8"/>
    <w:rsid w:val="00A24DDF"/>
    <w:rsid w:val="00A24FF9"/>
    <w:rsid w:val="00A25CC4"/>
    <w:rsid w:val="00A3075E"/>
    <w:rsid w:val="00A335EF"/>
    <w:rsid w:val="00A44FBC"/>
    <w:rsid w:val="00A44FD1"/>
    <w:rsid w:val="00A63E42"/>
    <w:rsid w:val="00A728FF"/>
    <w:rsid w:val="00AA654D"/>
    <w:rsid w:val="00AC255C"/>
    <w:rsid w:val="00B0593C"/>
    <w:rsid w:val="00B17ED6"/>
    <w:rsid w:val="00B51472"/>
    <w:rsid w:val="00B552EB"/>
    <w:rsid w:val="00B571E7"/>
    <w:rsid w:val="00B814CD"/>
    <w:rsid w:val="00B911D6"/>
    <w:rsid w:val="00BA562E"/>
    <w:rsid w:val="00BC36C2"/>
    <w:rsid w:val="00BE1ADD"/>
    <w:rsid w:val="00BF63C9"/>
    <w:rsid w:val="00C03469"/>
    <w:rsid w:val="00C1116C"/>
    <w:rsid w:val="00C208E2"/>
    <w:rsid w:val="00C22C94"/>
    <w:rsid w:val="00C27FCA"/>
    <w:rsid w:val="00C36280"/>
    <w:rsid w:val="00C55F22"/>
    <w:rsid w:val="00C753BC"/>
    <w:rsid w:val="00CA783F"/>
    <w:rsid w:val="00CB3391"/>
    <w:rsid w:val="00CB63DB"/>
    <w:rsid w:val="00CC1669"/>
    <w:rsid w:val="00CC4ED4"/>
    <w:rsid w:val="00CD46C7"/>
    <w:rsid w:val="00CE4653"/>
    <w:rsid w:val="00D05BEB"/>
    <w:rsid w:val="00D15D27"/>
    <w:rsid w:val="00D20C28"/>
    <w:rsid w:val="00D31D50"/>
    <w:rsid w:val="00D8737A"/>
    <w:rsid w:val="00D87D26"/>
    <w:rsid w:val="00DA57D1"/>
    <w:rsid w:val="00DB0558"/>
    <w:rsid w:val="00DD77E3"/>
    <w:rsid w:val="00DE1D82"/>
    <w:rsid w:val="00DF6A62"/>
    <w:rsid w:val="00E1478D"/>
    <w:rsid w:val="00E24744"/>
    <w:rsid w:val="00E26AED"/>
    <w:rsid w:val="00E640A9"/>
    <w:rsid w:val="00E64922"/>
    <w:rsid w:val="00E67780"/>
    <w:rsid w:val="00E959C3"/>
    <w:rsid w:val="00EC3B12"/>
    <w:rsid w:val="00EC749E"/>
    <w:rsid w:val="00ED7F47"/>
    <w:rsid w:val="00F12421"/>
    <w:rsid w:val="00F25748"/>
    <w:rsid w:val="00F2734B"/>
    <w:rsid w:val="00F3419E"/>
    <w:rsid w:val="00F40962"/>
    <w:rsid w:val="00F45A38"/>
    <w:rsid w:val="00F921A9"/>
    <w:rsid w:val="00FA13D9"/>
    <w:rsid w:val="00FB2982"/>
    <w:rsid w:val="00FC54BF"/>
    <w:rsid w:val="00FC5D4D"/>
    <w:rsid w:val="00FD1D2B"/>
    <w:rsid w:val="00FD6EF1"/>
    <w:rsid w:val="00FF148D"/>
    <w:rsid w:val="00FF1E71"/>
    <w:rsid w:val="0191155F"/>
    <w:rsid w:val="01ED043A"/>
    <w:rsid w:val="04690B5B"/>
    <w:rsid w:val="060B2618"/>
    <w:rsid w:val="07FE772C"/>
    <w:rsid w:val="09E04BBE"/>
    <w:rsid w:val="0A2C79A9"/>
    <w:rsid w:val="0A96216B"/>
    <w:rsid w:val="0B26465B"/>
    <w:rsid w:val="0BD11D9B"/>
    <w:rsid w:val="0BE0123F"/>
    <w:rsid w:val="0C6E10F8"/>
    <w:rsid w:val="0C70679F"/>
    <w:rsid w:val="0C7C57CC"/>
    <w:rsid w:val="0CFF6E46"/>
    <w:rsid w:val="0F3266F6"/>
    <w:rsid w:val="107D761B"/>
    <w:rsid w:val="10CA6968"/>
    <w:rsid w:val="10E016E3"/>
    <w:rsid w:val="112575B5"/>
    <w:rsid w:val="11C559BB"/>
    <w:rsid w:val="11DA6487"/>
    <w:rsid w:val="126A2AAF"/>
    <w:rsid w:val="138537CA"/>
    <w:rsid w:val="14E70B0C"/>
    <w:rsid w:val="15CB473A"/>
    <w:rsid w:val="17D91ABB"/>
    <w:rsid w:val="17E65317"/>
    <w:rsid w:val="17F750DD"/>
    <w:rsid w:val="182B657E"/>
    <w:rsid w:val="190F5EB0"/>
    <w:rsid w:val="194F1079"/>
    <w:rsid w:val="19936094"/>
    <w:rsid w:val="1A9F4C03"/>
    <w:rsid w:val="1AD83A5A"/>
    <w:rsid w:val="1B6F3640"/>
    <w:rsid w:val="1D756563"/>
    <w:rsid w:val="1DC40D9D"/>
    <w:rsid w:val="1E065512"/>
    <w:rsid w:val="1F641DF4"/>
    <w:rsid w:val="20732053"/>
    <w:rsid w:val="226018D8"/>
    <w:rsid w:val="22D7628D"/>
    <w:rsid w:val="24C91F98"/>
    <w:rsid w:val="254924EF"/>
    <w:rsid w:val="25EB0E45"/>
    <w:rsid w:val="272200D9"/>
    <w:rsid w:val="27724C0C"/>
    <w:rsid w:val="282166DE"/>
    <w:rsid w:val="289D11E7"/>
    <w:rsid w:val="289F01A3"/>
    <w:rsid w:val="2A963E0A"/>
    <w:rsid w:val="2AF52325"/>
    <w:rsid w:val="2AF72CA1"/>
    <w:rsid w:val="2B5B3ADE"/>
    <w:rsid w:val="2B62339D"/>
    <w:rsid w:val="2CA34269"/>
    <w:rsid w:val="2CF558DE"/>
    <w:rsid w:val="2D416AE6"/>
    <w:rsid w:val="2DA23DA3"/>
    <w:rsid w:val="2DE837F9"/>
    <w:rsid w:val="2F991F7A"/>
    <w:rsid w:val="3037794E"/>
    <w:rsid w:val="303F40A7"/>
    <w:rsid w:val="31721780"/>
    <w:rsid w:val="32285FE1"/>
    <w:rsid w:val="375B3711"/>
    <w:rsid w:val="38F55A41"/>
    <w:rsid w:val="39981304"/>
    <w:rsid w:val="3A121130"/>
    <w:rsid w:val="3AA036BA"/>
    <w:rsid w:val="3AA7145C"/>
    <w:rsid w:val="3C042023"/>
    <w:rsid w:val="3C2A1FD8"/>
    <w:rsid w:val="3E2D4F45"/>
    <w:rsid w:val="3F7E1E7E"/>
    <w:rsid w:val="40C2334A"/>
    <w:rsid w:val="40ED310B"/>
    <w:rsid w:val="41281CAC"/>
    <w:rsid w:val="413B2D8F"/>
    <w:rsid w:val="41B34484"/>
    <w:rsid w:val="43161E15"/>
    <w:rsid w:val="435D6397"/>
    <w:rsid w:val="45C648F7"/>
    <w:rsid w:val="47830BC6"/>
    <w:rsid w:val="478F72EF"/>
    <w:rsid w:val="48EF2906"/>
    <w:rsid w:val="491366BA"/>
    <w:rsid w:val="4C393E30"/>
    <w:rsid w:val="4E57711F"/>
    <w:rsid w:val="4EF377B4"/>
    <w:rsid w:val="508161CB"/>
    <w:rsid w:val="50960A0D"/>
    <w:rsid w:val="50A020B8"/>
    <w:rsid w:val="542F2ED7"/>
    <w:rsid w:val="54DE530F"/>
    <w:rsid w:val="551C4A66"/>
    <w:rsid w:val="55B130AE"/>
    <w:rsid w:val="57714D74"/>
    <w:rsid w:val="57915F76"/>
    <w:rsid w:val="5792147D"/>
    <w:rsid w:val="588213D1"/>
    <w:rsid w:val="58C51674"/>
    <w:rsid w:val="5A431077"/>
    <w:rsid w:val="5A5754E9"/>
    <w:rsid w:val="5ABD1A00"/>
    <w:rsid w:val="5BA14FFF"/>
    <w:rsid w:val="5C191847"/>
    <w:rsid w:val="5F552CD4"/>
    <w:rsid w:val="5FEA56FD"/>
    <w:rsid w:val="61043CF5"/>
    <w:rsid w:val="618D05A1"/>
    <w:rsid w:val="620705EC"/>
    <w:rsid w:val="629464B3"/>
    <w:rsid w:val="6334558C"/>
    <w:rsid w:val="63552FCB"/>
    <w:rsid w:val="64386603"/>
    <w:rsid w:val="658925A5"/>
    <w:rsid w:val="66135798"/>
    <w:rsid w:val="68FF2D97"/>
    <w:rsid w:val="6B9834CC"/>
    <w:rsid w:val="6C286500"/>
    <w:rsid w:val="6EED65D4"/>
    <w:rsid w:val="6F616611"/>
    <w:rsid w:val="70CC6C5B"/>
    <w:rsid w:val="71D83D4C"/>
    <w:rsid w:val="71DD315D"/>
    <w:rsid w:val="731A14A9"/>
    <w:rsid w:val="737732E3"/>
    <w:rsid w:val="758506C2"/>
    <w:rsid w:val="763A6509"/>
    <w:rsid w:val="77313BD2"/>
    <w:rsid w:val="78E245F3"/>
    <w:rsid w:val="79BC05B6"/>
    <w:rsid w:val="7AB73691"/>
    <w:rsid w:val="7D021D8C"/>
    <w:rsid w:val="7D9E1C89"/>
    <w:rsid w:val="7E6C072D"/>
    <w:rsid w:val="7E9A2F26"/>
    <w:rsid w:val="7EF12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jc w:val="center"/>
    </w:pPr>
    <w:rPr>
      <w:sz w:val="18"/>
      <w:szCs w:val="18"/>
    </w:rPr>
  </w:style>
  <w:style w:type="character" w:styleId="6">
    <w:name w:val="page number"/>
    <w:basedOn w:val="5"/>
    <w:qFormat/>
    <w:uiPriority w:val="0"/>
  </w:style>
  <w:style w:type="character" w:customStyle="1" w:styleId="7">
    <w:name w:val="页眉 Char"/>
    <w:basedOn w:val="5"/>
    <w:link w:val="3"/>
    <w:semiHidden/>
    <w:qFormat/>
    <w:uiPriority w:val="99"/>
    <w:rPr>
      <w:rFonts w:ascii="Tahoma" w:hAnsi="Tahoma" w:eastAsia="微软雅黑" w:cstheme="minorBidi"/>
      <w:sz w:val="18"/>
      <w:szCs w:val="18"/>
    </w:rPr>
  </w:style>
  <w:style w:type="character" w:customStyle="1" w:styleId="8">
    <w:name w:val="页脚 Char"/>
    <w:basedOn w:val="5"/>
    <w:link w:val="2"/>
    <w:semiHidden/>
    <w:qFormat/>
    <w:uiPriority w:val="99"/>
    <w:rPr>
      <w:rFonts w:ascii="Tahoma" w:hAnsi="Tahoma" w:eastAsia="微软雅黑" w:cstheme="minorBid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409</Words>
  <Characters>2332</Characters>
  <Lines>19</Lines>
  <Paragraphs>5</Paragraphs>
  <TotalTime>0</TotalTime>
  <ScaleCrop>false</ScaleCrop>
  <LinksUpToDate>false</LinksUpToDate>
  <CharactersWithSpaces>2736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未知</cp:lastModifiedBy>
  <dcterms:modified xsi:type="dcterms:W3CDTF">2020-12-02T01:17:18Z</dcterms:modified>
  <cp:revision>157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