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ind w:firstLine="0" w:firstLineChars="0"/>
        <w:rPr>
          <w:rFonts w:ascii="宋体" w:hAnsi="宋体" w:cs="宋体"/>
          <w:b/>
          <w:bCs w:val="0"/>
          <w:color w:val="auto"/>
          <w:sz w:val="22"/>
          <w:highlight w:val="none"/>
        </w:rPr>
      </w:pPr>
      <w:r>
        <w:rPr>
          <w:rFonts w:hint="eastAsia" w:ascii="宋体" w:hAnsi="宋体" w:cs="宋体"/>
          <w:b/>
          <w:bCs w:val="0"/>
          <w:color w:val="auto"/>
          <w:sz w:val="22"/>
          <w:highlight w:val="none"/>
        </w:rPr>
        <w:t>附件：</w:t>
      </w:r>
    </w:p>
    <w:p>
      <w:pPr>
        <w:pStyle w:val="9"/>
        <w:numPr>
          <w:ilvl w:val="0"/>
          <w:numId w:val="1"/>
        </w:numPr>
        <w:ind w:left="0" w:leftChars="0" w:firstLine="0" w:firstLineChars="0"/>
        <w:rPr>
          <w:rFonts w:ascii="宋体" w:hAnsi="宋体" w:cs="宋体"/>
          <w:b/>
          <w:color w:val="auto"/>
          <w:kern w:val="0"/>
          <w:sz w:val="20"/>
          <w:szCs w:val="20"/>
          <w:highlight w:val="none"/>
        </w:rPr>
      </w:pPr>
      <w:r>
        <w:rPr>
          <w:rFonts w:hint="eastAsia" w:ascii="宋体" w:hAnsi="宋体" w:cs="宋体"/>
          <w:b/>
          <w:color w:val="auto"/>
          <w:sz w:val="20"/>
          <w:szCs w:val="20"/>
          <w:highlight w:val="none"/>
        </w:rPr>
        <w:t>、浙南平阳抗日根据地旧址创 4A 景区智能化项目预算清单及单价</w:t>
      </w:r>
      <w:r>
        <w:rPr>
          <w:rFonts w:hint="eastAsia" w:ascii="宋体" w:hAnsi="宋体" w:cs="宋体"/>
          <w:b/>
          <w:bCs/>
          <w:color w:val="auto"/>
          <w:kern w:val="0"/>
          <w:sz w:val="20"/>
          <w:szCs w:val="20"/>
          <w:highlight w:val="none"/>
          <w:lang w:bidi="ar"/>
        </w:rPr>
        <w:t>最高限价</w:t>
      </w:r>
      <w:r>
        <w:rPr>
          <w:rFonts w:hint="eastAsia" w:ascii="宋体" w:hAnsi="宋体" w:cs="宋体"/>
          <w:b/>
          <w:color w:val="auto"/>
          <w:sz w:val="20"/>
          <w:szCs w:val="20"/>
          <w:highlight w:val="none"/>
        </w:rPr>
        <w:t>如下，</w:t>
      </w:r>
      <w:r>
        <w:rPr>
          <w:rFonts w:hint="eastAsia" w:ascii="宋体" w:hAnsi="宋体" w:cs="宋体"/>
          <w:b/>
          <w:color w:val="auto"/>
          <w:kern w:val="0"/>
          <w:sz w:val="20"/>
          <w:szCs w:val="20"/>
          <w:highlight w:val="none"/>
        </w:rPr>
        <w:t>技术参数具体要求另见</w:t>
      </w:r>
      <w:r>
        <w:rPr>
          <w:rFonts w:hint="eastAsia" w:ascii="宋体" w:hAnsi="宋体" w:cs="宋体"/>
          <w:b/>
          <w:color w:val="auto"/>
          <w:kern w:val="0"/>
          <w:sz w:val="20"/>
          <w:szCs w:val="20"/>
          <w:highlight w:val="none"/>
          <w:lang w:eastAsia="zh-CN"/>
        </w:rPr>
        <w:t>“（二）、</w:t>
      </w:r>
      <w:r>
        <w:rPr>
          <w:rFonts w:hint="eastAsia" w:ascii="宋体" w:hAnsi="宋体" w:cs="宋体"/>
          <w:b/>
          <w:color w:val="auto"/>
          <w:kern w:val="0"/>
          <w:sz w:val="20"/>
          <w:szCs w:val="20"/>
          <w:highlight w:val="none"/>
        </w:rPr>
        <w:t>采购清单及具体参数要求</w:t>
      </w:r>
      <w:r>
        <w:rPr>
          <w:rFonts w:hint="eastAsia" w:ascii="宋体" w:hAnsi="宋体" w:cs="宋体"/>
          <w:b/>
          <w:color w:val="auto"/>
          <w:kern w:val="0"/>
          <w:sz w:val="20"/>
          <w:szCs w:val="20"/>
          <w:highlight w:val="none"/>
          <w:lang w:eastAsia="zh-CN"/>
        </w:rPr>
        <w:t>”</w:t>
      </w:r>
      <w:r>
        <w:rPr>
          <w:rFonts w:hint="eastAsia" w:ascii="宋体" w:hAnsi="宋体" w:cs="宋体"/>
          <w:b/>
          <w:color w:val="auto"/>
          <w:kern w:val="0"/>
          <w:sz w:val="20"/>
          <w:szCs w:val="20"/>
          <w:highlight w:val="none"/>
        </w:rPr>
        <w:t>。</w:t>
      </w:r>
    </w:p>
    <w:tbl>
      <w:tblPr>
        <w:tblStyle w:val="10"/>
        <w:tblW w:w="8960" w:type="dxa"/>
        <w:tblInd w:w="93" w:type="dxa"/>
        <w:tblLayout w:type="autofit"/>
        <w:tblCellMar>
          <w:top w:w="0" w:type="dxa"/>
          <w:left w:w="108" w:type="dxa"/>
          <w:bottom w:w="0" w:type="dxa"/>
          <w:right w:w="108" w:type="dxa"/>
        </w:tblCellMar>
      </w:tblPr>
      <w:tblGrid>
        <w:gridCol w:w="760"/>
        <w:gridCol w:w="3433"/>
        <w:gridCol w:w="867"/>
        <w:gridCol w:w="1350"/>
        <w:gridCol w:w="1300"/>
        <w:gridCol w:w="1250"/>
      </w:tblGrid>
      <w:tr>
        <w:tblPrEx>
          <w:tblCellMar>
            <w:top w:w="0" w:type="dxa"/>
            <w:left w:w="108" w:type="dxa"/>
            <w:bottom w:w="0" w:type="dxa"/>
            <w:right w:w="108" w:type="dxa"/>
          </w:tblCellMar>
        </w:tblPrEx>
        <w:trPr>
          <w:trHeight w:val="9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4"/>
                <w:rFonts w:hint="default"/>
                <w:color w:val="auto"/>
                <w:highlight w:val="none"/>
                <w:lang w:bidi="ar"/>
              </w:rPr>
              <w:t>序号</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4"/>
                <w:rFonts w:hint="default"/>
                <w:color w:val="auto"/>
                <w:highlight w:val="none"/>
                <w:lang w:bidi="ar"/>
              </w:rPr>
              <w:t>设备、材料名称</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5"/>
                <w:rFonts w:hint="default"/>
                <w:color w:val="auto"/>
                <w:highlight w:val="none"/>
                <w:lang w:bidi="ar"/>
              </w:rPr>
              <w:t>单位</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暂定数量</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综合单价最高限价（元）</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5"/>
                <w:rFonts w:hint="default"/>
                <w:color w:val="auto"/>
                <w:highlight w:val="none"/>
                <w:lang w:bidi="ar"/>
              </w:rPr>
              <w:t>金额</w:t>
            </w:r>
            <w:r>
              <w:rPr>
                <w:rFonts w:hint="eastAsia" w:ascii="宋体" w:hAnsi="宋体" w:cs="宋体"/>
                <w:b/>
                <w:bCs/>
                <w:color w:val="auto"/>
                <w:kern w:val="0"/>
                <w:sz w:val="20"/>
                <w:szCs w:val="20"/>
                <w:highlight w:val="none"/>
                <w:lang w:bidi="ar"/>
              </w:rPr>
              <w:t>（元）</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jc w:val="center"/>
              <w:textAlignment w:val="center"/>
              <w:rPr>
                <w:rFonts w:ascii="宋体" w:hAnsi="宋体" w:cs="宋体"/>
                <w:b/>
                <w:bCs/>
                <w:color w:val="auto"/>
                <w:sz w:val="20"/>
                <w:szCs w:val="20"/>
                <w:highlight w:val="none"/>
              </w:rPr>
            </w:pPr>
            <w:r>
              <w:rPr>
                <w:rStyle w:val="15"/>
                <w:rFonts w:hint="eastAsia"/>
                <w:color w:val="auto"/>
                <w:highlight w:val="none"/>
                <w:lang w:eastAsia="zh-CN" w:bidi="ar"/>
              </w:rPr>
              <w:t>第一部分：</w:t>
            </w:r>
            <w:r>
              <w:rPr>
                <w:rStyle w:val="15"/>
                <w:rFonts w:hint="default"/>
                <w:color w:val="auto"/>
                <w:highlight w:val="none"/>
                <w:lang w:bidi="ar"/>
              </w:rPr>
              <w:t>弱电上改下</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5"/>
                <w:rFonts w:hint="default"/>
                <w:color w:val="auto"/>
                <w:highlight w:val="none"/>
                <w:lang w:bidi="ar"/>
              </w:rPr>
              <w:t>A</w:t>
            </w: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5"/>
                <w:rFonts w:hint="default"/>
                <w:color w:val="auto"/>
                <w:highlight w:val="none"/>
                <w:lang w:bidi="ar"/>
              </w:rPr>
              <w:t>水平、垂直区子系统</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b/>
                <w:bCs/>
                <w:color w:val="auto"/>
                <w:sz w:val="20"/>
                <w:szCs w:val="20"/>
                <w:highlight w:val="none"/>
              </w:rPr>
            </w:pP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6芯单模室外光缆</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9932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57605.6</w:t>
            </w:r>
          </w:p>
        </w:tc>
      </w:tr>
      <w:tr>
        <w:tblPrEx>
          <w:tblCellMar>
            <w:top w:w="0" w:type="dxa"/>
            <w:left w:w="108" w:type="dxa"/>
            <w:bottom w:w="0" w:type="dxa"/>
            <w:right w:w="108" w:type="dxa"/>
          </w:tblCellMar>
        </w:tblPrEx>
        <w:trPr>
          <w:trHeight w:val="72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6类4对室外阻水UTP电缆</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22833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132431.4</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电源线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484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28072</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电源线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10504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126048</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电源线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3360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7.3</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24528</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5"/>
                <w:rFonts w:hint="default"/>
                <w:color w:val="auto"/>
                <w:highlight w:val="none"/>
                <w:lang w:bidi="ar"/>
              </w:rPr>
              <w:t>B</w:t>
            </w: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5"/>
                <w:rFonts w:hint="default"/>
                <w:color w:val="auto"/>
                <w:highlight w:val="none"/>
                <w:lang w:bidi="ar"/>
              </w:rPr>
              <w:t>管理区子系统</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auto"/>
                <w:sz w:val="20"/>
                <w:szCs w:val="20"/>
                <w:highlight w:val="none"/>
              </w:rPr>
            </w:pP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光缆终端盒</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光纤适配器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1080</w:t>
            </w:r>
          </w:p>
        </w:tc>
      </w:tr>
      <w:tr>
        <w:tblPrEx>
          <w:tblCellMar>
            <w:top w:w="0" w:type="dxa"/>
            <w:left w:w="108" w:type="dxa"/>
            <w:bottom w:w="0" w:type="dxa"/>
            <w:right w:w="108" w:type="dxa"/>
          </w:tblCellMar>
        </w:tblPrEx>
        <w:trPr>
          <w:trHeight w:val="28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光纤尾纤</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根</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2160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光纤熔接</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芯</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11160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双芯单模光纤跳线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根</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15米HDMI视频线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条</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325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4550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拼接屏前维护支架</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1220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17080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LED大屏屏体结构</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2500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148750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LED大屏外框结构</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515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30642.5</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LED大屏配电柜</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23520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8口POE交换机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3820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202460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5"/>
                <w:rFonts w:hint="default"/>
                <w:color w:val="auto"/>
                <w:highlight w:val="none"/>
                <w:lang w:bidi="ar"/>
              </w:rPr>
              <w:t>C</w:t>
            </w: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5"/>
                <w:rFonts w:hint="default"/>
                <w:color w:val="auto"/>
                <w:highlight w:val="none"/>
                <w:lang w:bidi="ar"/>
              </w:rPr>
              <w:t>设备间子系统</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auto"/>
                <w:sz w:val="20"/>
                <w:szCs w:val="20"/>
                <w:highlight w:val="none"/>
              </w:rPr>
            </w:pP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48口光纤ODF架</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263.8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1055.2</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SC托盘套件（单模）</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240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3840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光纤熔接</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芯</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2160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双芯单模光纤跳线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根</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1696</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汇聚交换机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98000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UPS输入及输出线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75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3750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UPS主机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33800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67600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铅酸蓄电池</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1280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102400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电池箱</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1400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5600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UPS配电箱</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3850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7700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控制终端</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4988</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59856</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42U网络机柜</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12000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Style w:val="15"/>
                <w:rFonts w:hint="default"/>
                <w:color w:val="auto"/>
                <w:highlight w:val="none"/>
                <w:lang w:bidi="ar"/>
              </w:rPr>
              <w:t>D</w:t>
            </w: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5"/>
                <w:rFonts w:hint="default"/>
                <w:color w:val="auto"/>
                <w:highlight w:val="none"/>
                <w:lang w:bidi="ar"/>
              </w:rPr>
              <w:t>管材子系统</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auto"/>
                <w:sz w:val="20"/>
                <w:szCs w:val="20"/>
                <w:highlight w:val="none"/>
              </w:rPr>
            </w:pP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HDPE波纹管</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10284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514200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PE管</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16150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弱电手孔井</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320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38720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智能监控箱</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115500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智能监控箱运维平台</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3560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14240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立杆</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89700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防静电活动地板</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13300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围栏小门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2880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后门小门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1.76</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1625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大门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1960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26460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b/>
                <w:bCs/>
                <w:color w:val="auto"/>
                <w:sz w:val="20"/>
                <w:szCs w:val="20"/>
                <w:highlight w:val="none"/>
              </w:rPr>
            </w:pP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弱电上改下合计：</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2016814.7</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FFFF00"/>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shd w:val="clear" w:fill="FFFF00"/>
                <w:lang w:eastAsia="zh-CN" w:bidi="ar"/>
              </w:rPr>
              <w:t>第二部分：</w:t>
            </w:r>
            <w:r>
              <w:rPr>
                <w:rFonts w:hint="eastAsia" w:ascii="宋体" w:hAnsi="宋体" w:cs="宋体"/>
                <w:b/>
                <w:bCs/>
                <w:color w:val="auto"/>
                <w:kern w:val="0"/>
                <w:sz w:val="20"/>
                <w:szCs w:val="20"/>
                <w:highlight w:val="none"/>
                <w:shd w:val="clear" w:fill="FFFF00"/>
                <w:lang w:bidi="ar"/>
              </w:rPr>
              <w:t>智能化工程</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5"/>
                <w:rFonts w:hint="default"/>
                <w:color w:val="auto"/>
                <w:highlight w:val="none"/>
                <w:lang w:bidi="ar"/>
              </w:rPr>
              <w:t>A：计算机网络系统</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智能网络管理中心一体机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88000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室外无线AP</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232000</w:t>
            </w:r>
          </w:p>
        </w:tc>
      </w:tr>
      <w:tr>
        <w:tblPrEx>
          <w:tblCellMar>
            <w:top w:w="0" w:type="dxa"/>
            <w:left w:w="108" w:type="dxa"/>
            <w:bottom w:w="0" w:type="dxa"/>
            <w:right w:w="108" w:type="dxa"/>
          </w:tblCellMar>
        </w:tblPrEx>
        <w:trPr>
          <w:trHeight w:val="90"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5"/>
                <w:rFonts w:hint="default"/>
                <w:color w:val="auto"/>
                <w:highlight w:val="none"/>
                <w:lang w:bidi="ar"/>
              </w:rPr>
              <w:t>B：视频监控系统</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600万全彩枪机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725</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118175</w:t>
            </w:r>
          </w:p>
        </w:tc>
      </w:tr>
      <w:tr>
        <w:tblPrEx>
          <w:tblCellMar>
            <w:top w:w="0" w:type="dxa"/>
            <w:left w:w="108" w:type="dxa"/>
            <w:bottom w:w="0" w:type="dxa"/>
            <w:right w:w="108" w:type="dxa"/>
          </w:tblCellMar>
        </w:tblPrEx>
        <w:trPr>
          <w:trHeight w:val="72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400万32倍星光红外跟踪球</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29</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3980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115420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客流统计摄像机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2220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19980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硬盘录像机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27680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83040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硬盘录像机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18860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18860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55寸液晶拼接单元</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7850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78500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42寸液晶拼接单元</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7680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30720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监视器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4980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9960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解码器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22500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67500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10</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服务器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38800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中心管理软件</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28800</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5"/>
                <w:rFonts w:hint="default"/>
                <w:color w:val="auto"/>
                <w:highlight w:val="none"/>
                <w:lang w:bidi="ar"/>
              </w:rPr>
              <w:t>C：公共广播系统</w:t>
            </w:r>
          </w:p>
        </w:tc>
      </w:tr>
      <w:tr>
        <w:tblPrEx>
          <w:tblCellMar>
            <w:top w:w="0" w:type="dxa"/>
            <w:left w:w="108" w:type="dxa"/>
            <w:bottom w:w="0" w:type="dxa"/>
            <w:right w:w="108" w:type="dxa"/>
          </w:tblCellMar>
        </w:tblPrEx>
        <w:trPr>
          <w:trHeight w:val="9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IP网络广播服务器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18600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55800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网络广播系统软件</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13200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39600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寻呼话筒</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17640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IP网络音柱</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29</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63800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IP网络草坪音箱</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1650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95700</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5"/>
                <w:rFonts w:hint="default"/>
                <w:color w:val="auto"/>
                <w:highlight w:val="none"/>
                <w:lang w:bidi="ar"/>
              </w:rPr>
              <w:t>D：信息发布系统</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P3室外全彩</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平方米</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59.504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523635.20 </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控制系统</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5820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23280</w:t>
            </w:r>
          </w:p>
        </w:tc>
      </w:tr>
      <w:tr>
        <w:tblPrEx>
          <w:tblCellMar>
            <w:top w:w="0" w:type="dxa"/>
            <w:left w:w="108" w:type="dxa"/>
            <w:bottom w:w="0" w:type="dxa"/>
            <w:right w:w="108" w:type="dxa"/>
          </w:tblCellMar>
        </w:tblPrEx>
        <w:trPr>
          <w:trHeight w:val="285"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b/>
                <w:bCs/>
                <w:color w:val="auto"/>
                <w:sz w:val="20"/>
                <w:szCs w:val="20"/>
                <w:highlight w:val="none"/>
              </w:rPr>
            </w:pPr>
            <w:r>
              <w:rPr>
                <w:rStyle w:val="15"/>
                <w:rFonts w:hint="default"/>
                <w:color w:val="auto"/>
                <w:highlight w:val="none"/>
                <w:lang w:bidi="ar"/>
              </w:rPr>
              <w:t>E：停车管理系统、人行通道闸管理系统</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快速摆闸速通门（左）</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12000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24000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2</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快速摆闸速通门（右）</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15650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31300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3</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快速摆闸速通门（中）</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21800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130800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4</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遥控器</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350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2800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5</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车牌识别一体机</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5180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20720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6</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自动道闸</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4680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18720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7</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出入口雷达</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4000</w:t>
            </w:r>
          </w:p>
        </w:tc>
      </w:tr>
      <w:tr>
        <w:tblPrEx>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8</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出入口控制终端</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5399</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10798</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9</w:t>
            </w:r>
          </w:p>
        </w:tc>
        <w:tc>
          <w:tcPr>
            <w:tcW w:w="34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门禁系统</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2200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lang w:bidi="ar"/>
              </w:rPr>
              <w:t>4400</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0"/>
                <w:szCs w:val="20"/>
                <w:highlight w:val="none"/>
              </w:rPr>
            </w:pP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智能化工程合计</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1996748.2</w:t>
            </w:r>
          </w:p>
        </w:tc>
      </w:tr>
      <w:tr>
        <w:tblPrEx>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auto"/>
                <w:sz w:val="20"/>
                <w:szCs w:val="20"/>
                <w:highlight w:val="none"/>
              </w:rPr>
            </w:pPr>
          </w:p>
        </w:tc>
        <w:tc>
          <w:tcPr>
            <w:tcW w:w="6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auto"/>
                <w:sz w:val="24"/>
                <w:highlight w:val="none"/>
              </w:rPr>
            </w:pPr>
            <w:r>
              <w:rPr>
                <w:rFonts w:hint="eastAsia" w:ascii="宋体" w:hAnsi="宋体" w:cs="宋体"/>
                <w:b/>
                <w:bCs/>
                <w:color w:val="auto"/>
                <w:kern w:val="0"/>
                <w:sz w:val="24"/>
                <w:highlight w:val="none"/>
                <w:lang w:bidi="ar"/>
              </w:rPr>
              <w:t>总计</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4013562.9</w:t>
            </w:r>
          </w:p>
        </w:tc>
      </w:tr>
    </w:tbl>
    <w:p>
      <w:pPr>
        <w:pStyle w:val="9"/>
        <w:ind w:left="0" w:leftChars="0" w:firstLine="0" w:firstLineChars="0"/>
        <w:rPr>
          <w:rFonts w:ascii="宋体" w:hAnsi="宋体" w:cs="宋体"/>
          <w:b/>
          <w:color w:val="auto"/>
          <w:kern w:val="0"/>
          <w:sz w:val="20"/>
          <w:szCs w:val="20"/>
          <w:highlight w:val="none"/>
        </w:rPr>
      </w:pPr>
    </w:p>
    <w:p>
      <w:pPr>
        <w:adjustRightInd w:val="0"/>
        <w:spacing w:before="100" w:after="50" w:line="440" w:lineRule="atLeast"/>
        <w:rPr>
          <w:rFonts w:ascii="宋体" w:hAnsi="宋体" w:cs="宋体"/>
          <w:color w:val="auto"/>
          <w:sz w:val="20"/>
          <w:szCs w:val="20"/>
          <w:highlight w:val="none"/>
        </w:rPr>
        <w:sectPr>
          <w:footerReference r:id="rId3" w:type="default"/>
          <w:pgSz w:w="11906" w:h="16838"/>
          <w:pgMar w:top="1440" w:right="1417" w:bottom="1440" w:left="1417" w:header="851" w:footer="992" w:gutter="0"/>
          <w:cols w:space="0" w:num="1"/>
          <w:docGrid w:type="lines" w:linePitch="312" w:charSpace="0"/>
        </w:sectPr>
      </w:pPr>
    </w:p>
    <w:p>
      <w:pPr>
        <w:pStyle w:val="5"/>
        <w:numPr>
          <w:ilvl w:val="0"/>
          <w:numId w:val="2"/>
        </w:numPr>
        <w:ind w:firstLine="201"/>
        <w:jc w:val="left"/>
        <w:rPr>
          <w:rFonts w:ascii="宋体" w:hAnsi="宋体" w:cs="宋体"/>
          <w:b/>
          <w:bCs w:val="0"/>
          <w:color w:val="auto"/>
          <w:sz w:val="20"/>
          <w:szCs w:val="20"/>
          <w:highlight w:val="none"/>
        </w:rPr>
      </w:pPr>
      <w:r>
        <w:rPr>
          <w:rFonts w:hint="eastAsia" w:ascii="宋体" w:hAnsi="宋体" w:cs="宋体"/>
          <w:b/>
          <w:bCs w:val="0"/>
          <w:color w:val="auto"/>
          <w:sz w:val="20"/>
          <w:szCs w:val="20"/>
          <w:highlight w:val="none"/>
        </w:rPr>
        <w:t>采购清单及具体参数要求：</w:t>
      </w:r>
    </w:p>
    <w:tbl>
      <w:tblPr>
        <w:tblStyle w:val="10"/>
        <w:tblW w:w="9719" w:type="dxa"/>
        <w:tblInd w:w="93" w:type="dxa"/>
        <w:tblLayout w:type="fixed"/>
        <w:tblCellMar>
          <w:top w:w="0" w:type="dxa"/>
          <w:left w:w="108" w:type="dxa"/>
          <w:bottom w:w="0" w:type="dxa"/>
          <w:right w:w="108" w:type="dxa"/>
        </w:tblCellMar>
      </w:tblPr>
      <w:tblGrid>
        <w:gridCol w:w="586"/>
        <w:gridCol w:w="1501"/>
        <w:gridCol w:w="6167"/>
        <w:gridCol w:w="713"/>
        <w:gridCol w:w="752"/>
      </w:tblGrid>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序号</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设备、材料名称</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设备参数</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单位</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暂定数量</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b/>
                <w:bCs/>
                <w:color w:val="auto"/>
                <w:sz w:val="21"/>
                <w:szCs w:val="21"/>
                <w:highlight w:val="none"/>
              </w:rPr>
            </w:pPr>
            <w:r>
              <w:rPr>
                <w:rStyle w:val="15"/>
                <w:rFonts w:hint="eastAsia"/>
                <w:color w:val="auto"/>
                <w:sz w:val="21"/>
                <w:szCs w:val="21"/>
                <w:highlight w:val="none"/>
                <w:lang w:eastAsia="zh-CN" w:bidi="ar"/>
              </w:rPr>
              <w:t>第一部分：</w:t>
            </w:r>
            <w:r>
              <w:rPr>
                <w:rFonts w:hint="eastAsia" w:ascii="宋体" w:hAnsi="宋体" w:cs="宋体"/>
                <w:b/>
                <w:bCs/>
                <w:color w:val="auto"/>
                <w:kern w:val="0"/>
                <w:sz w:val="21"/>
                <w:szCs w:val="21"/>
                <w:highlight w:val="none"/>
                <w:lang w:bidi="ar"/>
              </w:rPr>
              <w:t>弱电上改下</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A</w:t>
            </w:r>
          </w:p>
        </w:tc>
        <w:tc>
          <w:tcPr>
            <w:tcW w:w="91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水平、垂直区子系统</w:t>
            </w:r>
          </w:p>
        </w:tc>
      </w:tr>
      <w:tr>
        <w:tblPrEx>
          <w:tblCellMar>
            <w:top w:w="0" w:type="dxa"/>
            <w:left w:w="108" w:type="dxa"/>
            <w:bottom w:w="0" w:type="dxa"/>
            <w:right w:w="108" w:type="dxa"/>
          </w:tblCellMar>
        </w:tblPrEx>
        <w:trPr>
          <w:trHeight w:val="26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6芯单模室外光缆</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1.产品符合GB/T9771 标准</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2.松套管使用具有很好的耐水解性能和较高的强度的材料制成</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3.松套管内充以特种油膏，对光纤进行了关键性保护</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4.纵包涂塑皱纹钢带，具有很好的抗侧压性能及提高光缆的抗潮能力</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5.两根平行钢丝保证光缆的抗拉强度、使光缆的抗扭转性更强</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6.PE 护套能够很好的防紫外线照射</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7.直径小，重量轻，施工方便，容易敷设，余长控制稳定</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8.敷设方式：穿管或非自承式架空</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9.工作温度：-40℃～+60℃</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 xml:space="preserve">10.外护套颜色：黑色 </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11.光纤规格：B1.3</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12.光缆直径(mm)：8.2</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13.允许拉伸力(短期/长期、N)：600/200</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14.允许压扁力(短期/长期、N/100mm)：1000/300</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 xml:space="preserve">15.成缆后衰减(dB/km)：@1310/1550nm：0.4/0.3 </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16.弯曲半径（动态/静态）：20D/10D</w:t>
            </w:r>
          </w:p>
          <w:p>
            <w:pPr>
              <w:pStyle w:val="5"/>
              <w:keepNext w:val="0"/>
              <w:keepLines w:val="0"/>
              <w:pageBreakBefore w:val="0"/>
              <w:kinsoku/>
              <w:wordWrap/>
              <w:overflowPunct/>
              <w:topLinePunct w:val="0"/>
              <w:bidi w:val="0"/>
              <w:snapToGrid/>
              <w:spacing w:after="0" w:line="300" w:lineRule="exact"/>
              <w:ind w:left="0" w:leftChars="0" w:firstLine="0" w:firstLineChars="0"/>
              <w:rPr>
                <w:rFonts w:hint="default" w:eastAsia="宋体"/>
                <w:color w:val="auto"/>
                <w:sz w:val="21"/>
                <w:szCs w:val="21"/>
                <w:highlight w:val="none"/>
                <w:lang w:val="en-US" w:eastAsia="zh-CN"/>
              </w:rPr>
            </w:pPr>
            <w:r>
              <w:rPr>
                <w:rFonts w:hint="eastAsia"/>
                <w:color w:val="auto"/>
                <w:sz w:val="21"/>
                <w:szCs w:val="21"/>
                <w:highlight w:val="none"/>
                <w:lang w:val="en-US" w:eastAsia="zh-CN"/>
              </w:rPr>
              <w:t>17.</w:t>
            </w:r>
            <w:r>
              <w:rPr>
                <w:rFonts w:hint="eastAsia" w:ascii="宋体" w:hAnsi="宋体" w:cs="宋体"/>
                <w:color w:val="auto"/>
                <w:kern w:val="0"/>
                <w:sz w:val="21"/>
                <w:szCs w:val="21"/>
                <w:highlight w:val="none"/>
                <w:lang w:val="en-US" w:eastAsia="zh-CN" w:bidi="ar"/>
              </w:rPr>
              <w:t>包含管、暗槽内穿放.</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9932</w:t>
            </w:r>
          </w:p>
        </w:tc>
      </w:tr>
      <w:tr>
        <w:tblPrEx>
          <w:tblCellMar>
            <w:top w:w="0" w:type="dxa"/>
            <w:left w:w="108" w:type="dxa"/>
            <w:bottom w:w="0" w:type="dxa"/>
            <w:right w:w="108" w:type="dxa"/>
          </w:tblCellMar>
        </w:tblPrEx>
        <w:trPr>
          <w:trHeight w:val="34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6类4对室外阻水UTP电缆</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1.依据标准YD/T 1019</w:t>
            </w:r>
            <w:r>
              <w:rPr>
                <w:rFonts w:hint="eastAsia" w:ascii="宋体" w:hAnsi="宋体" w:cs="宋体"/>
                <w:color w:val="auto"/>
                <w:kern w:val="0"/>
                <w:sz w:val="21"/>
                <w:szCs w:val="21"/>
                <w:highlight w:val="none"/>
                <w:lang w:val="en-US" w:eastAsia="zh-CN" w:bidi="ar"/>
              </w:rPr>
              <w:t>-2013</w:t>
            </w:r>
            <w:r>
              <w:rPr>
                <w:rFonts w:hint="eastAsia" w:ascii="宋体" w:hAnsi="宋体" w:cs="宋体"/>
                <w:color w:val="auto"/>
                <w:kern w:val="0"/>
                <w:sz w:val="21"/>
                <w:szCs w:val="21"/>
                <w:highlight w:val="none"/>
                <w:lang w:bidi="ar"/>
              </w:rPr>
              <w:t>，同时符合标准ISO/IEC 11801、TIA-568.2-D</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2.护套材料：PE</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3.绝缘层材料：PE                 </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4.铜导体直径：23AWG</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5.直流电阻不平衡 ：≤2%(线对内两导体间) ≤4%(线对与线对间)</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6.绝缘电阻 ：≥5000MΩ•km</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7.线对对地电容不平衡： ≤160pF/100m</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8.特性阻抗 ：100±15Ω</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9.安装温度：0℃～50℃</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10.工作温度：-20℃～60℃</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val="en-US" w:eastAsia="zh-CN" w:bidi="ar"/>
              </w:rPr>
              <w:t>11、包含管、暗槽内穿放</w:t>
            </w:r>
            <w:r>
              <w:rPr>
                <w:rFonts w:hint="eastAsia" w:ascii="宋体" w:hAnsi="宋体" w:cs="宋体"/>
                <w:color w:val="auto"/>
                <w:kern w:val="0"/>
                <w:sz w:val="21"/>
                <w:szCs w:val="21"/>
                <w:highlight w:val="none"/>
                <w:lang w:bidi="ar"/>
              </w:rPr>
              <w:t xml:space="preserve">  </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22833</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电源线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hint="eastAsia"/>
                <w:color w:val="auto"/>
                <w:sz w:val="21"/>
                <w:szCs w:val="21"/>
                <w:highlight w:val="none"/>
              </w:rPr>
            </w:pPr>
            <w:r>
              <w:rPr>
                <w:rFonts w:hint="eastAsia"/>
                <w:color w:val="auto"/>
                <w:sz w:val="21"/>
                <w:szCs w:val="21"/>
                <w:highlight w:val="none"/>
              </w:rPr>
              <w:t>1、100%高纯无氧铜线芯，内外护套交联聚乙烯，国标</w:t>
            </w:r>
            <w:r>
              <w:rPr>
                <w:rFonts w:hint="eastAsia"/>
                <w:color w:val="auto"/>
                <w:sz w:val="21"/>
                <w:szCs w:val="21"/>
                <w:highlight w:val="none"/>
              </w:rPr>
              <w:br w:type="textWrapping"/>
            </w:r>
            <w:r>
              <w:rPr>
                <w:rFonts w:hint="eastAsia"/>
                <w:color w:val="auto"/>
                <w:sz w:val="21"/>
                <w:szCs w:val="21"/>
                <w:highlight w:val="none"/>
              </w:rPr>
              <w:t>2、包含管、暗槽内穿放</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eastAsia="宋体"/>
                <w:color w:val="auto"/>
                <w:sz w:val="21"/>
                <w:szCs w:val="21"/>
                <w:highlight w:val="none"/>
                <w:lang w:val="en-US" w:eastAsia="zh-CN"/>
              </w:rPr>
            </w:pPr>
            <w:r>
              <w:rPr>
                <w:rFonts w:hint="eastAsia"/>
                <w:color w:val="auto"/>
                <w:sz w:val="21"/>
                <w:szCs w:val="21"/>
                <w:highlight w:val="none"/>
                <w:lang w:val="en-US" w:eastAsia="zh-CN"/>
              </w:rPr>
              <w:t>3</w:t>
            </w:r>
            <w:r>
              <w:rPr>
                <w:rFonts w:hint="eastAsia"/>
                <w:color w:val="auto"/>
                <w:sz w:val="21"/>
                <w:szCs w:val="21"/>
                <w:highlight w:val="none"/>
              </w:rPr>
              <w:t>、</w:t>
            </w:r>
            <w:r>
              <w:rPr>
                <w:rFonts w:hint="eastAsia"/>
                <w:color w:val="auto"/>
                <w:sz w:val="21"/>
                <w:szCs w:val="21"/>
                <w:highlight w:val="none"/>
                <w:lang w:eastAsia="zh-CN"/>
              </w:rPr>
              <w:t>产品规格：YJV4*16+1*10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484</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电源线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hint="eastAsia"/>
                <w:color w:val="auto"/>
                <w:sz w:val="21"/>
                <w:szCs w:val="21"/>
                <w:highlight w:val="none"/>
              </w:rPr>
            </w:pPr>
            <w:r>
              <w:rPr>
                <w:rFonts w:hint="eastAsia"/>
                <w:color w:val="auto"/>
                <w:sz w:val="21"/>
                <w:szCs w:val="21"/>
                <w:highlight w:val="none"/>
              </w:rPr>
              <w:t>1、100%高纯无氧铜线芯，内外护套交联聚乙烯，国标</w:t>
            </w:r>
            <w:r>
              <w:rPr>
                <w:rFonts w:hint="eastAsia"/>
                <w:color w:val="auto"/>
                <w:sz w:val="21"/>
                <w:szCs w:val="21"/>
                <w:highlight w:val="none"/>
              </w:rPr>
              <w:br w:type="textWrapping"/>
            </w:r>
            <w:r>
              <w:rPr>
                <w:rFonts w:hint="eastAsia"/>
                <w:color w:val="auto"/>
                <w:sz w:val="21"/>
                <w:szCs w:val="21"/>
                <w:highlight w:val="none"/>
              </w:rPr>
              <w:t>2、包含管、暗槽内穿放</w:t>
            </w:r>
          </w:p>
          <w:p>
            <w:pPr>
              <w:pStyle w:val="5"/>
              <w:keepNext w:val="0"/>
              <w:keepLines w:val="0"/>
              <w:pageBreakBefore w:val="0"/>
              <w:kinsoku/>
              <w:wordWrap/>
              <w:overflowPunct/>
              <w:topLinePunct w:val="0"/>
              <w:bidi w:val="0"/>
              <w:snapToGrid/>
              <w:spacing w:after="0" w:line="300" w:lineRule="exact"/>
              <w:ind w:left="0" w:leftChars="0" w:firstLine="0" w:firstLineChars="0"/>
              <w:rPr>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w:t>
            </w:r>
            <w:r>
              <w:rPr>
                <w:rFonts w:hint="eastAsia"/>
                <w:color w:val="auto"/>
                <w:sz w:val="21"/>
                <w:szCs w:val="21"/>
                <w:highlight w:val="none"/>
                <w:lang w:eastAsia="zh-CN"/>
              </w:rPr>
              <w:t>产品规格：RVV3*2.5</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10504</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电源线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hint="eastAsia"/>
                <w:color w:val="auto"/>
                <w:sz w:val="21"/>
                <w:szCs w:val="21"/>
                <w:highlight w:val="none"/>
              </w:rPr>
            </w:pPr>
            <w:r>
              <w:rPr>
                <w:rFonts w:hint="eastAsia"/>
                <w:color w:val="auto"/>
                <w:sz w:val="21"/>
                <w:szCs w:val="21"/>
                <w:highlight w:val="none"/>
              </w:rPr>
              <w:t>1、100%高纯无氧铜线芯，内外护套交联聚乙烯，国标</w:t>
            </w:r>
            <w:r>
              <w:rPr>
                <w:rFonts w:hint="eastAsia"/>
                <w:color w:val="auto"/>
                <w:sz w:val="21"/>
                <w:szCs w:val="21"/>
                <w:highlight w:val="none"/>
              </w:rPr>
              <w:br w:type="textWrapping"/>
            </w:r>
            <w:r>
              <w:rPr>
                <w:rFonts w:hint="eastAsia"/>
                <w:color w:val="auto"/>
                <w:sz w:val="21"/>
                <w:szCs w:val="21"/>
                <w:highlight w:val="none"/>
              </w:rPr>
              <w:t>2、包含管、暗槽内穿放</w:t>
            </w:r>
          </w:p>
          <w:p>
            <w:pPr>
              <w:pStyle w:val="5"/>
              <w:keepNext w:val="0"/>
              <w:keepLines w:val="0"/>
              <w:pageBreakBefore w:val="0"/>
              <w:kinsoku/>
              <w:wordWrap/>
              <w:overflowPunct/>
              <w:topLinePunct w:val="0"/>
              <w:bidi w:val="0"/>
              <w:snapToGrid/>
              <w:spacing w:after="0" w:line="300" w:lineRule="exact"/>
              <w:ind w:left="0" w:leftChars="0" w:firstLine="0" w:firstLineChars="0"/>
              <w:rPr>
                <w:rFonts w:hint="default"/>
                <w:color w:val="auto"/>
                <w:sz w:val="21"/>
                <w:szCs w:val="21"/>
                <w:highlight w:val="none"/>
                <w:lang w:val="en-US"/>
              </w:rPr>
            </w:pPr>
            <w:r>
              <w:rPr>
                <w:rFonts w:hint="eastAsia"/>
                <w:color w:val="auto"/>
                <w:sz w:val="21"/>
                <w:szCs w:val="21"/>
                <w:highlight w:val="none"/>
                <w:lang w:val="en-US" w:eastAsia="zh-CN"/>
              </w:rPr>
              <w:t>3</w:t>
            </w:r>
            <w:r>
              <w:rPr>
                <w:rFonts w:hint="eastAsia"/>
                <w:color w:val="auto"/>
                <w:sz w:val="21"/>
                <w:szCs w:val="21"/>
                <w:highlight w:val="none"/>
              </w:rPr>
              <w:t>、</w:t>
            </w:r>
            <w:r>
              <w:rPr>
                <w:rFonts w:hint="eastAsia"/>
                <w:color w:val="auto"/>
                <w:sz w:val="21"/>
                <w:szCs w:val="21"/>
                <w:highlight w:val="none"/>
                <w:lang w:eastAsia="zh-CN"/>
              </w:rPr>
              <w:t>产品规格：RVV3*</w:t>
            </w:r>
            <w:r>
              <w:rPr>
                <w:rFonts w:hint="eastAsia"/>
                <w:color w:val="auto"/>
                <w:sz w:val="21"/>
                <w:szCs w:val="21"/>
                <w:highlight w:val="none"/>
                <w:lang w:val="en-US" w:eastAsia="zh-CN"/>
              </w:rPr>
              <w:t>1.5</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3360</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B</w:t>
            </w:r>
          </w:p>
        </w:tc>
        <w:tc>
          <w:tcPr>
            <w:tcW w:w="91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管理区子系统</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光缆终端盒</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1.盒体材质为冷轧钢板；</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2.一盒多用，兼容SC、FC、ST、LC光纤适配器</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3.安装方式：挂墙或者桌面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4.外形尺寸：162*154*54mm（高 x 宽 x 深）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5.容量：12芯SC/FC/ST/LC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6.适用光缆：室内光缆、室外光缆（需选配室外光缆接地组件）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7.进缆方式：左侧和右侧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8.成端方式：常规熔接</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32</w:t>
            </w:r>
          </w:p>
        </w:tc>
      </w:tr>
      <w:tr>
        <w:tblPrEx>
          <w:tblCellMar>
            <w:top w:w="0" w:type="dxa"/>
            <w:left w:w="108" w:type="dxa"/>
            <w:bottom w:w="0" w:type="dxa"/>
            <w:right w:w="108" w:type="dxa"/>
          </w:tblCellMar>
        </w:tblPrEx>
        <w:trPr>
          <w:trHeight w:val="16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光纤适配器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1.光纤适配器(又名法兰盘),也叫光纤连接器，使插头与插头之间实现光学连接的器件</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2.符合标准：YD/T1272.3</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3.工作温度：－25℃～70℃</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4.插入损耗：＜0.2dB（单模） 小于0.1dB（多模）</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5.机械耐久性：插头插拔500 次之后，插入损耗变化量＜0.2dB</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180</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光纤尾纤</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1.采用0.9mm 紧套纤，外径小，节约布线空间</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2.SC单芯尾纤，1米</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3.采用抗弯光纤，提供更小的弯曲半径，适应复杂的布线环境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4.连接器性能优异，提高链路性能</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5.符合标准：YD/T1272.3</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6.插入损耗（dB）：≤0.3 （单模）、≤0.25（多模）</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7.回波损耗（dB）：≥50 （单模）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8.紧套材料：低烟无卤护套（LSZH）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9.紧套纤颜色：单模：黄色   多模：橙色   OM3：水绿色   OM4：玫红色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10.光纤线径：0.9mm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11.工作温度：-20℃～60℃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根</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180</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光纤熔接</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光纤连接，熔接法单模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芯</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180</w:t>
            </w:r>
          </w:p>
        </w:tc>
      </w:tr>
      <w:tr>
        <w:tblPrEx>
          <w:tblCellMar>
            <w:top w:w="0" w:type="dxa"/>
            <w:left w:w="108" w:type="dxa"/>
            <w:bottom w:w="0" w:type="dxa"/>
            <w:right w:w="108" w:type="dxa"/>
          </w:tblCellMar>
        </w:tblPrEx>
        <w:trPr>
          <w:trHeight w:val="4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双芯单模光纤跳线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1.采用芳纶加强件，提供优异的抗拉能力</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2.SC-LC跳线，2米</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3.采用抗弯光纤，提供更小的弯曲半径，适应复杂的布线环境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4.连接器性能优异，提高链路性能</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5.产品符合YD/T1272.3</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6.插入损耗（dB）:≤0.3（单模）、≤0.25（多模）</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7.回波损耗（dB）: ≥50（单模）</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8.跳线缆颜色:单模：黄色   多模：橙色   OM3：水绿色   OM4：玫红色</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9.护套材料:低烟无卤护套（LSZH）</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10.光纤线径:2.0mm</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11.工作温度:-20℃～60℃</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12.光纤芯数：1芯、2芯</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13.提供单项产品检测报告或其他第三方检验机构的证明文件</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根</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100</w:t>
            </w:r>
          </w:p>
        </w:tc>
      </w:tr>
      <w:tr>
        <w:tblPrEx>
          <w:tblCellMar>
            <w:top w:w="0" w:type="dxa"/>
            <w:left w:w="108" w:type="dxa"/>
            <w:bottom w:w="0" w:type="dxa"/>
            <w:right w:w="108" w:type="dxa"/>
          </w:tblCellMar>
        </w:tblPrEx>
        <w:trPr>
          <w:trHeight w:val="240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6</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15米HDMI视频线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HDMI电缆,HDMI/AM转HDMI/AM,15m,黑,加强型；</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端子镀金，耐氧化，阻抗小，信号传输更稳定。</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即插即用，无需驱动程序。</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环保加厚外被，耐磨不易破裂，经久耐用。</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产品经过多项专业测试，有品质保证。</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接口类型：HDMI；</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视频版本：HDMI 1.3；</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支持最大分辨率：1080P 60Hz；</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线缆类型（音视频线）：铜缆。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条</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14</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7</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拼接屏前维护支架</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前维护支架；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仅壁挂专用；下单数量=行*列，与屏幕数量相同。含屏厚度230-245mm；支架均采用SPCC优质冷轧钢板保障质量的源头；表面采用静电喷塑工艺，喷塑固化温度180-210度，涂层厚度80-100微米，对高防腐要求产品还可选择阴极电泳底漆工艺，防腐耐锈。</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弧度：0°；表面处理：静电喷塑；材料：SPCC高强度钢板；厚度：160mm+屏厚。</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14</w:t>
            </w:r>
          </w:p>
        </w:tc>
      </w:tr>
      <w:tr>
        <w:tblPrEx>
          <w:tblCellMar>
            <w:top w:w="0" w:type="dxa"/>
            <w:left w:w="108" w:type="dxa"/>
            <w:bottom w:w="0" w:type="dxa"/>
            <w:right w:w="108" w:type="dxa"/>
          </w:tblCellMar>
        </w:tblPrEx>
        <w:trPr>
          <w:trHeight w:val="72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LED大屏屏体结构</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定制户外LED显示屏专用箱体（包含屏体基础建设，室外音柱2只，180W 功放1台，宽480*高70*深255，定压定组两用，内置无线蓝牙,usb/SD卡直插，双话题输入，高低音调节）</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59.5</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9</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LED大屏外框结构</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line="30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定制户外LED显示屏专用箱体外框，要求与整体环境设计统一</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59.5</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10</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LED大屏配电柜</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20KW-PLC智能配电箱；支持手动控制+定时控制+远程控制+中控控制；</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182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8口POE交换机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1、端口类型：千兆POE电口≥8个，千兆 SFP光口≥4个；</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2、交换机性能：交换容量≥330Gbps；包转发率≥20Mpps；（若存在双参数，以官网最小值为准）提供官网截图及链接证明；</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3、支持IEEE 802.3af/at供电标准，整机最大输出功率≥120W；</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4、支持防网关ARP欺骗，支持端口保护、隔离，支持防止DOS、ARP攻击功能，支持CPU保护功能；</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5、★支持M-LAG技术，，要求配对的设备有独立的控制平面，要求提供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6、支持IEEE 802.3az 标准的 EEE节能技术：当EEE使能时，从而大幅度的减小端口在该阶段的功耗，达到了节能的目的。</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7、★支持智能交换机和普通交换机两种工作模式，可以根据不同的组网需要，随时在平台灵活的进行切换；提供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color w:val="auto"/>
                <w:kern w:val="0"/>
                <w:sz w:val="21"/>
                <w:szCs w:val="21"/>
                <w:highlight w:val="none"/>
                <w:lang w:eastAsia="zh-CN" w:bidi="ar"/>
              </w:rPr>
              <w:t>出具的</w:t>
            </w:r>
            <w:r>
              <w:rPr>
                <w:rFonts w:hint="eastAsia" w:ascii="宋体" w:hAnsi="宋体" w:cs="宋体"/>
                <w:color w:val="auto"/>
                <w:kern w:val="0"/>
                <w:sz w:val="21"/>
                <w:szCs w:val="21"/>
                <w:highlight w:val="none"/>
                <w:lang w:bidi="ar"/>
              </w:rPr>
              <w:t>测试报告证明；</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8、上线到管理平台的方式：支持二层广播自动发现平台；支持配置静态IP地址三层发现平台；支持DHCP Option43方式发现平台；支持DNS域名发现平台。</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9、★支持通过网管中心平台跨广域网、NAT远程管理智能交换机，要求提供具有CMA和CNAS认证章的</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10、支持通过平台的Web页面对交换机进行可视化管理查看，包括交换机的端口状态及配置、vlan信息；</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11、支持通过平台查看交换机处于工作端口的最近5分钟、1小时、最近1天、最近1周发送与接收的流量趋势；</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12、★支持终端类型库，</w:t>
            </w:r>
            <w:r>
              <w:rPr>
                <w:rFonts w:hint="eastAsia" w:ascii="宋体" w:hAnsi="宋体" w:cs="宋体"/>
                <w:color w:val="auto"/>
                <w:kern w:val="0"/>
                <w:sz w:val="21"/>
                <w:szCs w:val="21"/>
                <w:highlight w:val="none"/>
                <w:lang w:val="en-US" w:eastAsia="zh-CN" w:bidi="ar"/>
              </w:rPr>
              <w:t>基于指纹终端识别库自动识别</w:t>
            </w:r>
            <w:r>
              <w:rPr>
                <w:rFonts w:hint="eastAsia" w:ascii="宋体" w:hAnsi="宋体" w:cs="宋体"/>
                <w:color w:val="auto"/>
                <w:kern w:val="0"/>
                <w:sz w:val="21"/>
                <w:szCs w:val="21"/>
                <w:highlight w:val="none"/>
                <w:lang w:bidi="ar"/>
              </w:rPr>
              <w:t>PC、路由器、摄像头设备等，提供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测试报告证明。</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13、支持基于终端类型自动识别结果，禁止非法终端(例如私接路由器)接入</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14、★交换机端口支持IP+MAC</w:t>
            </w:r>
            <w:r>
              <w:rPr>
                <w:rFonts w:hint="eastAsia" w:ascii="宋体" w:hAnsi="宋体" w:cs="宋体"/>
                <w:color w:val="auto"/>
                <w:kern w:val="0"/>
                <w:sz w:val="21"/>
                <w:szCs w:val="21"/>
                <w:highlight w:val="none"/>
                <w:lang w:val="en-US" w:eastAsia="zh-CN" w:bidi="ar"/>
              </w:rPr>
              <w:t>首次部署自动学习</w:t>
            </w:r>
            <w:r>
              <w:rPr>
                <w:rFonts w:hint="eastAsia" w:ascii="宋体" w:hAnsi="宋体" w:cs="宋体"/>
                <w:color w:val="auto"/>
                <w:kern w:val="0"/>
                <w:sz w:val="21"/>
                <w:szCs w:val="21"/>
                <w:highlight w:val="none"/>
                <w:lang w:bidi="ar"/>
              </w:rPr>
              <w:t>绑定、</w:t>
            </w:r>
            <w:r>
              <w:rPr>
                <w:rFonts w:hint="eastAsia" w:ascii="宋体" w:hAnsi="宋体" w:cs="宋体"/>
                <w:color w:val="auto"/>
                <w:kern w:val="0"/>
                <w:sz w:val="21"/>
                <w:szCs w:val="21"/>
                <w:highlight w:val="none"/>
                <w:lang w:val="en-US" w:eastAsia="zh-CN" w:bidi="ar"/>
              </w:rPr>
              <w:t>终端IP-</w:t>
            </w:r>
            <w:r>
              <w:rPr>
                <w:rFonts w:hint="eastAsia" w:ascii="宋体" w:hAnsi="宋体" w:cs="宋体"/>
                <w:color w:val="auto"/>
                <w:kern w:val="0"/>
                <w:sz w:val="21"/>
                <w:szCs w:val="21"/>
                <w:highlight w:val="none"/>
                <w:lang w:bidi="ar"/>
              </w:rPr>
              <w:t>MAC绑定，</w:t>
            </w:r>
            <w:r>
              <w:rPr>
                <w:rFonts w:hint="eastAsia" w:ascii="宋体" w:hAnsi="宋体" w:cs="宋体"/>
                <w:color w:val="auto"/>
                <w:kern w:val="0"/>
                <w:sz w:val="21"/>
                <w:szCs w:val="21"/>
                <w:highlight w:val="none"/>
                <w:lang w:val="en-US" w:eastAsia="zh-CN" w:bidi="ar"/>
              </w:rPr>
              <w:t>端口终端类型</w:t>
            </w:r>
            <w:r>
              <w:rPr>
                <w:rFonts w:hint="eastAsia" w:ascii="宋体" w:hAnsi="宋体" w:cs="宋体"/>
                <w:color w:val="auto"/>
                <w:kern w:val="0"/>
                <w:sz w:val="21"/>
                <w:szCs w:val="21"/>
                <w:highlight w:val="none"/>
                <w:lang w:bidi="ar"/>
              </w:rPr>
              <w:t>变更时可通过短信、APP进行告警。提供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color w:val="auto"/>
                <w:kern w:val="0"/>
                <w:sz w:val="21"/>
                <w:szCs w:val="21"/>
                <w:highlight w:val="none"/>
                <w:lang w:eastAsia="zh-CN" w:bidi="ar"/>
              </w:rPr>
              <w:t>出具的</w:t>
            </w:r>
            <w:r>
              <w:rPr>
                <w:rFonts w:hint="eastAsia" w:ascii="宋体" w:hAnsi="宋体" w:cs="宋体"/>
                <w:color w:val="auto"/>
                <w:kern w:val="0"/>
                <w:sz w:val="21"/>
                <w:szCs w:val="21"/>
                <w:highlight w:val="none"/>
                <w:lang w:bidi="ar"/>
              </w:rPr>
              <w:t>测试报告证明；</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15、支持查看终端在交换机端口离线次数、闲置时间、离线趋势；支持查看安全事件记录、终端类型异常记录、终端在端口迁移次数、终端地址异常记录等安全事件的记录统计；支持查看终端的的历史接入交换机端口，终端的活跃状态；</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16、为防止PC进行WiFi共享，交换机须支持禁止通过内网PC端进行私接随身WiFi共享；</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17、★为防止非法终端接入，交换机端口</w:t>
            </w:r>
            <w:r>
              <w:rPr>
                <w:rFonts w:hint="eastAsia" w:ascii="宋体" w:hAnsi="宋体" w:cs="宋体"/>
                <w:color w:val="auto"/>
                <w:kern w:val="0"/>
                <w:sz w:val="21"/>
                <w:szCs w:val="21"/>
                <w:highlight w:val="none"/>
                <w:lang w:val="en-US" w:eastAsia="zh-CN" w:bidi="ar"/>
              </w:rPr>
              <w:t>组实现通过检测设备供电特征，有无供电，</w:t>
            </w:r>
            <w:r>
              <w:rPr>
                <w:rFonts w:hint="eastAsia" w:ascii="宋体" w:hAnsi="宋体" w:cs="宋体"/>
                <w:color w:val="auto"/>
                <w:kern w:val="0"/>
                <w:sz w:val="21"/>
                <w:szCs w:val="21"/>
                <w:highlight w:val="none"/>
                <w:lang w:bidi="ar"/>
              </w:rPr>
              <w:t>防止仿冒设备接入；提供具有CMA和CNAS认证章的</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18、支持在交换机上创建东西向安全策略，实现全网安全风险拦截；</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19、★为保证后期服务，设备厂商需满足CTS/FW01-2021售后服务完善度评价规范，服务能力获得八星级以上认证，提供证书扫描件</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w:t>
            </w:r>
            <w:r>
              <w:rPr>
                <w:rFonts w:hint="eastAsia" w:ascii="宋体" w:hAnsi="宋体" w:cs="宋体"/>
                <w:color w:val="auto"/>
                <w:kern w:val="0"/>
                <w:sz w:val="21"/>
                <w:szCs w:val="21"/>
                <w:highlight w:val="none"/>
                <w:lang w:val="en-US" w:eastAsia="zh-CN" w:bidi="ar"/>
              </w:rPr>
              <w:t>0</w:t>
            </w:r>
            <w:r>
              <w:rPr>
                <w:rFonts w:hint="eastAsia" w:ascii="宋体" w:hAnsi="宋体" w:cs="宋体"/>
                <w:color w:val="auto"/>
                <w:kern w:val="0"/>
                <w:sz w:val="21"/>
                <w:szCs w:val="21"/>
                <w:highlight w:val="none"/>
                <w:lang w:bidi="ar"/>
              </w:rPr>
              <w:t>、承诺中标后，设备提供三年质保，出具原厂售后质保函。</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53</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C</w:t>
            </w:r>
          </w:p>
        </w:tc>
        <w:tc>
          <w:tcPr>
            <w:tcW w:w="91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设备间子系统</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48口光纤ODF架</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1.产品符合 YD/T 778 标准；</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2.结构简单可靠，性价比高；</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3.采用全对称设计，左右两侧均可进缆和出纤，支持多种进缆方式以及左右出纤；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4.可兼容 LC、SC、FC、ST 一体化托盘套件；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5.兼容性高，安装侧耳设置多个安装位置，可用于 19 英寸机柜及 ODF 架；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6.引入光缆需选配接地组件；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7.安装尺寸：3U；</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8.结构类型：托盘式；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9.适用光缆：室外光缆和室内光缆；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10.适用托盘:LC托盘套件、SC 托盘套件、FC 托盘套件、ST 托盘套件和绿色一体化托盘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11.进纤方式：左侧和右侧；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12.出纤方式：左侧和右侧(需选配托盘套件)；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13.成端方式：常规熔接；</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14. 容量：1U 最大芯数 48芯(SC/FC/ST)/96芯(LC)。</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SC托盘套件（单模）</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1.托盘套件内含1束12芯SC单模或多模（OM2\OM3\OM4）束状尾纤和适配器</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 xml:space="preserve">2.端口标识，12色束状尾纤，清晰区分，一目了然 </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 xml:space="preserve">3.优质适配器，束状尾纤性能优异 </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4.阻燃等级为 V0级</w:t>
            </w:r>
          </w:p>
          <w:p>
            <w:pPr>
              <w:keepNext w:val="0"/>
              <w:keepLines w:val="0"/>
              <w:pageBreakBefore w:val="0"/>
              <w:widowControl/>
              <w:kinsoku/>
              <w:wordWrap/>
              <w:overflowPunct/>
              <w:topLinePunct w:val="0"/>
              <w:bidi w:val="0"/>
              <w:snapToGrid/>
              <w:spacing w:line="300" w:lineRule="exact"/>
              <w:jc w:val="left"/>
              <w:textAlignment w:val="center"/>
              <w:rPr>
                <w:color w:val="auto"/>
                <w:sz w:val="21"/>
                <w:szCs w:val="21"/>
                <w:highlight w:val="none"/>
              </w:rPr>
            </w:pPr>
            <w:r>
              <w:rPr>
                <w:rFonts w:hint="eastAsia"/>
                <w:color w:val="auto"/>
                <w:sz w:val="21"/>
                <w:szCs w:val="21"/>
                <w:highlight w:val="none"/>
              </w:rPr>
              <w:t xml:space="preserve">5.进出纤方式：左侧和右侧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color w:val="auto"/>
                <w:sz w:val="21"/>
                <w:szCs w:val="21"/>
                <w:highlight w:val="none"/>
              </w:rPr>
              <w:t>6.成端方式：常规熔接</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16</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光纤熔接</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光纤连接，熔接法单模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芯</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180</w:t>
            </w:r>
          </w:p>
        </w:tc>
      </w:tr>
      <w:tr>
        <w:tblPrEx>
          <w:tblCellMar>
            <w:top w:w="0" w:type="dxa"/>
            <w:left w:w="108" w:type="dxa"/>
            <w:bottom w:w="0" w:type="dxa"/>
            <w:right w:w="108" w:type="dxa"/>
          </w:tblCellMar>
        </w:tblPrEx>
        <w:trPr>
          <w:trHeight w:val="26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双芯单模光纤跳线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1.采用芳纶加强件，提供优异的抗拉能力</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2.SC-LC跳线，2米</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3.采用抗弯光纤，提供更小的弯曲半径，适应复杂的布线环境 </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4.连接器性能优异，提高链路性能</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5.产品符合YD/T1272.3</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6.插入损耗（dB）:≤0.3（单模）、≤0.25（多模）</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7.回波损耗（dB）: ≥50（单模）</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8.跳线缆颜色:单模：黄色   多模：橙色   OM3：水绿色   OM4：玫红色</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9.护套材料:低烟无卤护套（LSZH）</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10.光纤线径:2.0mm</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11.工作温度:-20℃～60℃</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12.光纤芯数：1芯、2芯。</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根</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32</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汇聚交换机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3"/>
              </w:numPr>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端口类型：千兆光口≥20个，光电复用口≥4个，独立万兆 SFP+光口≥4个；含光纤模块；</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2、交换机性能：交换容量≥430Gbps；包转发率≥150Mpps；</w:t>
            </w:r>
          </w:p>
          <w:p>
            <w:pPr>
              <w:pStyle w:val="16"/>
              <w:keepNext w:val="0"/>
              <w:keepLines w:val="0"/>
              <w:pageBreakBefore w:val="0"/>
              <w:widowControl/>
              <w:numPr>
                <w:ilvl w:val="0"/>
                <w:numId w:val="3"/>
              </w:numPr>
              <w:kinsoku/>
              <w:wordWrap/>
              <w:overflowPunct/>
              <w:topLinePunct w:val="0"/>
              <w:bidi w:val="0"/>
              <w:snapToGrid/>
              <w:spacing w:line="300" w:lineRule="exact"/>
              <w:ind w:left="0" w:leftChars="0" w:firstLine="0" w:firstLineChars="0"/>
              <w:jc w:val="left"/>
              <w:textAlignment w:val="center"/>
              <w:rPr>
                <w:rFonts w:hint="eastAsia" w:ascii="宋体" w:hAnsi="宋体" w:cs="宋体"/>
                <w:color w:val="auto"/>
                <w:kern w:val="0"/>
                <w:sz w:val="21"/>
                <w:szCs w:val="21"/>
                <w:highlight w:val="none"/>
                <w:lang w:eastAsia="zh-CN" w:bidi="ar"/>
              </w:rPr>
            </w:pPr>
            <w:r>
              <w:rPr>
                <w:rFonts w:hint="eastAsia" w:ascii="宋体" w:hAnsi="宋体" w:cs="宋体"/>
                <w:color w:val="auto"/>
                <w:kern w:val="0"/>
                <w:sz w:val="21"/>
                <w:szCs w:val="21"/>
                <w:highlight w:val="none"/>
                <w:lang w:bidi="ar"/>
              </w:rPr>
              <w:t>支持MAC地址自动学习；支持源MAC地址过滤；支持接口MAC地址学习个数限制；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4、支持防网关ARP欺骗，支持端口保护、隔离，支持防止DOS、ARP攻击功能，支持CPU保护功能；</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5、★支持M-LAG技术，要求配对的设备有独立的控制平面，要求提供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6、支持IEEE 802.3az 标准的 EEE节能技术：当EEE使能时，从而大幅度的减小端口在该阶段的功耗，达到了节能的目的。</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7、★支持智能交换机和普通交换机两种工作模式，可以根据不同的组网需要，随时在平台灵活的进行切换；提供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测试报告证明；</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8、上线到管理平台的方式：支持二层广播自动发现平台；支持配置静态IP地址三层发现平台；支持DHCP Option43方式发现平台；支持DNS域名发现平台；</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9、支持通过APP进行远程管理，并且可以修改交换机网络配置；</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10、支持通过平台的Web页面对交换机进行可视化管理查看，包括交换机的端口状态及配置、vlan信息；</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11、支持通过平台查看交换机处于工作端口的最近5分钟、1小时、最近1天、最近1周发送与接收的流量趋势；提供功能截图证明；</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12、支持终端类型库，可在平台上识别所接入的</w:t>
            </w:r>
            <w:r>
              <w:rPr>
                <w:rFonts w:hint="eastAsia" w:ascii="宋体" w:hAnsi="宋体" w:cs="宋体"/>
                <w:strike w:val="0"/>
                <w:color w:val="auto"/>
                <w:kern w:val="0"/>
                <w:sz w:val="21"/>
                <w:szCs w:val="21"/>
                <w:highlight w:val="none"/>
                <w:lang w:val="en-US" w:eastAsia="zh-CN" w:bidi="ar"/>
              </w:rPr>
              <w:t>网络设备、智能设备、办公设备、移动终端</w:t>
            </w:r>
            <w:r>
              <w:rPr>
                <w:rFonts w:hint="eastAsia" w:ascii="宋体" w:hAnsi="宋体" w:cs="宋体"/>
                <w:color w:val="auto"/>
                <w:kern w:val="0"/>
                <w:sz w:val="21"/>
                <w:szCs w:val="21"/>
                <w:highlight w:val="none"/>
                <w:lang w:bidi="ar"/>
              </w:rPr>
              <w:t>等，提供平台终端类型识别库截图证明</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13、支持基于终端类型自动识别结果，禁止非法终端(例如私接路由器)接入；</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14、支持终端的MAC与交换机端口变更检测；支持终端发生安全策略事件后，交换机将终端加入黑名单；支持交换机端口终端类型变更后，通过APP、短信告警；可以自定义交换机端口接入终端类型，及MAC黑白名单；</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15、★支持查看终端在交换机端口离线次数、闲置时间、离线趋势；支持查看安全事件记录、终端类型异常记录、终端在端口迁移次数、终端地址异常记录等安全事件的记录统计；提供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16、为防止PC进行WiFi共享，交换机须支持禁止通过内网PC端进行私接随身WiFi共享；</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17、支持支持基于交换机端口组实现通过检测设备供电特征，有无要电防止仿冒设备接入；</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18、★支持在交换机上创建东西向安全策略，实现全网安全风险拦截；要求提供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w:t>
            </w:r>
            <w:r>
              <w:rPr>
                <w:rFonts w:hint="eastAsia" w:ascii="宋体" w:hAnsi="宋体" w:cs="宋体"/>
                <w:color w:val="auto"/>
                <w:kern w:val="0"/>
                <w:sz w:val="21"/>
                <w:szCs w:val="21"/>
                <w:highlight w:val="none"/>
                <w:lang w:eastAsia="zh-CN" w:bidi="ar"/>
              </w:rPr>
              <w:t>；</w:t>
            </w:r>
          </w:p>
          <w:p>
            <w:pPr>
              <w:pStyle w:val="16"/>
              <w:keepNext w:val="0"/>
              <w:keepLines w:val="0"/>
              <w:pageBreakBefore w:val="0"/>
              <w:widowControl/>
              <w:numPr>
                <w:ilvl w:val="0"/>
                <w:numId w:val="0"/>
              </w:numPr>
              <w:kinsoku/>
              <w:wordWrap/>
              <w:overflowPunct/>
              <w:topLinePunct w:val="0"/>
              <w:bidi w:val="0"/>
              <w:snapToGrid/>
              <w:spacing w:line="300" w:lineRule="exact"/>
              <w:ind w:leftChars="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val="en-US" w:eastAsia="zh-CN" w:bidi="ar"/>
              </w:rPr>
              <w:t>19</w:t>
            </w:r>
            <w:r>
              <w:rPr>
                <w:rFonts w:hint="eastAsia" w:ascii="宋体" w:hAnsi="宋体" w:cs="宋体"/>
                <w:color w:val="auto"/>
                <w:kern w:val="0"/>
                <w:sz w:val="21"/>
                <w:szCs w:val="21"/>
                <w:highlight w:val="none"/>
                <w:lang w:bidi="ar"/>
              </w:rPr>
              <w:t>、为保证后期服务，设备厂商需满足CTS/FW01-2021售后服务完善度评价规范，服务能力获得八星级以上认证，提供证书扫描件</w:t>
            </w:r>
            <w:r>
              <w:rPr>
                <w:rFonts w:hint="eastAsia" w:ascii="宋体" w:hAnsi="宋体" w:cs="宋体"/>
                <w:color w:val="auto"/>
                <w:kern w:val="0"/>
                <w:sz w:val="21"/>
                <w:szCs w:val="21"/>
                <w:highlight w:val="none"/>
                <w:lang w:eastAsia="zh-CN" w:bidi="ar"/>
              </w:rPr>
              <w:t>；</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r>
              <w:rPr>
                <w:rFonts w:hint="eastAsia" w:ascii="宋体" w:hAnsi="宋体" w:cs="宋体"/>
                <w:color w:val="auto"/>
                <w:kern w:val="0"/>
                <w:sz w:val="21"/>
                <w:szCs w:val="21"/>
                <w:highlight w:val="none"/>
                <w:lang w:val="en-US" w:eastAsia="zh-CN" w:bidi="ar"/>
              </w:rPr>
              <w:t>0</w:t>
            </w:r>
            <w:r>
              <w:rPr>
                <w:rFonts w:hint="eastAsia" w:ascii="宋体" w:hAnsi="宋体" w:cs="宋体"/>
                <w:color w:val="auto"/>
                <w:kern w:val="0"/>
                <w:sz w:val="21"/>
                <w:szCs w:val="21"/>
                <w:highlight w:val="none"/>
                <w:lang w:bidi="ar"/>
              </w:rPr>
              <w:t>、★为保证设备在受到外界机械碰撞时能够正常运行，要求所投交换机IK防护测试级别至少达到IK06，提供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具有CMA或者CNAS测试报告</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w:t>
            </w:r>
            <w:r>
              <w:rPr>
                <w:rFonts w:hint="eastAsia" w:ascii="宋体" w:hAnsi="宋体" w:cs="宋体"/>
                <w:color w:val="auto"/>
                <w:kern w:val="0"/>
                <w:sz w:val="21"/>
                <w:szCs w:val="21"/>
                <w:highlight w:val="none"/>
                <w:lang w:val="en-US" w:eastAsia="zh-CN" w:bidi="ar"/>
              </w:rPr>
              <w:t>1</w:t>
            </w:r>
            <w:r>
              <w:rPr>
                <w:rFonts w:hint="eastAsia" w:ascii="宋体" w:hAnsi="宋体" w:cs="宋体"/>
                <w:color w:val="auto"/>
                <w:kern w:val="0"/>
                <w:sz w:val="21"/>
                <w:szCs w:val="21"/>
                <w:highlight w:val="none"/>
                <w:lang w:bidi="ar"/>
              </w:rPr>
              <w:t>、承诺中标后，设备提供三年质保，出具原厂售后质保函。</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7</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6</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UPS输入及输出线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YJV5*10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50</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7</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UPS主机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hint="eastAsia" w:ascii="宋体" w:hAnsi="宋体"/>
                <w:color w:val="auto"/>
                <w:sz w:val="21"/>
                <w:szCs w:val="21"/>
              </w:rPr>
            </w:pPr>
            <w:r>
              <w:rPr>
                <w:rFonts w:hint="eastAsia" w:ascii="宋体" w:hAnsi="宋体"/>
                <w:color w:val="auto"/>
                <w:sz w:val="21"/>
                <w:szCs w:val="21"/>
              </w:rPr>
              <w:t>UPS主机基本要求为：塔式三进三出UPS，功率为20kVA。</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hint="eastAsia" w:ascii="宋体" w:hAnsi="宋体"/>
                <w:color w:val="auto"/>
                <w:sz w:val="21"/>
                <w:szCs w:val="21"/>
              </w:rPr>
            </w:pPr>
            <w:r>
              <w:rPr>
                <w:rFonts w:hint="eastAsia" w:ascii="宋体" w:hAnsi="宋体"/>
                <w:color w:val="auto"/>
                <w:sz w:val="21"/>
                <w:szCs w:val="21"/>
              </w:rPr>
              <w:t>为了满足现场设备</w:t>
            </w:r>
            <w:r>
              <w:rPr>
                <w:rFonts w:ascii="宋体" w:hAnsi="宋体"/>
                <w:color w:val="auto"/>
                <w:sz w:val="21"/>
                <w:szCs w:val="21"/>
              </w:rPr>
              <w:t>维护</w:t>
            </w:r>
            <w:r>
              <w:rPr>
                <w:rFonts w:hint="eastAsia" w:ascii="宋体" w:hAnsi="宋体"/>
                <w:color w:val="auto"/>
                <w:sz w:val="21"/>
                <w:szCs w:val="21"/>
              </w:rPr>
              <w:t>要求，UPS主机必须标配维护旁路开关，同时，为了配电安全，不得选用隔离开关，必须采用断路器，</w:t>
            </w:r>
            <w:r>
              <w:rPr>
                <w:rFonts w:hint="eastAsia" w:ascii="宋体" w:hAnsi="宋体"/>
                <w:color w:val="auto"/>
                <w:sz w:val="21"/>
                <w:szCs w:val="21"/>
                <w:highlight w:val="none"/>
              </w:rPr>
              <w:t>投标方需提供所投产品实物照片证明。</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ascii="宋体" w:hAnsi="宋体"/>
                <w:color w:val="auto"/>
                <w:sz w:val="21"/>
                <w:szCs w:val="21"/>
              </w:rPr>
            </w:pPr>
            <w:r>
              <w:rPr>
                <w:rFonts w:hint="eastAsia" w:ascii="宋体" w:hAnsi="宋体"/>
                <w:color w:val="auto"/>
                <w:sz w:val="21"/>
                <w:szCs w:val="21"/>
              </w:rPr>
              <w:t>为了现场搬运方便，UPS底部必须具备万向轮，方便移动搬运，实现快速就位。</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hint="eastAsia" w:ascii="宋体" w:hAnsi="宋体"/>
                <w:color w:val="auto"/>
                <w:sz w:val="21"/>
                <w:szCs w:val="21"/>
              </w:rPr>
            </w:pPr>
            <w:r>
              <w:rPr>
                <w:rFonts w:hint="eastAsia" w:ascii="宋体" w:hAnsi="宋体"/>
                <w:color w:val="auto"/>
                <w:sz w:val="21"/>
                <w:szCs w:val="21"/>
              </w:rPr>
              <w:t>通过并机线即可实现UPS并联，具备并机冗余和并机扩容两种模式，应用更加灵活；数字并机均流、采用全数字均流技术，抗干扰能力强，可靠性更高。</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hint="eastAsia" w:ascii="宋体" w:hAnsi="宋体"/>
                <w:color w:val="auto"/>
                <w:sz w:val="21"/>
                <w:szCs w:val="21"/>
              </w:rPr>
            </w:pPr>
            <w:r>
              <w:rPr>
                <w:rFonts w:hint="eastAsia" w:ascii="宋体" w:hAnsi="宋体"/>
                <w:color w:val="auto"/>
                <w:sz w:val="21"/>
                <w:szCs w:val="21"/>
              </w:rPr>
              <w:t>输入电压范围：输入电压1</w:t>
            </w:r>
            <w:r>
              <w:rPr>
                <w:rFonts w:ascii="宋体" w:hAnsi="宋体"/>
                <w:color w:val="auto"/>
                <w:sz w:val="21"/>
                <w:szCs w:val="21"/>
              </w:rPr>
              <w:t>38</w:t>
            </w:r>
            <w:r>
              <w:rPr>
                <w:rFonts w:hint="eastAsia" w:ascii="宋体" w:hAnsi="宋体"/>
                <w:color w:val="auto"/>
                <w:sz w:val="21"/>
                <w:szCs w:val="21"/>
              </w:rPr>
              <w:t>V～485V ，输入电压宽，适应恶劣电网环境；</w:t>
            </w:r>
            <w:r>
              <w:rPr>
                <w:rFonts w:hint="eastAsia" w:ascii="宋体" w:hAnsi="宋体"/>
                <w:color w:val="auto"/>
                <w:sz w:val="21"/>
                <w:szCs w:val="21"/>
                <w:highlight w:val="none"/>
              </w:rPr>
              <w:t>要求</w:t>
            </w:r>
            <w:r>
              <w:rPr>
                <w:rFonts w:ascii="宋体" w:hAnsi="宋体"/>
                <w:color w:val="auto"/>
                <w:sz w:val="21"/>
                <w:szCs w:val="21"/>
                <w:highlight w:val="none"/>
              </w:rPr>
              <w:t>提供</w:t>
            </w:r>
            <w:r>
              <w:rPr>
                <w:rFonts w:hint="eastAsia" w:ascii="宋体" w:hAnsi="宋体"/>
                <w:color w:val="auto"/>
                <w:sz w:val="21"/>
                <w:szCs w:val="21"/>
                <w:highlight w:val="none"/>
              </w:rPr>
              <w:t>设备彩页证明</w:t>
            </w:r>
            <w:r>
              <w:rPr>
                <w:rFonts w:ascii="宋体" w:hAnsi="宋体"/>
                <w:color w:val="auto"/>
                <w:sz w:val="21"/>
                <w:szCs w:val="21"/>
                <w:highlight w:val="none"/>
              </w:rPr>
              <w:t>材料</w:t>
            </w:r>
            <w:r>
              <w:rPr>
                <w:rFonts w:hint="eastAsia" w:ascii="宋体" w:hAnsi="宋体"/>
                <w:color w:val="auto"/>
                <w:sz w:val="21"/>
                <w:szCs w:val="21"/>
                <w:highlight w:val="none"/>
                <w:lang w:eastAsia="zh-CN"/>
              </w:rPr>
              <w:t>并加盖供应商公章</w:t>
            </w:r>
            <w:r>
              <w:rPr>
                <w:rFonts w:ascii="宋体" w:hAnsi="宋体"/>
                <w:color w:val="auto"/>
                <w:sz w:val="21"/>
                <w:szCs w:val="21"/>
              </w:rPr>
              <w:t>。</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hint="eastAsia" w:ascii="宋体" w:hAnsi="宋体"/>
                <w:color w:val="auto"/>
                <w:sz w:val="21"/>
                <w:szCs w:val="21"/>
                <w:highlight w:val="none"/>
              </w:rPr>
            </w:pPr>
            <w:r>
              <w:rPr>
                <w:rFonts w:hint="eastAsia" w:ascii="宋体" w:hAnsi="宋体"/>
                <w:color w:val="auto"/>
                <w:sz w:val="21"/>
                <w:szCs w:val="21"/>
              </w:rPr>
              <w:t>模块化UPS应具备智能发电机管理功能：当市电停电，应可启用</w:t>
            </w:r>
            <w:r>
              <w:rPr>
                <w:rFonts w:ascii="宋体" w:hAnsi="宋体"/>
                <w:color w:val="auto"/>
                <w:sz w:val="21"/>
                <w:szCs w:val="21"/>
              </w:rPr>
              <w:t>发电机智能管理，</w:t>
            </w:r>
            <w:r>
              <w:rPr>
                <w:rFonts w:hint="eastAsia" w:ascii="宋体" w:hAnsi="宋体"/>
                <w:color w:val="auto"/>
                <w:sz w:val="21"/>
                <w:szCs w:val="21"/>
              </w:rPr>
              <w:t>可由UPS设置</w:t>
            </w:r>
            <w:r>
              <w:rPr>
                <w:rFonts w:ascii="宋体" w:hAnsi="宋体"/>
                <w:color w:val="auto"/>
                <w:sz w:val="21"/>
                <w:szCs w:val="21"/>
              </w:rPr>
              <w:t>界面进行管理</w:t>
            </w:r>
            <w:r>
              <w:rPr>
                <w:rFonts w:hint="eastAsia" w:ascii="宋体" w:hAnsi="宋体"/>
                <w:color w:val="auto"/>
                <w:sz w:val="21"/>
                <w:szCs w:val="21"/>
              </w:rPr>
              <w:t>；当</w:t>
            </w:r>
            <w:r>
              <w:rPr>
                <w:rFonts w:ascii="宋体" w:hAnsi="宋体"/>
                <w:color w:val="auto"/>
                <w:sz w:val="21"/>
                <w:szCs w:val="21"/>
              </w:rPr>
              <w:t>发电机额定</w:t>
            </w:r>
            <w:r>
              <w:rPr>
                <w:rFonts w:hint="eastAsia" w:ascii="宋体" w:hAnsi="宋体"/>
                <w:color w:val="auto"/>
                <w:sz w:val="21"/>
                <w:szCs w:val="21"/>
              </w:rPr>
              <w:t>输出</w:t>
            </w:r>
            <w:r>
              <w:rPr>
                <w:rFonts w:ascii="宋体" w:hAnsi="宋体"/>
                <w:color w:val="auto"/>
                <w:sz w:val="21"/>
                <w:szCs w:val="21"/>
              </w:rPr>
              <w:t>功率不足时，</w:t>
            </w:r>
            <w:r>
              <w:rPr>
                <w:rFonts w:hint="eastAsia" w:ascii="宋体" w:hAnsi="宋体"/>
                <w:color w:val="auto"/>
                <w:sz w:val="21"/>
                <w:szCs w:val="21"/>
              </w:rPr>
              <w:t>允许</w:t>
            </w:r>
            <w:r>
              <w:rPr>
                <w:rFonts w:ascii="宋体" w:hAnsi="宋体"/>
                <w:color w:val="auto"/>
                <w:sz w:val="21"/>
                <w:szCs w:val="21"/>
              </w:rPr>
              <w:t>在</w:t>
            </w:r>
            <w:r>
              <w:rPr>
                <w:rFonts w:hint="eastAsia" w:ascii="宋体" w:hAnsi="宋体"/>
                <w:color w:val="auto"/>
                <w:sz w:val="21"/>
                <w:szCs w:val="21"/>
              </w:rPr>
              <w:t>UPS管理界面重新定义发电机的</w:t>
            </w:r>
            <w:r>
              <w:rPr>
                <w:rFonts w:ascii="宋体" w:hAnsi="宋体"/>
                <w:color w:val="auto"/>
                <w:sz w:val="21"/>
                <w:szCs w:val="21"/>
              </w:rPr>
              <w:t>输出功率</w:t>
            </w:r>
            <w:r>
              <w:rPr>
                <w:rFonts w:hint="eastAsia" w:ascii="宋体" w:hAnsi="宋体"/>
                <w:color w:val="auto"/>
                <w:sz w:val="21"/>
                <w:szCs w:val="21"/>
              </w:rPr>
              <w:t>，</w:t>
            </w:r>
            <w:r>
              <w:rPr>
                <w:rFonts w:ascii="宋体" w:hAnsi="宋体"/>
                <w:color w:val="auto"/>
                <w:sz w:val="21"/>
                <w:szCs w:val="21"/>
              </w:rPr>
              <w:t>由ups自主管理，确保</w:t>
            </w:r>
            <w:r>
              <w:rPr>
                <w:rFonts w:hint="eastAsia" w:ascii="宋体" w:hAnsi="宋体"/>
                <w:color w:val="auto"/>
                <w:sz w:val="21"/>
                <w:szCs w:val="21"/>
              </w:rPr>
              <w:t>UPS</w:t>
            </w:r>
            <w:r>
              <w:rPr>
                <w:rFonts w:ascii="宋体" w:hAnsi="宋体"/>
                <w:color w:val="auto"/>
                <w:sz w:val="21"/>
                <w:szCs w:val="21"/>
              </w:rPr>
              <w:t>输出</w:t>
            </w:r>
            <w:r>
              <w:rPr>
                <w:rFonts w:hint="eastAsia" w:ascii="宋体" w:hAnsi="宋体"/>
                <w:color w:val="auto"/>
                <w:sz w:val="21"/>
                <w:szCs w:val="21"/>
              </w:rPr>
              <w:t>不间断</w:t>
            </w:r>
            <w:r>
              <w:rPr>
                <w:rFonts w:ascii="宋体" w:hAnsi="宋体"/>
                <w:color w:val="auto"/>
                <w:sz w:val="21"/>
                <w:szCs w:val="21"/>
              </w:rPr>
              <w:t>，</w:t>
            </w:r>
            <w:r>
              <w:rPr>
                <w:rFonts w:hint="eastAsia" w:ascii="宋体" w:hAnsi="宋体"/>
                <w:color w:val="auto"/>
                <w:sz w:val="21"/>
                <w:szCs w:val="21"/>
              </w:rPr>
              <w:t>即可降低发电机</w:t>
            </w:r>
            <w:r>
              <w:rPr>
                <w:rFonts w:ascii="宋体" w:hAnsi="宋体"/>
                <w:color w:val="auto"/>
                <w:sz w:val="21"/>
                <w:szCs w:val="21"/>
              </w:rPr>
              <w:t>过大容量配置</w:t>
            </w:r>
            <w:r>
              <w:rPr>
                <w:rFonts w:hint="eastAsia" w:ascii="宋体" w:hAnsi="宋体"/>
                <w:color w:val="auto"/>
                <w:sz w:val="21"/>
                <w:szCs w:val="21"/>
              </w:rPr>
              <w:t>，又可降低用户投资成本。</w:t>
            </w:r>
            <w:r>
              <w:rPr>
                <w:rFonts w:hint="eastAsia" w:ascii="宋体" w:hAnsi="宋体"/>
                <w:color w:val="auto"/>
                <w:sz w:val="21"/>
                <w:szCs w:val="21"/>
                <w:highlight w:val="none"/>
              </w:rPr>
              <w:t>要求</w:t>
            </w:r>
            <w:r>
              <w:rPr>
                <w:rFonts w:ascii="宋体" w:hAnsi="宋体"/>
                <w:color w:val="auto"/>
                <w:sz w:val="21"/>
                <w:szCs w:val="21"/>
                <w:highlight w:val="none"/>
              </w:rPr>
              <w:t>提供</w:t>
            </w:r>
            <w:r>
              <w:rPr>
                <w:rFonts w:hint="eastAsia" w:ascii="宋体" w:hAnsi="宋体"/>
                <w:color w:val="auto"/>
                <w:sz w:val="21"/>
                <w:szCs w:val="21"/>
                <w:highlight w:val="none"/>
              </w:rPr>
              <w:t>针对该</w:t>
            </w:r>
            <w:r>
              <w:rPr>
                <w:rFonts w:ascii="宋体" w:hAnsi="宋体"/>
                <w:color w:val="auto"/>
                <w:sz w:val="21"/>
                <w:szCs w:val="21"/>
                <w:highlight w:val="none"/>
              </w:rPr>
              <w:t>功能设置界面的</w:t>
            </w:r>
            <w:r>
              <w:rPr>
                <w:rFonts w:hint="eastAsia" w:ascii="宋体" w:hAnsi="宋体"/>
                <w:color w:val="auto"/>
                <w:sz w:val="21"/>
                <w:szCs w:val="21"/>
                <w:highlight w:val="none"/>
              </w:rPr>
              <w:t>证明</w:t>
            </w:r>
            <w:r>
              <w:rPr>
                <w:rFonts w:ascii="宋体" w:hAnsi="宋体"/>
                <w:color w:val="auto"/>
                <w:sz w:val="21"/>
                <w:szCs w:val="21"/>
                <w:highlight w:val="none"/>
              </w:rPr>
              <w:t>材料</w:t>
            </w:r>
            <w:r>
              <w:rPr>
                <w:rFonts w:hint="eastAsia" w:ascii="宋体" w:hAnsi="宋体"/>
                <w:color w:val="auto"/>
                <w:sz w:val="21"/>
                <w:szCs w:val="21"/>
                <w:highlight w:val="none"/>
                <w:lang w:eastAsia="zh-CN"/>
              </w:rPr>
              <w:t>并加盖供应商公章</w:t>
            </w:r>
            <w:r>
              <w:rPr>
                <w:rFonts w:ascii="宋体" w:hAnsi="宋体"/>
                <w:color w:val="auto"/>
                <w:sz w:val="21"/>
                <w:szCs w:val="21"/>
                <w:highlight w:val="none"/>
              </w:rPr>
              <w:t>。</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ascii="宋体" w:hAnsi="宋体"/>
                <w:color w:val="auto"/>
                <w:sz w:val="21"/>
                <w:szCs w:val="21"/>
              </w:rPr>
            </w:pPr>
            <w:r>
              <w:rPr>
                <w:rFonts w:ascii="宋体" w:hAnsi="宋体"/>
                <w:color w:val="auto"/>
                <w:sz w:val="21"/>
                <w:szCs w:val="21"/>
              </w:rPr>
              <w:t>输入功率因数</w:t>
            </w:r>
            <w:r>
              <w:rPr>
                <w:rFonts w:hint="eastAsia" w:ascii="宋体" w:hAnsi="宋体"/>
                <w:color w:val="auto"/>
                <w:sz w:val="21"/>
                <w:szCs w:val="21"/>
              </w:rPr>
              <w:t>： 100%非线性负载：≥0.99， 50%非线性负载：≥0.97，30%非线性负载：≥0.94；</w:t>
            </w:r>
          </w:p>
          <w:p>
            <w:pPr>
              <w:keepNext w:val="0"/>
              <w:keepLines w:val="0"/>
              <w:pageBreakBefore w:val="0"/>
              <w:kinsoku/>
              <w:wordWrap/>
              <w:overflowPunct/>
              <w:topLinePunct w:val="0"/>
              <w:bidi w:val="0"/>
              <w:snapToGrid/>
              <w:spacing w:line="300" w:lineRule="exact"/>
              <w:ind w:firstLine="315" w:firstLineChars="150"/>
              <w:jc w:val="left"/>
              <w:rPr>
                <w:rFonts w:ascii="宋体" w:hAnsi="宋体"/>
                <w:color w:val="auto"/>
                <w:sz w:val="21"/>
                <w:szCs w:val="21"/>
              </w:rPr>
            </w:pPr>
            <w:r>
              <w:rPr>
                <w:rFonts w:ascii="宋体" w:hAnsi="宋体"/>
                <w:color w:val="auto"/>
                <w:sz w:val="21"/>
                <w:szCs w:val="21"/>
              </w:rPr>
              <w:t>输入电流谐波：</w:t>
            </w:r>
            <w:r>
              <w:rPr>
                <w:rFonts w:hint="eastAsia" w:ascii="宋体" w:hAnsi="宋体"/>
                <w:color w:val="auto"/>
                <w:sz w:val="21"/>
                <w:szCs w:val="21"/>
              </w:rPr>
              <w:t xml:space="preserve"> 100%非线性负载：＜5%， 50%非线性负载：＜8%，30%非线性负载：＜11%；</w:t>
            </w:r>
          </w:p>
          <w:p>
            <w:pPr>
              <w:keepNext w:val="0"/>
              <w:keepLines w:val="0"/>
              <w:pageBreakBefore w:val="0"/>
              <w:kinsoku/>
              <w:wordWrap/>
              <w:overflowPunct/>
              <w:topLinePunct w:val="0"/>
              <w:bidi w:val="0"/>
              <w:snapToGrid/>
              <w:spacing w:line="300" w:lineRule="exact"/>
              <w:ind w:firstLine="315" w:firstLineChars="150"/>
              <w:jc w:val="left"/>
              <w:rPr>
                <w:rFonts w:hint="eastAsia" w:ascii="宋体" w:hAnsi="宋体" w:eastAsia="宋体"/>
                <w:color w:val="auto"/>
                <w:sz w:val="21"/>
                <w:szCs w:val="21"/>
                <w:highlight w:val="none"/>
                <w:lang w:eastAsia="zh-CN"/>
              </w:rPr>
            </w:pPr>
            <w:r>
              <w:rPr>
                <w:rFonts w:ascii="宋体" w:hAnsi="宋体"/>
                <w:color w:val="auto"/>
                <w:sz w:val="21"/>
                <w:szCs w:val="21"/>
              </w:rPr>
              <w:t>要求提供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w:t>
            </w:r>
            <w:r>
              <w:rPr>
                <w:rFonts w:hint="eastAsia" w:ascii="宋体" w:hAnsi="宋体" w:cs="宋体"/>
                <w:color w:val="auto"/>
                <w:kern w:val="0"/>
                <w:sz w:val="21"/>
                <w:szCs w:val="21"/>
                <w:highlight w:val="none"/>
                <w:lang w:eastAsia="zh-CN" w:bidi="ar"/>
              </w:rPr>
              <w:t>；</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hint="eastAsia" w:ascii="宋体" w:hAnsi="宋体"/>
                <w:color w:val="auto"/>
                <w:sz w:val="21"/>
                <w:szCs w:val="21"/>
                <w:highlight w:val="none"/>
              </w:rPr>
            </w:pPr>
            <w:r>
              <w:rPr>
                <w:rFonts w:hint="eastAsia" w:ascii="宋体" w:hAnsi="宋体"/>
                <w:color w:val="auto"/>
                <w:sz w:val="21"/>
                <w:szCs w:val="21"/>
              </w:rPr>
              <w:t>电池电压范围：直流电压±180～±240V （单节12V电池为30 ~40节）、电池可调范围大，现场配置灵活；</w:t>
            </w:r>
            <w:r>
              <w:rPr>
                <w:rFonts w:hint="eastAsia" w:ascii="宋体" w:hAnsi="宋体"/>
                <w:color w:val="auto"/>
                <w:sz w:val="21"/>
                <w:szCs w:val="21"/>
                <w:highlight w:val="none"/>
              </w:rPr>
              <w:t>要求</w:t>
            </w:r>
            <w:r>
              <w:rPr>
                <w:rFonts w:ascii="宋体" w:hAnsi="宋体"/>
                <w:color w:val="auto"/>
                <w:sz w:val="21"/>
                <w:szCs w:val="21"/>
                <w:highlight w:val="none"/>
              </w:rPr>
              <w:t>提供</w:t>
            </w:r>
            <w:r>
              <w:rPr>
                <w:rFonts w:hint="eastAsia" w:ascii="宋体" w:hAnsi="宋体"/>
                <w:color w:val="auto"/>
                <w:sz w:val="21"/>
                <w:szCs w:val="21"/>
                <w:highlight w:val="none"/>
              </w:rPr>
              <w:t>设备</w:t>
            </w:r>
            <w:r>
              <w:rPr>
                <w:rFonts w:ascii="宋体" w:hAnsi="宋体"/>
                <w:color w:val="auto"/>
                <w:sz w:val="21"/>
                <w:szCs w:val="21"/>
                <w:highlight w:val="none"/>
              </w:rPr>
              <w:t>彩页</w:t>
            </w:r>
            <w:r>
              <w:rPr>
                <w:rFonts w:hint="eastAsia" w:ascii="宋体" w:hAnsi="宋体"/>
                <w:color w:val="auto"/>
                <w:sz w:val="21"/>
                <w:szCs w:val="21"/>
                <w:highlight w:val="none"/>
              </w:rPr>
              <w:t>证明</w:t>
            </w:r>
            <w:r>
              <w:rPr>
                <w:rFonts w:ascii="宋体" w:hAnsi="宋体"/>
                <w:color w:val="auto"/>
                <w:sz w:val="21"/>
                <w:szCs w:val="21"/>
                <w:highlight w:val="none"/>
              </w:rPr>
              <w:t>材料</w:t>
            </w:r>
            <w:r>
              <w:rPr>
                <w:rFonts w:hint="eastAsia" w:ascii="宋体" w:hAnsi="宋体"/>
                <w:color w:val="auto"/>
                <w:sz w:val="21"/>
                <w:szCs w:val="21"/>
                <w:highlight w:val="none"/>
                <w:lang w:eastAsia="zh-CN"/>
              </w:rPr>
              <w:t>，并加盖供应商公章</w:t>
            </w:r>
            <w:r>
              <w:rPr>
                <w:rFonts w:ascii="宋体" w:hAnsi="宋体"/>
                <w:color w:val="auto"/>
                <w:sz w:val="21"/>
                <w:szCs w:val="21"/>
                <w:highlight w:val="none"/>
              </w:rPr>
              <w:t>。</w:t>
            </w:r>
          </w:p>
          <w:p>
            <w:pPr>
              <w:keepNext w:val="0"/>
              <w:keepLines w:val="0"/>
              <w:pageBreakBefore w:val="0"/>
              <w:numPr>
                <w:ilvl w:val="0"/>
                <w:numId w:val="4"/>
              </w:numPr>
              <w:kinsoku/>
              <w:wordWrap/>
              <w:overflowPunct/>
              <w:topLinePunct w:val="0"/>
              <w:bidi w:val="0"/>
              <w:snapToGrid/>
              <w:spacing w:line="300" w:lineRule="exact"/>
              <w:jc w:val="left"/>
              <w:rPr>
                <w:rFonts w:hint="eastAsia" w:ascii="宋体" w:hAnsi="宋体"/>
                <w:color w:val="auto"/>
                <w:sz w:val="21"/>
                <w:szCs w:val="21"/>
                <w:highlight w:val="none"/>
              </w:rPr>
            </w:pPr>
            <w:r>
              <w:rPr>
                <w:rFonts w:ascii="宋体" w:hAnsi="宋体"/>
                <w:color w:val="auto"/>
                <w:sz w:val="21"/>
                <w:szCs w:val="21"/>
              </w:rPr>
              <w:t>整机</w:t>
            </w:r>
            <w:r>
              <w:rPr>
                <w:rFonts w:hint="eastAsia" w:ascii="宋体" w:hAnsi="宋体"/>
                <w:color w:val="auto"/>
                <w:sz w:val="21"/>
                <w:szCs w:val="21"/>
              </w:rPr>
              <w:t>UPS</w:t>
            </w:r>
            <w:r>
              <w:rPr>
                <w:rFonts w:ascii="宋体" w:hAnsi="宋体"/>
                <w:color w:val="auto"/>
                <w:sz w:val="21"/>
                <w:szCs w:val="21"/>
              </w:rPr>
              <w:t>效率：要求提供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w:t>
            </w:r>
            <w:r>
              <w:rPr>
                <w:rFonts w:hint="eastAsia" w:ascii="宋体" w:hAnsi="宋体" w:cs="宋体"/>
                <w:color w:val="auto"/>
                <w:kern w:val="0"/>
                <w:sz w:val="21"/>
                <w:szCs w:val="21"/>
                <w:highlight w:val="none"/>
                <w:lang w:eastAsia="zh-CN" w:bidi="ar"/>
              </w:rPr>
              <w:t>；</w:t>
            </w:r>
          </w:p>
          <w:p>
            <w:pPr>
              <w:keepNext w:val="0"/>
              <w:keepLines w:val="0"/>
              <w:pageBreakBefore w:val="0"/>
              <w:kinsoku/>
              <w:wordWrap/>
              <w:overflowPunct/>
              <w:topLinePunct w:val="0"/>
              <w:bidi w:val="0"/>
              <w:snapToGrid/>
              <w:spacing w:line="300" w:lineRule="exact"/>
              <w:ind w:left="420"/>
              <w:jc w:val="left"/>
              <w:rPr>
                <w:rFonts w:ascii="宋体" w:hAnsi="宋体"/>
                <w:color w:val="auto"/>
                <w:sz w:val="21"/>
                <w:szCs w:val="21"/>
              </w:rPr>
            </w:pPr>
            <w:r>
              <w:rPr>
                <w:rFonts w:hint="eastAsia" w:ascii="宋体" w:hAnsi="宋体"/>
                <w:color w:val="auto"/>
                <w:sz w:val="21"/>
                <w:szCs w:val="21"/>
              </w:rPr>
              <w:t>100%阻性负载：≥94%</w:t>
            </w:r>
          </w:p>
          <w:p>
            <w:pPr>
              <w:keepNext w:val="0"/>
              <w:keepLines w:val="0"/>
              <w:pageBreakBefore w:val="0"/>
              <w:kinsoku/>
              <w:wordWrap/>
              <w:overflowPunct/>
              <w:topLinePunct w:val="0"/>
              <w:bidi w:val="0"/>
              <w:snapToGrid/>
              <w:spacing w:line="300" w:lineRule="exact"/>
              <w:ind w:left="420"/>
              <w:jc w:val="left"/>
              <w:rPr>
                <w:rFonts w:ascii="宋体" w:hAnsi="宋体"/>
                <w:color w:val="auto"/>
                <w:sz w:val="21"/>
                <w:szCs w:val="21"/>
              </w:rPr>
            </w:pPr>
            <w:r>
              <w:rPr>
                <w:rFonts w:hint="eastAsia" w:ascii="宋体" w:hAnsi="宋体"/>
                <w:color w:val="auto"/>
                <w:sz w:val="21"/>
                <w:szCs w:val="21"/>
              </w:rPr>
              <w:t>50%阻性负载：≥92%</w:t>
            </w:r>
          </w:p>
          <w:p>
            <w:pPr>
              <w:keepNext w:val="0"/>
              <w:keepLines w:val="0"/>
              <w:pageBreakBefore w:val="0"/>
              <w:kinsoku/>
              <w:wordWrap/>
              <w:overflowPunct/>
              <w:topLinePunct w:val="0"/>
              <w:bidi w:val="0"/>
              <w:snapToGrid/>
              <w:spacing w:line="300" w:lineRule="exact"/>
              <w:ind w:left="420"/>
              <w:jc w:val="left"/>
              <w:rPr>
                <w:rFonts w:ascii="宋体" w:hAnsi="宋体"/>
                <w:color w:val="auto"/>
                <w:sz w:val="21"/>
                <w:szCs w:val="21"/>
              </w:rPr>
            </w:pPr>
            <w:r>
              <w:rPr>
                <w:rFonts w:hint="eastAsia" w:ascii="宋体" w:hAnsi="宋体"/>
                <w:color w:val="auto"/>
                <w:sz w:val="21"/>
                <w:szCs w:val="21"/>
              </w:rPr>
              <w:t>30%阻性负载：≥90%</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hint="eastAsia" w:ascii="宋体" w:hAnsi="宋体"/>
                <w:color w:val="auto"/>
                <w:sz w:val="21"/>
                <w:szCs w:val="21"/>
              </w:rPr>
            </w:pPr>
            <w:r>
              <w:rPr>
                <w:rFonts w:ascii="宋体" w:hAnsi="宋体"/>
                <w:color w:val="auto"/>
                <w:sz w:val="21"/>
                <w:szCs w:val="21"/>
              </w:rPr>
              <w:t>带载能力强：</w:t>
            </w:r>
            <w:r>
              <w:rPr>
                <w:rFonts w:hint="eastAsia" w:ascii="宋体" w:hAnsi="宋体"/>
                <w:color w:val="auto"/>
                <w:sz w:val="21"/>
                <w:szCs w:val="21"/>
              </w:rPr>
              <w:t>输出有功功率应 ≥额定容量×0.9 kW/kVA</w:t>
            </w:r>
            <w:r>
              <w:rPr>
                <w:rFonts w:ascii="宋体" w:hAnsi="宋体"/>
                <w:color w:val="auto"/>
                <w:sz w:val="21"/>
                <w:szCs w:val="21"/>
              </w:rPr>
              <w:t>要求提供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w:t>
            </w:r>
            <w:r>
              <w:rPr>
                <w:rFonts w:ascii="宋体" w:hAnsi="宋体"/>
                <w:color w:val="auto"/>
                <w:sz w:val="21"/>
                <w:szCs w:val="21"/>
              </w:rPr>
              <w:t>。</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ascii="宋体" w:hAnsi="宋体"/>
                <w:color w:val="auto"/>
                <w:sz w:val="21"/>
                <w:szCs w:val="21"/>
              </w:rPr>
            </w:pPr>
            <w:r>
              <w:rPr>
                <w:rFonts w:hint="eastAsia" w:ascii="宋体" w:hAnsi="宋体"/>
                <w:color w:val="auto"/>
                <w:sz w:val="21"/>
                <w:szCs w:val="21"/>
              </w:rPr>
              <w:t>输出波形失真度：100%阻性负载：≤</w:t>
            </w:r>
            <w:r>
              <w:rPr>
                <w:rFonts w:ascii="宋体" w:hAnsi="宋体"/>
                <w:color w:val="auto"/>
                <w:sz w:val="21"/>
                <w:szCs w:val="21"/>
              </w:rPr>
              <w:t>1</w:t>
            </w:r>
            <w:r>
              <w:rPr>
                <w:rFonts w:hint="eastAsia" w:ascii="宋体" w:hAnsi="宋体"/>
                <w:color w:val="auto"/>
                <w:sz w:val="21"/>
                <w:szCs w:val="21"/>
              </w:rPr>
              <w:t>%，  100%非线性负载：≤</w:t>
            </w:r>
            <w:r>
              <w:rPr>
                <w:rFonts w:ascii="宋体" w:hAnsi="宋体"/>
                <w:color w:val="auto"/>
                <w:sz w:val="21"/>
                <w:szCs w:val="21"/>
              </w:rPr>
              <w:t>3</w:t>
            </w:r>
            <w:r>
              <w:rPr>
                <w:rFonts w:hint="eastAsia" w:ascii="宋体" w:hAnsi="宋体"/>
                <w:color w:val="auto"/>
                <w:sz w:val="21"/>
                <w:szCs w:val="21"/>
              </w:rPr>
              <w:t>%</w:t>
            </w:r>
            <w:r>
              <w:rPr>
                <w:rFonts w:ascii="宋体" w:hAnsi="宋体"/>
                <w:color w:val="auto"/>
                <w:sz w:val="21"/>
                <w:szCs w:val="21"/>
              </w:rPr>
              <w:t>。要求提供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测试报告</w:t>
            </w:r>
            <w:r>
              <w:rPr>
                <w:rFonts w:hint="eastAsia" w:ascii="宋体" w:hAnsi="宋体" w:cs="宋体"/>
                <w:color w:val="auto"/>
                <w:kern w:val="0"/>
                <w:sz w:val="21"/>
                <w:szCs w:val="21"/>
                <w:highlight w:val="none"/>
                <w:lang w:eastAsia="zh-CN" w:bidi="ar"/>
              </w:rPr>
              <w:t>；</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hint="eastAsia" w:ascii="宋体" w:hAnsi="宋体"/>
                <w:color w:val="auto"/>
                <w:sz w:val="21"/>
                <w:szCs w:val="21"/>
              </w:rPr>
            </w:pPr>
            <w:r>
              <w:rPr>
                <w:rFonts w:hint="eastAsia" w:ascii="宋体" w:hAnsi="宋体"/>
                <w:color w:val="auto"/>
                <w:sz w:val="21"/>
                <w:szCs w:val="21"/>
              </w:rPr>
              <w:t>★UPS具备自动除尘功能，当设备运行周期较长或设备积尘过多时，UPS启动自动在线除尘功能，无需停机维护，防范未然，提高供电可靠性。要求提供针对该功能设置界面的实际照片证明材料</w:t>
            </w:r>
            <w:r>
              <w:rPr>
                <w:rFonts w:hint="eastAsia" w:ascii="宋体" w:hAnsi="宋体"/>
                <w:color w:val="auto"/>
                <w:sz w:val="21"/>
                <w:szCs w:val="21"/>
                <w:highlight w:val="none"/>
                <w:lang w:eastAsia="zh-CN"/>
              </w:rPr>
              <w:t>并加盖供应商公章</w:t>
            </w:r>
            <w:r>
              <w:rPr>
                <w:rFonts w:hint="eastAsia" w:ascii="宋体" w:hAnsi="宋体"/>
                <w:color w:val="auto"/>
                <w:sz w:val="21"/>
                <w:szCs w:val="21"/>
                <w:highlight w:val="none"/>
              </w:rPr>
              <w:t>。</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hint="eastAsia" w:ascii="宋体" w:hAnsi="宋体"/>
                <w:color w:val="auto"/>
                <w:sz w:val="21"/>
                <w:szCs w:val="21"/>
                <w:highlight w:val="none"/>
              </w:rPr>
            </w:pPr>
            <w:r>
              <w:rPr>
                <w:rFonts w:hint="eastAsia" w:ascii="宋体" w:hAnsi="宋体"/>
                <w:color w:val="auto"/>
                <w:sz w:val="21"/>
                <w:szCs w:val="21"/>
              </w:rPr>
              <w:t>中文触摸液晶屏，具有触控LCD+LED指示的操作界面，实时记录工作状态和运行信息，管理更加直观；操作界面要求配备手动开关机按钮，确保在触摸屏失效时依然可以开关机操作。</w:t>
            </w:r>
            <w:r>
              <w:rPr>
                <w:rFonts w:hint="eastAsia" w:ascii="宋体" w:hAnsi="宋体"/>
                <w:color w:val="auto"/>
                <w:sz w:val="21"/>
                <w:szCs w:val="21"/>
                <w:highlight w:val="none"/>
              </w:rPr>
              <w:t>要求提供触摸显示面板实物照片证明材料</w:t>
            </w:r>
            <w:r>
              <w:rPr>
                <w:rFonts w:hint="eastAsia" w:ascii="宋体" w:hAnsi="宋体"/>
                <w:color w:val="auto"/>
                <w:sz w:val="21"/>
                <w:szCs w:val="21"/>
                <w:highlight w:val="none"/>
                <w:lang w:eastAsia="zh-CN"/>
              </w:rPr>
              <w:t>并加盖供应商公章</w:t>
            </w:r>
            <w:r>
              <w:rPr>
                <w:rFonts w:hint="eastAsia" w:ascii="宋体" w:hAnsi="宋体"/>
                <w:color w:val="auto"/>
                <w:sz w:val="21"/>
                <w:szCs w:val="21"/>
                <w:highlight w:val="none"/>
              </w:rPr>
              <w:t>。</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hint="eastAsia" w:ascii="宋体" w:hAnsi="宋体"/>
                <w:color w:val="auto"/>
                <w:sz w:val="21"/>
                <w:szCs w:val="21"/>
                <w:highlight w:val="none"/>
              </w:rPr>
            </w:pPr>
            <w:r>
              <w:rPr>
                <w:rFonts w:hint="eastAsia" w:ascii="宋体" w:hAnsi="宋体"/>
                <w:color w:val="auto"/>
                <w:sz w:val="21"/>
                <w:szCs w:val="21"/>
                <w:highlight w:val="none"/>
              </w:rPr>
              <w:t>★为满足现场运维要求，实现快速运维与现场记录，UPS主机应具备智能录波功能与示波功能，并在UPS面板上显示，可通过四通道示波界面显示故障前后的电力波形，投标方需提供显示UPS工作波形记录的四通道示波界面实操照片证明。主机近端标配EPO按钮，同时具备远程干接点接口，灵活使用，确保现场紧急状况下能够快速断电，保护设备安全。要求提供设备照片证明材料</w:t>
            </w:r>
            <w:r>
              <w:rPr>
                <w:rFonts w:hint="eastAsia" w:ascii="宋体" w:hAnsi="宋体"/>
                <w:color w:val="auto"/>
                <w:sz w:val="21"/>
                <w:szCs w:val="21"/>
                <w:highlight w:val="none"/>
                <w:lang w:eastAsia="zh-CN"/>
              </w:rPr>
              <w:t>并加盖供应商公章</w:t>
            </w:r>
            <w:r>
              <w:rPr>
                <w:rFonts w:hint="eastAsia" w:ascii="宋体" w:hAnsi="宋体"/>
                <w:color w:val="auto"/>
                <w:sz w:val="21"/>
                <w:szCs w:val="21"/>
                <w:highlight w:val="none"/>
              </w:rPr>
              <w:t>。</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ascii="宋体" w:hAnsi="宋体"/>
                <w:color w:val="auto"/>
                <w:sz w:val="21"/>
                <w:szCs w:val="21"/>
              </w:rPr>
            </w:pPr>
            <w:r>
              <w:rPr>
                <w:rFonts w:hint="eastAsia" w:ascii="宋体" w:hAnsi="宋体"/>
                <w:color w:val="auto"/>
                <w:sz w:val="21"/>
                <w:szCs w:val="21"/>
              </w:rPr>
              <w:t>★自老化功能：具备自老化功能，有效解决现场调试及老化的负载问题，减少投资；要求提供针对该功能设置界面的证明材料，</w:t>
            </w:r>
            <w:r>
              <w:rPr>
                <w:rFonts w:hint="eastAsia" w:ascii="宋体" w:hAnsi="宋体"/>
                <w:color w:val="auto"/>
                <w:sz w:val="21"/>
                <w:szCs w:val="21"/>
                <w:highlight w:val="none"/>
                <w:lang w:eastAsia="zh-CN"/>
              </w:rPr>
              <w:t>并加盖供应商公章</w:t>
            </w: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中标后需提供样品</w:t>
            </w:r>
            <w:r>
              <w:rPr>
                <w:rFonts w:hint="eastAsia" w:ascii="宋体" w:hAnsi="宋体"/>
                <w:color w:val="auto"/>
                <w:sz w:val="21"/>
                <w:szCs w:val="21"/>
              </w:rPr>
              <w:t>查验。</w:t>
            </w:r>
          </w:p>
          <w:p>
            <w:pPr>
              <w:keepNext w:val="0"/>
              <w:keepLines w:val="0"/>
              <w:pageBreakBefore w:val="0"/>
              <w:widowControl/>
              <w:numPr>
                <w:ilvl w:val="0"/>
                <w:numId w:val="4"/>
              </w:numPr>
              <w:kinsoku/>
              <w:wordWrap/>
              <w:overflowPunct/>
              <w:topLinePunct w:val="0"/>
              <w:autoSpaceDE w:val="0"/>
              <w:autoSpaceDN w:val="0"/>
              <w:bidi w:val="0"/>
              <w:adjustRightInd w:val="0"/>
              <w:snapToGrid/>
              <w:spacing w:line="300" w:lineRule="exact"/>
              <w:jc w:val="left"/>
              <w:rPr>
                <w:rFonts w:ascii="宋体" w:hAnsi="宋体" w:cs="宋体"/>
                <w:color w:val="auto"/>
                <w:sz w:val="21"/>
                <w:szCs w:val="21"/>
                <w:highlight w:val="none"/>
              </w:rPr>
            </w:pPr>
            <w:r>
              <w:rPr>
                <w:rFonts w:hint="eastAsia" w:ascii="宋体" w:hAnsi="宋体"/>
                <w:color w:val="auto"/>
                <w:sz w:val="21"/>
                <w:szCs w:val="21"/>
              </w:rPr>
              <w:t>电池智能管理：电池管理功能丰富，既方便</w:t>
            </w:r>
            <w:r>
              <w:rPr>
                <w:rFonts w:ascii="宋体" w:hAnsi="宋体"/>
                <w:color w:val="auto"/>
                <w:sz w:val="21"/>
                <w:szCs w:val="21"/>
              </w:rPr>
              <w:t>电池日常维护，也</w:t>
            </w:r>
            <w:r>
              <w:rPr>
                <w:rFonts w:hint="eastAsia" w:ascii="宋体" w:hAnsi="宋体"/>
                <w:color w:val="auto"/>
                <w:sz w:val="21"/>
                <w:szCs w:val="21"/>
              </w:rPr>
              <w:t>可延长电池使用寿命。</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r>
      <w:tr>
        <w:tblPrEx>
          <w:tblCellMar>
            <w:top w:w="0" w:type="dxa"/>
            <w:left w:w="108" w:type="dxa"/>
            <w:bottom w:w="0" w:type="dxa"/>
            <w:right w:w="108" w:type="dxa"/>
          </w:tblCellMar>
        </w:tblPrEx>
        <w:trPr>
          <w:trHeight w:val="504"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铅酸蓄电池</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蓄电池技术参数要求</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1.蓄电池应采用高性能、高可靠性的全密封阀控式免维护铅酸蓄电池。</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2.蓄电池额定20hr容量不小于100Ah。</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3.蓄电池浮充设计寿命不能低于10年（环境温度为25℃时）。此项须以公开资料为准，如公开的彩页、官网</w:t>
            </w:r>
            <w:r>
              <w:rPr>
                <w:rFonts w:hint="eastAsia" w:ascii="宋体" w:hAnsi="宋体" w:cs="宋体"/>
                <w:color w:val="auto"/>
                <w:kern w:val="0"/>
                <w:sz w:val="21"/>
                <w:szCs w:val="21"/>
                <w:highlight w:val="none"/>
                <w:lang w:val="en-US" w:eastAsia="zh-CN" w:bidi="ar"/>
              </w:rPr>
              <w:t>截图</w:t>
            </w:r>
            <w:r>
              <w:rPr>
                <w:rFonts w:hint="eastAsia" w:ascii="宋体" w:hAnsi="宋体" w:cs="宋体"/>
                <w:color w:val="auto"/>
                <w:kern w:val="0"/>
                <w:sz w:val="21"/>
                <w:szCs w:val="21"/>
                <w:highlight w:val="none"/>
                <w:lang w:bidi="ar"/>
              </w:rPr>
              <w:t>等。</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4.蓄电池端电压的均衡性：蓄电池组中各蓄电池间开路电压最高与最低差值不大于100mV；进入浮充状态24小时后，各蓄电池间的浮充电压最高值与最低值之差不大于480mV。</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5.自放电损失：完全充电的蓄电池，在25±5℃的环境中，静置28天后，其容量保持率应不低于97％。</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6.蓄电池在正常工作中应无酸雾逸出。</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7.蓄电池在充电过程中遇有明火，内部不应引爆。</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8.蓄电池密封反应效率应不低于96％。</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9.电池应能承受50kPa的正压或负压而不破裂，压力释放后壳体无残余变形。</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10.蓄电池的安全阀开阀压力应为15kPa～25kPa，闭阀压力应为15kPa～20kPa,开、闭阀压差小于8kPa。</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11.蓄电池在使用中应无渗液、漏液、爬液和膨胀现象。极性正确，正负极性及端子有明显标志，便于连接。</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12.蓄电池的浮充电压值及范围：13.50V~13.80V，蓄电池的充电（恒压）电压值及范围: 14.40~14.70V。</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13.蓄电池之间连接电压降△U≦10mV。</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14.蓄电池应有制造厂名及商标、型号及规格、极性符号、生产日期等。</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80</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9</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电池箱</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可安装20只12v100ah电池</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10</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UPS配电箱</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按图纸要求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控制终端</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I5-13400/16G/1TSSD/核显/21.5</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12</w:t>
            </w:r>
          </w:p>
        </w:tc>
      </w:tr>
      <w:tr>
        <w:tblPrEx>
          <w:tblCellMar>
            <w:top w:w="0" w:type="dxa"/>
            <w:left w:w="108" w:type="dxa"/>
            <w:bottom w:w="0" w:type="dxa"/>
            <w:right w:w="108" w:type="dxa"/>
          </w:tblCellMar>
        </w:tblPrEx>
        <w:trPr>
          <w:trHeight w:val="33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42U网络机柜</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1、符合GB/T3047.2、GB/T4054、GB/T5267.1标准，兼容ANSI/EIA RS-310-D、IEC297-2标准。</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2、机柜采用优质冷轧钢板，表面脱脂、防锈纳米陶瓷化，纯水清洗、粉末静电喷塑，颜色黑色RAL9004。</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3、机柜采用框架结构，结构坚固，静载承重800KG(去除脚轮)。规格：600*600*2000mm(宽*深*高)，前玻璃后钢板门机柜。</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4、材料厚度：方孔条1.2mm,其他主要部件不低于1.0mm。</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5、防护等级IP20。</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6、机柜可以满足顶部和底部两种方式走线。机柜顶部配备走线孔和散热风扇，机柜底部走线孔可以按需调节大小。</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7、门板形式：前钢化玻璃门，后钢板门单开。</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8、内配：3块层板，1个6位10A万用插孔电源插座（额定电流10A，带开关，配2米电源线带国标10A插头），风扇（2只）1套，带脚轮和支撑脚，40套M6浮动螺母。</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D</w:t>
            </w:r>
          </w:p>
        </w:tc>
        <w:tc>
          <w:tcPr>
            <w:tcW w:w="91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管材子系统</w:t>
            </w:r>
          </w:p>
        </w:tc>
      </w:tr>
      <w:tr>
        <w:tblPrEx>
          <w:tblCellMar>
            <w:top w:w="0" w:type="dxa"/>
            <w:left w:w="108" w:type="dxa"/>
            <w:bottom w:w="0" w:type="dxa"/>
            <w:right w:w="108" w:type="dxa"/>
          </w:tblCellMar>
        </w:tblPrEx>
        <w:trPr>
          <w:trHeight w:val="21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HDPE波纹管</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1.HDPE100双壁聚乙烯波纹管，环刚度8级；</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2.山地管道开挖：人工开挖，尺寸：500*500mm；</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3.余方弃置：含山路人力运输；</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4.管道基础垫层：波纹管下垫层（素土或中砂），厚度至少不少于200mm，并夯实；</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5.回填：回填素土或中砂不少于300mm，并人工夯实三遍；</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6.槽内双管铺设</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7.复原：地面层按原样修复复原</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10284</w:t>
            </w:r>
          </w:p>
        </w:tc>
      </w:tr>
      <w:tr>
        <w:tblPrEx>
          <w:tblCellMar>
            <w:top w:w="0" w:type="dxa"/>
            <w:left w:w="108" w:type="dxa"/>
            <w:bottom w:w="0" w:type="dxa"/>
            <w:right w:w="108" w:type="dxa"/>
          </w:tblCellMar>
        </w:tblPrEx>
        <w:trPr>
          <w:trHeight w:val="4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PE管</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1、PE50聚乙烯管，壁厚2mm</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2、包含但不限于埋地铺设</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1700</w:t>
            </w:r>
          </w:p>
        </w:tc>
      </w:tr>
      <w:tr>
        <w:tblPrEx>
          <w:tblCellMar>
            <w:top w:w="0" w:type="dxa"/>
            <w:left w:w="108" w:type="dxa"/>
            <w:bottom w:w="0" w:type="dxa"/>
            <w:right w:w="108" w:type="dxa"/>
          </w:tblCellMar>
        </w:tblPrEx>
        <w:trPr>
          <w:trHeight w:val="9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弱电手孔井</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1.树脂一体复合井，尺寸：600*600*600mm；</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2.壁厚5mm，含配套树脂井盖；</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3.基坑人工开挖及回填、夯实；</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4.含固定基础施工建设</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121</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智能监控箱</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尺寸规格：</w:t>
            </w:r>
            <w:r>
              <w:rPr>
                <w:rFonts w:hint="eastAsia" w:ascii="宋体" w:hAnsi="宋体" w:eastAsia="宋体" w:cs="宋体"/>
                <w:color w:val="auto"/>
                <w:kern w:val="0"/>
                <w:sz w:val="21"/>
                <w:szCs w:val="21"/>
                <w:highlight w:val="none"/>
                <w:lang w:bidi="ar"/>
              </w:rPr>
              <w:t>箱体厚度≥1.2mm，镀锌板喷塑，箱体外尺寸(含雨帽):430(宽)*535(高)*220(深)mm。</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★外观要求：</w:t>
            </w:r>
            <w:r>
              <w:rPr>
                <w:rFonts w:hint="eastAsia" w:ascii="宋体" w:hAnsi="宋体" w:eastAsia="宋体" w:cs="宋体"/>
                <w:color w:val="auto"/>
                <w:kern w:val="0"/>
                <w:sz w:val="21"/>
                <w:szCs w:val="21"/>
                <w:highlight w:val="none"/>
                <w:lang w:bidi="ar"/>
              </w:rPr>
              <w:t>设备顶部具有圆弧形防雨帽，四边圆弧形；U形主体机壳，无棱角；柜门与机箱采用四杆风勾机构，设有限位装置，箱门打开后可自动限位，防止柜门转动回位；箱体内部预置可移动托板。（需提供公安部检测报告证明）</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接口规格：</w:t>
            </w:r>
            <w:r>
              <w:rPr>
                <w:rFonts w:hint="eastAsia" w:ascii="宋体" w:hAnsi="宋体" w:eastAsia="宋体" w:cs="宋体"/>
                <w:color w:val="auto"/>
                <w:kern w:val="0"/>
                <w:sz w:val="21"/>
                <w:szCs w:val="21"/>
                <w:highlight w:val="none"/>
                <w:lang w:bidi="ar"/>
              </w:rPr>
              <w:t>整机一体化设计，内部集成物联终端、2P63A隔离开关、20KA电源防雷、16A自动重合闸漏电保护开关、5路AC220V远程可控5孔插座、1路AC220V远程可控输出端子、姿态检测模块（撞击/震动/倾斜）、DC12V风扇、柜门检测开关、熔纤盘及光纤固定器；1路DC5V和1路DC12V 网络输出接口，2路DC12V输出（1路预留电磁锁控制）、3路DI开关量输入、1路RJ45接口、1路RS485、1路RS232接口、1个复位按键。</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AC220V供电：</w:t>
            </w:r>
            <w:r>
              <w:rPr>
                <w:rFonts w:hint="eastAsia" w:ascii="宋体" w:hAnsi="宋体" w:eastAsia="宋体" w:cs="宋体"/>
                <w:color w:val="auto"/>
                <w:kern w:val="0"/>
                <w:sz w:val="21"/>
                <w:szCs w:val="21"/>
                <w:highlight w:val="none"/>
                <w:lang w:bidi="ar"/>
              </w:rPr>
              <w:t>支持≥5路AC220V输出，支持独立每路电压、电流检测、远程控制、实时发送每路电压电流值到客户端显示，支持通过客户端实时监测设备输出是否断电，并在客户端界面提示告警。（需提供公安部检测报告证明）</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自动重合闸</w:t>
            </w:r>
            <w:r>
              <w:rPr>
                <w:rFonts w:hint="eastAsia" w:ascii="宋体" w:hAnsi="宋体" w:eastAsia="宋体" w:cs="宋体"/>
                <w:color w:val="auto"/>
                <w:kern w:val="0"/>
                <w:sz w:val="21"/>
                <w:szCs w:val="21"/>
                <w:highlight w:val="none"/>
                <w:lang w:bidi="ar"/>
              </w:rPr>
              <w:t>：支持客户端远程合闸和开闸；支持客户端远程查看故障状态、漏电信息。</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★用电检测与统计：</w:t>
            </w:r>
            <w:r>
              <w:rPr>
                <w:rFonts w:hint="eastAsia" w:ascii="宋体" w:hAnsi="宋体" w:eastAsia="宋体" w:cs="宋体"/>
                <w:color w:val="auto"/>
                <w:kern w:val="0"/>
                <w:sz w:val="21"/>
                <w:szCs w:val="21"/>
                <w:highlight w:val="none"/>
                <w:lang w:bidi="ar"/>
              </w:rPr>
              <w:t>支持供电电压、电流、功率、漏电、电量监测，支持远程清空电量值；支持过压、欠压、过流、低载联动关闭指定输出接口；交流输出接口具有定时控制、远程控制功能，可远程设定工作模式；当供电断开时，提示供电异常告警；支持手动开启学习接入设备的功率，在当前设备的功率基础上接入其他设备时，自动关闭供电输出并且客户端提示非法取电告警。（需提供公安部检测报告证明）</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★设备检测：</w:t>
            </w:r>
            <w:r>
              <w:rPr>
                <w:rFonts w:hint="eastAsia" w:ascii="宋体" w:hAnsi="宋体" w:eastAsia="宋体" w:cs="宋体"/>
                <w:color w:val="auto"/>
                <w:kern w:val="0"/>
                <w:sz w:val="21"/>
                <w:szCs w:val="21"/>
                <w:highlight w:val="none"/>
                <w:lang w:bidi="ar"/>
              </w:rPr>
              <w:t>支持≥8路检测摄像机工作状态，并设置定时/手动开启，当接入的摄像机断电或网络断开时，可通过客户端提示告警，支持在客户端内实现外接摄像机视频图像的播放；支持WEB及客户端显示网络传输工作状态，可设置定时/手动重启，当网络传输断开时，可自动进行重启网络传输设备电源，重启次数和时间可设置；支持多路补光灯检测，可设置定时/手动开启电源，支持补光灯功率自学习功能，手动开启自动学习多个补光灯设备的工作电流，区分补光灯白天异常亮起和晚上无法开启，支持≥4个时间段的分时控制。（需提供公安部检测报告证明）</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bookmarkStart w:id="0" w:name="_Hlk73114491"/>
            <w:r>
              <w:rPr>
                <w:rFonts w:hint="eastAsia" w:ascii="宋体" w:hAnsi="宋体" w:eastAsia="宋体" w:cs="宋体"/>
                <w:b w:val="0"/>
                <w:bCs w:val="0"/>
                <w:color w:val="auto"/>
                <w:kern w:val="0"/>
                <w:sz w:val="21"/>
                <w:szCs w:val="21"/>
                <w:highlight w:val="none"/>
                <w:lang w:bidi="ar"/>
              </w:rPr>
              <w:t>断电检测：</w:t>
            </w:r>
            <w:r>
              <w:rPr>
                <w:rFonts w:hint="eastAsia" w:ascii="宋体" w:hAnsi="宋体" w:eastAsia="宋体" w:cs="宋体"/>
                <w:color w:val="auto"/>
                <w:kern w:val="0"/>
                <w:sz w:val="21"/>
                <w:szCs w:val="21"/>
                <w:highlight w:val="none"/>
                <w:lang w:bidi="ar"/>
              </w:rPr>
              <w:t>支持在不使用外部蓄电池情况下，实时监测设备供电电源，并在客户端提示设备供电电源掉电告警。</w:t>
            </w:r>
          </w:p>
          <w:bookmarkEnd w:id="0"/>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环境检测：</w:t>
            </w:r>
            <w:r>
              <w:rPr>
                <w:rFonts w:hint="eastAsia" w:ascii="宋体" w:hAnsi="宋体" w:eastAsia="宋体" w:cs="宋体"/>
                <w:color w:val="auto"/>
                <w:kern w:val="0"/>
                <w:sz w:val="21"/>
                <w:szCs w:val="21"/>
                <w:highlight w:val="none"/>
                <w:lang w:bidi="ar"/>
              </w:rPr>
              <w:t>支持箱内实时温度、湿度、防雷状态、门开关状态、风扇工作状态、风扇故障监测和告警。</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★姿态检测</w:t>
            </w:r>
            <w:r>
              <w:rPr>
                <w:rFonts w:hint="eastAsia" w:ascii="宋体" w:hAnsi="宋体" w:eastAsia="宋体" w:cs="宋体"/>
                <w:color w:val="auto"/>
                <w:kern w:val="0"/>
                <w:sz w:val="21"/>
                <w:szCs w:val="21"/>
                <w:highlight w:val="none"/>
                <w:lang w:bidi="ar"/>
              </w:rPr>
              <w:t>：实时显示当前设备姿态信息（包括XYZ三个方向的角度）；当设备受到震动或撞击时，客户端提示震动或撞击告警，并显示震动加速度值，支持配置震动告警等级；当智能设备箱倾斜时，客户端提示倾斜告警，并显示倾斜角度，支持默认角度校正，支持配置倾斜角度上限；支持箱门打开后，支持联动球机转向监控箱位置录像，可配置开始球机转动时间和停留录像时长。（需提供公安部检测报告证明）</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网页配置：</w:t>
            </w:r>
            <w:r>
              <w:rPr>
                <w:rFonts w:hint="eastAsia" w:ascii="宋体" w:hAnsi="宋体" w:eastAsia="宋体" w:cs="宋体"/>
                <w:color w:val="auto"/>
                <w:kern w:val="0"/>
                <w:sz w:val="21"/>
                <w:szCs w:val="21"/>
                <w:highlight w:val="none"/>
                <w:lang w:bidi="ar"/>
              </w:rPr>
              <w:t>支持通过WEB直接查看实时数据、配置IP地址、客户端地址、传输模式、进行远程固件升级，支持IP地址冲突提示、MAC地址冲突提示；支持802.1x设置，可设置验证用户密码。</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★工作环境</w:t>
            </w:r>
            <w:r>
              <w:rPr>
                <w:rFonts w:hint="eastAsia" w:ascii="宋体" w:hAnsi="宋体" w:eastAsia="宋体" w:cs="宋体"/>
                <w:color w:val="auto"/>
                <w:kern w:val="0"/>
                <w:sz w:val="21"/>
                <w:szCs w:val="21"/>
                <w:highlight w:val="none"/>
                <w:lang w:bidi="ar"/>
              </w:rPr>
              <w:t>：工作温度范围-40℃～+85℃，工作电压范围AC74V～AC280V（50Hz/60Hz范围内变化），外壳防护等级≥IP55，机械碰撞防护等级≥IK08，盐雾测试≥120小时，泄漏电流应不大于5mA(a.c.峰值)，绝缘电阻不小于2MΩ。（需提供公安部检测报告证明）</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抗扰度试验</w:t>
            </w:r>
            <w:r>
              <w:rPr>
                <w:rFonts w:hint="eastAsia" w:ascii="宋体" w:hAnsi="宋体" w:eastAsia="宋体" w:cs="宋体"/>
                <w:color w:val="auto"/>
                <w:kern w:val="0"/>
                <w:sz w:val="21"/>
                <w:szCs w:val="21"/>
                <w:highlight w:val="none"/>
                <w:lang w:bidi="ar"/>
              </w:rPr>
              <w:t>：通过抗电强度试验、静电放电抗扰度试验、浪涌(冲击)抗扰度试验、电快速瞬变脉冲群抗扰度试验、射频电磁场辐射抗扰度试验、电源电压暂降和短时中断抗扰度试验。（需提供公安部检测报告证明）</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运维平台：</w:t>
            </w:r>
            <w:r>
              <w:rPr>
                <w:rFonts w:hint="eastAsia" w:ascii="宋体" w:hAnsi="宋体" w:eastAsia="宋体" w:cs="宋体"/>
                <w:color w:val="auto"/>
                <w:kern w:val="0"/>
                <w:sz w:val="21"/>
                <w:szCs w:val="21"/>
                <w:highlight w:val="none"/>
                <w:lang w:bidi="ar"/>
              </w:rPr>
              <w:t>提供运维管理平台软件，B/S架构，具有概述信息、电子地图、设备管理、点位管理、告警管理、工单管理、报表统计、考核计费等功能，支持报表包含：每日台账、视频无故障率统计、故障及时修复率统计、故障类型统计、考核计费统计、超期工单统计、区域用电量统计。</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工单考核：</w:t>
            </w:r>
            <w:r>
              <w:rPr>
                <w:rFonts w:hint="eastAsia" w:ascii="宋体" w:hAnsi="宋体" w:eastAsia="宋体" w:cs="宋体"/>
                <w:color w:val="auto"/>
                <w:kern w:val="0"/>
                <w:sz w:val="21"/>
                <w:szCs w:val="21"/>
                <w:highlight w:val="none"/>
                <w:lang w:bidi="ar"/>
              </w:rPr>
              <w:t>支持自动派单和手动派单，工单记录故障产生时间、派单时间及修复时长等信息；工单状态包含待接单、维修中、待确认、已结束、挂起中、挂起待确认等；工单流程包含指派、接单、转派、挂起、确认挂起、拒绝挂起、重启、维修完成、确认完等；支持设备一机一档信息记录，包含设备名称、编号、国标编码、安装时间、品牌、类型、安装时间、质保期、到期时间等；支持设置设备运维、网络运维、电力运维并生成考核计费报表，支持设置考核标准、考核申诉，可根据不同故障类型设置不同考核模板，支持设定超过10个考核模板，支持自定义故障分类。（需提供公安部检测报告证明）</w:t>
            </w:r>
          </w:p>
          <w:p>
            <w:pPr>
              <w:pStyle w:val="16"/>
              <w:keepNext w:val="0"/>
              <w:keepLines w:val="0"/>
              <w:pageBreakBefore w:val="0"/>
              <w:numPr>
                <w:ilvl w:val="1"/>
                <w:numId w:val="5"/>
              </w:numPr>
              <w:kinsoku/>
              <w:wordWrap/>
              <w:overflowPunct/>
              <w:topLinePunct w:val="0"/>
              <w:bidi w:val="0"/>
              <w:snapToGrid/>
              <w:spacing w:line="300" w:lineRule="exact"/>
              <w:ind w:left="0" w:leftChars="0" w:firstLine="0" w:firstLineChars="0"/>
              <w:rPr>
                <w:rFonts w:hint="eastAsia" w:ascii="宋体" w:hAnsi="宋体" w:cs="宋体"/>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★安全等级保护</w:t>
            </w:r>
            <w:r>
              <w:rPr>
                <w:rFonts w:hint="eastAsia" w:ascii="宋体" w:hAnsi="宋体" w:eastAsia="宋体" w:cs="宋体"/>
                <w:color w:val="auto"/>
                <w:kern w:val="0"/>
                <w:sz w:val="21"/>
                <w:szCs w:val="21"/>
                <w:highlight w:val="none"/>
                <w:lang w:bidi="ar"/>
              </w:rPr>
              <w:t>：运维管理平台需符合《GB/T 22239-2019信息安全技术网络安全等级保护基本要求》第三级安全计算环境指标中应用系统相关要求，</w:t>
            </w:r>
            <w:r>
              <w:rPr>
                <w:rFonts w:ascii="宋体" w:hAnsi="宋体"/>
                <w:color w:val="auto"/>
                <w:sz w:val="21"/>
                <w:szCs w:val="21"/>
                <w:highlight w:val="none"/>
              </w:rPr>
              <w:t>要求提供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eastAsia="宋体" w:cs="宋体"/>
                <w:strike w:val="0"/>
                <w:color w:val="auto"/>
                <w:kern w:val="0"/>
                <w:sz w:val="21"/>
                <w:szCs w:val="21"/>
                <w:highlight w:val="none"/>
                <w:lang w:bidi="ar"/>
              </w:rPr>
              <w:t>安全检测报告</w:t>
            </w:r>
            <w:r>
              <w:rPr>
                <w:rFonts w:hint="eastAsia" w:ascii="宋体" w:hAnsi="宋体" w:eastAsia="宋体" w:cs="宋体"/>
                <w:color w:val="auto"/>
                <w:kern w:val="0"/>
                <w:sz w:val="21"/>
                <w:szCs w:val="21"/>
                <w:highlight w:val="none"/>
                <w:lang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30</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智能监控箱运维平台</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6"/>
              <w:keepNext w:val="0"/>
              <w:keepLines w:val="0"/>
              <w:pageBreakBefore w:val="0"/>
              <w:widowControl/>
              <w:numPr>
                <w:ilvl w:val="0"/>
                <w:numId w:val="0"/>
              </w:numPr>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运维平台：提供运维管理平台软件，B/S架构，具有概述信息、电子地图、设备管理、告警管理、工单管理、报表统计、考核计费等功能，支持报表包含：每日台账、视频无故障率统计、故障及时修复率统计、故障类型统计、考核计费统计、超期工单统计、区域用电量统计。</w:t>
            </w:r>
          </w:p>
          <w:p>
            <w:pPr>
              <w:pStyle w:val="16"/>
              <w:keepNext w:val="0"/>
              <w:keepLines w:val="0"/>
              <w:pageBreakBefore w:val="0"/>
              <w:widowControl/>
              <w:numPr>
                <w:ilvl w:val="0"/>
                <w:numId w:val="0"/>
              </w:numPr>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指标管控：支持实时在线统计视频总数、视频在线率、视频在线总数、视频离线总数，故障及时修复率（修复阈值时间可设）、本月告警TOP5、点位告警TOP5；支持呈现视频掉线列表、点位告警列表、各区域视频在线率、近30天视频告警走势；支持切换选择不同区域进行呈现运行指标。</w:t>
            </w:r>
          </w:p>
          <w:p>
            <w:pPr>
              <w:pStyle w:val="16"/>
              <w:keepNext w:val="0"/>
              <w:keepLines w:val="0"/>
              <w:pageBreakBefore w:val="0"/>
              <w:widowControl/>
              <w:numPr>
                <w:ilvl w:val="0"/>
                <w:numId w:val="0"/>
              </w:numPr>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3.报表统计：支持每日台账汇总每天外接摄像机告警信息；支持按区域、型号、运维商汇总统计视频在线率、视频告警率、故障及时修复率，以列表、柱子图、折线图展示；支持按区域分类统计不同故障类型次数，以列表、饼状图、柱子图展示；支持考核计费统计，展示考核单位、计费标准、累计超期时间、扣款金额、总计费金额，可查看每条考核记录详情、导出考核报表；支持按区域、运维商统计超期工单，展示工单总数、超期工单数、修复率、超期率；支持按区域、时间段统计并导出用电量。</w:t>
            </w:r>
          </w:p>
          <w:p>
            <w:pPr>
              <w:pStyle w:val="16"/>
              <w:keepNext w:val="0"/>
              <w:keepLines w:val="0"/>
              <w:pageBreakBefore w:val="0"/>
              <w:widowControl/>
              <w:numPr>
                <w:ilvl w:val="0"/>
                <w:numId w:val="0"/>
              </w:numPr>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r>
              <w:rPr>
                <w:rFonts w:hint="eastAsia" w:ascii="宋体" w:hAnsi="宋体" w:eastAsia="宋体" w:cs="宋体"/>
                <w:b w:val="0"/>
                <w:bCs w:val="0"/>
                <w:color w:val="auto"/>
                <w:kern w:val="0"/>
                <w:sz w:val="21"/>
                <w:szCs w:val="21"/>
                <w:highlight w:val="none"/>
                <w:lang w:bidi="ar"/>
              </w:rPr>
              <w:t>★</w:t>
            </w:r>
            <w:r>
              <w:rPr>
                <w:rFonts w:hint="eastAsia" w:ascii="宋体" w:hAnsi="宋体" w:cs="宋体"/>
                <w:color w:val="auto"/>
                <w:kern w:val="0"/>
                <w:sz w:val="21"/>
                <w:szCs w:val="21"/>
                <w:highlight w:val="none"/>
                <w:lang w:bidi="ar"/>
              </w:rPr>
              <w:t>安全等级保护：运维管理平台需符合《GB/T 22239-2019信息安全技术网络安全等级保护基本要求》第三级安全计算环境指标中应用系统相关要求，</w:t>
            </w:r>
            <w:r>
              <w:rPr>
                <w:rFonts w:ascii="宋体" w:hAnsi="宋体"/>
                <w:color w:val="auto"/>
                <w:sz w:val="21"/>
                <w:szCs w:val="21"/>
                <w:highlight w:val="none"/>
              </w:rPr>
              <w:t>要求提供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eastAsia="宋体" w:cs="宋体"/>
                <w:strike w:val="0"/>
                <w:color w:val="auto"/>
                <w:kern w:val="0"/>
                <w:sz w:val="21"/>
                <w:szCs w:val="21"/>
                <w:highlight w:val="none"/>
                <w:lang w:bidi="ar"/>
              </w:rPr>
              <w:t>安全检测报告</w:t>
            </w:r>
            <w:r>
              <w:rPr>
                <w:rFonts w:hint="eastAsia" w:ascii="宋体" w:hAnsi="宋体" w:cs="宋体"/>
                <w:strike w:val="0"/>
                <w:color w:val="auto"/>
                <w:kern w:val="0"/>
                <w:sz w:val="21"/>
                <w:szCs w:val="21"/>
                <w:highlight w:val="none"/>
                <w:lang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6</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立杆</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1.立杆外观根据要求定制；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2.立杆高度2000-4000mm，立杆直径：变径170-120mm，壁厚3mm，底座法兰厚度5mm，</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3.立杆检修口距离地面高度500mm，距离地面2500mm位置开孔25mm，安装设备箱；</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4.立杆顶端安装避雷针，立杆底座与接地扁铁焊接；</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5.配套镀锌角钢：</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接地体为热镀锌5*50*50mm角钢，长度2500mm；</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接地角钢与3*40*40mm镀锌扁铁牢固铆接后与立杆底座焊接</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埋设深度和接地阻值符合相关要求</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6.配套地笼建设安装：M14*50mm</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65</w:t>
            </w:r>
          </w:p>
        </w:tc>
      </w:tr>
      <w:tr>
        <w:tblPrEx>
          <w:tblCellMar>
            <w:top w:w="0" w:type="dxa"/>
            <w:left w:w="108" w:type="dxa"/>
            <w:bottom w:w="0" w:type="dxa"/>
            <w:right w:w="108" w:type="dxa"/>
          </w:tblCellMar>
        </w:tblPrEx>
        <w:trPr>
          <w:trHeight w:val="38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7</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防静电活动地板</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 面层：1.5mm厚防开裂防静电HPL贴面，45°倒角处理；</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 电阻：1x106～1x1010Ω，大致在108Ω左右。表层三氧化二铝耐磨层，厚度30g/cm2,耐磨转数≥3000转；</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 钢板： 上层钢板0.8mm，冷硬板钢号：SPCC-1D。下层钢板0.7mm，深冲拉伸板，钢号ST14。底部特有双十字加强筋，另加增加凸点，半球深度达到21mm。底部四周边款加宽处理，上有直条压筋以增加强度。表层防静电喷塑处理，塑粉厚度0.2u；</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 水泥填充： 325#国标悬窑水吸。加发泡剂，保证水泥填充均匀。少许纤维，加强韧性；</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 支架：镀锌支架：上托75x75x3.0mm，下托95x95x2.0mm，中25x1.2园管，上口缩管；</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 横梁：21x32x1.0，长度570mm。规格：600x600x35mm；</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7、 通过SJ/T10796-2001、SJ/T11236-2001、GB8624-2006的系统电阻、机械性能、燃烧性能及外观均符合国家有关标准及要求；通过GB/T24001-2004 idt ISO14001:2004环境管理体系认证，以及通过GB/T19001-2008 idt ISO9001:2008质量管理体系认证；</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35</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围栏小门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铁艺定制，尺寸:2000mm*1200mm，对开</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2.4</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9</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后门小门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甲级防盗门，材质：钢， 尺寸:2050mm*860mm，</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1.76</w:t>
            </w:r>
          </w:p>
        </w:tc>
      </w:tr>
      <w:tr>
        <w:tblPrEx>
          <w:tblCellMar>
            <w:top w:w="0" w:type="dxa"/>
            <w:left w:w="108" w:type="dxa"/>
            <w:bottom w:w="0" w:type="dxa"/>
            <w:right w:w="108" w:type="dxa"/>
          </w:tblCellMar>
        </w:tblPrEx>
        <w:trPr>
          <w:trHeight w:val="26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10</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大门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1、门排：13.5米长*1.6米高；上梁规格(mm)：140*85*2.5mm；下梁规格(mm)：140*85*2.5mm；立柱：100*100*2.0mm；</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2、驱动系统：涡轮减速电机，机械缓冲装置，电子软驱动装置，无触点控制系统，磁敏感装置，热敏感保护装置，无档级离合装置；</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3、LED显示屏：正面固定显示“欢迎光临”；</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4、防撞；</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5、轨道：无轨；</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6、电机：≥370W；</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7、颜色：灰色；</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8、厚度：2.5；</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9、遥控器：≥2</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13.5</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pageBreakBefore w:val="0"/>
              <w:widowControl/>
              <w:tabs>
                <w:tab w:val="right" w:pos="9503"/>
              </w:tabs>
              <w:kinsoku/>
              <w:wordWrap/>
              <w:overflowPunct/>
              <w:topLinePunct w:val="0"/>
              <w:bidi w:val="0"/>
              <w:snapToGrid/>
              <w:spacing w:line="300" w:lineRule="exact"/>
              <w:jc w:val="center"/>
              <w:textAlignment w:val="center"/>
              <w:rPr>
                <w:rFonts w:hint="eastAsia" w:ascii="宋体" w:hAnsi="宋体" w:eastAsia="宋体" w:cs="宋体"/>
                <w:b/>
                <w:bCs/>
                <w:color w:val="auto"/>
                <w:sz w:val="21"/>
                <w:szCs w:val="21"/>
                <w:highlight w:val="none"/>
                <w:lang w:eastAsia="zh-CN"/>
              </w:rPr>
            </w:pPr>
            <w:r>
              <w:rPr>
                <w:rFonts w:hint="eastAsia" w:ascii="宋体" w:hAnsi="宋体" w:cs="宋体"/>
                <w:b/>
                <w:bCs/>
                <w:color w:val="auto"/>
                <w:kern w:val="0"/>
                <w:sz w:val="21"/>
                <w:szCs w:val="21"/>
                <w:highlight w:val="none"/>
                <w:shd w:val="clear" w:fill="FFFF00"/>
                <w:lang w:eastAsia="zh-CN" w:bidi="ar"/>
              </w:rPr>
              <w:t>第二部分：</w:t>
            </w:r>
            <w:r>
              <w:rPr>
                <w:rFonts w:hint="eastAsia" w:ascii="宋体" w:hAnsi="宋体" w:cs="宋体"/>
                <w:b/>
                <w:bCs/>
                <w:color w:val="auto"/>
                <w:kern w:val="0"/>
                <w:sz w:val="21"/>
                <w:szCs w:val="21"/>
                <w:highlight w:val="none"/>
                <w:shd w:val="clear" w:fill="FFFF00"/>
                <w:lang w:bidi="ar"/>
              </w:rPr>
              <w:t>智能化工程</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A：计算机网络系统</w:t>
            </w:r>
          </w:p>
        </w:tc>
      </w:tr>
      <w:tr>
        <w:tblPrEx>
          <w:tblCellMar>
            <w:top w:w="0" w:type="dxa"/>
            <w:left w:w="108" w:type="dxa"/>
            <w:bottom w:w="0" w:type="dxa"/>
            <w:right w:w="108" w:type="dxa"/>
          </w:tblCellMar>
        </w:tblPrEx>
        <w:trPr>
          <w:trHeight w:val="40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智能网络管理中心一体机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6"/>
              </w:numPr>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千兆以太网口数≥3，并需提供1个RJ-45 Console管理口；</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2、单台设备最大可支持管理AP数≥250；本次项目要求配置≥20个AP license；</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3、★结合无线AP支持配置采用独立射频WIPS模糊或精准反制非法接入点并实时检测、告警及反制，过程中不影响用户正常网络接入；提供</w:t>
            </w:r>
            <w:r>
              <w:rPr>
                <w:rFonts w:hint="eastAsia" w:ascii="宋体" w:hAnsi="宋体" w:cs="宋体"/>
                <w:i w:val="0"/>
                <w:iCs w:val="0"/>
                <w:color w:val="auto"/>
                <w:kern w:val="0"/>
                <w:sz w:val="21"/>
                <w:szCs w:val="21"/>
                <w:highlight w:val="none"/>
                <w:u w:val="none"/>
                <w:lang w:val="en-US" w:eastAsia="zh-CN" w:bidi="ar"/>
              </w:rPr>
              <w:t>具有资质的第三方</w:t>
            </w:r>
            <w:r>
              <w:rPr>
                <w:rFonts w:hint="eastAsia" w:ascii="宋体" w:hAnsi="宋体" w:eastAsia="宋体" w:cs="宋体"/>
                <w:i w:val="0"/>
                <w:iCs w:val="0"/>
                <w:color w:val="auto"/>
                <w:kern w:val="0"/>
                <w:sz w:val="21"/>
                <w:szCs w:val="21"/>
                <w:highlight w:val="none"/>
                <w:u w:val="none"/>
                <w:lang w:val="en-US" w:eastAsia="zh-CN" w:bidi="ar"/>
              </w:rPr>
              <w:t>机构出具的</w:t>
            </w:r>
            <w:r>
              <w:rPr>
                <w:rFonts w:hint="eastAsia" w:ascii="宋体" w:hAnsi="宋体" w:cs="宋体"/>
                <w:color w:val="auto"/>
                <w:kern w:val="0"/>
                <w:sz w:val="21"/>
                <w:szCs w:val="21"/>
                <w:highlight w:val="none"/>
                <w:lang w:bidi="ar"/>
              </w:rPr>
              <w:t>C</w:t>
            </w:r>
            <w:r>
              <w:rPr>
                <w:rFonts w:ascii="宋体" w:hAnsi="宋体" w:cs="宋体"/>
                <w:color w:val="auto"/>
                <w:kern w:val="0"/>
                <w:sz w:val="21"/>
                <w:szCs w:val="21"/>
                <w:highlight w:val="none"/>
                <w:lang w:bidi="ar"/>
              </w:rPr>
              <w:t>NAS</w:t>
            </w:r>
            <w:r>
              <w:rPr>
                <w:rFonts w:hint="eastAsia" w:ascii="宋体" w:hAnsi="宋体" w:cs="宋体"/>
                <w:color w:val="auto"/>
                <w:kern w:val="0"/>
                <w:sz w:val="21"/>
                <w:szCs w:val="21"/>
                <w:highlight w:val="none"/>
                <w:lang w:bidi="ar"/>
              </w:rPr>
              <w:t>或C</w:t>
            </w:r>
            <w:r>
              <w:rPr>
                <w:rFonts w:ascii="宋体" w:hAnsi="宋体" w:cs="宋体"/>
                <w:color w:val="auto"/>
                <w:kern w:val="0"/>
                <w:sz w:val="21"/>
                <w:szCs w:val="21"/>
                <w:highlight w:val="none"/>
                <w:lang w:bidi="ar"/>
              </w:rPr>
              <w:t>MA</w:t>
            </w:r>
            <w:r>
              <w:rPr>
                <w:rFonts w:hint="eastAsia" w:ascii="宋体" w:hAnsi="宋体" w:cs="宋体"/>
                <w:color w:val="auto"/>
                <w:kern w:val="0"/>
                <w:sz w:val="21"/>
                <w:szCs w:val="21"/>
                <w:highlight w:val="none"/>
                <w:lang w:bidi="ar"/>
              </w:rPr>
              <w:t>检测报告证明</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4、对接内部系统结合802.1X、Web认证方式接入网络，支持批量的形式导入、导出认证信息实现高效的认证管理，自身最大可创建不少于60000个用户认证的账号信息。</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5、★支持对接钉钉、企业微信等做基于OAuth2.0协议的用户认证，以实现多用户认证可靠、安全且高效的认证管理</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t>提供具有资质的第三方机构出具的CNAS、CMA检测报告；</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6、★支持作为认证中心，对主流品牌的无线A</w:t>
            </w:r>
            <w:r>
              <w:rPr>
                <w:rFonts w:ascii="宋体" w:hAnsi="宋体" w:cs="宋体"/>
                <w:color w:val="auto"/>
                <w:kern w:val="0"/>
                <w:sz w:val="21"/>
                <w:szCs w:val="21"/>
                <w:highlight w:val="none"/>
                <w:lang w:bidi="ar"/>
              </w:rPr>
              <w:t>P</w:t>
            </w:r>
            <w:r>
              <w:rPr>
                <w:rFonts w:hint="eastAsia" w:ascii="宋体" w:hAnsi="宋体" w:cs="宋体"/>
                <w:color w:val="auto"/>
                <w:kern w:val="0"/>
                <w:sz w:val="21"/>
                <w:szCs w:val="21"/>
                <w:highlight w:val="none"/>
                <w:lang w:bidi="ar"/>
              </w:rPr>
              <w:t>设备做认证对接，实现全网统一身份认证</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t>提供具有资质的第三方机构出具的CNAS、CMA检测报告；</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7、支持接入终端操作系统智能识别，能识别安卓、ios、Windows移动终端、Windows PC、macOS的PC等接入终端；</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8、支持短信认证的有效期设置和短信验证码的有效期设置，在短信认证有效期内，不用重新认证，在验证码有效期内，不用重新获取验证码；</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9、支持限制同一个账号在多个终端同时登录，可以根据实际情况设置阈值，达到上限后禁止新终端接入或强迫最早接入的终端下线；</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10、支持短信认证的有效期设置和短信验证码的有效期设置，在短信认证有效期内，不用重新认证，在验证码有效期内，不用重新获取验证码</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11、★可识别不少于6000种网络应用，不少于3000万条海量预分类的URL地址</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t>提供具有资质的第三方机构出具的CNAS、CMA检测报告；</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12、支持上网行为审计，可审计用户访问的URL、网络应用类型、非加密的邮件正文及其附件内容、Web BBS发帖内容、微博内容、FTP上传和下载的文件名、TELNET执行的命令等</w:t>
            </w:r>
            <w:r>
              <w:rPr>
                <w:rFonts w:hint="eastAsia" w:ascii="宋体" w:hAnsi="宋体" w:cs="宋体"/>
                <w:color w:val="auto"/>
                <w:kern w:val="0"/>
                <w:sz w:val="21"/>
                <w:szCs w:val="21"/>
                <w:highlight w:val="none"/>
                <w:lang w:eastAsia="zh-CN" w:bidi="ar"/>
              </w:rPr>
              <w:t>；</w:t>
            </w:r>
          </w:p>
          <w:p>
            <w:pPr>
              <w:keepNext w:val="0"/>
              <w:keepLines w:val="0"/>
              <w:pageBreakBefore w:val="0"/>
              <w:widowControl/>
              <w:numPr>
                <w:ilvl w:val="0"/>
                <w:numId w:val="0"/>
              </w:numPr>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13、支持支持记录用户注册信息、IP、终端MAC、时间、访问的目的IP等信息，支持与本地公安网监平台对接，按照要求将审计结果上传至公安的网监平台，支持与本地公安网监平台对接，将审计数据上传至公安的网监平台；</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14、支持Portal认证页面自定义，包括页面展示信息、页面标题、文字描述、免责声明等信息；</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15、支持灵活的设置Portal认证页面内容，可基于接入位置、终端类型、MAC地址、用户名、运营商等信息呈现不同的Portal认证页面；</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16、支持基于用户数、信号强度、信道利用率的智能负载均衡，自动平衡各AP之间的接入压力；</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17、支持认证用户画像描述，支持对认证用户的移动轨迹、来访偏好、高峰时段、来访频次、驻留时长、WiFi使用时长、移动终端类型、上网爱好标签等信息进行收集和分析</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18、支持网络控制器逃生功能，当网络控制器宕机后，切换成智能转发模式，依然能保证在线用户的正常上网，并保证新用户也能通过认证连入无线网络（提供功能截图证明）；</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19、支持与外部安全感知平台可拉取本系统用户信息，当安全探针和态势感知平台识别异常终端并加入黑名单，本系统会同步安全感知平台黑名单;</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20、可以查看到可视化的互访图显示，可以查看到观察区域和保护区域的数量、安全访问、风险访问次数、拦截次数、攻击终端数量等；</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21、支持呈现无线网络环境指标检测功能，包括信道总利用率、Wi-Fi信道利用率、非Wi-Fi信道利用率、同频AP数量等，以方便对网络质量进行排查；</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22、可以自定义网络质量指标阈值进行编辑，包括网络地址、接入时间、DHCP请求时间、DNS解析平均时延、网关平均时延、网络丢包率，并以时光轴的方式进行展示具体时间点的检测情况；</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23、★可以自行对无线网络</w:t>
            </w:r>
            <w:r>
              <w:rPr>
                <w:rFonts w:hint="eastAsia" w:ascii="宋体" w:hAnsi="宋体" w:cs="宋体"/>
                <w:color w:val="auto"/>
                <w:kern w:val="0"/>
                <w:sz w:val="21"/>
                <w:szCs w:val="21"/>
                <w:highlight w:val="none"/>
                <w:lang w:val="en-US" w:eastAsia="zh-CN" w:bidi="ar"/>
              </w:rPr>
              <w:t>提供的服务</w:t>
            </w:r>
            <w:r>
              <w:rPr>
                <w:rFonts w:hint="eastAsia" w:ascii="宋体" w:hAnsi="宋体" w:cs="宋体"/>
                <w:color w:val="auto"/>
                <w:kern w:val="0"/>
                <w:sz w:val="21"/>
                <w:szCs w:val="21"/>
                <w:highlight w:val="none"/>
                <w:lang w:bidi="ar"/>
              </w:rPr>
              <w:t>进行检测，包括网络接入、DHCP、网关、DNS、网络地址等阶段的时延和质量检测，并以时光轴的方式进行展示具体时间点的检测情况，并且可以引导运维人员怎么排查故障到最终解决问题</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t>提供</w:t>
            </w:r>
            <w:r>
              <w:rPr>
                <w:rFonts w:hint="eastAsia" w:ascii="宋体" w:hAnsi="宋体" w:cs="宋体"/>
                <w:i w:val="0"/>
                <w:iCs w:val="0"/>
                <w:color w:val="auto"/>
                <w:kern w:val="0"/>
                <w:sz w:val="21"/>
                <w:szCs w:val="21"/>
                <w:highlight w:val="none"/>
                <w:u w:val="none"/>
                <w:lang w:val="en-US" w:eastAsia="zh-CN" w:bidi="ar"/>
              </w:rPr>
              <w:t>具有资质的第三方</w:t>
            </w:r>
            <w:r>
              <w:rPr>
                <w:rFonts w:hint="eastAsia" w:ascii="宋体" w:hAnsi="宋体" w:eastAsia="宋体" w:cs="宋体"/>
                <w:i w:val="0"/>
                <w:iCs w:val="0"/>
                <w:color w:val="auto"/>
                <w:kern w:val="0"/>
                <w:sz w:val="21"/>
                <w:szCs w:val="21"/>
                <w:highlight w:val="none"/>
                <w:u w:val="none"/>
                <w:lang w:val="en-US" w:eastAsia="zh-CN" w:bidi="ar"/>
              </w:rPr>
              <w:t>机构出具的</w:t>
            </w:r>
            <w:r>
              <w:rPr>
                <w:rFonts w:hint="eastAsia" w:ascii="宋体" w:hAnsi="宋体" w:cs="宋体"/>
                <w:color w:val="auto"/>
                <w:kern w:val="0"/>
                <w:sz w:val="21"/>
                <w:szCs w:val="21"/>
                <w:highlight w:val="none"/>
                <w:lang w:bidi="ar"/>
              </w:rPr>
              <w:t>C</w:t>
            </w:r>
            <w:r>
              <w:rPr>
                <w:rFonts w:ascii="宋体" w:hAnsi="宋体" w:cs="宋体"/>
                <w:color w:val="auto"/>
                <w:kern w:val="0"/>
                <w:sz w:val="21"/>
                <w:szCs w:val="21"/>
                <w:highlight w:val="none"/>
                <w:lang w:bidi="ar"/>
              </w:rPr>
              <w:t>NAS</w:t>
            </w:r>
            <w:r>
              <w:rPr>
                <w:rFonts w:hint="eastAsia" w:ascii="宋体" w:hAnsi="宋体" w:cs="宋体"/>
                <w:color w:val="auto"/>
                <w:kern w:val="0"/>
                <w:sz w:val="21"/>
                <w:szCs w:val="21"/>
                <w:highlight w:val="none"/>
                <w:lang w:bidi="ar"/>
              </w:rPr>
              <w:t>或C</w:t>
            </w:r>
            <w:r>
              <w:rPr>
                <w:rFonts w:ascii="宋体" w:hAnsi="宋体" w:cs="宋体"/>
                <w:color w:val="auto"/>
                <w:kern w:val="0"/>
                <w:sz w:val="21"/>
                <w:szCs w:val="21"/>
                <w:highlight w:val="none"/>
                <w:lang w:bidi="ar"/>
              </w:rPr>
              <w:t>MA</w:t>
            </w:r>
            <w:r>
              <w:rPr>
                <w:rFonts w:hint="eastAsia" w:ascii="宋体" w:hAnsi="宋体" w:cs="宋体"/>
                <w:color w:val="auto"/>
                <w:kern w:val="0"/>
                <w:sz w:val="21"/>
                <w:szCs w:val="21"/>
                <w:highlight w:val="none"/>
                <w:lang w:bidi="ar"/>
              </w:rPr>
              <w:t>检测报告证明</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24、支持记录无线网络中终端流量访问路径、识别异常终端访问行为、呈现全网异常访问趋势、下发策略阻断风险终端访问动作的全周期东西向流量安全可视化管控；</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w:t>
            </w:r>
            <w:r>
              <w:rPr>
                <w:rFonts w:hint="eastAsia" w:ascii="宋体" w:hAnsi="宋体" w:cs="宋体"/>
                <w:color w:val="auto"/>
                <w:kern w:val="0"/>
                <w:sz w:val="21"/>
                <w:szCs w:val="21"/>
                <w:highlight w:val="none"/>
                <w:lang w:val="en-US" w:eastAsia="zh-CN" w:bidi="ar"/>
              </w:rPr>
              <w:t>5</w:t>
            </w:r>
            <w:r>
              <w:rPr>
                <w:rFonts w:hint="eastAsia" w:ascii="宋体" w:hAnsi="宋体" w:cs="宋体"/>
                <w:color w:val="auto"/>
                <w:kern w:val="0"/>
                <w:sz w:val="21"/>
                <w:szCs w:val="21"/>
                <w:highlight w:val="none"/>
                <w:lang w:bidi="ar"/>
              </w:rPr>
              <w:t>、提供控制器和AP的WEB管理界面，不仅轻松搞定无线配置，更能够整体运营无线网络，通过控制器的WEB界面不仅能够管理AP还能管理AP下联的用户，可以对用户进行限速和限制用户连入网络等行为，方便运维人员对无线的规划和运维。</w:t>
            </w:r>
          </w:p>
          <w:p>
            <w:pPr>
              <w:pStyle w:val="5"/>
              <w:keepNext w:val="0"/>
              <w:keepLines w:val="0"/>
              <w:pageBreakBefore w:val="0"/>
              <w:kinsoku/>
              <w:wordWrap/>
              <w:overflowPunct/>
              <w:topLinePunct w:val="0"/>
              <w:bidi w:val="0"/>
              <w:snapToGrid/>
              <w:spacing w:after="0" w:line="300" w:lineRule="exact"/>
              <w:ind w:firstLine="0" w:firstLineChars="0"/>
              <w:rPr>
                <w:rFonts w:hint="eastAsia" w:eastAsia="宋体"/>
                <w:color w:val="auto"/>
                <w:sz w:val="21"/>
                <w:szCs w:val="21"/>
                <w:highlight w:val="none"/>
                <w:lang w:eastAsia="zh-CN" w:bidi="ar"/>
              </w:rPr>
            </w:pPr>
            <w:r>
              <w:rPr>
                <w:rFonts w:hint="eastAsia" w:ascii="宋体" w:hAnsi="宋体" w:cs="宋体"/>
                <w:bCs w:val="0"/>
                <w:color w:val="auto"/>
                <w:kern w:val="0"/>
                <w:sz w:val="21"/>
                <w:szCs w:val="21"/>
                <w:highlight w:val="none"/>
                <w:lang w:bidi="ar"/>
              </w:rPr>
              <w:t>2</w:t>
            </w:r>
            <w:r>
              <w:rPr>
                <w:rFonts w:hint="eastAsia" w:ascii="宋体" w:hAnsi="宋体" w:cs="宋体"/>
                <w:bCs w:val="0"/>
                <w:color w:val="auto"/>
                <w:kern w:val="0"/>
                <w:sz w:val="21"/>
                <w:szCs w:val="21"/>
                <w:highlight w:val="none"/>
                <w:lang w:val="en-US" w:eastAsia="zh-CN" w:bidi="ar"/>
              </w:rPr>
              <w:t>6</w:t>
            </w:r>
            <w:r>
              <w:rPr>
                <w:rFonts w:hint="eastAsia" w:ascii="宋体" w:hAnsi="宋体" w:cs="宋体"/>
                <w:bCs w:val="0"/>
                <w:color w:val="auto"/>
                <w:kern w:val="0"/>
                <w:sz w:val="21"/>
                <w:szCs w:val="21"/>
                <w:highlight w:val="none"/>
                <w:lang w:bidi="ar"/>
              </w:rPr>
              <w:t>、为保证后期服务，设备厂商需满足CTS/FW01-2021售后服务完善度评价规范，服务能力获得八星级以上认证，提供证书扫描件</w:t>
            </w:r>
            <w:r>
              <w:rPr>
                <w:rFonts w:hint="eastAsia" w:ascii="宋体" w:hAnsi="宋体" w:cs="宋体"/>
                <w:bCs w:val="0"/>
                <w:color w:val="auto"/>
                <w:kern w:val="0"/>
                <w:sz w:val="21"/>
                <w:szCs w:val="21"/>
                <w:highlight w:val="none"/>
                <w:lang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104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室外无线AP</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1.802.11ax 协议，兼容802.11a/b/g/n/ac协议，支持2.4G和5G同时工作；</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2.2.4G和5G同时工作，整机空间流≥4条，整机最大接入速率≥1.7Gbps；</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3.千兆以太网口≥1个，千兆光口≥1个；</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4.AP满负荷工作功耗≤257W；</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5.内置室外定向天线，防护等级≥IP68；</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6.支持Fat和Fit 两种工作模式，根据网络规划的需要，可以灵活地在Fat和Fit两种工作模式中切换，同时可以根据应用需求，选择工作模式；</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7.AP支持集中转发和本地转发两种数据转发模式，同一个AP上基于SSID选择本地转发或者集中转发；</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8.Fit模式系列AP可将数据报文在无线接入设备上直接转化为不经过控制器的报文，而是在本地进行转发，提升转发效率，降低网络资源开销；</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9.支持AP零配置，支持二三层发现、DHCP Option43、DNS域名等多种AC自动发现机制；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10.支持802.1x 认证、MAC 地址认证、PSK 认证、Portal认证等；</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11.支持基于时间计划定时开启或关闭指定SSID，并可配置例外SSID；</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12.通过基于特征和协议的射频优化，有效提升无线部署中高密度接入、流媒体传输等场景中的应用加速能力和质量保障效果。其中包含：多用户时间公平调度、混合接入公平、干扰过滤、终端速率管控、频谱导航、组播增强、广播优化、逐包功率控制和智能带宽保障等；</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13.支持无线带宽平均分配，让不同协商速率的终端占用相等的无线信道时间，防止低速终端拉低网络整体速；</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14.支持Fit AP切换成网关模式（非Fat AP模式），支持PPPoE拨号、静态IP、DHCP三种上网方式；</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15.支持逃生模式，AP与控制器连接中断后，原有用户在线、新用户正常接入，业务不中断；</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16.为保证兼容性与统一管理，要求本次招标的AP与POE交换机兼容或为同一品牌。</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40</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B：视频监控系统</w:t>
            </w:r>
          </w:p>
        </w:tc>
      </w:tr>
      <w:tr>
        <w:tblPrEx>
          <w:tblCellMar>
            <w:top w:w="0" w:type="dxa"/>
            <w:left w:w="108" w:type="dxa"/>
            <w:bottom w:w="0" w:type="dxa"/>
            <w:right w:w="108" w:type="dxa"/>
          </w:tblCellMar>
        </w:tblPrEx>
        <w:trPr>
          <w:trHeight w:val="5667"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600万全彩枪机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1、支持绊线入侵，区域入侵；</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2、采用高性能1/2.7英寸CMOS图像传感器，低照度效果好，图像清晰度高；</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3、最大可输出600万(3200×1800)@25fps；</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4、支持H.265编码，压缩比高，实现超低码流传输；</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5、补光灯：2颗（红外灯）;2颗（暖光灯）；</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6、内置高效暖光和红外补光灯，最大红外监控距离80米，最大暖光监控距离50米；</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7、镜头类型：定焦；</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8、镜头焦距：3.6mm；</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9、支持走廊模式，宽动态，3D降噪，强光抑制，背光补偿，数字水印，适用不同监控环境；</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10、支持ROI，SMART H.264/H.265，灵活编码，适用不同带宽和存储环境；</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11、同一静止场景相同图像质量下,设备在H.265编码方式时,开启智能编码功能和不开启智能编码相比,码流节约90%以上；</w:t>
            </w:r>
            <w:r>
              <w:rPr>
                <w:rFonts w:hint="eastAsia" w:ascii="宋体" w:hAnsi="宋体" w:eastAsia="宋体" w:cs="宋体"/>
                <w:i w:val="0"/>
                <w:iCs w:val="0"/>
                <w:color w:val="auto"/>
                <w:kern w:val="0"/>
                <w:sz w:val="21"/>
                <w:szCs w:val="21"/>
                <w:highlight w:val="none"/>
                <w:u w:val="none"/>
                <w:lang w:val="en-US" w:eastAsia="zh-CN" w:bidi="ar"/>
              </w:rPr>
              <w:t>（提供公安部检测报告）</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12、内置MIC；</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13、支持DC12V/POE供电方式；</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14、支持IP67防护等级；</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r>
              <w:rPr>
                <w:rFonts w:hint="eastAsia" w:ascii="宋体" w:hAnsi="宋体" w:cs="宋体"/>
                <w:color w:val="auto"/>
                <w:kern w:val="0"/>
                <w:sz w:val="21"/>
                <w:szCs w:val="21"/>
                <w:highlight w:val="none"/>
                <w:lang w:val="en-US" w:eastAsia="zh-CN" w:bidi="ar"/>
              </w:rPr>
              <w:t>5</w:t>
            </w:r>
            <w:r>
              <w:rPr>
                <w:rFonts w:hint="eastAsia" w:ascii="宋体" w:hAnsi="宋体" w:cs="宋体"/>
                <w:color w:val="auto"/>
                <w:kern w:val="0"/>
                <w:sz w:val="21"/>
                <w:szCs w:val="21"/>
                <w:highlight w:val="none"/>
                <w:lang w:bidi="ar"/>
              </w:rPr>
              <w:t>、支持SMD Plus。</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163</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400万32倍星光红外跟踪球</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支持人脸检测；支持优选；支持抓拍；支持上报最优的人脸抓图；</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支持人脸增强，支持人脸属性提取，6种属性8种表情</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 xml:space="preserve"> </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支持绊线入侵、区域入侵、穿越围栏、徘徊、物品遗留、物品搬移、快速移动、停车、人员聚集检测；支持人车分类报警；支持联动跟踪</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400万像素</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支持32倍光学变倍，16倍数字变倍</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1/</w:t>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.8英寸CMOS传感器</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（提供公安部检测报告）</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支持超低照度，彩色：0.005lux@F1.2</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黑白：0.0005lux@F1.2红外灯开启0Lux，</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支持H.265编码，实现超低码流传输</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内置150米红外灯补光，30米白光灯补光，采用倍率与补光灯功率匹配算法，补光效果更均匀</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支持报警联动白光警戒，声音报警，对目标进行跟踪</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11、</w:t>
            </w:r>
            <w:r>
              <w:rPr>
                <w:rFonts w:hint="eastAsia" w:ascii="宋体" w:hAnsi="宋体" w:eastAsia="宋体" w:cs="宋体"/>
                <w:i w:val="0"/>
                <w:iCs w:val="0"/>
                <w:color w:val="auto"/>
                <w:kern w:val="0"/>
                <w:sz w:val="21"/>
                <w:szCs w:val="21"/>
                <w:highlight w:val="none"/>
                <w:u w:val="none"/>
                <w:lang w:val="en-US" w:eastAsia="zh-CN" w:bidi="ar"/>
              </w:rPr>
              <w:t>水平方向360°连续旋转，垂直方向-20°～90°自动翻转180°后连续监视,无监视盲区</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12、</w:t>
            </w:r>
            <w:r>
              <w:rPr>
                <w:rFonts w:hint="eastAsia" w:ascii="宋体" w:hAnsi="宋体" w:eastAsia="宋体" w:cs="宋体"/>
                <w:i w:val="0"/>
                <w:iCs w:val="0"/>
                <w:color w:val="auto"/>
                <w:kern w:val="0"/>
                <w:sz w:val="21"/>
                <w:szCs w:val="21"/>
                <w:highlight w:val="none"/>
                <w:u w:val="none"/>
                <w:lang w:val="en-US" w:eastAsia="zh-CN" w:bidi="ar"/>
              </w:rPr>
              <w:t>设备web界面功能配置采用导航式操作,可选择全局方案和预置点方案,在方案配置中根据下一步提示配置不同的智能功能（提供公安部检测报告）</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13、</w:t>
            </w:r>
            <w:r>
              <w:rPr>
                <w:rFonts w:hint="eastAsia" w:ascii="宋体" w:hAnsi="宋体" w:eastAsia="宋体" w:cs="宋体"/>
                <w:i w:val="0"/>
                <w:iCs w:val="0"/>
                <w:color w:val="auto"/>
                <w:kern w:val="0"/>
                <w:sz w:val="21"/>
                <w:szCs w:val="21"/>
                <w:highlight w:val="none"/>
                <w:u w:val="none"/>
                <w:lang w:val="en-US" w:eastAsia="zh-CN" w:bidi="ar"/>
              </w:rPr>
              <w:t>支持300个预置位，8条巡航路径，5条巡迹路径</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14、</w:t>
            </w:r>
            <w:r>
              <w:rPr>
                <w:rFonts w:hint="eastAsia" w:ascii="宋体" w:hAnsi="宋体" w:eastAsia="宋体" w:cs="宋体"/>
                <w:i w:val="0"/>
                <w:iCs w:val="0"/>
                <w:color w:val="auto"/>
                <w:kern w:val="0"/>
                <w:sz w:val="21"/>
                <w:szCs w:val="21"/>
                <w:highlight w:val="none"/>
                <w:u w:val="none"/>
                <w:lang w:val="en-US" w:eastAsia="zh-CN" w:bidi="ar"/>
              </w:rPr>
              <w:t>支持1路音频输入和1路音频输出</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15、</w:t>
            </w:r>
            <w:r>
              <w:rPr>
                <w:rFonts w:hint="eastAsia" w:ascii="宋体" w:hAnsi="宋体" w:eastAsia="宋体" w:cs="宋体"/>
                <w:i w:val="0"/>
                <w:iCs w:val="0"/>
                <w:color w:val="auto"/>
                <w:kern w:val="0"/>
                <w:sz w:val="21"/>
                <w:szCs w:val="21"/>
                <w:highlight w:val="none"/>
                <w:u w:val="none"/>
                <w:lang w:val="en-US" w:eastAsia="zh-CN" w:bidi="ar"/>
              </w:rPr>
              <w:t>内置2路报警输入和1路报警输出，支持报警联动功能</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16、</w:t>
            </w:r>
            <w:r>
              <w:rPr>
                <w:rFonts w:hint="eastAsia" w:ascii="宋体" w:hAnsi="宋体" w:eastAsia="宋体" w:cs="宋体"/>
                <w:i w:val="0"/>
                <w:iCs w:val="0"/>
                <w:color w:val="auto"/>
                <w:kern w:val="0"/>
                <w:sz w:val="21"/>
                <w:szCs w:val="21"/>
                <w:highlight w:val="none"/>
                <w:u w:val="none"/>
                <w:lang w:val="en-US" w:eastAsia="zh-CN" w:bidi="ar"/>
              </w:rPr>
              <w:t>支持IP66防护等级，6000V防雷、防浪涌和防突波保护</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i w:val="0"/>
                <w:iCs w:val="0"/>
                <w:color w:val="auto"/>
                <w:kern w:val="0"/>
                <w:sz w:val="21"/>
                <w:szCs w:val="21"/>
                <w:highlight w:val="none"/>
                <w:u w:val="none"/>
                <w:lang w:val="en-US" w:eastAsia="zh-CN" w:bidi="ar"/>
              </w:rPr>
              <w:t>17、</w:t>
            </w:r>
            <w:r>
              <w:rPr>
                <w:rFonts w:hint="eastAsia" w:ascii="宋体" w:hAnsi="宋体" w:eastAsia="宋体" w:cs="宋体"/>
                <w:i w:val="0"/>
                <w:iCs w:val="0"/>
                <w:color w:val="auto"/>
                <w:kern w:val="0"/>
                <w:sz w:val="21"/>
                <w:szCs w:val="21"/>
                <w:highlight w:val="none"/>
                <w:u w:val="none"/>
                <w:lang w:val="en-US" w:eastAsia="zh-CN" w:bidi="ar"/>
              </w:rPr>
              <w:t>支持AC24V±25%宽电压输入</w:t>
            </w:r>
            <w:r>
              <w:rPr>
                <w:rFonts w:hint="eastAsia" w:ascii="宋体" w:hAnsi="宋体" w:cs="宋体"/>
                <w:i w:val="0"/>
                <w:iCs w:val="0"/>
                <w:color w:val="auto"/>
                <w:kern w:val="0"/>
                <w:sz w:val="21"/>
                <w:szCs w:val="21"/>
                <w:highlight w:val="none"/>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29</w:t>
            </w:r>
          </w:p>
        </w:tc>
      </w:tr>
      <w:tr>
        <w:tblPrEx>
          <w:tblCellMar>
            <w:top w:w="0" w:type="dxa"/>
            <w:left w:w="108" w:type="dxa"/>
            <w:bottom w:w="0" w:type="dxa"/>
            <w:right w:w="108" w:type="dxa"/>
          </w:tblCellMar>
        </w:tblPrEx>
        <w:trPr>
          <w:trHeight w:val="852"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客流统计摄像机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1、单目客流相机；</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2、支持人数统计、异常行为分析(仅离岗检测)、通用行为分析、客流热度图、智能动检功能；</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3、支持折线绊线、智能轨迹、客流智能OSD叠加方式可选；</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4、支持预览和录像显示人员轨迹，可进行智能轨迹显示的开关控制；</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5、支持指定时间间隔向平台推送客流数据，最小支持5min颗粒度报表。</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6、支持人流密度检测算法，可实现拥挤区域的检测及报警；</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7、支持检测在设定区域内是否有人员拥挤，报警类型支持自适应、自定义以及灵敏度设置，当以上类型超过设置的最短持续时间时，可触发报警，自定义模式下可添加拥挤等级；（提供公安部检测报告）</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8、可结合人体特征，可对重复客流进行去重，并区分经过客流及出入客流；</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9、具有人数去重开关，支持去重时间段，去重方向，灵敏度设定；可将去重人数信息以OSD方式叠加到监控画面；（提供公安部检测报告）</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10、内置GPU芯片，支持深度学习算法，有效提升检测准确率；</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11、支持三种智能资源切换：通用行为分析、人数统计、异常行为分析</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12、支持人数统计：支持排队管理；支持区域内人数统计；进入/离开人数统计，并可生成人数统计日/月/年报表，导出使用；</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13、支持绊线入侵，区域入侵，快速移动，物品遗留，物品搬移，徘徊检测，人员聚集，停车检测，离岗检测；</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14、采用星光级低照度400万像素1/2.7英寸CMOS图像传感器；</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15、最大可输出400万( 2688 × 1520 )@25fps；</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16、支持H.265编码；</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17、内置高效红外补光灯，最大红外监控距离20米；</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18、支持走廊模式，宽动态，3D降噪，强光抑制，背光补偿，数字水印，适用不同监控环境；</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19、支持ROI，SMART H.264/H.265，AI H.264/H.265，灵活编码，适用不同带宽和存储环境；</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20、支持报警1进1出，音频1进1出，最大支持512G Micro SD卡，内置麦克和扬声器；</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21、支持DC12V/POE供电方式，方便工程安装；</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22、支持IP67，IK10防护等级；</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23、支持SMD 3.0。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9</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硬盘录像机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主处理器：工业级微控制器；</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操作系统：嵌入式Linux操作系统；</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操作界面：WEB方式，本地GUI操作；</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接入路数：64路；含16个6T硬盘</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硬盘接口：16个SATA，单盘最大16T。硬盘的最大容量随环境温度而变化；</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分辨率：32MP;24MP;16MP; 12MP; 8MP; 6MP; 5MP; 4MP; 3MP; 1080p; 960p; 720p; D1; CIF；</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支持2路H.265编码、25fps、32MP分辨率的拼接摄像机视频实时预览功能（提供公安部检测报告证明）</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解码能力：不开智能：2路32M@20fps; 2路24M@20fps; 4路 16 MP@30fps; 5路 12 MP@30fps; 8路 8 MP@30fps; 12路 5 MP@30fps; 16路 4 MP@30fps; 32路 1080p@30fps开智能：1路 32 MP@20fps; 1路 24 MP@20fps; 2路 16 MP@30fps; 4路 12 MP@30fps; 4路 8 MP@30fps; 8路 5 MP@30fps; 12路 4 MP@30fps; 24路 1080p@30fps；</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多路回放：最大支持16路回放；</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报警输入：16路；</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报警输出：8路，其中1路12V1A ctrl输出；</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同时正放或倒放16路H.265或H.264编码1080P分辨率的视频图像；或者16路H.265和H.264编码、2560×1440分辨率的视频图像；或8路H.265或H.264编码、4096×2160分辨率的视频图像；或2路H.265或H.264编码、8192×3840分辨率的视频图像（提供公安部检测报告证明）</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画面分割：主屏: 1/4/8/9/16/25/36/64辅屏: 1/4/8/9/16；</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前智能分析：支持前智能人脸检测、人像检测、人脸识别、周界防范、视频结构化（人、车、非机动车）、SMD、立体行为分析、人群分布、人数统计、车牌识别、热度图、车辆密度；</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后智能分析：支持后智能人脸检测、人脸识别、周界防范、SMD；</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音频输入：1路，RCA接口；</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音频输出：2路，RCA接口；</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HDMI接口：2个；</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VGA接口：2个；</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设备</w:t>
            </w:r>
            <w:r>
              <w:rPr>
                <w:rFonts w:hint="eastAsia" w:ascii="宋体" w:hAnsi="宋体" w:eastAsia="宋体" w:cs="宋体"/>
                <w:i w:val="0"/>
                <w:iCs w:val="0"/>
                <w:color w:val="auto"/>
                <w:kern w:val="0"/>
                <w:sz w:val="21"/>
                <w:szCs w:val="21"/>
                <w:highlight w:val="none"/>
                <w:u w:val="none"/>
                <w:lang w:val="en-US" w:eastAsia="zh-CN" w:bidi="ar"/>
              </w:rPr>
              <w:t>的登录过程使用Digest认证技术（提供公安部检测报告证明）</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人脸检测前智能性能（路数）：16路；</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人脸检测后智能性能（1080P）(路数)：2路，单路同时最多检测12张人脸；</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kern w:val="0"/>
                <w:sz w:val="21"/>
                <w:szCs w:val="21"/>
                <w:highlight w:val="none"/>
                <w:lang w:bidi="ar"/>
              </w:rPr>
              <w:t>支持报警输入触发一键撤防功能，撤防的报警类型可选弹出报警画面（屏幕提示）、声音警告（蜂鸣）、上传中心、发送邮件、触发报警输出</w:t>
            </w:r>
            <w:r>
              <w:rPr>
                <w:rFonts w:hint="eastAsia" w:ascii="宋体" w:hAnsi="宋体" w:eastAsia="宋体" w:cs="宋体"/>
                <w:i w:val="0"/>
                <w:iCs w:val="0"/>
                <w:color w:val="auto"/>
                <w:kern w:val="0"/>
                <w:sz w:val="21"/>
                <w:szCs w:val="21"/>
                <w:highlight w:val="none"/>
                <w:u w:val="none"/>
                <w:lang w:val="en-US" w:eastAsia="zh-CN" w:bidi="ar"/>
              </w:rPr>
              <w:t>（提供公安部检测报告证明）</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人脸识别前智能性能（路数）：16路；</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人脸识别后智能性能（1080P）(路数)：1、前端人脸检测+后端人脸比对支持16路，图片流人脸16张/秒2、后端人脸检测+后端人脸比对支持2路，视频流人脸12张/秒；</w:t>
            </w:r>
          </w:p>
          <w:p>
            <w:pPr>
              <w:keepNext w:val="0"/>
              <w:keepLines w:val="0"/>
              <w:pageBreakBefore w:val="0"/>
              <w:widowControl/>
              <w:numPr>
                <w:ilvl w:val="0"/>
                <w:numId w:val="7"/>
              </w:numPr>
              <w:suppressLineNumbers w:val="0"/>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结构化前智能性能（路数）：8路</w:t>
            </w:r>
          </w:p>
          <w:p>
            <w:pPr>
              <w:keepNext w:val="0"/>
              <w:keepLines w:val="0"/>
              <w:pageBreakBefore w:val="0"/>
              <w:widowControl/>
              <w:numPr>
                <w:ilvl w:val="0"/>
                <w:numId w:val="7"/>
              </w:numPr>
              <w:kinsoku/>
              <w:wordWrap/>
              <w:overflowPunct/>
              <w:topLinePunct w:val="0"/>
              <w:bidi w:val="0"/>
              <w:snapToGrid/>
              <w:spacing w:line="300" w:lineRule="exact"/>
              <w:ind w:firstLine="0"/>
              <w:jc w:val="left"/>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设备应自动记录与设备信息安全相关的日志信息，作为独立的安全日志,内容包括用户登录/登出、重要和敏感操作、安全事件等,并划分独立的记录空间存储安全日志,其它日志信息不能覆盖安全日志（提供公安部检测报告证明）</w:t>
            </w:r>
            <w:r>
              <w:rPr>
                <w:rFonts w:hint="eastAsia" w:ascii="宋体" w:hAnsi="宋体" w:cs="宋体"/>
                <w:i w:val="0"/>
                <w:iCs w:val="0"/>
                <w:color w:val="auto"/>
                <w:kern w:val="0"/>
                <w:sz w:val="21"/>
                <w:szCs w:val="21"/>
                <w:highlight w:val="none"/>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r>
      <w:tr>
        <w:tblPrEx>
          <w:tblCellMar>
            <w:top w:w="0" w:type="dxa"/>
            <w:left w:w="108" w:type="dxa"/>
            <w:bottom w:w="0" w:type="dxa"/>
            <w:right w:w="108" w:type="dxa"/>
          </w:tblCellMar>
        </w:tblPrEx>
        <w:trPr>
          <w:trHeight w:val="114"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硬盘录像机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主处理器：工业级微控制器；</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操作系统：嵌入式Linux操作系统；</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操作界面：WEB方式，本地GUI操作；</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接入路数：32路；</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硬盘接口：8个SATA，单盘最大16T。硬盘的最大容量随环境温度而变化；</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分辨率：32MP;24MP;16MP; 12MP; 8MP; 6MP; 5MP; 4MP; 3MP; 1080p; 960p; 720p; D1; CIF；</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支持2路H.265编码、25fps、32MP分辨率的拼接摄像机视频实时预览功能（提供公安部检测报告证明）；</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解码能力：不开智能：2路32M@20fps; 2路24M@20fps; 4路 16 MP@30fps; 5路 12 MP@30fps; 8路 8 MP@30fps; 12路 5 MP@30fps; 16路 4 MP@30fps; 32路 1080p@30fps开智能：1路 32 MP@20fps; 1路 24 MP@20fps; 2路 16 MP@30fps; 4路 12 MP@30fps; 4路 8 MP@30fps; 8路 5 MP@30fps; 12路 4 MP@30fps; 24路 1080p@30fps；</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多路回放：最大支持16路回放；</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报警输入：16路；</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报警输出：8路，其中1路12V1A ctrl输出；</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画面分割：主屏: 1/4/8/9/16/25/36辅屏: 1/4/8/9/16；</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设备的登录过程使用Digest认证技术（提供公安部检测报告证明）</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前智能分析：支持前智能人脸检测、人像检测、人脸识别、周界防范、视频结构化（人、车、非机动车）、SMD、立体行为分析、人群分布、人数统计、车牌识别、热度图、车辆密度；</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后智能分析：支持后智能人脸检测、人脸识别、周界防范、SMD；</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音频输入：1路，RCA接口；</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音频输出：2路，RCA接口；</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HDMI接口：2个；</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VGA接口：2个；</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设备支持码流采用AES256加密技术加密后在网络中传输；设备支持码流采用TLS通道加密技术加密后在网络中传输（提供公安部检测报告证明）</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人脸检测前智能性能（路数）：16路；</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人脸检测后智能性能（1080P）(路数)：2路，单路同时最多检测12张人脸；</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人脸识别前智能性能（路数）：16路；</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人脸识别后智能性能（1080P）(路数)：1、前端人脸检测+后端人脸比对支持16路，图片流人脸16张/秒2、后端人脸检测+后端人脸比对支持2路，视频流人脸12张/秒；</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结构化前智能性能（路数）：8路；</w:t>
            </w:r>
          </w:p>
          <w:p>
            <w:pPr>
              <w:keepNext w:val="0"/>
              <w:keepLines w:val="0"/>
              <w:pageBreakBefore w:val="0"/>
              <w:widowControl/>
              <w:numPr>
                <w:ilvl w:val="0"/>
                <w:numId w:val="8"/>
              </w:numPr>
              <w:kinsoku/>
              <w:wordWrap/>
              <w:overflowPunct/>
              <w:topLinePunct w:val="0"/>
              <w:bidi w:val="0"/>
              <w:snapToGrid/>
              <w:spacing w:line="300" w:lineRule="exact"/>
              <w:ind w:firstLine="0"/>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设备应自动记录与设备信息安全相关的日志信息，作为独立的安全日志,内容包括用户登录/登出、重要和敏感操作、安全事件等,并划分独立的记录空间存储安全日志,其它日志信息不能覆盖安全日志（提供公安部检测报告证明）。</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r>
      <w:tr>
        <w:tblPrEx>
          <w:tblCellMar>
            <w:top w:w="0" w:type="dxa"/>
            <w:left w:w="108" w:type="dxa"/>
            <w:bottom w:w="0" w:type="dxa"/>
            <w:right w:w="108" w:type="dxa"/>
          </w:tblCellMar>
        </w:tblPrEx>
        <w:trPr>
          <w:trHeight w:val="697"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6</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55寸液晶拼接单元</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（1）屏幕尺寸：55寸</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（2）背光形式：LED背光源</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（3）物理分辨率：1920*1080，点距：0.210(H)×0.630(V)</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（4）亮度：500cd/m²，对比度：4000:1；</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（5）拼缝：3.5mm</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（6）可视角度：178°/178°</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（7）可视面积：1209.6(H)×680.4(V)</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（8）响应时间（G to G）：8ms</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（9）色彩度：16.7M；色域：72%</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（10）功耗：≤250W，待机功耗：≤1W</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（11）输入接口：CVBS In / Out (BNC )、VGA  In / Out、DVI In / Out、HDMI In/Out、DEBUG(USB)</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      输出接口：RS232x2</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（12）外形尺寸：1213.4mm(W) x684.2mm(H) x113.4mm(D)</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（13）通过中国电器产品强制认证（3C），节能认证</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10</w:t>
            </w:r>
          </w:p>
        </w:tc>
      </w:tr>
      <w:tr>
        <w:tblPrEx>
          <w:tblCellMar>
            <w:top w:w="0" w:type="dxa"/>
            <w:left w:w="108" w:type="dxa"/>
            <w:bottom w:w="0" w:type="dxa"/>
            <w:right w:w="108" w:type="dxa"/>
          </w:tblCellMar>
        </w:tblPrEx>
        <w:trPr>
          <w:trHeight w:val="28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7</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r>
              <w:rPr>
                <w:rFonts w:hint="eastAsia" w:ascii="宋体" w:hAnsi="宋体" w:cs="宋体"/>
                <w:color w:val="auto"/>
                <w:kern w:val="0"/>
                <w:sz w:val="21"/>
                <w:szCs w:val="21"/>
                <w:highlight w:val="none"/>
                <w:lang w:val="en-US" w:eastAsia="zh-CN" w:bidi="ar"/>
              </w:rPr>
              <w:t>2</w:t>
            </w:r>
            <w:r>
              <w:rPr>
                <w:rFonts w:hint="eastAsia" w:ascii="宋体" w:hAnsi="宋体" w:cs="宋体"/>
                <w:color w:val="auto"/>
                <w:kern w:val="0"/>
                <w:sz w:val="21"/>
                <w:szCs w:val="21"/>
                <w:highlight w:val="none"/>
                <w:lang w:bidi="ar"/>
              </w:rPr>
              <w:t>寸液晶拼接单元</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（1）屏幕尺寸：4</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寸</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（2）显示类型：</w:t>
            </w:r>
            <w:r>
              <w:rPr>
                <w:rFonts w:ascii="微软雅黑" w:hAnsi="微软雅黑" w:eastAsia="微软雅黑" w:cs="微软雅黑"/>
                <w:i w:val="0"/>
                <w:iCs w:val="0"/>
                <w:caps w:val="0"/>
                <w:color w:val="auto"/>
                <w:spacing w:val="0"/>
                <w:sz w:val="21"/>
                <w:szCs w:val="21"/>
                <w:highlight w:val="none"/>
                <w:shd w:val="clear" w:fill="FFFFFF"/>
              </w:rPr>
              <w:t>LED</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（3）物理分辨率：1920*1080，</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（4）亮度：500cd/m²，对比度：1200:1；</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（5）拼缝：3.5mm</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（6）可视角度：178°/178°</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（7）响应时间（GtoG）：8ms</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（8）色彩</w:t>
            </w:r>
            <w:r>
              <w:rPr>
                <w:rFonts w:hint="eastAsia" w:ascii="宋体" w:hAnsi="宋体" w:cs="宋体"/>
                <w:i w:val="0"/>
                <w:iCs w:val="0"/>
                <w:color w:val="auto"/>
                <w:kern w:val="0"/>
                <w:sz w:val="21"/>
                <w:szCs w:val="21"/>
                <w:highlight w:val="none"/>
                <w:u w:val="none"/>
                <w:lang w:val="en-US" w:eastAsia="zh-CN" w:bidi="ar"/>
              </w:rPr>
              <w:t>范围：8bit</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（9）功耗：≤190W，待机功耗：≤1W</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（10）输入接口：DVIx1，HDMIx1，VGAx1，</w:t>
            </w:r>
            <w:r>
              <w:rPr>
                <w:rFonts w:hint="eastAsia" w:ascii="宋体" w:hAnsi="宋体" w:cs="宋体"/>
                <w:i w:val="0"/>
                <w:iCs w:val="0"/>
                <w:color w:val="auto"/>
                <w:kern w:val="0"/>
                <w:sz w:val="21"/>
                <w:szCs w:val="21"/>
                <w:highlight w:val="none"/>
                <w:u w:val="none"/>
                <w:lang w:val="en-US" w:eastAsia="zh-CN" w:bidi="ar"/>
              </w:rPr>
              <w:t>BNC</w:t>
            </w:r>
            <w:r>
              <w:rPr>
                <w:rFonts w:hint="eastAsia" w:ascii="宋体" w:hAnsi="宋体" w:eastAsia="宋体" w:cs="宋体"/>
                <w:i w:val="0"/>
                <w:iCs w:val="0"/>
                <w:color w:val="auto"/>
                <w:kern w:val="0"/>
                <w:sz w:val="21"/>
                <w:szCs w:val="21"/>
                <w:highlight w:val="none"/>
                <w:u w:val="none"/>
                <w:lang w:val="en-US" w:eastAsia="zh-CN" w:bidi="ar"/>
              </w:rPr>
              <w:t>x2</w:t>
            </w:r>
          </w:p>
          <w:p>
            <w:pPr>
              <w:keepNext w:val="0"/>
              <w:keepLines w:val="0"/>
              <w:pageBreakBefore w:val="0"/>
              <w:widowControl/>
              <w:kinsoku/>
              <w:wordWrap/>
              <w:overflowPunct/>
              <w:topLinePunct w:val="0"/>
              <w:bidi w:val="0"/>
              <w:snapToGrid/>
              <w:spacing w:line="300" w:lineRule="exact"/>
              <w:ind w:firstLine="630" w:firstLineChars="300"/>
              <w:jc w:val="left"/>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输出接口：</w:t>
            </w:r>
            <w:r>
              <w:rPr>
                <w:rFonts w:hint="eastAsia" w:ascii="宋体" w:hAnsi="宋体" w:cs="宋体"/>
                <w:i w:val="0"/>
                <w:iCs w:val="0"/>
                <w:color w:val="auto"/>
                <w:kern w:val="0"/>
                <w:sz w:val="21"/>
                <w:szCs w:val="21"/>
                <w:highlight w:val="none"/>
                <w:u w:val="none"/>
                <w:lang w:val="en-US" w:eastAsia="zh-CN" w:bidi="ar"/>
              </w:rPr>
              <w:t>BNC</w:t>
            </w:r>
            <w:r>
              <w:rPr>
                <w:rFonts w:hint="eastAsia" w:ascii="宋体" w:hAnsi="宋体" w:eastAsia="宋体" w:cs="宋体"/>
                <w:i w:val="0"/>
                <w:iCs w:val="0"/>
                <w:color w:val="auto"/>
                <w:kern w:val="0"/>
                <w:sz w:val="21"/>
                <w:szCs w:val="21"/>
                <w:highlight w:val="none"/>
                <w:u w:val="none"/>
                <w:lang w:val="en-US" w:eastAsia="zh-CN" w:bidi="ar"/>
              </w:rPr>
              <w:t>x2</w:t>
            </w:r>
            <w:r>
              <w:rPr>
                <w:rFonts w:hint="eastAsia" w:ascii="宋体" w:hAnsi="宋体" w:cs="宋体"/>
                <w:i w:val="0"/>
                <w:iCs w:val="0"/>
                <w:color w:val="auto"/>
                <w:kern w:val="0"/>
                <w:sz w:val="21"/>
                <w:szCs w:val="21"/>
                <w:highlight w:val="none"/>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2087"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监视器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面板尺寸：49英寸；</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亮度：450cd/m²；</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安装方式：底座、壁挂；</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信号输出标配：RS232×1、内置喇叭；</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信号输入标配：DP 1.2a×1、HDMI 2.0×2、VGA×1、USB 多媒体×1、RS232  in×1、Audio in×1；</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支持的分辨率：3840×2160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r>
      <w:tr>
        <w:tblPrEx>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9</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解码器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视频输出路数: 9路；</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视频接口:9路HDMI输出口、2路HDMI输入口;2个DVI-I输入口;</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支持MPEG2/MPEG4/H.264/H.265/SVAC/MJPEG标准网络视频流解码；</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支持QCIF/CIF/2CIF/HD1/D1/720P/1080P/300W/500W/600W/800W/1200W/3200W视频解码；</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支持单屏1/4/6/8/9/16/25/36分割，支持MxN自由分割；</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支持Onvif、RTSP协议接入，支持国标GB28181接入；</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支持预案轮巡、底色选择；</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支持自定义分辨率输出，支持小间距LED对接；</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支持多屏融合拼接，跨屏画面毫秒级完美同步；</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支持2个10M/100M/1000M自适应以太网接口；</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加强用户保密等级：HTTP的MD5加密，HTTPS和SSL证书认证，TELNET的密码修改同步应用的用户账号管理；</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开窗漫游: 支持任意开窗、漫游，每个屏最大支持36路开窗；</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解码支持分辨率：</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QCIF/CIF/2CIF/HD1/D1/960H/720P/1080P/300w/400w/500w/600w/800w/1200w/3200w；</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音频接口:音频解码支持48KHz、16bit及以下;1路3.5mmJACK语音对讲输入、1路3.5mmJACK语音对讲输出；</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视频标准: MPEG2/MPEG4/H.264/H.265/SVAC/MJPEG；</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画面分割: 支持单屏1/4/6/8/9/16/25/36分割，支持MxN自由分割；</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支持跨屏同步显示功能，所有跨屏信号源可同时发送至各个屏幕显示，时差小于1MS。（提供公安部检测报告证明）</w:t>
            </w:r>
          </w:p>
          <w:p>
            <w:pPr>
              <w:keepNext w:val="0"/>
              <w:keepLines w:val="0"/>
              <w:pageBreakBefore w:val="0"/>
              <w:widowControl/>
              <w:numPr>
                <w:ilvl w:val="0"/>
                <w:numId w:val="9"/>
              </w:numPr>
              <w:kinsoku/>
              <w:wordWrap/>
              <w:overflowPunct/>
              <w:topLinePunct w:val="0"/>
              <w:bidi w:val="0"/>
              <w:snapToGrid/>
              <w:spacing w:line="300" w:lineRule="exact"/>
              <w:ind w:firstLine="0"/>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报警联动接口:4路报警输入、4路报警输出;输入为无源开路和/或闭路;输出为无源开路和/或闭路。</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r>
      <w:tr>
        <w:tblPrEx>
          <w:tblCellMar>
            <w:top w:w="0" w:type="dxa"/>
            <w:left w:w="108" w:type="dxa"/>
            <w:bottom w:w="0" w:type="dxa"/>
            <w:right w:w="108" w:type="dxa"/>
          </w:tblCellMar>
        </w:tblPrEx>
        <w:trPr>
          <w:trHeight w:val="178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10</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服务器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处理器：IntelXeonE3-1225V5CPU;支持最大TDP功耗75W</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芯片组：IntelC236chipset</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内存：DDR4内存条-8GB-VLP-ECC-UDIMM*4;配置DDR4/带ECCUDIMM速率2400MHZ;整机最大可以支持64GB</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IO接口：1个DB-15VGA接口;4个千兆网口;1个BMC管理网口;支持后置2个USB3.0接口和前置2个USB3.0接口</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中心管理软件</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配置要求：客流人数统计授权、210路视频授权、20路门禁授权、4路车闸授权；</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支持多终端（C/S客户端、移动APP、WEB）运行使用；</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支持配置列表显示字段，可根据列表字段对列表记录进行筛选、排序</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支持添加业务子系统并进行管理；</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支持查看新增子系统的帮助说明文档，添加子系统后，说明文档自动合并到现有的帮助中心；</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支持批量添加人员，可导入、导出人员的基本信息、生物特征（指纹、人脸）信息和人员头像图片；</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支持查看平台运行数据，包括：人数统计、车辆统计、访客统计、人脸识别信息、机动车识别信息、非机动车识别信息、保安人数、昨日消费信息、园区考勤统计、设备报警、设备运维等信息；</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支持标定地图，将地图距离和真实距离做匹配，确保雷达测输出的距离真实；</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支持安装子系统时内存阈值设置；</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支持对报警主机上的子系统进行布防，撤防，消警和旁路；</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支持接入报警主机，并且能够展示报警主机上报警子系统和防区的状态；</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支持烟雾报警、测温规则报警、热成像着火点报警、火情报警、热点异常报警、冷点异常报警、测温温差报警、吸烟检测报警、离岗火情报警；</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支持离岗检测、吸烟检测、非机动车进入电梯、消防占道检测、徘徊检测、非机动车未戴安全帽、高空抛物检测、垃圾暴露检测、垃圾桶满溢检测、陌生人报警；</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支持通过安装向导引导用户完成系统的首次安装部署，包括：授权导入、导出，模块安装，网卡配置；</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支持服务器信息管理，可对服务器进行恢复出厂设置、固件升级；</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支持NTP校时、本地校时，支持对分布式服务器进行校时；</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支持自定义配置平台名称、LOGO、登录图片、版权声明；</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★支持加密导入、导出平台业务数据；（提供具有资质的第三方机构出具的检测报告证明）；</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color w:val="auto"/>
                <w:sz w:val="21"/>
                <w:szCs w:val="21"/>
                <w:highlight w:val="none"/>
              </w:rPr>
            </w:pPr>
            <w:r>
              <w:rPr>
                <w:rFonts w:hint="eastAsia" w:ascii="宋体" w:hAnsi="宋体" w:cs="宋体"/>
                <w:color w:val="auto"/>
                <w:kern w:val="0"/>
                <w:sz w:val="21"/>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支持设置用户有效期截止时间；（提供</w:t>
            </w:r>
            <w:r>
              <w:rPr>
                <w:rFonts w:hint="eastAsia" w:ascii="宋体" w:hAnsi="宋体" w:cs="宋体"/>
                <w:i w:val="0"/>
                <w:iCs w:val="0"/>
                <w:color w:val="auto"/>
                <w:kern w:val="0"/>
                <w:sz w:val="21"/>
                <w:szCs w:val="21"/>
                <w:highlight w:val="none"/>
                <w:u w:val="none"/>
                <w:lang w:val="en-US" w:eastAsia="zh-CN" w:bidi="ar"/>
              </w:rPr>
              <w:t>具有资质的第三方机构出具的</w:t>
            </w:r>
            <w:r>
              <w:rPr>
                <w:rFonts w:hint="eastAsia" w:ascii="宋体" w:hAnsi="宋体" w:eastAsia="宋体" w:cs="宋体"/>
                <w:i w:val="0"/>
                <w:iCs w:val="0"/>
                <w:color w:val="auto"/>
                <w:kern w:val="0"/>
                <w:sz w:val="21"/>
                <w:szCs w:val="21"/>
                <w:highlight w:val="none"/>
                <w:u w:val="none"/>
                <w:lang w:val="en-US" w:eastAsia="zh-CN" w:bidi="ar"/>
              </w:rPr>
              <w:t>检测报告证明）</w:t>
            </w:r>
            <w:r>
              <w:rPr>
                <w:rFonts w:hint="eastAsia" w:ascii="宋体" w:hAnsi="宋体" w:cs="宋体"/>
                <w:i w:val="0"/>
                <w:iCs w:val="0"/>
                <w:color w:val="auto"/>
                <w:kern w:val="0"/>
                <w:sz w:val="21"/>
                <w:szCs w:val="21"/>
                <w:highlight w:val="none"/>
                <w:u w:val="none"/>
                <w:lang w:val="en-US" w:eastAsia="zh-CN" w:bidi="ar"/>
              </w:rPr>
              <w:t>；</w:t>
            </w:r>
          </w:p>
          <w:p>
            <w:pPr>
              <w:keepNext w:val="0"/>
              <w:keepLines w:val="0"/>
              <w:pageBreakBefore w:val="0"/>
              <w:widowControl/>
              <w:numPr>
                <w:ilvl w:val="0"/>
                <w:numId w:val="10"/>
              </w:numPr>
              <w:kinsoku/>
              <w:wordWrap/>
              <w:overflowPunct/>
              <w:topLinePunct w:val="0"/>
              <w:bidi w:val="0"/>
              <w:snapToGrid/>
              <w:spacing w:line="300" w:lineRule="exact"/>
              <w:ind w:firstLine="0"/>
              <w:jc w:val="left"/>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支持设备接入服务的分布式集群组件、拆除、单节点拆除，包括视频设备接入服务、可视对讲服务、门禁设备接入服务、停车场设备接入服务等的分布式管理（提供</w:t>
            </w:r>
            <w:r>
              <w:rPr>
                <w:rFonts w:hint="eastAsia" w:ascii="宋体" w:hAnsi="宋体" w:cs="宋体"/>
                <w:i w:val="0"/>
                <w:iCs w:val="0"/>
                <w:color w:val="auto"/>
                <w:kern w:val="0"/>
                <w:sz w:val="21"/>
                <w:szCs w:val="21"/>
                <w:highlight w:val="none"/>
                <w:u w:val="none"/>
                <w:lang w:val="en-US" w:eastAsia="zh-CN" w:bidi="ar"/>
              </w:rPr>
              <w:t>具有资质的第三方机构出具的</w:t>
            </w:r>
            <w:r>
              <w:rPr>
                <w:rFonts w:hint="eastAsia" w:ascii="宋体" w:hAnsi="宋体" w:eastAsia="宋体" w:cs="宋体"/>
                <w:i w:val="0"/>
                <w:iCs w:val="0"/>
                <w:color w:val="auto"/>
                <w:kern w:val="0"/>
                <w:sz w:val="21"/>
                <w:szCs w:val="21"/>
                <w:highlight w:val="none"/>
                <w:u w:val="none"/>
                <w:lang w:val="en-US" w:eastAsia="zh-CN" w:bidi="ar"/>
              </w:rPr>
              <w:t>检测报告证明）</w:t>
            </w:r>
            <w:r>
              <w:rPr>
                <w:rFonts w:hint="eastAsia" w:ascii="宋体" w:hAnsi="宋体" w:cs="宋体"/>
                <w:i w:val="0"/>
                <w:iCs w:val="0"/>
                <w:color w:val="auto"/>
                <w:kern w:val="0"/>
                <w:sz w:val="21"/>
                <w:szCs w:val="21"/>
                <w:highlight w:val="none"/>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C：公共广播系统</w:t>
            </w:r>
          </w:p>
        </w:tc>
      </w:tr>
      <w:tr>
        <w:tblPrEx>
          <w:tblCellMar>
            <w:top w:w="0" w:type="dxa"/>
            <w:left w:w="108" w:type="dxa"/>
            <w:bottom w:w="0" w:type="dxa"/>
            <w:right w:w="108" w:type="dxa"/>
          </w:tblCellMar>
        </w:tblPrEx>
        <w:trPr>
          <w:trHeight w:val="29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IP网络广播服务器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1、≥15.6吋全高清触摸屏幕；</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★2、≥4个COM接口；≥3路MIC输入口；≥8路USB接口；≥6路线路输入接口；≥2个RJ45接口；≥1路VGA接口和≥1路DVI-D视频接口；≥1路PS/2接口；≥2组线路输出接口；提供产品实物接口图并加盖公章</w:t>
            </w:r>
            <w:r>
              <w:rPr>
                <w:rFonts w:hint="eastAsia" w:ascii="宋体" w:hAnsi="宋体" w:cs="宋体"/>
                <w:color w:val="auto"/>
                <w:kern w:val="0"/>
                <w:sz w:val="21"/>
                <w:szCs w:val="21"/>
                <w:highlight w:val="none"/>
                <w:lang w:eastAsia="zh-CN" w:bidi="ar"/>
              </w:rPr>
              <w:t>，</w:t>
            </w:r>
            <w:r>
              <w:rPr>
                <w:rFonts w:hint="eastAsia" w:ascii="宋体" w:hAnsi="宋体"/>
                <w:color w:val="auto"/>
                <w:sz w:val="21"/>
                <w:szCs w:val="21"/>
                <w:highlight w:val="none"/>
                <w:lang w:val="en-US" w:eastAsia="zh-CN"/>
              </w:rPr>
              <w:t>中标后需提供样品</w:t>
            </w:r>
            <w:r>
              <w:rPr>
                <w:rFonts w:hint="eastAsia" w:ascii="宋体" w:hAnsi="宋体"/>
                <w:color w:val="auto"/>
                <w:sz w:val="21"/>
                <w:szCs w:val="21"/>
                <w:highlight w:val="none"/>
              </w:rPr>
              <w:t>查验</w:t>
            </w:r>
            <w:r>
              <w:rPr>
                <w:rFonts w:hint="eastAsia" w:ascii="宋体" w:hAnsi="宋体"/>
                <w:color w:val="auto"/>
                <w:sz w:val="21"/>
                <w:szCs w:val="21"/>
                <w:highlight w:val="none"/>
                <w:lang w:eastAsia="zh-CN"/>
              </w:rPr>
              <w:t>。</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3、支持≥6×4音频矩阵功能，每一路线路输入有两个编组按键发送到任意编组混音；</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cs="宋体"/>
                <w:color w:val="auto"/>
                <w:kern w:val="0"/>
                <w:sz w:val="21"/>
                <w:szCs w:val="21"/>
                <w:highlight w:val="none"/>
                <w:lang w:bidi="ar"/>
              </w:rPr>
              <w:t>★4、线路输入和话筒输入均带音量和音调调节，≥9个音量调节旋钮，≥9组（18个）高低音调节旋钮。提供设备实物接口图</w:t>
            </w:r>
            <w:r>
              <w:rPr>
                <w:rFonts w:hint="eastAsia" w:ascii="宋体" w:hAnsi="宋体" w:cs="宋体"/>
                <w:color w:val="auto"/>
                <w:kern w:val="0"/>
                <w:sz w:val="21"/>
                <w:szCs w:val="21"/>
                <w:highlight w:val="none"/>
                <w:lang w:eastAsia="zh-CN" w:bidi="ar"/>
              </w:rPr>
              <w:t>，</w:t>
            </w:r>
            <w:r>
              <w:rPr>
                <w:rFonts w:hint="eastAsia" w:ascii="宋体" w:hAnsi="宋体"/>
                <w:color w:val="auto"/>
                <w:sz w:val="21"/>
                <w:szCs w:val="21"/>
                <w:highlight w:val="none"/>
                <w:lang w:val="en-US" w:eastAsia="zh-CN"/>
              </w:rPr>
              <w:t>中标后需提供样品</w:t>
            </w:r>
            <w:r>
              <w:rPr>
                <w:rFonts w:hint="eastAsia" w:ascii="宋体" w:hAnsi="宋体"/>
                <w:color w:val="auto"/>
                <w:sz w:val="21"/>
                <w:szCs w:val="21"/>
                <w:highlight w:val="none"/>
              </w:rPr>
              <w:t>查验</w:t>
            </w:r>
            <w:r>
              <w:rPr>
                <w:rFonts w:hint="eastAsia" w:ascii="宋体" w:hAnsi="宋体"/>
                <w:color w:val="auto"/>
                <w:sz w:val="21"/>
                <w:szCs w:val="21"/>
                <w:highlight w:val="none"/>
                <w:lang w:eastAsia="zh-CN"/>
              </w:rPr>
              <w:t>。</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5、面板具备≥1个可以编程的紧急按键，方便紧急情况下切断其他音频进行紧急播音；</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6、内置监听功能，监听音量可以单独调整。</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7、工业级主板，可满足7×24hrs不间断工作。</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8、通过第三方检测机构的安全测试一抗电强度测试，对电源L-输入口之间、电源-L输出口之间进行测试：符合1500V AC，（1min）应无飞弧或击穿的试验条件。（提供省级或以上电子检测机构出具的检测报告，检测机构须通过“CMA”、“CNAS”、“ilac-MRA”认证资格并加盖章印；注：检测报告需佐证此参数，提供原件扫描件，加盖</w:t>
            </w:r>
            <w:r>
              <w:rPr>
                <w:rFonts w:hint="eastAsia" w:ascii="宋体" w:hAnsi="宋体" w:cs="宋体"/>
                <w:strike w:val="0"/>
                <w:dstrike w:val="0"/>
                <w:color w:val="auto"/>
                <w:kern w:val="0"/>
                <w:sz w:val="21"/>
                <w:szCs w:val="21"/>
                <w:highlight w:val="none"/>
                <w:lang w:eastAsia="zh-CN" w:bidi="ar"/>
              </w:rPr>
              <w:t>供应商电子签章</w:t>
            </w:r>
            <w:r>
              <w:rPr>
                <w:rFonts w:hint="eastAsia" w:ascii="宋体" w:hAnsi="宋体" w:cs="宋体"/>
                <w:color w:val="auto"/>
                <w:kern w:val="0"/>
                <w:sz w:val="21"/>
                <w:szCs w:val="21"/>
                <w:highlight w:val="none"/>
                <w:lang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r>
      <w:tr>
        <w:tblPrEx>
          <w:tblCellMar>
            <w:top w:w="0" w:type="dxa"/>
            <w:left w:w="108" w:type="dxa"/>
            <w:bottom w:w="0" w:type="dxa"/>
            <w:right w:w="108" w:type="dxa"/>
          </w:tblCellMar>
        </w:tblPrEx>
        <w:trPr>
          <w:trHeight w:val="215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网络广播系统软件</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1、网络广播系统控制的核心软件。</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2、无需互联网静态IP地址即可与IP广播管理平台主控软件互联。</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3、注册方式以USB加密狗硬件注册方式。</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4、系统服务器软件，支持双向通讯设备的权限分配，网络冗余、即时性音频应急保障备份、推送备份和定压备份设定。</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5、自动音乐打铃；作息时间表季节调整；自动预开电源，播放结束自动关闭。</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6、支持单点播放：可以对任意单点、组群、分区或全部广播。</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7、领导网上讲话：远程对全区、分区、分组讲话；</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语音实时采播：能够将自用电台、录音机卡座、CD播放器、MP3播放器、麦克风等节目实时采播实时压缩成高音质数据流存储到服务器，并可按要求同时转播到指定的广播终端，用于播放外接设备广播及广播通知等，能与电源时序器联动，实现在定时或实时采播任务中打开十六路电源时序器的任意一路或数路受控电源口。</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9、结合网络报警主机接收报警信号，在服务器软件上预先设置报警模式，即可进行报警联动功能。</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10、支持LED显示推送：以手动或自动的方式实时、定时发布文本信息。</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11、支持同时监控≥5个视频终端的画面，支持对任意指定视频终端的视频录制、存储。（提供省级或以上检测机构出具的检测报告）</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12、具备声光指示及报警模式：支持常规任务、特殊任务及报警任务以声光同步的方式输出。满足特殊教育等多种特殊场合使用。不同的任务可以指定不同的灯光。</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13、具备自动增益功能：内置自主算法、自主技术的DSP处理模式，能自动识别和区分终端环境噪声和正常的广播内容，自动根据环境噪声自动增减广播增益。同时保证声音的清晰度和强度。</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14、具备一键巡检功能，可以在30秒内快速检查所有网络音箱的声音品质是否符合播音要求，自动以警示图标形式显示故障终端，可保存所有终端的检测数据，作为核查依据。（提供体现终端设备检测到的低音、中音、高音百分比以及警示图标显示故障终端的软件功能截图）</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15、软件获得计算机软件著作权登记证书。</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r>
      <w:tr>
        <w:tblPrEx>
          <w:tblCellMar>
            <w:top w:w="0" w:type="dxa"/>
            <w:left w:w="108" w:type="dxa"/>
            <w:bottom w:w="0" w:type="dxa"/>
            <w:right w:w="108" w:type="dxa"/>
          </w:tblCellMar>
        </w:tblPrEx>
        <w:trPr>
          <w:trHeight w:val="336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寻呼话筒</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1、≥7英寸触摸显示屏，可直接配置IP地址和查看终端状态。</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2、支持网络搜索配置，可直接寻址。</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3、支持免提和非免提双模式通话，外接鹅颈式话筒，内置喇叭，支持免提通话和接收广播；带话筒接口，可接专业话筒，进行非免提通话。</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4、支持双向对讲功能，双向终端之间实现两两双向对讲。</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5、≥30个一键呼叫触控按钮，可一键寻呼不同的分组，一键接通求助、对讲功能。</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6、支持远程固件升级，无需到终端本地升级，减轻维护人员工作强度。</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7、具有监听功能，用于监听其他终端采集到的环境声音。</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8、支持静态IP和DHCP两种方式，跨网段，跨路由，配置使用方便。 </w:t>
            </w:r>
          </w:p>
          <w:p>
            <w:pPr>
              <w:keepNext w:val="0"/>
              <w:keepLines w:val="0"/>
              <w:pageBreakBefore w:val="0"/>
              <w:widowControl/>
              <w:kinsoku/>
              <w:wordWrap/>
              <w:overflowPunct/>
              <w:topLinePunct w:val="0"/>
              <w:bidi w:val="0"/>
              <w:snapToGrid/>
              <w:spacing w:line="300" w:lineRule="exact"/>
              <w:ind w:left="0" w:lef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★9、接口：≥1路本地线路输入，≥1路话筒输入，≥1路音频辅助输出，≥1路USB接口</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提供产品实物功能接口图并加盖</w:t>
            </w:r>
            <w:r>
              <w:rPr>
                <w:rFonts w:hint="eastAsia" w:ascii="宋体" w:hAnsi="宋体" w:cs="宋体"/>
                <w:i w:val="0"/>
                <w:iCs w:val="0"/>
                <w:color w:val="auto"/>
                <w:kern w:val="0"/>
                <w:sz w:val="21"/>
                <w:szCs w:val="21"/>
                <w:highlight w:val="none"/>
                <w:u w:val="none"/>
                <w:lang w:val="en-US" w:eastAsia="zh-CN" w:bidi="ar"/>
              </w:rPr>
              <w:t>供应商</w:t>
            </w:r>
            <w:r>
              <w:rPr>
                <w:rFonts w:hint="eastAsia" w:ascii="宋体" w:hAnsi="宋体" w:eastAsia="宋体" w:cs="宋体"/>
                <w:i w:val="0"/>
                <w:iCs w:val="0"/>
                <w:color w:val="auto"/>
                <w:kern w:val="0"/>
                <w:sz w:val="21"/>
                <w:szCs w:val="21"/>
                <w:highlight w:val="none"/>
                <w:u w:val="none"/>
                <w:lang w:val="en-US" w:eastAsia="zh-CN" w:bidi="ar"/>
              </w:rPr>
              <w:t>公章</w:t>
            </w:r>
            <w:r>
              <w:rPr>
                <w:rFonts w:hint="eastAsia" w:ascii="宋体" w:hAnsi="宋体" w:cs="宋体"/>
                <w:i w:val="0"/>
                <w:iCs w:val="0"/>
                <w:color w:val="auto"/>
                <w:kern w:val="0"/>
                <w:sz w:val="21"/>
                <w:szCs w:val="21"/>
                <w:highlight w:val="none"/>
                <w:u w:val="none"/>
                <w:lang w:val="en-US" w:eastAsia="zh-CN" w:bidi="ar"/>
              </w:rPr>
              <w:t>，</w:t>
            </w:r>
            <w:r>
              <w:rPr>
                <w:rFonts w:hint="eastAsia" w:ascii="宋体" w:hAnsi="宋体"/>
                <w:color w:val="auto"/>
                <w:sz w:val="21"/>
                <w:szCs w:val="21"/>
                <w:highlight w:val="none"/>
                <w:lang w:val="en-US" w:eastAsia="zh-CN"/>
              </w:rPr>
              <w:t>中标后需提供样品</w:t>
            </w:r>
            <w:r>
              <w:rPr>
                <w:rFonts w:hint="eastAsia" w:ascii="宋体" w:hAnsi="宋体"/>
                <w:color w:val="auto"/>
                <w:sz w:val="21"/>
                <w:szCs w:val="21"/>
                <w:highlight w:val="none"/>
              </w:rPr>
              <w:t>查验</w:t>
            </w:r>
            <w:r>
              <w:rPr>
                <w:rFonts w:hint="eastAsia" w:ascii="宋体" w:hAnsi="宋体"/>
                <w:color w:val="auto"/>
                <w:sz w:val="21"/>
                <w:szCs w:val="21"/>
                <w:highlight w:val="none"/>
                <w:lang w:eastAsia="zh-CN"/>
              </w:rPr>
              <w:t>。</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10、频率响应：≥40Hz～20KHz（±3dB）。</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11、总谐波失真：≤1%。</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12、信噪比：&gt;75dB。</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13、采样率：≥8K～48KHz。</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14、Line In输入电平：400mV（标准3.5mm音频接口）； Line Out输出电平：0.775V（标准3.5mm音频接口）。</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15、内置扬声器输出阻抗&amp;功率： ≥5W/8Ω。</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16、音频格式：MP3。</w:t>
            </w:r>
          </w:p>
          <w:p>
            <w:pPr>
              <w:pStyle w:val="5"/>
              <w:keepNext w:val="0"/>
              <w:keepLines w:val="0"/>
              <w:pageBreakBefore w:val="0"/>
              <w:kinsoku/>
              <w:wordWrap/>
              <w:overflowPunct/>
              <w:topLinePunct w:val="0"/>
              <w:bidi w:val="0"/>
              <w:snapToGrid/>
              <w:spacing w:after="0" w:line="300" w:lineRule="exact"/>
              <w:ind w:left="0" w:leftChars="0" w:firstLine="0" w:firstLineChars="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17、传输速率：≥10/100Mbps。</w:t>
            </w:r>
          </w:p>
          <w:p>
            <w:pPr>
              <w:pStyle w:val="5"/>
              <w:keepNext w:val="0"/>
              <w:keepLines w:val="0"/>
              <w:pageBreakBefore w:val="0"/>
              <w:kinsoku/>
              <w:wordWrap/>
              <w:overflowPunct/>
              <w:topLinePunct w:val="0"/>
              <w:bidi w:val="0"/>
              <w:snapToGrid/>
              <w:spacing w:after="0" w:line="300" w:lineRule="exact"/>
              <w:ind w:left="0" w:leftChars="0" w:firstLine="0" w:firstLineChars="0"/>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18、支持协议：ARP、UDP、TCP/IP、ICMP、IGMP(组播)。</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r>
      <w:tr>
        <w:tblPrEx>
          <w:tblCellMar>
            <w:top w:w="0" w:type="dxa"/>
            <w:left w:w="108" w:type="dxa"/>
            <w:bottom w:w="0" w:type="dxa"/>
            <w:right w:w="108" w:type="dxa"/>
          </w:tblCellMar>
        </w:tblPrEx>
        <w:trPr>
          <w:trHeight w:val="436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IP网络音柱</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1、采用固定静态的 IP 地址，当网络发生改变时地址不会丢失工作稳定；</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2、音质达到 CD 级(音频文件位速为 8-320kbps 自适应);可网络接收音频节目内容；</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3、硬件音频解码，采样音频硬件编码；</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4、网络接口:标准 RJ45X1 电源:AC220V/50Hz；</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5、音频位率:8Kbps~320Kbps；</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6、信噪比:&gt;70dB；</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7、采样率:≥8K~48KHz 音频格式:MP3；</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8、总谐波失真:S1% 传输速率:10Mbps；</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9、支持协议:ARP、UDP、TCP/IP、ICMP、IGMP(组播) 网络延时:S50ms；</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10、工作温度:-20C~+60C；</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11、额定功率：≥30W；</w:t>
            </w:r>
          </w:p>
          <w:p>
            <w:pPr>
              <w:keepNext w:val="0"/>
              <w:keepLines w:val="0"/>
              <w:pageBreakBefore w:val="0"/>
              <w:widowControl/>
              <w:kinsoku/>
              <w:wordWrap/>
              <w:overflowPunct/>
              <w:topLinePunct w:val="0"/>
              <w:bidi w:val="0"/>
              <w:snapToGrid/>
              <w:spacing w:line="300" w:lineRule="exact"/>
              <w:jc w:val="left"/>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12、单元规格：≥4"防水中低音单元*3；</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13、频率响应：≥100-15KHz</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29</w:t>
            </w:r>
          </w:p>
        </w:tc>
      </w:tr>
      <w:tr>
        <w:tblPrEx>
          <w:tblCellMar>
            <w:top w:w="0" w:type="dxa"/>
            <w:left w:w="108" w:type="dxa"/>
            <w:bottom w:w="0" w:type="dxa"/>
            <w:right w:w="108" w:type="dxa"/>
          </w:tblCellMar>
        </w:tblPrEx>
        <w:trPr>
          <w:trHeight w:val="2342"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IP网络草坪音箱</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1、网络接口：标准RJ45输入；</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2、网络协议：TCP/IP,UDP,IGMP(组播）；</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3、SIP音频格式：MP3/MP2/WAV；</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4、音频模式：16位立体声CD音质；</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5、额定功率：≥15W；</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6、额定电压：220V；</w:t>
            </w:r>
          </w:p>
          <w:p>
            <w:pPr>
              <w:keepNext w:val="0"/>
              <w:keepLines w:val="0"/>
              <w:pageBreakBefore w:val="0"/>
              <w:widowControl/>
              <w:suppressLineNumbers w:val="0"/>
              <w:kinsoku/>
              <w:wordWrap/>
              <w:overflowPunct/>
              <w:topLinePunct w:val="0"/>
              <w:bidi w:val="0"/>
              <w:snapToGrid/>
              <w:spacing w:line="3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7、频率响应：≥120-14KHz；</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8、灵敏度：≥95dB；</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只</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58</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D：信息发布系统</w:t>
            </w:r>
          </w:p>
        </w:tc>
      </w:tr>
      <w:tr>
        <w:tblPrEx>
          <w:tblCellMar>
            <w:top w:w="0" w:type="dxa"/>
            <w:left w:w="108" w:type="dxa"/>
            <w:bottom w:w="0" w:type="dxa"/>
            <w:right w:w="108" w:type="dxa"/>
          </w:tblCellMar>
        </w:tblPrEx>
        <w:trPr>
          <w:trHeight w:val="157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P3室外全彩</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1、像素点间距：3.076mm；</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2、像素点密度：105626/m2；</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3、LED灯珠波长误差范围：芯片的波长误差值在±1nm之内，每个灯芯的亮度误差在5%之内（提供具有CMA、ilac-MRA、CNAS章的检测报告扫描件）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PCB设计：灯驱合一，多层电路板HDI工艺设计，PCB焊盘采用沉金工艺处理，具备独特的消隐、节能功能；LED发光芯片共阴设计，通过EBL技术提高发光效率。符合CQC13-471301- 2018标准（提供具有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5、屏面反光率：≤2%;（提供具有CMA、ilac-MRA、CNAS章的检测报告扫描件）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6、维护方式及安装方式：支持纯前维护方式，模组、电源以及系统卡等皆可从前面取出。支持后维护。支持模组磁吸安装方式。</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7、带电维护：模组接收卡支持热插拔，支持带电维护;</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8、暗室对比度：≥10000:1；（提供具有资质的第三方机构出具的带CMA、ilac-MRA、CNAS章的检测报告扫描件）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9、刷新率：支持通过配套软件调节刷新率的设置选项，刷新率≥3840Hz。</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10、可视角度：水平视角≥175°，垂直视角≥175°;（提供具有CMA、ilac-MRA、CNAS章的检测报告扫描件）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11、显示屏亮度（CD/平方）：0-1400可调；</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12、亮度均匀性：≥98%;</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13、发光点中心距偏差：≤2.0%（提供具有资质的第三方机构出具的带CMA、ilac-MRA、CNAS章的检测报告扫描件）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14、显示单元色域：≥115%NTSC;</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15、显示单元漏光度：≤0.01cd/平米;（提供具有资质的第三方机构出具的带CMA、ilac-MRA、CNAS章的检测报告扫描件）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16、显示屏高亮效率：≥99%</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17、显示屏拍照等级：≥10bit；（提供具有CMA、ilac-MRA、CNAS章的检测报告扫描件）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18、灰度等级：65536级;</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19、屏体相对错位等级:水平相对错位等级与垂直相对错位等均级符合SJ/T11141-2017 符合C级≤5%标准</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20、色度均匀性（校正后）：±0.002Cx，Cy之内（提供具有资质的第三方机构出具的带CMA、ilac-MRA、CNAS章的检测报告扫描件）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21、亮度调节：支持通过配套软件0-100%多级调节，设置亮度定时调节，及通过亮度传感器自动调节（手动/自动/软件任意调节）</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22、图像调整功能：具有亮度/对比度/色度调节/视觉修正等图像调整功能</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23、图像处理功能：具体视频降噪、运动补偿、色彩变换等图像处理功能；支持多色域转换；符合4K超高清显示认证与HDR 显示认证要求</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24、自检技术：可实现LED单点检测，通讯检测，温度检测，电源检测，温度监控；可实现远程监督控制，对可能发生的潜在故障记录日志，并向操作员发出警报信号；可一键自检。</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25、单点亮度校正：有</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26、单点颜色校正：有</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27、功耗（W/㎡）：峰值650，平均：≤200，带电黑屏：≤30</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28、★像素点失控（坏点）率：≤1/1500000；（提供</w:t>
            </w:r>
            <w:r>
              <w:rPr>
                <w:rFonts w:hint="eastAsia" w:ascii="宋体" w:hAnsi="宋体" w:cs="宋体"/>
                <w:i w:val="0"/>
                <w:iCs w:val="0"/>
                <w:color w:val="auto"/>
                <w:kern w:val="0"/>
                <w:sz w:val="21"/>
                <w:szCs w:val="21"/>
                <w:highlight w:val="none"/>
                <w:u w:val="none"/>
                <w:lang w:val="en-US" w:eastAsia="zh-CN" w:bidi="ar"/>
              </w:rPr>
              <w:t>具有资质的第三方</w:t>
            </w:r>
            <w:r>
              <w:rPr>
                <w:rFonts w:hint="eastAsia" w:ascii="宋体" w:hAnsi="宋体" w:eastAsia="宋体" w:cs="宋体"/>
                <w:i w:val="0"/>
                <w:iCs w:val="0"/>
                <w:color w:val="auto"/>
                <w:kern w:val="0"/>
                <w:sz w:val="21"/>
                <w:szCs w:val="21"/>
                <w:highlight w:val="none"/>
                <w:u w:val="none"/>
                <w:lang w:val="en-US" w:eastAsia="zh-CN" w:bidi="ar"/>
              </w:rPr>
              <w:t>机构出具的</w:t>
            </w:r>
            <w:r>
              <w:rPr>
                <w:rFonts w:hint="eastAsia" w:ascii="宋体" w:hAnsi="宋体" w:cs="宋体"/>
                <w:color w:val="auto"/>
                <w:kern w:val="0"/>
                <w:sz w:val="21"/>
                <w:szCs w:val="21"/>
                <w:highlight w:val="none"/>
                <w:lang w:bidi="ar"/>
              </w:rPr>
              <w:t>有CMA、ilac-MRA、CNAS章的检测报告扫描件）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29、驱动方式：恒流驱动</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30、画面延时：≤1ms；（提供具有CMA、ilac-MRA、CNAS章的检测报告扫描件）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31、控制方式：网络同步控制，点点对应</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32、表面温升：最大亮度白色连续工作2小时，表面温升小于20℃（温升20K）</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33、平均修复时间（MTTR）：≤2分钟（提供具有资质的第三方机构出具的带CMA、ilac-MRA、CNAS章的检测报告扫描件）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34、平均无故障时间：≥10000小时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35、使用寿命：≥100000小时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36、抗震实验：满足GB/T 2423.10-2008正弦试验要求。10～55Hz，振幅0.35mm，每一轴向循环扫频5次，每次时间5min。试验后结构无损伤，可正常工作。符合IEC60068-2-6:2007振动标准，符合GB4857.23-2012包装随机振动标准。符合GB/T 4857.23运输包装件随机震动实验方法测试标准。</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37、支持屏体拼缝亮线，暗线校正：先进的除亮、暗线功能，从软、硬两方面彻底改善困扰小间距LED安装精度造成的亮、暗线问题；（提供具有资质的第三方机构出具的带CMA、ilac-MRA、CNAS章的检测报告扫描件）；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38、电源效率（25℃）：≥90%；</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39、绝缘电阻试验：电源插头或电源引入端子与外壳裸露金属部件之间的绝缘电阻在正常大气条件下应≥100MΩ，湿热条件下应≥2MΩ；</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40、光生物安全：依据:IEC 62471:2006标准进行光生物安全及蓝光危害评估检测无危害类对样品发光器件（灯珠）蓝色光的波长进行测试，测试值应在有害蓝光波长范围之外（400nm-450nm）。</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在8h（30000s）曝辐中不造成光化学紫外危害（ES），并在1000s（约16min）内不造成近紫外危害（EUVA），并在10000s（约2.8h）内不造成对视网膜蓝光危害（LB）并在10s内不造成对视网膜热危害（LR），并且在1000s内不造成对眼睛的红外辐射危害（EIR）。</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41、冲击测试：根据GB 4943.1-2011信息技术设备安全标准对设备进行冲击试验</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42、机械强度测试：根据GB 4943.1-2011信息技术设备安全标准对设备进行机械强度试验（提供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bidi="ar"/>
              </w:rPr>
              <w:t>具有CMA、ilac-MRA、CNAS章的检测报告扫描件）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43、★有害物质检测：符合 GB/T 26572-2011 中电子电气产品六种限用物质（铅、汞、镉、六价铬、多溴联苯、多溴二苯醚）的要求</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val="en-US" w:eastAsia="zh-CN" w:bidi="ar"/>
              </w:rPr>
              <w:t>(提供</w:t>
            </w:r>
            <w:r>
              <w:rPr>
                <w:rFonts w:hint="eastAsia" w:ascii="宋体" w:hAnsi="宋体" w:eastAsia="宋体" w:cs="宋体"/>
                <w:i w:val="0"/>
                <w:iCs w:val="0"/>
                <w:color w:val="auto"/>
                <w:kern w:val="0"/>
                <w:sz w:val="21"/>
                <w:szCs w:val="21"/>
                <w:highlight w:val="none"/>
                <w:u w:val="none"/>
                <w:lang w:val="en-US" w:eastAsia="zh-CN" w:bidi="ar"/>
              </w:rPr>
              <w:t>由具有资质的第三方机构</w:t>
            </w:r>
            <w:r>
              <w:rPr>
                <w:rFonts w:hint="eastAsia" w:ascii="宋体" w:hAnsi="宋体" w:cs="宋体"/>
                <w:i w:val="0"/>
                <w:iCs w:val="0"/>
                <w:color w:val="auto"/>
                <w:kern w:val="0"/>
                <w:sz w:val="21"/>
                <w:szCs w:val="21"/>
                <w:highlight w:val="none"/>
                <w:u w:val="none"/>
                <w:lang w:val="en-US" w:eastAsia="zh-CN" w:bidi="ar"/>
              </w:rPr>
              <w:t>出具的</w:t>
            </w:r>
            <w:r>
              <w:rPr>
                <w:rFonts w:hint="eastAsia" w:ascii="宋体" w:hAnsi="宋体" w:cs="宋体"/>
                <w:color w:val="auto"/>
                <w:kern w:val="0"/>
                <w:sz w:val="21"/>
                <w:szCs w:val="21"/>
                <w:highlight w:val="none"/>
                <w:lang w:val="en-US" w:eastAsia="zh-CN" w:bidi="ar"/>
              </w:rPr>
              <w:t>具有 CMA、ilac-MRA、CNAS 章的检测报告扫描件)；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44、★防毒辐射污染：毒性指数 R 值小于0.5。（提供具有</w:t>
            </w:r>
            <w:r>
              <w:rPr>
                <w:rFonts w:hint="eastAsia" w:ascii="宋体" w:hAnsi="宋体" w:cs="宋体"/>
                <w:i w:val="0"/>
                <w:iCs w:val="0"/>
                <w:color w:val="auto"/>
                <w:kern w:val="0"/>
                <w:sz w:val="21"/>
                <w:szCs w:val="21"/>
                <w:highlight w:val="none"/>
                <w:u w:val="none"/>
                <w:lang w:val="en-US" w:eastAsia="zh-CN" w:bidi="ar"/>
              </w:rPr>
              <w:t>资质的第三方</w:t>
            </w:r>
            <w:r>
              <w:rPr>
                <w:rFonts w:hint="eastAsia" w:ascii="宋体" w:hAnsi="宋体" w:eastAsia="宋体" w:cs="宋体"/>
                <w:i w:val="0"/>
                <w:iCs w:val="0"/>
                <w:color w:val="auto"/>
                <w:kern w:val="0"/>
                <w:sz w:val="21"/>
                <w:szCs w:val="21"/>
                <w:highlight w:val="none"/>
                <w:u w:val="none"/>
                <w:lang w:val="en-US" w:eastAsia="zh-CN" w:bidi="ar"/>
              </w:rPr>
              <w:t>机构出具的</w:t>
            </w:r>
            <w:r>
              <w:rPr>
                <w:rFonts w:hint="eastAsia" w:ascii="宋体" w:hAnsi="宋体" w:cs="宋体"/>
                <w:i w:val="0"/>
                <w:iCs w:val="0"/>
                <w:color w:val="auto"/>
                <w:kern w:val="0"/>
                <w:sz w:val="21"/>
                <w:szCs w:val="21"/>
                <w:highlight w:val="none"/>
                <w:u w:val="none"/>
                <w:lang w:val="en-US" w:eastAsia="zh-CN" w:bidi="ar"/>
              </w:rPr>
              <w:t>带有</w:t>
            </w:r>
            <w:r>
              <w:rPr>
                <w:rFonts w:hint="eastAsia" w:ascii="宋体" w:hAnsi="宋体" w:cs="宋体"/>
                <w:color w:val="auto"/>
                <w:kern w:val="0"/>
                <w:sz w:val="21"/>
                <w:szCs w:val="21"/>
                <w:highlight w:val="none"/>
                <w:lang w:bidi="ar"/>
              </w:rPr>
              <w:t>CMA、ilac-MRA、CNAS章的检测报告）</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45、为了本项目的信息安全：中标后需提供信息安全管理体系认证证书；</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46、中标后需提供中国环保（Ⅱ型）认证。</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平方米</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59.504</w:t>
            </w:r>
          </w:p>
        </w:tc>
      </w:tr>
      <w:tr>
        <w:tblPrEx>
          <w:tblCellMar>
            <w:top w:w="0" w:type="dxa"/>
            <w:left w:w="108" w:type="dxa"/>
            <w:bottom w:w="0" w:type="dxa"/>
            <w:right w:w="108" w:type="dxa"/>
          </w:tblCellMar>
        </w:tblPrEx>
        <w:trPr>
          <w:trHeight w:val="47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控制系统</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1.设备处理器不低于4核心，每个核心处理器不低于1.8GHz</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2.最宽支持4096、最高支持4096。</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3.支持主流视频格式：MPG、AVI、MP4、RMVB、MKV、MOV。</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4.支持主流图片格式：JPG、PNG、GIF、BMP、JPEG。</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5.支持主流文档格式：PDF、PPT、WORD、EXCEL。</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6.支持流媒体协议：HLS、RTMP、RTSP。</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7.支持4K @60Hz、H265, H264、VP9 视频硬解码播放。</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8.支持多路视频开窗，2路4K、6路1080P、10路720P、20路360P。</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9.支持USB3.0接口，支持U盘节目导入播放和即插即播两种方式。</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10.支持板载1路继电器，可以实现显示屏远程断上电功能。</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11.支持2路航空插头，可以定时或者手动调节显示屏亮度。</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12.支持Wifi ap和Wifi sta可以随时切换。</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13.支持同步异步双模式，支持外部HDMI输入与内部播放功能；并且支持HDMI 环出功能。</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14.HDMI环出输出功能，支持外部HDMI输入的环出也可以切换到内部播放内容的环出。</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15.支持千兆以太网通信。</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16.支持板载4G模块和5G模块。</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17.支持手动、射频模块、GPS和NTP对时同步播放机制。</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18.支持1路3.5mm音频输出接口。</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19.支持网页自动浏览刷新等。</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20.支持SNMP协议和诺瓦标准SDK协议。</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21.使用环境温度-20—60摄氏度。</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22.操作系统为Android11及以上版本</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23.为保证产品的稳定性，需提供出厂出货检验报告和合格证复印件并加盖供应商公章；</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24.为保证产品质量达标，提供中国质量认证中心、CCC、CQC中国国家强制性产品认证证书；</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25.为保证产品使用场景等级，提供具有资质的第三方检测机构中心对产品结构设计、产品功能检测、硬件配置、输出分辨率、带载能力、智能亮度调节、视频源切换、窗口打折、终端控制等的第三方CMA、ilac-MRA、CNAS检测报告。</w:t>
            </w:r>
            <w:r>
              <w:rPr>
                <w:rFonts w:hint="eastAsia" w:ascii="宋体" w:hAnsi="宋体" w:cs="宋体"/>
                <w:color w:val="auto"/>
                <w:kern w:val="0"/>
                <w:sz w:val="21"/>
                <w:szCs w:val="21"/>
                <w:highlight w:val="none"/>
                <w:lang w:bidi="ar"/>
              </w:rPr>
              <w:br w:type="textWrapping"/>
            </w:r>
            <w:r>
              <w:rPr>
                <w:rFonts w:hint="eastAsia" w:ascii="宋体" w:hAnsi="宋体" w:cs="宋体"/>
                <w:color w:val="auto"/>
                <w:kern w:val="0"/>
                <w:sz w:val="21"/>
                <w:szCs w:val="21"/>
                <w:highlight w:val="none"/>
                <w:lang w:bidi="ar"/>
              </w:rPr>
              <w:t>26.提供多媒体播放盒无线电发射设备型号核准证SRRC证书，复印件。</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285" w:hRule="atLeast"/>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b/>
                <w:bCs/>
                <w:color w:val="auto"/>
                <w:sz w:val="21"/>
                <w:szCs w:val="21"/>
                <w:highlight w:val="none"/>
              </w:rPr>
            </w:pPr>
            <w:r>
              <w:rPr>
                <w:rFonts w:hint="eastAsia" w:ascii="宋体" w:hAnsi="宋体" w:cs="宋体"/>
                <w:b/>
                <w:bCs/>
                <w:color w:val="auto"/>
                <w:kern w:val="0"/>
                <w:sz w:val="21"/>
                <w:szCs w:val="21"/>
                <w:highlight w:val="none"/>
                <w:lang w:bidi="ar"/>
              </w:rPr>
              <w:t>E：停车管理系统、人行通道闸管理系统</w:t>
            </w:r>
          </w:p>
        </w:tc>
      </w:tr>
      <w:tr>
        <w:tblPrEx>
          <w:tblCellMar>
            <w:top w:w="0" w:type="dxa"/>
            <w:left w:w="108" w:type="dxa"/>
            <w:bottom w:w="0" w:type="dxa"/>
            <w:right w:w="108" w:type="dxa"/>
          </w:tblCellMar>
        </w:tblPrEx>
        <w:trPr>
          <w:trHeight w:val="5949"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1</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快速摆闸速通门（左）</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不锈钢板厚度1.2mm；机箱材质为SUS304；（提供公安部有效检测报告证明）</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标配8对红外检测，标配读卡板；</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采用直流无刷电机；</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支持开门超时自动复位功能；</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支持声光报警提示，支持音量调节；</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平均无故障使用次数（MCBF）大于等于300万次；</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支持消防应急常开功能；支持报警信号输出功能；</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设备在触发红外开门时，没有通行人员进入通道，支持关门倒计时滴滴滴声音提醒，保障通行人员安全（提供公安部有效检测报告证明）；</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支持防冲撞功能；</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支持四种安全等级设置，适用不同安全级别的场景；</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支持九种通行模式组合：授权通行、禁止通行、自由通行等组合；</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支持开关门速度调节；支持通行时间设置；支持延时关闸时间设置；</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支持二次开启功能，人员在通道内可以授权；</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支持出入口记忆功能，可以连续授权过人；</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支持人数统计；</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支持非法闯入、尾随、反向闯入、滞留、异常开门、非法翻越、门翼故障、红外异常等声光报警提示；</w:t>
            </w:r>
          </w:p>
          <w:p>
            <w:pPr>
              <w:keepNext w:val="0"/>
              <w:keepLines w:val="0"/>
              <w:pageBreakBefore w:val="0"/>
              <w:widowControl/>
              <w:numPr>
                <w:ilvl w:val="0"/>
                <w:numId w:val="11"/>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支持选配“人脸、指纹、二维码、CPU读卡器、身份证阅读模块”等扩展模块集成，实现多种认证方式组合应用</w:t>
            </w:r>
            <w:r>
              <w:rPr>
                <w:rFonts w:hint="eastAsia" w:ascii="宋体" w:hAnsi="宋体" w:cs="宋体"/>
                <w:color w:val="auto"/>
                <w:kern w:val="0"/>
                <w:sz w:val="21"/>
                <w:szCs w:val="21"/>
                <w:highlight w:val="none"/>
                <w:lang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r>
      <w:tr>
        <w:tblPrEx>
          <w:tblCellMar>
            <w:top w:w="0" w:type="dxa"/>
            <w:left w:w="108" w:type="dxa"/>
            <w:bottom w:w="0" w:type="dxa"/>
            <w:right w:w="108" w:type="dxa"/>
          </w:tblCellMar>
        </w:tblPrEx>
        <w:trPr>
          <w:trHeight w:val="56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快速摆闸速通门（右）</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不锈钢板厚度1.2mm；机箱材质为SUS304；（提供公安部有效检测报告证明）</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标配8对红外检测，标配读卡板；</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采用直流无刷电机；</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支持开门超时自动复位功能；</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支持声光报警提示，支持音量调节；</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平均无故障使用次数（MCBF）大于等于300万次；</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支持消防应急常开功能；支持报警信号输出功能；</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设备在触发红外开门时，没有通行人员进入通道，支持关门倒计时滴滴滴声音提醒，保障通行人员安全（提供公安部有效检测报告证明）</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支持防冲撞功能；</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支持四种安全等级设置，适用不同安全级别的场景；</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支持九种通行模式组合：授权通行、禁止通行、自由通行等组合；</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支持开关门速度调节；支持通行时间设置；支持延时关闸时间设置；</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支持二次开启功能，人员在通道内可以授权；</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支持出入口记忆功能，可以连续授权过人；</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支持人数统计；</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支持非法闯入、尾随、反向闯入、滞留、异常开门、非法翻越、门翼故障、红外异常等声光报警提示；</w:t>
            </w:r>
          </w:p>
          <w:p>
            <w:pPr>
              <w:keepNext w:val="0"/>
              <w:keepLines w:val="0"/>
              <w:pageBreakBefore w:val="0"/>
              <w:widowControl/>
              <w:numPr>
                <w:ilvl w:val="0"/>
                <w:numId w:val="12"/>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支持选配“人脸、指纹、二维码、CPU读卡器、身份证阅读模块”等扩展模块集成，实现多种认证方式组合应用</w:t>
            </w:r>
            <w:r>
              <w:rPr>
                <w:rFonts w:hint="eastAsia" w:ascii="宋体" w:hAnsi="宋体" w:cs="宋体"/>
                <w:color w:val="auto"/>
                <w:kern w:val="0"/>
                <w:sz w:val="21"/>
                <w:szCs w:val="21"/>
                <w:highlight w:val="none"/>
                <w:lang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r>
      <w:tr>
        <w:tblPrEx>
          <w:tblCellMar>
            <w:top w:w="0" w:type="dxa"/>
            <w:left w:w="108" w:type="dxa"/>
            <w:bottom w:w="0" w:type="dxa"/>
            <w:right w:w="108" w:type="dxa"/>
          </w:tblCellMar>
        </w:tblPrEx>
        <w:trPr>
          <w:trHeight w:val="7220"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3</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快速摆闸速通门（中）</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不锈钢板厚度1.2mm；机箱材质为SUS304；（提供公安部有效检测报告证明）</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标配8对红外检测，标配读卡板；</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采用直流无刷电机；</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支持开门超时自动复位功能；</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支持声光报警提示，支持音量调节；</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平均无故障使用次数（MCBF）大于等于300万次；</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支持消防应急常开功能；支持报警信号输出功能；</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设备在触发红外开门时，没有通行人员进入通道，支持关门倒计时滴滴滴声音提醒，保障通行人员安全（提供公安部有效检测报告证明）</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支持防冲撞功能；</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支持四种安全等级设置，适用不同安全级别的场景；</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支持九种通行模式组合：授权通行、禁止通行、自由通行等组合；</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支持开关门速度调节；支持通行时间设置；支持延时关闸时间设置；</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支持二次开启功能，人员在通道内可以授权；</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支持出入口记忆功能，可以连续授权过人；</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支持人数统计；</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支持非法闯入、尾随、反向闯入、滞留、异常开门、非法翻越、门翼故障、红外异常等声光报警提示；</w:t>
            </w:r>
          </w:p>
          <w:p>
            <w:pPr>
              <w:keepNext w:val="0"/>
              <w:keepLines w:val="0"/>
              <w:pageBreakBefore w:val="0"/>
              <w:widowControl/>
              <w:numPr>
                <w:ilvl w:val="0"/>
                <w:numId w:val="13"/>
              </w:numPr>
              <w:kinsoku/>
              <w:wordWrap/>
              <w:overflowPunct/>
              <w:topLinePunct w:val="0"/>
              <w:autoSpaceDE/>
              <w:autoSpaceDN/>
              <w:bidi w:val="0"/>
              <w:adjustRightInd/>
              <w:snapToGrid/>
              <w:spacing w:line="300" w:lineRule="exact"/>
              <w:ind w:firstLine="0"/>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支持选配“人脸、指纹、二维码、CPU读卡器、身份证阅读模块”等扩展模块集成，实现多种认证方式组合应用</w:t>
            </w:r>
            <w:r>
              <w:rPr>
                <w:rFonts w:hint="eastAsia" w:ascii="宋体" w:hAnsi="宋体" w:cs="宋体"/>
                <w:color w:val="auto"/>
                <w:kern w:val="0"/>
                <w:sz w:val="21"/>
                <w:szCs w:val="21"/>
                <w:highlight w:val="none"/>
                <w:lang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6</w:t>
            </w:r>
          </w:p>
        </w:tc>
      </w:tr>
      <w:tr>
        <w:tblPrEx>
          <w:tblCellMar>
            <w:top w:w="0" w:type="dxa"/>
            <w:left w:w="108" w:type="dxa"/>
            <w:bottom w:w="0" w:type="dxa"/>
            <w:right w:w="108" w:type="dxa"/>
          </w:tblCellMar>
        </w:tblPrEx>
        <w:trPr>
          <w:trHeight w:val="249"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遥控器</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1、遥控器采用加密方式处理，保障传输过程中安全高效可靠；</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2、配合闸机实现远程遥控，可实现多种开门方式，灵活运用。</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w:t>
            </w:r>
          </w:p>
        </w:tc>
      </w:tr>
      <w:tr>
        <w:tblPrEx>
          <w:tblCellMar>
            <w:top w:w="0" w:type="dxa"/>
            <w:left w:w="108" w:type="dxa"/>
            <w:bottom w:w="0" w:type="dxa"/>
            <w:right w:w="108" w:type="dxa"/>
          </w:tblCellMar>
        </w:tblPrEx>
        <w:trPr>
          <w:trHeight w:val="712"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5</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车牌识别一体机</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显示屏：LED屏（4行4字，支持红绿黄三色显示）；</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显示屏尺寸：256mm × 256mm（长 × 宽）；</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补光灯数量：3颗（可根据需求切换为暖光灯或红外灯，亮度可自动调节）；</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★LED灯模式切换功能：通过web可设置为白光模式或红外模式，设置为白光模式时相机亮暖光灯，设置为红外模式时相机亮红外灯。（提供公安部检测报告）；</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★护罩内置LED灯：护罩内置3颗LED灯(暖光灯与红外灯可切换，暖光灯色温3000K±10%)，支持根据环境光亮度，自动控制LED灯亮灭及亮度调节。（提供公安部检测报告）；</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传感器类型：1/1.8英寸CMOS；</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图像分辨率：2688×1520（不包含OSD黑边）；</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★支持智能帧功能，对车牌和车辆实时跟踪并识别。（提供公安部检测报告）</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视频压缩标准：H.265;H.264B;H.264M;H.264H;MJPEG；</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二维码显示：支持；</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屏幕坏点检测：支持；</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抓拍距离：2.5～6m；</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除雾功能：支持自动除雾；</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供电方式：AC110V~AC230V；</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镜头：标配；</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镜头类型：变焦；</w:t>
            </w:r>
          </w:p>
          <w:p>
            <w:pPr>
              <w:keepNext w:val="0"/>
              <w:keepLines w:val="0"/>
              <w:pageBreakBefore w:val="0"/>
              <w:widowControl/>
              <w:numPr>
                <w:ilvl w:val="0"/>
                <w:numId w:val="14"/>
              </w:numPr>
              <w:kinsoku/>
              <w:wordWrap/>
              <w:overflowPunct/>
              <w:topLinePunct w:val="0"/>
              <w:bidi w:val="0"/>
              <w:snapToGrid/>
              <w:spacing w:line="300" w:lineRule="exact"/>
              <w:ind w:firstLine="0"/>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镜头焦距：标配2.7-12 mm电动变焦镜头。</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196"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6</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自动道闸</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杆件类型：直杆；</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支持杆长：4米；</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起杆速度：2s；</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电机类型：直流无刷；</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防砸功能：支持：压力波防砸、雷达防砸、线圈防砸、红外防砸；</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断电抬杆：支持；</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遇阻反弹：支持；</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防撞功能：支持；</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断电手摇：支持；</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远程遥控：支持遥控器远程开关，最大距离50m；</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供电方式：AC186~264V；</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工作温度：-40℃～+70℃；</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防护等级：IP54；</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安装方式：立式，采用压铁和膨胀螺丝将道闸进行固定安装。</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1403"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7</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出入口雷达</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支持串口和手机WIFI调试和设置；</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支持虚警点检测及剔除；</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支持通过485连接相机读取雷达设置参数及雷达日志记录；</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支持在线升级程序。</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w:t>
            </w:r>
          </w:p>
        </w:tc>
      </w:tr>
      <w:tr>
        <w:tblPrEx>
          <w:tblCellMar>
            <w:top w:w="0" w:type="dxa"/>
            <w:left w:w="108" w:type="dxa"/>
            <w:bottom w:w="0" w:type="dxa"/>
            <w:right w:w="108" w:type="dxa"/>
          </w:tblCellMar>
        </w:tblPrEx>
        <w:trPr>
          <w:trHeight w:val="538"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8</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出入口控制终端</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【win10操作系统】</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1.产品采用Intel 4305UE处理器，标配4G内存、M.2接口128G固态硬盘，可用存储容量100G；</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2.预留DDR内存卡槽、2.5寸硬盘SATA接口可扩展；</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3.外部接口：4个USB3.0接口、1个VGA、1个HDMI、1路音频输入、1路音频输出，双网卡设计，8口千兆交换机，1个电源开关按键；</w:t>
            </w:r>
          </w:p>
          <w:p>
            <w:pPr>
              <w:keepNext w:val="0"/>
              <w:keepLines w:val="0"/>
              <w:pageBreakBefore w:val="0"/>
              <w:widowControl/>
              <w:kinsoku/>
              <w:wordWrap/>
              <w:overflowPunct/>
              <w:topLinePunct w:val="0"/>
              <w:bidi w:val="0"/>
              <w:snapToGrid/>
              <w:spacing w:line="300" w:lineRule="exact"/>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4.采用无风扇、低功耗设计。</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台</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r>
      <w:tr>
        <w:tblPrEx>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9</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门禁系统</w:t>
            </w:r>
          </w:p>
        </w:tc>
        <w:tc>
          <w:tcPr>
            <w:tcW w:w="6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采用2.5D曲面屏；对讲钉钉做考勤业务；</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采用7英寸液晶屏，屏幕显示分辨率达到1024x600；</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采用200万双目摄像头；</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采用高性能图像传感器，无需白光补光，在暗光或无光环境下也能识别；</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支持IP65防护等级；</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支持自动补光，可有效降低环境光污染；</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支持10万个用户(最大支持不超过50个管理员)、10万张人脸、10万个密码、50万张IC卡、30万条记录；</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支持人脸、IC卡、CPU卡（需另购PSAM卡）、密码、蓝牙、二维码（支持2.2cm*2.2cm~5cm*5cm大小且内容小于128字节的二维码）等多种识别方式，并支持多种组合识别鉴权方式；</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支持显示人脸框，并实时检测最大人脸，支持识别区域及人脸目标大小设置；</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支持面部识别距离0.3m-3.0m；适应0.9m～2.4m身高范围(镜头安装高度1.4米)；</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基于深度人脸识别算法，精准定位目标人脸360个以上关键点位置；</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人脸识别速度0.2秒，可实现无感通行；</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支持多种比对结果呈现模式及多种语音提示信息，适应多种场景，有效保障用户隐私；</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支持未佩戴口罩检测模式，实现未佩戴口罩异常事件告警；</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支持活体检测功能，支持手机照片、打印照片和视频防假；</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支持口罩检测、安全帽检测；</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支持逆光、顺光等强光场景的稳定识别，场景适应性更广；</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支持门控安全模块扩展，防止暴力开门，提升通行安全；</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支持胁迫报警、 防拆报警、 闯入报警、 门超时报警、非法卡超次报警、非法密码超次报警；</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支持来宾用户下发、巡逻用户下发、黑名单用户下发、VIP用户下发、普通用户下发、其它用户下发；</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支持与室内机、管理机、手机APP可视对讲；</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支持TCP/IP和WiFi接入网络，支持主动注册、P2P注册、DHCP</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支持在线升级，USB升级；</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支持3.5mm音频接口，可扩展外接音箱；</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支持下模块扩展功能（指纹、二维码、人证、人证+二维码、指纹+二维码）；</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支持蓝牙开门，方便快捷；</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支持自定义语音，验证成功后可叠加播报姓名；</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支持多人识别，最多可6人同时人脸识别；</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支持人脸美颜功能；</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支持视频和图片广告播放（支持5段主流MP4、AVI、DAV格式视频（单位视频大小不超出20MB）和10张主流JPG、PNG、BMP格式图片（单位图片大小不超出2MB）播放；</w:t>
            </w:r>
          </w:p>
          <w:p>
            <w:pPr>
              <w:keepNext w:val="0"/>
              <w:keepLines w:val="0"/>
              <w:pageBreakBefore w:val="0"/>
              <w:widowControl/>
              <w:numPr>
                <w:ilvl w:val="0"/>
                <w:numId w:val="15"/>
              </w:numPr>
              <w:kinsoku/>
              <w:wordWrap/>
              <w:overflowPunct/>
              <w:topLinePunct w:val="0"/>
              <w:bidi w:val="0"/>
              <w:snapToGrid/>
              <w:spacing w:line="300" w:lineRule="exact"/>
              <w:ind w:firstLine="0"/>
              <w:jc w:val="left"/>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★设备应支持至少 5 段视频的播放设置；视频应支持上分屏播放或下分屏播放可配置；视频应能配置开始播放时间和结束播放时间；视频应支持原比例播放和全屏播放两种播放方式；视频应支持多段循环播放。（提供公安部检测报告）</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套</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snapToGrid/>
              <w:spacing w:line="300" w:lineRule="exact"/>
              <w:jc w:val="center"/>
              <w:textAlignment w:val="center"/>
              <w:rPr>
                <w:rFonts w:ascii="宋体" w:hAnsi="宋体" w:cs="宋体"/>
                <w:color w:val="auto"/>
                <w:sz w:val="21"/>
                <w:szCs w:val="21"/>
                <w:highlight w:val="none"/>
              </w:rPr>
            </w:pPr>
            <w:r>
              <w:rPr>
                <w:rFonts w:hint="eastAsia" w:ascii="宋体" w:hAnsi="宋体" w:cs="宋体"/>
                <w:color w:val="auto"/>
                <w:kern w:val="0"/>
                <w:sz w:val="21"/>
                <w:szCs w:val="21"/>
                <w:highlight w:val="none"/>
                <w:lang w:bidi="ar"/>
              </w:rPr>
              <w:t>2</w:t>
            </w:r>
          </w:p>
        </w:tc>
      </w:tr>
    </w:tbl>
    <w:p>
      <w:pPr>
        <w:pStyle w:val="6"/>
        <w:ind w:left="0"/>
        <w:rPr>
          <w:color w:val="auto"/>
          <w:highlight w:val="none"/>
        </w:rPr>
      </w:pPr>
      <w:bookmarkStart w:id="1" w:name="_GoBack"/>
      <w:bookmarkEnd w:id="1"/>
    </w:p>
    <w:sectPr>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36E6D"/>
    <w:multiLevelType w:val="singleLevel"/>
    <w:tmpl w:val="89636E6D"/>
    <w:lvl w:ilvl="0" w:tentative="0">
      <w:start w:val="2"/>
      <w:numFmt w:val="chineseCounting"/>
      <w:suff w:val="nothing"/>
      <w:lvlText w:val="（%1）"/>
      <w:lvlJc w:val="left"/>
      <w:rPr>
        <w:rFonts w:hint="eastAsia"/>
      </w:rPr>
    </w:lvl>
  </w:abstractNum>
  <w:abstractNum w:abstractNumId="1">
    <w:nsid w:val="8A2294BB"/>
    <w:multiLevelType w:val="singleLevel"/>
    <w:tmpl w:val="8A2294BB"/>
    <w:lvl w:ilvl="0" w:tentative="0">
      <w:start w:val="1"/>
      <w:numFmt w:val="decimal"/>
      <w:suff w:val="nothing"/>
      <w:lvlText w:val="%1、"/>
      <w:lvlJc w:val="left"/>
    </w:lvl>
  </w:abstractNum>
  <w:abstractNum w:abstractNumId="2">
    <w:nsid w:val="904AE478"/>
    <w:multiLevelType w:val="singleLevel"/>
    <w:tmpl w:val="904AE478"/>
    <w:lvl w:ilvl="0" w:tentative="0">
      <w:start w:val="1"/>
      <w:numFmt w:val="decimal"/>
      <w:suff w:val="nothing"/>
      <w:lvlText w:val="%1．"/>
      <w:lvlJc w:val="left"/>
      <w:pPr>
        <w:ind w:left="0" w:firstLine="400"/>
      </w:pPr>
      <w:rPr>
        <w:rFonts w:hint="default"/>
      </w:rPr>
    </w:lvl>
  </w:abstractNum>
  <w:abstractNum w:abstractNumId="3">
    <w:nsid w:val="97F4E149"/>
    <w:multiLevelType w:val="singleLevel"/>
    <w:tmpl w:val="97F4E149"/>
    <w:lvl w:ilvl="0" w:tentative="0">
      <w:start w:val="1"/>
      <w:numFmt w:val="decimal"/>
      <w:suff w:val="nothing"/>
      <w:lvlText w:val="%1．"/>
      <w:lvlJc w:val="left"/>
      <w:pPr>
        <w:ind w:left="0" w:firstLine="400"/>
      </w:pPr>
      <w:rPr>
        <w:rFonts w:hint="default"/>
      </w:rPr>
    </w:lvl>
  </w:abstractNum>
  <w:abstractNum w:abstractNumId="4">
    <w:nsid w:val="9DE4BAC6"/>
    <w:multiLevelType w:val="singleLevel"/>
    <w:tmpl w:val="9DE4BAC6"/>
    <w:lvl w:ilvl="0" w:tentative="0">
      <w:start w:val="1"/>
      <w:numFmt w:val="decimal"/>
      <w:suff w:val="nothing"/>
      <w:lvlText w:val="%1．"/>
      <w:lvlJc w:val="left"/>
      <w:pPr>
        <w:ind w:left="0" w:firstLine="400"/>
      </w:pPr>
      <w:rPr>
        <w:rFonts w:hint="default"/>
      </w:rPr>
    </w:lvl>
  </w:abstractNum>
  <w:abstractNum w:abstractNumId="5">
    <w:nsid w:val="B95DCAE5"/>
    <w:multiLevelType w:val="singleLevel"/>
    <w:tmpl w:val="B95DCAE5"/>
    <w:lvl w:ilvl="0" w:tentative="0">
      <w:start w:val="1"/>
      <w:numFmt w:val="decimal"/>
      <w:suff w:val="nothing"/>
      <w:lvlText w:val="%1．"/>
      <w:lvlJc w:val="left"/>
      <w:pPr>
        <w:ind w:left="0" w:firstLine="400"/>
      </w:pPr>
      <w:rPr>
        <w:rFonts w:hint="default"/>
      </w:rPr>
    </w:lvl>
  </w:abstractNum>
  <w:abstractNum w:abstractNumId="6">
    <w:nsid w:val="CE593EE3"/>
    <w:multiLevelType w:val="singleLevel"/>
    <w:tmpl w:val="CE593EE3"/>
    <w:lvl w:ilvl="0" w:tentative="0">
      <w:start w:val="1"/>
      <w:numFmt w:val="decimal"/>
      <w:suff w:val="nothing"/>
      <w:lvlText w:val="%1、"/>
      <w:lvlJc w:val="left"/>
    </w:lvl>
  </w:abstractNum>
  <w:abstractNum w:abstractNumId="7">
    <w:nsid w:val="095D2C64"/>
    <w:multiLevelType w:val="singleLevel"/>
    <w:tmpl w:val="095D2C64"/>
    <w:lvl w:ilvl="0" w:tentative="0">
      <w:start w:val="1"/>
      <w:numFmt w:val="chineseCounting"/>
      <w:suff w:val="nothing"/>
      <w:lvlText w:val="(%1）"/>
      <w:lvlJc w:val="left"/>
      <w:rPr>
        <w:rFonts w:hint="eastAsia"/>
      </w:rPr>
    </w:lvl>
  </w:abstractNum>
  <w:abstractNum w:abstractNumId="8">
    <w:nsid w:val="3191157F"/>
    <w:multiLevelType w:val="singleLevel"/>
    <w:tmpl w:val="3191157F"/>
    <w:lvl w:ilvl="0" w:tentative="0">
      <w:start w:val="1"/>
      <w:numFmt w:val="decimal"/>
      <w:suff w:val="nothing"/>
      <w:lvlText w:val="%1．"/>
      <w:lvlJc w:val="left"/>
      <w:pPr>
        <w:ind w:left="0" w:firstLine="400"/>
      </w:pPr>
      <w:rPr>
        <w:rFonts w:hint="default"/>
      </w:rPr>
    </w:lvl>
  </w:abstractNum>
  <w:abstractNum w:abstractNumId="9">
    <w:nsid w:val="3E865804"/>
    <w:multiLevelType w:val="singleLevel"/>
    <w:tmpl w:val="3E865804"/>
    <w:lvl w:ilvl="0" w:tentative="0">
      <w:start w:val="1"/>
      <w:numFmt w:val="decimal"/>
      <w:suff w:val="nothing"/>
      <w:lvlText w:val="%1．"/>
      <w:lvlJc w:val="left"/>
      <w:pPr>
        <w:ind w:left="0" w:firstLine="400"/>
      </w:pPr>
      <w:rPr>
        <w:rFonts w:hint="default"/>
      </w:rPr>
    </w:lvl>
  </w:abstractNum>
  <w:abstractNum w:abstractNumId="10">
    <w:nsid w:val="4BB1202C"/>
    <w:multiLevelType w:val="singleLevel"/>
    <w:tmpl w:val="4BB1202C"/>
    <w:lvl w:ilvl="0" w:tentative="0">
      <w:start w:val="1"/>
      <w:numFmt w:val="decimal"/>
      <w:suff w:val="nothing"/>
      <w:lvlText w:val="%1．"/>
      <w:lvlJc w:val="left"/>
      <w:pPr>
        <w:ind w:left="0" w:firstLine="400"/>
      </w:pPr>
      <w:rPr>
        <w:rFonts w:hint="default"/>
      </w:rPr>
    </w:lvl>
  </w:abstractNum>
  <w:abstractNum w:abstractNumId="11">
    <w:nsid w:val="52AEA773"/>
    <w:multiLevelType w:val="singleLevel"/>
    <w:tmpl w:val="52AEA773"/>
    <w:lvl w:ilvl="0" w:tentative="0">
      <w:start w:val="1"/>
      <w:numFmt w:val="decimal"/>
      <w:suff w:val="nothing"/>
      <w:lvlText w:val="%1．"/>
      <w:lvlJc w:val="left"/>
      <w:pPr>
        <w:ind w:left="0" w:firstLine="400"/>
      </w:pPr>
      <w:rPr>
        <w:rFonts w:hint="default"/>
      </w:rPr>
    </w:lvl>
  </w:abstractNum>
  <w:abstractNum w:abstractNumId="12">
    <w:nsid w:val="60B1C3E6"/>
    <w:multiLevelType w:val="singleLevel"/>
    <w:tmpl w:val="60B1C3E6"/>
    <w:lvl w:ilvl="0" w:tentative="0">
      <w:start w:val="1"/>
      <w:numFmt w:val="decimal"/>
      <w:suff w:val="nothing"/>
      <w:lvlText w:val="%1．"/>
      <w:lvlJc w:val="left"/>
      <w:pPr>
        <w:ind w:left="0" w:firstLine="400"/>
      </w:pPr>
      <w:rPr>
        <w:rFonts w:hint="default"/>
      </w:rPr>
    </w:lvl>
  </w:abstractNum>
  <w:abstractNum w:abstractNumId="13">
    <w:nsid w:val="64753390"/>
    <w:multiLevelType w:val="multilevel"/>
    <w:tmpl w:val="64753390"/>
    <w:lvl w:ilvl="0" w:tentative="0">
      <w:start w:val="1"/>
      <w:numFmt w:val="decimal"/>
      <w:lvlText w:val="（%1）"/>
      <w:lvlJc w:val="left"/>
      <w:pPr>
        <w:ind w:left="420" w:hanging="420"/>
      </w:pPr>
      <w:rPr>
        <w:rFonts w:hint="eastAsia"/>
      </w:rPr>
    </w:lvl>
    <w:lvl w:ilvl="1" w:tentative="0">
      <w:start w:val="1"/>
      <w:numFmt w:val="decimal"/>
      <w:lvlText w:val="%2."/>
      <w:lvlJc w:val="left"/>
      <w:pPr>
        <w:ind w:left="840" w:hanging="420"/>
      </w:pPr>
      <w:rPr>
        <w:rFonts w:hint="default"/>
        <w:b w:val="0"/>
        <w:bCs w:val="0"/>
        <w:shd w:val="clear" w:color="auto" w:fill="auto"/>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A4F019E"/>
    <w:multiLevelType w:val="multilevel"/>
    <w:tmpl w:val="7A4F019E"/>
    <w:lvl w:ilvl="0" w:tentative="0">
      <w:start w:val="1"/>
      <w:numFmt w:val="decimal"/>
      <w:lvlText w:val="%1."/>
      <w:lvlJc w:val="left"/>
      <w:pPr>
        <w:ind w:left="420" w:hanging="420"/>
      </w:pPr>
      <w:rPr>
        <w:rFonts w:hint="default" w:ascii="Times New Roman" w:hAnsi="Times New Roman" w:cs="Times New Roman"/>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0"/>
  </w:num>
  <w:num w:numId="3">
    <w:abstractNumId w:val="1"/>
  </w:num>
  <w:num w:numId="4">
    <w:abstractNumId w:val="14"/>
  </w:num>
  <w:num w:numId="5">
    <w:abstractNumId w:val="13"/>
  </w:num>
  <w:num w:numId="6">
    <w:abstractNumId w:val="6"/>
  </w:num>
  <w:num w:numId="7">
    <w:abstractNumId w:val="3"/>
  </w:num>
  <w:num w:numId="8">
    <w:abstractNumId w:val="4"/>
  </w:num>
  <w:num w:numId="9">
    <w:abstractNumId w:val="9"/>
  </w:num>
  <w:num w:numId="10">
    <w:abstractNumId w:val="10"/>
  </w:num>
  <w:num w:numId="11">
    <w:abstractNumId w:val="12"/>
  </w:num>
  <w:num w:numId="12">
    <w:abstractNumId w:val="11"/>
  </w:num>
  <w:num w:numId="13">
    <w:abstractNumId w:val="2"/>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ViYjAyYThjZDk1ZDJiOGVmNDc3ZTU4ZTU1MzVhNjYifQ=="/>
  </w:docVars>
  <w:rsids>
    <w:rsidRoot w:val="00104E47"/>
    <w:rsid w:val="00054388"/>
    <w:rsid w:val="000D4DED"/>
    <w:rsid w:val="00104E47"/>
    <w:rsid w:val="001574E8"/>
    <w:rsid w:val="001C42E0"/>
    <w:rsid w:val="002F5B79"/>
    <w:rsid w:val="004670CD"/>
    <w:rsid w:val="004E536B"/>
    <w:rsid w:val="00913A4B"/>
    <w:rsid w:val="0092425A"/>
    <w:rsid w:val="009258EB"/>
    <w:rsid w:val="00AD1A06"/>
    <w:rsid w:val="00AE41DF"/>
    <w:rsid w:val="00C359A5"/>
    <w:rsid w:val="00D82705"/>
    <w:rsid w:val="0122359A"/>
    <w:rsid w:val="033C49A3"/>
    <w:rsid w:val="035E2B6B"/>
    <w:rsid w:val="04360505"/>
    <w:rsid w:val="04A53614"/>
    <w:rsid w:val="04BA371A"/>
    <w:rsid w:val="056E3A92"/>
    <w:rsid w:val="063F45B7"/>
    <w:rsid w:val="06601D3E"/>
    <w:rsid w:val="06791618"/>
    <w:rsid w:val="07C93CBE"/>
    <w:rsid w:val="07DA4680"/>
    <w:rsid w:val="09357288"/>
    <w:rsid w:val="0A085C6C"/>
    <w:rsid w:val="0A326B00"/>
    <w:rsid w:val="0B6A0C7F"/>
    <w:rsid w:val="0C275298"/>
    <w:rsid w:val="0C334CC7"/>
    <w:rsid w:val="0C3F7BB0"/>
    <w:rsid w:val="0C5A60ED"/>
    <w:rsid w:val="0DD20754"/>
    <w:rsid w:val="0EE8005A"/>
    <w:rsid w:val="0F6E0DC3"/>
    <w:rsid w:val="0F7D6A6F"/>
    <w:rsid w:val="0FE20516"/>
    <w:rsid w:val="0FF815D4"/>
    <w:rsid w:val="10226A9A"/>
    <w:rsid w:val="10C540A7"/>
    <w:rsid w:val="116A6B7F"/>
    <w:rsid w:val="125E1AC6"/>
    <w:rsid w:val="128B3251"/>
    <w:rsid w:val="136840DC"/>
    <w:rsid w:val="13A60B79"/>
    <w:rsid w:val="13B57012"/>
    <w:rsid w:val="16880487"/>
    <w:rsid w:val="172F72AE"/>
    <w:rsid w:val="17604CAC"/>
    <w:rsid w:val="17607D6A"/>
    <w:rsid w:val="18DA6A6D"/>
    <w:rsid w:val="19B456A8"/>
    <w:rsid w:val="1AFA71C6"/>
    <w:rsid w:val="1D511E8F"/>
    <w:rsid w:val="1E780B2E"/>
    <w:rsid w:val="1EC84BBE"/>
    <w:rsid w:val="1F705CA9"/>
    <w:rsid w:val="1FFC4FF6"/>
    <w:rsid w:val="202C090C"/>
    <w:rsid w:val="217F0369"/>
    <w:rsid w:val="23076CAA"/>
    <w:rsid w:val="23BB15F0"/>
    <w:rsid w:val="24633A36"/>
    <w:rsid w:val="25D32AED"/>
    <w:rsid w:val="260F1419"/>
    <w:rsid w:val="266876DA"/>
    <w:rsid w:val="26695200"/>
    <w:rsid w:val="270628BB"/>
    <w:rsid w:val="28103880"/>
    <w:rsid w:val="2B4D50F0"/>
    <w:rsid w:val="2B91322F"/>
    <w:rsid w:val="2C216C4A"/>
    <w:rsid w:val="2C7E152C"/>
    <w:rsid w:val="2CF021D7"/>
    <w:rsid w:val="2D5B6350"/>
    <w:rsid w:val="2E024856"/>
    <w:rsid w:val="30212C9E"/>
    <w:rsid w:val="308A461E"/>
    <w:rsid w:val="32AE6D2B"/>
    <w:rsid w:val="32D810B4"/>
    <w:rsid w:val="334B36D4"/>
    <w:rsid w:val="3402116D"/>
    <w:rsid w:val="34DE0A50"/>
    <w:rsid w:val="358078F5"/>
    <w:rsid w:val="3688596E"/>
    <w:rsid w:val="36A3543E"/>
    <w:rsid w:val="37846422"/>
    <w:rsid w:val="3890014B"/>
    <w:rsid w:val="38A528A2"/>
    <w:rsid w:val="39382F3B"/>
    <w:rsid w:val="39B27192"/>
    <w:rsid w:val="3A6B3FB8"/>
    <w:rsid w:val="3BA56D82"/>
    <w:rsid w:val="3CDE204C"/>
    <w:rsid w:val="3D9646D4"/>
    <w:rsid w:val="3DE52208"/>
    <w:rsid w:val="3E88262A"/>
    <w:rsid w:val="3EA50C40"/>
    <w:rsid w:val="3F7A112F"/>
    <w:rsid w:val="3FE72C89"/>
    <w:rsid w:val="409E232E"/>
    <w:rsid w:val="410C3F55"/>
    <w:rsid w:val="41753713"/>
    <w:rsid w:val="43FB666C"/>
    <w:rsid w:val="4456696C"/>
    <w:rsid w:val="44BE2E8F"/>
    <w:rsid w:val="45623D91"/>
    <w:rsid w:val="457F6E71"/>
    <w:rsid w:val="45A54022"/>
    <w:rsid w:val="46B362F7"/>
    <w:rsid w:val="49635B52"/>
    <w:rsid w:val="49D56974"/>
    <w:rsid w:val="49FA66B9"/>
    <w:rsid w:val="4AD54E9C"/>
    <w:rsid w:val="4C034C0D"/>
    <w:rsid w:val="4D5B4D9B"/>
    <w:rsid w:val="4E7520E4"/>
    <w:rsid w:val="4EBE3A8B"/>
    <w:rsid w:val="4EEA0F96"/>
    <w:rsid w:val="50084AF5"/>
    <w:rsid w:val="50A42586"/>
    <w:rsid w:val="52BB6312"/>
    <w:rsid w:val="539A750A"/>
    <w:rsid w:val="53CC27A6"/>
    <w:rsid w:val="53E12208"/>
    <w:rsid w:val="55236D3E"/>
    <w:rsid w:val="55867F5F"/>
    <w:rsid w:val="559C453B"/>
    <w:rsid w:val="595F4E27"/>
    <w:rsid w:val="59B85CA7"/>
    <w:rsid w:val="5D0E2082"/>
    <w:rsid w:val="5DFC6F87"/>
    <w:rsid w:val="5E4D2736"/>
    <w:rsid w:val="5EBE4A84"/>
    <w:rsid w:val="601E082E"/>
    <w:rsid w:val="60D42992"/>
    <w:rsid w:val="62882BA3"/>
    <w:rsid w:val="645753BD"/>
    <w:rsid w:val="65F0765C"/>
    <w:rsid w:val="662834BF"/>
    <w:rsid w:val="681963A8"/>
    <w:rsid w:val="682E6C19"/>
    <w:rsid w:val="68F25ADB"/>
    <w:rsid w:val="6A633A0D"/>
    <w:rsid w:val="6A896006"/>
    <w:rsid w:val="6DD10025"/>
    <w:rsid w:val="6DF57072"/>
    <w:rsid w:val="6E2D5DD3"/>
    <w:rsid w:val="6EEB5C46"/>
    <w:rsid w:val="6F711536"/>
    <w:rsid w:val="70B07280"/>
    <w:rsid w:val="70CD6084"/>
    <w:rsid w:val="71C40B62"/>
    <w:rsid w:val="71C95A3C"/>
    <w:rsid w:val="720311EE"/>
    <w:rsid w:val="724D234E"/>
    <w:rsid w:val="725337DC"/>
    <w:rsid w:val="72655E48"/>
    <w:rsid w:val="733C4DFB"/>
    <w:rsid w:val="74122000"/>
    <w:rsid w:val="74756E3D"/>
    <w:rsid w:val="74801F6D"/>
    <w:rsid w:val="74A24FCD"/>
    <w:rsid w:val="75A4661E"/>
    <w:rsid w:val="786831A5"/>
    <w:rsid w:val="787E4304"/>
    <w:rsid w:val="7B613D57"/>
    <w:rsid w:val="7BF75F12"/>
    <w:rsid w:val="7DA168CE"/>
    <w:rsid w:val="7F6F1D33"/>
    <w:rsid w:val="7FD44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style>
  <w:style w:type="paragraph" w:styleId="3">
    <w:name w:val="Body Text Indent"/>
    <w:basedOn w:val="1"/>
    <w:next w:val="2"/>
    <w:qFormat/>
    <w:uiPriority w:val="0"/>
    <w:pPr>
      <w:spacing w:after="120"/>
      <w:ind w:left="420" w:leftChars="200"/>
    </w:pPr>
  </w:style>
  <w:style w:type="paragraph" w:styleId="4">
    <w:name w:val="Body Text"/>
    <w:basedOn w:val="1"/>
    <w:next w:val="5"/>
    <w:qFormat/>
    <w:uiPriority w:val="0"/>
    <w:rPr>
      <w:rFonts w:ascii="Arial" w:hAnsi="Arial"/>
      <w:bCs/>
      <w:sz w:val="24"/>
    </w:rPr>
  </w:style>
  <w:style w:type="paragraph" w:styleId="5">
    <w:name w:val="Body Text First Indent"/>
    <w:basedOn w:val="4"/>
    <w:next w:val="6"/>
    <w:unhideWhenUsed/>
    <w:qFormat/>
    <w:uiPriority w:val="0"/>
    <w:pPr>
      <w:spacing w:after="120"/>
      <w:ind w:firstLine="420" w:firstLineChars="100"/>
    </w:pPr>
    <w:rPr>
      <w:rFonts w:ascii="Calibri" w:hAnsi="Calibri"/>
      <w:sz w:val="21"/>
      <w:szCs w:val="22"/>
    </w:rPr>
  </w:style>
  <w:style w:type="paragraph" w:styleId="6">
    <w:name w:val="toc 6"/>
    <w:basedOn w:val="1"/>
    <w:next w:val="1"/>
    <w:qFormat/>
    <w:uiPriority w:val="0"/>
    <w:pPr>
      <w:ind w:left="1400"/>
    </w:pPr>
    <w:rPr>
      <w:rFonts w:ascii="Calibri"/>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Body Text First Indent 2"/>
    <w:basedOn w:val="3"/>
    <w:unhideWhenUsed/>
    <w:qFormat/>
    <w:uiPriority w:val="99"/>
    <w:pPr>
      <w:ind w:firstLine="420" w:firstLineChars="200"/>
    </w:pPr>
  </w:style>
  <w:style w:type="character" w:styleId="12">
    <w:name w:val="page number"/>
    <w:basedOn w:val="11"/>
    <w:qFormat/>
    <w:uiPriority w:val="0"/>
  </w:style>
  <w:style w:type="character" w:customStyle="1" w:styleId="13">
    <w:name w:val="font11"/>
    <w:basedOn w:val="11"/>
    <w:qFormat/>
    <w:uiPriority w:val="0"/>
    <w:rPr>
      <w:rFonts w:hint="eastAsia" w:ascii="宋体" w:hAnsi="宋体" w:eastAsia="宋体" w:cs="宋体"/>
      <w:color w:val="000000"/>
      <w:sz w:val="20"/>
      <w:szCs w:val="20"/>
      <w:u w:val="none"/>
    </w:rPr>
  </w:style>
  <w:style w:type="character" w:customStyle="1" w:styleId="14">
    <w:name w:val="font31"/>
    <w:basedOn w:val="11"/>
    <w:qFormat/>
    <w:uiPriority w:val="0"/>
    <w:rPr>
      <w:rFonts w:hint="eastAsia" w:ascii="宋体" w:hAnsi="宋体" w:eastAsia="宋体" w:cs="宋体"/>
      <w:b/>
      <w:bCs/>
      <w:color w:val="333333"/>
      <w:sz w:val="20"/>
      <w:szCs w:val="20"/>
      <w:u w:val="none"/>
    </w:rPr>
  </w:style>
  <w:style w:type="character" w:customStyle="1" w:styleId="15">
    <w:name w:val="font21"/>
    <w:basedOn w:val="11"/>
    <w:qFormat/>
    <w:uiPriority w:val="0"/>
    <w:rPr>
      <w:rFonts w:hint="eastAsia" w:ascii="宋体" w:hAnsi="宋体" w:eastAsia="宋体" w:cs="宋体"/>
      <w:b/>
      <w:bCs/>
      <w:color w:val="000000"/>
      <w:sz w:val="20"/>
      <w:szCs w:val="20"/>
      <w:u w:val="none"/>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26818</Words>
  <Characters>32854</Characters>
  <Lines>263</Lines>
  <Paragraphs>74</Paragraphs>
  <TotalTime>55</TotalTime>
  <ScaleCrop>false</ScaleCrop>
  <LinksUpToDate>false</LinksUpToDate>
  <CharactersWithSpaces>33472</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2023-08-14T02:17:00Z</dcterms:created>
  <dc:creator>Administrator.DESKTOP-J9RC4D4</dc:creator>
  <cp:lastModifiedBy>微软用户</cp:lastModifiedBy>
  <dcterms:modified xsi:type="dcterms:W3CDTF">2023-09-26T14:48:12Z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69AE93B4BDC0488F9232849104B957BE_13</vt:lpwstr>
  </property>
</Properties>
</file>