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平阳县怀溪镇2021年度松材线虫病防治项目</w:t>
            </w:r>
          </w:p>
          <w:p>
            <w:pPr>
              <w:wordWrap w:val="0"/>
              <w:rPr>
                <w:rFonts w:ascii="宋体" w:hAnsi="宋体" w:cs="宋体"/>
                <w:b/>
                <w:sz w:val="30"/>
                <w:szCs w:val="30"/>
              </w:rPr>
            </w:pPr>
            <w:r>
              <w:rPr>
                <w:rFonts w:hint="eastAsia" w:ascii="宋体" w:hAnsi="宋体" w:cs="宋体"/>
                <w:b/>
                <w:sz w:val="30"/>
                <w:szCs w:val="30"/>
              </w:rPr>
              <w:t xml:space="preserve">              招标编号：PYCG201203156 </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w:t>
            </w:r>
            <w:r>
              <w:rPr>
                <w:rFonts w:hint="eastAsia" w:ascii="宋体" w:hAnsi="宋体" w:cs="宋体"/>
                <w:b/>
                <w:sz w:val="30"/>
                <w:szCs w:val="30"/>
                <w:lang w:eastAsia="zh-CN"/>
              </w:rPr>
              <w:t>平阳县怀溪镇人民政府</w:t>
            </w: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联 系 人：</w:t>
            </w:r>
            <w:r>
              <w:rPr>
                <w:rFonts w:hint="eastAsia" w:ascii="宋体" w:hAnsi="宋体" w:cs="宋体"/>
                <w:b/>
                <w:sz w:val="30"/>
                <w:szCs w:val="30"/>
                <w:lang w:eastAsia="zh-CN"/>
              </w:rPr>
              <w:t>林先生</w:t>
            </w:r>
            <w:r>
              <w:rPr>
                <w:rFonts w:hint="eastAsia" w:ascii="宋体" w:hAnsi="宋体" w:cs="宋体"/>
                <w:b/>
                <w:sz w:val="30"/>
                <w:szCs w:val="30"/>
              </w:rPr>
              <w:t xml:space="preserve"> </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val="en-US" w:eastAsia="zh-CN"/>
              </w:rPr>
              <w:t>15857735678</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pStyle w:val="43"/>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b/>
                <w:sz w:val="30"/>
              </w:rPr>
            </w:pPr>
            <w:r>
              <w:rPr>
                <w:rFonts w:hint="eastAsia" w:ascii="宋体" w:hAnsi="宋体" w:cs="宋体"/>
                <w:b/>
                <w:sz w:val="30"/>
                <w:szCs w:val="30"/>
              </w:rPr>
              <w:t>采购机构：</w:t>
            </w:r>
            <w:r>
              <w:rPr>
                <w:rFonts w:hint="eastAsia"/>
                <w:b/>
                <w:sz w:val="30"/>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b/>
                <w:sz w:val="30"/>
              </w:rPr>
            </w:pPr>
            <w:r>
              <w:rPr>
                <w:b/>
                <w:sz w:val="30"/>
              </w:rPr>
              <w:t>联系电话：</w:t>
            </w:r>
            <w:r>
              <w:rPr>
                <w:rFonts w:hint="eastAsia"/>
                <w:b/>
                <w:sz w:val="30"/>
              </w:rPr>
              <w:t>0577-63112589、18058365298</w:t>
            </w:r>
          </w:p>
          <w:p>
            <w:pPr>
              <w:spacing w:line="440" w:lineRule="exact"/>
              <w:ind w:firstLine="2117" w:firstLineChars="703"/>
              <w:rPr>
                <w:rFonts w:ascii="宋体" w:hAnsi="宋体" w:cs="宋体"/>
                <w:b/>
                <w:sz w:val="30"/>
                <w:szCs w:val="30"/>
              </w:rPr>
            </w:pPr>
            <w:r>
              <w:rPr>
                <w:b/>
                <w:sz w:val="30"/>
                <w:szCs w:val="30"/>
              </w:rPr>
              <w:t>联系传真：</w:t>
            </w:r>
            <w:r>
              <w:rPr>
                <w:rFonts w:hint="eastAsia"/>
                <w:b/>
                <w:sz w:val="30"/>
                <w:szCs w:val="30"/>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7"/>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7"/>
              <w:ind w:left="0" w:leftChars="0"/>
              <w:jc w:val="center"/>
              <w:rPr>
                <w:rFonts w:ascii="宋体" w:hAnsi="宋体" w:cs="宋体"/>
                <w:b/>
                <w:color w:val="auto"/>
                <w:sz w:val="84"/>
              </w:rPr>
            </w:pPr>
            <w:r>
              <w:rPr>
                <w:rFonts w:hint="eastAsia" w:ascii="宋体" w:hAnsi="宋体" w:cs="宋体"/>
                <w:b/>
                <w:color w:val="auto"/>
                <w:sz w:val="30"/>
                <w:szCs w:val="30"/>
              </w:rPr>
              <w:t>二零二零年</w:t>
            </w:r>
            <w:r>
              <w:rPr>
                <w:rFonts w:hint="eastAsia" w:ascii="宋体" w:hAnsi="宋体" w:cs="宋体"/>
                <w:b/>
                <w:color w:val="auto"/>
                <w:sz w:val="30"/>
                <w:szCs w:val="30"/>
                <w:lang w:eastAsia="zh-CN"/>
              </w:rPr>
              <w:t>十</w:t>
            </w:r>
            <w:r>
              <w:rPr>
                <w:rFonts w:hint="eastAsia" w:ascii="宋体" w:hAnsi="宋体" w:cs="宋体"/>
                <w:b/>
                <w:color w:val="auto"/>
                <w:sz w:val="30"/>
                <w:szCs w:val="30"/>
                <w:lang w:val="en-US" w:eastAsia="zh-CN"/>
              </w:rPr>
              <w:t>一</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ascii="宋体" w:hAnsi="宋体" w:cs="宋体"/>
          <w:b/>
          <w:bCs/>
          <w:color w:val="000000"/>
          <w:kern w:val="0"/>
          <w:sz w:val="32"/>
          <w:szCs w:val="32"/>
        </w:rPr>
      </w:pPr>
      <w:r>
        <w:rPr>
          <w:rFonts w:hint="eastAsia" w:ascii="宋体" w:hAnsi="宋体" w:cs="宋体"/>
          <w:b/>
          <w:bCs/>
          <w:color w:val="000000"/>
          <w:kern w:val="0"/>
          <w:sz w:val="32"/>
          <w:szCs w:val="32"/>
        </w:rPr>
        <w:t>浙江亿邦建设咨询有限公司关于</w:t>
      </w:r>
      <w:r>
        <w:rPr>
          <w:rFonts w:hint="eastAsia" w:ascii="宋体" w:hAnsi="宋体" w:cs="宋体"/>
          <w:b/>
          <w:bCs/>
          <w:color w:val="000000"/>
          <w:kern w:val="0"/>
          <w:sz w:val="32"/>
          <w:szCs w:val="32"/>
          <w:lang w:eastAsia="zh-CN"/>
        </w:rPr>
        <w:t>平阳县怀溪镇2021年度松材线虫病防治项目</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ascii="宋体" w:hAnsi="宋体"/>
          <w:b/>
          <w:color w:val="000000"/>
          <w:sz w:val="30"/>
          <w:szCs w:val="30"/>
        </w:rPr>
      </w:pPr>
      <w:r>
        <w:rPr>
          <w:rFonts w:hint="eastAsia" w:ascii="宋体" w:hAnsi="宋体"/>
          <w:b/>
          <w:color w:val="000000"/>
          <w:sz w:val="30"/>
          <w:szCs w:val="30"/>
        </w:rPr>
        <w:t>公告日期：2020年</w:t>
      </w:r>
      <w:r>
        <w:rPr>
          <w:rFonts w:hint="eastAsia" w:ascii="宋体" w:hAnsi="宋体"/>
          <w:b/>
          <w:color w:val="000000"/>
          <w:sz w:val="30"/>
          <w:szCs w:val="30"/>
          <w:lang w:val="en-US" w:eastAsia="zh-CN"/>
        </w:rPr>
        <w:t>12</w:t>
      </w:r>
      <w:r>
        <w:rPr>
          <w:rFonts w:hint="eastAsia" w:ascii="宋体" w:hAnsi="宋体"/>
          <w:b/>
          <w:color w:val="000000"/>
          <w:sz w:val="30"/>
          <w:szCs w:val="30"/>
        </w:rPr>
        <w:t>月</w:t>
      </w:r>
      <w:r>
        <w:rPr>
          <w:rFonts w:hint="eastAsia" w:ascii="宋体" w:hAnsi="宋体"/>
          <w:b/>
          <w:color w:val="000000"/>
          <w:sz w:val="30"/>
          <w:szCs w:val="30"/>
          <w:lang w:val="en-US" w:eastAsia="zh-CN"/>
        </w:rPr>
        <w:t>04</w:t>
      </w:r>
      <w:r>
        <w:rPr>
          <w:rFonts w:hint="eastAsia" w:ascii="宋体" w:hAnsi="宋体"/>
          <w:b/>
          <w:color w:val="000000"/>
          <w:sz w:val="30"/>
          <w:szCs w:val="30"/>
        </w:rPr>
        <w:t>日</w:t>
      </w:r>
    </w:p>
    <w:p>
      <w:pPr>
        <w:pStyle w:val="24"/>
        <w:keepNext w:val="0"/>
        <w:keepLines w:val="0"/>
        <w:widowControl/>
        <w:suppressLineNumbers w:val="0"/>
        <w:spacing w:before="75" w:beforeAutospacing="0" w:after="75" w:afterAutospacing="0"/>
        <w:ind w:left="0" w:right="0"/>
      </w:pPr>
      <w:r>
        <w:rPr>
          <w:rFonts w:ascii="仿宋" w:hAnsi="仿宋" w:eastAsia="仿宋" w:cs="仿宋"/>
          <w:sz w:val="27"/>
          <w:szCs w:val="27"/>
        </w:rPr>
        <w:t>项目概况</w:t>
      </w:r>
      <w:r>
        <w:rPr>
          <w:rFonts w:hint="eastAsia" w:ascii="仿宋" w:hAnsi="仿宋" w:eastAsia="仿宋" w:cs="仿宋"/>
        </w:rPr>
        <w:t>                                                    </w:t>
      </w:r>
    </w:p>
    <w:p>
      <w:pPr>
        <w:pStyle w:val="24"/>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平阳县怀溪镇2021年度松材线虫病防治项目招标项目的潜在投标人应在</w:t>
      </w:r>
      <w:r>
        <w:rPr>
          <w:rFonts w:hint="eastAsia" w:ascii="仿宋" w:hAnsi="仿宋" w:eastAsia="仿宋" w:cs="仿宋"/>
          <w:sz w:val="27"/>
          <w:szCs w:val="27"/>
          <w:u w:val="none"/>
        </w:rPr>
        <w:t>潜在供应商登陆政采云平台，在线申请获取招标文件（进入“项目采购”应用，在获取招标文件菜单中选择项目，申请获取招标文件；仅需浏览招标文件的供应商可点击“游客，浏览招标文件”直接下载招标文件浏览）；</w:t>
      </w:r>
      <w:r>
        <w:rPr>
          <w:rFonts w:hint="eastAsia" w:ascii="仿宋" w:hAnsi="仿宋" w:eastAsia="仿宋" w:cs="仿宋"/>
          <w:sz w:val="27"/>
          <w:szCs w:val="27"/>
        </w:rPr>
        <w:t>获取（下载）招标文件，并于 2020年12月25日 09:30（北京时间）前递交（上传）投标文件。</w:t>
      </w:r>
      <w:r>
        <w:rPr>
          <w:rFonts w:hint="eastAsia" w:ascii="仿宋" w:hAnsi="仿宋" w:eastAsia="仿宋" w:cs="仿宋"/>
        </w:rPr>
        <w:t>                             </w:t>
      </w:r>
    </w:p>
    <w:p>
      <w:pPr>
        <w:pStyle w:val="24"/>
        <w:keepNext w:val="0"/>
        <w:keepLines w:val="0"/>
        <w:widowControl/>
        <w:suppressLineNumbers w:val="0"/>
        <w:spacing w:before="225" w:beforeAutospacing="0" w:after="225" w:afterAutospacing="0" w:line="300" w:lineRule="atLeast"/>
        <w:ind w:left="0" w:right="0"/>
      </w:pPr>
      <w:r>
        <w:rPr>
          <w:rStyle w:val="29"/>
          <w:rFonts w:ascii="黑体" w:hAnsi="宋体" w:eastAsia="黑体" w:cs="黑体"/>
          <w:sz w:val="27"/>
          <w:szCs w:val="27"/>
        </w:rPr>
        <w:t>二、</w:t>
      </w:r>
      <w:r>
        <w:rPr>
          <w:rStyle w:val="29"/>
          <w:rFonts w:hint="eastAsia" w:ascii="黑体" w:hAnsi="宋体" w:eastAsia="黑体" w:cs="黑体"/>
          <w:sz w:val="27"/>
          <w:szCs w:val="27"/>
          <w:lang w:eastAsia="zh-CN"/>
        </w:rPr>
        <w:t>项目基本情况</w:t>
      </w:r>
      <w:r>
        <w:rPr>
          <w:rStyle w:val="29"/>
          <w:rFonts w:ascii="黑体" w:hAnsi="宋体" w:eastAsia="黑体" w:cs="黑体"/>
          <w:sz w:val="27"/>
          <w:szCs w:val="27"/>
        </w:rPr>
        <w:t>：</w:t>
      </w:r>
    </w:p>
    <w:p>
      <w:pPr>
        <w:pStyle w:val="24"/>
        <w:keepNext w:val="0"/>
        <w:keepLines w:val="0"/>
        <w:widowControl/>
        <w:suppressLineNumbers w:val="0"/>
        <w:spacing w:before="255" w:beforeAutospacing="0" w:after="255" w:afterAutospacing="0" w:line="240" w:lineRule="auto"/>
        <w:ind w:left="0" w:right="0"/>
        <w:jc w:val="both"/>
        <w:rPr>
          <w:rFonts w:ascii="黑体" w:hAnsi="宋体" w:eastAsia="黑体" w:cs="黑体"/>
          <w:sz w:val="27"/>
          <w:szCs w:val="27"/>
        </w:rPr>
      </w:pPr>
      <w:bookmarkStart w:id="25" w:name="_GoBack"/>
      <w:bookmarkEnd w:id="25"/>
      <w:r>
        <w:rPr>
          <w:rStyle w:val="29"/>
          <w:rFonts w:ascii="黑体" w:hAnsi="宋体" w:eastAsia="黑体" w:cs="黑体"/>
          <w:sz w:val="27"/>
          <w:szCs w:val="27"/>
        </w:rPr>
        <w:t> </w:t>
      </w:r>
      <w:r>
        <w:rPr>
          <w:rFonts w:ascii="黑体" w:hAnsi="宋体" w:eastAsia="黑体" w:cs="黑体"/>
          <w:sz w:val="27"/>
          <w:szCs w:val="27"/>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项目编号：PYCG201203156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项目名称：平阳县怀溪镇2021年度松材线虫病防治项目</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预算金额（元）：2856660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最高限价（元）：2856660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采购需求：</w:t>
      </w:r>
    </w:p>
    <w:p>
      <w:pPr>
        <w:pStyle w:val="24"/>
        <w:keepNext w:val="0"/>
        <w:keepLines w:val="0"/>
        <w:widowControl/>
        <w:suppressLineNumbers w:val="0"/>
        <w:spacing w:before="75" w:beforeAutospacing="0" w:after="75" w:afterAutospacing="0" w:line="315" w:lineRule="atLeast"/>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标项名称: 平阳县怀溪镇2021年度松材线虫病防治项目 </w:t>
      </w:r>
      <w:r>
        <w:rPr>
          <w:rFonts w:hint="eastAsia" w:ascii="仿宋" w:hAnsi="仿宋" w:eastAsia="仿宋" w:cs="仿宋"/>
          <w:sz w:val="27"/>
          <w:szCs w:val="27"/>
        </w:rPr>
        <w:br w:type="textWrapping"/>
      </w:r>
      <w:r>
        <w:rPr>
          <w:rFonts w:hint="eastAsia" w:ascii="仿宋" w:hAnsi="仿宋" w:eastAsia="仿宋" w:cs="仿宋"/>
          <w:sz w:val="27"/>
          <w:szCs w:val="27"/>
        </w:rPr>
        <w:t>    数量: 不限  </w:t>
      </w:r>
      <w:r>
        <w:rPr>
          <w:rFonts w:hint="eastAsia" w:ascii="仿宋" w:hAnsi="仿宋" w:eastAsia="仿宋" w:cs="仿宋"/>
          <w:sz w:val="27"/>
          <w:szCs w:val="27"/>
        </w:rPr>
        <w:br w:type="textWrapping"/>
      </w:r>
      <w:r>
        <w:rPr>
          <w:rFonts w:hint="eastAsia" w:ascii="仿宋" w:hAnsi="仿宋" w:eastAsia="仿宋" w:cs="仿宋"/>
          <w:sz w:val="27"/>
          <w:szCs w:val="27"/>
        </w:rPr>
        <w:t>    预算金额（元）: 2856660 </w:t>
      </w:r>
      <w:r>
        <w:rPr>
          <w:rFonts w:hint="eastAsia" w:ascii="仿宋" w:hAnsi="仿宋" w:eastAsia="仿宋" w:cs="仿宋"/>
          <w:sz w:val="27"/>
          <w:szCs w:val="27"/>
        </w:rPr>
        <w:br w:type="textWrapping"/>
      </w:r>
      <w:r>
        <w:rPr>
          <w:rFonts w:hint="eastAsia" w:ascii="仿宋" w:hAnsi="仿宋" w:eastAsia="仿宋" w:cs="仿宋"/>
          <w:sz w:val="27"/>
          <w:szCs w:val="27"/>
        </w:rPr>
        <w:t>    简要规格描述或项目基本概况介绍、用途：详见采购文件 </w:t>
      </w:r>
      <w:r>
        <w:rPr>
          <w:rFonts w:hint="eastAsia" w:ascii="仿宋" w:hAnsi="仿宋" w:eastAsia="仿宋" w:cs="仿宋"/>
          <w:sz w:val="27"/>
          <w:szCs w:val="27"/>
        </w:rPr>
        <w:br w:type="textWrapping"/>
      </w:r>
      <w:r>
        <w:rPr>
          <w:rFonts w:hint="eastAsia" w:ascii="仿宋" w:hAnsi="仿宋" w:eastAsia="仿宋" w:cs="仿宋"/>
          <w:sz w:val="27"/>
          <w:szCs w:val="27"/>
        </w:rPr>
        <w:t>    备注：</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合同履约期限：详见采购文件</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本项目（否）接受联合体投标。</w:t>
      </w:r>
    </w:p>
    <w:p>
      <w:pPr>
        <w:pStyle w:val="24"/>
        <w:keepNext w:val="0"/>
        <w:keepLines w:val="0"/>
        <w:widowControl/>
        <w:suppressLineNumbers w:val="0"/>
        <w:spacing w:before="225" w:beforeAutospacing="0" w:after="225" w:afterAutospacing="0" w:line="300" w:lineRule="atLeast"/>
        <w:ind w:left="0" w:right="0"/>
      </w:pPr>
      <w:r>
        <w:rPr>
          <w:rStyle w:val="29"/>
          <w:rFonts w:ascii="黑体" w:hAnsi="宋体" w:eastAsia="黑体" w:cs="黑体"/>
          <w:sz w:val="27"/>
          <w:szCs w:val="27"/>
        </w:rPr>
        <w:t>二、申请人的资格要求：</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2.落实政府采购政策需满足的资格要求：无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3.本项目的特定资格要求：无 </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29"/>
          <w:rFonts w:ascii="黑体" w:hAnsi="宋体" w:eastAsia="黑体" w:cs="黑体"/>
          <w:sz w:val="27"/>
          <w:szCs w:val="27"/>
        </w:rPr>
        <w:t>三、获取招标文件</w:t>
      </w:r>
      <w:r>
        <w:rPr>
          <w:rFonts w:ascii="黑体" w:hAnsi="宋体" w:eastAsia="黑体" w:cs="黑体"/>
          <w:sz w:val="27"/>
          <w:szCs w:val="27"/>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时间：/至2020年12月25日 ，每天上午00:00至12:00 ，下午12:00至23:59（北京时间，线上获取法定节假日均可，线下获取文件法定节假日除外）</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潜在供应商登陆政采云平台，在线申请获取招标文件（进入“项目采购”应用，在获取招标文件菜单中选择项目，申请获取招标文件；仅需浏览招标文件的供应商可点击“游客，浏览招标文件”直接下载招标文件浏览）；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方式：潜在供应商登陆政采云平台，在线申请获取招标文件（进入“项目采购”应用，在获取招标文件菜单中选择项目，申请获取招标文件；仅需浏览招标文件的供应商可点击“游客，浏览招标文件”直接下载招标文件浏览）；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售价（元）：0</w:t>
      </w:r>
      <w:r>
        <w:rPr>
          <w:rFonts w:hint="eastAsia" w:ascii="仿宋" w:hAnsi="仿宋" w:eastAsia="仿宋" w:cs="仿宋"/>
        </w:rPr>
        <w:t> </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29"/>
          <w:rFonts w:ascii="黑体" w:hAnsi="宋体" w:eastAsia="黑体" w:cs="黑体"/>
          <w:sz w:val="27"/>
          <w:szCs w:val="27"/>
        </w:rPr>
        <w:t>四、提交投标文件截止时间、开标时间和地点</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 提交投标文件截止时间：2020年12月25日 09:30（北京时间）</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 投标地点（网址）：政府采购云平台在线投标，投标供应商无须前往评审现场。</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u w:val="none"/>
        </w:rPr>
        <w:t>    开标时间：2020年12月25日 09:30</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u w:val="none"/>
        </w:rPr>
        <w:t>    开标地点（网址）：政府采购云平台在线投标，投标供应商无须前往评审现场</w:t>
      </w:r>
      <w:r>
        <w:rPr>
          <w:rFonts w:hint="eastAsia" w:ascii="仿宋" w:hAnsi="仿宋" w:eastAsia="仿宋" w:cs="仿宋"/>
        </w:rPr>
        <w:t>  </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31"/>
          <w:szCs w:val="31"/>
        </w:rPr>
      </w:pPr>
      <w:r>
        <w:rPr>
          <w:rStyle w:val="29"/>
          <w:rFonts w:ascii="黑体" w:hAnsi="宋体" w:eastAsia="黑体" w:cs="黑体"/>
          <w:sz w:val="27"/>
          <w:szCs w:val="27"/>
        </w:rPr>
        <w:t>五、公告期限</w:t>
      </w:r>
      <w:r>
        <w:rPr>
          <w:rFonts w:ascii="黑体" w:hAnsi="宋体" w:eastAsia="黑体" w:cs="黑体"/>
          <w:sz w:val="31"/>
          <w:szCs w:val="31"/>
        </w:rPr>
        <w:t> </w:t>
      </w:r>
    </w:p>
    <w:p>
      <w:pPr>
        <w:pStyle w:val="24"/>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自本公告发布之日起5个工作日。</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29"/>
          <w:rFonts w:ascii="黑体" w:hAnsi="宋体" w:eastAsia="黑体" w:cs="黑体"/>
          <w:sz w:val="27"/>
          <w:szCs w:val="27"/>
        </w:rPr>
        <w:t>六、其他补充事宜</w:t>
      </w:r>
    </w:p>
    <w:p>
      <w:pPr>
        <w:pStyle w:val="24"/>
        <w:keepNext w:val="0"/>
        <w:keepLines w:val="0"/>
        <w:widowControl/>
        <w:suppressLineNumbers w:val="0"/>
        <w:spacing w:before="75" w:beforeAutospacing="0" w:after="75" w:afterAutospacing="0" w:line="315" w:lineRule="atLeast"/>
        <w:ind w:left="0" w:right="0"/>
      </w:pPr>
      <w:r>
        <w:rPr>
          <w:rFonts w:hint="eastAsia" w:ascii="仿宋" w:hAnsi="仿宋" w:eastAsia="仿宋" w:cs="仿宋"/>
          <w:sz w:val="27"/>
          <w:szCs w:val="27"/>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仿宋" w:hAnsi="仿宋" w:eastAsia="仿宋" w:cs="仿宋"/>
          <w:sz w:val="27"/>
          <w:szCs w:val="27"/>
        </w:rPr>
        <w:br w:type="textWrapping"/>
      </w:r>
      <w:r>
        <w:rPr>
          <w:rFonts w:hint="eastAsia" w:ascii="仿宋" w:hAnsi="仿宋" w:eastAsia="仿宋" w:cs="仿宋"/>
          <w:sz w:val="27"/>
          <w:szCs w:val="27"/>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24"/>
        <w:keepNext w:val="0"/>
        <w:keepLines w:val="0"/>
        <w:widowControl/>
        <w:suppressLineNumbers w:val="0"/>
        <w:spacing w:before="255" w:beforeAutospacing="0" w:after="255" w:afterAutospacing="0" w:line="480" w:lineRule="atLeast"/>
        <w:ind w:left="0" w:right="0"/>
        <w:jc w:val="both"/>
        <w:rPr>
          <w:rFonts w:ascii="黑体" w:hAnsi="宋体" w:eastAsia="黑体" w:cs="黑体"/>
          <w:sz w:val="31"/>
          <w:szCs w:val="31"/>
        </w:rPr>
      </w:pPr>
      <w:r>
        <w:rPr>
          <w:rStyle w:val="29"/>
          <w:rFonts w:ascii="黑体" w:hAnsi="宋体" w:eastAsia="黑体" w:cs="黑体"/>
          <w:sz w:val="27"/>
          <w:szCs w:val="27"/>
        </w:rPr>
        <w:t>七、对本次采购提出询问、质疑、投诉，请按以下方式联系</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1.采购人信息</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名    称：平阳县怀溪镇人民政府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    址：怀溪镇人民政府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传    真：/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项目联系人（询问）：林先生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项目联系方式（询问）：15857735678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质疑联系人：330326300701fp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质疑联系方式：0577-58113572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名    称：浙江亿邦建设咨询有限公司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    址：温州市平阳县鳌江镇（兴鳌中路）家电城B区4幢三楼西三间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传    真：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项目联系人（询问）：蔡俊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项目联系方式（询问）：18058365298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质疑联系人：卢丽娜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质疑联系方式：0577-61511617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名    称：平阳县财政局政府采购监督管理科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    址：平阳县昆阳镇人民路373号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传    真：/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联系人 ：陈先生 </w:t>
      </w:r>
      <w:r>
        <w:rPr>
          <w:rFonts w:hint="eastAsia" w:ascii="仿宋" w:hAnsi="仿宋" w:eastAsia="仿宋" w:cs="仿宋"/>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监督投诉电话：0577-63889763 </w:t>
      </w:r>
      <w:r>
        <w:rPr>
          <w:rFonts w:hint="eastAsia" w:ascii="仿宋" w:hAnsi="仿宋" w:eastAsia="仿宋" w:cs="仿宋"/>
        </w:rPr>
        <w:t>          </w:t>
      </w:r>
      <w:r>
        <w:rPr>
          <w:rFonts w:hint="eastAsia" w:ascii="仿宋" w:hAnsi="仿宋" w:eastAsia="仿宋" w:cs="仿宋"/>
        </w:rPr>
        <w:br w:type="textWrapping"/>
      </w:r>
      <w:r>
        <w:rPr>
          <w:rFonts w:hint="eastAsia" w:ascii="仿宋" w:hAnsi="仿宋" w:eastAsia="仿宋" w:cs="仿宋"/>
        </w:rPr>
        <w:t>         </w:t>
      </w:r>
    </w:p>
    <w:p>
      <w:pPr>
        <w:pStyle w:val="24"/>
        <w:keepNext w:val="0"/>
        <w:keepLines w:val="0"/>
        <w:widowControl/>
        <w:suppressLineNumbers w:val="0"/>
        <w:spacing w:before="75" w:beforeAutospacing="0" w:after="75" w:afterAutospacing="0"/>
        <w:ind w:left="0" w:right="0"/>
      </w:pPr>
    </w:p>
    <w:p>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若对项目采购电子交易系统操作有疑问，可登录政采云（https://www.zcygov.cn/），点击右侧咨询小采，获取采小蜜智能服务管家帮助，或拨打政采云服务热线400-881-7190获取热线服务帮助。       </w:t>
      </w:r>
    </w:p>
    <w:p>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CA问题联系电话（人工）：汇信CA 400-888-4636；天谷CA 400-087-8198。</w:t>
      </w:r>
    </w:p>
    <w:p>
      <w:pPr>
        <w:pStyle w:val="24"/>
        <w:keepNext w:val="0"/>
        <w:keepLines w:val="0"/>
        <w:widowControl/>
        <w:suppressLineNumbers w:val="0"/>
        <w:spacing w:before="75" w:beforeAutospacing="0" w:after="75" w:afterAutospacing="0"/>
        <w:ind w:left="0" w:right="0"/>
      </w:pP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24"/>
        <w:keepNext w:val="0"/>
        <w:keepLines w:val="0"/>
        <w:widowControl/>
        <w:suppressLineNumbers w:val="0"/>
        <w:spacing w:before="75" w:beforeAutospacing="0" w:after="75" w:afterAutospacing="0"/>
        <w:ind w:left="0" w:right="0"/>
      </w:pPr>
    </w:p>
    <w:p>
      <w:pPr>
        <w:pStyle w:val="24"/>
        <w:keepNext w:val="0"/>
        <w:keepLines w:val="0"/>
        <w:widowControl/>
        <w:suppressLineNumbers w:val="0"/>
        <w:spacing w:before="75" w:beforeAutospacing="0" w:after="75" w:afterAutospacing="0"/>
        <w:ind w:left="0" w:right="0"/>
      </w:pPr>
    </w:p>
    <w:p>
      <w:pPr>
        <w:pStyle w:val="24"/>
        <w:keepNext w:val="0"/>
        <w:keepLines w:val="0"/>
        <w:widowControl/>
        <w:suppressLineNumbers w:val="0"/>
        <w:spacing w:before="75" w:beforeAutospacing="0" w:after="75" w:afterAutospacing="0"/>
        <w:ind w:left="0" w:right="0"/>
      </w:pP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24"/>
        <w:keepNext w:val="0"/>
        <w:keepLines w:val="0"/>
        <w:widowControl/>
        <w:suppressLineNumbers w:val="0"/>
        <w:spacing w:before="75" w:beforeAutospacing="0" w:after="75" w:afterAutospacing="0"/>
        <w:ind w:left="0" w:right="0"/>
      </w:pPr>
    </w:p>
    <w:p>
      <w:pPr>
        <w:pStyle w:val="24"/>
        <w:keepNext w:val="0"/>
        <w:keepLines w:val="0"/>
        <w:widowControl/>
        <w:suppressLineNumbers w:val="0"/>
        <w:spacing w:before="75" w:beforeAutospacing="0" w:after="75" w:afterAutospacing="0"/>
        <w:ind w:left="0" w:right="0"/>
      </w:pPr>
    </w:p>
    <w:p>
      <w:pPr>
        <w:widowControl/>
        <w:shd w:val="clear" w:color="auto" w:fill="FFFFFF"/>
        <w:ind w:firstLine="440"/>
        <w:jc w:val="left"/>
        <w:rPr>
          <w:rFonts w:ascii="宋体" w:hAnsi="宋体" w:cs="宋体"/>
          <w:color w:val="333333"/>
          <w:sz w:val="18"/>
          <w:szCs w:val="18"/>
        </w:rPr>
      </w:pPr>
      <w:r>
        <w:rPr>
          <w:rFonts w:hint="eastAsia" w:ascii="宋体" w:hAnsi="宋体" w:cs="宋体"/>
          <w:color w:val="333333"/>
          <w:kern w:val="0"/>
          <w:sz w:val="22"/>
          <w:szCs w:val="22"/>
          <w:shd w:val="clear" w:color="auto" w:fill="FFFFFF"/>
          <w:lang w:bidi="ar"/>
        </w:rPr>
        <w:t> </w:t>
      </w:r>
    </w:p>
    <w:p>
      <w:pPr>
        <w:widowControl/>
        <w:shd w:val="clear" w:color="auto" w:fill="FFFFFF"/>
        <w:ind w:firstLine="482"/>
        <w:jc w:val="left"/>
        <w:rPr>
          <w:rFonts w:ascii="宋体" w:hAnsi="宋体" w:cs="宋体"/>
          <w:color w:val="333333"/>
          <w:sz w:val="18"/>
          <w:szCs w:val="18"/>
        </w:rPr>
      </w:pPr>
      <w:r>
        <w:rPr>
          <w:rFonts w:hint="eastAsia" w:ascii="宋体" w:hAnsi="宋体" w:cs="宋体"/>
          <w:b/>
          <w:color w:val="333333"/>
          <w:kern w:val="0"/>
          <w:sz w:val="24"/>
          <w:shd w:val="clear" w:color="auto" w:fill="FFFFFF"/>
          <w:lang w:bidi="ar"/>
        </w:rPr>
        <w:t> </w:t>
      </w:r>
    </w:p>
    <w:p>
      <w:pPr>
        <w:jc w:val="left"/>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sectPr>
          <w:footerReference r:id="rId3" w:type="default"/>
          <w:pgSz w:w="11906" w:h="16838"/>
          <w:pgMar w:top="1440" w:right="1080" w:bottom="1440" w:left="1080" w:header="851" w:footer="992" w:gutter="0"/>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rPr>
        <w:t>浙江亿邦建设咨询有限公司对</w:t>
      </w:r>
      <w:r>
        <w:rPr>
          <w:rFonts w:hint="eastAsia" w:ascii="宋体" w:hAnsi="宋体" w:cs="宋体"/>
          <w:kern w:val="0"/>
          <w:sz w:val="22"/>
          <w:szCs w:val="22"/>
          <w:lang w:eastAsia="zh-CN"/>
        </w:rPr>
        <w:t>平阳县怀溪镇2021年度松材线虫病防治项目</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6"/>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平阳县怀溪镇2021年度松材线虫病防治项目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项目编号</w:t>
            </w:r>
          </w:p>
        </w:tc>
        <w:tc>
          <w:tcPr>
            <w:tcW w:w="7776" w:type="dxa"/>
            <w:vAlign w:val="center"/>
          </w:tcPr>
          <w:p>
            <w:pPr>
              <w:rPr>
                <w:rFonts w:hint="eastAsia" w:ascii="宋体" w:hAnsi="宋体" w:eastAsia="宋体" w:cs="宋体"/>
                <w:sz w:val="22"/>
                <w:lang w:eastAsia="zh-CN"/>
              </w:rPr>
            </w:pPr>
            <w:r>
              <w:rPr>
                <w:rFonts w:hint="eastAsia" w:ascii="宋体" w:hAnsi="宋体" w:eastAsia="宋体" w:cs="宋体"/>
                <w:sz w:val="22"/>
                <w:lang w:eastAsia="zh-CN"/>
              </w:rPr>
              <w:t>PYCG201203156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szCs w:val="22"/>
              </w:rPr>
            </w:pPr>
            <w:r>
              <w:rPr>
                <w:rFonts w:hint="eastAsia" w:ascii="宋体" w:hAnsi="宋体" w:cs="宋体"/>
                <w:sz w:val="22"/>
                <w:szCs w:val="22"/>
              </w:rPr>
              <w:t>采购人</w:t>
            </w:r>
          </w:p>
        </w:tc>
        <w:tc>
          <w:tcPr>
            <w:tcW w:w="7776" w:type="dxa"/>
            <w:vAlign w:val="center"/>
          </w:tcPr>
          <w:p>
            <w:pPr>
              <w:rPr>
                <w:sz w:val="22"/>
                <w:szCs w:val="22"/>
              </w:rPr>
            </w:pPr>
            <w:r>
              <w:rPr>
                <w:rFonts w:hint="eastAsia"/>
                <w:sz w:val="22"/>
                <w:szCs w:val="22"/>
              </w:rPr>
              <w:t>名称：</w:t>
            </w:r>
            <w:r>
              <w:rPr>
                <w:rFonts w:hint="eastAsia"/>
                <w:sz w:val="22"/>
                <w:szCs w:val="22"/>
                <w:lang w:eastAsia="zh-CN"/>
              </w:rPr>
              <w:t>平阳县怀溪镇人民政府</w:t>
            </w:r>
            <w:r>
              <w:rPr>
                <w:rFonts w:hint="eastAsia"/>
                <w:sz w:val="22"/>
                <w:szCs w:val="22"/>
              </w:rPr>
              <w:t xml:space="preserve"> </w:t>
            </w:r>
          </w:p>
          <w:p>
            <w:pPr>
              <w:rPr>
                <w:rFonts w:hint="eastAsia" w:eastAsia="宋体"/>
                <w:sz w:val="22"/>
                <w:szCs w:val="22"/>
                <w:lang w:eastAsia="zh-CN"/>
              </w:rPr>
            </w:pPr>
            <w:r>
              <w:rPr>
                <w:rFonts w:hint="eastAsia"/>
                <w:sz w:val="22"/>
                <w:szCs w:val="22"/>
              </w:rPr>
              <w:t>地址：</w:t>
            </w:r>
            <w:r>
              <w:rPr>
                <w:rFonts w:hint="eastAsia"/>
                <w:sz w:val="22"/>
                <w:szCs w:val="22"/>
                <w:lang w:eastAsia="zh-CN"/>
              </w:rPr>
              <w:t>平阳县怀溪镇平文路</w:t>
            </w:r>
          </w:p>
          <w:p>
            <w:pPr>
              <w:rPr>
                <w:rFonts w:hint="eastAsia"/>
                <w:sz w:val="22"/>
                <w:szCs w:val="22"/>
                <w:lang w:eastAsia="zh-CN"/>
              </w:rPr>
            </w:pPr>
            <w:r>
              <w:rPr>
                <w:rFonts w:hint="eastAsia"/>
                <w:sz w:val="22"/>
                <w:szCs w:val="22"/>
              </w:rPr>
              <w:t>联 系 人</w:t>
            </w:r>
            <w:r>
              <w:rPr>
                <w:rFonts w:hint="eastAsia"/>
                <w:sz w:val="22"/>
                <w:szCs w:val="22"/>
                <w:lang w:eastAsia="zh-CN"/>
              </w:rPr>
              <w:t xml:space="preserve">：林先生 </w:t>
            </w:r>
          </w:p>
          <w:p>
            <w:pPr>
              <w:rPr>
                <w:sz w:val="22"/>
                <w:szCs w:val="22"/>
              </w:rPr>
            </w:pPr>
            <w:r>
              <w:rPr>
                <w:rFonts w:hint="eastAsia"/>
                <w:sz w:val="22"/>
                <w:szCs w:val="22"/>
                <w:lang w:eastAsia="zh-CN"/>
              </w:rPr>
              <w:t xml:space="preserve">联系电话：15857735678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ascii="宋体" w:hAnsi="宋体" w:cs="宋体"/>
                <w:sz w:val="22"/>
              </w:rPr>
            </w:pPr>
            <w:r>
              <w:rPr>
                <w:rFonts w:hint="eastAsia" w:ascii="宋体" w:hAnsi="宋体" w:cs="宋体"/>
                <w:sz w:val="22"/>
              </w:rPr>
              <w:t>名称：浙江亿邦建设咨询有限公司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adjustRightInd w:val="0"/>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2"/>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rPr>
              <w:t>平阳县鳌江镇家电城B区4幢三楼西三间（浙江亿邦建设咨询有限公司）</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联系电话：0577-63112589、18058365298</w:t>
            </w:r>
            <w:r>
              <w:rPr>
                <w:rFonts w:hint="eastAsia"/>
                <w:sz w:val="22"/>
                <w:szCs w:val="22"/>
              </w:rPr>
              <w:t>）（或电子邮件形式递交数据电文形式的“备份投标文件”。电子邮箱：214381086@qq.com））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95"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“备份投标文件”（一份）（或电子邮件形式递交数据电文形式的“备份投标文件”。电子邮箱：214381086@qq.com）；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183"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（1）开标后，采购组织机构将向各投标供应商发出“电子加密投标文件”的解密通知，各投标供应商代表应当在接到解密通知后30分钟内自行完成“电子加密投标文件”的在线解密。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具体详见采购文件，中标供应商提供的样品将由采购人保管、封存并作为履约验收的参考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需向采购人提供合同总价5％的履约保证金（可采用保函方式提交）。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投标截止时间</w:t>
            </w:r>
          </w:p>
        </w:tc>
        <w:tc>
          <w:tcPr>
            <w:tcW w:w="7776" w:type="dxa"/>
            <w:vAlign w:val="center"/>
          </w:tcPr>
          <w:p>
            <w:pPr>
              <w:rPr>
                <w:rFonts w:ascii="宋体" w:hAnsi="宋体" w:cs="宋体"/>
                <w:sz w:val="22"/>
              </w:rPr>
            </w:pPr>
            <w:r>
              <w:rPr>
                <w:rFonts w:hint="eastAsia" w:ascii="宋体" w:hAnsi="宋体" w:cs="宋体"/>
                <w:color w:val="auto"/>
                <w:sz w:val="22"/>
                <w:szCs w:val="22"/>
                <w:shd w:val="clear" w:color="auto" w:fill="FFFFFF"/>
              </w:rPr>
              <w:t>2020年</w:t>
            </w:r>
            <w:r>
              <w:rPr>
                <w:rFonts w:hint="eastAsia" w:ascii="宋体" w:hAnsi="宋体" w:cs="宋体"/>
                <w:color w:val="auto"/>
                <w:sz w:val="22"/>
                <w:szCs w:val="22"/>
                <w:shd w:val="clear" w:color="auto" w:fill="FFFFFF"/>
                <w:lang w:val="en-US" w:eastAsia="zh-CN"/>
              </w:rPr>
              <w:t>12</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25</w:t>
            </w:r>
            <w:r>
              <w:rPr>
                <w:rFonts w:hint="eastAsia" w:ascii="宋体" w:hAnsi="宋体" w:cs="宋体"/>
                <w:color w:val="auto"/>
                <w:sz w:val="22"/>
                <w:szCs w:val="22"/>
                <w:shd w:val="clear" w:color="auto" w:fill="FFFFFF"/>
              </w:rPr>
              <w:t>日上午</w:t>
            </w:r>
            <w:r>
              <w:rPr>
                <w:rFonts w:hint="eastAsia" w:ascii="宋体" w:hAnsi="宋体" w:cs="宋体"/>
                <w:color w:val="auto"/>
                <w:sz w:val="22"/>
                <w:szCs w:val="22"/>
                <w:shd w:val="clear" w:color="auto" w:fill="FFFFFF"/>
                <w:lang w:val="en-US" w:eastAsia="zh-CN"/>
              </w:rPr>
              <w:t>9:30</w:t>
            </w:r>
            <w:r>
              <w:rPr>
                <w:rFonts w:hint="eastAsia" w:ascii="宋体" w:hAnsi="宋体" w:cs="宋体"/>
                <w:color w:val="auto"/>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开标时间</w:t>
            </w:r>
          </w:p>
          <w:p>
            <w:pPr>
              <w:jc w:val="center"/>
              <w:rPr>
                <w:rFonts w:ascii="宋体" w:hAnsi="宋体" w:cs="宋体"/>
                <w:sz w:val="22"/>
              </w:rPr>
            </w:pPr>
            <w:r>
              <w:rPr>
                <w:rFonts w:hint="eastAsia" w:ascii="宋体" w:hAnsi="宋体" w:cs="宋体"/>
                <w:sz w:val="22"/>
              </w:rPr>
              <w:t>开标地点</w:t>
            </w:r>
          </w:p>
        </w:tc>
        <w:tc>
          <w:tcPr>
            <w:tcW w:w="7776" w:type="dxa"/>
            <w:vAlign w:val="center"/>
          </w:tcPr>
          <w:p>
            <w:pPr>
              <w:rPr>
                <w:rFonts w:ascii="宋体" w:hAnsi="宋体" w:cs="宋体"/>
                <w:kern w:val="0"/>
                <w:sz w:val="22"/>
                <w:szCs w:val="22"/>
              </w:rPr>
            </w:pPr>
            <w:r>
              <w:rPr>
                <w:rFonts w:hint="eastAsia" w:ascii="宋体" w:hAnsi="宋体" w:cs="宋体"/>
                <w:kern w:val="0"/>
                <w:sz w:val="22"/>
                <w:szCs w:val="22"/>
              </w:rPr>
              <w:t>开标时间：</w:t>
            </w:r>
            <w:r>
              <w:rPr>
                <w:rFonts w:hint="eastAsia" w:ascii="宋体" w:hAnsi="宋体" w:cs="宋体"/>
                <w:sz w:val="22"/>
                <w:szCs w:val="22"/>
                <w:shd w:val="clear" w:color="auto" w:fill="FFFFFF"/>
              </w:rPr>
              <w:t>2020年</w:t>
            </w:r>
            <w:r>
              <w:rPr>
                <w:rFonts w:hint="eastAsia" w:ascii="宋体" w:hAnsi="宋体" w:cs="宋体"/>
                <w:sz w:val="22"/>
                <w:szCs w:val="22"/>
                <w:shd w:val="clear" w:color="auto" w:fill="FFFFFF"/>
                <w:lang w:val="en-US" w:eastAsia="zh-CN"/>
              </w:rPr>
              <w:t>11</w:t>
            </w:r>
            <w:r>
              <w:rPr>
                <w:rFonts w:hint="eastAsia" w:ascii="宋体" w:hAnsi="宋体" w:cs="宋体"/>
                <w:sz w:val="22"/>
                <w:szCs w:val="22"/>
                <w:shd w:val="clear" w:color="auto" w:fill="FFFFFF"/>
              </w:rPr>
              <w:t>月</w:t>
            </w:r>
            <w:r>
              <w:rPr>
                <w:rFonts w:hint="eastAsia" w:ascii="宋体" w:hAnsi="宋体" w:cs="宋体"/>
                <w:sz w:val="22"/>
                <w:szCs w:val="22"/>
                <w:shd w:val="clear" w:color="auto" w:fill="FFFFFF"/>
                <w:lang w:val="en-US" w:eastAsia="zh-CN"/>
              </w:rPr>
              <w:t>13</w:t>
            </w:r>
            <w:r>
              <w:rPr>
                <w:rFonts w:hint="eastAsia" w:ascii="宋体" w:hAnsi="宋体" w:cs="宋体"/>
                <w:sz w:val="22"/>
                <w:szCs w:val="22"/>
                <w:shd w:val="clear" w:color="auto" w:fill="FFFFFF"/>
              </w:rPr>
              <w:t>日上午</w:t>
            </w:r>
            <w:r>
              <w:rPr>
                <w:rFonts w:hint="eastAsia" w:ascii="宋体" w:hAnsi="宋体" w:cs="宋体"/>
                <w:sz w:val="22"/>
                <w:szCs w:val="22"/>
                <w:shd w:val="clear" w:color="auto" w:fill="FFFFFF"/>
                <w:lang w:val="en-US" w:eastAsia="zh-CN"/>
              </w:rPr>
              <w:t>9:30</w:t>
            </w:r>
            <w:r>
              <w:rPr>
                <w:rFonts w:hint="eastAsia" w:ascii="宋体" w:hAnsi="宋体" w:cs="宋体"/>
                <w:sz w:val="22"/>
                <w:szCs w:val="22"/>
                <w:shd w:val="clear" w:color="auto" w:fill="FFFFFF"/>
              </w:rPr>
              <w:t>正</w:t>
            </w:r>
            <w:r>
              <w:rPr>
                <w:rFonts w:hint="eastAsia" w:ascii="宋体" w:hAnsi="宋体" w:cs="宋体"/>
                <w:kern w:val="0"/>
                <w:sz w:val="22"/>
                <w:szCs w:val="22"/>
              </w:rPr>
              <w:t>(北京时间)</w:t>
            </w:r>
          </w:p>
          <w:p>
            <w:pPr>
              <w:rPr>
                <w:rFonts w:ascii="宋体" w:hAnsi="宋体" w:cs="宋体"/>
                <w:sz w:val="22"/>
              </w:rPr>
            </w:pPr>
            <w:r>
              <w:rPr>
                <w:rFonts w:hint="eastAsia" w:ascii="宋体" w:hAnsi="宋体" w:cs="宋体"/>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代理机构名称：浙江亿邦建设咨询有限公司</w:t>
            </w:r>
            <w:r>
              <w:rPr>
                <w:rFonts w:hint="eastAsia"/>
                <w:sz w:val="22"/>
                <w:szCs w:val="22"/>
              </w:rPr>
              <w:tab/>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snapToGrid w:val="0"/>
              <w:spacing w:line="320" w:lineRule="exact"/>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rFonts w:hint="eastAsia" w:eastAsia="宋体"/>
                <w:sz w:val="22"/>
                <w:szCs w:val="22"/>
                <w:lang w:eastAsia="zh-CN"/>
              </w:rPr>
            </w:pPr>
            <w:r>
              <w:rPr>
                <w:sz w:val="22"/>
                <w:szCs w:val="22"/>
              </w:rPr>
              <w:t>联系人：陈</w:t>
            </w:r>
            <w:r>
              <w:rPr>
                <w:rFonts w:hint="eastAsia"/>
                <w:sz w:val="22"/>
                <w:szCs w:val="22"/>
                <w:lang w:val="en-US" w:eastAsia="zh-CN"/>
              </w:rPr>
              <w:t>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2、中标供应商与采购人签订合同后，2日历天内将合同扫描件电子版发给浙江亿邦建设咨询有限公司：邮箱：</w:t>
            </w:r>
            <w:r>
              <w:rPr>
                <w:rStyle w:val="37"/>
                <w:rFonts w:hint="eastAsia"/>
                <w:color w:val="auto"/>
              </w:rPr>
              <w:t>214381086</w:t>
            </w:r>
            <w:r>
              <w:rPr>
                <w:rStyle w:val="37"/>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43"/>
        <w:rPr>
          <w:rFonts w:ascii="宋体" w:hAnsi="宋体" w:cs="宋体"/>
          <w:sz w:val="36"/>
        </w:rPr>
      </w:pPr>
    </w:p>
    <w:p>
      <w:pPr>
        <w:pStyle w:val="9"/>
        <w:sectPr>
          <w:pgSz w:w="11906" w:h="16838"/>
          <w:pgMar w:top="1440" w:right="1080" w:bottom="1440" w:left="1080" w:header="851" w:footer="992" w:gutter="0"/>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3"/>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sectPr>
          <w:pgSz w:w="11906" w:h="16838"/>
          <w:pgMar w:top="1440" w:right="1080" w:bottom="1440" w:left="1080" w:header="851" w:footer="992" w:gutter="0"/>
          <w:cols w:space="720" w:num="1"/>
          <w:docGrid w:linePitch="312" w:charSpace="0"/>
        </w:sectPr>
      </w:pPr>
    </w:p>
    <w:p>
      <w:pPr>
        <w:pStyle w:val="2"/>
        <w:spacing w:before="0" w:after="0"/>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第一部分     项目简介</w:t>
      </w:r>
    </w:p>
    <w:p>
      <w:pPr>
        <w:pStyle w:val="44"/>
        <w:spacing w:line="460" w:lineRule="exact"/>
        <w:ind w:firstLine="0" w:firstLineChars="0"/>
        <w:rPr>
          <w:rFonts w:hint="eastAsia" w:ascii="宋体" w:hAnsi="宋体" w:eastAsia="宋体" w:cs="宋体"/>
          <w:color w:val="000000"/>
          <w:sz w:val="24"/>
          <w:szCs w:val="24"/>
        </w:rPr>
      </w:pPr>
      <w:bookmarkStart w:id="0" w:name="_Toc300252050"/>
      <w:r>
        <w:rPr>
          <w:rFonts w:hint="eastAsia" w:ascii="宋体" w:hAnsi="宋体" w:eastAsia="宋体" w:cs="宋体"/>
          <w:color w:val="000000"/>
          <w:sz w:val="24"/>
          <w:szCs w:val="24"/>
        </w:rPr>
        <w:t>一、</w:t>
      </w:r>
      <w:bookmarkEnd w:id="0"/>
      <w:r>
        <w:rPr>
          <w:rFonts w:hint="eastAsia" w:ascii="宋体" w:hAnsi="宋体" w:eastAsia="宋体" w:cs="宋体"/>
          <w:color w:val="000000"/>
          <w:sz w:val="24"/>
          <w:szCs w:val="24"/>
        </w:rPr>
        <w:t>概况</w:t>
      </w:r>
    </w:p>
    <w:p>
      <w:pPr>
        <w:autoSpaceDE w:val="0"/>
        <w:autoSpaceDN w:val="0"/>
        <w:snapToGrid w:val="0"/>
        <w:spacing w:line="460" w:lineRule="atLeast"/>
        <w:ind w:firstLine="330" w:firstLineChars="150"/>
        <w:textAlignment w:val="bottom"/>
        <w:rPr>
          <w:rFonts w:hint="eastAsia" w:ascii="宋体" w:hAnsi="宋体"/>
          <w:sz w:val="22"/>
          <w:szCs w:val="22"/>
        </w:rPr>
      </w:pPr>
      <w:r>
        <w:rPr>
          <w:rFonts w:hint="eastAsia" w:ascii="宋体" w:hAnsi="宋体"/>
          <w:sz w:val="22"/>
          <w:szCs w:val="22"/>
        </w:rPr>
        <w:t>浙江亿邦建设咨询有限公司受平阳县</w:t>
      </w:r>
      <w:r>
        <w:rPr>
          <w:rFonts w:hint="eastAsia" w:ascii="宋体" w:hAnsi="宋体"/>
          <w:sz w:val="22"/>
          <w:szCs w:val="22"/>
          <w:lang w:val="en-US" w:eastAsia="zh-CN"/>
        </w:rPr>
        <w:t>怀溪镇</w:t>
      </w:r>
      <w:r>
        <w:rPr>
          <w:rFonts w:hint="eastAsia" w:ascii="宋体" w:hAnsi="宋体"/>
          <w:sz w:val="22"/>
          <w:szCs w:val="22"/>
        </w:rPr>
        <w:t>人民政府委托，</w:t>
      </w:r>
      <w:r>
        <w:rPr>
          <w:rFonts w:ascii="宋体" w:hAnsi="宋体"/>
          <w:sz w:val="22"/>
          <w:szCs w:val="22"/>
        </w:rPr>
        <w:t>以</w:t>
      </w:r>
      <w:r>
        <w:rPr>
          <w:rFonts w:hint="eastAsia" w:ascii="宋体" w:hAnsi="宋体"/>
          <w:sz w:val="22"/>
          <w:szCs w:val="22"/>
          <w:lang w:val="en-US" w:eastAsia="zh-CN"/>
        </w:rPr>
        <w:t>公开招标</w:t>
      </w:r>
      <w:r>
        <w:rPr>
          <w:rFonts w:ascii="宋体" w:hAnsi="宋体"/>
          <w:sz w:val="22"/>
          <w:szCs w:val="22"/>
        </w:rPr>
        <w:t>方式采购</w:t>
      </w:r>
      <w:r>
        <w:rPr>
          <w:rFonts w:hint="eastAsia" w:ascii="宋体" w:hAnsi="宋体"/>
          <w:sz w:val="22"/>
          <w:szCs w:val="22"/>
        </w:rPr>
        <w:t>平阳县</w:t>
      </w:r>
      <w:r>
        <w:rPr>
          <w:rFonts w:hint="eastAsia" w:ascii="宋体" w:hAnsi="宋体"/>
          <w:sz w:val="22"/>
          <w:szCs w:val="22"/>
          <w:lang w:eastAsia="zh-CN"/>
        </w:rPr>
        <w:t>怀溪镇</w:t>
      </w:r>
      <w:r>
        <w:rPr>
          <w:rFonts w:hint="eastAsia" w:ascii="宋体" w:hAnsi="宋体"/>
          <w:sz w:val="22"/>
          <w:szCs w:val="22"/>
        </w:rPr>
        <w:t>2021年度松材线虫病防治项目，本项目资金已经落实。</w:t>
      </w:r>
    </w:p>
    <w:p>
      <w:pPr>
        <w:autoSpaceDE w:val="0"/>
        <w:autoSpaceDN w:val="0"/>
        <w:snapToGrid w:val="0"/>
        <w:spacing w:line="460" w:lineRule="atLeast"/>
        <w:ind w:firstLine="330" w:firstLineChars="150"/>
        <w:textAlignment w:val="bottom"/>
        <w:rPr>
          <w:rFonts w:hint="eastAsia" w:ascii="宋体" w:hAnsi="宋体"/>
          <w:sz w:val="22"/>
          <w:szCs w:val="22"/>
        </w:rPr>
      </w:pPr>
      <w:r>
        <w:rPr>
          <w:rFonts w:hint="eastAsia" w:ascii="宋体" w:hAnsi="宋体"/>
          <w:sz w:val="22"/>
          <w:szCs w:val="22"/>
        </w:rPr>
        <w:t>我们热忱欢迎有关公司（企业）前来进行报价。</w:t>
      </w:r>
    </w:p>
    <w:p>
      <w:pPr>
        <w:autoSpaceDE w:val="0"/>
        <w:autoSpaceDN w:val="0"/>
        <w:adjustRightInd w:val="0"/>
        <w:snapToGrid w:val="0"/>
        <w:spacing w:line="460" w:lineRule="exact"/>
        <w:jc w:val="center"/>
        <w:textAlignment w:val="bottom"/>
        <w:rPr>
          <w:rFonts w:hint="eastAsia" w:ascii="宋体" w:hAnsi="宋体" w:eastAsia="宋体" w:cs="宋体"/>
          <w:b/>
          <w:color w:val="000000"/>
          <w:sz w:val="24"/>
          <w:szCs w:val="24"/>
        </w:rPr>
      </w:pPr>
      <w:r>
        <w:rPr>
          <w:rFonts w:hint="eastAsia" w:ascii="宋体" w:hAnsi="宋体" w:eastAsia="宋体" w:cs="宋体"/>
          <w:b/>
          <w:color w:val="000000"/>
          <w:sz w:val="24"/>
          <w:szCs w:val="24"/>
        </w:rPr>
        <w:t>第二部分     招标内容及技术要求</w:t>
      </w:r>
      <w:bookmarkStart w:id="1" w:name="_Toc142902564"/>
    </w:p>
    <w:bookmarkEnd w:id="1"/>
    <w:p>
      <w:pPr>
        <w:spacing w:line="460" w:lineRule="exact"/>
        <w:rPr>
          <w:rFonts w:hint="eastAsia" w:ascii="宋体" w:hAnsi="宋体"/>
          <w:b/>
          <w:sz w:val="22"/>
        </w:rPr>
      </w:pPr>
      <w:r>
        <w:rPr>
          <w:rFonts w:hint="eastAsia" w:ascii="宋体" w:hAnsi="宋体"/>
          <w:b/>
          <w:sz w:val="22"/>
        </w:rPr>
        <w:t>一、招标内容</w:t>
      </w:r>
    </w:p>
    <w:p>
      <w:pPr>
        <w:pStyle w:val="10"/>
        <w:ind w:firstLine="442" w:firstLineChars="200"/>
        <w:rPr>
          <w:rFonts w:hint="default" w:eastAsia="宋体"/>
          <w:vertAlign w:val="baseline"/>
          <w:lang w:val="en-US" w:eastAsia="zh-CN"/>
        </w:rPr>
      </w:pPr>
      <w:r>
        <w:rPr>
          <w:rFonts w:hint="eastAsia" w:ascii="宋体" w:hAnsi="宋体" w:eastAsia="宋体"/>
          <w:b/>
          <w:sz w:val="22"/>
          <w:lang w:val="en-US" w:eastAsia="zh-CN"/>
        </w:rPr>
        <w:t>1、采购内容</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3763"/>
        <w:gridCol w:w="2391"/>
        <w:gridCol w:w="2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序号</w:t>
            </w:r>
          </w:p>
        </w:tc>
        <w:tc>
          <w:tcPr>
            <w:tcW w:w="3763"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采购内容</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数量</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综合单价最高限价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1</w:t>
            </w:r>
          </w:p>
        </w:tc>
        <w:tc>
          <w:tcPr>
            <w:tcW w:w="3763"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枯死松树的砍伐及处理</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sz w:val="22"/>
                <w:szCs w:val="22"/>
              </w:rPr>
              <w:t>47611株</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60元/株</w:t>
            </w:r>
          </w:p>
        </w:tc>
      </w:tr>
    </w:tbl>
    <w:p>
      <w:pPr>
        <w:pStyle w:val="10"/>
        <w:rPr>
          <w:rFonts w:hint="default" w:eastAsia="宋体"/>
          <w:b/>
          <w:bCs w:val="0"/>
          <w:lang w:val="en-US" w:eastAsia="zh-CN"/>
        </w:rPr>
      </w:pPr>
      <w:r>
        <w:rPr>
          <w:rFonts w:hint="eastAsia" w:ascii="宋体" w:hAnsi="宋体" w:eastAsia="宋体" w:cs="宋体"/>
          <w:b/>
          <w:bCs w:val="0"/>
          <w:lang w:val="en-US" w:eastAsia="zh-CN"/>
        </w:rPr>
        <w:t>注：供应商采用单价的报价方式，实际结算金额=实际数量*中标供应商单价报价</w:t>
      </w:r>
    </w:p>
    <w:p>
      <w:pPr>
        <w:spacing w:line="460" w:lineRule="exact"/>
        <w:ind w:firstLine="433" w:firstLineChars="196"/>
        <w:rPr>
          <w:rFonts w:hint="eastAsia" w:ascii="宋体" w:hAnsi="宋体"/>
          <w:b/>
          <w:sz w:val="22"/>
        </w:rPr>
      </w:pPr>
      <w:r>
        <w:rPr>
          <w:rFonts w:hint="eastAsia" w:ascii="宋体" w:hAnsi="宋体"/>
          <w:b/>
          <w:sz w:val="22"/>
          <w:lang w:val="en-US" w:eastAsia="zh-CN"/>
        </w:rPr>
        <w:t>2</w:t>
      </w:r>
      <w:r>
        <w:rPr>
          <w:rFonts w:hint="eastAsia" w:ascii="宋体" w:hAnsi="宋体"/>
          <w:b/>
          <w:sz w:val="22"/>
        </w:rPr>
        <w:t>、作业区概况</w:t>
      </w:r>
    </w:p>
    <w:p>
      <w:pPr>
        <w:spacing w:line="460" w:lineRule="exact"/>
        <w:ind w:firstLine="431" w:firstLineChars="196"/>
        <w:rPr>
          <w:rFonts w:hint="eastAsia" w:ascii="宋体" w:hAnsi="宋体" w:cs="宋体"/>
          <w:color w:val="auto"/>
          <w:sz w:val="22"/>
          <w:szCs w:val="22"/>
        </w:rPr>
      </w:pPr>
      <w:r>
        <w:rPr>
          <w:rFonts w:hint="eastAsia" w:ascii="宋体" w:hAnsi="宋体" w:cs="宋体"/>
          <w:color w:val="auto"/>
          <w:sz w:val="22"/>
          <w:szCs w:val="22"/>
        </w:rPr>
        <w:t>怀溪镇松材线病防治任务55442亩，分布于曹门村、畴垟村、东山下村、法洪村、高堡村、杭坑村、黄施岙村、金山村、金溪村、联山村、南山垟村、上双岙村、畲龙村、石城村、水口村、西垟亭村、下岭头村、晓坑村、晓阳村、徐垟村、垟边村、垟底村、岳溪村、章坑村、中心村等25个村，枯死松树清理作业规模为面积55442亩，采伐枯死松树47611株，蓄积3008.61立方米。</w:t>
      </w:r>
    </w:p>
    <w:p>
      <w:pPr>
        <w:spacing w:line="460" w:lineRule="exact"/>
        <w:ind w:firstLine="433" w:firstLineChars="196"/>
        <w:rPr>
          <w:rFonts w:hint="eastAsia" w:ascii="宋体" w:hAnsi="宋体"/>
          <w:b/>
          <w:sz w:val="22"/>
        </w:rPr>
      </w:pPr>
      <w:r>
        <w:rPr>
          <w:rFonts w:hint="eastAsia" w:ascii="宋体" w:hAnsi="宋体"/>
          <w:b/>
          <w:sz w:val="22"/>
          <w:lang w:val="en-US" w:eastAsia="zh-CN"/>
        </w:rPr>
        <w:t>3</w:t>
      </w:r>
      <w:r>
        <w:rPr>
          <w:rFonts w:hint="eastAsia" w:ascii="宋体" w:hAnsi="宋体"/>
          <w:b/>
          <w:sz w:val="22"/>
        </w:rPr>
        <w:t>、基本原则</w:t>
      </w:r>
    </w:p>
    <w:p>
      <w:pPr>
        <w:spacing w:line="460" w:lineRule="exact"/>
        <w:ind w:firstLine="431" w:firstLineChars="196"/>
        <w:rPr>
          <w:rFonts w:hint="eastAsia" w:ascii="宋体" w:hAnsi="宋体"/>
          <w:sz w:val="22"/>
        </w:rPr>
      </w:pPr>
      <w:r>
        <w:rPr>
          <w:rFonts w:hint="eastAsia" w:ascii="宋体" w:hAnsi="宋体"/>
          <w:sz w:val="22"/>
        </w:rPr>
        <w:t>（1）坚持“政府主导、属地管理、社会参与”原则；</w:t>
      </w:r>
    </w:p>
    <w:p>
      <w:pPr>
        <w:spacing w:line="460" w:lineRule="exact"/>
        <w:ind w:firstLine="431" w:firstLineChars="196"/>
        <w:rPr>
          <w:rFonts w:hint="eastAsia" w:ascii="宋体" w:hAnsi="宋体"/>
          <w:sz w:val="22"/>
        </w:rPr>
      </w:pPr>
      <w:r>
        <w:rPr>
          <w:rFonts w:hint="eastAsia" w:ascii="宋体" w:hAnsi="宋体"/>
          <w:sz w:val="22"/>
        </w:rPr>
        <w:t>（2）坚持“积极除治、不留后患、确保成效”原则；</w:t>
      </w:r>
    </w:p>
    <w:p>
      <w:pPr>
        <w:spacing w:line="460" w:lineRule="exact"/>
        <w:ind w:firstLine="431" w:firstLineChars="196"/>
        <w:rPr>
          <w:rFonts w:hint="eastAsia" w:ascii="宋体" w:hAnsi="宋体"/>
          <w:sz w:val="22"/>
        </w:rPr>
      </w:pPr>
      <w:r>
        <w:rPr>
          <w:rFonts w:hint="eastAsia" w:ascii="宋体" w:hAnsi="宋体"/>
          <w:sz w:val="22"/>
        </w:rPr>
        <w:t>（3）坚持“合理区划、分类施策、强化宣传”原则。</w:t>
      </w:r>
    </w:p>
    <w:p>
      <w:pPr>
        <w:spacing w:line="460" w:lineRule="exact"/>
        <w:ind w:firstLine="433" w:firstLineChars="196"/>
        <w:rPr>
          <w:rFonts w:hint="eastAsia" w:ascii="宋体" w:hAnsi="宋体"/>
          <w:b/>
          <w:sz w:val="22"/>
        </w:rPr>
      </w:pPr>
      <w:r>
        <w:rPr>
          <w:rFonts w:hint="eastAsia" w:ascii="宋体" w:hAnsi="宋体"/>
          <w:b/>
          <w:sz w:val="22"/>
          <w:lang w:val="en-US" w:eastAsia="zh-CN"/>
        </w:rPr>
        <w:t>4</w:t>
      </w:r>
      <w:r>
        <w:rPr>
          <w:rFonts w:hint="eastAsia" w:ascii="宋体" w:hAnsi="宋体"/>
          <w:b/>
          <w:sz w:val="22"/>
        </w:rPr>
        <w:t>、主要依据</w:t>
      </w:r>
    </w:p>
    <w:p>
      <w:pPr>
        <w:spacing w:line="460" w:lineRule="exact"/>
        <w:ind w:firstLine="431" w:firstLineChars="196"/>
        <w:rPr>
          <w:rFonts w:hint="eastAsia" w:ascii="宋体" w:hAnsi="宋体"/>
          <w:sz w:val="22"/>
        </w:rPr>
      </w:pPr>
      <w:r>
        <w:rPr>
          <w:rFonts w:hint="eastAsia" w:ascii="宋体" w:hAnsi="宋体"/>
          <w:sz w:val="22"/>
        </w:rPr>
        <w:t>（1）《森林法实施条例》等法律法规；</w:t>
      </w:r>
    </w:p>
    <w:p>
      <w:pPr>
        <w:spacing w:line="460" w:lineRule="exact"/>
        <w:ind w:firstLine="431" w:firstLineChars="196"/>
        <w:rPr>
          <w:rFonts w:hint="eastAsia" w:ascii="宋体" w:hAnsi="宋体"/>
          <w:sz w:val="22"/>
        </w:rPr>
      </w:pPr>
      <w:r>
        <w:rPr>
          <w:rFonts w:hint="eastAsia" w:ascii="宋体" w:hAnsi="宋体"/>
          <w:sz w:val="22"/>
        </w:rPr>
        <w:t>（2）《国家林业和草原局关于印发重新修订的&lt;松材线虫病疫区和疫木管理办法&gt;的通知》（林生发〔2018〕117号）；</w:t>
      </w:r>
    </w:p>
    <w:p>
      <w:pPr>
        <w:spacing w:line="460" w:lineRule="exact"/>
        <w:ind w:firstLine="431" w:firstLineChars="196"/>
        <w:rPr>
          <w:rFonts w:hint="eastAsia" w:ascii="宋体" w:hAnsi="宋体"/>
          <w:sz w:val="22"/>
        </w:rPr>
      </w:pPr>
      <w:r>
        <w:rPr>
          <w:rFonts w:hint="eastAsia" w:ascii="宋体" w:hAnsi="宋体"/>
          <w:sz w:val="22"/>
        </w:rPr>
        <w:t>（3）《国家林业和草原局关于印发新修订的&lt;松材线虫病防治技术方案&gt;的通知》（林生发﹝2018﹞110号）；</w:t>
      </w:r>
    </w:p>
    <w:p>
      <w:pPr>
        <w:spacing w:line="460" w:lineRule="exact"/>
        <w:ind w:firstLine="431" w:firstLineChars="196"/>
        <w:rPr>
          <w:rFonts w:hint="eastAsia" w:ascii="宋体" w:hAnsi="宋体"/>
          <w:sz w:val="22"/>
        </w:rPr>
      </w:pPr>
      <w:r>
        <w:rPr>
          <w:rFonts w:hint="eastAsia" w:ascii="宋体" w:hAnsi="宋体"/>
          <w:sz w:val="22"/>
        </w:rPr>
        <w:t>（4）2016年二类资源调查成果资料；</w:t>
      </w:r>
    </w:p>
    <w:p>
      <w:pPr>
        <w:spacing w:line="460" w:lineRule="exact"/>
        <w:ind w:firstLine="431" w:firstLineChars="196"/>
        <w:rPr>
          <w:rFonts w:hint="eastAsia" w:ascii="宋体" w:hAnsi="宋体"/>
          <w:sz w:val="22"/>
        </w:rPr>
      </w:pPr>
      <w:r>
        <w:rPr>
          <w:rFonts w:hint="eastAsia" w:ascii="宋体" w:hAnsi="宋体"/>
          <w:sz w:val="22"/>
        </w:rPr>
        <w:t>（5）《浙江省林业局关于做好当前松材线虫病防治重点工作的通知》（浙林绿〔2019〕67号）；</w:t>
      </w:r>
    </w:p>
    <w:p>
      <w:pPr>
        <w:spacing w:line="460" w:lineRule="exact"/>
        <w:ind w:firstLine="431" w:firstLineChars="196"/>
        <w:rPr>
          <w:rFonts w:hint="eastAsia" w:ascii="宋体" w:hAnsi="宋体"/>
          <w:sz w:val="22"/>
        </w:rPr>
      </w:pPr>
      <w:r>
        <w:rPr>
          <w:rFonts w:hint="eastAsia" w:ascii="宋体" w:hAnsi="宋体"/>
          <w:sz w:val="22"/>
        </w:rPr>
        <w:t>（6）《浙江省森林资源规划设计调查技术操作细则（2014年版）》；</w:t>
      </w:r>
    </w:p>
    <w:p>
      <w:pPr>
        <w:spacing w:line="460" w:lineRule="exact"/>
        <w:ind w:firstLine="431" w:firstLineChars="196"/>
        <w:rPr>
          <w:rFonts w:hint="eastAsia" w:ascii="宋体" w:hAnsi="宋体"/>
          <w:sz w:val="22"/>
        </w:rPr>
      </w:pPr>
      <w:r>
        <w:rPr>
          <w:rFonts w:hint="eastAsia" w:ascii="宋体" w:hAnsi="宋体"/>
          <w:sz w:val="22"/>
        </w:rPr>
        <w:t>（7）其他资料；</w:t>
      </w:r>
    </w:p>
    <w:p>
      <w:pPr>
        <w:spacing w:line="460" w:lineRule="exact"/>
        <w:ind w:firstLine="433" w:firstLineChars="196"/>
        <w:rPr>
          <w:rFonts w:hint="eastAsia" w:ascii="宋体" w:hAnsi="宋体"/>
          <w:b/>
          <w:sz w:val="22"/>
        </w:rPr>
      </w:pPr>
      <w:r>
        <w:rPr>
          <w:rFonts w:hint="eastAsia" w:ascii="宋体" w:hAnsi="宋体"/>
          <w:b/>
          <w:sz w:val="22"/>
          <w:lang w:val="en-US" w:eastAsia="zh-CN"/>
        </w:rPr>
        <w:t>5</w:t>
      </w:r>
      <w:r>
        <w:rPr>
          <w:rFonts w:hint="eastAsia" w:ascii="宋体" w:hAnsi="宋体"/>
          <w:b/>
          <w:sz w:val="22"/>
        </w:rPr>
        <w:t>、各项技术措施</w:t>
      </w:r>
    </w:p>
    <w:p>
      <w:pPr>
        <w:spacing w:line="460" w:lineRule="exact"/>
        <w:ind w:firstLine="431" w:firstLineChars="196"/>
        <w:rPr>
          <w:rFonts w:hint="eastAsia" w:ascii="宋体" w:hAnsi="宋体"/>
          <w:sz w:val="22"/>
        </w:rPr>
      </w:pPr>
      <w:r>
        <w:rPr>
          <w:rFonts w:hint="eastAsia" w:ascii="宋体" w:hAnsi="宋体"/>
          <w:sz w:val="22"/>
          <w:lang w:val="en-US" w:eastAsia="zh-CN"/>
        </w:rPr>
        <w:t>5</w:t>
      </w:r>
      <w:r>
        <w:rPr>
          <w:rFonts w:hint="eastAsia" w:ascii="宋体" w:hAnsi="宋体"/>
          <w:sz w:val="22"/>
        </w:rPr>
        <w:t>.1 作业区主要特点</w:t>
      </w:r>
    </w:p>
    <w:p>
      <w:pPr>
        <w:spacing w:line="600" w:lineRule="exact"/>
        <w:rPr>
          <w:rFonts w:hint="eastAsia" w:ascii="宋体" w:hAnsi="宋体"/>
          <w:sz w:val="22"/>
        </w:rPr>
      </w:pPr>
      <w:r>
        <w:rPr>
          <w:rFonts w:hint="eastAsia" w:ascii="宋体" w:hAnsi="宋体"/>
          <w:sz w:val="22"/>
        </w:rPr>
        <w:t xml:space="preserve">   作业区内都有枯死松树分布，且林分郁闭度过高，自然整枝不良，通风透光不畅，卫生条件差。因此，采用择伐的抚育方式作业，采伐后林分内无近年来枯死的枯死松树。   </w:t>
      </w:r>
    </w:p>
    <w:p>
      <w:pPr>
        <w:spacing w:line="460" w:lineRule="exact"/>
        <w:ind w:firstLine="431" w:firstLineChars="196"/>
        <w:rPr>
          <w:rFonts w:hint="eastAsia" w:ascii="宋体" w:hAnsi="宋体"/>
          <w:sz w:val="22"/>
        </w:rPr>
      </w:pPr>
      <w:r>
        <w:rPr>
          <w:rFonts w:hint="eastAsia" w:ascii="宋体" w:hAnsi="宋体"/>
          <w:sz w:val="22"/>
          <w:lang w:val="en-US" w:eastAsia="zh-CN"/>
        </w:rPr>
        <w:t>5</w:t>
      </w:r>
      <w:r>
        <w:rPr>
          <w:rFonts w:hint="eastAsia" w:ascii="宋体" w:hAnsi="宋体"/>
          <w:sz w:val="22"/>
        </w:rPr>
        <w:t>.2 作业技术措施要求</w:t>
      </w:r>
    </w:p>
    <w:p>
      <w:pPr>
        <w:spacing w:line="600" w:lineRule="exact"/>
        <w:ind w:firstLine="440" w:firstLineChars="200"/>
        <w:rPr>
          <w:rFonts w:hint="eastAsia" w:ascii="宋体" w:hAnsi="宋体"/>
          <w:bCs/>
          <w:sz w:val="22"/>
        </w:rPr>
      </w:pPr>
      <w:r>
        <w:rPr>
          <w:rFonts w:hint="eastAsia" w:ascii="宋体" w:hAnsi="宋体"/>
          <w:bCs/>
          <w:sz w:val="22"/>
        </w:rPr>
        <w:t>本项目作业设计抚育方式均为</w:t>
      </w:r>
      <w:r>
        <w:rPr>
          <w:rFonts w:hint="eastAsia" w:ascii="宋体" w:hAnsi="宋体"/>
          <w:sz w:val="22"/>
        </w:rPr>
        <w:t>择伐</w:t>
      </w:r>
      <w:r>
        <w:rPr>
          <w:rFonts w:hint="eastAsia" w:ascii="宋体" w:hAnsi="宋体"/>
          <w:bCs/>
          <w:sz w:val="22"/>
        </w:rPr>
        <w:t>，采伐当年秋季枯死松树。枯死松树清理</w:t>
      </w:r>
      <w:r>
        <w:rPr>
          <w:rFonts w:hint="eastAsia" w:ascii="宋体" w:hAnsi="宋体"/>
          <w:sz w:val="22"/>
        </w:rPr>
        <w:t>要严格</w:t>
      </w:r>
      <w:r>
        <w:rPr>
          <w:rFonts w:hint="eastAsia" w:ascii="宋体" w:hAnsi="宋体"/>
          <w:bCs/>
          <w:sz w:val="22"/>
        </w:rPr>
        <w:t>按照</w:t>
      </w:r>
      <w:r>
        <w:rPr>
          <w:rFonts w:hint="eastAsia" w:ascii="宋体" w:hAnsi="宋体"/>
          <w:sz w:val="22"/>
        </w:rPr>
        <w:t>《松材线虫病疫区和疫木管理办法》、《松材线虫病防治技术方案》</w:t>
      </w:r>
      <w:r>
        <w:rPr>
          <w:rFonts w:hint="eastAsia" w:ascii="宋体" w:hAnsi="宋体"/>
          <w:bCs/>
          <w:sz w:val="22"/>
        </w:rPr>
        <w:t>等相关要求进行，注意保护有生长潜力的乔木和小乔木树种，做好幼树保护工作，消除幼树因环境改变</w:t>
      </w:r>
      <w:r>
        <w:rPr>
          <w:rFonts w:hint="eastAsia" w:ascii="宋体" w:hAnsi="宋体"/>
          <w:sz w:val="22"/>
        </w:rPr>
        <w:t>而出现的倒伏、干枯等。</w:t>
      </w:r>
      <w:r>
        <w:rPr>
          <w:rFonts w:hint="eastAsia" w:ascii="宋体" w:hAnsi="宋体"/>
          <w:bCs/>
          <w:sz w:val="22"/>
        </w:rPr>
        <w:t>枯死松树清理</w:t>
      </w:r>
      <w:r>
        <w:rPr>
          <w:rFonts w:hint="eastAsia" w:ascii="宋体" w:hAnsi="宋体"/>
          <w:sz w:val="22"/>
        </w:rPr>
        <w:t>作业时，注意保护珍稀濒危树种，注意保护悬崖陡壁上的植被</w:t>
      </w:r>
      <w:r>
        <w:rPr>
          <w:rFonts w:hint="eastAsia" w:ascii="宋体" w:hAnsi="宋体"/>
          <w:bCs/>
          <w:sz w:val="22"/>
        </w:rPr>
        <w:t>，注意保护土壤瘠薄，草灌生长稀疏，恢复不易地段上的植被。</w:t>
      </w:r>
      <w:r>
        <w:rPr>
          <w:rFonts w:hint="eastAsia" w:ascii="宋体" w:hAnsi="宋体"/>
          <w:sz w:val="22"/>
        </w:rPr>
        <w:t>具体技术要求：</w:t>
      </w:r>
    </w:p>
    <w:p>
      <w:pPr>
        <w:spacing w:line="600" w:lineRule="exact"/>
        <w:rPr>
          <w:rFonts w:hint="eastAsia" w:ascii="宋体" w:hAnsi="宋体"/>
          <w:b/>
          <w:sz w:val="22"/>
        </w:rPr>
      </w:pPr>
      <w:r>
        <w:rPr>
          <w:rFonts w:hint="eastAsia" w:ascii="宋体" w:hAnsi="宋体"/>
          <w:b/>
          <w:sz w:val="22"/>
        </w:rPr>
        <w:t>（1）清理方法：</w:t>
      </w:r>
      <w:r>
        <w:rPr>
          <w:rFonts w:hint="eastAsia" w:ascii="宋体" w:hAnsi="宋体"/>
          <w:bCs/>
          <w:sz w:val="22"/>
        </w:rPr>
        <w:t>清理方式为疫木整株伐除，</w:t>
      </w:r>
      <w:r>
        <w:rPr>
          <w:rFonts w:hint="eastAsia" w:ascii="宋体" w:hAnsi="宋体"/>
          <w:sz w:val="22"/>
        </w:rPr>
        <w:t>采伐木要及时清理出林地并实施定点安全利用，若不能实施安全利用的原条与枝桠部分则采取就地烧毁处理，就地烧毁处理</w:t>
      </w:r>
      <w:r>
        <w:rPr>
          <w:rFonts w:hint="eastAsia" w:ascii="宋体" w:hAnsi="宋体"/>
          <w:bCs/>
          <w:sz w:val="22"/>
        </w:rPr>
        <w:t>在雨后选择适当地点集中烧毁，焚烧前，需向乡镇政府报告，办理野外用火许可证</w:t>
      </w:r>
      <w:r>
        <w:rPr>
          <w:rFonts w:hint="eastAsia" w:ascii="宋体" w:hAnsi="宋体"/>
          <w:sz w:val="22"/>
        </w:rPr>
        <w:t>。抚育小班内无当年枯死的枯死松树及严重感病木，无直径1cm以上的枝桠。</w:t>
      </w:r>
      <w:r>
        <w:rPr>
          <w:rFonts w:hint="eastAsia" w:ascii="宋体" w:hAnsi="宋体"/>
          <w:bCs/>
          <w:sz w:val="22"/>
        </w:rPr>
        <w:t>伐桩要进行剥皮处理。</w:t>
      </w:r>
    </w:p>
    <w:p>
      <w:pPr>
        <w:spacing w:line="600" w:lineRule="exact"/>
        <w:rPr>
          <w:rFonts w:hint="eastAsia" w:ascii="宋体" w:hAnsi="宋体"/>
          <w:b/>
          <w:sz w:val="22"/>
        </w:rPr>
      </w:pPr>
      <w:r>
        <w:rPr>
          <w:rFonts w:hint="eastAsia" w:ascii="宋体" w:hAnsi="宋体"/>
          <w:b/>
          <w:sz w:val="22"/>
        </w:rPr>
        <w:t>（2）清理范围和期限：</w:t>
      </w:r>
      <w:r>
        <w:rPr>
          <w:rFonts w:hint="eastAsia" w:ascii="宋体" w:hAnsi="宋体"/>
          <w:bCs/>
          <w:sz w:val="22"/>
        </w:rPr>
        <w:t>202</w:t>
      </w:r>
      <w:r>
        <w:rPr>
          <w:rFonts w:hint="eastAsia" w:ascii="宋体" w:hAnsi="宋体"/>
          <w:bCs/>
          <w:sz w:val="22"/>
          <w:lang w:val="en-US" w:eastAsia="zh-CN"/>
        </w:rPr>
        <w:t>1</w:t>
      </w:r>
      <w:r>
        <w:rPr>
          <w:rFonts w:hint="eastAsia" w:ascii="宋体" w:hAnsi="宋体"/>
          <w:bCs/>
          <w:sz w:val="22"/>
        </w:rPr>
        <w:t>年度松材线虫病防治范围内（包括扩散区域）当年发生的枯死松树要全部清理完毕。作业小班范围内枯死松树株数包括后续枯死的松感染木，中标供应商必须在202</w:t>
      </w:r>
      <w:r>
        <w:rPr>
          <w:rFonts w:hint="eastAsia" w:ascii="宋体" w:hAnsi="宋体"/>
          <w:bCs/>
          <w:sz w:val="22"/>
          <w:lang w:val="en-US" w:eastAsia="zh-CN"/>
        </w:rPr>
        <w:t>1</w:t>
      </w:r>
      <w:r>
        <w:rPr>
          <w:rFonts w:hint="eastAsia" w:ascii="宋体" w:hAnsi="宋体"/>
          <w:bCs/>
          <w:sz w:val="22"/>
        </w:rPr>
        <w:t>年3月31日前清理完毕。</w:t>
      </w:r>
    </w:p>
    <w:p>
      <w:pPr>
        <w:spacing w:line="600" w:lineRule="exact"/>
        <w:rPr>
          <w:rFonts w:hint="eastAsia" w:ascii="宋体" w:hAnsi="宋体"/>
          <w:b/>
          <w:sz w:val="22"/>
        </w:rPr>
      </w:pPr>
      <w:r>
        <w:rPr>
          <w:rFonts w:hint="eastAsia" w:ascii="宋体" w:hAnsi="宋体"/>
          <w:b/>
          <w:sz w:val="22"/>
        </w:rPr>
        <w:t>（3）清理质量要求</w:t>
      </w:r>
    </w:p>
    <w:p>
      <w:pPr>
        <w:spacing w:line="600" w:lineRule="exact"/>
        <w:rPr>
          <w:rFonts w:hint="eastAsia" w:ascii="宋体" w:hAnsi="宋体"/>
          <w:bCs/>
          <w:sz w:val="22"/>
        </w:rPr>
      </w:pPr>
      <w:r>
        <w:rPr>
          <w:rFonts w:hint="eastAsia" w:ascii="宋体" w:hAnsi="宋体"/>
          <w:bCs/>
          <w:sz w:val="22"/>
        </w:rPr>
        <w:t>①清理松材线虫病防治范围内当年所有秋季枯死松树，验收时，发现有新枯死松树，中标供应商须返工整改。</w:t>
      </w:r>
    </w:p>
    <w:p>
      <w:pPr>
        <w:spacing w:line="600" w:lineRule="exact"/>
        <w:rPr>
          <w:rFonts w:hint="eastAsia" w:ascii="宋体" w:hAnsi="宋体"/>
          <w:bCs/>
          <w:sz w:val="22"/>
        </w:rPr>
      </w:pPr>
      <w:r>
        <w:rPr>
          <w:rFonts w:hint="eastAsia" w:ascii="宋体" w:hAnsi="宋体"/>
          <w:bCs/>
          <w:sz w:val="22"/>
        </w:rPr>
        <w:t>②伐桩：清理枯死松树时，伐桩高度不大于5cm，是指树桩上坡面的高度，伐断面要平整，伐桩要进行剥皮处理。</w:t>
      </w:r>
    </w:p>
    <w:p>
      <w:pPr>
        <w:spacing w:line="600" w:lineRule="exact"/>
        <w:rPr>
          <w:rFonts w:hint="eastAsia" w:ascii="宋体" w:hAnsi="宋体"/>
          <w:bCs/>
          <w:sz w:val="22"/>
        </w:rPr>
      </w:pPr>
      <w:r>
        <w:rPr>
          <w:rFonts w:hint="eastAsia" w:ascii="宋体" w:hAnsi="宋体"/>
          <w:bCs/>
          <w:sz w:val="22"/>
        </w:rPr>
        <w:t>③疫木主干、枝桠处理：</w:t>
      </w:r>
      <w:r>
        <w:rPr>
          <w:rFonts w:hint="eastAsia" w:ascii="宋体" w:hAnsi="宋体"/>
          <w:sz w:val="22"/>
        </w:rPr>
        <w:t>采伐木要及时清理出林地并实施定点安全利用，若不能实施安全利用的原条与枝桠部分则采取就地烧毁处理。抚育小班内无当年枯死的枯死松树及严重感病木，无直径1cm以上的枝桠。</w:t>
      </w:r>
    </w:p>
    <w:p>
      <w:pPr>
        <w:spacing w:line="600" w:lineRule="exact"/>
        <w:rPr>
          <w:rFonts w:hint="eastAsia" w:ascii="宋体" w:hAnsi="宋体"/>
          <w:bCs/>
          <w:sz w:val="22"/>
        </w:rPr>
      </w:pPr>
      <w:r>
        <w:rPr>
          <w:rFonts w:hint="eastAsia" w:ascii="宋体" w:hAnsi="宋体"/>
          <w:bCs/>
          <w:sz w:val="22"/>
        </w:rPr>
        <w:t>④伐桩记录：要对每个伐桩进行GPS定位，用飘带按乡镇进行连续不重复编号（例如采伐设计2000株编号则1-2000），记录每株伐桩坐标、伐桩直径及飘带编号，将飘带挂在树桩周边小树枝上或明显位置，便于后期检查验收。</w:t>
      </w:r>
    </w:p>
    <w:p>
      <w:pPr>
        <w:spacing w:line="600" w:lineRule="exact"/>
        <w:rPr>
          <w:rFonts w:hint="eastAsia" w:ascii="宋体" w:hAnsi="宋体"/>
          <w:bCs/>
          <w:sz w:val="22"/>
        </w:rPr>
      </w:pPr>
      <w:r>
        <w:rPr>
          <w:rFonts w:hint="eastAsia" w:ascii="宋体" w:hAnsi="宋体"/>
          <w:bCs/>
          <w:sz w:val="22"/>
        </w:rPr>
        <w:t>⑤资料整理：将现场GPS记录数据输入到电脑，并导入到地形图上，将资料进行整理归档，做到有据可查。</w:t>
      </w:r>
    </w:p>
    <w:p>
      <w:pPr>
        <w:spacing w:line="600" w:lineRule="exact"/>
        <w:rPr>
          <w:rFonts w:hint="eastAsia" w:ascii="宋体" w:hAnsi="宋体"/>
          <w:bCs/>
          <w:sz w:val="22"/>
        </w:rPr>
      </w:pPr>
      <w:r>
        <w:rPr>
          <w:rFonts w:hint="eastAsia" w:ascii="宋体" w:hAnsi="宋体"/>
          <w:bCs/>
          <w:sz w:val="22"/>
        </w:rPr>
        <w:t>⑥注意保存有关照片、视频等影像资料，以便后期各类检查验收。对松材线虫病危害严重，枯死松树较多的林分，采伐前，拍一张全景照片，采伐后再拍一张，做到施工前后对比，便于后期检查。</w:t>
      </w:r>
    </w:p>
    <w:p>
      <w:pPr>
        <w:spacing w:line="600" w:lineRule="exact"/>
        <w:rPr>
          <w:rFonts w:hint="eastAsia" w:ascii="宋体" w:hAnsi="宋体"/>
          <w:sz w:val="22"/>
        </w:rPr>
      </w:pPr>
      <w:r>
        <w:rPr>
          <w:rFonts w:hint="eastAsia" w:ascii="宋体" w:hAnsi="宋体"/>
          <w:sz w:val="22"/>
        </w:rPr>
        <w:t>（4）施工期间，</w:t>
      </w:r>
      <w:r>
        <w:rPr>
          <w:rFonts w:hint="eastAsia" w:ascii="宋体" w:hAnsi="宋体"/>
          <w:bCs/>
          <w:sz w:val="22"/>
        </w:rPr>
        <w:t>中标供应商</w:t>
      </w:r>
      <w:r>
        <w:rPr>
          <w:rFonts w:hint="eastAsia" w:ascii="宋体" w:hAnsi="宋体"/>
          <w:sz w:val="22"/>
        </w:rPr>
        <w:t>要做好施工日记，每天向监理单位与建设单位递交施工进度表，和伐桩编号、坐标等信息。接受监理单位与建设单位的检查和抽查。</w:t>
      </w:r>
    </w:p>
    <w:p>
      <w:pPr>
        <w:spacing w:line="600" w:lineRule="exact"/>
        <w:rPr>
          <w:rFonts w:hint="eastAsia" w:ascii="宋体" w:hAnsi="宋体"/>
          <w:sz w:val="22"/>
        </w:rPr>
      </w:pPr>
      <w:r>
        <w:rPr>
          <w:rFonts w:hint="eastAsia" w:ascii="宋体" w:hAnsi="宋体"/>
          <w:sz w:val="22"/>
        </w:rPr>
        <w:t>（5）工程施工结束，要做好施工档案工作；包括施工方案、竣工报告及图片资料等。</w:t>
      </w:r>
    </w:p>
    <w:p>
      <w:pPr>
        <w:spacing w:line="460" w:lineRule="exact"/>
        <w:ind w:firstLine="442" w:firstLineChars="200"/>
        <w:rPr>
          <w:rFonts w:hint="eastAsia" w:ascii="宋体" w:hAnsi="宋体"/>
          <w:b/>
          <w:sz w:val="22"/>
          <w:u w:val="single"/>
        </w:rPr>
      </w:pPr>
      <w:r>
        <w:rPr>
          <w:rFonts w:hint="eastAsia" w:ascii="宋体" w:hAnsi="宋体"/>
          <w:b/>
          <w:sz w:val="22"/>
          <w:u w:val="single"/>
          <w:lang w:val="en-US" w:eastAsia="zh-CN"/>
        </w:rPr>
        <w:t>6</w:t>
      </w:r>
      <w:r>
        <w:rPr>
          <w:rFonts w:hint="eastAsia" w:ascii="宋体" w:hAnsi="宋体"/>
          <w:b/>
          <w:sz w:val="22"/>
          <w:u w:val="single"/>
        </w:rPr>
        <w:t>、项目时间安排:</w:t>
      </w:r>
    </w:p>
    <w:p>
      <w:pPr>
        <w:spacing w:line="460" w:lineRule="exact"/>
        <w:ind w:firstLine="433" w:firstLineChars="196"/>
        <w:rPr>
          <w:rFonts w:hint="eastAsia" w:ascii="宋体" w:hAnsi="宋体" w:eastAsia="宋体"/>
          <w:b/>
          <w:sz w:val="22"/>
          <w:u w:val="single"/>
          <w:lang w:eastAsia="zh-CN"/>
        </w:rPr>
      </w:pPr>
      <w:r>
        <w:rPr>
          <w:rFonts w:hint="eastAsia" w:ascii="宋体" w:hAnsi="宋体"/>
          <w:b/>
          <w:sz w:val="22"/>
          <w:u w:val="single"/>
        </w:rPr>
        <w:t>202</w:t>
      </w:r>
      <w:r>
        <w:rPr>
          <w:rFonts w:hint="eastAsia" w:ascii="宋体" w:hAnsi="宋体"/>
          <w:b/>
          <w:sz w:val="22"/>
          <w:u w:val="single"/>
          <w:lang w:val="en-US" w:eastAsia="zh-CN"/>
        </w:rPr>
        <w:t>1</w:t>
      </w:r>
      <w:r>
        <w:rPr>
          <w:rFonts w:hint="eastAsia" w:ascii="宋体" w:hAnsi="宋体"/>
          <w:b/>
          <w:sz w:val="22"/>
          <w:u w:val="single"/>
        </w:rPr>
        <w:t>年3月底前完成松枯死木清理施工任务</w:t>
      </w:r>
      <w:r>
        <w:rPr>
          <w:rFonts w:hint="eastAsia" w:ascii="宋体" w:hAnsi="宋体"/>
          <w:b/>
          <w:sz w:val="22"/>
          <w:u w:val="single"/>
          <w:lang w:eastAsia="zh-CN"/>
        </w:rPr>
        <w:t>。</w:t>
      </w:r>
    </w:p>
    <w:p>
      <w:pPr>
        <w:numPr>
          <w:ilvl w:val="0"/>
          <w:numId w:val="0"/>
        </w:numPr>
        <w:spacing w:line="460" w:lineRule="exact"/>
        <w:ind w:firstLine="442" w:firstLineChars="200"/>
        <w:rPr>
          <w:rFonts w:hint="eastAsia" w:ascii="宋体" w:hAnsi="宋体"/>
          <w:b/>
          <w:sz w:val="22"/>
          <w:u w:val="single"/>
        </w:rPr>
      </w:pPr>
      <w:r>
        <w:rPr>
          <w:rFonts w:hint="eastAsia" w:ascii="宋体" w:hAnsi="宋体"/>
          <w:b/>
          <w:sz w:val="22"/>
          <w:u w:val="single"/>
          <w:lang w:val="en-US" w:eastAsia="zh-CN"/>
        </w:rPr>
        <w:t>7、</w:t>
      </w:r>
      <w:r>
        <w:rPr>
          <w:rFonts w:hint="eastAsia" w:ascii="宋体" w:hAnsi="宋体"/>
          <w:b/>
          <w:sz w:val="22"/>
          <w:u w:val="single"/>
        </w:rPr>
        <w:t>其他要求</w:t>
      </w:r>
    </w:p>
    <w:p>
      <w:pPr>
        <w:spacing w:line="600" w:lineRule="exact"/>
        <w:rPr>
          <w:rFonts w:hint="eastAsia" w:ascii="宋体" w:hAnsi="宋体"/>
          <w:sz w:val="22"/>
        </w:rPr>
      </w:pPr>
      <w:r>
        <w:rPr>
          <w:rFonts w:hint="eastAsia" w:ascii="宋体" w:hAnsi="宋体"/>
          <w:sz w:val="22"/>
        </w:rPr>
        <w:t>（1）施工前施工队伍要对施工员，作业员进行作业技术培训和作业安全教育，确保作业质量和施工人员、机械、过往行人、车辆的安全；施工过程中发生的事故、纠纷等事件均与采购人无关，由中标供应商自行负责。</w:t>
      </w:r>
    </w:p>
    <w:p>
      <w:pPr>
        <w:spacing w:line="600" w:lineRule="exact"/>
        <w:rPr>
          <w:rFonts w:hint="eastAsia" w:ascii="宋体" w:hAnsi="宋体"/>
          <w:sz w:val="22"/>
        </w:rPr>
      </w:pPr>
      <w:r>
        <w:rPr>
          <w:rFonts w:hint="eastAsia" w:ascii="宋体" w:hAnsi="宋体"/>
          <w:sz w:val="22"/>
        </w:rPr>
        <w:t>（2）施工作业要严格按照《松材线虫病疫区和疫木管理办法》、《松材线虫病防治技术方案》和《作业设计》等作业要求对作业小班采取相应的抚育方法及相关的技术措施进行抚育，不得随意改变作业地点和抚育方法；</w:t>
      </w:r>
    </w:p>
    <w:p>
      <w:pPr>
        <w:spacing w:line="600" w:lineRule="exact"/>
        <w:rPr>
          <w:rFonts w:hint="eastAsia" w:ascii="宋体" w:hAnsi="宋体"/>
          <w:sz w:val="22"/>
        </w:rPr>
      </w:pPr>
      <w:r>
        <w:rPr>
          <w:rFonts w:hint="eastAsia" w:ascii="宋体" w:hAnsi="宋体"/>
          <w:sz w:val="22"/>
        </w:rPr>
        <w:t>（3）为提高工作效率，控制伐根高度，宜用油锯等伐木机具进行伐木作业；</w:t>
      </w:r>
    </w:p>
    <w:p>
      <w:pPr>
        <w:spacing w:line="600" w:lineRule="exact"/>
        <w:rPr>
          <w:rFonts w:hint="eastAsia" w:ascii="宋体" w:hAnsi="宋体"/>
          <w:sz w:val="22"/>
        </w:rPr>
      </w:pPr>
      <w:r>
        <w:rPr>
          <w:rFonts w:hint="eastAsia" w:ascii="宋体" w:hAnsi="宋体"/>
          <w:sz w:val="22"/>
        </w:rPr>
        <w:t>（4）施工作业人员要牢固树立森林防火意识，切实加强野炊等生产，生活用火管理，防止森林火灾；（5）作业时应保护有生长潜力的幼树、幼苗，保护鸟巢等野生动物栖憩场所，利于调整林分密度、结构和林地里生物多样性；</w:t>
      </w:r>
    </w:p>
    <w:p>
      <w:pPr>
        <w:spacing w:line="600" w:lineRule="exact"/>
        <w:rPr>
          <w:rFonts w:hint="eastAsia" w:ascii="宋体" w:hAnsi="宋体"/>
          <w:sz w:val="22"/>
        </w:rPr>
      </w:pPr>
      <w:r>
        <w:rPr>
          <w:rFonts w:hint="eastAsia" w:ascii="宋体" w:hAnsi="宋体"/>
          <w:sz w:val="22"/>
        </w:rPr>
        <w:t>（6）施工人员必须参加工伤保险。</w:t>
      </w:r>
    </w:p>
    <w:p>
      <w:pPr>
        <w:spacing w:line="460" w:lineRule="exact"/>
        <w:ind w:firstLine="108" w:firstLineChars="49"/>
        <w:rPr>
          <w:rFonts w:hint="eastAsia" w:ascii="宋体" w:hAnsi="宋体"/>
          <w:b/>
          <w:sz w:val="22"/>
          <w:u w:val="single"/>
        </w:rPr>
      </w:pPr>
      <w:r>
        <w:rPr>
          <w:rFonts w:hint="eastAsia" w:ascii="宋体" w:hAnsi="宋体"/>
          <w:b/>
          <w:sz w:val="22"/>
        </w:rPr>
        <w:t>二、付款方式</w:t>
      </w:r>
    </w:p>
    <w:p>
      <w:pPr>
        <w:autoSpaceDE w:val="0"/>
        <w:autoSpaceDN w:val="0"/>
        <w:adjustRightInd w:val="0"/>
        <w:spacing w:line="440" w:lineRule="atLeast"/>
        <w:ind w:firstLine="440" w:firstLineChars="200"/>
        <w:textAlignment w:val="bottom"/>
        <w:rPr>
          <w:rFonts w:hint="eastAsia" w:ascii="宋体" w:hAnsi="宋体" w:eastAsia="宋体" w:cs="宋体"/>
          <w:b/>
          <w:color w:val="auto"/>
          <w:sz w:val="22"/>
          <w:szCs w:val="22"/>
          <w:u w:val="single"/>
          <w:lang w:val="en-US" w:eastAsia="zh-CN"/>
        </w:rPr>
      </w:pPr>
      <w:r>
        <w:rPr>
          <w:rFonts w:hint="eastAsia" w:ascii="宋体" w:hAnsi="宋体"/>
          <w:sz w:val="22"/>
        </w:rPr>
        <w:t xml:space="preserve"> </w:t>
      </w:r>
      <w:r>
        <w:rPr>
          <w:rFonts w:hint="eastAsia" w:ascii="宋体" w:hAnsi="宋体" w:eastAsia="宋体" w:cs="宋体"/>
          <w:b/>
          <w:color w:val="auto"/>
          <w:sz w:val="22"/>
          <w:szCs w:val="22"/>
          <w:u w:val="single"/>
          <w:lang w:val="en-US" w:eastAsia="zh-CN"/>
        </w:rPr>
        <w:t>1、</w:t>
      </w:r>
      <w:r>
        <w:rPr>
          <w:rFonts w:hint="eastAsia" w:ascii="宋体" w:hAnsi="宋体" w:eastAsia="宋体" w:cs="宋体"/>
          <w:b/>
          <w:color w:val="auto"/>
          <w:sz w:val="22"/>
          <w:szCs w:val="22"/>
          <w:u w:val="single"/>
        </w:rPr>
        <w:t>履约保证金：合同签订后七个工作日内，中标供应商应提供合同总价5％的履约保证金（可采用保函方式提交）。</w:t>
      </w:r>
    </w:p>
    <w:p>
      <w:pPr>
        <w:numPr>
          <w:ilvl w:val="0"/>
          <w:numId w:val="0"/>
        </w:numPr>
        <w:spacing w:line="360" w:lineRule="auto"/>
        <w:ind w:firstLine="442" w:firstLineChars="200"/>
        <w:outlineLvl w:val="0"/>
        <w:rPr>
          <w:rFonts w:hint="eastAsia" w:ascii="宋体" w:hAnsi="宋体" w:eastAsia="宋体" w:cs="宋体"/>
          <w:b/>
          <w:color w:val="auto"/>
          <w:sz w:val="22"/>
          <w:szCs w:val="22"/>
          <w:u w:val="single"/>
        </w:rPr>
      </w:pPr>
      <w:r>
        <w:rPr>
          <w:rFonts w:hint="eastAsia" w:ascii="宋体" w:hAnsi="宋体" w:eastAsia="宋体" w:cs="宋体"/>
          <w:b/>
          <w:color w:val="auto"/>
          <w:sz w:val="22"/>
          <w:szCs w:val="22"/>
          <w:u w:val="single"/>
          <w:lang w:val="en-US" w:eastAsia="zh-CN"/>
        </w:rPr>
        <w:t>2、</w:t>
      </w:r>
      <w:r>
        <w:rPr>
          <w:rFonts w:hint="eastAsia" w:ascii="宋体" w:hAnsi="宋体" w:eastAsia="宋体" w:cs="宋体"/>
          <w:b/>
          <w:color w:val="auto"/>
          <w:sz w:val="22"/>
          <w:szCs w:val="22"/>
          <w:u w:val="single"/>
        </w:rPr>
        <w:t>合同签订后七个工作日内</w:t>
      </w:r>
      <w:r>
        <w:rPr>
          <w:rFonts w:hint="eastAsia" w:ascii="宋体" w:hAnsi="宋体" w:eastAsia="宋体" w:cs="宋体"/>
          <w:b/>
          <w:color w:val="auto"/>
          <w:sz w:val="22"/>
          <w:szCs w:val="22"/>
          <w:u w:val="single"/>
          <w:lang w:eastAsia="zh-CN"/>
        </w:rPr>
        <w:t>，</w:t>
      </w:r>
      <w:r>
        <w:rPr>
          <w:rFonts w:hint="eastAsia" w:ascii="宋体" w:hAnsi="宋体" w:eastAsia="宋体" w:cs="宋体"/>
          <w:b/>
          <w:color w:val="auto"/>
          <w:sz w:val="22"/>
          <w:szCs w:val="22"/>
          <w:u w:val="single"/>
        </w:rPr>
        <w:t>支付给中标人合同总价</w:t>
      </w:r>
      <w:r>
        <w:rPr>
          <w:rFonts w:hint="eastAsia" w:ascii="宋体" w:hAnsi="宋体" w:eastAsia="宋体" w:cs="宋体"/>
          <w:b/>
          <w:color w:val="auto"/>
          <w:sz w:val="22"/>
          <w:szCs w:val="22"/>
          <w:u w:val="single"/>
          <w:lang w:val="en-US" w:eastAsia="zh-CN"/>
        </w:rPr>
        <w:t>10</w:t>
      </w:r>
      <w:r>
        <w:rPr>
          <w:rFonts w:hint="eastAsia" w:ascii="宋体" w:hAnsi="宋体" w:eastAsia="宋体" w:cs="宋体"/>
          <w:b/>
          <w:color w:val="auto"/>
          <w:sz w:val="22"/>
          <w:szCs w:val="22"/>
          <w:u w:val="single"/>
        </w:rPr>
        <w:t>%的预付款。</w:t>
      </w:r>
    </w:p>
    <w:p>
      <w:pPr>
        <w:numPr>
          <w:ilvl w:val="0"/>
          <w:numId w:val="0"/>
        </w:numPr>
        <w:spacing w:line="360" w:lineRule="auto"/>
        <w:ind w:firstLine="442" w:firstLineChars="200"/>
        <w:outlineLvl w:val="0"/>
        <w:rPr>
          <w:rFonts w:hint="eastAsia" w:ascii="宋体" w:hAnsi="宋体" w:eastAsia="宋体" w:cs="宋体"/>
          <w:b/>
          <w:color w:val="auto"/>
          <w:sz w:val="22"/>
          <w:szCs w:val="22"/>
          <w:u w:val="single"/>
          <w:lang w:val="en-US" w:eastAsia="zh-CN"/>
        </w:rPr>
      </w:pPr>
      <w:r>
        <w:rPr>
          <w:rFonts w:hint="eastAsia" w:ascii="宋体" w:hAnsi="宋体" w:eastAsia="宋体" w:cs="宋体"/>
          <w:b/>
          <w:color w:val="auto"/>
          <w:sz w:val="22"/>
          <w:szCs w:val="22"/>
          <w:u w:val="single"/>
          <w:lang w:val="en-US" w:eastAsia="zh-CN"/>
        </w:rPr>
        <w:t>2.1在签订合同时，中标人明确表示无需预付款或者主动要求降低预付款比例的，采购单位可按中标人的意见执行。</w:t>
      </w:r>
    </w:p>
    <w:p>
      <w:pPr>
        <w:numPr>
          <w:ilvl w:val="0"/>
          <w:numId w:val="0"/>
        </w:numPr>
        <w:spacing w:line="360" w:lineRule="auto"/>
        <w:ind w:firstLine="442" w:firstLineChars="200"/>
        <w:outlineLvl w:val="0"/>
        <w:rPr>
          <w:rFonts w:hint="eastAsia" w:ascii="宋体" w:hAnsi="宋体" w:eastAsia="宋体" w:cs="宋体"/>
          <w:b/>
          <w:color w:val="auto"/>
          <w:sz w:val="22"/>
          <w:szCs w:val="22"/>
          <w:u w:val="single"/>
          <w:lang w:val="en-US" w:eastAsia="zh-CN"/>
        </w:rPr>
      </w:pPr>
      <w:r>
        <w:rPr>
          <w:rFonts w:hint="eastAsia" w:ascii="宋体" w:hAnsi="宋体" w:eastAsia="宋体" w:cs="宋体"/>
          <w:b/>
          <w:color w:val="auto"/>
          <w:sz w:val="22"/>
          <w:szCs w:val="22"/>
          <w:u w:val="single"/>
          <w:lang w:val="en-US" w:eastAsia="zh-CN"/>
        </w:rPr>
        <w:t>2.2在签订合同时，中标人要求预付款的，采购单位有权要求中标人提供银行、保险公司等金融机构出具的预付款保函或其他担保措施。</w:t>
      </w:r>
    </w:p>
    <w:p>
      <w:pPr>
        <w:pStyle w:val="10"/>
        <w:rPr>
          <w:rFonts w:hint="default" w:ascii="宋体" w:hAnsi="宋体" w:eastAsia="宋体" w:cs="宋体"/>
          <w:b/>
          <w:bCs w:val="0"/>
          <w:color w:val="auto"/>
          <w:kern w:val="2"/>
          <w:sz w:val="22"/>
          <w:szCs w:val="22"/>
          <w:u w:val="single"/>
          <w:lang w:val="en-US" w:eastAsia="zh-CN" w:bidi="ar-SA"/>
        </w:rPr>
      </w:pPr>
      <w:r>
        <w:rPr>
          <w:rFonts w:hint="eastAsia"/>
          <w:lang w:val="en-US" w:eastAsia="zh-CN"/>
        </w:rPr>
        <w:t xml:space="preserve">  </w:t>
      </w:r>
      <w:r>
        <w:rPr>
          <w:rFonts w:hint="eastAsia" w:ascii="宋体" w:hAnsi="宋体" w:eastAsia="宋体" w:cs="宋体"/>
          <w:b/>
          <w:bCs w:val="0"/>
          <w:color w:val="auto"/>
          <w:kern w:val="2"/>
          <w:sz w:val="22"/>
          <w:szCs w:val="22"/>
          <w:u w:val="single"/>
          <w:lang w:val="en-US" w:eastAsia="zh-CN" w:bidi="ar-SA"/>
        </w:rPr>
        <w:t>3、中标供应商完成所有合同内容，经林业（县自然资源和规划局）等相关部门验收通过后，支付至合同价款的100%（根据实际砍伐数量进行结算，结算总价=成交单价*实际砍伐数量，</w:t>
      </w:r>
      <w:r>
        <w:rPr>
          <w:rFonts w:hint="eastAsia" w:ascii="宋体" w:hAnsi="宋体" w:cs="宋体"/>
          <w:b/>
          <w:bCs w:val="0"/>
          <w:color w:val="auto"/>
          <w:kern w:val="2"/>
          <w:sz w:val="22"/>
          <w:szCs w:val="22"/>
          <w:u w:val="single"/>
          <w:lang w:val="en-US" w:eastAsia="zh-CN" w:bidi="ar-SA"/>
        </w:rPr>
        <w:t>实际砍伐数量多于本项目设计数量，按本项目设计数量结算）</w:t>
      </w:r>
      <w:r>
        <w:rPr>
          <w:rFonts w:hint="eastAsia" w:ascii="宋体" w:hAnsi="宋体" w:eastAsia="宋体" w:cs="宋体"/>
          <w:b/>
          <w:bCs w:val="0"/>
          <w:color w:val="auto"/>
          <w:kern w:val="2"/>
          <w:sz w:val="22"/>
          <w:szCs w:val="22"/>
          <w:u w:val="single"/>
          <w:lang w:val="en-US" w:eastAsia="zh-CN" w:bidi="ar-SA"/>
        </w:rPr>
        <w:t>并无息退还履约保证金。（中标供应商须提供全额正式税务发票）</w:t>
      </w:r>
    </w:p>
    <w:p>
      <w:pPr>
        <w:spacing w:line="600" w:lineRule="exact"/>
        <w:rPr>
          <w:rFonts w:hint="default" w:ascii="宋体" w:hAnsi="宋体" w:eastAsia="宋体"/>
          <w:b/>
          <w:sz w:val="22"/>
          <w:lang w:val="en-US" w:eastAsia="zh-CN"/>
        </w:rPr>
      </w:pPr>
      <w:r>
        <w:rPr>
          <w:rFonts w:hint="eastAsia" w:ascii="宋体" w:hAnsi="宋体" w:eastAsia="宋体"/>
          <w:b/>
          <w:sz w:val="22"/>
          <w:lang w:val="en-US" w:eastAsia="zh-CN"/>
        </w:rPr>
        <w:t>三、完工期</w:t>
      </w:r>
    </w:p>
    <w:p>
      <w:pPr>
        <w:spacing w:line="360" w:lineRule="auto"/>
        <w:rPr>
          <w:rFonts w:hint="default" w:ascii="宋体" w:eastAsia="宋体"/>
          <w:b/>
          <w:bCs/>
          <w:sz w:val="22"/>
          <w:lang w:val="en-US" w:eastAsia="zh-CN"/>
        </w:rPr>
      </w:pPr>
      <w:r>
        <w:rPr>
          <w:rFonts w:hint="eastAsia" w:ascii="宋体" w:hAnsi="宋体" w:eastAsia="宋体" w:cs="宋体"/>
          <w:b/>
          <w:bCs/>
          <w:sz w:val="22"/>
          <w:szCs w:val="22"/>
        </w:rPr>
        <w:t>▲</w:t>
      </w:r>
      <w:r>
        <w:rPr>
          <w:rFonts w:hint="eastAsia" w:ascii="宋体" w:eastAsia="宋体"/>
          <w:b/>
          <w:bCs/>
          <w:sz w:val="22"/>
          <w:lang w:val="en-US" w:eastAsia="zh-CN"/>
        </w:rPr>
        <w:t>完工期：自合同签订起至</w:t>
      </w:r>
      <w:r>
        <w:rPr>
          <w:rFonts w:hint="eastAsia" w:ascii="宋体" w:hAnsi="宋体"/>
          <w:b/>
          <w:bCs/>
          <w:sz w:val="22"/>
        </w:rPr>
        <w:t>202</w:t>
      </w:r>
      <w:r>
        <w:rPr>
          <w:rFonts w:hint="eastAsia" w:ascii="宋体" w:hAnsi="宋体"/>
          <w:b/>
          <w:bCs/>
          <w:sz w:val="22"/>
          <w:lang w:val="en-US" w:eastAsia="zh-CN"/>
        </w:rPr>
        <w:t>1</w:t>
      </w:r>
      <w:r>
        <w:rPr>
          <w:rFonts w:hint="eastAsia" w:ascii="宋体" w:hAnsi="宋体"/>
          <w:b/>
          <w:bCs/>
          <w:sz w:val="22"/>
        </w:rPr>
        <w:t>年3月31日</w:t>
      </w:r>
      <w:r>
        <w:rPr>
          <w:rFonts w:hint="eastAsia" w:ascii="宋体" w:hAnsi="宋体"/>
          <w:b/>
          <w:bCs/>
          <w:sz w:val="22"/>
          <w:lang w:val="en-US" w:eastAsia="zh-CN"/>
        </w:rPr>
        <w:t>前完工。</w:t>
      </w:r>
    </w:p>
    <w:p>
      <w:pPr>
        <w:pStyle w:val="64"/>
        <w:rPr>
          <w:rFonts w:hint="default"/>
          <w:lang w:val="en-US"/>
        </w:rPr>
      </w:pPr>
    </w:p>
    <w:p>
      <w:pPr>
        <w:adjustRightInd w:val="0"/>
        <w:snapToGrid w:val="0"/>
        <w:spacing w:line="420" w:lineRule="exact"/>
        <w:jc w:val="center"/>
        <w:rPr>
          <w:rFonts w:hint="eastAsia" w:ascii="宋体" w:hAnsi="宋体"/>
          <w:sz w:val="36"/>
        </w:rPr>
      </w:pPr>
    </w:p>
    <w:p>
      <w:pPr>
        <w:adjustRightInd w:val="0"/>
        <w:snapToGrid w:val="0"/>
        <w:spacing w:line="420" w:lineRule="exact"/>
        <w:jc w:val="center"/>
        <w:rPr>
          <w:rFonts w:hint="eastAsia" w:ascii="宋体" w:hAnsi="宋体"/>
          <w:sz w:val="36"/>
        </w:rPr>
      </w:pPr>
    </w:p>
    <w:p>
      <w:pPr>
        <w:adjustRightInd w:val="0"/>
        <w:snapToGrid w:val="0"/>
        <w:spacing w:line="420" w:lineRule="exact"/>
        <w:jc w:val="center"/>
        <w:rPr>
          <w:rFonts w:hint="eastAsia" w:ascii="宋体" w:hAnsi="宋体"/>
          <w:sz w:val="36"/>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jc w:val="both"/>
        <w:rPr>
          <w:rFonts w:hint="eastAsia" w:ascii="宋体" w:hAnsi="宋体" w:cs="宋体"/>
          <w:lang w:val="zh-CN"/>
        </w:rPr>
      </w:pPr>
    </w:p>
    <w:p>
      <w:pPr>
        <w:rPr>
          <w:rFonts w:hint="eastAsia"/>
          <w:lang w:val="zh-CN"/>
        </w:rPr>
      </w:pPr>
    </w:p>
    <w:p>
      <w:pPr>
        <w:pStyle w:val="2"/>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autoSpaceDE w:val="0"/>
        <w:autoSpaceDN w:val="0"/>
        <w:adjustRightInd w:val="0"/>
        <w:snapToGrid w:val="0"/>
        <w:spacing w:line="460" w:lineRule="atLeast"/>
        <w:ind w:firstLine="433" w:firstLineChars="196"/>
        <w:textAlignment w:val="bottom"/>
        <w:rPr>
          <w:rFonts w:hint="eastAsia"/>
          <w:b/>
          <w:sz w:val="22"/>
          <w:szCs w:val="22"/>
        </w:rPr>
      </w:pPr>
      <w:r>
        <w:rPr>
          <w:rFonts w:hint="eastAsia" w:ascii="宋体" w:hAnsi="宋体" w:cs="宋体"/>
          <w:b/>
          <w:bCs/>
          <w:sz w:val="22"/>
        </w:rPr>
        <w:t>5、</w:t>
      </w:r>
      <w:r>
        <w:rPr>
          <w:rFonts w:hint="eastAsia"/>
          <w:b/>
          <w:sz w:val="22"/>
          <w:szCs w:val="22"/>
          <w:u w:val="single"/>
        </w:rPr>
        <w:t>本项目采用</w:t>
      </w:r>
      <w:r>
        <w:rPr>
          <w:rFonts w:hint="eastAsia"/>
          <w:b/>
          <w:sz w:val="22"/>
          <w:szCs w:val="22"/>
          <w:u w:val="single"/>
          <w:lang w:val="en-US" w:eastAsia="zh-CN"/>
        </w:rPr>
        <w:t>包干</w:t>
      </w:r>
      <w:r>
        <w:rPr>
          <w:rFonts w:hint="eastAsia"/>
          <w:b/>
          <w:sz w:val="22"/>
          <w:szCs w:val="22"/>
          <w:u w:val="single"/>
        </w:rPr>
        <w:t>方式，项目实施过程中</w:t>
      </w:r>
      <w:r>
        <w:rPr>
          <w:rFonts w:hint="eastAsia"/>
          <w:b/>
          <w:sz w:val="22"/>
          <w:szCs w:val="22"/>
          <w:u w:val="single"/>
          <w:lang w:val="en-US" w:eastAsia="zh-CN"/>
        </w:rPr>
        <w:t>综合单价</w:t>
      </w:r>
      <w:r>
        <w:rPr>
          <w:rFonts w:hint="eastAsia"/>
          <w:b/>
          <w:sz w:val="22"/>
          <w:szCs w:val="22"/>
          <w:u w:val="single"/>
        </w:rPr>
        <w:t>不予调整。</w:t>
      </w:r>
      <w:r>
        <w:rPr>
          <w:rFonts w:hint="eastAsia"/>
          <w:b/>
          <w:sz w:val="22"/>
          <w:szCs w:val="22"/>
        </w:rPr>
        <w:t>供应商须自行现场勘察，以求得准确的报价依据。供应商须自行考虑投标报价的风险。</w:t>
      </w:r>
    </w:p>
    <w:p>
      <w:pPr>
        <w:autoSpaceDE w:val="0"/>
        <w:autoSpaceDN w:val="0"/>
        <w:adjustRightInd w:val="0"/>
        <w:snapToGrid w:val="0"/>
        <w:spacing w:line="420" w:lineRule="exact"/>
        <w:ind w:firstLine="433" w:firstLineChars="196"/>
        <w:textAlignment w:val="bottom"/>
      </w:pPr>
      <w:r>
        <w:rPr>
          <w:rFonts w:hint="eastAsia" w:ascii="宋体" w:hAnsi="宋体"/>
          <w:b/>
          <w:sz w:val="22"/>
          <w:szCs w:val="22"/>
          <w:lang w:val="en-US" w:eastAsia="zh-CN"/>
        </w:rPr>
        <w:t>6</w:t>
      </w:r>
      <w:r>
        <w:rPr>
          <w:rFonts w:hint="eastAsia" w:ascii="宋体" w:hAnsi="宋体"/>
          <w:b/>
          <w:sz w:val="22"/>
          <w:szCs w:val="22"/>
        </w:rPr>
        <w:t>、本次采购预算（最高限价）为</w:t>
      </w:r>
      <w:r>
        <w:rPr>
          <w:rFonts w:hint="eastAsia" w:ascii="宋体" w:hAnsi="宋体"/>
          <w:b/>
          <w:sz w:val="22"/>
          <w:szCs w:val="22"/>
          <w:u w:val="single"/>
        </w:rPr>
        <w:t>285</w:t>
      </w:r>
      <w:r>
        <w:rPr>
          <w:rFonts w:hint="eastAsia" w:ascii="宋体" w:hAnsi="宋体"/>
          <w:b/>
          <w:sz w:val="22"/>
          <w:szCs w:val="22"/>
          <w:u w:val="single"/>
          <w:lang w:val="en-US" w:eastAsia="zh-CN"/>
        </w:rPr>
        <w:t>.</w:t>
      </w:r>
      <w:r>
        <w:rPr>
          <w:rFonts w:hint="eastAsia" w:ascii="宋体" w:hAnsi="宋体"/>
          <w:b/>
          <w:sz w:val="22"/>
          <w:szCs w:val="22"/>
          <w:u w:val="single"/>
        </w:rPr>
        <w:t>6660</w:t>
      </w:r>
      <w:r>
        <w:rPr>
          <w:rFonts w:hint="eastAsia" w:ascii="宋体" w:hAnsi="宋体"/>
          <w:b/>
          <w:color w:val="000000"/>
          <w:sz w:val="22"/>
          <w:szCs w:val="22"/>
          <w:u w:val="single"/>
        </w:rPr>
        <w:t>万元</w:t>
      </w:r>
      <w:r>
        <w:rPr>
          <w:rFonts w:hint="eastAsia" w:ascii="宋体" w:hAnsi="宋体"/>
          <w:b/>
          <w:sz w:val="22"/>
          <w:szCs w:val="22"/>
        </w:rPr>
        <w:t>人民币，单价最高限价</w:t>
      </w:r>
      <w:r>
        <w:rPr>
          <w:rFonts w:hint="eastAsia" w:ascii="宋体" w:hAnsi="宋体" w:cs="宋体"/>
          <w:b/>
          <w:sz w:val="22"/>
          <w:szCs w:val="22"/>
          <w:u w:val="single"/>
        </w:rPr>
        <w:t>60元/株</w:t>
      </w:r>
      <w:r>
        <w:rPr>
          <w:rFonts w:hint="eastAsia" w:ascii="宋体" w:hAnsi="宋体"/>
          <w:b/>
          <w:sz w:val="22"/>
          <w:szCs w:val="22"/>
        </w:rPr>
        <w:t>，如果仅仅某个（些）供应商的报价超出采购预算或单价最高限价的，</w:t>
      </w:r>
      <w:r>
        <w:rPr>
          <w:rFonts w:hint="eastAsia" w:ascii="宋体" w:hAnsi="宋体"/>
          <w:b/>
          <w:color w:val="000000"/>
          <w:sz w:val="22"/>
          <w:szCs w:val="22"/>
        </w:rPr>
        <w:t>则拒绝接受其报价，按无效报价处理。</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、知识产权</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.2投标供应商应对采购人在使用该产品时所涉及到的专利权负责，不损害采购人的利益。</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.3投标报价应包括所有应支付的对专利权和版权、设计或其他知识产权而需要向其他方支付的版税。</w:t>
      </w:r>
    </w:p>
    <w:p>
      <w:pPr>
        <w:autoSpaceDE w:val="0"/>
        <w:autoSpaceDN w:val="0"/>
        <w:adjustRightInd w:val="0"/>
        <w:snapToGrid w:val="0"/>
        <w:spacing w:line="400" w:lineRule="exact"/>
        <w:ind w:firstLine="420" w:firstLineChars="190"/>
        <w:textAlignment w:val="bottom"/>
      </w:pPr>
      <w:r>
        <w:rPr>
          <w:rFonts w:hint="eastAsia"/>
          <w:b/>
          <w:color w:val="000000"/>
          <w:sz w:val="22"/>
          <w:szCs w:val="22"/>
          <w:lang w:val="en-US" w:eastAsia="zh-CN"/>
        </w:rPr>
        <w:t>7</w:t>
      </w:r>
      <w:r>
        <w:rPr>
          <w:rFonts w:hint="eastAsia"/>
          <w:b/>
          <w:color w:val="000000"/>
          <w:sz w:val="22"/>
          <w:szCs w:val="22"/>
        </w:rPr>
        <w:t>4投标供应商提供的货物中如使用其他公司的相关专利，应在标书中出示相关授权，如未出示但使用了其他公司的专利，导致供应商中标而引起相关诉讼，由投标供应商承担。</w:t>
      </w:r>
    </w:p>
    <w:p>
      <w:pPr>
        <w:pStyle w:val="7"/>
        <w:adjustRightInd w:val="0"/>
        <w:snapToGrid w:val="0"/>
        <w:spacing w:line="460" w:lineRule="exact"/>
        <w:ind w:firstLine="442"/>
        <w:rPr>
          <w:rFonts w:ascii="宋体"/>
          <w:b/>
          <w:color w:val="000000"/>
          <w:sz w:val="22"/>
          <w:szCs w:val="22"/>
        </w:rPr>
      </w:pPr>
      <w:r>
        <w:rPr>
          <w:rFonts w:hint="eastAsia" w:ascii="宋体"/>
          <w:b/>
          <w:color w:val="000000"/>
          <w:sz w:val="22"/>
          <w:lang w:val="en-US" w:eastAsia="zh-CN"/>
        </w:rPr>
        <w:t>8</w:t>
      </w:r>
      <w:r>
        <w:rPr>
          <w:rFonts w:hint="eastAsia" w:ascii="宋体"/>
          <w:b/>
          <w:color w:val="000000"/>
          <w:sz w:val="22"/>
          <w:lang w:val="zh-CN"/>
        </w:rPr>
        <w:t>、</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snapToGrid w:val="0"/>
        <w:spacing w:line="400" w:lineRule="exact"/>
        <w:ind w:firstLine="420" w:firstLineChars="19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lang w:val="en-US" w:eastAsia="zh-CN"/>
        </w:rPr>
        <w:t>9</w:t>
      </w:r>
      <w:r>
        <w:rPr>
          <w:rFonts w:hint="eastAsia" w:ascii="宋体" w:hAnsi="宋体" w:cs="宋体"/>
          <w:b/>
          <w:sz w:val="22"/>
          <w:szCs w:val="22"/>
        </w:rPr>
        <w:t>、</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w:t>
      </w:r>
      <w:r>
        <w:rPr>
          <w:rFonts w:hint="eastAsia" w:ascii="宋体" w:hAnsi="宋体" w:cs="宋体"/>
          <w:b/>
          <w:sz w:val="22"/>
          <w:lang w:val="en-US" w:eastAsia="zh-CN"/>
        </w:rPr>
        <w:t>0</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w:t>
      </w:r>
      <w:r>
        <w:rPr>
          <w:rFonts w:hint="eastAsia" w:ascii="宋体" w:hAnsi="宋体" w:cs="宋体"/>
          <w:b/>
          <w:sz w:val="22"/>
          <w:szCs w:val="22"/>
          <w:u w:val="single"/>
          <w:lang w:val="en-US" w:eastAsia="zh-CN"/>
        </w:rPr>
        <w:t>1</w:t>
      </w:r>
      <w:r>
        <w:rPr>
          <w:rFonts w:hint="eastAsia" w:ascii="宋体" w:hAnsi="宋体" w:cs="宋体"/>
          <w:b/>
          <w:sz w:val="22"/>
          <w:szCs w:val="22"/>
          <w:u w:val="single"/>
        </w:rPr>
        <w:t>、为保证供应商顺利投标，供应商须在投标截止前自行登录平阳县公共资源交易中心网站（http://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atLeast"/>
        <w:ind w:firstLine="422" w:firstLineChars="191"/>
        <w:textAlignment w:val="bottom"/>
      </w:pPr>
      <w:r>
        <w:rPr>
          <w:rFonts w:hint="eastAsia" w:cs="黑体"/>
          <w:b/>
          <w:color w:val="000000"/>
          <w:sz w:val="22"/>
          <w:szCs w:val="22"/>
        </w:rPr>
        <w:t>1</w:t>
      </w:r>
      <w:r>
        <w:rPr>
          <w:rFonts w:hint="eastAsia" w:cs="黑体"/>
          <w:b/>
          <w:color w:val="000000"/>
          <w:sz w:val="22"/>
          <w:szCs w:val="22"/>
          <w:lang w:val="en-US" w:eastAsia="zh-CN"/>
        </w:rPr>
        <w:t>2</w:t>
      </w:r>
      <w:r>
        <w:rPr>
          <w:rFonts w:hint="eastAsia" w:cs="黑体"/>
          <w:b/>
          <w:color w:val="000000"/>
          <w:sz w:val="22"/>
          <w:szCs w:val="22"/>
        </w:rPr>
        <w:t>、</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2" w:name="OLE_LINK8"/>
      <w:r>
        <w:rPr>
          <w:rFonts w:hint="eastAsia" w:ascii="宋体" w:hAnsi="宋体" w:cs="宋体"/>
          <w:b/>
          <w:sz w:val="22"/>
          <w:szCs w:val="22"/>
          <w:u w:val="single"/>
        </w:rPr>
        <w:t>1</w:t>
      </w:r>
      <w:r>
        <w:rPr>
          <w:rFonts w:hint="eastAsia" w:ascii="宋体" w:hAnsi="宋体" w:cs="宋体"/>
          <w:b/>
          <w:sz w:val="22"/>
          <w:szCs w:val="22"/>
          <w:u w:val="single"/>
          <w:lang w:val="en-US" w:eastAsia="zh-CN"/>
        </w:rPr>
        <w:t>3</w:t>
      </w:r>
      <w:r>
        <w:rPr>
          <w:rFonts w:hint="eastAsia" w:ascii="宋体" w:hAnsi="宋体" w:cs="宋体"/>
          <w:b/>
          <w:sz w:val="22"/>
          <w:szCs w:val="22"/>
          <w:u w:val="single"/>
        </w:rPr>
        <w:t>、</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2"/>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4"/>
        <w:spacing w:before="120" w:after="120"/>
        <w:ind w:left="2" w:leftChars="1" w:firstLine="660" w:firstLineChars="300"/>
      </w:pPr>
      <w:r>
        <w:rPr>
          <w:rFonts w:hint="eastAsia" w:eastAsia="宋体"/>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10）</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pPr>
      <w:r>
        <w:rPr>
          <w:rFonts w:hint="eastAsia"/>
          <w:sz w:val="22"/>
          <w:szCs w:val="22"/>
          <w:lang w:val="en-US" w:eastAsia="zh-CN"/>
        </w:rPr>
        <w:t>3</w:t>
      </w:r>
      <w:r>
        <w:rPr>
          <w:rFonts w:hint="eastAsia"/>
          <w:sz w:val="22"/>
          <w:szCs w:val="22"/>
        </w:rPr>
        <w:t>）</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lang w:val="en-US" w:eastAsia="zh-CN"/>
        </w:rPr>
        <w:t>8</w:t>
      </w:r>
      <w:r>
        <w:rPr>
          <w:rFonts w:hint="eastAsia"/>
          <w:b/>
          <w:sz w:val="22"/>
          <w:szCs w:val="22"/>
        </w:rPr>
        <w:t>）</w:t>
      </w:r>
      <w:r>
        <w:rPr>
          <w:rFonts w:hint="eastAsia"/>
          <w:b/>
          <w:bCs/>
          <w:sz w:val="22"/>
          <w:szCs w:val="22"/>
        </w:rPr>
        <w:t>供应商自2017年1月1日以来类似业绩证明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lang w:val="en-US" w:eastAsia="zh-CN"/>
        </w:rPr>
        <w:t>9</w:t>
      </w:r>
      <w:r>
        <w:rPr>
          <w:rFonts w:hint="eastAsia"/>
          <w:sz w:val="22"/>
          <w:szCs w:val="22"/>
        </w:rPr>
        <w:t>）</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43"/>
      </w:pPr>
      <w:r>
        <w:rPr>
          <w:rFonts w:hint="eastAsia" w:ascii="新宋体" w:hAnsi="新宋体" w:eastAsia="新宋体"/>
          <w:sz w:val="22"/>
          <w:szCs w:val="22"/>
        </w:rPr>
        <w:t xml:space="preserve">    1</w:t>
      </w:r>
      <w:r>
        <w:rPr>
          <w:rFonts w:hint="eastAsia" w:ascii="新宋体" w:hAnsi="新宋体" w:eastAsia="新宋体"/>
          <w:sz w:val="22"/>
          <w:szCs w:val="22"/>
          <w:lang w:val="en-US" w:eastAsia="zh-CN"/>
        </w:rPr>
        <w:t>0</w:t>
      </w:r>
      <w:r>
        <w:rPr>
          <w:rFonts w:hint="eastAsia" w:ascii="新宋体" w:hAnsi="新宋体" w:eastAsia="新宋体"/>
          <w:sz w:val="22"/>
          <w:szCs w:val="22"/>
        </w:rPr>
        <w:t>）</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1</w:t>
      </w:r>
      <w:r>
        <w:rPr>
          <w:rFonts w:hint="eastAsia"/>
          <w:sz w:val="22"/>
          <w:szCs w:val="22"/>
        </w:rPr>
        <w:t>）</w:t>
      </w:r>
      <w:r>
        <w:rPr>
          <w:rFonts w:hint="eastAsia" w:ascii="宋体" w:hAnsi="宋体"/>
          <w:b/>
          <w:sz w:val="22"/>
          <w:szCs w:val="22"/>
        </w:rPr>
        <w:t>项目实施方案；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2</w:t>
      </w:r>
      <w:r>
        <w:rPr>
          <w:rFonts w:hint="eastAsia"/>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3</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3" w:name="_Toc132122115"/>
      <w:bookmarkStart w:id="4" w:name="_Toc132122412"/>
      <w:r>
        <w:rPr>
          <w:rFonts w:hint="eastAsia" w:cs="Arial"/>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5" w:name="_Toc132122117"/>
      <w:bookmarkStart w:id="6" w:name="_Toc132122414"/>
      <w:bookmarkStart w:id="7" w:name="_Toc132122118"/>
      <w:bookmarkStart w:id="8" w:name="_Toc132122415"/>
      <w:r>
        <w:rPr>
          <w:rFonts w:hint="eastAsia" w:cs="Arial"/>
          <w:sz w:val="22"/>
          <w:szCs w:val="22"/>
        </w:rPr>
        <w:t>5、投标文件的有效期</w:t>
      </w:r>
      <w:bookmarkEnd w:id="5"/>
      <w:bookmarkEnd w:id="6"/>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7"/>
    <w:bookmarkEnd w:id="8"/>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5"/>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527"/>
        <w:rPr>
          <w:rFonts w:cs="Arial"/>
          <w:color w:val="000000"/>
          <w:sz w:val="22"/>
          <w:szCs w:val="22"/>
        </w:rPr>
      </w:pPr>
      <w:r>
        <w:rPr>
          <w:rFonts w:hint="eastAsia" w:cs="Arial"/>
          <w:color w:val="000000"/>
          <w:sz w:val="22"/>
          <w:szCs w:val="22"/>
        </w:rPr>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（2）开启符合性审查、商务技术评审有效投标供应商的《报价文件》，公布开标一览表有关内容</w:t>
      </w:r>
      <w:r>
        <w:rPr>
          <w:rFonts w:cs="Arial"/>
          <w:color w:val="000000"/>
          <w:sz w:val="22"/>
          <w:szCs w:val="22"/>
        </w:rPr>
        <w:t>。</w:t>
      </w:r>
      <w:r>
        <w:rPr>
          <w:rFonts w:hint="eastAsia" w:cs="Arial"/>
          <w:color w:val="000000"/>
          <w:sz w:val="22"/>
          <w:szCs w:val="22"/>
        </w:rPr>
        <w:t>供应商</w:t>
      </w:r>
      <w:r>
        <w:rPr>
          <w:rFonts w:cs="Arial"/>
          <w:color w:val="000000"/>
          <w:sz w:val="22"/>
          <w:szCs w:val="22"/>
        </w:rPr>
        <w:t>签字确认（不予确认的应说明理由，否则视为无异议）唱标结束后，由评标委员会对报价的合理性、准确性等进行审查核实</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（3）评审结束后，公布中标（成交）候选供应商名单，及采购人最终确定中标或成交供应商名单的时间和公告方式等。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9" w:name="_Toc24550037"/>
      <w:bookmarkStart w:id="10" w:name="_Toc33194393"/>
      <w:r>
        <w:rPr>
          <w:rFonts w:hint="eastAsia" w:cs="Arial"/>
          <w:b/>
          <w:sz w:val="22"/>
          <w:szCs w:val="22"/>
        </w:rPr>
        <w:t>4、投标供应商资格审查</w:t>
      </w:r>
      <w:bookmarkEnd w:id="9"/>
      <w:bookmarkEnd w:id="10"/>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5"/>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5"/>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5"/>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5"/>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5"/>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5"/>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5"/>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5"/>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5"/>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5"/>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5"/>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080" w:bottom="1440" w:left="1080" w:header="851" w:footer="992" w:gutter="0"/>
          <w:cols w:space="720" w:num="1"/>
          <w:docGrid w:linePitch="312" w:charSpace="0"/>
        </w:sectPr>
      </w:pPr>
      <w:r>
        <w:rPr>
          <w:rFonts w:hint="eastAsia" w:ascii="宋体" w:hAnsi="宋体" w:cs="宋体"/>
          <w:sz w:val="22"/>
          <w:szCs w:val="22"/>
        </w:rPr>
        <w:t>5.2</w:t>
      </w:r>
      <w:r>
        <w:rPr>
          <w:rFonts w:hint="eastAsia" w:ascii="宋体" w:hAnsi="宋体" w:cs="宋体"/>
          <w:sz w:val="22"/>
        </w:rPr>
        <w:t>中标供应商在领取中标通知书时须携带法人代表证明原件或法定代表人授权书原件</w:t>
      </w:r>
      <w:r>
        <w:rPr>
          <w:rFonts w:hint="eastAsia" w:ascii="宋体" w:hAnsi="宋体" w:cs="宋体"/>
          <w:sz w:val="22"/>
          <w:szCs w:val="22"/>
        </w:rPr>
        <w:t>。</w:t>
      </w: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pacing w:line="440" w:lineRule="atLeast"/>
        <w:rPr>
          <w:color w:val="000000"/>
          <w:sz w:val="22"/>
          <w:szCs w:val="22"/>
        </w:rPr>
      </w:pPr>
      <w:r>
        <w:rPr>
          <w:rFonts w:hint="eastAsia"/>
          <w:color w:val="000000"/>
          <w:sz w:val="22"/>
          <w:szCs w:val="22"/>
        </w:rPr>
        <w:t>（1）关于印发《政府采购促进中小企业发展暂行办法》的通知（财库[2011]181号）</w:t>
      </w:r>
    </w:p>
    <w:p>
      <w:pPr>
        <w:spacing w:line="440" w:lineRule="atLeast"/>
        <w:rPr>
          <w:color w:val="000000"/>
          <w:sz w:val="22"/>
          <w:szCs w:val="22"/>
        </w:rPr>
      </w:pPr>
      <w:r>
        <w:rPr>
          <w:rFonts w:hint="eastAsia"/>
          <w:color w:val="000000"/>
          <w:sz w:val="22"/>
          <w:szCs w:val="22"/>
        </w:rPr>
        <w:t>（2）浙江省财政厅转发财政部 工业和信息化部关于印发《政府采购促进中小企业发展暂行办法》的通知（浙财采监[2012]11号）</w:t>
      </w:r>
    </w:p>
    <w:p>
      <w:pPr>
        <w:spacing w:line="440" w:lineRule="atLeast"/>
        <w:rPr>
          <w:color w:val="000000"/>
          <w:sz w:val="22"/>
          <w:szCs w:val="22"/>
        </w:rPr>
      </w:pPr>
      <w:r>
        <w:rPr>
          <w:rFonts w:hint="eastAsia"/>
          <w:color w:val="000000"/>
          <w:sz w:val="22"/>
          <w:szCs w:val="22"/>
        </w:rPr>
        <w:t>（3）浙江省财政厅、浙江省经济和信息化委员会《关于简化中小企业类别确认流程有关事项的通知》(浙财采监[2018]2号)</w:t>
      </w:r>
    </w:p>
    <w:p>
      <w:pPr>
        <w:spacing w:line="440" w:lineRule="atLeast"/>
        <w:rPr>
          <w:color w:val="000000"/>
          <w:sz w:val="22"/>
          <w:szCs w:val="22"/>
        </w:rPr>
      </w:pPr>
      <w:r>
        <w:rPr>
          <w:rFonts w:hint="eastAsia"/>
          <w:color w:val="000000"/>
          <w:sz w:val="22"/>
          <w:szCs w:val="22"/>
        </w:rPr>
        <w:t>（4）浙江省省财政厅《关于开展政府采购供应商网上注册登记和诚信管理工作的通知》（浙财采监〔2010〕8号)</w:t>
      </w:r>
    </w:p>
    <w:p>
      <w:pPr>
        <w:spacing w:line="440" w:lineRule="atLeast"/>
        <w:rPr>
          <w:color w:val="000000"/>
          <w:sz w:val="22"/>
          <w:szCs w:val="22"/>
        </w:rPr>
      </w:pPr>
      <w:r>
        <w:rPr>
          <w:rFonts w:hint="eastAsia"/>
          <w:color w:val="000000"/>
          <w:sz w:val="22"/>
          <w:szCs w:val="22"/>
        </w:rPr>
        <w:t>（5）《工业和信息化部、国家统计局、国家发展和改革委员会、财政部关于印发中小企业划型标准规定的通知》（</w:t>
      </w:r>
      <w:r>
        <w:rPr>
          <w:color w:val="000000"/>
          <w:sz w:val="22"/>
          <w:szCs w:val="22"/>
        </w:rPr>
        <w:t>工信部联企业[2011]300号</w:t>
      </w:r>
      <w:r>
        <w:rPr>
          <w:rFonts w:hint="eastAsia"/>
          <w:color w:val="000000"/>
          <w:sz w:val="22"/>
          <w:szCs w:val="22"/>
        </w:rPr>
        <w:t>）</w:t>
      </w:r>
    </w:p>
    <w:p>
      <w:pPr>
        <w:spacing w:line="440" w:lineRule="atLeast"/>
        <w:rPr>
          <w:color w:val="000000"/>
          <w:sz w:val="22"/>
          <w:szCs w:val="22"/>
        </w:rPr>
      </w:pPr>
      <w:r>
        <w:rPr>
          <w:rFonts w:hint="eastAsia"/>
          <w:color w:val="000000"/>
          <w:sz w:val="22"/>
          <w:szCs w:val="22"/>
        </w:rPr>
        <w:t>（6）财政部、司法部《关于政府采购支持监狱企业发展有关问题的通知》（财库〔2014〕68号）</w:t>
      </w:r>
    </w:p>
    <w:p>
      <w:pPr>
        <w:spacing w:line="440" w:lineRule="atLeast"/>
        <w:rPr>
          <w:color w:val="000000"/>
          <w:sz w:val="22"/>
          <w:szCs w:val="22"/>
        </w:rPr>
      </w:pPr>
      <w:r>
        <w:rPr>
          <w:rFonts w:hint="eastAsia"/>
          <w:color w:val="000000"/>
          <w:sz w:val="22"/>
          <w:szCs w:val="22"/>
        </w:rPr>
        <w:t>（7）《财政部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color w:val="000000"/>
          <w:sz w:val="22"/>
          <w:szCs w:val="22"/>
        </w:rPr>
      </w:pPr>
    </w:p>
    <w:p>
      <w:pPr>
        <w:spacing w:line="440" w:lineRule="atLeast"/>
        <w:jc w:val="center"/>
        <w:rPr>
          <w:color w:val="000000"/>
          <w:sz w:val="22"/>
          <w:szCs w:val="22"/>
        </w:rPr>
      </w:pPr>
      <w:r>
        <w:rPr>
          <w:rFonts w:hint="eastAsia"/>
          <w:color w:val="000000"/>
          <w:sz w:val="22"/>
          <w:szCs w:val="22"/>
        </w:rPr>
        <w:t>中小企业声明函</w:t>
      </w:r>
    </w:p>
    <w:p>
      <w:pPr>
        <w:spacing w:line="440" w:lineRule="atLeast"/>
        <w:rPr>
          <w:color w:val="000000"/>
          <w:sz w:val="22"/>
          <w:szCs w:val="22"/>
        </w:rPr>
      </w:pPr>
      <w:r>
        <w:rPr>
          <w:rFonts w:hint="eastAsia"/>
          <w:color w:val="000000"/>
          <w:sz w:val="22"/>
          <w:szCs w:val="22"/>
        </w:rPr>
        <w:t>本公司郑重声明，根据《政府采购促进中小企业发展暂行办法》（财库[2011]181号）的规定，本公司为______（请填写：中型、小型、微型）企业。即，本公司同时满足以下条件：</w:t>
      </w:r>
      <w:r>
        <w:rPr>
          <w:rFonts w:hint="eastAsia"/>
          <w:color w:val="000000"/>
          <w:sz w:val="22"/>
          <w:szCs w:val="22"/>
        </w:rPr>
        <w:br w:type="textWrapping"/>
      </w:r>
      <w:r>
        <w:rPr>
          <w:rFonts w:hint="eastAsia"/>
          <w:color w:val="000000"/>
          <w:sz w:val="22"/>
          <w:szCs w:val="22"/>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000000"/>
          <w:sz w:val="22"/>
          <w:szCs w:val="22"/>
        </w:rPr>
        <w:br w:type="textWrapping"/>
      </w:r>
      <w:r>
        <w:rPr>
          <w:rFonts w:hint="eastAsia"/>
          <w:color w:val="000000"/>
          <w:sz w:val="22"/>
          <w:szCs w:val="22"/>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color w:val="000000"/>
          <w:sz w:val="22"/>
          <w:szCs w:val="22"/>
        </w:rPr>
        <w:br w:type="textWrapping"/>
      </w:r>
      <w:r>
        <w:rPr>
          <w:rFonts w:hint="eastAsia"/>
          <w:color w:val="000000"/>
          <w:sz w:val="22"/>
          <w:szCs w:val="22"/>
        </w:rPr>
        <w:t>    本公司对上述声明的真实性负责。如有虚假，将依法承担相应责任。</w:t>
      </w:r>
    </w:p>
    <w:p>
      <w:pPr>
        <w:spacing w:line="440" w:lineRule="atLeast"/>
        <w:rPr>
          <w:color w:val="000000"/>
          <w:sz w:val="22"/>
          <w:szCs w:val="22"/>
        </w:rPr>
      </w:pPr>
    </w:p>
    <w:p>
      <w:pPr>
        <w:spacing w:line="440" w:lineRule="atLeast"/>
        <w:rPr>
          <w:color w:val="000000"/>
          <w:sz w:val="22"/>
          <w:szCs w:val="22"/>
        </w:rPr>
      </w:pPr>
      <w:r>
        <w:rPr>
          <w:rFonts w:hint="eastAsia"/>
          <w:color w:val="000000"/>
          <w:sz w:val="22"/>
          <w:szCs w:val="22"/>
        </w:rPr>
        <w:t>投标供应商名称（盖章）：                </w:t>
      </w:r>
      <w:r>
        <w:rPr>
          <w:rFonts w:hint="eastAsia"/>
          <w:color w:val="000000"/>
          <w:sz w:val="22"/>
          <w:szCs w:val="22"/>
        </w:rPr>
        <w:br w:type="textWrapping"/>
      </w:r>
      <w:r>
        <w:rPr>
          <w:rFonts w:hint="eastAsia"/>
          <w:color w:val="000000"/>
          <w:sz w:val="22"/>
          <w:szCs w:val="22"/>
        </w:rPr>
        <w:t>日期：                             　　　　　</w:t>
      </w:r>
    </w:p>
    <w:p>
      <w:pPr>
        <w:spacing w:line="588" w:lineRule="exact"/>
        <w:jc w:val="center"/>
        <w:rPr>
          <w:color w:val="000000"/>
          <w:spacing w:val="6"/>
          <w:sz w:val="22"/>
          <w:szCs w:val="22"/>
        </w:rPr>
      </w:pPr>
      <w:bookmarkStart w:id="11" w:name="OLE_LINK14"/>
      <w:bookmarkStart w:id="12" w:name="OLE_LINK13"/>
      <w:r>
        <w:rPr>
          <w:rFonts w:hint="eastAsia"/>
          <w:color w:val="000000"/>
          <w:spacing w:val="6"/>
          <w:sz w:val="22"/>
          <w:szCs w:val="22"/>
        </w:rPr>
        <w:t>残疾人福利性单位声明函</w:t>
      </w:r>
    </w:p>
    <w:bookmarkEnd w:id="11"/>
    <w:bookmarkEnd w:id="12"/>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spacing w:line="588" w:lineRule="exact"/>
        <w:ind w:firstLine="464" w:firstLineChars="200"/>
        <w:rPr>
          <w:color w:val="000000"/>
          <w:spacing w:val="6"/>
          <w:sz w:val="22"/>
          <w:szCs w:val="22"/>
        </w:rPr>
      </w:pPr>
      <w:r>
        <w:rPr>
          <w:rFonts w:hint="eastAsia"/>
          <w:color w:val="000000"/>
          <w:spacing w:val="6"/>
          <w:sz w:val="22"/>
          <w:szCs w:val="22"/>
        </w:rPr>
        <w:t>备注说明：</w:t>
      </w:r>
    </w:p>
    <w:p>
      <w:pPr>
        <w:spacing w:line="588" w:lineRule="exact"/>
        <w:ind w:firstLine="464" w:firstLineChars="200"/>
        <w:rPr>
          <w:color w:val="000000"/>
          <w:spacing w:val="6"/>
          <w:sz w:val="22"/>
          <w:szCs w:val="22"/>
        </w:rPr>
      </w:pPr>
      <w:r>
        <w:rPr>
          <w:rFonts w:hint="eastAsia"/>
          <w:color w:val="000000"/>
          <w:spacing w:val="6"/>
          <w:sz w:val="22"/>
          <w:szCs w:val="22"/>
        </w:rPr>
        <w:t>1、如中标，将在中标公示中将此残疾人福利性单位声明函予以公示，接受社会监督；</w:t>
      </w:r>
    </w:p>
    <w:p>
      <w:pPr>
        <w:spacing w:line="588" w:lineRule="exact"/>
        <w:ind w:firstLine="464" w:firstLineChars="200"/>
        <w:rPr>
          <w:color w:val="000000"/>
          <w:spacing w:val="6"/>
          <w:sz w:val="22"/>
          <w:szCs w:val="22"/>
        </w:rPr>
      </w:pPr>
      <w:r>
        <w:rPr>
          <w:rFonts w:hint="eastAsia"/>
          <w:color w:val="000000"/>
          <w:spacing w:val="6"/>
          <w:sz w:val="22"/>
          <w:szCs w:val="22"/>
        </w:rPr>
        <w:t>2、供应商提供的《残疾人福利性单位声明函》与事实不符的，依照《政府采购法》第七十七条第一款的规定追究法律责任。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二、节能、环保产品优先（强制）采购政策说明</w:t>
      </w:r>
    </w:p>
    <w:p>
      <w:pPr>
        <w:spacing w:line="588" w:lineRule="exact"/>
        <w:ind w:firstLine="464" w:firstLineChars="200"/>
        <w:rPr>
          <w:color w:val="000000"/>
          <w:spacing w:val="6"/>
          <w:sz w:val="22"/>
          <w:szCs w:val="22"/>
        </w:rPr>
      </w:pPr>
      <w:r>
        <w:rPr>
          <w:rFonts w:hint="eastAsia"/>
          <w:color w:val="000000"/>
          <w:spacing w:val="6"/>
          <w:sz w:val="22"/>
          <w:szCs w:val="22"/>
        </w:rPr>
        <w:t>1、政策依据</w:t>
      </w:r>
    </w:p>
    <w:p>
      <w:pPr>
        <w:spacing w:line="588" w:lineRule="exact"/>
        <w:ind w:firstLine="464" w:firstLineChars="200"/>
        <w:rPr>
          <w:color w:val="000000"/>
          <w:spacing w:val="6"/>
          <w:sz w:val="22"/>
          <w:szCs w:val="22"/>
        </w:rPr>
      </w:pPr>
      <w:r>
        <w:rPr>
          <w:rFonts w:hint="eastAsia"/>
          <w:color w:val="000000"/>
          <w:spacing w:val="6"/>
          <w:sz w:val="22"/>
          <w:szCs w:val="22"/>
        </w:rPr>
        <w:t>（一）《国务院办公厅关于建立政府强制采购节能产品制度的通知》(国办发[2007]51号)</w:t>
      </w:r>
    </w:p>
    <w:p>
      <w:pPr>
        <w:spacing w:line="588" w:lineRule="exact"/>
        <w:ind w:firstLine="464" w:firstLineChars="200"/>
        <w:rPr>
          <w:color w:val="000000"/>
          <w:spacing w:val="6"/>
          <w:sz w:val="22"/>
          <w:szCs w:val="22"/>
        </w:rPr>
      </w:pPr>
      <w:r>
        <w:rPr>
          <w:rFonts w:hint="eastAsia"/>
          <w:color w:val="000000"/>
          <w:spacing w:val="6"/>
          <w:sz w:val="22"/>
          <w:szCs w:val="22"/>
        </w:rPr>
        <w:t>（二）财政部、发展改革委发布的《节能产品政府采购实施意见》(财库[2004]185号)</w:t>
      </w:r>
    </w:p>
    <w:p>
      <w:pPr>
        <w:spacing w:line="588" w:lineRule="exact"/>
        <w:ind w:firstLine="464" w:firstLineChars="200"/>
        <w:rPr>
          <w:color w:val="000000"/>
          <w:spacing w:val="6"/>
          <w:sz w:val="22"/>
          <w:szCs w:val="22"/>
        </w:rPr>
      </w:pPr>
      <w:r>
        <w:rPr>
          <w:rFonts w:hint="eastAsia"/>
          <w:color w:val="000000"/>
          <w:spacing w:val="6"/>
          <w:sz w:val="22"/>
          <w:szCs w:val="22"/>
        </w:rPr>
        <w:t>（三）财政部、原环保总局印发的《环境标志产品政府采购实施的意见》（财库 [2006]90号）</w:t>
      </w:r>
    </w:p>
    <w:p>
      <w:pPr>
        <w:spacing w:line="588" w:lineRule="exact"/>
        <w:ind w:firstLine="464" w:firstLineChars="200"/>
        <w:rPr>
          <w:color w:val="000000"/>
          <w:spacing w:val="6"/>
          <w:sz w:val="22"/>
          <w:szCs w:val="22"/>
        </w:rPr>
      </w:pPr>
      <w:r>
        <w:rPr>
          <w:rFonts w:hint="eastAsia"/>
          <w:color w:val="000000"/>
          <w:spacing w:val="6"/>
          <w:sz w:val="22"/>
          <w:szCs w:val="22"/>
        </w:rPr>
        <w:t>2、供应商投标货物属于节能、环保优先（强制）采购范围的，须提供相关证明材料。</w:t>
      </w:r>
    </w:p>
    <w:p>
      <w:pPr>
        <w:spacing w:line="588" w:lineRule="exact"/>
        <w:ind w:firstLine="464" w:firstLineChars="200"/>
        <w:rPr>
          <w:color w:val="000000"/>
          <w:spacing w:val="6"/>
          <w:sz w:val="22"/>
          <w:szCs w:val="22"/>
        </w:rPr>
      </w:pP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6"/>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3"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26"/>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65"/>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65"/>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1"/>
        <w:rPr>
          <w:rFonts w:ascii="宋体" w:hAnsi="宋体"/>
          <w:sz w:val="36"/>
        </w:rPr>
      </w:pPr>
    </w:p>
    <w:p>
      <w:pPr>
        <w:rPr>
          <w:rFonts w:ascii="宋体" w:hAnsi="宋体"/>
          <w:sz w:val="36"/>
        </w:rPr>
      </w:pPr>
    </w:p>
    <w:p>
      <w:pPr>
        <w:pStyle w:val="2"/>
        <w:rPr>
          <w:rFonts w:ascii="宋体" w:hAnsi="宋体"/>
          <w:sz w:val="36"/>
        </w:rPr>
      </w:pPr>
    </w:p>
    <w:p>
      <w:pPr>
        <w:rPr>
          <w:rFonts w:ascii="宋体" w:hAnsi="宋体"/>
          <w:sz w:val="36"/>
        </w:rPr>
      </w:pPr>
    </w:p>
    <w:p>
      <w:pPr>
        <w:pStyle w:val="2"/>
      </w:pPr>
    </w:p>
    <w:p>
      <w:pPr>
        <w:widowControl/>
        <w:autoSpaceDE w:val="0"/>
        <w:autoSpaceDN w:val="0"/>
        <w:snapToGrid w:val="0"/>
        <w:spacing w:line="420" w:lineRule="exact"/>
        <w:ind w:firstLine="450"/>
        <w:jc w:val="center"/>
        <w:rPr>
          <w:color w:val="000000"/>
          <w:sz w:val="32"/>
          <w:szCs w:val="22"/>
        </w:rPr>
      </w:pPr>
    </w:p>
    <w:p>
      <w:pPr>
        <w:snapToGrid w:val="0"/>
        <w:spacing w:line="420" w:lineRule="exact"/>
        <w:jc w:val="center"/>
        <w:rPr>
          <w:rFonts w:hint="eastAsia" w:ascii="宋体" w:hAnsi="宋体"/>
          <w:color w:val="000000"/>
          <w:sz w:val="36"/>
          <w:szCs w:val="36"/>
        </w:rPr>
      </w:pPr>
      <w:r>
        <w:rPr>
          <w:rFonts w:hint="eastAsia" w:ascii="宋体" w:hAnsi="宋体"/>
          <w:color w:val="000000"/>
          <w:sz w:val="36"/>
          <w:szCs w:val="36"/>
        </w:rPr>
        <w:t>第五部分</w:t>
      </w:r>
      <w:r>
        <w:rPr>
          <w:rFonts w:hint="eastAsia" w:ascii="宋体" w:hAnsi="宋体"/>
          <w:color w:val="000000"/>
          <w:sz w:val="36"/>
          <w:szCs w:val="36"/>
          <w:lang w:val="en-US" w:eastAsia="zh-CN"/>
        </w:rPr>
        <w:t xml:space="preserve">  </w:t>
      </w:r>
      <w:r>
        <w:rPr>
          <w:rFonts w:hint="eastAsia" w:ascii="宋体" w:hAnsi="宋体"/>
          <w:color w:val="000000"/>
          <w:sz w:val="36"/>
          <w:szCs w:val="36"/>
        </w:rPr>
        <w:t>合同格式（供参考）</w:t>
      </w:r>
    </w:p>
    <w:p>
      <w:pPr>
        <w:pStyle w:val="15"/>
        <w:tabs>
          <w:tab w:val="left" w:pos="1651"/>
        </w:tabs>
        <w:adjustRightInd w:val="0"/>
        <w:snapToGrid w:val="0"/>
        <w:spacing w:line="440" w:lineRule="atLeast"/>
        <w:ind w:firstLine="431" w:firstLineChars="196"/>
        <w:jc w:val="left"/>
        <w:rPr>
          <w:rFonts w:hint="eastAsia" w:hAnsi="宋体"/>
          <w:color w:val="000000"/>
          <w:sz w:val="22"/>
          <w:szCs w:val="22"/>
        </w:rPr>
      </w:pPr>
    </w:p>
    <w:p>
      <w:pPr>
        <w:pStyle w:val="15"/>
        <w:tabs>
          <w:tab w:val="left" w:pos="1651"/>
        </w:tabs>
        <w:adjustRightInd w:val="0"/>
        <w:snapToGrid w:val="0"/>
        <w:spacing w:line="440" w:lineRule="atLeast"/>
        <w:ind w:firstLine="431" w:firstLineChars="196"/>
        <w:jc w:val="left"/>
        <w:rPr>
          <w:rFonts w:hint="eastAsia" w:hAnsi="宋体"/>
          <w:sz w:val="22"/>
          <w:szCs w:val="22"/>
        </w:rPr>
      </w:pPr>
      <w:r>
        <w:rPr>
          <w:rFonts w:hint="eastAsia" w:hAnsi="宋体"/>
          <w:color w:val="000000"/>
          <w:sz w:val="22"/>
          <w:szCs w:val="22"/>
        </w:rPr>
        <w:t>浙江亿邦建设咨询有限公司受     委托，对服务进行招标（编号：  ），经招标确定</w:t>
      </w:r>
      <w:r>
        <w:rPr>
          <w:rFonts w:hint="eastAsia" w:hAnsi="宋体"/>
          <w:color w:val="000000"/>
          <w:sz w:val="22"/>
          <w:szCs w:val="22"/>
          <w:u w:val="single"/>
        </w:rPr>
        <w:t xml:space="preserve">                  </w:t>
      </w:r>
      <w:r>
        <w:rPr>
          <w:rFonts w:hint="eastAsia" w:hAnsi="宋体"/>
          <w:color w:val="000000"/>
          <w:sz w:val="22"/>
          <w:szCs w:val="22"/>
        </w:rPr>
        <w:t>为中标人。甲、乙双方同意按照</w:t>
      </w:r>
      <w:r>
        <w:rPr>
          <w:rFonts w:hint="eastAsia" w:hAnsi="宋体"/>
          <w:sz w:val="22"/>
          <w:szCs w:val="22"/>
        </w:rPr>
        <w:t>下面的条款和条件，签署本合同。</w:t>
      </w:r>
    </w:p>
    <w:p>
      <w:pPr>
        <w:pStyle w:val="15"/>
        <w:adjustRightInd w:val="0"/>
        <w:snapToGrid w:val="0"/>
        <w:spacing w:line="440" w:lineRule="atLeast"/>
        <w:rPr>
          <w:rFonts w:hint="eastAsia" w:hAnsi="宋体" w:cs="Arial"/>
          <w:sz w:val="22"/>
          <w:szCs w:val="22"/>
        </w:rPr>
      </w:pPr>
      <w:r>
        <w:rPr>
          <w:rFonts w:hint="eastAsia" w:hAnsi="宋体"/>
          <w:sz w:val="22"/>
          <w:szCs w:val="22"/>
        </w:rPr>
        <w:t xml:space="preserve">  </w:t>
      </w:r>
    </w:p>
    <w:p>
      <w:pPr>
        <w:pStyle w:val="15"/>
        <w:adjustRightInd w:val="0"/>
        <w:snapToGrid w:val="0"/>
        <w:spacing w:line="440" w:lineRule="atLeast"/>
        <w:rPr>
          <w:rFonts w:hint="eastAsia" w:hAnsi="宋体" w:cs="Arial"/>
          <w:color w:val="000000"/>
          <w:sz w:val="22"/>
          <w:szCs w:val="22"/>
        </w:rPr>
      </w:pPr>
    </w:p>
    <w:p>
      <w:pPr>
        <w:pStyle w:val="3"/>
        <w:spacing w:before="120" w:after="120" w:line="460" w:lineRule="exact"/>
        <w:rPr>
          <w:rFonts w:hint="eastAsia" w:ascii="新宋体" w:hAnsi="新宋体" w:eastAsia="新宋体"/>
          <w:bCs/>
          <w:color w:val="000000"/>
          <w:sz w:val="32"/>
          <w:szCs w:val="32"/>
        </w:rPr>
      </w:pPr>
      <w:r>
        <w:rPr>
          <w:rFonts w:hint="eastAsia" w:ascii="新宋体" w:hAnsi="新宋体" w:eastAsia="新宋体"/>
          <w:bCs/>
          <w:color w:val="000000"/>
          <w:sz w:val="32"/>
          <w:szCs w:val="32"/>
        </w:rPr>
        <w:t>合同主要条款</w:t>
      </w:r>
      <w:bookmarkStart w:id="13" w:name="_Toc267411305"/>
      <w:bookmarkStart w:id="14" w:name="_Toc16610"/>
      <w:bookmarkStart w:id="15" w:name="_Toc305049386"/>
    </w:p>
    <w:p>
      <w:pPr>
        <w:tabs>
          <w:tab w:val="left" w:pos="4830"/>
        </w:tabs>
        <w:rPr>
          <w:rFonts w:hint="eastAsia"/>
        </w:rPr>
      </w:pPr>
    </w:p>
    <w:p>
      <w:pPr>
        <w:tabs>
          <w:tab w:val="left" w:pos="4830"/>
        </w:tabs>
        <w:rPr>
          <w:rFonts w:hint="eastAsia"/>
        </w:rPr>
      </w:pPr>
    </w:p>
    <w:bookmarkEnd w:id="13"/>
    <w:bookmarkEnd w:id="14"/>
    <w:bookmarkEnd w:id="15"/>
    <w:p>
      <w:pPr>
        <w:tabs>
          <w:tab w:val="left" w:pos="4830"/>
        </w:tabs>
        <w:spacing w:line="360" w:lineRule="exact"/>
        <w:jc w:val="center"/>
        <w:rPr>
          <w:rFonts w:hint="eastAsia" w:ascii="新宋体" w:hAnsi="新宋体" w:eastAsia="新宋体"/>
          <w:color w:val="000000"/>
          <w:sz w:val="28"/>
        </w:rPr>
      </w:pPr>
    </w:p>
    <w:p>
      <w:pPr>
        <w:tabs>
          <w:tab w:val="left" w:pos="4830"/>
        </w:tabs>
        <w:spacing w:line="360" w:lineRule="exact"/>
        <w:jc w:val="center"/>
        <w:rPr>
          <w:rFonts w:hint="eastAsia" w:ascii="新宋体" w:hAnsi="新宋体" w:eastAsia="新宋体"/>
          <w:color w:val="000000"/>
          <w:sz w:val="28"/>
        </w:rPr>
      </w:pPr>
    </w:p>
    <w:p>
      <w:pPr>
        <w:tabs>
          <w:tab w:val="left" w:pos="4830"/>
        </w:tabs>
        <w:spacing w:line="360" w:lineRule="exact"/>
        <w:jc w:val="center"/>
        <w:rPr>
          <w:rFonts w:hint="eastAsia" w:ascii="新宋体" w:hAnsi="新宋体" w:eastAsia="新宋体"/>
          <w:color w:val="000000"/>
          <w:sz w:val="28"/>
        </w:rPr>
      </w:pPr>
    </w:p>
    <w:p>
      <w:pPr>
        <w:tabs>
          <w:tab w:val="left" w:pos="4830"/>
        </w:tabs>
        <w:spacing w:line="360" w:lineRule="exact"/>
        <w:jc w:val="center"/>
        <w:rPr>
          <w:rFonts w:hint="eastAsia" w:eastAsia="黑体"/>
          <w:color w:val="000000"/>
          <w:sz w:val="32"/>
        </w:rPr>
      </w:pPr>
    </w:p>
    <w:p>
      <w:pPr>
        <w:tabs>
          <w:tab w:val="left" w:pos="4830"/>
        </w:tabs>
        <w:spacing w:line="360" w:lineRule="exact"/>
        <w:jc w:val="center"/>
        <w:rPr>
          <w:rFonts w:hint="eastAsia" w:eastAsia="黑体"/>
          <w:color w:val="000000"/>
          <w:sz w:val="32"/>
        </w:rPr>
      </w:pPr>
    </w:p>
    <w:p>
      <w:pPr>
        <w:tabs>
          <w:tab w:val="left" w:pos="4830"/>
        </w:tabs>
        <w:spacing w:line="360" w:lineRule="exact"/>
        <w:rPr>
          <w:rFonts w:hint="eastAsia" w:ascii="新宋体" w:hAnsi="新宋体" w:eastAsia="新宋体"/>
          <w:color w:val="000000"/>
          <w:sz w:val="28"/>
        </w:rPr>
      </w:pPr>
    </w:p>
    <w:p>
      <w:pPr>
        <w:tabs>
          <w:tab w:val="left" w:pos="4830"/>
        </w:tabs>
        <w:spacing w:line="360" w:lineRule="exact"/>
        <w:rPr>
          <w:rFonts w:hint="eastAsia" w:ascii="新宋体" w:hAnsi="新宋体" w:eastAsia="新宋体"/>
          <w:color w:val="000000"/>
          <w:sz w:val="28"/>
        </w:rPr>
      </w:pP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项 目 名 称：______________________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项 目 地 点：______________________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合 同 编 号：______________________</w:t>
      </w:r>
    </w:p>
    <w:p>
      <w:pPr>
        <w:tabs>
          <w:tab w:val="left" w:pos="4830"/>
        </w:tabs>
        <w:spacing w:line="440" w:lineRule="exact"/>
        <w:ind w:firstLine="2413" w:firstLineChars="862"/>
        <w:rPr>
          <w:rFonts w:hint="eastAsia" w:ascii="新宋体" w:hAnsi="新宋体" w:eastAsia="新宋体"/>
          <w:color w:val="000000"/>
          <w:sz w:val="28"/>
        </w:rPr>
      </w:pPr>
    </w:p>
    <w:p>
      <w:pPr>
        <w:tabs>
          <w:tab w:val="left" w:pos="4830"/>
        </w:tabs>
        <w:spacing w:line="440" w:lineRule="exact"/>
        <w:ind w:firstLine="2413" w:firstLineChars="862"/>
        <w:rPr>
          <w:rFonts w:hint="eastAsia" w:ascii="新宋体" w:hAnsi="新宋体" w:eastAsia="新宋体"/>
          <w:color w:val="000000"/>
          <w:sz w:val="28"/>
        </w:rPr>
      </w:pP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 xml:space="preserve"> </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委   托   方：_____________________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承   包   方：_____________________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签  订 日 期：_____________________</w:t>
      </w: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spacing w:line="360" w:lineRule="exact"/>
        <w:rPr>
          <w:rFonts w:hint="eastAsia" w:ascii="新宋体" w:hAnsi="新宋体" w:eastAsia="新宋体"/>
          <w:color w:val="000000"/>
          <w:sz w:val="22"/>
        </w:rPr>
      </w:pPr>
    </w:p>
    <w:p>
      <w:pPr>
        <w:spacing w:line="360" w:lineRule="exact"/>
        <w:rPr>
          <w:rFonts w:hint="eastAsia" w:ascii="新宋体" w:hAnsi="新宋体" w:eastAsia="新宋体"/>
          <w:color w:val="000000"/>
          <w:sz w:val="22"/>
        </w:rPr>
      </w:pPr>
    </w:p>
    <w:p>
      <w:pPr>
        <w:spacing w:line="360" w:lineRule="exact"/>
        <w:rPr>
          <w:rFonts w:hint="eastAsia" w:ascii="新宋体" w:hAnsi="新宋体" w:eastAsia="新宋体"/>
          <w:color w:val="000000"/>
          <w:sz w:val="22"/>
        </w:rPr>
      </w:pPr>
    </w:p>
    <w:p>
      <w:pPr>
        <w:spacing w:line="460" w:lineRule="exact"/>
        <w:textAlignment w:val="bottom"/>
        <w:rPr>
          <w:rFonts w:ascii="宋体" w:hAnsi="宋体"/>
          <w:b/>
          <w:sz w:val="22"/>
        </w:rPr>
      </w:pPr>
      <w:r>
        <w:rPr>
          <w:rFonts w:hint="eastAsia" w:ascii="宋体" w:hAnsi="宋体"/>
          <w:b/>
          <w:sz w:val="22"/>
        </w:rPr>
        <w:t>注：该合同样本仅做参考，中标后，以采购人与供应商签订的正式合同为准，但此合同的条款不得偏离。</w:t>
      </w:r>
    </w:p>
    <w:p>
      <w:pPr>
        <w:spacing w:line="460" w:lineRule="exact"/>
        <w:textAlignment w:val="bottom"/>
        <w:rPr>
          <w:rFonts w:ascii="宋体" w:hAnsi="宋体"/>
          <w:b/>
          <w:sz w:val="22"/>
        </w:rPr>
      </w:pPr>
      <w:r>
        <w:rPr>
          <w:rFonts w:hint="eastAsia" w:ascii="宋体" w:hAnsi="宋体"/>
          <w:b/>
          <w:sz w:val="22"/>
        </w:rPr>
        <w:t>合同编号：</w:t>
      </w:r>
    </w:p>
    <w:p>
      <w:pPr>
        <w:spacing w:line="460" w:lineRule="exact"/>
        <w:rPr>
          <w:rFonts w:ascii="宋体" w:hAnsi="宋体"/>
          <w:sz w:val="22"/>
        </w:rPr>
      </w:pPr>
      <w:r>
        <w:rPr>
          <w:rFonts w:hint="eastAsia" w:ascii="宋体" w:hAnsi="宋体"/>
          <w:sz w:val="22"/>
        </w:rPr>
        <w:t xml:space="preserve">甲方(采购人）： </w:t>
      </w:r>
    </w:p>
    <w:p>
      <w:pPr>
        <w:spacing w:line="460" w:lineRule="exact"/>
        <w:rPr>
          <w:rFonts w:ascii="宋体" w:hAnsi="宋体"/>
          <w:sz w:val="22"/>
        </w:rPr>
      </w:pPr>
      <w:r>
        <w:rPr>
          <w:rFonts w:hint="eastAsia" w:ascii="宋体" w:hAnsi="宋体"/>
          <w:sz w:val="22"/>
        </w:rPr>
        <w:t>法定代表人：</w:t>
      </w:r>
    </w:p>
    <w:p>
      <w:pPr>
        <w:spacing w:line="460" w:lineRule="exact"/>
        <w:rPr>
          <w:rFonts w:ascii="宋体" w:hAnsi="宋体"/>
          <w:sz w:val="22"/>
        </w:rPr>
      </w:pPr>
      <w:r>
        <w:rPr>
          <w:rFonts w:hint="eastAsia" w:ascii="宋体" w:hAnsi="宋体"/>
          <w:sz w:val="22"/>
        </w:rPr>
        <w:t>乙方（中标供应商）：</w:t>
      </w:r>
    </w:p>
    <w:p>
      <w:pPr>
        <w:spacing w:line="460" w:lineRule="exact"/>
        <w:rPr>
          <w:rFonts w:ascii="宋体" w:hAnsi="宋体"/>
          <w:sz w:val="22"/>
        </w:rPr>
      </w:pPr>
      <w:r>
        <w:rPr>
          <w:rFonts w:hint="eastAsia" w:ascii="宋体" w:hAnsi="宋体"/>
          <w:sz w:val="22"/>
        </w:rPr>
        <w:t>法定代表人：</w:t>
      </w:r>
    </w:p>
    <w:p>
      <w:pPr>
        <w:pStyle w:val="15"/>
        <w:snapToGrid w:val="0"/>
        <w:spacing w:after="120" w:line="460" w:lineRule="exact"/>
        <w:ind w:firstLine="420" w:firstLineChars="200"/>
      </w:pPr>
      <w:r>
        <w:rPr>
          <w:rFonts w:hint="eastAsia"/>
        </w:rPr>
        <w:t>双方经协商，就</w:t>
      </w:r>
      <w:r>
        <w:rPr>
          <w:rFonts w:hint="eastAsia"/>
          <w:u w:val="single"/>
        </w:rPr>
        <w:t xml:space="preserve">                                    </w:t>
      </w:r>
      <w:r>
        <w:rPr>
          <w:rFonts w:hint="eastAsia"/>
        </w:rPr>
        <w:t>项目事宜达成以下条款：</w:t>
      </w:r>
    </w:p>
    <w:p>
      <w:pPr>
        <w:pStyle w:val="15"/>
        <w:snapToGrid w:val="0"/>
        <w:spacing w:after="120" w:line="460" w:lineRule="exact"/>
      </w:pPr>
      <w:r>
        <w:rPr>
          <w:rFonts w:hint="eastAsia"/>
        </w:rPr>
        <w:t xml:space="preserve">1.   </w:t>
      </w:r>
      <w:r>
        <w:rPr>
          <w:rFonts w:hint="eastAsia" w:hAnsi="宋体"/>
          <w:b/>
          <w:sz w:val="22"/>
        </w:rPr>
        <w:t>服务内容</w:t>
      </w:r>
    </w:p>
    <w:p>
      <w:pPr>
        <w:tabs>
          <w:tab w:val="left" w:pos="1560"/>
        </w:tabs>
        <w:snapToGrid w:val="0"/>
        <w:spacing w:line="460" w:lineRule="exact"/>
        <w:ind w:firstLine="550" w:firstLineChars="250"/>
        <w:rPr>
          <w:rFonts w:ascii="宋体" w:hAnsi="宋体"/>
          <w:sz w:val="22"/>
        </w:rPr>
      </w:pPr>
      <w:r>
        <w:rPr>
          <w:rFonts w:hint="eastAsia" w:ascii="宋体" w:hAnsi="宋体"/>
          <w:sz w:val="22"/>
        </w:rPr>
        <w:t>详见本项目招标文件第二部分《采购内容及技术要求》。</w:t>
      </w:r>
    </w:p>
    <w:p>
      <w:pPr>
        <w:tabs>
          <w:tab w:val="left" w:pos="1560"/>
        </w:tabs>
        <w:snapToGrid w:val="0"/>
        <w:spacing w:line="460" w:lineRule="exact"/>
        <w:rPr>
          <w:rFonts w:ascii="宋体" w:hAnsi="宋体"/>
          <w:sz w:val="22"/>
        </w:rPr>
      </w:pPr>
      <w:r>
        <w:rPr>
          <w:rFonts w:hint="eastAsia" w:ascii="宋体" w:hAnsi="宋体"/>
          <w:sz w:val="22"/>
        </w:rPr>
        <w:t xml:space="preserve">2.   </w:t>
      </w:r>
      <w:r>
        <w:rPr>
          <w:rFonts w:hint="eastAsia" w:ascii="宋体" w:hAnsi="宋体"/>
          <w:b/>
          <w:sz w:val="22"/>
        </w:rPr>
        <w:t>合同金额</w:t>
      </w:r>
    </w:p>
    <w:tbl>
      <w:tblPr>
        <w:tblStyle w:val="26"/>
        <w:tblW w:w="0" w:type="auto"/>
        <w:tblInd w:w="0" w:type="dxa"/>
        <w:tblLayout w:type="fixed"/>
        <w:tblCellMar>
          <w:top w:w="0" w:type="dxa"/>
          <w:left w:w="108" w:type="dxa"/>
          <w:bottom w:w="0" w:type="dxa"/>
          <w:right w:w="108" w:type="dxa"/>
        </w:tblCellMar>
      </w:tblPr>
      <w:tblGrid>
        <w:gridCol w:w="3936"/>
        <w:gridCol w:w="1701"/>
        <w:gridCol w:w="1134"/>
        <w:gridCol w:w="1701"/>
        <w:gridCol w:w="1377"/>
      </w:tblGrid>
      <w:tr>
        <w:tblPrEx>
          <w:tblCellMar>
            <w:top w:w="0" w:type="dxa"/>
            <w:left w:w="108" w:type="dxa"/>
            <w:bottom w:w="0" w:type="dxa"/>
            <w:right w:w="108" w:type="dxa"/>
          </w:tblCellMar>
        </w:tblPrEx>
        <w:trPr>
          <w:trHeight w:val="619" w:hRule="atLeast"/>
        </w:trPr>
        <w:tc>
          <w:tcPr>
            <w:tcW w:w="3936"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ind w:firstLine="240"/>
              <w:jc w:val="center"/>
              <w:rPr>
                <w:rFonts w:ascii="宋体" w:hAnsi="宋体" w:cs="宋体"/>
                <w:kern w:val="1"/>
                <w:sz w:val="22"/>
                <w:szCs w:val="22"/>
              </w:rPr>
            </w:pPr>
            <w:r>
              <w:rPr>
                <w:rFonts w:ascii="宋体" w:hAnsi="宋体" w:cs="宋体"/>
                <w:kern w:val="1"/>
                <w:sz w:val="22"/>
                <w:szCs w:val="22"/>
              </w:rPr>
              <w:t>项目名称</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成交单价（元）</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数量</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成交总价（元）</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ascii="宋体" w:hAnsi="宋体" w:cs="宋体"/>
                <w:kern w:val="1"/>
                <w:sz w:val="22"/>
                <w:szCs w:val="22"/>
              </w:rPr>
              <w:t>备注</w:t>
            </w:r>
          </w:p>
        </w:tc>
      </w:tr>
      <w:tr>
        <w:tblPrEx>
          <w:tblCellMar>
            <w:top w:w="0" w:type="dxa"/>
            <w:left w:w="108" w:type="dxa"/>
            <w:bottom w:w="0" w:type="dxa"/>
            <w:right w:w="108" w:type="dxa"/>
          </w:tblCellMar>
        </w:tblPrEx>
        <w:trPr>
          <w:cantSplit/>
          <w:trHeight w:val="940" w:hRule="atLeast"/>
        </w:trPr>
        <w:tc>
          <w:tcPr>
            <w:tcW w:w="3936"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hint="eastAsia" w:ascii="宋体" w:hAnsi="宋体" w:cs="宋体"/>
                <w:kern w:val="1"/>
                <w:sz w:val="22"/>
                <w:szCs w:val="22"/>
              </w:rPr>
            </w:pPr>
            <w:r>
              <w:rPr>
                <w:rFonts w:hint="eastAsia" w:ascii="宋体" w:hAnsi="宋体" w:cs="宋体"/>
                <w:kern w:val="1"/>
                <w:sz w:val="22"/>
                <w:szCs w:val="22"/>
              </w:rPr>
              <w:t>平阳县</w:t>
            </w:r>
            <w:r>
              <w:rPr>
                <w:rFonts w:hint="eastAsia" w:ascii="宋体" w:hAnsi="宋体" w:cs="宋体"/>
                <w:kern w:val="1"/>
                <w:sz w:val="22"/>
                <w:szCs w:val="22"/>
                <w:lang w:val="en-US" w:eastAsia="zh-CN"/>
              </w:rPr>
              <w:t>怀溪</w:t>
            </w:r>
            <w:r>
              <w:rPr>
                <w:rFonts w:hint="eastAsia" w:ascii="宋体" w:hAnsi="宋体" w:cs="宋体"/>
                <w:kern w:val="1"/>
                <w:sz w:val="22"/>
                <w:szCs w:val="22"/>
              </w:rPr>
              <w:t>镇2021年度松材线虫病防治项目</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47611株</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p>
        </w:tc>
      </w:tr>
    </w:tbl>
    <w:p>
      <w:pPr>
        <w:tabs>
          <w:tab w:val="left" w:pos="1560"/>
        </w:tabs>
        <w:snapToGrid w:val="0"/>
        <w:spacing w:line="460" w:lineRule="exact"/>
        <w:rPr>
          <w:rFonts w:ascii="宋体" w:hAnsi="宋体"/>
          <w:sz w:val="22"/>
        </w:rPr>
      </w:pPr>
      <w:r>
        <w:rPr>
          <w:rFonts w:hint="eastAsia" w:ascii="宋体" w:hAnsi="宋体"/>
          <w:sz w:val="22"/>
        </w:rPr>
        <w:t xml:space="preserve">3.   </w:t>
      </w:r>
      <w:r>
        <w:rPr>
          <w:rFonts w:hint="eastAsia" w:ascii="宋体" w:hAnsi="宋体"/>
          <w:b/>
          <w:sz w:val="22"/>
        </w:rPr>
        <w:t>技术资料</w:t>
      </w:r>
    </w:p>
    <w:p>
      <w:pPr>
        <w:tabs>
          <w:tab w:val="left" w:pos="1560"/>
        </w:tabs>
        <w:snapToGrid w:val="0"/>
        <w:spacing w:line="460" w:lineRule="exact"/>
        <w:rPr>
          <w:rFonts w:ascii="宋体" w:hAnsi="宋体"/>
          <w:sz w:val="22"/>
        </w:rPr>
      </w:pPr>
      <w:r>
        <w:rPr>
          <w:rFonts w:hint="eastAsia" w:ascii="宋体" w:hAnsi="宋体"/>
          <w:sz w:val="22"/>
        </w:rPr>
        <w:t>3.1  乙方应按招标文件规定的时间向甲方提供有关技术资料。</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 xml:space="preserve">4.   </w:t>
      </w:r>
      <w:r>
        <w:rPr>
          <w:rFonts w:hint="eastAsia" w:ascii="宋体" w:hAnsi="宋体"/>
          <w:b/>
          <w:sz w:val="22"/>
        </w:rPr>
        <w:t>知识产权</w:t>
      </w:r>
    </w:p>
    <w:p>
      <w:pPr>
        <w:tabs>
          <w:tab w:val="left" w:pos="1560"/>
        </w:tabs>
        <w:snapToGrid w:val="0"/>
        <w:spacing w:line="460" w:lineRule="exact"/>
        <w:rPr>
          <w:rFonts w:ascii="宋体" w:hAnsi="宋体"/>
          <w:sz w:val="22"/>
        </w:rPr>
      </w:pPr>
      <w:r>
        <w:rPr>
          <w:rFonts w:hint="eastAsia" w:ascii="宋体" w:hAnsi="宋体"/>
          <w:sz w:val="22"/>
        </w:rPr>
        <w:t>4.1  乙方应保证提供服务过程中不会侵犯任何第三方的知识产权。</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4.2  本项目所有成果的版权属甲方所有，乙方不得以任何形式向第三方提供，否则，按国家法律和有关规定追究乙方的一切责任。</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4.3  本项目作业过程中提供的或涉及的所有数据属甲方拥有，乙方无权在技术要求规定之外自行处置数据，不得自行删除、复制、修改、转移数据，不得以任何形式向第三方提供。</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 xml:space="preserve">5.   </w:t>
      </w:r>
      <w:r>
        <w:rPr>
          <w:rFonts w:hint="eastAsia" w:ascii="宋体" w:hAnsi="宋体"/>
          <w:b/>
          <w:sz w:val="22"/>
        </w:rPr>
        <w:t>转包或分包</w:t>
      </w:r>
    </w:p>
    <w:p>
      <w:pPr>
        <w:tabs>
          <w:tab w:val="left" w:pos="1560"/>
        </w:tabs>
        <w:snapToGrid w:val="0"/>
        <w:spacing w:line="460" w:lineRule="exact"/>
        <w:rPr>
          <w:rFonts w:ascii="宋体" w:hAnsi="宋体"/>
          <w:sz w:val="22"/>
        </w:rPr>
      </w:pPr>
      <w:r>
        <w:rPr>
          <w:rFonts w:hint="eastAsia" w:ascii="宋体" w:hAnsi="宋体"/>
          <w:sz w:val="22"/>
        </w:rPr>
        <w:t>5.1  本合同范围的服务，应由乙方直接提供，不得转让他人提供；</w:t>
      </w:r>
    </w:p>
    <w:p>
      <w:pPr>
        <w:tabs>
          <w:tab w:val="left" w:pos="1560"/>
        </w:tabs>
        <w:snapToGrid w:val="0"/>
        <w:spacing w:line="460" w:lineRule="exact"/>
        <w:rPr>
          <w:rFonts w:ascii="宋体" w:hAnsi="宋体"/>
          <w:sz w:val="22"/>
        </w:rPr>
      </w:pPr>
      <w:r>
        <w:rPr>
          <w:rFonts w:hint="eastAsia" w:ascii="宋体" w:hAnsi="宋体"/>
          <w:sz w:val="22"/>
        </w:rPr>
        <w:t>5.2  除非得到甲方的书面同意，乙方不得部分分包给他人提供。甲方有绝对权力阻止分包。</w:t>
      </w:r>
    </w:p>
    <w:p>
      <w:pPr>
        <w:tabs>
          <w:tab w:val="left" w:pos="1560"/>
        </w:tabs>
        <w:snapToGrid w:val="0"/>
        <w:spacing w:line="460" w:lineRule="exact"/>
        <w:rPr>
          <w:rFonts w:ascii="宋体" w:hAnsi="宋体"/>
          <w:sz w:val="22"/>
        </w:rPr>
      </w:pPr>
      <w:r>
        <w:rPr>
          <w:rFonts w:hint="eastAsia" w:ascii="宋体" w:hAnsi="宋体"/>
          <w:sz w:val="22"/>
        </w:rPr>
        <w:t>5.3  如有转让和未经甲方同意的分包行为，甲方有权给予终止合同。</w:t>
      </w:r>
    </w:p>
    <w:p>
      <w:pPr>
        <w:tabs>
          <w:tab w:val="left" w:pos="1560"/>
        </w:tabs>
        <w:snapToGrid w:val="0"/>
        <w:spacing w:line="460" w:lineRule="exact"/>
        <w:rPr>
          <w:rFonts w:ascii="宋体" w:hAnsi="宋体"/>
          <w:sz w:val="22"/>
        </w:rPr>
      </w:pPr>
      <w:r>
        <w:rPr>
          <w:rFonts w:hint="eastAsia" w:ascii="宋体" w:hAnsi="宋体"/>
          <w:sz w:val="22"/>
        </w:rPr>
        <w:t xml:space="preserve">7.   </w:t>
      </w:r>
      <w:r>
        <w:rPr>
          <w:rFonts w:hint="eastAsia" w:ascii="宋体" w:hAnsi="宋体"/>
          <w:b/>
          <w:bCs/>
          <w:sz w:val="22"/>
        </w:rPr>
        <w:t>质量保证及后续服务</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7.1  乙方应按招标文件规定向甲方提供服务。</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7.2  乙方提供的服务成果在服务质量保证期内发生故障，乙方应负责免费提供后续服务。对达不到要求者，根据实际情况，经双方协商，可按以下办法处理：</w:t>
      </w:r>
    </w:p>
    <w:p>
      <w:pPr>
        <w:pStyle w:val="12"/>
        <w:tabs>
          <w:tab w:val="left" w:pos="592"/>
        </w:tabs>
        <w:spacing w:line="460" w:lineRule="exact"/>
        <w:ind w:left="506" w:leftChars="13" w:hanging="479" w:hangingChars="218"/>
        <w:rPr>
          <w:rFonts w:ascii="宋体" w:hAnsi="宋体"/>
          <w:kern w:val="0"/>
          <w:sz w:val="22"/>
          <w:szCs w:val="22"/>
        </w:rPr>
      </w:pPr>
      <w:r>
        <w:rPr>
          <w:rFonts w:hint="eastAsia" w:ascii="宋体" w:hAnsi="宋体"/>
          <w:kern w:val="0"/>
          <w:sz w:val="22"/>
          <w:szCs w:val="22"/>
        </w:rPr>
        <w:t>（1）重做：由乙方承担所发生的全部费用。</w:t>
      </w:r>
    </w:p>
    <w:p>
      <w:pPr>
        <w:pStyle w:val="12"/>
        <w:tabs>
          <w:tab w:val="left" w:pos="592"/>
        </w:tabs>
        <w:spacing w:line="460" w:lineRule="exact"/>
        <w:ind w:left="506" w:leftChars="13" w:hanging="479" w:hangingChars="218"/>
        <w:rPr>
          <w:rFonts w:ascii="宋体" w:hAnsi="宋体"/>
          <w:kern w:val="0"/>
          <w:sz w:val="22"/>
          <w:szCs w:val="22"/>
        </w:rPr>
      </w:pPr>
      <w:r>
        <w:rPr>
          <w:rFonts w:hint="eastAsia" w:ascii="宋体" w:hAnsi="宋体"/>
          <w:kern w:val="0"/>
          <w:sz w:val="22"/>
          <w:szCs w:val="22"/>
        </w:rPr>
        <w:t>（2）贬值处理：由双方合议定价。</w:t>
      </w:r>
    </w:p>
    <w:p>
      <w:pPr>
        <w:pStyle w:val="12"/>
        <w:tabs>
          <w:tab w:val="left" w:pos="592"/>
        </w:tabs>
        <w:spacing w:line="460" w:lineRule="exact"/>
        <w:ind w:left="506" w:leftChars="13" w:hanging="479" w:hangingChars="218"/>
        <w:rPr>
          <w:rFonts w:ascii="宋体" w:hAnsi="宋体"/>
          <w:kern w:val="0"/>
          <w:sz w:val="22"/>
          <w:szCs w:val="22"/>
        </w:rPr>
      </w:pPr>
      <w:r>
        <w:rPr>
          <w:rFonts w:hint="eastAsia" w:ascii="宋体" w:hAnsi="宋体"/>
          <w:kern w:val="0"/>
          <w:sz w:val="22"/>
          <w:szCs w:val="22"/>
        </w:rPr>
        <w:t>（3）解除合同。</w:t>
      </w:r>
    </w:p>
    <w:p>
      <w:pPr>
        <w:tabs>
          <w:tab w:val="left" w:pos="1560"/>
        </w:tabs>
        <w:snapToGrid w:val="0"/>
        <w:spacing w:line="460" w:lineRule="exact"/>
        <w:rPr>
          <w:rFonts w:ascii="宋体" w:hAnsi="宋体"/>
          <w:sz w:val="22"/>
        </w:rPr>
      </w:pPr>
      <w:r>
        <w:rPr>
          <w:rFonts w:hint="eastAsia" w:ascii="宋体" w:hAnsi="宋体"/>
          <w:sz w:val="22"/>
        </w:rPr>
        <w:t>7.3  如在服务过程中出现问题，乙方在接到甲方通知后在2小时内到达甲方现场；</w:t>
      </w:r>
      <w:r>
        <w:rPr>
          <w:rFonts w:hint="eastAsia" w:ascii="宋体" w:hAnsi="宋体"/>
          <w:bCs/>
          <w:sz w:val="22"/>
        </w:rPr>
        <w:t>一般问题在8小时内解决，严重问题要求及时提出甲方可接受的解决方案和服务承诺。</w:t>
      </w:r>
    </w:p>
    <w:p>
      <w:pPr>
        <w:tabs>
          <w:tab w:val="left" w:pos="1560"/>
        </w:tabs>
        <w:snapToGrid w:val="0"/>
        <w:spacing w:line="460" w:lineRule="exact"/>
        <w:rPr>
          <w:rFonts w:ascii="宋体" w:hAnsi="宋体"/>
          <w:sz w:val="22"/>
        </w:rPr>
      </w:pPr>
      <w:r>
        <w:rPr>
          <w:rFonts w:hint="eastAsia" w:ascii="宋体" w:hAnsi="宋体"/>
          <w:sz w:val="22"/>
        </w:rPr>
        <w:t>7.4  在服务质量保证期内，乙方应对出现的质量及安全问题负责处理解决并承担一切费用。</w:t>
      </w:r>
    </w:p>
    <w:p>
      <w:pPr>
        <w:tabs>
          <w:tab w:val="left" w:pos="1560"/>
        </w:tabs>
        <w:snapToGrid w:val="0"/>
        <w:spacing w:line="460" w:lineRule="exact"/>
        <w:rPr>
          <w:rFonts w:ascii="宋体" w:hAnsi="宋体"/>
          <w:sz w:val="22"/>
        </w:rPr>
      </w:pPr>
      <w:r>
        <w:rPr>
          <w:rFonts w:hint="eastAsia" w:ascii="宋体" w:hAnsi="宋体"/>
          <w:sz w:val="22"/>
        </w:rPr>
        <w:t>8.   合同履行时间、履行方式及履行地点</w:t>
      </w:r>
    </w:p>
    <w:p>
      <w:pPr>
        <w:snapToGrid w:val="0"/>
        <w:spacing w:before="120" w:beforeLines="50" w:line="460" w:lineRule="exact"/>
        <w:rPr>
          <w:rFonts w:ascii="宋体" w:hAnsi="宋体"/>
          <w:sz w:val="22"/>
        </w:rPr>
      </w:pPr>
      <w:r>
        <w:rPr>
          <w:rFonts w:hint="eastAsia" w:ascii="宋体" w:hAnsi="宋体"/>
          <w:sz w:val="22"/>
        </w:rPr>
        <w:t xml:space="preserve">8.1  </w:t>
      </w:r>
      <w:r>
        <w:rPr>
          <w:rFonts w:hint="eastAsia" w:ascii="宋体" w:hAnsi="宋体"/>
          <w:b/>
          <w:bCs/>
          <w:sz w:val="22"/>
        </w:rPr>
        <w:t>履行时间</w:t>
      </w:r>
      <w:r>
        <w:rPr>
          <w:rFonts w:hint="eastAsia" w:ascii="宋体" w:hAnsi="宋体"/>
          <w:sz w:val="22"/>
        </w:rPr>
        <w:t>：</w:t>
      </w:r>
    </w:p>
    <w:p>
      <w:pPr>
        <w:tabs>
          <w:tab w:val="left" w:pos="1560"/>
        </w:tabs>
        <w:snapToGrid w:val="0"/>
        <w:spacing w:line="460" w:lineRule="exact"/>
        <w:rPr>
          <w:rFonts w:ascii="宋体" w:hAnsi="宋体"/>
          <w:sz w:val="22"/>
        </w:rPr>
      </w:pPr>
      <w:r>
        <w:rPr>
          <w:rFonts w:hint="eastAsia" w:ascii="宋体" w:hAnsi="宋体"/>
          <w:sz w:val="22"/>
        </w:rPr>
        <w:t>8.2  履行方式：交付项目服务成果</w:t>
      </w:r>
    </w:p>
    <w:p>
      <w:pPr>
        <w:tabs>
          <w:tab w:val="left" w:pos="1560"/>
        </w:tabs>
        <w:snapToGrid w:val="0"/>
        <w:spacing w:line="460" w:lineRule="exact"/>
        <w:rPr>
          <w:rFonts w:ascii="宋体" w:hAnsi="宋体"/>
          <w:sz w:val="22"/>
        </w:rPr>
      </w:pPr>
      <w:r>
        <w:rPr>
          <w:rFonts w:hint="eastAsia" w:ascii="宋体" w:hAnsi="宋体"/>
          <w:sz w:val="22"/>
        </w:rPr>
        <w:t xml:space="preserve">8.3  履行地点： </w:t>
      </w:r>
    </w:p>
    <w:p>
      <w:pPr>
        <w:snapToGrid w:val="0"/>
        <w:spacing w:before="120" w:beforeLines="50" w:line="460" w:lineRule="exact"/>
        <w:rPr>
          <w:rFonts w:ascii="宋体" w:hAnsi="宋体"/>
          <w:sz w:val="22"/>
        </w:rPr>
      </w:pPr>
      <w:r>
        <w:rPr>
          <w:rFonts w:hint="eastAsia" w:ascii="宋体" w:hAnsi="宋体"/>
          <w:sz w:val="22"/>
        </w:rPr>
        <w:t xml:space="preserve">9．  </w:t>
      </w:r>
      <w:r>
        <w:rPr>
          <w:rFonts w:hint="eastAsia" w:ascii="宋体" w:hAnsi="宋体"/>
          <w:b/>
          <w:bCs/>
          <w:sz w:val="22"/>
          <w:u w:val="single"/>
        </w:rPr>
        <w:t>合同支付方式</w:t>
      </w:r>
      <w:r>
        <w:rPr>
          <w:rFonts w:hint="eastAsia" w:ascii="宋体" w:hAnsi="宋体"/>
          <w:sz w:val="22"/>
        </w:rPr>
        <w:t>：</w:t>
      </w:r>
      <w:r>
        <w:rPr>
          <w:rFonts w:hint="eastAsia" w:ascii="宋体" w:hAnsi="宋体"/>
          <w:b/>
          <w:sz w:val="22"/>
        </w:rPr>
        <w:t>按采购文件执行</w:t>
      </w:r>
    </w:p>
    <w:p>
      <w:pPr>
        <w:snapToGrid w:val="0"/>
        <w:spacing w:before="120" w:beforeLines="50" w:line="460" w:lineRule="exact"/>
        <w:rPr>
          <w:rFonts w:ascii="宋体" w:hAnsi="宋体"/>
          <w:sz w:val="22"/>
        </w:rPr>
      </w:pPr>
      <w:r>
        <w:rPr>
          <w:rFonts w:hint="eastAsia" w:ascii="宋体" w:hAnsi="宋体"/>
          <w:sz w:val="22"/>
        </w:rPr>
        <w:t xml:space="preserve">10． </w:t>
      </w:r>
      <w:r>
        <w:rPr>
          <w:rFonts w:hint="eastAsia" w:ascii="宋体" w:hAnsi="宋体"/>
          <w:b/>
          <w:bCs/>
          <w:sz w:val="22"/>
        </w:rPr>
        <w:t>项目预检和验收</w:t>
      </w:r>
    </w:p>
    <w:p>
      <w:pPr>
        <w:tabs>
          <w:tab w:val="left" w:pos="1560"/>
        </w:tabs>
        <w:snapToGrid w:val="0"/>
        <w:spacing w:line="460" w:lineRule="exact"/>
        <w:ind w:left="548" w:leftChars="261"/>
        <w:rPr>
          <w:rFonts w:ascii="宋体" w:hAnsi="宋体"/>
          <w:sz w:val="22"/>
        </w:rPr>
      </w:pPr>
      <w:r>
        <w:rPr>
          <w:rFonts w:hint="eastAsia" w:ascii="宋体" w:hAnsi="宋体"/>
          <w:sz w:val="22"/>
        </w:rPr>
        <w:t>乙方在全部完成工作量并提交工作成果，经甲方初验后，由甲方组织相关部门进行验收，地点在甲方现场，费用由乙方承担。</w:t>
      </w:r>
    </w:p>
    <w:p>
      <w:pPr>
        <w:snapToGrid w:val="0"/>
        <w:spacing w:before="120" w:beforeLines="50" w:line="460" w:lineRule="exact"/>
        <w:rPr>
          <w:rFonts w:ascii="宋体" w:hAnsi="宋体"/>
          <w:sz w:val="22"/>
        </w:rPr>
      </w:pPr>
      <w:r>
        <w:rPr>
          <w:rFonts w:hint="eastAsia" w:ascii="宋体" w:hAnsi="宋体"/>
          <w:sz w:val="22"/>
        </w:rPr>
        <w:t xml:space="preserve">11   </w:t>
      </w:r>
      <w:r>
        <w:rPr>
          <w:rFonts w:hint="eastAsia" w:ascii="宋体" w:hAnsi="宋体"/>
          <w:b/>
          <w:bCs/>
          <w:sz w:val="22"/>
        </w:rPr>
        <w:t>违约责任</w:t>
      </w:r>
    </w:p>
    <w:p>
      <w:pPr>
        <w:tabs>
          <w:tab w:val="left" w:pos="1560"/>
        </w:tabs>
        <w:snapToGrid w:val="0"/>
        <w:spacing w:line="460" w:lineRule="exact"/>
        <w:rPr>
          <w:rFonts w:ascii="宋体" w:hAnsi="宋体"/>
          <w:sz w:val="22"/>
        </w:rPr>
      </w:pPr>
      <w:r>
        <w:rPr>
          <w:rFonts w:hint="eastAsia" w:ascii="宋体" w:hAnsi="宋体"/>
          <w:sz w:val="22"/>
        </w:rPr>
        <w:t>11.1 甲方无正当理由拒收接受服务的，甲方向乙方支付合同款项百分之五作为违约金。</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11.2 甲方无故逾期验收和办理款项支付手续的,甲方应按逾期付款总额向乙方支付每日万分之三违约金。</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11.3 乙方逾期提供服务的，乙方应按逾期天数向甲方支付每日500元违约金。逾期超过约定日期30日不能交货的，甲方可解除本合同。乙方因逾期交货或因其他违约行为导致甲方解除合同的，乙方应向甲方支付合同款项百分之五的违约金，如造成甲方损失超过违约金的，超出部分由乙方继续承担赔偿责任。</w:t>
      </w:r>
    </w:p>
    <w:p>
      <w:pPr>
        <w:snapToGrid w:val="0"/>
        <w:spacing w:before="120" w:beforeLines="50" w:line="460" w:lineRule="exact"/>
        <w:rPr>
          <w:rFonts w:ascii="宋体" w:hAnsi="宋体"/>
          <w:sz w:val="22"/>
        </w:rPr>
      </w:pPr>
      <w:r>
        <w:rPr>
          <w:rFonts w:hint="eastAsia" w:ascii="宋体" w:hAnsi="宋体"/>
          <w:sz w:val="22"/>
        </w:rPr>
        <w:t xml:space="preserve">12． </w:t>
      </w:r>
      <w:r>
        <w:rPr>
          <w:rFonts w:hint="eastAsia" w:ascii="宋体" w:hAnsi="宋体"/>
          <w:b/>
          <w:bCs/>
          <w:sz w:val="22"/>
        </w:rPr>
        <w:t>不可抗力事件处理</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12.1 在合同有效期内，任何一方因不可抗力事件导致不能履行合同，则合同履行期可延长，其延长期与不可抗力影响期相同。</w:t>
      </w:r>
    </w:p>
    <w:p>
      <w:pPr>
        <w:tabs>
          <w:tab w:val="left" w:pos="1560"/>
        </w:tabs>
        <w:snapToGrid w:val="0"/>
        <w:spacing w:line="460" w:lineRule="exact"/>
        <w:rPr>
          <w:rFonts w:ascii="宋体" w:hAnsi="宋体"/>
          <w:sz w:val="22"/>
        </w:rPr>
      </w:pPr>
      <w:r>
        <w:rPr>
          <w:rFonts w:hint="eastAsia" w:ascii="宋体" w:hAnsi="宋体"/>
          <w:sz w:val="22"/>
        </w:rPr>
        <w:t>12.2 不可抗力事件发生后，应立即通知对方，并寄送有关权威机构出具的证明。</w:t>
      </w:r>
    </w:p>
    <w:p>
      <w:pPr>
        <w:tabs>
          <w:tab w:val="left" w:pos="1560"/>
        </w:tabs>
        <w:snapToGrid w:val="0"/>
        <w:spacing w:line="460" w:lineRule="exact"/>
        <w:rPr>
          <w:rFonts w:ascii="宋体" w:hAnsi="宋体"/>
          <w:sz w:val="22"/>
        </w:rPr>
      </w:pPr>
      <w:r>
        <w:rPr>
          <w:rFonts w:hint="eastAsia" w:ascii="宋体" w:hAnsi="宋体"/>
          <w:sz w:val="22"/>
        </w:rPr>
        <w:t>12.3 不可抗力事件延续120天以上，双方应通过友好协商，确定是否继续履行合同。</w:t>
      </w:r>
    </w:p>
    <w:p>
      <w:pPr>
        <w:snapToGrid w:val="0"/>
        <w:spacing w:before="120" w:beforeLines="50" w:line="460" w:lineRule="exact"/>
        <w:rPr>
          <w:rFonts w:ascii="宋体" w:hAnsi="宋体"/>
          <w:sz w:val="22"/>
        </w:rPr>
      </w:pPr>
      <w:r>
        <w:rPr>
          <w:rFonts w:hint="eastAsia" w:ascii="宋体" w:hAnsi="宋体"/>
          <w:sz w:val="22"/>
        </w:rPr>
        <w:t xml:space="preserve">13． </w:t>
      </w:r>
      <w:r>
        <w:rPr>
          <w:rFonts w:hint="eastAsia" w:ascii="宋体" w:hAnsi="宋体"/>
          <w:b/>
          <w:bCs/>
          <w:sz w:val="22"/>
        </w:rPr>
        <w:t>诉讼</w:t>
      </w:r>
    </w:p>
    <w:p>
      <w:pPr>
        <w:tabs>
          <w:tab w:val="left" w:pos="1560"/>
        </w:tabs>
        <w:snapToGrid w:val="0"/>
        <w:spacing w:line="460" w:lineRule="exact"/>
        <w:ind w:left="548" w:leftChars="261"/>
        <w:rPr>
          <w:rFonts w:ascii="宋体" w:hAnsi="宋体"/>
          <w:sz w:val="22"/>
        </w:rPr>
      </w:pPr>
      <w:r>
        <w:rPr>
          <w:rFonts w:hint="eastAsia" w:ascii="宋体" w:hAnsi="宋体"/>
          <w:sz w:val="22"/>
        </w:rPr>
        <w:t>双方在执行合同中所发生的一切争议，应通过协商解决。如协商不成，可向甲方所在地人民法院起诉。</w:t>
      </w:r>
    </w:p>
    <w:p>
      <w:pPr>
        <w:snapToGrid w:val="0"/>
        <w:spacing w:line="460" w:lineRule="exact"/>
        <w:rPr>
          <w:rFonts w:ascii="宋体" w:hAnsi="宋体"/>
          <w:sz w:val="22"/>
        </w:rPr>
      </w:pPr>
      <w:r>
        <w:rPr>
          <w:rFonts w:hint="eastAsia" w:ascii="宋体" w:hAnsi="宋体"/>
          <w:sz w:val="22"/>
        </w:rPr>
        <w:t xml:space="preserve">14． </w:t>
      </w:r>
      <w:r>
        <w:rPr>
          <w:rFonts w:hint="eastAsia" w:ascii="宋体" w:hAnsi="宋体"/>
          <w:b/>
          <w:bCs/>
          <w:sz w:val="22"/>
        </w:rPr>
        <w:t>合同生效</w:t>
      </w:r>
    </w:p>
    <w:p>
      <w:pPr>
        <w:pStyle w:val="15"/>
        <w:snapToGrid w:val="0"/>
        <w:spacing w:after="120" w:line="460" w:lineRule="exact"/>
        <w:rPr>
          <w:rFonts w:hAnsi="宋体"/>
          <w:sz w:val="22"/>
        </w:rPr>
      </w:pPr>
      <w:r>
        <w:rPr>
          <w:rFonts w:hint="eastAsia" w:hAnsi="宋体"/>
          <w:sz w:val="22"/>
        </w:rPr>
        <w:t>14.1 如上述文件与本合同有不符之处，以有利于甲方的为准。</w:t>
      </w:r>
    </w:p>
    <w:p>
      <w:pPr>
        <w:pStyle w:val="15"/>
        <w:snapToGrid w:val="0"/>
        <w:spacing w:after="120" w:line="460" w:lineRule="exact"/>
        <w:ind w:left="550" w:hanging="550" w:hangingChars="250"/>
        <w:rPr>
          <w:rFonts w:hAnsi="宋体"/>
          <w:sz w:val="22"/>
          <w:u w:val="single"/>
        </w:rPr>
      </w:pPr>
      <w:r>
        <w:rPr>
          <w:rFonts w:hint="eastAsia" w:hAnsi="宋体"/>
          <w:sz w:val="22"/>
        </w:rPr>
        <w:t xml:space="preserve">14.2 </w:t>
      </w:r>
      <w:r>
        <w:rPr>
          <w:rFonts w:hint="eastAsia" w:hAnsi="宋体"/>
          <w:sz w:val="22"/>
          <w:u w:val="single"/>
        </w:rPr>
        <w:t>本合同在经双方法定代表人（负责人）或授权代表签署，双方加盖印章后生效。</w:t>
      </w:r>
    </w:p>
    <w:p>
      <w:pPr>
        <w:spacing w:line="460" w:lineRule="exact"/>
        <w:ind w:left="550" w:hanging="550" w:hangingChars="250"/>
        <w:rPr>
          <w:rFonts w:ascii="宋体" w:hAnsi="宋体"/>
          <w:sz w:val="22"/>
        </w:rPr>
      </w:pPr>
      <w:r>
        <w:rPr>
          <w:rFonts w:hint="eastAsia" w:ascii="宋体" w:hAnsi="宋体"/>
          <w:sz w:val="22"/>
        </w:rPr>
        <w:t>14.3 本合同一式肆份，双方各执贰份，具有同等效力，合同签订后，乙方应及时将合同复印件送至采购代理机构备案。</w:t>
      </w:r>
    </w:p>
    <w:p>
      <w:pPr>
        <w:pStyle w:val="15"/>
        <w:snapToGrid w:val="0"/>
        <w:spacing w:after="120" w:line="460" w:lineRule="exact"/>
        <w:ind w:left="550" w:hanging="550" w:hangingChars="250"/>
        <w:rPr>
          <w:rFonts w:hint="eastAsia" w:hAnsi="宋体"/>
          <w:sz w:val="22"/>
        </w:rPr>
      </w:pPr>
      <w:r>
        <w:rPr>
          <w:rFonts w:hint="eastAsia" w:hAnsi="宋体"/>
          <w:sz w:val="22"/>
        </w:rPr>
        <w:t>14.4 如需修改或补充合同内容，经协商，双方应签署书面修改或补充协议，该协议将作为本合同的一个组成部分。</w:t>
      </w:r>
    </w:p>
    <w:p>
      <w:pPr>
        <w:pStyle w:val="15"/>
        <w:snapToGrid w:val="0"/>
        <w:spacing w:line="400" w:lineRule="exact"/>
        <w:rPr>
          <w:rFonts w:hint="eastAsia" w:hAnsi="宋体"/>
          <w:b/>
          <w:bCs/>
          <w:color w:val="auto"/>
          <w:sz w:val="22"/>
          <w:szCs w:val="22"/>
        </w:rPr>
      </w:pPr>
      <w:r>
        <w:rPr>
          <w:rFonts w:hint="eastAsia" w:ascii="宋体" w:hAnsi="宋体"/>
          <w:bCs/>
          <w:sz w:val="22"/>
        </w:rPr>
        <w:t xml:space="preserve">15.  </w:t>
      </w:r>
      <w:r>
        <w:rPr>
          <w:rFonts w:hint="eastAsia" w:hAnsi="宋体"/>
          <w:b/>
          <w:bCs/>
          <w:color w:val="auto"/>
          <w:sz w:val="22"/>
          <w:szCs w:val="22"/>
        </w:rPr>
        <w:t>合同附件</w:t>
      </w:r>
    </w:p>
    <w:p>
      <w:pPr>
        <w:snapToGrid w:val="0"/>
        <w:spacing w:line="400" w:lineRule="exact"/>
        <w:textAlignment w:val="baseline"/>
        <w:rPr>
          <w:rFonts w:hint="eastAsia" w:ascii="Times New Roman" w:hAnsi="Times New Roman" w:cs="Times New Roman"/>
          <w:color w:val="auto"/>
          <w:sz w:val="22"/>
          <w:szCs w:val="22"/>
        </w:rPr>
      </w:pPr>
      <w:r>
        <w:rPr>
          <w:rFonts w:hint="eastAsia"/>
          <w:color w:val="auto"/>
          <w:sz w:val="22"/>
          <w:szCs w:val="22"/>
        </w:rPr>
        <w:t xml:space="preserve">   </w:t>
      </w:r>
      <w:r>
        <w:rPr>
          <w:rFonts w:hint="eastAsia" w:ascii="Times New Roman" w:hAnsi="Times New Roman" w:cs="Times New Roman"/>
          <w:color w:val="auto"/>
          <w:sz w:val="22"/>
          <w:szCs w:val="22"/>
        </w:rPr>
        <w:t xml:space="preserve"> 下列文件与本合同具有同等法律效力：</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1、采购人的采购文件与采购补充文件；</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2、中标供应商投标文件；</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3、询标纪要和承诺书</w:t>
      </w:r>
      <w:r>
        <w:rPr>
          <w:rFonts w:hint="eastAsia" w:ascii="Times New Roman" w:hAnsi="Times New Roman" w:cs="Times New Roman"/>
          <w:color w:val="auto"/>
          <w:sz w:val="22"/>
          <w:szCs w:val="22"/>
          <w:lang w:eastAsia="zh-CN"/>
        </w:rPr>
        <w:t>（</w:t>
      </w:r>
      <w:r>
        <w:rPr>
          <w:rFonts w:hint="eastAsia" w:ascii="Times New Roman" w:hAnsi="Times New Roman" w:cs="Times New Roman"/>
          <w:color w:val="auto"/>
          <w:sz w:val="22"/>
          <w:szCs w:val="22"/>
          <w:lang w:val="en-US" w:eastAsia="zh-CN"/>
        </w:rPr>
        <w:t>如有</w:t>
      </w:r>
      <w:r>
        <w:rPr>
          <w:rFonts w:hint="eastAsia" w:ascii="Times New Roman" w:hAnsi="Times New Roman" w:cs="Times New Roman"/>
          <w:color w:val="auto"/>
          <w:sz w:val="22"/>
          <w:szCs w:val="22"/>
          <w:lang w:eastAsia="zh-CN"/>
        </w:rPr>
        <w:t>）</w:t>
      </w:r>
      <w:r>
        <w:rPr>
          <w:rFonts w:hint="eastAsia" w:ascii="Times New Roman" w:hAnsi="Times New Roman" w:cs="Times New Roman"/>
          <w:color w:val="auto"/>
          <w:sz w:val="22"/>
          <w:szCs w:val="22"/>
        </w:rPr>
        <w:t>。</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4、中标通知书</w:t>
      </w:r>
    </w:p>
    <w:p>
      <w:pPr>
        <w:snapToGrid w:val="0"/>
        <w:spacing w:line="400" w:lineRule="exact"/>
        <w:ind w:firstLine="440" w:firstLineChars="200"/>
        <w:textAlignment w:val="baseline"/>
        <w:rPr>
          <w:rFonts w:hint="eastAsia" w:ascii="Times New Roman" w:hAnsi="Times New Roman" w:cs="Times New Roman"/>
          <w:color w:val="auto"/>
          <w:sz w:val="22"/>
          <w:szCs w:val="22"/>
          <w:lang w:val="en-US" w:eastAsia="zh-CN"/>
        </w:rPr>
      </w:pPr>
      <w:r>
        <w:rPr>
          <w:rFonts w:hint="eastAsia" w:ascii="Times New Roman" w:hAnsi="Times New Roman" w:cs="Times New Roman"/>
          <w:color w:val="auto"/>
          <w:sz w:val="22"/>
          <w:szCs w:val="22"/>
          <w:lang w:val="en-US" w:eastAsia="zh-CN"/>
        </w:rPr>
        <w:t>5、安全生产责任书</w:t>
      </w:r>
    </w:p>
    <w:p>
      <w:pPr>
        <w:snapToGrid w:val="0"/>
        <w:spacing w:line="400" w:lineRule="exact"/>
        <w:ind w:firstLine="440" w:firstLineChars="200"/>
        <w:textAlignment w:val="baseline"/>
        <w:rPr>
          <w:rFonts w:hint="eastAsia" w:ascii="Times New Roman" w:hAnsi="Times New Roman" w:cs="Times New Roman"/>
          <w:color w:val="auto"/>
          <w:sz w:val="22"/>
          <w:szCs w:val="22"/>
          <w:lang w:val="en-US" w:eastAsia="zh-CN"/>
        </w:rPr>
      </w:pPr>
      <w:r>
        <w:rPr>
          <w:rFonts w:hint="eastAsia" w:ascii="Times New Roman" w:hAnsi="Times New Roman" w:cs="Times New Roman"/>
          <w:color w:val="auto"/>
          <w:sz w:val="22"/>
          <w:szCs w:val="22"/>
          <w:lang w:val="en-US" w:eastAsia="zh-CN"/>
        </w:rPr>
        <w:t>6、工程廉政责任书</w:t>
      </w:r>
    </w:p>
    <w:p>
      <w:pPr>
        <w:spacing w:line="460" w:lineRule="exact"/>
        <w:rPr>
          <w:rFonts w:ascii="宋体" w:hAnsi="宋体"/>
          <w:b/>
          <w:bCs/>
          <w:sz w:val="22"/>
        </w:rPr>
      </w:pPr>
      <w:r>
        <w:rPr>
          <w:rFonts w:hint="eastAsia" w:ascii="宋体" w:hAnsi="宋体"/>
          <w:bCs/>
          <w:sz w:val="22"/>
        </w:rPr>
        <w:t>1</w:t>
      </w:r>
      <w:r>
        <w:rPr>
          <w:rFonts w:hint="eastAsia" w:ascii="宋体" w:hAnsi="宋体"/>
          <w:bCs/>
          <w:sz w:val="22"/>
          <w:lang w:val="en-US" w:eastAsia="zh-CN"/>
        </w:rPr>
        <w:t>6</w:t>
      </w:r>
      <w:r>
        <w:rPr>
          <w:rFonts w:hint="eastAsia" w:ascii="宋体" w:hAnsi="宋体"/>
          <w:bCs/>
          <w:sz w:val="22"/>
        </w:rPr>
        <w:t xml:space="preserve">.  </w:t>
      </w:r>
      <w:r>
        <w:rPr>
          <w:rFonts w:hint="eastAsia" w:ascii="宋体" w:hAnsi="宋体"/>
          <w:b/>
          <w:bCs/>
          <w:sz w:val="22"/>
        </w:rPr>
        <w:t>适用法律</w:t>
      </w:r>
    </w:p>
    <w:p>
      <w:pPr>
        <w:spacing w:line="460" w:lineRule="exact"/>
        <w:ind w:firstLine="550" w:firstLineChars="250"/>
        <w:rPr>
          <w:rFonts w:ascii="宋体" w:hAnsi="宋体"/>
          <w:sz w:val="22"/>
        </w:rPr>
      </w:pPr>
      <w:r>
        <w:rPr>
          <w:rFonts w:hint="eastAsia" w:ascii="宋体" w:hAnsi="宋体"/>
          <w:sz w:val="22"/>
        </w:rPr>
        <w:t>本合同按照中华人民共和国的法律进行解释。</w:t>
      </w:r>
    </w:p>
    <w:p>
      <w:pPr>
        <w:pStyle w:val="15"/>
        <w:snapToGrid w:val="0"/>
        <w:spacing w:line="360" w:lineRule="auto"/>
        <w:ind w:firstLine="440" w:firstLineChars="200"/>
        <w:rPr>
          <w:rFonts w:hint="eastAsia" w:hAnsi="宋体" w:cs="宋体"/>
          <w:sz w:val="22"/>
          <w:szCs w:val="22"/>
        </w:rPr>
      </w:pPr>
    </w:p>
    <w:p>
      <w:pPr>
        <w:pStyle w:val="15"/>
        <w:snapToGrid w:val="0"/>
        <w:spacing w:line="360" w:lineRule="auto"/>
        <w:ind w:firstLine="440" w:firstLineChars="200"/>
        <w:rPr>
          <w:rFonts w:hint="eastAsia" w:hAnsi="宋体" w:eastAsia="宋体" w:cs="宋体"/>
          <w:sz w:val="22"/>
          <w:szCs w:val="22"/>
          <w:lang w:eastAsia="zh-CN"/>
        </w:rPr>
      </w:pPr>
      <w:r>
        <w:rPr>
          <w:rFonts w:hint="eastAsia" w:hAnsi="宋体" w:cs="宋体"/>
          <w:sz w:val="22"/>
          <w:szCs w:val="22"/>
        </w:rPr>
        <w:t>采购人(盖章)：                                          成交供应商（盖章）</w:t>
      </w:r>
      <w:r>
        <w:rPr>
          <w:rFonts w:hint="eastAsia" w:hAnsi="宋体" w:cs="宋体"/>
          <w:sz w:val="22"/>
          <w:szCs w:val="22"/>
          <w:lang w:eastAsia="zh-CN"/>
        </w:rPr>
        <w:t>：</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法定代表人或授权委托人：                                法定代表人或授权委托人：</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开户银行：                                              开户银行：</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开户名称：                                              开户名称：</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账号：                                                  账号：</w:t>
      </w:r>
    </w:p>
    <w:p>
      <w:pPr>
        <w:pStyle w:val="15"/>
        <w:snapToGrid w:val="0"/>
        <w:spacing w:line="360" w:lineRule="auto"/>
        <w:ind w:firstLine="440" w:firstLineChars="200"/>
        <w:rPr>
          <w:rFonts w:hint="eastAsia" w:ascii="新宋体" w:hAnsi="新宋体" w:eastAsia="新宋体"/>
          <w:b/>
          <w:bCs/>
          <w:color w:val="000000"/>
          <w:sz w:val="22"/>
          <w:szCs w:val="22"/>
        </w:rPr>
      </w:pPr>
      <w:r>
        <w:rPr>
          <w:rFonts w:hint="eastAsia" w:hAnsi="宋体" w:cs="宋体"/>
          <w:sz w:val="22"/>
          <w:szCs w:val="22"/>
        </w:rPr>
        <w:t>签约日期：                                              签约地点：</w:t>
      </w:r>
    </w:p>
    <w:p>
      <w:pPr>
        <w:spacing w:line="460" w:lineRule="exact"/>
        <w:jc w:val="both"/>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t>附件一：</w:t>
      </w:r>
    </w:p>
    <w:p>
      <w:pPr>
        <w:spacing w:line="460" w:lineRule="exact"/>
        <w:jc w:val="center"/>
        <w:rPr>
          <w:rFonts w:hint="eastAsia" w:ascii="宋体" w:hAnsi="宋体" w:cs="宋体"/>
          <w:b/>
          <w:color w:val="auto"/>
          <w:sz w:val="36"/>
          <w:szCs w:val="36"/>
        </w:rPr>
      </w:pPr>
      <w:r>
        <w:rPr>
          <w:rFonts w:hint="eastAsia" w:ascii="宋体" w:hAnsi="宋体" w:cs="宋体"/>
          <w:b/>
          <w:color w:val="auto"/>
          <w:sz w:val="36"/>
          <w:szCs w:val="36"/>
        </w:rPr>
        <w:t>安全生产责任书</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为在</w:t>
      </w:r>
      <w:r>
        <w:rPr>
          <w:rFonts w:hint="eastAsia" w:ascii="宋体" w:hAnsi="宋体" w:eastAsia="宋体" w:cs="宋体"/>
          <w:color w:val="auto"/>
          <w:sz w:val="22"/>
          <w:szCs w:val="22"/>
          <w:u w:val="single"/>
          <w:lang w:val="en-US" w:eastAsia="zh-CN"/>
        </w:rPr>
        <w:t xml:space="preserve">    （项目名称）  </w:t>
      </w:r>
      <w:r>
        <w:rPr>
          <w:rFonts w:hint="eastAsia" w:ascii="宋体" w:hAnsi="宋体" w:cs="宋体"/>
          <w:color w:val="auto"/>
          <w:sz w:val="22"/>
          <w:szCs w:val="22"/>
        </w:rPr>
        <w:t>的实施过程中创造安全、高效的施工环境，切实搞好本项目的安全管理工作，本项目的</w:t>
      </w:r>
      <w:r>
        <w:rPr>
          <w:rFonts w:hint="eastAsia" w:ascii="宋体" w:hAnsi="宋体" w:cs="宋体"/>
          <w:color w:val="auto"/>
          <w:sz w:val="22"/>
          <w:szCs w:val="22"/>
          <w:lang w:val="en-US" w:eastAsia="zh-CN"/>
        </w:rPr>
        <w:t>采购</w:t>
      </w:r>
      <w:r>
        <w:rPr>
          <w:rFonts w:hint="eastAsia" w:ascii="宋体" w:hAnsi="宋体" w:cs="宋体"/>
          <w:color w:val="auto"/>
          <w:sz w:val="22"/>
          <w:szCs w:val="22"/>
        </w:rPr>
        <w:t>单位</w:t>
      </w:r>
      <w:r>
        <w:rPr>
          <w:rFonts w:hint="eastAsia" w:ascii="宋体" w:hAnsi="宋体" w:eastAsia="宋体" w:cs="宋体"/>
          <w:b/>
          <w:bCs/>
          <w:color w:val="auto"/>
          <w:sz w:val="22"/>
          <w:szCs w:val="22"/>
          <w:u w:val="single"/>
          <w:lang w:val="en-US" w:eastAsia="zh-CN"/>
        </w:rPr>
        <w:t xml:space="preserve"> </w:t>
      </w:r>
      <w:r>
        <w:rPr>
          <w:rFonts w:hint="eastAsia" w:ascii="宋体" w:hAnsi="宋体" w:cs="宋体"/>
          <w:b/>
          <w:bCs/>
          <w:color w:val="auto"/>
          <w:sz w:val="22"/>
          <w:szCs w:val="22"/>
          <w:u w:val="single"/>
        </w:rPr>
        <w:t xml:space="preserve">           </w:t>
      </w:r>
      <w:r>
        <w:rPr>
          <w:rFonts w:hint="eastAsia" w:ascii="宋体" w:hAnsi="宋体" w:cs="宋体"/>
          <w:color w:val="auto"/>
          <w:sz w:val="22"/>
          <w:szCs w:val="22"/>
        </w:rPr>
        <w:t>（以下简称“甲方”）与</w:t>
      </w:r>
      <w:r>
        <w:rPr>
          <w:rFonts w:hint="eastAsia" w:ascii="宋体" w:hAnsi="宋体" w:cs="宋体"/>
          <w:color w:val="auto"/>
          <w:sz w:val="22"/>
          <w:szCs w:val="22"/>
          <w:lang w:val="en-US" w:eastAsia="zh-CN"/>
        </w:rPr>
        <w:t>中标</w:t>
      </w:r>
      <w:r>
        <w:rPr>
          <w:rFonts w:hint="eastAsia" w:ascii="宋体" w:hAnsi="宋体" w:cs="宋体"/>
          <w:color w:val="auto"/>
          <w:sz w:val="22"/>
          <w:szCs w:val="22"/>
        </w:rPr>
        <w:t>单位</w:t>
      </w:r>
      <w:r>
        <w:rPr>
          <w:rFonts w:hint="eastAsia" w:ascii="宋体" w:hAnsi="宋体" w:eastAsia="宋体" w:cs="宋体"/>
          <w:b/>
          <w:bCs/>
          <w:color w:val="auto"/>
          <w:sz w:val="22"/>
          <w:szCs w:val="22"/>
          <w:u w:val="single"/>
          <w:lang w:val="en-US" w:eastAsia="zh-CN"/>
        </w:rPr>
        <w:t xml:space="preserve"> </w:t>
      </w:r>
      <w:r>
        <w:rPr>
          <w:rFonts w:hint="eastAsia" w:ascii="宋体" w:hAnsi="宋体" w:cs="宋体"/>
          <w:color w:val="auto"/>
          <w:sz w:val="22"/>
          <w:szCs w:val="22"/>
        </w:rPr>
        <w:t>（以下简称“乙方”），特此签订安全生产</w:t>
      </w:r>
      <w:r>
        <w:rPr>
          <w:rFonts w:hint="eastAsia" w:ascii="宋体" w:hAnsi="宋体" w:cs="宋体"/>
          <w:color w:val="auto"/>
          <w:sz w:val="22"/>
          <w:szCs w:val="22"/>
          <w:lang w:val="en-US" w:eastAsia="zh-CN"/>
        </w:rPr>
        <w:t>责任</w:t>
      </w:r>
      <w:r>
        <w:rPr>
          <w:rFonts w:hint="eastAsia" w:ascii="宋体" w:hAnsi="宋体" w:cs="宋体"/>
          <w:color w:val="auto"/>
          <w:sz w:val="22"/>
          <w:szCs w:val="22"/>
        </w:rPr>
        <w:t>书：</w:t>
      </w:r>
    </w:p>
    <w:p>
      <w:pPr>
        <w:numPr>
          <w:ilvl w:val="0"/>
          <w:numId w:val="4"/>
        </w:numPr>
        <w:autoSpaceDE w:val="0"/>
        <w:autoSpaceDN w:val="0"/>
        <w:adjustRightInd w:val="0"/>
        <w:spacing w:line="420" w:lineRule="exact"/>
        <w:textAlignment w:val="baseline"/>
        <w:rPr>
          <w:rFonts w:hint="eastAsia" w:ascii="宋体" w:hAnsi="宋体" w:cs="宋体"/>
          <w:b/>
          <w:color w:val="auto"/>
          <w:sz w:val="22"/>
          <w:szCs w:val="22"/>
        </w:rPr>
      </w:pPr>
      <w:r>
        <w:rPr>
          <w:rFonts w:hint="eastAsia" w:ascii="宋体" w:hAnsi="宋体" w:cs="宋体"/>
          <w:b/>
          <w:color w:val="auto"/>
          <w:sz w:val="22"/>
          <w:szCs w:val="22"/>
        </w:rPr>
        <w:t>甲方职责</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（一）遵守国家有关安全生产的法律法规，认真执行工程承包合同中的有关安全要求。</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（二）按照“安全第一、预防为主”和坚持“管生产必须管安全”的原则进行安全生产管理，做到生产与安全工作同时计划、布置、检查、总结和评比。</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w:t>
      </w:r>
      <w:r>
        <w:rPr>
          <w:rFonts w:hint="eastAsia" w:ascii="宋体" w:hAnsi="宋体" w:cs="宋体"/>
          <w:color w:val="auto"/>
          <w:sz w:val="22"/>
          <w:szCs w:val="22"/>
          <w:lang w:val="en-US" w:eastAsia="zh-CN"/>
        </w:rPr>
        <w:t>三</w:t>
      </w:r>
      <w:r>
        <w:rPr>
          <w:rFonts w:hint="eastAsia" w:ascii="宋体" w:hAnsi="宋体" w:cs="宋体"/>
          <w:color w:val="auto"/>
          <w:sz w:val="22"/>
          <w:szCs w:val="22"/>
        </w:rPr>
        <w:t>）定期召开安全生产调度会，及时传达中央及地方有关安全生产的精神。</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w:t>
      </w:r>
      <w:r>
        <w:rPr>
          <w:rFonts w:hint="eastAsia" w:ascii="宋体" w:hAnsi="宋体" w:cs="宋体"/>
          <w:color w:val="auto"/>
          <w:sz w:val="22"/>
          <w:szCs w:val="22"/>
          <w:lang w:val="en-US" w:eastAsia="zh-CN"/>
        </w:rPr>
        <w:t>四</w:t>
      </w:r>
      <w:r>
        <w:rPr>
          <w:rFonts w:hint="eastAsia" w:ascii="宋体" w:hAnsi="宋体" w:cs="宋体"/>
          <w:color w:val="auto"/>
          <w:sz w:val="22"/>
          <w:szCs w:val="22"/>
        </w:rPr>
        <w:t>）组织对乙方施工现场安全生产检查，监督乙方及时处理发现的各种安全隐患。</w:t>
      </w:r>
    </w:p>
    <w:p>
      <w:pPr>
        <w:numPr>
          <w:ilvl w:val="0"/>
          <w:numId w:val="4"/>
        </w:numPr>
        <w:autoSpaceDE w:val="0"/>
        <w:autoSpaceDN w:val="0"/>
        <w:adjustRightInd w:val="0"/>
        <w:spacing w:line="420" w:lineRule="exact"/>
        <w:textAlignment w:val="baseline"/>
        <w:rPr>
          <w:rFonts w:hint="eastAsia" w:ascii="宋体" w:hAnsi="宋体" w:cs="宋体"/>
          <w:b/>
          <w:color w:val="auto"/>
          <w:sz w:val="22"/>
          <w:szCs w:val="22"/>
        </w:rPr>
      </w:pPr>
      <w:r>
        <w:rPr>
          <w:rFonts w:hint="eastAsia" w:ascii="宋体" w:hAnsi="宋体" w:cs="宋体"/>
          <w:b/>
          <w:color w:val="auto"/>
          <w:sz w:val="22"/>
          <w:szCs w:val="22"/>
        </w:rPr>
        <w:t>乙方职责</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（一）严格遵守国家有关安全生产的法律法规、有关工程施工安全技术规程的安全生产规定，认真执行承包合同中的有关安全要求。</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二）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三）建立健全安全生产责任制。从派往项目实施的项目负责人（项目负责人）到生产工人（包括临时雇请的民工）的安全生产管理系统必须做到纵向到底，一环不漏；各职能部门、人员的安全生产责任制做到横向到边，人人有责。项目负责人（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（四）乙方在任何时候都应采取各种合理的预防措施，防止其员工发生任何违法、违禁、暴力或妨碍治安的行为。</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五）参加施工的人员，必须接受安全技术教育，熟知和遵守本工种的各项安全技术操作规程，定期进行安全技术考核，合格者方准上岗操作。对于从事电气、起重、建筑登高架设作业、锅炉、压力容器、焊接、机动车驾驶、爆破等特殊工种的人员，需经过专业培训，获得《安全操作合格证》后，方准持证上岗。施工现场如出现特种作业无证操作现象时，项目负责人（项目负责人）必须承担管理责任。</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（七）操作人员上岗，必须按规定穿戴防护用品。施工负责人和安全检查员应随时检查劳动防护用品的穿戴情况，不按规定穿戴防护用品的人员不得上岗。</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（八）所有施工机具设备和高空作业的设备均应定期检查，并有安全检查员的签字记录，保证其经常处于完好状态；不合格的机具、设备和劳动保护用品严禁使用。</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（九）所有施工中采用新技术，新工艺、新设备、新材料时，必须制定相应的安全技术措施，施工现场必须具有相关的安全标志牌。</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十）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spacing w:line="420" w:lineRule="exact"/>
        <w:rPr>
          <w:rFonts w:hint="eastAsia" w:ascii="宋体" w:hAnsi="宋体" w:cs="宋体"/>
          <w:b/>
          <w:color w:val="auto"/>
          <w:sz w:val="22"/>
          <w:szCs w:val="22"/>
        </w:rPr>
      </w:pPr>
      <w:r>
        <w:rPr>
          <w:rFonts w:hint="eastAsia" w:ascii="宋体" w:hAnsi="宋体" w:cs="宋体"/>
          <w:color w:val="auto"/>
          <w:sz w:val="22"/>
          <w:szCs w:val="22"/>
        </w:rPr>
        <w:t xml:space="preserve">    </w:t>
      </w:r>
      <w:r>
        <w:rPr>
          <w:rFonts w:hint="eastAsia" w:ascii="宋体" w:hAnsi="宋体" w:cs="宋体"/>
          <w:b/>
          <w:color w:val="auto"/>
          <w:sz w:val="22"/>
          <w:szCs w:val="22"/>
        </w:rPr>
        <w:t>第三条  违约责任</w:t>
      </w:r>
    </w:p>
    <w:p>
      <w:pPr>
        <w:spacing w:line="420" w:lineRule="exact"/>
        <w:rPr>
          <w:rFonts w:hint="eastAsia" w:ascii="宋体" w:hAnsi="宋体" w:cs="宋体"/>
          <w:color w:val="auto"/>
          <w:sz w:val="22"/>
          <w:szCs w:val="22"/>
        </w:rPr>
      </w:pPr>
      <w:r>
        <w:rPr>
          <w:rFonts w:hint="eastAsia" w:ascii="宋体" w:hAnsi="宋体" w:cs="宋体"/>
          <w:b/>
          <w:color w:val="auto"/>
          <w:sz w:val="22"/>
          <w:szCs w:val="22"/>
        </w:rPr>
        <w:t xml:space="preserve">    </w:t>
      </w:r>
      <w:r>
        <w:rPr>
          <w:rFonts w:hint="eastAsia" w:ascii="宋体" w:hAnsi="宋体" w:cs="宋体"/>
          <w:color w:val="auto"/>
          <w:sz w:val="22"/>
          <w:szCs w:val="22"/>
        </w:rPr>
        <w:t>如因乙方违约造成安全事故，将依法追究责任，并视事故轻重扣除一定比例的</w:t>
      </w:r>
      <w:r>
        <w:rPr>
          <w:rFonts w:hint="eastAsia" w:ascii="宋体" w:hAnsi="宋体" w:cs="宋体"/>
          <w:color w:val="auto"/>
          <w:sz w:val="22"/>
          <w:szCs w:val="22"/>
          <w:lang w:val="en-US" w:eastAsia="zh-CN"/>
        </w:rPr>
        <w:t>履约</w:t>
      </w:r>
      <w:r>
        <w:rPr>
          <w:rFonts w:hint="eastAsia" w:ascii="宋体" w:hAnsi="宋体" w:cs="宋体"/>
          <w:color w:val="auto"/>
          <w:sz w:val="22"/>
          <w:szCs w:val="22"/>
        </w:rPr>
        <w:t>保证金。</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w:t>
      </w:r>
    </w:p>
    <w:p>
      <w:pPr>
        <w:spacing w:line="420" w:lineRule="exact"/>
        <w:rPr>
          <w:rFonts w:hint="eastAsia" w:ascii="宋体" w:hAnsi="宋体" w:cs="宋体"/>
          <w:color w:val="auto"/>
          <w:spacing w:val="-8"/>
          <w:sz w:val="22"/>
          <w:szCs w:val="22"/>
        </w:rPr>
      </w:pPr>
      <w:r>
        <w:rPr>
          <w:rFonts w:hint="eastAsia" w:ascii="宋体" w:hAnsi="宋体" w:cs="宋体"/>
          <w:color w:val="auto"/>
          <w:spacing w:val="-8"/>
          <w:sz w:val="22"/>
          <w:szCs w:val="22"/>
        </w:rPr>
        <w:t>甲方：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    乙方：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w:t>
      </w:r>
    </w:p>
    <w:p>
      <w:pPr>
        <w:spacing w:line="420" w:lineRule="exact"/>
        <w:rPr>
          <w:rFonts w:hint="eastAsia" w:ascii="宋体" w:hAnsi="宋体" w:cs="宋体"/>
          <w:color w:val="auto"/>
          <w:sz w:val="22"/>
          <w:szCs w:val="22"/>
        </w:rPr>
      </w:pPr>
      <w:r>
        <w:rPr>
          <w:rFonts w:hint="eastAsia" w:ascii="宋体" w:hAnsi="宋体" w:cs="宋体"/>
          <w:color w:val="auto"/>
          <w:sz w:val="22"/>
          <w:szCs w:val="22"/>
        </w:rPr>
        <w:t>法定代表人：                            法定代表人：</w:t>
      </w:r>
    </w:p>
    <w:p>
      <w:pPr>
        <w:spacing w:line="420" w:lineRule="exact"/>
        <w:ind w:firstLine="880" w:firstLineChars="400"/>
        <w:rPr>
          <w:rFonts w:hint="eastAsia" w:ascii="宋体" w:hAnsi="宋体" w:cs="宋体"/>
          <w:color w:val="auto"/>
          <w:sz w:val="22"/>
          <w:szCs w:val="22"/>
        </w:rPr>
      </w:pPr>
      <w:r>
        <w:rPr>
          <w:rFonts w:hint="eastAsia" w:ascii="宋体" w:hAnsi="宋体" w:cs="宋体"/>
          <w:color w:val="auto"/>
          <w:sz w:val="22"/>
          <w:szCs w:val="22"/>
        </w:rPr>
        <w:t>或                                      或</w:t>
      </w:r>
    </w:p>
    <w:p>
      <w:pPr>
        <w:spacing w:line="420" w:lineRule="exact"/>
        <w:rPr>
          <w:rFonts w:hint="eastAsia" w:ascii="宋体" w:hAnsi="宋体" w:cs="宋体"/>
          <w:color w:val="auto"/>
          <w:sz w:val="22"/>
          <w:szCs w:val="22"/>
          <w:u w:val="single"/>
        </w:rPr>
      </w:pPr>
      <w:r>
        <w:rPr>
          <w:rFonts w:hint="eastAsia" w:ascii="宋体" w:hAnsi="宋体" w:cs="宋体"/>
          <w:color w:val="auto"/>
          <w:sz w:val="22"/>
          <w:szCs w:val="22"/>
        </w:rPr>
        <w:t>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r>
        <w:rPr>
          <w:rFonts w:hint="eastAsia" w:ascii="宋体" w:hAnsi="宋体" w:cs="宋体"/>
          <w:color w:val="auto"/>
          <w:sz w:val="22"/>
          <w:szCs w:val="22"/>
        </w:rPr>
        <w:t xml:space="preserve">  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p>
    <w:p>
      <w:pPr>
        <w:spacing w:line="420" w:lineRule="exact"/>
        <w:rPr>
          <w:rFonts w:hint="eastAsia" w:ascii="宋体" w:hAnsi="宋体" w:cs="宋体"/>
          <w:color w:val="auto"/>
          <w:spacing w:val="-8"/>
          <w:sz w:val="22"/>
          <w:szCs w:val="22"/>
        </w:rPr>
      </w:pP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r>
        <w:rPr>
          <w:rFonts w:hint="eastAsia" w:ascii="宋体" w:hAnsi="宋体" w:cs="宋体"/>
          <w:color w:val="auto"/>
          <w:sz w:val="22"/>
          <w:szCs w:val="22"/>
        </w:rPr>
        <w:t xml:space="preserve">              </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p>
    <w:p>
      <w:pPr>
        <w:spacing w:line="420" w:lineRule="exact"/>
        <w:rPr>
          <w:rFonts w:hint="eastAsia" w:ascii="宋体" w:hAnsi="宋体" w:cs="宋体"/>
          <w:color w:val="auto"/>
          <w:sz w:val="22"/>
          <w:szCs w:val="22"/>
          <w:u w:val="single"/>
        </w:rPr>
      </w:pPr>
    </w:p>
    <w:p>
      <w:pPr>
        <w:spacing w:line="420" w:lineRule="exact"/>
        <w:ind w:firstLine="330" w:firstLineChars="150"/>
        <w:rPr>
          <w:color w:val="auto"/>
        </w:rPr>
      </w:pPr>
      <w:r>
        <w:rPr>
          <w:rFonts w:hint="eastAsia" w:ascii="宋体" w:hAnsi="宋体" w:cs="宋体"/>
          <w:color w:val="auto"/>
          <w:sz w:val="22"/>
          <w:szCs w:val="22"/>
        </w:rPr>
        <w:t>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                         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w:t>
      </w: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spacing w:line="460" w:lineRule="exact"/>
        <w:jc w:val="both"/>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t>附件二：</w:t>
      </w:r>
    </w:p>
    <w:p>
      <w:pPr>
        <w:pStyle w:val="45"/>
        <w:adjustRightInd w:val="0"/>
        <w:spacing w:line="400" w:lineRule="exact"/>
        <w:jc w:val="center"/>
        <w:rPr>
          <w:rFonts w:hint="eastAsia" w:ascii="宋体" w:hAnsi="宋体" w:cs="宋体"/>
          <w:b/>
          <w:snapToGrid w:val="0"/>
          <w:color w:val="auto"/>
          <w:kern w:val="0"/>
          <w:sz w:val="32"/>
          <w:szCs w:val="32"/>
        </w:rPr>
      </w:pPr>
      <w:r>
        <w:rPr>
          <w:rFonts w:hint="eastAsia" w:ascii="宋体" w:hAnsi="宋体" w:cs="宋体"/>
          <w:b/>
          <w:snapToGrid w:val="0"/>
          <w:color w:val="auto"/>
          <w:kern w:val="0"/>
          <w:sz w:val="32"/>
          <w:szCs w:val="32"/>
        </w:rPr>
        <w:t>工程廉政责任书</w:t>
      </w:r>
    </w:p>
    <w:p>
      <w:pPr>
        <w:spacing w:line="400" w:lineRule="exact"/>
        <w:ind w:firstLine="440" w:firstLineChars="200"/>
        <w:rPr>
          <w:rFonts w:hint="eastAsia" w:ascii="宋体" w:hAnsi="宋体" w:cs="宋体"/>
          <w:snapToGrid w:val="0"/>
          <w:color w:val="auto"/>
          <w:sz w:val="22"/>
          <w:szCs w:val="22"/>
        </w:rPr>
      </w:pPr>
      <w:r>
        <w:rPr>
          <w:rFonts w:hint="eastAsia" w:ascii="宋体" w:hAnsi="宋体" w:cs="宋体"/>
          <w:snapToGrid w:val="0"/>
          <w:color w:val="auto"/>
          <w:sz w:val="22"/>
          <w:szCs w:val="22"/>
        </w:rPr>
        <w:t>为加强工程建设中的廉政建设，保证工程建设高效优质完成，保证建设资金的安全和有效使用，</w:t>
      </w:r>
      <w:r>
        <w:rPr>
          <w:rFonts w:hint="eastAsia" w:ascii="宋体" w:hAnsi="宋体" w:eastAsia="宋体" w:cs="宋体"/>
          <w:snapToGrid w:val="0"/>
          <w:color w:val="auto"/>
          <w:sz w:val="22"/>
          <w:szCs w:val="22"/>
          <w:u w:val="single"/>
          <w:lang w:eastAsia="zh-CN"/>
        </w:rPr>
        <w:t>（</w:t>
      </w:r>
      <w:r>
        <w:rPr>
          <w:rFonts w:hint="eastAsia" w:ascii="宋体" w:hAnsi="宋体" w:eastAsia="宋体" w:cs="宋体"/>
          <w:snapToGrid w:val="0"/>
          <w:color w:val="auto"/>
          <w:sz w:val="22"/>
          <w:szCs w:val="22"/>
          <w:u w:val="single"/>
          <w:lang w:val="en-US" w:eastAsia="zh-CN"/>
        </w:rPr>
        <w:t>项目名称</w:t>
      </w:r>
      <w:r>
        <w:rPr>
          <w:rFonts w:hint="eastAsia" w:ascii="宋体" w:hAnsi="宋体" w:eastAsia="宋体" w:cs="宋体"/>
          <w:snapToGrid w:val="0"/>
          <w:color w:val="auto"/>
          <w:sz w:val="22"/>
          <w:szCs w:val="22"/>
          <w:u w:val="single"/>
          <w:lang w:eastAsia="zh-CN"/>
        </w:rPr>
        <w:t>）</w:t>
      </w:r>
      <w:r>
        <w:rPr>
          <w:rFonts w:hint="eastAsia" w:ascii="宋体" w:hAnsi="宋体" w:cs="宋体"/>
          <w:snapToGrid w:val="0"/>
          <w:color w:val="auto"/>
          <w:sz w:val="22"/>
          <w:szCs w:val="22"/>
          <w:u w:val="none"/>
          <w:lang w:val="en-US" w:eastAsia="zh-CN"/>
        </w:rPr>
        <w:t>项目</w:t>
      </w:r>
      <w:r>
        <w:rPr>
          <w:rFonts w:hint="eastAsia" w:ascii="宋体" w:hAnsi="宋体" w:cs="宋体"/>
          <w:snapToGrid w:val="0"/>
          <w:color w:val="auto"/>
          <w:sz w:val="22"/>
          <w:szCs w:val="22"/>
        </w:rPr>
        <w:t>的</w:t>
      </w:r>
      <w:r>
        <w:rPr>
          <w:rFonts w:hint="eastAsia" w:ascii="宋体" w:hAnsi="宋体" w:cs="宋体"/>
          <w:snapToGrid w:val="0"/>
          <w:color w:val="auto"/>
          <w:sz w:val="22"/>
          <w:szCs w:val="22"/>
          <w:lang w:val="en-US" w:eastAsia="zh-CN"/>
        </w:rPr>
        <w:t>委托人</w:t>
      </w:r>
      <w:r>
        <w:rPr>
          <w:rFonts w:hint="eastAsia" w:ascii="宋体" w:hAnsi="宋体" w:eastAsia="宋体" w:cs="宋体"/>
          <w:snapToGrid w:val="0"/>
          <w:color w:val="auto"/>
          <w:sz w:val="22"/>
          <w:szCs w:val="22"/>
          <w:u w:val="single"/>
          <w:lang w:val="en-US" w:eastAsia="zh-CN"/>
        </w:rPr>
        <w:t xml:space="preserve">      </w:t>
      </w:r>
      <w:r>
        <w:rPr>
          <w:rFonts w:hint="eastAsia" w:ascii="宋体" w:hAnsi="宋体" w:cs="宋体"/>
          <w:snapToGrid w:val="0"/>
          <w:color w:val="auto"/>
          <w:sz w:val="22"/>
          <w:szCs w:val="22"/>
          <w:u w:val="single"/>
        </w:rPr>
        <w:t xml:space="preserve"> </w:t>
      </w:r>
      <w:r>
        <w:rPr>
          <w:rFonts w:hint="eastAsia" w:ascii="宋体" w:hAnsi="宋体" w:cs="宋体"/>
          <w:snapToGrid w:val="0"/>
          <w:color w:val="auto"/>
          <w:sz w:val="22"/>
          <w:szCs w:val="22"/>
        </w:rPr>
        <w:t>(以下称甲方)与</w:t>
      </w:r>
      <w:r>
        <w:rPr>
          <w:rFonts w:hint="eastAsia" w:ascii="宋体" w:hAnsi="宋体" w:cs="宋体"/>
          <w:snapToGrid w:val="0"/>
          <w:color w:val="auto"/>
          <w:sz w:val="22"/>
          <w:szCs w:val="22"/>
          <w:lang w:val="en-US" w:eastAsia="zh-CN"/>
        </w:rPr>
        <w:t>中标单位</w:t>
      </w:r>
      <w:r>
        <w:rPr>
          <w:rFonts w:hint="eastAsia" w:ascii="宋体" w:hAnsi="宋体" w:eastAsia="宋体" w:cs="宋体"/>
          <w:snapToGrid w:val="0"/>
          <w:color w:val="auto"/>
          <w:sz w:val="22"/>
          <w:szCs w:val="22"/>
          <w:u w:val="single"/>
          <w:lang w:val="en-US" w:eastAsia="zh-CN"/>
        </w:rPr>
        <w:t xml:space="preserve">         </w:t>
      </w:r>
      <w:r>
        <w:rPr>
          <w:rFonts w:hint="eastAsia" w:ascii="宋体" w:hAnsi="宋体" w:cs="宋体"/>
          <w:snapToGrid w:val="0"/>
          <w:color w:val="auto"/>
          <w:sz w:val="22"/>
          <w:szCs w:val="22"/>
        </w:rPr>
        <w:t>（以下称乙方），特订立如下责任书。</w:t>
      </w:r>
    </w:p>
    <w:p>
      <w:pPr>
        <w:spacing w:line="400" w:lineRule="exact"/>
        <w:ind w:firstLine="440" w:firstLineChars="200"/>
        <w:rPr>
          <w:rFonts w:hint="eastAsia" w:ascii="宋体" w:hAnsi="宋体" w:cs="宋体"/>
          <w:snapToGrid w:val="0"/>
          <w:color w:val="auto"/>
          <w:sz w:val="22"/>
          <w:szCs w:val="22"/>
        </w:rPr>
      </w:pPr>
      <w:r>
        <w:rPr>
          <w:rFonts w:hint="eastAsia" w:ascii="宋体" w:hAnsi="宋体" w:cs="宋体"/>
          <w:snapToGrid w:val="0"/>
          <w:color w:val="auto"/>
          <w:sz w:val="22"/>
          <w:szCs w:val="22"/>
        </w:rPr>
        <w:t>第一条  甲乙双方的权利和义务</w:t>
      </w:r>
    </w:p>
    <w:p>
      <w:pPr>
        <w:numPr>
          <w:ilvl w:val="0"/>
          <w:numId w:val="5"/>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严格遵守党和国家工程建设的法律法规有关规定。</w:t>
      </w:r>
    </w:p>
    <w:p>
      <w:pPr>
        <w:numPr>
          <w:ilvl w:val="0"/>
          <w:numId w:val="5"/>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严格执行</w:t>
      </w:r>
      <w:r>
        <w:rPr>
          <w:rFonts w:hint="eastAsia" w:ascii="宋体" w:hAnsi="宋体" w:eastAsia="宋体" w:cs="宋体"/>
          <w:snapToGrid w:val="0"/>
          <w:color w:val="auto"/>
          <w:sz w:val="22"/>
          <w:szCs w:val="22"/>
          <w:u w:val="single"/>
          <w:lang w:eastAsia="zh-CN"/>
        </w:rPr>
        <w:t>（</w:t>
      </w:r>
      <w:r>
        <w:rPr>
          <w:rFonts w:hint="eastAsia" w:ascii="宋体" w:hAnsi="宋体" w:eastAsia="宋体" w:cs="宋体"/>
          <w:snapToGrid w:val="0"/>
          <w:color w:val="auto"/>
          <w:sz w:val="22"/>
          <w:szCs w:val="22"/>
          <w:u w:val="single"/>
          <w:lang w:val="en-US" w:eastAsia="zh-CN"/>
        </w:rPr>
        <w:t>项目名称</w:t>
      </w:r>
      <w:r>
        <w:rPr>
          <w:rFonts w:hint="eastAsia" w:ascii="宋体" w:hAnsi="宋体" w:eastAsia="宋体" w:cs="宋体"/>
          <w:snapToGrid w:val="0"/>
          <w:color w:val="auto"/>
          <w:sz w:val="22"/>
          <w:szCs w:val="22"/>
          <w:u w:val="single"/>
          <w:lang w:eastAsia="zh-CN"/>
        </w:rPr>
        <w:t>）</w:t>
      </w:r>
      <w:r>
        <w:rPr>
          <w:rFonts w:hint="eastAsia" w:ascii="宋体" w:hAnsi="宋体" w:eastAsia="宋体" w:cs="宋体"/>
          <w:snapToGrid w:val="0"/>
          <w:color w:val="auto"/>
          <w:sz w:val="22"/>
          <w:szCs w:val="22"/>
          <w:u w:val="single"/>
          <w:lang w:val="en-US" w:eastAsia="zh-CN"/>
        </w:rPr>
        <w:t xml:space="preserve">   </w:t>
      </w:r>
      <w:r>
        <w:rPr>
          <w:rFonts w:hint="eastAsia" w:ascii="宋体" w:hAnsi="宋体" w:cs="宋体"/>
          <w:snapToGrid w:val="0"/>
          <w:color w:val="auto"/>
          <w:sz w:val="22"/>
          <w:szCs w:val="22"/>
          <w:lang w:val="en-US" w:eastAsia="zh-CN"/>
        </w:rPr>
        <w:t>项目</w:t>
      </w:r>
      <w:r>
        <w:rPr>
          <w:rFonts w:hint="eastAsia" w:ascii="宋体" w:hAnsi="宋体" w:cs="宋体"/>
          <w:snapToGrid w:val="0"/>
          <w:color w:val="auto"/>
          <w:sz w:val="22"/>
          <w:szCs w:val="22"/>
        </w:rPr>
        <w:t>的合同文件，自觉按合同办事。</w:t>
      </w:r>
    </w:p>
    <w:p>
      <w:pPr>
        <w:numPr>
          <w:ilvl w:val="0"/>
          <w:numId w:val="5"/>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双方的业务活动坚持公开、公平、公正、诚信、透明的原则（除法律认定的商业秘密和合同文件另有规定之外），不得损害国家和集体利益，违反工程建设管理规定。</w:t>
      </w:r>
    </w:p>
    <w:p>
      <w:pPr>
        <w:numPr>
          <w:ilvl w:val="0"/>
          <w:numId w:val="5"/>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建立健全廉政制度、监督制度和处罚制度，开展廉政教育，设立廉政告示牌，公布举报电话。</w:t>
      </w:r>
    </w:p>
    <w:p>
      <w:pPr>
        <w:numPr>
          <w:ilvl w:val="0"/>
          <w:numId w:val="5"/>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发现对方在业务活动中有违反廉政规定的行为，有及时提醒对方纠正的权利和义务。</w:t>
      </w:r>
    </w:p>
    <w:p>
      <w:pPr>
        <w:numPr>
          <w:ilvl w:val="0"/>
          <w:numId w:val="5"/>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发现对方严重违反本责任书义务条款的行为，有向其上级有关部门举报、建议给予处理并要求告知处理结果的权利。</w:t>
      </w:r>
    </w:p>
    <w:p>
      <w:pPr>
        <w:spacing w:line="400" w:lineRule="exact"/>
        <w:ind w:firstLine="440" w:firstLineChars="200"/>
        <w:rPr>
          <w:rFonts w:hint="eastAsia" w:ascii="宋体" w:hAnsi="宋体" w:cs="宋体"/>
          <w:snapToGrid w:val="0"/>
          <w:color w:val="auto"/>
          <w:sz w:val="22"/>
          <w:szCs w:val="22"/>
        </w:rPr>
      </w:pPr>
      <w:r>
        <w:rPr>
          <w:rFonts w:hint="eastAsia" w:ascii="宋体" w:hAnsi="宋体" w:cs="宋体"/>
          <w:snapToGrid w:val="0"/>
          <w:color w:val="auto"/>
          <w:sz w:val="22"/>
          <w:szCs w:val="22"/>
        </w:rPr>
        <w:t>第二条  甲方的义务</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auto"/>
          <w:sz w:val="22"/>
          <w:szCs w:val="22"/>
        </w:rPr>
        <w:t>甲方及其工作人员不得索要或接受乙方的礼金、礼券、有价证券和物品，</w:t>
      </w:r>
      <w:r>
        <w:rPr>
          <w:rFonts w:hint="eastAsia" w:ascii="宋体" w:hAnsi="宋体" w:cs="宋体"/>
          <w:snapToGrid w:val="0"/>
          <w:color w:val="000000"/>
          <w:sz w:val="22"/>
          <w:szCs w:val="22"/>
        </w:rPr>
        <w:t>不得到乙方报销任何由甲方或个人支付的费用等。</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甲方不得有意刁难、拖延承包商工程款，不得违反规定批拨工程建设费用等。</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甲方工作人员不得参加乙方安排的宴请和娱乐活动；不得接受乙方提供的通讯工具、交通工具和高档办公用品等。</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甲方及其工作人员不得要求或者接受乙方为其住房装修、操办婚丧嫁娶、安排配偶子女的工作以及出国出境、旅游等。</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甲方工作人员的配偶、子女及下属单位不得从事与甲方工程有关的材料设备供应、工程分包、劳务等经济活动。</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甲方及其工作人员不得以任何理由向乙方推荐分包单位，不得要求乙方购买合同规定外的材料和设备。</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第三条  乙方义务</w:t>
      </w:r>
    </w:p>
    <w:p>
      <w:pPr>
        <w:numPr>
          <w:ilvl w:val="1"/>
          <w:numId w:val="5"/>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乙方不得以任何理由向甲方及其工作人员行贿或馈赠礼金、礼券、有价证券、礼品。</w:t>
      </w:r>
    </w:p>
    <w:p>
      <w:pPr>
        <w:numPr>
          <w:ilvl w:val="1"/>
          <w:numId w:val="5"/>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乙方不得以任何名义为甲方及其工作人员报销应由甲方单位或个人支付的任何费用。</w:t>
      </w:r>
    </w:p>
    <w:p>
      <w:pPr>
        <w:numPr>
          <w:ilvl w:val="1"/>
          <w:numId w:val="5"/>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乙方不得要求甲方违反规定，批拨、追加工程建设费用等。</w:t>
      </w:r>
    </w:p>
    <w:p>
      <w:pPr>
        <w:numPr>
          <w:ilvl w:val="1"/>
          <w:numId w:val="5"/>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乙方不得以任何理由安排甲方工作人员参加宴请及娱乐活动。</w:t>
      </w:r>
    </w:p>
    <w:p>
      <w:pPr>
        <w:numPr>
          <w:ilvl w:val="1"/>
          <w:numId w:val="5"/>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乙方不得为甲方单位和个人购置或提供通讯工具、交通工具和高档办公室用品等。</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第四条  违约责任</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（一）甲方及其工作人员违反本责任书第一、二条，按管理权限，依据有关规定给予党纪、政纪或组织处理；涉嫌犯罪的，移送司法机关追究刑事责任；给乙方单位造成经济损失的，应予以赔偿。</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二）乙方及其工作人员违反本责任书第一、三条，按管理权限，依据有关规定，给予党纪、政纪、组织处理或停止承接业务处理；给甲方单位造成经济损失的，应予以赔偿；情节严重的，甲方建议有关主管部门给予乙方一至三年内不得参与项目投标的处罚。</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第五条  双方约定</w:t>
      </w:r>
    </w:p>
    <w:p>
      <w:pPr>
        <w:pStyle w:val="18"/>
        <w:spacing w:line="400" w:lineRule="exact"/>
        <w:rPr>
          <w:rFonts w:hint="eastAsia" w:ascii="宋体" w:hAnsi="宋体" w:cs="宋体"/>
          <w:snapToGrid w:val="0"/>
          <w:color w:val="000000"/>
          <w:sz w:val="22"/>
          <w:szCs w:val="22"/>
        </w:rPr>
      </w:pPr>
      <w:r>
        <w:rPr>
          <w:rFonts w:hint="eastAsia" w:ascii="宋体" w:hAnsi="宋体" w:cs="宋体"/>
          <w:snapToGrid w:val="0"/>
          <w:color w:val="000000"/>
          <w:sz w:val="22"/>
          <w:szCs w:val="22"/>
        </w:rPr>
        <w:t>本责任书由纪检监察机关负责监督执行。纪检监察机关对本责任书执行情况进行抽查。提出属于本责任书规定范围的处理意见。</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第六条  本责任书有效期同甲乙双方签署之日起至该项目</w:t>
      </w:r>
      <w:r>
        <w:rPr>
          <w:rFonts w:hint="eastAsia" w:ascii="宋体" w:hAnsi="宋体" w:cs="宋体"/>
          <w:snapToGrid w:val="0"/>
          <w:color w:val="000000"/>
          <w:sz w:val="22"/>
          <w:szCs w:val="22"/>
          <w:lang w:val="en-US" w:eastAsia="zh-CN"/>
        </w:rPr>
        <w:t>验收完成</w:t>
      </w:r>
      <w:r>
        <w:rPr>
          <w:rFonts w:hint="eastAsia" w:ascii="宋体" w:hAnsi="宋体" w:cs="宋体"/>
          <w:snapToGrid w:val="0"/>
          <w:color w:val="000000"/>
          <w:sz w:val="22"/>
          <w:szCs w:val="22"/>
        </w:rPr>
        <w:t>。</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第七条  本责任书作为本</w:t>
      </w:r>
      <w:r>
        <w:rPr>
          <w:rFonts w:hint="eastAsia" w:ascii="宋体" w:hAnsi="宋体" w:cs="宋体"/>
          <w:snapToGrid w:val="0"/>
          <w:color w:val="000000"/>
          <w:sz w:val="22"/>
          <w:szCs w:val="22"/>
          <w:lang w:val="en-US" w:eastAsia="zh-CN"/>
        </w:rPr>
        <w:t>项目</w:t>
      </w:r>
      <w:r>
        <w:rPr>
          <w:rFonts w:hint="eastAsia" w:ascii="宋体" w:hAnsi="宋体" w:cs="宋体"/>
          <w:snapToGrid w:val="0"/>
          <w:color w:val="000000"/>
          <w:sz w:val="22"/>
          <w:szCs w:val="22"/>
        </w:rPr>
        <w:t>合同的附件，与</w:t>
      </w:r>
      <w:r>
        <w:rPr>
          <w:rFonts w:hint="eastAsia" w:ascii="宋体" w:hAnsi="宋体" w:cs="宋体"/>
          <w:snapToGrid w:val="0"/>
          <w:color w:val="000000"/>
          <w:sz w:val="22"/>
          <w:szCs w:val="22"/>
          <w:lang w:val="en-US" w:eastAsia="zh-CN"/>
        </w:rPr>
        <w:t>项目</w:t>
      </w:r>
      <w:r>
        <w:rPr>
          <w:rFonts w:hint="eastAsia" w:ascii="宋体" w:hAnsi="宋体" w:cs="宋体"/>
          <w:snapToGrid w:val="0"/>
          <w:color w:val="000000"/>
          <w:sz w:val="22"/>
          <w:szCs w:val="22"/>
        </w:rPr>
        <w:t>合同具有同等的法律效力，经甲、乙双方签署后生效。</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第八条  本责任书甲、乙双方各执一份，送交监督单位一份。</w:t>
      </w:r>
    </w:p>
    <w:p>
      <w:pPr>
        <w:spacing w:line="420" w:lineRule="exact"/>
        <w:rPr>
          <w:rFonts w:hint="eastAsia" w:ascii="宋体" w:hAnsi="宋体" w:cs="宋体"/>
          <w:color w:val="auto"/>
          <w:spacing w:val="-8"/>
          <w:sz w:val="22"/>
          <w:szCs w:val="22"/>
        </w:rPr>
      </w:pPr>
      <w:r>
        <w:rPr>
          <w:rFonts w:hint="eastAsia" w:ascii="宋体" w:hAnsi="宋体" w:cs="宋体"/>
          <w:color w:val="auto"/>
          <w:spacing w:val="-8"/>
          <w:sz w:val="22"/>
          <w:szCs w:val="22"/>
        </w:rPr>
        <w:t>甲方：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    乙方：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w:t>
      </w:r>
    </w:p>
    <w:p>
      <w:pPr>
        <w:spacing w:line="420" w:lineRule="exact"/>
        <w:rPr>
          <w:rFonts w:hint="eastAsia" w:ascii="宋体" w:hAnsi="宋体" w:cs="宋体"/>
          <w:color w:val="auto"/>
          <w:sz w:val="22"/>
          <w:szCs w:val="22"/>
        </w:rPr>
      </w:pPr>
      <w:r>
        <w:rPr>
          <w:rFonts w:hint="eastAsia" w:ascii="宋体" w:hAnsi="宋体" w:cs="宋体"/>
          <w:color w:val="auto"/>
          <w:sz w:val="22"/>
          <w:szCs w:val="22"/>
        </w:rPr>
        <w:t>法定代表人：                            法定代表人：</w:t>
      </w:r>
    </w:p>
    <w:p>
      <w:pPr>
        <w:spacing w:line="420" w:lineRule="exact"/>
        <w:ind w:firstLine="880" w:firstLineChars="400"/>
        <w:rPr>
          <w:rFonts w:hint="eastAsia" w:ascii="宋体" w:hAnsi="宋体" w:cs="宋体"/>
          <w:color w:val="auto"/>
          <w:sz w:val="22"/>
          <w:szCs w:val="22"/>
        </w:rPr>
      </w:pPr>
      <w:r>
        <w:rPr>
          <w:rFonts w:hint="eastAsia" w:ascii="宋体" w:hAnsi="宋体" w:cs="宋体"/>
          <w:color w:val="auto"/>
          <w:sz w:val="22"/>
          <w:szCs w:val="22"/>
        </w:rPr>
        <w:t>或                                      或</w:t>
      </w:r>
    </w:p>
    <w:p>
      <w:pPr>
        <w:spacing w:line="420" w:lineRule="exact"/>
        <w:rPr>
          <w:rFonts w:hint="eastAsia" w:ascii="宋体" w:hAnsi="宋体" w:cs="宋体"/>
          <w:color w:val="auto"/>
          <w:sz w:val="22"/>
          <w:szCs w:val="22"/>
          <w:u w:val="single"/>
        </w:rPr>
      </w:pPr>
      <w:r>
        <w:rPr>
          <w:rFonts w:hint="eastAsia" w:ascii="宋体" w:hAnsi="宋体" w:cs="宋体"/>
          <w:color w:val="auto"/>
          <w:sz w:val="22"/>
          <w:szCs w:val="22"/>
        </w:rPr>
        <w:t>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r>
        <w:rPr>
          <w:rFonts w:hint="eastAsia" w:ascii="宋体" w:hAnsi="宋体" w:cs="宋体"/>
          <w:color w:val="auto"/>
          <w:sz w:val="22"/>
          <w:szCs w:val="22"/>
        </w:rPr>
        <w:t xml:space="preserve">  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p>
    <w:p>
      <w:pPr>
        <w:spacing w:line="420" w:lineRule="exact"/>
        <w:rPr>
          <w:rFonts w:hint="eastAsia" w:ascii="宋体" w:hAnsi="宋体" w:cs="宋体"/>
          <w:color w:val="auto"/>
          <w:spacing w:val="-8"/>
          <w:sz w:val="22"/>
          <w:szCs w:val="22"/>
        </w:rPr>
      </w:pP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r>
        <w:rPr>
          <w:rFonts w:hint="eastAsia" w:ascii="宋体" w:hAnsi="宋体" w:cs="宋体"/>
          <w:color w:val="auto"/>
          <w:sz w:val="22"/>
          <w:szCs w:val="22"/>
        </w:rPr>
        <w:t xml:space="preserve">              </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p>
    <w:p>
      <w:pPr>
        <w:spacing w:line="420" w:lineRule="exact"/>
        <w:rPr>
          <w:rFonts w:hint="eastAsia" w:ascii="宋体" w:hAnsi="宋体" w:cs="宋体"/>
          <w:color w:val="auto"/>
          <w:sz w:val="22"/>
          <w:szCs w:val="22"/>
          <w:u w:val="single"/>
        </w:rPr>
      </w:pPr>
    </w:p>
    <w:p>
      <w:pPr>
        <w:spacing w:line="420" w:lineRule="exact"/>
        <w:ind w:firstLine="330" w:firstLineChars="150"/>
        <w:rPr>
          <w:color w:val="auto"/>
        </w:rPr>
      </w:pPr>
      <w:r>
        <w:rPr>
          <w:rFonts w:hint="eastAsia" w:ascii="宋体" w:hAnsi="宋体" w:cs="宋体"/>
          <w:color w:val="auto"/>
          <w:sz w:val="22"/>
          <w:szCs w:val="22"/>
        </w:rPr>
        <w:t>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                         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w:t>
      </w: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6"/>
        <w:rPr>
          <w:rFonts w:hAnsi="宋体" w:cs="宋体"/>
          <w:sz w:val="36"/>
          <w:szCs w:val="36"/>
        </w:rPr>
      </w:pPr>
    </w:p>
    <w:p>
      <w:pPr>
        <w:rPr>
          <w:rFonts w:hAnsi="宋体" w:cs="宋体"/>
          <w:sz w:val="36"/>
          <w:szCs w:val="36"/>
        </w:rPr>
      </w:pPr>
    </w:p>
    <w:p>
      <w:pPr>
        <w:pStyle w:val="10"/>
        <w:ind w:firstLine="360"/>
        <w:rPr>
          <w:rFonts w:hAnsi="宋体" w:cs="宋体"/>
          <w:sz w:val="36"/>
          <w:szCs w:val="36"/>
        </w:rPr>
      </w:pPr>
    </w:p>
    <w:p>
      <w:pPr>
        <w:pStyle w:val="11"/>
        <w:rPr>
          <w:rFonts w:hAnsi="宋体" w:cs="宋体"/>
          <w:sz w:val="36"/>
          <w:szCs w:val="36"/>
        </w:rPr>
      </w:pPr>
    </w:p>
    <w:p>
      <w:pPr>
        <w:rPr>
          <w:rFonts w:hAnsi="宋体" w:cs="宋体"/>
          <w:sz w:val="36"/>
          <w:szCs w:val="36"/>
        </w:rPr>
      </w:pPr>
    </w:p>
    <w:p>
      <w:pPr>
        <w:pStyle w:val="10"/>
        <w:ind w:firstLine="360"/>
        <w:rPr>
          <w:rFonts w:hAnsi="宋体" w:cs="宋体"/>
          <w:sz w:val="36"/>
          <w:szCs w:val="36"/>
        </w:rPr>
      </w:pPr>
    </w:p>
    <w:p>
      <w:pPr>
        <w:pStyle w:val="11"/>
      </w:pPr>
    </w:p>
    <w:p/>
    <w:p>
      <w:pPr>
        <w:pStyle w:val="10"/>
        <w:ind w:firstLine="210"/>
      </w:pPr>
    </w:p>
    <w:p>
      <w:pPr>
        <w:pStyle w:val="11"/>
      </w:pPr>
    </w:p>
    <w:p/>
    <w:p>
      <w:pPr>
        <w:pStyle w:val="10"/>
        <w:ind w:firstLine="210"/>
      </w:pPr>
    </w:p>
    <w:p>
      <w:pPr>
        <w:pStyle w:val="11"/>
      </w:pPr>
    </w:p>
    <w:p/>
    <w:p>
      <w:pPr>
        <w:pStyle w:val="10"/>
        <w:ind w:left="0" w:leftChars="0" w:firstLine="0" w:firstLineChars="0"/>
      </w:pPr>
    </w:p>
    <w:p>
      <w:pPr>
        <w:pStyle w:val="11"/>
      </w:pPr>
    </w:p>
    <w:p/>
    <w:p>
      <w:pPr>
        <w:pStyle w:val="10"/>
        <w:ind w:firstLine="210"/>
      </w:pPr>
    </w:p>
    <w:p>
      <w:pPr>
        <w:pStyle w:val="11"/>
      </w:pPr>
    </w:p>
    <w:p/>
    <w:p>
      <w:pPr>
        <w:pStyle w:val="15"/>
        <w:adjustRightInd w:val="0"/>
        <w:snapToGrid w:val="0"/>
        <w:spacing w:line="400" w:lineRule="exact"/>
        <w:rPr>
          <w:rFonts w:hAnsi="宋体" w:cs="宋体"/>
          <w:sz w:val="36"/>
          <w:szCs w:val="36"/>
        </w:rPr>
      </w:pPr>
    </w:p>
    <w:p>
      <w:pPr>
        <w:pStyle w:val="15"/>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5"/>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16" w:name="_Toc30408914"/>
      <w:bookmarkStart w:id="17" w:name="_Toc24550049"/>
    </w:p>
    <w:p>
      <w:pPr>
        <w:pStyle w:val="2"/>
        <w:rPr>
          <w:rFonts w:hint="eastAsia" w:ascii="仿宋" w:hAnsi="仿宋" w:eastAsia="仿宋"/>
          <w:b/>
          <w:sz w:val="28"/>
          <w:szCs w:val="28"/>
          <w:u w:val="single"/>
        </w:rPr>
      </w:pPr>
    </w:p>
    <w:p>
      <w:pPr>
        <w:rPr>
          <w:rFonts w:hint="eastAsia" w:ascii="仿宋" w:hAnsi="仿宋" w:eastAsia="仿宋"/>
          <w:b/>
          <w:sz w:val="28"/>
          <w:szCs w:val="28"/>
          <w:u w:val="single"/>
        </w:rPr>
      </w:pPr>
    </w:p>
    <w:p>
      <w:pPr>
        <w:pStyle w:val="2"/>
        <w:rPr>
          <w:rFonts w:hint="eastAsia" w:ascii="仿宋" w:hAnsi="仿宋" w:eastAsia="仿宋"/>
          <w:b/>
          <w:sz w:val="28"/>
          <w:szCs w:val="28"/>
          <w:u w:val="single"/>
        </w:rPr>
      </w:pPr>
    </w:p>
    <w:p/>
    <w:p>
      <w:pPr>
        <w:pStyle w:val="2"/>
      </w:pPr>
    </w:p>
    <w:p>
      <w:pPr>
        <w:pStyle w:val="4"/>
      </w:pPr>
      <w:r>
        <w:rPr>
          <w:rFonts w:hint="eastAsia"/>
        </w:rPr>
        <w:t>一、“资格文件</w:t>
      </w:r>
      <w:r>
        <w:t>”</w:t>
      </w:r>
      <w:r>
        <w:rPr>
          <w:rFonts w:hint="eastAsia"/>
        </w:rPr>
        <w:t>格式</w:t>
      </w:r>
      <w:bookmarkEnd w:id="16"/>
      <w:bookmarkEnd w:id="17"/>
    </w:p>
    <w:p>
      <w:pPr>
        <w:pStyle w:val="5"/>
      </w:pPr>
      <w:r>
        <w:rPr>
          <w:rFonts w:hint="eastAsia"/>
        </w:rPr>
        <w:t>1.1 “资格文件”封面</w:t>
      </w:r>
    </w:p>
    <w:p>
      <w:pPr>
        <w:spacing w:line="360" w:lineRule="auto"/>
        <w:jc w:val="right"/>
        <w:rPr>
          <w:rFonts w:ascii="Arial" w:hAnsi="Arial" w:eastAsia="新宋体" w:cs="Arial"/>
          <w:b/>
          <w:sz w:val="32"/>
          <w:szCs w:val="22"/>
        </w:rPr>
      </w:pPr>
    </w:p>
    <w:p>
      <w:pPr>
        <w:pStyle w:val="43"/>
        <w:rPr>
          <w:rFonts w:hint="eastAsia" w:eastAsia="华文中宋"/>
          <w:lang w:eastAsia="zh-CN"/>
        </w:rPr>
      </w:pPr>
      <w:r>
        <w:rPr>
          <w:rFonts w:hint="eastAsia" w:ascii="华文中宋" w:hAnsi="华文中宋" w:eastAsia="华文中宋" w:cs="Arial"/>
          <w:sz w:val="52"/>
          <w:szCs w:val="18"/>
          <w:lang w:eastAsia="zh-CN"/>
        </w:rPr>
        <w:t>平阳县怀溪镇2021年度松材线虫病防治项目</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6"/>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平阳县怀溪镇2021年度松材线虫病防治项目</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6"/>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6"/>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平阳县怀溪镇2021年度松材线虫病防治项目</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2"/>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平阳县怀溪镇2021年度松材线虫病防治项目</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平阳县怀溪镇2021年度松材线虫病防治项目</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
      <w:pPr>
        <w:pStyle w:val="5"/>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12"/>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平阳县怀溪镇2021年度松材线虫病防治项目</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2"/>
      </w:pPr>
    </w:p>
    <w:p/>
    <w:p>
      <w:pPr>
        <w:pStyle w:val="2"/>
      </w:pPr>
    </w:p>
    <w:p>
      <w:pPr>
        <w:pStyle w:val="4"/>
      </w:pP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平阳县怀溪镇2021年度松材线虫病防治项目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6"/>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pPr>
        <w:pStyle w:val="15"/>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5"/>
        <w:adjustRightInd w:val="0"/>
        <w:snapToGrid w:val="0"/>
        <w:spacing w:line="400" w:lineRule="exact"/>
        <w:jc w:val="center"/>
        <w:rPr>
          <w:rFonts w:hAnsi="宋体"/>
          <w:color w:val="000000"/>
          <w:sz w:val="36"/>
          <w:szCs w:val="36"/>
        </w:rPr>
      </w:pPr>
      <w:r>
        <w:rPr>
          <w:rFonts w:hint="eastAsia" w:hAnsi="宋体"/>
          <w:color w:val="000000"/>
          <w:sz w:val="36"/>
          <w:szCs w:val="36"/>
        </w:rPr>
        <w:t>开标一览表</w:t>
      </w:r>
    </w:p>
    <w:p>
      <w:pPr>
        <w:pStyle w:val="15"/>
        <w:adjustRightInd w:val="0"/>
        <w:snapToGrid w:val="0"/>
        <w:spacing w:line="400" w:lineRule="exact"/>
        <w:rPr>
          <w:rFonts w:hAnsi="宋体"/>
          <w:color w:val="000000"/>
          <w:sz w:val="36"/>
          <w:szCs w:val="36"/>
        </w:rPr>
      </w:pPr>
    </w:p>
    <w:p>
      <w:pPr>
        <w:pStyle w:val="15"/>
        <w:adjustRightInd w:val="0"/>
        <w:snapToGrid w:val="0"/>
        <w:spacing w:line="400" w:lineRule="exact"/>
        <w:rPr>
          <w:rFonts w:hAnsi="宋体"/>
          <w:color w:val="000000"/>
          <w:sz w:val="36"/>
          <w:szCs w:val="36"/>
        </w:rPr>
      </w:pPr>
    </w:p>
    <w:p>
      <w:pPr>
        <w:pStyle w:val="15"/>
        <w:adjustRightInd w:val="0"/>
        <w:snapToGrid w:val="0"/>
        <w:spacing w:line="400" w:lineRule="exact"/>
        <w:rPr>
          <w:rFonts w:hAnsi="宋体"/>
          <w:color w:val="000000"/>
          <w:sz w:val="22"/>
          <w:szCs w:val="22"/>
        </w:rPr>
      </w:pPr>
      <w:r>
        <w:rPr>
          <w:rFonts w:hint="eastAsia" w:hAnsi="宋体"/>
          <w:color w:val="000000"/>
          <w:sz w:val="22"/>
          <w:szCs w:val="22"/>
        </w:rPr>
        <w:t>供应商名称：</w:t>
      </w:r>
      <w:r>
        <w:rPr>
          <w:rFonts w:hAnsi="宋体"/>
          <w:color w:val="000000"/>
          <w:sz w:val="22"/>
          <w:szCs w:val="22"/>
        </w:rPr>
        <w:t xml:space="preserve">                  </w:t>
      </w:r>
      <w:r>
        <w:rPr>
          <w:rFonts w:hint="eastAsia" w:hAnsi="宋体"/>
          <w:color w:val="000000"/>
          <w:sz w:val="22"/>
          <w:szCs w:val="22"/>
        </w:rPr>
        <w:t>招标编号：</w:t>
      </w:r>
      <w:r>
        <w:rPr>
          <w:rFonts w:hAnsi="宋体"/>
          <w:color w:val="000000"/>
          <w:sz w:val="22"/>
          <w:szCs w:val="22"/>
        </w:rPr>
        <w:t xml:space="preserve">          </w:t>
      </w:r>
    </w:p>
    <w:tbl>
      <w:tblPr>
        <w:tblStyle w:val="26"/>
        <w:tblpPr w:leftFromText="180" w:rightFromText="180" w:vertAnchor="page" w:horzAnchor="margin" w:tblpY="3781"/>
        <w:tblW w:w="9503" w:type="dxa"/>
        <w:tblInd w:w="0" w:type="dxa"/>
        <w:tblLayout w:type="fixed"/>
        <w:tblCellMar>
          <w:top w:w="0" w:type="dxa"/>
          <w:left w:w="108" w:type="dxa"/>
          <w:bottom w:w="0" w:type="dxa"/>
          <w:right w:w="108" w:type="dxa"/>
        </w:tblCellMar>
      </w:tblPr>
      <w:tblGrid>
        <w:gridCol w:w="4077"/>
        <w:gridCol w:w="5426"/>
      </w:tblGrid>
      <w:tr>
        <w:tblPrEx>
          <w:tblCellMar>
            <w:top w:w="0" w:type="dxa"/>
            <w:left w:w="108" w:type="dxa"/>
            <w:bottom w:w="0" w:type="dxa"/>
            <w:right w:w="108" w:type="dxa"/>
          </w:tblCellMar>
        </w:tblPrEx>
        <w:trPr>
          <w:trHeight w:val="111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项目名称</w:t>
            </w:r>
          </w:p>
        </w:tc>
        <w:tc>
          <w:tcPr>
            <w:tcW w:w="5426" w:type="dxa"/>
            <w:tcBorders>
              <w:top w:val="single" w:color="auto" w:sz="4" w:space="0"/>
              <w:left w:val="single" w:color="auto" w:sz="4" w:space="0"/>
              <w:bottom w:val="single" w:color="auto" w:sz="4" w:space="0"/>
              <w:right w:val="single" w:color="auto" w:sz="8" w:space="0"/>
            </w:tcBorders>
            <w:vAlign w:val="center"/>
          </w:tcPr>
          <w:p>
            <w:pPr>
              <w:jc w:val="center"/>
              <w:rPr>
                <w:rFonts w:hint="eastAsia" w:ascii="宋体" w:hAnsi="宋体"/>
                <w:b/>
                <w:bCs/>
                <w:sz w:val="22"/>
                <w:szCs w:val="22"/>
              </w:rPr>
            </w:pPr>
            <w:r>
              <w:rPr>
                <w:rFonts w:hint="eastAsia" w:ascii="宋体" w:hAnsi="宋体"/>
                <w:b/>
                <w:bCs/>
                <w:sz w:val="22"/>
                <w:szCs w:val="22"/>
                <w:lang w:val="en-US" w:eastAsia="zh-CN"/>
              </w:rPr>
              <w:t>投标</w:t>
            </w:r>
            <w:r>
              <w:rPr>
                <w:rFonts w:hint="eastAsia" w:ascii="宋体" w:hAnsi="宋体"/>
                <w:b/>
                <w:bCs/>
                <w:sz w:val="22"/>
                <w:szCs w:val="22"/>
              </w:rPr>
              <w:t>综合单价报价</w:t>
            </w:r>
          </w:p>
          <w:p>
            <w:pPr>
              <w:jc w:val="center"/>
              <w:rPr>
                <w:color w:val="000000"/>
                <w:sz w:val="22"/>
                <w:szCs w:val="22"/>
              </w:rPr>
            </w:pPr>
            <w:r>
              <w:rPr>
                <w:rFonts w:hint="eastAsia" w:ascii="宋体" w:hAnsi="宋体"/>
                <w:sz w:val="22"/>
                <w:szCs w:val="22"/>
              </w:rPr>
              <w:t>（最高综合单价为</w:t>
            </w:r>
            <w:r>
              <w:rPr>
                <w:rFonts w:hint="eastAsia" w:ascii="宋体" w:hAnsi="宋体"/>
                <w:sz w:val="22"/>
                <w:szCs w:val="22"/>
                <w:lang w:val="en-US" w:eastAsia="zh-CN"/>
              </w:rPr>
              <w:t>60</w:t>
            </w:r>
            <w:r>
              <w:rPr>
                <w:rFonts w:hint="eastAsia" w:ascii="宋体" w:hAnsi="宋体"/>
                <w:sz w:val="22"/>
                <w:szCs w:val="22"/>
              </w:rPr>
              <w:t>元</w:t>
            </w:r>
            <w:r>
              <w:rPr>
                <w:rFonts w:hint="eastAsia" w:ascii="宋体" w:hAnsi="宋体"/>
                <w:sz w:val="22"/>
                <w:szCs w:val="22"/>
                <w:lang w:val="en-US" w:eastAsia="zh-CN"/>
              </w:rPr>
              <w:t>/株</w:t>
            </w:r>
            <w:r>
              <w:rPr>
                <w:rFonts w:hint="eastAsia" w:ascii="宋体" w:hAnsi="宋体"/>
                <w:sz w:val="22"/>
                <w:szCs w:val="22"/>
              </w:rPr>
              <w:t>，报价超出最高综合单价作无效报价处理）</w:t>
            </w:r>
          </w:p>
          <w:p>
            <w:pPr>
              <w:jc w:val="center"/>
              <w:rPr>
                <w:color w:val="000000"/>
                <w:sz w:val="22"/>
                <w:szCs w:val="22"/>
              </w:rPr>
            </w:pPr>
          </w:p>
        </w:tc>
      </w:tr>
      <w:tr>
        <w:tblPrEx>
          <w:tblCellMar>
            <w:top w:w="0" w:type="dxa"/>
            <w:left w:w="108" w:type="dxa"/>
            <w:bottom w:w="0" w:type="dxa"/>
            <w:right w:w="108" w:type="dxa"/>
          </w:tblCellMar>
        </w:tblPrEx>
        <w:trPr>
          <w:cantSplit/>
          <w:trHeight w:val="186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sz w:val="22"/>
                <w:szCs w:val="22"/>
                <w:lang w:eastAsia="zh-CN"/>
              </w:rPr>
            </w:pPr>
            <w:r>
              <w:rPr>
                <w:rFonts w:hint="eastAsia"/>
                <w:color w:val="000000"/>
                <w:sz w:val="22"/>
                <w:szCs w:val="22"/>
                <w:lang w:eastAsia="zh-CN"/>
              </w:rPr>
              <w:t>平阳县怀溪镇2021年度松材线虫病防治项目</w:t>
            </w:r>
          </w:p>
        </w:tc>
        <w:tc>
          <w:tcPr>
            <w:tcW w:w="5426" w:type="dxa"/>
            <w:tcBorders>
              <w:top w:val="single" w:color="auto" w:sz="4" w:space="0"/>
              <w:left w:val="single" w:color="auto" w:sz="4" w:space="0"/>
              <w:bottom w:val="single" w:color="auto" w:sz="4" w:space="0"/>
              <w:right w:val="single" w:color="auto" w:sz="8" w:space="0"/>
            </w:tcBorders>
            <w:vAlign w:val="center"/>
          </w:tcPr>
          <w:p>
            <w:pPr>
              <w:widowControl/>
              <w:snapToGrid w:val="0"/>
              <w:jc w:val="left"/>
              <w:rPr>
                <w:rFonts w:hint="default" w:eastAsia="宋体"/>
                <w:color w:val="000000"/>
                <w:sz w:val="22"/>
                <w:u w:val="single"/>
                <w:lang w:val="en-US" w:eastAsia="zh-CN"/>
              </w:rPr>
            </w:pPr>
            <w:r>
              <w:rPr>
                <w:color w:val="000000"/>
                <w:sz w:val="22"/>
              </w:rPr>
              <w:t>大写：</w:t>
            </w:r>
            <w:r>
              <w:rPr>
                <w:rFonts w:hint="eastAsia"/>
                <w:color w:val="000000"/>
                <w:sz w:val="22"/>
                <w:u w:val="single"/>
                <w:lang w:val="en-US" w:eastAsia="zh-CN"/>
              </w:rPr>
              <w:t xml:space="preserve">                 元每株</w:t>
            </w:r>
          </w:p>
          <w:p>
            <w:pPr>
              <w:jc w:val="both"/>
              <w:rPr>
                <w:color w:val="000000"/>
                <w:sz w:val="22"/>
                <w:szCs w:val="22"/>
                <w:u w:val="single"/>
              </w:rPr>
            </w:pPr>
            <w:r>
              <w:rPr>
                <w:rFonts w:hint="eastAsia"/>
                <w:color w:val="000000"/>
                <w:sz w:val="22"/>
                <w:lang w:val="en-US" w:eastAsia="zh-CN"/>
              </w:rPr>
              <w:t>小</w:t>
            </w:r>
            <w:r>
              <w:rPr>
                <w:color w:val="000000"/>
                <w:sz w:val="22"/>
              </w:rPr>
              <w:t>写</w:t>
            </w:r>
            <w:r>
              <w:rPr>
                <w:rFonts w:hint="eastAsia"/>
                <w:color w:val="000000"/>
                <w:sz w:val="22"/>
                <w:lang w:eastAsia="zh-CN"/>
              </w:rPr>
              <w:t>：</w:t>
            </w:r>
            <w:r>
              <w:rPr>
                <w:rFonts w:hint="eastAsia"/>
                <w:color w:val="000000"/>
                <w:sz w:val="22"/>
                <w:u w:val="single"/>
                <w:lang w:val="en-US" w:eastAsia="zh-CN"/>
              </w:rPr>
              <w:t xml:space="preserve">                 元/株</w:t>
            </w:r>
          </w:p>
          <w:p>
            <w:pPr>
              <w:jc w:val="center"/>
              <w:rPr>
                <w:color w:val="000000"/>
                <w:sz w:val="22"/>
                <w:szCs w:val="22"/>
              </w:rPr>
            </w:pPr>
            <w:r>
              <w:rPr>
                <w:rFonts w:hint="eastAsia"/>
                <w:color w:val="000000"/>
                <w:sz w:val="22"/>
                <w:szCs w:val="22"/>
              </w:rPr>
              <w:t xml:space="preserve"> </w:t>
            </w:r>
          </w:p>
        </w:tc>
      </w:tr>
    </w:tbl>
    <w:p>
      <w:pPr>
        <w:widowControl/>
        <w:snapToGrid w:val="0"/>
        <w:spacing w:line="460" w:lineRule="atLeast"/>
        <w:jc w:val="left"/>
        <w:rPr>
          <w:color w:val="000000"/>
          <w:sz w:val="22"/>
        </w:rPr>
      </w:pPr>
      <w:r>
        <w:rPr>
          <w:color w:val="000000"/>
          <w:sz w:val="22"/>
        </w:rPr>
        <w:t>▲报价一览表中报价为符合采购文件要求的项目总价（含税等费用），招标代理费及其它需要的费用。</w:t>
      </w:r>
    </w:p>
    <w:p>
      <w:pPr>
        <w:widowControl/>
        <w:autoSpaceDE w:val="0"/>
        <w:autoSpaceDN w:val="0"/>
        <w:snapToGrid w:val="0"/>
        <w:spacing w:line="440" w:lineRule="atLeast"/>
        <w:jc w:val="left"/>
        <w:rPr>
          <w:color w:val="000000"/>
          <w:sz w:val="24"/>
        </w:rPr>
      </w:pPr>
      <w:r>
        <w:rPr>
          <w:color w:val="000000"/>
          <w:sz w:val="22"/>
        </w:rPr>
        <w:t>▲不提供此表格的将视为没有实质性响应采购文件。</w:t>
      </w:r>
    </w:p>
    <w:p>
      <w:pPr>
        <w:widowControl/>
        <w:autoSpaceDE w:val="0"/>
        <w:autoSpaceDN w:val="0"/>
        <w:snapToGrid w:val="0"/>
        <w:spacing w:line="440" w:lineRule="atLeast"/>
        <w:jc w:val="left"/>
        <w:rPr>
          <w:rFonts w:hint="default"/>
          <w:color w:val="000000"/>
          <w:sz w:val="22"/>
          <w:lang w:val="en-US" w:eastAsia="zh-CN"/>
        </w:rPr>
      </w:pPr>
      <w:r>
        <w:rPr>
          <w:rFonts w:hint="eastAsia"/>
          <w:color w:val="000000"/>
          <w:sz w:val="22"/>
          <w:lang w:val="en-US" w:eastAsia="zh-CN"/>
        </w:rPr>
        <w:t>本项目采用按实际结算的方式，最终结算金额=投标综合单价报价*实际数量</w:t>
      </w:r>
    </w:p>
    <w:p>
      <w:pPr>
        <w:autoSpaceDE w:val="0"/>
        <w:autoSpaceDN w:val="0"/>
        <w:adjustRightInd w:val="0"/>
        <w:spacing w:line="440" w:lineRule="atLeast"/>
        <w:rPr>
          <w:rFonts w:cs="仿宋_GB2312"/>
          <w:color w:val="000000"/>
          <w:sz w:val="22"/>
          <w:szCs w:val="22"/>
          <w:lang w:val="zh-CN"/>
        </w:rPr>
      </w:pP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法定代表人或授权代表（签字或签章）：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日期：</w:t>
      </w: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sectPr>
          <w:pgSz w:w="11906" w:h="16838"/>
          <w:pgMar w:top="1440" w:right="1080" w:bottom="1440" w:left="1080" w:header="851" w:footer="992" w:gutter="0"/>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w:t>
      </w:r>
      <w:r>
        <w:rPr>
          <w:rFonts w:hint="eastAsia"/>
          <w:sz w:val="36"/>
          <w:szCs w:val="36"/>
          <w:lang w:val="en-US" w:eastAsia="zh-CN"/>
        </w:rPr>
        <w:t>3</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360" w:lineRule="auto"/>
        <w:ind w:firstLine="420" w:firstLineChars="200"/>
      </w:pPr>
      <w:r>
        <w:rPr>
          <w:rFonts w:hint="eastAsia"/>
        </w:rPr>
        <w:t>本公司郑重声明，根据《政府采购促进中小企业发展暂行办法》（财库[2011]181 号）的规定，本公司为的______（请填写：中型、小型、微型）企业。即，本公司同时满足以下条件：</w:t>
      </w:r>
    </w:p>
    <w:p>
      <w:pPr>
        <w:snapToGrid w:val="0"/>
        <w:spacing w:line="360" w:lineRule="auto"/>
        <w:ind w:firstLine="420" w:firstLineChars="200"/>
      </w:pPr>
      <w:r>
        <w:rPr>
          <w:rFonts w:hint="eastAsia"/>
        </w:rPr>
        <w:t>1、根据《工业和信息化部、国家统计局、国家发展和改革委员会、财政部关于印发中小企业划型标准规定的通知》（工信部联企业[2011]300号）规定的划分标准，本公司为</w:t>
      </w:r>
      <w:r>
        <w:rPr>
          <w:rFonts w:hint="eastAsia"/>
          <w:u w:val="single"/>
        </w:rPr>
        <w:t>______</w:t>
      </w:r>
      <w:r>
        <w:rPr>
          <w:rFonts w:hint="eastAsia"/>
        </w:rPr>
        <w:t>（请填写：中型、小型、微型）企业。</w:t>
      </w:r>
    </w:p>
    <w:p>
      <w:pPr>
        <w:snapToGrid w:val="0"/>
        <w:spacing w:line="360" w:lineRule="auto"/>
        <w:ind w:firstLine="420" w:firstLineChars="200"/>
      </w:pPr>
      <w:r>
        <w:rPr>
          <w:rFonts w:hint="eastAsia"/>
        </w:rPr>
        <w:t>2、本公司参加______（采购人）的______（项目名称）______（标项名称）采购活动提供本企业提供服务，或者提供其他______（请填写：中型、小型、微型）企业提供</w:t>
      </w:r>
      <w:r>
        <w:rPr>
          <w:rFonts w:hint="eastAsia"/>
          <w:lang w:eastAsia="zh-CN"/>
        </w:rPr>
        <w:t>货物</w:t>
      </w:r>
      <w:r>
        <w:rPr>
          <w:rFonts w:hint="eastAsia"/>
        </w:rPr>
        <w:t>（制造商的中小企业声明函另附）。本条所称货物不包括使用大型企业注册商标的货物。</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pBdr>
          <w:bottom w:val="single" w:color="auto" w:sz="6" w:space="1"/>
        </w:pBd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46"/>
        <w:snapToGrid w:val="0"/>
        <w:spacing w:line="360" w:lineRule="auto"/>
        <w:ind w:left="360" w:firstLine="0" w:firstLineChars="0"/>
        <w:rPr>
          <w:rFonts w:cs="宋体"/>
        </w:rPr>
      </w:pPr>
      <w:r>
        <w:rPr>
          <w:rFonts w:hint="eastAsia" w:cs="宋体"/>
        </w:rPr>
        <w:t>扶持政策说明：</w:t>
      </w:r>
    </w:p>
    <w:p>
      <w:pPr>
        <w:pStyle w:val="46"/>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46"/>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4"/>
      </w:pPr>
      <w:bookmarkStart w:id="18" w:name="_Toc7988414"/>
      <w:bookmarkStart w:id="19" w:name="_Toc24550050"/>
      <w:bookmarkStart w:id="20" w:name="_Toc7988468"/>
      <w:bookmarkStart w:id="21" w:name="_Toc440162800"/>
      <w:bookmarkStart w:id="22" w:name="_Toc30408915"/>
      <w:bookmarkStart w:id="23" w:name="_Toc8008423"/>
      <w:bookmarkStart w:id="24" w:name="_Toc424164168"/>
      <w:r>
        <w:rPr>
          <w:rFonts w:hint="eastAsia"/>
        </w:rPr>
        <w:t>三、“商务技术文件</w:t>
      </w:r>
      <w:r>
        <w:t>”</w:t>
      </w:r>
      <w:r>
        <w:rPr>
          <w:rFonts w:hint="eastAsia"/>
        </w:rPr>
        <w:t>格式</w:t>
      </w:r>
      <w:bookmarkEnd w:id="18"/>
      <w:bookmarkEnd w:id="19"/>
      <w:bookmarkEnd w:id="20"/>
      <w:bookmarkEnd w:id="21"/>
      <w:bookmarkEnd w:id="22"/>
      <w:bookmarkEnd w:id="23"/>
      <w:bookmarkEnd w:id="24"/>
    </w:p>
    <w:p>
      <w:pPr>
        <w:pStyle w:val="5"/>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平阳县怀溪镇2021年度松材线虫病防治项目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6"/>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5"/>
      </w:pPr>
      <w:r>
        <w:br w:type="page"/>
      </w:r>
      <w:r>
        <w:rPr>
          <w:rFonts w:hint="eastAsia"/>
        </w:rPr>
        <w:t>3.2供应商自评分指引表</w:t>
      </w:r>
    </w:p>
    <w:tbl>
      <w:tblPr>
        <w:tblStyle w:val="26"/>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43"/>
      </w:pPr>
    </w:p>
    <w:p>
      <w:pPr>
        <w:snapToGrid w:val="0"/>
        <w:spacing w:line="360" w:lineRule="exact"/>
        <w:jc w:val="center"/>
        <w:rPr>
          <w:b/>
          <w:sz w:val="28"/>
          <w:szCs w:val="22"/>
        </w:rPr>
      </w:pPr>
      <w:r>
        <w:rPr>
          <w:b/>
          <w:sz w:val="28"/>
          <w:szCs w:val="22"/>
        </w:rPr>
        <w:t>供应商参与政府采购活动投标资格声明函</w:t>
      </w:r>
    </w:p>
    <w:tbl>
      <w:tblPr>
        <w:tblStyle w:val="26"/>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5"/>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5"/>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平阳县怀溪镇人民政府</w:t>
      </w:r>
      <w:r>
        <w:rPr>
          <w:rFonts w:hint="eastAsia" w:hAnsi="宋体"/>
          <w:sz w:val="22"/>
          <w:szCs w:val="22"/>
          <w:u w:val="single"/>
        </w:rPr>
        <w:t>：</w:t>
      </w:r>
    </w:p>
    <w:p>
      <w:pPr>
        <w:pStyle w:val="15"/>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rFonts w:hint="eastAsia"/>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5"/>
        <w:adjustRightInd w:val="0"/>
        <w:snapToGrid w:val="0"/>
        <w:spacing w:line="340" w:lineRule="atLeast"/>
        <w:rPr>
          <w:rFonts w:hAnsi="宋体"/>
          <w:sz w:val="22"/>
          <w:szCs w:val="22"/>
        </w:rPr>
      </w:pPr>
      <w:r>
        <w:rPr>
          <w:rFonts w:hint="eastAsia" w:hAnsi="宋体"/>
          <w:sz w:val="22"/>
          <w:szCs w:val="22"/>
          <w:u w:val="single"/>
          <w:lang w:eastAsia="zh-CN"/>
        </w:rPr>
        <w:t>平阳县怀溪镇人民政府</w:t>
      </w:r>
      <w:r>
        <w:rPr>
          <w:rFonts w:hint="eastAsia" w:hAnsi="宋体"/>
          <w:sz w:val="22"/>
          <w:szCs w:val="22"/>
        </w:rPr>
        <w:t>：</w:t>
      </w:r>
    </w:p>
    <w:p>
      <w:pPr>
        <w:pStyle w:val="15"/>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6"/>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5"/>
              <w:adjustRightInd w:val="0"/>
              <w:snapToGrid w:val="0"/>
              <w:spacing w:line="320" w:lineRule="atLeast"/>
              <w:rPr>
                <w:rFonts w:hAnsi="宋体"/>
                <w:sz w:val="36"/>
                <w:szCs w:val="24"/>
                <w:u w:val="single"/>
              </w:rPr>
            </w:pPr>
          </w:p>
          <w:p>
            <w:pPr>
              <w:pStyle w:val="15"/>
              <w:adjustRightInd w:val="0"/>
              <w:snapToGrid w:val="0"/>
              <w:spacing w:line="320" w:lineRule="atLeast"/>
              <w:rPr>
                <w:rFonts w:hAnsi="宋体"/>
                <w:sz w:val="36"/>
                <w:szCs w:val="24"/>
                <w:u w:val="single"/>
              </w:rPr>
            </w:pPr>
          </w:p>
          <w:p>
            <w:pPr>
              <w:pStyle w:val="15"/>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5"/>
        <w:adjustRightInd w:val="0"/>
        <w:snapToGrid w:val="0"/>
        <w:spacing w:line="320" w:lineRule="atLeast"/>
        <w:jc w:val="center"/>
        <w:outlineLvl w:val="0"/>
        <w:rPr>
          <w:rFonts w:hAnsi="宋体"/>
          <w:b/>
          <w:sz w:val="36"/>
        </w:rPr>
      </w:pPr>
    </w:p>
    <w:p>
      <w:pPr>
        <w:pStyle w:val="15"/>
        <w:adjustRightInd w:val="0"/>
        <w:snapToGrid w:val="0"/>
        <w:spacing w:line="320" w:lineRule="atLeast"/>
        <w:outlineLvl w:val="0"/>
        <w:rPr>
          <w:rFonts w:hAnsi="宋体" w:cs="宋体"/>
          <w:kern w:val="0"/>
          <w:sz w:val="32"/>
          <w:szCs w:val="24"/>
        </w:rPr>
      </w:pPr>
    </w:p>
    <w:p>
      <w:pPr>
        <w:pStyle w:val="15"/>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5"/>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cols w:space="720" w:num="1"/>
          <w:docGrid w:linePitch="312" w:charSpace="0"/>
        </w:sectPr>
      </w:pPr>
    </w:p>
    <w:p>
      <w:pPr>
        <w:pStyle w:val="15"/>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6"/>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5"/>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cols w:space="720" w:num="1"/>
          <w:docGrid w:linePitch="312" w:charSpace="0"/>
        </w:sectPr>
      </w:pPr>
    </w:p>
    <w:p>
      <w:pPr>
        <w:pStyle w:val="15"/>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6"/>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5"/>
        <w:adjustRightInd w:val="0"/>
        <w:snapToGrid w:val="0"/>
        <w:spacing w:line="460" w:lineRule="atLeast"/>
        <w:rPr>
          <w:rFonts w:hAnsi="宋体"/>
          <w:spacing w:val="20"/>
          <w:sz w:val="24"/>
        </w:rPr>
      </w:pPr>
    </w:p>
    <w:p>
      <w:pPr>
        <w:pStyle w:val="15"/>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4"/>
        <w:spacing w:before="120" w:after="120"/>
        <w:ind w:left="652" w:hanging="652"/>
        <w:rPr>
          <w:b/>
          <w:sz w:val="32"/>
        </w:rPr>
      </w:pPr>
    </w:p>
    <w:p>
      <w:pPr>
        <w:pStyle w:val="14"/>
        <w:spacing w:before="120" w:after="120"/>
        <w:ind w:left="652" w:hanging="652"/>
        <w:rPr>
          <w:b/>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rPr>
        <w:t>7年1月1日以来类似业绩</w:t>
      </w:r>
      <w:r>
        <w:rPr>
          <w:rFonts w:hint="eastAsia"/>
          <w:b/>
          <w:sz w:val="32"/>
          <w:lang w:val="zh-CN"/>
        </w:rPr>
        <w:t>证明</w:t>
      </w:r>
    </w:p>
    <w:p>
      <w:pPr>
        <w:pStyle w:val="15"/>
        <w:snapToGrid w:val="0"/>
        <w:spacing w:line="324" w:lineRule="auto"/>
        <w:jc w:val="center"/>
        <w:rPr>
          <w:rFonts w:hAnsi="宋体"/>
          <w:b/>
          <w:sz w:val="30"/>
        </w:rPr>
      </w:pPr>
    </w:p>
    <w:p>
      <w:pPr>
        <w:pStyle w:val="15"/>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rPr>
        <w:t>7年1月1日以来类似业绩证明</w:t>
      </w:r>
    </w:p>
    <w:p>
      <w:pPr>
        <w:pStyle w:val="15"/>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26"/>
        <w:tblW w:w="92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5"/>
        <w:snapToGrid w:val="0"/>
        <w:spacing w:line="460" w:lineRule="atLeast"/>
        <w:rPr>
          <w:rFonts w:hAnsi="宋体"/>
          <w:b/>
          <w:bCs/>
          <w:sz w:val="32"/>
        </w:rPr>
      </w:pPr>
      <w:r>
        <w:rPr>
          <w:rFonts w:hint="eastAsia" w:hAnsi="宋体" w:cs="宋体"/>
          <w:sz w:val="22"/>
          <w:szCs w:val="22"/>
        </w:rPr>
        <w:t xml:space="preserve">日 期：      年     月    日  </w:t>
      </w: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5"/>
        <w:snapToGrid w:val="0"/>
        <w:spacing w:line="324" w:lineRule="auto"/>
        <w:jc w:val="center"/>
        <w:rPr>
          <w:rFonts w:hAnsi="宋体"/>
          <w:b/>
          <w:sz w:val="30"/>
        </w:rPr>
      </w:pPr>
      <w:r>
        <w:rPr>
          <w:rFonts w:hint="eastAsia" w:hAnsi="宋体"/>
          <w:b/>
          <w:sz w:val="30"/>
        </w:rPr>
        <w:t>拟派项目负责人履历表</w:t>
      </w:r>
    </w:p>
    <w:tbl>
      <w:tblPr>
        <w:tblStyle w:val="26"/>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47"/>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48"/>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5"/>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5"/>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43"/>
        <w:rPr>
          <w:rFonts w:ascii="宋体"/>
          <w:sz w:val="10"/>
          <w:szCs w:val="10"/>
        </w:rPr>
      </w:pPr>
    </w:p>
    <w:p>
      <w:pPr>
        <w:pStyle w:val="9"/>
        <w:rPr>
          <w:rFonts w:ascii="宋体"/>
          <w:sz w:val="10"/>
          <w:szCs w:val="10"/>
        </w:rPr>
        <w:sectPr>
          <w:pgSz w:w="11907" w:h="16840"/>
          <w:pgMar w:top="1440" w:right="1106" w:bottom="1440" w:left="1157" w:header="720" w:footer="720" w:gutter="0"/>
          <w:cols w:space="720" w:num="1"/>
          <w:docGrid w:linePitch="312" w:charSpace="0"/>
        </w:sectPr>
      </w:pPr>
    </w:p>
    <w:p>
      <w:pPr>
        <w:pStyle w:val="15"/>
        <w:snapToGrid w:val="0"/>
        <w:spacing w:line="324" w:lineRule="auto"/>
        <w:jc w:val="center"/>
        <w:rPr>
          <w:rFonts w:hAnsi="宋体"/>
          <w:b/>
          <w:sz w:val="30"/>
        </w:rPr>
      </w:pPr>
      <w:r>
        <w:rPr>
          <w:rFonts w:hint="eastAsia" w:hAnsi="宋体"/>
          <w:b/>
          <w:sz w:val="30"/>
        </w:rPr>
        <w:t>项目主管人员、专业人员概况</w:t>
      </w:r>
    </w:p>
    <w:tbl>
      <w:tblPr>
        <w:tblStyle w:val="26"/>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9"/>
      </w:pPr>
    </w:p>
    <w:p>
      <w:pPr>
        <w:pStyle w:val="10"/>
        <w:ind w:firstLine="210"/>
      </w:pPr>
    </w:p>
    <w:p>
      <w:pPr>
        <w:pStyle w:val="10"/>
        <w:ind w:firstLine="210"/>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9"/>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sectPr>
          <w:pgSz w:w="11907" w:h="16840"/>
          <w:pgMar w:top="1440" w:right="1106" w:bottom="1440" w:left="1157" w:header="720" w:footer="720" w:gutter="0"/>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43"/>
      </w:pPr>
    </w:p>
    <w:tbl>
      <w:tblPr>
        <w:tblStyle w:val="26"/>
        <w:tblW w:w="9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5"/>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0" w:firstLineChars="0"/>
        <w:rPr>
          <w:rFonts w:eastAsia="新宋体"/>
          <w:b/>
          <w:sz w:val="36"/>
          <w:szCs w:val="36"/>
        </w:rPr>
      </w:pPr>
    </w:p>
    <w:p>
      <w:pPr>
        <w:pStyle w:val="10"/>
        <w:ind w:firstLine="0" w:firstLineChars="0"/>
        <w:rPr>
          <w:rFonts w:eastAsia="新宋体"/>
          <w:b/>
          <w:sz w:val="36"/>
          <w:szCs w:val="36"/>
        </w:rPr>
      </w:pPr>
    </w:p>
    <w:p>
      <w:pPr>
        <w:pStyle w:val="10"/>
        <w:ind w:firstLine="0" w:firstLineChars="0"/>
        <w:rPr>
          <w:rFonts w:eastAsia="新宋体"/>
          <w:b/>
          <w:sz w:val="36"/>
          <w:szCs w:val="36"/>
        </w:rPr>
      </w:pPr>
    </w:p>
    <w:p>
      <w:pPr>
        <w:pStyle w:val="10"/>
        <w:ind w:firstLine="0" w:firstLineChars="0"/>
        <w:rPr>
          <w:rFonts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3.11 进场机具、设备、耗材明细表</w:t>
      </w:r>
    </w:p>
    <w:p>
      <w:pPr>
        <w:pStyle w:val="43"/>
        <w:rPr>
          <w:rFonts w:ascii="宋体" w:hAnsi="宋体"/>
          <w:b/>
          <w:sz w:val="30"/>
          <w:szCs w:val="30"/>
        </w:rPr>
      </w:pPr>
    </w:p>
    <w:p>
      <w:pPr>
        <w:pStyle w:val="9"/>
        <w:jc w:val="center"/>
        <w:rPr>
          <w:rFonts w:ascii="宋体" w:hAnsi="宋体"/>
          <w:b/>
          <w:bCs w:val="0"/>
          <w:sz w:val="30"/>
          <w:szCs w:val="30"/>
        </w:rPr>
      </w:pPr>
      <w:r>
        <w:rPr>
          <w:rFonts w:hint="eastAsia" w:ascii="宋体"/>
          <w:b/>
          <w:bCs w:val="0"/>
          <w:sz w:val="30"/>
          <w:szCs w:val="30"/>
        </w:rPr>
        <w:t>进场机具、设备明细表</w:t>
      </w:r>
    </w:p>
    <w:tbl>
      <w:tblPr>
        <w:tblStyle w:val="26"/>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10"/>
        <w:ind w:firstLine="301"/>
        <w:rPr>
          <w:rFonts w:ascii="宋体" w:hAnsi="宋体"/>
          <w:b/>
          <w:sz w:val="30"/>
          <w:szCs w:val="30"/>
        </w:rPr>
      </w:pPr>
    </w:p>
    <w:p>
      <w:pPr>
        <w:pStyle w:val="15"/>
        <w:spacing w:line="440" w:lineRule="exact"/>
        <w:rPr>
          <w:rFonts w:hAnsi="宋体"/>
          <w:sz w:val="22"/>
          <w:szCs w:val="22"/>
        </w:rPr>
      </w:pPr>
      <w:r>
        <w:rPr>
          <w:rFonts w:hint="eastAsia" w:hAnsi="宋体"/>
          <w:sz w:val="22"/>
          <w:szCs w:val="22"/>
        </w:rPr>
        <w:t>注：1、本表所列为供应商拟投入的作业机具、设备清单。</w:t>
      </w:r>
    </w:p>
    <w:p>
      <w:pPr>
        <w:pStyle w:val="15"/>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5"/>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26"/>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5"/>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5"/>
        <w:spacing w:line="320" w:lineRule="exact"/>
        <w:ind w:left="987" w:leftChars="313" w:hanging="330" w:hangingChars="150"/>
        <w:rPr>
          <w:rFonts w:hAnsi="宋体"/>
          <w:sz w:val="22"/>
        </w:rPr>
      </w:pPr>
      <w:r>
        <w:rPr>
          <w:rFonts w:hint="eastAsia" w:hAnsi="宋体"/>
          <w:sz w:val="22"/>
        </w:rPr>
        <w:t>2、本表所列耗材价格应计入投标总价。</w:t>
      </w:r>
    </w:p>
    <w:p>
      <w:pPr>
        <w:pStyle w:val="15"/>
        <w:spacing w:line="320" w:lineRule="exact"/>
        <w:ind w:left="657" w:leftChars="313"/>
        <w:rPr>
          <w:rFonts w:hAnsi="宋体"/>
          <w:sz w:val="22"/>
        </w:rPr>
      </w:pPr>
      <w:r>
        <w:rPr>
          <w:rFonts w:hint="eastAsia" w:hAnsi="宋体"/>
          <w:sz w:val="22"/>
        </w:rPr>
        <w:t>3、此表仅提供了表格形式，供应商可按此表格编制。</w:t>
      </w:r>
    </w:p>
    <w:p>
      <w:pPr>
        <w:pStyle w:val="43"/>
      </w:pPr>
    </w:p>
    <w:p>
      <w:pPr>
        <w:pStyle w:val="43"/>
        <w:rPr>
          <w:rFonts w:ascii="宋体" w:hAnsi="宋体"/>
          <w:b/>
          <w:sz w:val="30"/>
          <w:szCs w:val="30"/>
        </w:rPr>
      </w:pPr>
    </w:p>
    <w:p>
      <w:pPr>
        <w:pStyle w:val="9"/>
        <w:rPr>
          <w:rFonts w:ascii="宋体" w:hAnsi="宋体"/>
          <w:b/>
          <w:sz w:val="30"/>
          <w:szCs w:val="30"/>
        </w:rPr>
      </w:pPr>
    </w:p>
    <w:p>
      <w:pPr>
        <w:pStyle w:val="10"/>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rPr>
          <w:b/>
          <w:sz w:val="32"/>
        </w:rPr>
      </w:pPr>
    </w:p>
    <w:p>
      <w:pPr>
        <w:rPr>
          <w:b/>
          <w:sz w:val="32"/>
        </w:rPr>
      </w:pPr>
    </w:p>
    <w:p>
      <w:pPr>
        <w:rPr>
          <w:b/>
          <w:sz w:val="32"/>
          <w:lang w:val="zh-CN"/>
        </w:rPr>
      </w:pPr>
      <w:r>
        <w:rPr>
          <w:rFonts w:hint="eastAsia"/>
          <w:b/>
          <w:sz w:val="32"/>
        </w:rPr>
        <w:t>3</w:t>
      </w:r>
      <w:r>
        <w:rPr>
          <w:rFonts w:hint="eastAsia"/>
          <w:b/>
          <w:sz w:val="32"/>
          <w:lang w:val="zh-CN"/>
        </w:rPr>
        <w:t>.1</w:t>
      </w:r>
      <w:r>
        <w:rPr>
          <w:rFonts w:hint="eastAsia"/>
          <w:b/>
          <w:sz w:val="32"/>
        </w:rPr>
        <w:t>2</w:t>
      </w:r>
      <w:r>
        <w:rPr>
          <w:rFonts w:hint="eastAsia"/>
          <w:b/>
          <w:sz w:val="32"/>
          <w:lang w:val="zh-CN"/>
        </w:rPr>
        <w:t>供应商认为有必要提供的其他材料或说明（如有）</w:t>
      </w:r>
    </w:p>
    <w:p>
      <w:pPr>
        <w:pStyle w:val="43"/>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平阳县怀溪镇2021年度松材线虫病防治项目</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26"/>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9"/>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3.13质量服务承诺书、诚信投标承诺书</w:t>
      </w:r>
    </w:p>
    <w:p>
      <w:pPr>
        <w:pStyle w:val="9"/>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（项目名称）项目的中标供应商，将作出以下承诺：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5"/>
        <w:adjustRightInd w:val="0"/>
        <w:snapToGrid w:val="0"/>
        <w:spacing w:line="400" w:lineRule="exact"/>
        <w:jc w:val="center"/>
        <w:rPr>
          <w:rFonts w:hAnsi="宋体" w:eastAsia="新宋体"/>
          <w:sz w:val="24"/>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8"/>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8"/>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8"/>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8"/>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49"/>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7"/>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3"/>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3"/>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cols w:space="720" w:num="1"/>
          <w:docGrid w:linePitch="312" w:charSpace="0"/>
        </w:sectPr>
      </w:pPr>
    </w:p>
    <w:p>
      <w:pPr>
        <w:pStyle w:val="15"/>
        <w:adjustRightInd w:val="0"/>
        <w:snapToGrid w:val="0"/>
        <w:jc w:val="center"/>
        <w:rPr>
          <w:rFonts w:hAnsi="宋体" w:cs="宋体"/>
          <w:b/>
          <w:sz w:val="36"/>
          <w:szCs w:val="36"/>
        </w:rPr>
      </w:pPr>
      <w:r>
        <w:rPr>
          <w:rFonts w:hint="eastAsia" w:hAnsi="宋体" w:cs="宋体"/>
          <w:b/>
          <w:sz w:val="36"/>
          <w:szCs w:val="36"/>
        </w:rPr>
        <w:t>评标细则</w:t>
      </w:r>
    </w:p>
    <w:p>
      <w:pPr>
        <w:pStyle w:val="15"/>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20</w:t>
      </w:r>
      <w:r>
        <w:rPr>
          <w:rFonts w:hint="eastAsia" w:hAnsi="宋体" w:cs="宋体"/>
          <w:b/>
          <w:sz w:val="22"/>
          <w:szCs w:val="22"/>
        </w:rPr>
        <w:t>分</w:t>
      </w:r>
    </w:p>
    <w:p>
      <w:pPr>
        <w:pStyle w:val="15"/>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1、以有效供应商中有效投标价的最低价为评标基准价，得满分</w:t>
      </w:r>
      <w:r>
        <w:rPr>
          <w:rFonts w:hint="eastAsia" w:hAnsi="宋体" w:cs="宋体"/>
          <w:sz w:val="22"/>
          <w:szCs w:val="22"/>
          <w:lang w:val="en-US" w:eastAsia="zh-CN"/>
        </w:rPr>
        <w:t>2</w:t>
      </w:r>
      <w:r>
        <w:rPr>
          <w:rFonts w:hint="eastAsia" w:hAnsi="宋体" w:cs="宋体"/>
          <w:sz w:val="22"/>
          <w:szCs w:val="22"/>
        </w:rPr>
        <w:t>0分。商务报价评分结算公式为:投标报价得分=(评标基准价／投标报价)×</w:t>
      </w:r>
      <w:r>
        <w:rPr>
          <w:rFonts w:hint="eastAsia" w:hAnsi="宋体" w:cs="宋体"/>
          <w:sz w:val="22"/>
          <w:szCs w:val="22"/>
          <w:lang w:val="en-US" w:eastAsia="zh-CN"/>
        </w:rPr>
        <w:t>2</w:t>
      </w:r>
      <w:r>
        <w:rPr>
          <w:rFonts w:hint="eastAsia" w:hAnsi="宋体" w:cs="宋体"/>
          <w:sz w:val="22"/>
          <w:szCs w:val="22"/>
        </w:rPr>
        <w:t>0%×100。</w:t>
      </w:r>
    </w:p>
    <w:p>
      <w:pPr>
        <w:pStyle w:val="15"/>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5"/>
        <w:adjustRightInd w:val="0"/>
        <w:snapToGrid w:val="0"/>
        <w:spacing w:line="460" w:lineRule="atLeast"/>
        <w:ind w:firstLine="442" w:firstLineChars="200"/>
        <w:rPr>
          <w:rFonts w:hint="eastAsia" w:hAnsi="宋体"/>
          <w:b/>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lang w:val="en-US" w:eastAsia="zh-CN"/>
        </w:rPr>
        <w:t>8</w:t>
      </w:r>
      <w:r>
        <w:rPr>
          <w:rFonts w:hint="eastAsia" w:hAnsi="宋体"/>
          <w:b/>
          <w:sz w:val="22"/>
          <w:szCs w:val="22"/>
        </w:rPr>
        <w:t>0分</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3456"/>
        <w:gridCol w:w="1036"/>
        <w:gridCol w:w="4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48" w:type="dxa"/>
            <w:noWrap w:val="0"/>
            <w:vAlign w:val="center"/>
          </w:tcPr>
          <w:p>
            <w:pPr>
              <w:spacing w:line="440" w:lineRule="exact"/>
              <w:jc w:val="center"/>
              <w:rPr>
                <w:rFonts w:hint="eastAsia" w:ascii="宋体" w:hAnsi="宋体"/>
                <w:sz w:val="22"/>
                <w:szCs w:val="22"/>
              </w:rPr>
            </w:pPr>
            <w:r>
              <w:rPr>
                <w:rFonts w:hint="eastAsia" w:ascii="宋体" w:hAnsi="宋体"/>
                <w:sz w:val="22"/>
                <w:szCs w:val="22"/>
              </w:rPr>
              <w:t>序号</w:t>
            </w:r>
          </w:p>
        </w:tc>
        <w:tc>
          <w:tcPr>
            <w:tcW w:w="3456" w:type="dxa"/>
            <w:noWrap w:val="0"/>
            <w:vAlign w:val="center"/>
          </w:tcPr>
          <w:p>
            <w:pPr>
              <w:spacing w:line="440" w:lineRule="exact"/>
              <w:jc w:val="center"/>
              <w:rPr>
                <w:rFonts w:hint="eastAsia" w:ascii="宋体" w:hAnsi="宋体"/>
                <w:sz w:val="22"/>
                <w:szCs w:val="22"/>
              </w:rPr>
            </w:pPr>
            <w:r>
              <w:rPr>
                <w:rFonts w:hint="eastAsia" w:ascii="宋体" w:hAnsi="宋体"/>
                <w:sz w:val="22"/>
                <w:szCs w:val="22"/>
              </w:rPr>
              <w:t>评分内容</w:t>
            </w:r>
          </w:p>
        </w:tc>
        <w:tc>
          <w:tcPr>
            <w:tcW w:w="1036" w:type="dxa"/>
            <w:tcBorders>
              <w:right w:val="single" w:color="auto" w:sz="6" w:space="0"/>
            </w:tcBorders>
            <w:noWrap w:val="0"/>
            <w:vAlign w:val="center"/>
          </w:tcPr>
          <w:p>
            <w:pPr>
              <w:spacing w:line="440" w:lineRule="exact"/>
              <w:jc w:val="center"/>
              <w:rPr>
                <w:rFonts w:hint="eastAsia" w:ascii="宋体" w:hAnsi="宋体"/>
                <w:sz w:val="22"/>
                <w:szCs w:val="22"/>
              </w:rPr>
            </w:pPr>
            <w:r>
              <w:rPr>
                <w:rFonts w:hint="eastAsia" w:ascii="宋体" w:hAnsi="宋体"/>
                <w:sz w:val="22"/>
                <w:szCs w:val="22"/>
              </w:rPr>
              <w:t>分值范围</w:t>
            </w:r>
          </w:p>
        </w:tc>
        <w:tc>
          <w:tcPr>
            <w:tcW w:w="4509" w:type="dxa"/>
            <w:tcBorders>
              <w:left w:val="single" w:color="auto" w:sz="6" w:space="0"/>
            </w:tcBorders>
            <w:noWrap w:val="0"/>
            <w:vAlign w:val="center"/>
          </w:tcPr>
          <w:p>
            <w:pPr>
              <w:spacing w:line="440" w:lineRule="exact"/>
              <w:jc w:val="center"/>
              <w:rPr>
                <w:rFonts w:hint="eastAsia" w:ascii="宋体" w:hAnsi="宋体"/>
                <w:sz w:val="22"/>
                <w:szCs w:val="22"/>
              </w:rPr>
            </w:pPr>
            <w:r>
              <w:rPr>
                <w:rFonts w:hint="eastAsia" w:ascii="宋体" w:hAnsi="宋体"/>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1</w:t>
            </w:r>
          </w:p>
        </w:tc>
        <w:tc>
          <w:tcPr>
            <w:tcW w:w="3456" w:type="dxa"/>
            <w:noWrap w:val="0"/>
            <w:vAlign w:val="center"/>
          </w:tcPr>
          <w:p>
            <w:pPr>
              <w:rPr>
                <w:rFonts w:hint="eastAsia" w:ascii="宋体" w:hAnsi="宋体" w:eastAsia="宋体" w:cs="宋体"/>
                <w:sz w:val="22"/>
                <w:szCs w:val="22"/>
              </w:rPr>
            </w:pPr>
            <w:r>
              <w:rPr>
                <w:rFonts w:hint="eastAsia" w:ascii="宋体" w:hAnsi="宋体" w:eastAsia="宋体" w:cs="宋体"/>
                <w:color w:val="auto"/>
                <w:sz w:val="22"/>
                <w:szCs w:val="22"/>
              </w:rPr>
              <w:t>投标供应商企业</w:t>
            </w:r>
            <w:r>
              <w:rPr>
                <w:rFonts w:hint="eastAsia" w:ascii="宋体" w:hAnsi="宋体" w:eastAsia="宋体" w:cs="宋体"/>
                <w:color w:val="auto"/>
                <w:sz w:val="22"/>
                <w:szCs w:val="22"/>
                <w:lang w:val="en-US" w:eastAsia="zh-CN"/>
              </w:rPr>
              <w:t>的</w:t>
            </w:r>
            <w:r>
              <w:rPr>
                <w:rFonts w:hint="eastAsia" w:ascii="宋体" w:hAnsi="宋体" w:eastAsia="宋体" w:cs="宋体"/>
                <w:color w:val="auto"/>
                <w:sz w:val="22"/>
                <w:szCs w:val="22"/>
              </w:rPr>
              <w:t>实力、资信等情况</w:t>
            </w:r>
          </w:p>
        </w:tc>
        <w:tc>
          <w:tcPr>
            <w:tcW w:w="1036" w:type="dxa"/>
            <w:tcBorders>
              <w:right w:val="single" w:color="auto" w:sz="6" w:space="0"/>
            </w:tcBorders>
            <w:noWrap w:val="0"/>
            <w:vAlign w:val="center"/>
          </w:tcPr>
          <w:p>
            <w:pPr>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0-8</w:t>
            </w:r>
          </w:p>
        </w:tc>
        <w:tc>
          <w:tcPr>
            <w:tcW w:w="4509" w:type="dxa"/>
            <w:tcBorders>
              <w:left w:val="single" w:color="auto" w:sz="6" w:space="0"/>
            </w:tcBorders>
            <w:noWrap w:val="0"/>
            <w:vAlign w:val="center"/>
          </w:tcPr>
          <w:p>
            <w:pPr>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根据投标供应商情况、履约能力、技术、经验、员工意外保险等方面，由评标委员会进行打分；</w:t>
            </w:r>
          </w:p>
          <w:p>
            <w:pPr>
              <w:jc w:val="left"/>
              <w:rPr>
                <w:rFonts w:hint="eastAsia" w:ascii="宋体" w:hAnsi="宋体" w:eastAsia="宋体" w:cs="宋体"/>
                <w:color w:val="000000"/>
                <w:sz w:val="22"/>
                <w:szCs w:val="22"/>
              </w:rPr>
            </w:pPr>
            <w:r>
              <w:rPr>
                <w:rFonts w:hint="eastAsia" w:ascii="宋体" w:hAnsi="宋体" w:eastAsia="宋体" w:cs="宋体"/>
                <w:sz w:val="22"/>
                <w:szCs w:val="22"/>
                <w:lang w:val="en-US" w:eastAsia="zh-CN"/>
              </w:rPr>
              <w:t>其中：全部满足要求的6.1-8分；基本满足要求的3.1-6分；部分满足要求的0-3分。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748" w:type="dxa"/>
            <w:vMerge w:val="restart"/>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2</w:t>
            </w:r>
          </w:p>
        </w:tc>
        <w:tc>
          <w:tcPr>
            <w:tcW w:w="3456" w:type="dxa"/>
            <w:vMerge w:val="restart"/>
            <w:noWrap w:val="0"/>
            <w:vAlign w:val="center"/>
          </w:tcPr>
          <w:p>
            <w:pPr>
              <w:rPr>
                <w:rFonts w:hint="eastAsia" w:ascii="宋体" w:hAnsi="宋体" w:eastAsia="宋体" w:cs="宋体"/>
                <w:sz w:val="22"/>
                <w:szCs w:val="22"/>
              </w:rPr>
            </w:pPr>
            <w:r>
              <w:rPr>
                <w:rFonts w:hint="eastAsia" w:ascii="宋体" w:hAnsi="宋体" w:eastAsia="宋体" w:cs="宋体"/>
                <w:sz w:val="22"/>
                <w:szCs w:val="22"/>
              </w:rPr>
              <w:t>现场计划安排情况</w:t>
            </w:r>
          </w:p>
        </w:tc>
        <w:tc>
          <w:tcPr>
            <w:tcW w:w="1036" w:type="dxa"/>
            <w:vMerge w:val="restart"/>
            <w:tcBorders>
              <w:right w:val="single" w:color="auto" w:sz="6" w:space="0"/>
            </w:tcBorders>
            <w:noWrap w:val="0"/>
            <w:vAlign w:val="center"/>
          </w:tcPr>
          <w:p>
            <w:pPr>
              <w:jc w:val="center"/>
              <w:rPr>
                <w:rFonts w:hint="eastAsia" w:ascii="宋体" w:hAnsi="宋体" w:eastAsia="宋体" w:cs="宋体"/>
                <w:sz w:val="22"/>
                <w:szCs w:val="22"/>
                <w:lang w:eastAsia="zh-CN"/>
              </w:rPr>
            </w:pPr>
            <w:r>
              <w:rPr>
                <w:rFonts w:hint="eastAsia" w:ascii="宋体" w:hAnsi="宋体" w:eastAsia="宋体" w:cs="宋体"/>
                <w:sz w:val="22"/>
                <w:szCs w:val="22"/>
              </w:rPr>
              <w:t>0-1</w:t>
            </w:r>
            <w:r>
              <w:rPr>
                <w:rFonts w:hint="eastAsia" w:ascii="宋体" w:hAnsi="宋体" w:eastAsia="宋体" w:cs="宋体"/>
                <w:sz w:val="22"/>
                <w:szCs w:val="22"/>
                <w:lang w:val="en-US" w:eastAsia="zh-CN"/>
              </w:rPr>
              <w:t>0</w:t>
            </w:r>
          </w:p>
        </w:tc>
        <w:tc>
          <w:tcPr>
            <w:tcW w:w="4509" w:type="dxa"/>
            <w:tcBorders>
              <w:left w:val="single" w:color="auto" w:sz="6"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投标供应商</w:t>
            </w:r>
            <w:r>
              <w:rPr>
                <w:rFonts w:hint="eastAsia" w:ascii="宋体" w:hAnsi="宋体" w:eastAsia="宋体" w:cs="宋体"/>
                <w:sz w:val="22"/>
                <w:szCs w:val="22"/>
              </w:rPr>
              <w:t>在投标前可以进行现场踏勘，摸清施工地点及枯死木现状，编制行程路线以及各区域实施的计划进度安排，计划上报表格编制。</w:t>
            </w:r>
          </w:p>
          <w:p>
            <w:pPr>
              <w:rPr>
                <w:rFonts w:hint="eastAsia" w:ascii="宋体" w:hAnsi="宋体" w:eastAsia="宋体" w:cs="宋体"/>
                <w:sz w:val="22"/>
                <w:szCs w:val="22"/>
              </w:rPr>
            </w:pPr>
            <w:r>
              <w:rPr>
                <w:rFonts w:hint="eastAsia" w:ascii="宋体" w:hAnsi="宋体" w:eastAsia="宋体" w:cs="宋体"/>
                <w:sz w:val="22"/>
                <w:szCs w:val="22"/>
                <w:lang w:val="en-US" w:eastAsia="zh-CN"/>
              </w:rPr>
              <w:t>其中：全部满足要求的6.1-10分；基本满足要求的3.1-6分；部分满足要求的0-3分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748" w:type="dxa"/>
            <w:vMerge w:val="restart"/>
            <w:tcBorders>
              <w:bottom w:val="single" w:color="auto" w:sz="4" w:space="0"/>
            </w:tcBorders>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3</w:t>
            </w:r>
          </w:p>
        </w:tc>
        <w:tc>
          <w:tcPr>
            <w:tcW w:w="3456" w:type="dxa"/>
            <w:vMerge w:val="restart"/>
            <w:tcBorders>
              <w:top w:val="single" w:color="auto" w:sz="8"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项目管理服务机构设置及整体服务、施工方案、运作流程、监管方式及计划</w:t>
            </w:r>
          </w:p>
        </w:tc>
        <w:tc>
          <w:tcPr>
            <w:tcW w:w="1036" w:type="dxa"/>
            <w:vMerge w:val="restart"/>
            <w:tcBorders>
              <w:top w:val="single" w:color="auto" w:sz="8" w:space="0"/>
              <w:bottom w:val="single" w:color="auto" w:sz="4" w:space="0"/>
              <w:right w:val="single" w:color="auto" w:sz="6" w:space="0"/>
            </w:tcBorders>
            <w:noWrap w:val="0"/>
            <w:vAlign w:val="center"/>
          </w:tcPr>
          <w:p>
            <w:pPr>
              <w:spacing w:line="440" w:lineRule="exact"/>
              <w:jc w:val="center"/>
              <w:rPr>
                <w:rFonts w:hint="eastAsia" w:ascii="宋体" w:hAnsi="宋体" w:eastAsia="宋体" w:cs="宋体"/>
                <w:sz w:val="22"/>
                <w:szCs w:val="22"/>
              </w:rPr>
            </w:pPr>
            <w:r>
              <w:rPr>
                <w:rFonts w:hint="eastAsia" w:ascii="宋体" w:hAnsi="宋体" w:eastAsia="宋体" w:cs="宋体"/>
                <w:sz w:val="22"/>
                <w:szCs w:val="22"/>
              </w:rPr>
              <w:t>0-16</w:t>
            </w:r>
          </w:p>
        </w:tc>
        <w:tc>
          <w:tcPr>
            <w:tcW w:w="4509" w:type="dxa"/>
            <w:tcBorders>
              <w:top w:val="single" w:color="auto" w:sz="8" w:space="0"/>
              <w:left w:val="single" w:color="auto" w:sz="6" w:space="0"/>
              <w:bottom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1、根据项目整体的施工组织及实施、管理方案进行打分；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全部满足或优于要求的6.1-8分；基本满足要求的3.1-6分；满足部分要求的0-3分。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48" w:type="dxa"/>
            <w:vMerge w:val="continue"/>
            <w:noWrap w:val="0"/>
            <w:vAlign w:val="center"/>
          </w:tcPr>
          <w:p>
            <w:pPr>
              <w:spacing w:line="440" w:lineRule="exact"/>
              <w:jc w:val="center"/>
              <w:rPr>
                <w:rFonts w:hint="eastAsia" w:ascii="宋体" w:hAnsi="宋体" w:eastAsia="宋体" w:cs="宋体"/>
                <w:bCs/>
                <w:sz w:val="22"/>
                <w:szCs w:val="22"/>
              </w:rPr>
            </w:pPr>
          </w:p>
        </w:tc>
        <w:tc>
          <w:tcPr>
            <w:tcW w:w="3456" w:type="dxa"/>
            <w:vMerge w:val="continue"/>
            <w:noWrap w:val="0"/>
            <w:vAlign w:val="center"/>
          </w:tcPr>
          <w:p>
            <w:pPr>
              <w:rPr>
                <w:rFonts w:hint="eastAsia" w:ascii="宋体" w:hAnsi="宋体" w:eastAsia="宋体" w:cs="宋体"/>
                <w:sz w:val="22"/>
                <w:szCs w:val="22"/>
              </w:rPr>
            </w:pPr>
          </w:p>
        </w:tc>
        <w:tc>
          <w:tcPr>
            <w:tcW w:w="1036" w:type="dxa"/>
            <w:vMerge w:val="continue"/>
            <w:tcBorders>
              <w:right w:val="single" w:color="auto" w:sz="6" w:space="0"/>
            </w:tcBorders>
            <w:noWrap w:val="0"/>
            <w:vAlign w:val="center"/>
          </w:tcPr>
          <w:p>
            <w:pPr>
              <w:spacing w:line="440" w:lineRule="exact"/>
              <w:jc w:val="center"/>
              <w:rPr>
                <w:rFonts w:hint="eastAsia" w:ascii="宋体" w:hAnsi="宋体" w:eastAsia="宋体" w:cs="宋体"/>
                <w:sz w:val="22"/>
                <w:szCs w:val="22"/>
              </w:rPr>
            </w:pPr>
          </w:p>
        </w:tc>
        <w:tc>
          <w:tcPr>
            <w:tcW w:w="4509" w:type="dxa"/>
            <w:tcBorders>
              <w:left w:val="single" w:color="auto" w:sz="6" w:space="0"/>
              <w:bottom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eastAsia="zh-CN"/>
              </w:rPr>
              <w:t>根据投标供应商对本项目的设备及器具投入</w:t>
            </w:r>
            <w:r>
              <w:rPr>
                <w:rFonts w:hint="eastAsia" w:ascii="宋体" w:hAnsi="宋体" w:eastAsia="宋体" w:cs="宋体"/>
                <w:sz w:val="22"/>
                <w:szCs w:val="22"/>
              </w:rPr>
              <w:t>情况进行打分；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8</w:t>
            </w:r>
            <w:r>
              <w:rPr>
                <w:rFonts w:hint="eastAsia" w:ascii="宋体" w:hAnsi="宋体" w:eastAsia="宋体" w:cs="宋体"/>
                <w:color w:val="000000"/>
                <w:sz w:val="22"/>
                <w:szCs w:val="22"/>
              </w:rPr>
              <w:t>分；基本满足要求的</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分；满足部分要求的0-</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8" w:type="dxa"/>
            <w:vMerge w:val="continue"/>
            <w:noWrap w:val="0"/>
            <w:vAlign w:val="center"/>
          </w:tcPr>
          <w:p>
            <w:pPr>
              <w:spacing w:line="440" w:lineRule="exact"/>
              <w:jc w:val="center"/>
              <w:rPr>
                <w:rFonts w:hint="eastAsia" w:ascii="宋体" w:hAnsi="宋体" w:eastAsia="宋体" w:cs="宋体"/>
                <w:bCs/>
                <w:sz w:val="22"/>
                <w:szCs w:val="22"/>
              </w:rPr>
            </w:pPr>
          </w:p>
        </w:tc>
        <w:tc>
          <w:tcPr>
            <w:tcW w:w="3456" w:type="dxa"/>
            <w:vMerge w:val="continue"/>
            <w:tcBorders>
              <w:bottom w:val="single" w:color="auto" w:sz="4" w:space="0"/>
            </w:tcBorders>
            <w:noWrap w:val="0"/>
            <w:vAlign w:val="center"/>
          </w:tcPr>
          <w:p>
            <w:pPr>
              <w:rPr>
                <w:rFonts w:hint="eastAsia" w:ascii="宋体" w:hAnsi="宋体" w:eastAsia="宋体" w:cs="宋体"/>
                <w:sz w:val="22"/>
                <w:szCs w:val="22"/>
              </w:rPr>
            </w:pPr>
          </w:p>
        </w:tc>
        <w:tc>
          <w:tcPr>
            <w:tcW w:w="1036" w:type="dxa"/>
            <w:vMerge w:val="continue"/>
            <w:tcBorders>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rPr>
            </w:pPr>
          </w:p>
        </w:tc>
        <w:tc>
          <w:tcPr>
            <w:tcW w:w="4509" w:type="dxa"/>
            <w:tcBorders>
              <w:left w:val="single" w:color="auto" w:sz="6" w:space="0"/>
              <w:bottom w:val="single" w:color="auto" w:sz="8"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3、</w:t>
            </w:r>
            <w:r>
              <w:rPr>
                <w:rFonts w:hint="eastAsia" w:ascii="宋体" w:hAnsi="宋体" w:eastAsia="宋体" w:cs="宋体"/>
                <w:sz w:val="22"/>
                <w:szCs w:val="22"/>
                <w:lang w:eastAsia="zh-CN"/>
              </w:rPr>
              <w:t>根据</w:t>
            </w:r>
            <w:r>
              <w:rPr>
                <w:rFonts w:hint="eastAsia" w:ascii="宋体" w:hAnsi="宋体" w:eastAsia="宋体" w:cs="宋体"/>
                <w:sz w:val="22"/>
                <w:szCs w:val="22"/>
                <w:lang w:val="en-US" w:eastAsia="zh-CN"/>
              </w:rPr>
              <w:t>投标</w:t>
            </w:r>
            <w:r>
              <w:rPr>
                <w:rFonts w:hint="eastAsia" w:ascii="宋体" w:hAnsi="宋体" w:eastAsia="宋体" w:cs="宋体"/>
                <w:sz w:val="22"/>
                <w:szCs w:val="22"/>
              </w:rPr>
              <w:t>供应商</w:t>
            </w:r>
            <w:r>
              <w:rPr>
                <w:rFonts w:hint="eastAsia" w:ascii="宋体" w:hAnsi="宋体" w:eastAsia="宋体" w:cs="宋体"/>
                <w:sz w:val="22"/>
                <w:szCs w:val="22"/>
                <w:lang w:eastAsia="zh-CN"/>
              </w:rPr>
              <w:t>针对本项目工作内容重点与难点的分析是否有针对性、合理性、科学性进行打分</w:t>
            </w:r>
            <w:r>
              <w:rPr>
                <w:rFonts w:hint="eastAsia" w:ascii="宋体" w:hAnsi="宋体" w:eastAsia="宋体" w:cs="宋体"/>
                <w:sz w:val="22"/>
                <w:szCs w:val="22"/>
              </w:rPr>
              <w:t>；</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7</w:t>
            </w:r>
            <w:r>
              <w:rPr>
                <w:rFonts w:hint="eastAsia" w:ascii="宋体" w:hAnsi="宋体" w:eastAsia="宋体" w:cs="宋体"/>
                <w:color w:val="000000"/>
                <w:sz w:val="22"/>
                <w:szCs w:val="22"/>
              </w:rPr>
              <w:t>分；基本满足要求的</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分；满足部分要求的0-</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748" w:type="dxa"/>
            <w:vMerge w:val="restart"/>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4</w:t>
            </w:r>
          </w:p>
        </w:tc>
        <w:tc>
          <w:tcPr>
            <w:tcW w:w="3456" w:type="dxa"/>
            <w:vMerge w:val="restart"/>
            <w:tcBorders>
              <w:top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本项目的人员实施计划和方案；</w:t>
            </w:r>
          </w:p>
        </w:tc>
        <w:tc>
          <w:tcPr>
            <w:tcW w:w="1036" w:type="dxa"/>
            <w:vMerge w:val="restart"/>
            <w:tcBorders>
              <w:top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rPr>
            </w:pPr>
            <w:r>
              <w:rPr>
                <w:rFonts w:hint="eastAsia" w:ascii="宋体" w:hAnsi="宋体" w:eastAsia="宋体" w:cs="宋体"/>
                <w:sz w:val="22"/>
                <w:szCs w:val="22"/>
              </w:rPr>
              <w:t>0-12</w:t>
            </w:r>
          </w:p>
        </w:tc>
        <w:tc>
          <w:tcPr>
            <w:tcW w:w="4509" w:type="dxa"/>
            <w:tcBorders>
              <w:top w:val="single" w:color="auto" w:sz="8" w:space="0"/>
              <w:left w:val="single" w:color="auto" w:sz="6"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1、根据总体管理人员工作排班情况进行打分；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全部满足或优于要求的4.1-6分；基本满足要求的2.1-4分；满足部分要求的0-2分。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748" w:type="dxa"/>
            <w:vMerge w:val="continue"/>
            <w:noWrap w:val="0"/>
            <w:vAlign w:val="center"/>
          </w:tcPr>
          <w:p>
            <w:pPr>
              <w:spacing w:line="440" w:lineRule="exact"/>
              <w:jc w:val="center"/>
              <w:rPr>
                <w:rFonts w:hint="eastAsia" w:ascii="宋体" w:hAnsi="宋体" w:eastAsia="宋体" w:cs="宋体"/>
                <w:bCs/>
                <w:sz w:val="22"/>
                <w:szCs w:val="22"/>
              </w:rPr>
            </w:pPr>
          </w:p>
        </w:tc>
        <w:tc>
          <w:tcPr>
            <w:tcW w:w="3456" w:type="dxa"/>
            <w:vMerge w:val="continue"/>
            <w:noWrap w:val="0"/>
            <w:vAlign w:val="center"/>
          </w:tcPr>
          <w:p>
            <w:pPr>
              <w:rPr>
                <w:rFonts w:hint="eastAsia" w:ascii="宋体" w:hAnsi="宋体" w:eastAsia="宋体" w:cs="宋体"/>
                <w:sz w:val="22"/>
                <w:szCs w:val="22"/>
              </w:rPr>
            </w:pPr>
          </w:p>
        </w:tc>
        <w:tc>
          <w:tcPr>
            <w:tcW w:w="1036" w:type="dxa"/>
            <w:vMerge w:val="continue"/>
            <w:tcBorders>
              <w:right w:val="single" w:color="auto" w:sz="6" w:space="0"/>
            </w:tcBorders>
            <w:noWrap w:val="0"/>
            <w:vAlign w:val="center"/>
          </w:tcPr>
          <w:p>
            <w:pPr>
              <w:spacing w:line="440" w:lineRule="exact"/>
              <w:jc w:val="center"/>
              <w:rPr>
                <w:rFonts w:hint="eastAsia" w:ascii="宋体" w:hAnsi="宋体" w:eastAsia="宋体" w:cs="宋体"/>
                <w:sz w:val="22"/>
                <w:szCs w:val="22"/>
              </w:rPr>
            </w:pPr>
          </w:p>
        </w:tc>
        <w:tc>
          <w:tcPr>
            <w:tcW w:w="4509" w:type="dxa"/>
            <w:tcBorders>
              <w:top w:val="single" w:color="auto" w:sz="4" w:space="0"/>
              <w:left w:val="single" w:color="auto" w:sz="6"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2、施工作业人员牢固树立森林防火意识、林区保护意识（如保护幼苗、野生动物栖憩场所等）等方案及措施进行打分；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全部满足或优于要求的4.1-6分；基本满足要求的2.1-4分；满足部分要求的0-2分。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748" w:type="dxa"/>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5</w:t>
            </w:r>
          </w:p>
        </w:tc>
        <w:tc>
          <w:tcPr>
            <w:tcW w:w="3456" w:type="dxa"/>
            <w:tcBorders>
              <w:top w:val="single" w:color="auto" w:sz="4" w:space="0"/>
              <w:bottom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应急突发事情的响应及处理方案</w:t>
            </w:r>
          </w:p>
        </w:tc>
        <w:tc>
          <w:tcPr>
            <w:tcW w:w="1036" w:type="dxa"/>
            <w:tcBorders>
              <w:top w:val="single" w:color="auto" w:sz="8" w:space="0"/>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eastAsia="zh-CN"/>
              </w:rPr>
            </w:pPr>
            <w:r>
              <w:rPr>
                <w:rFonts w:hint="eastAsia" w:ascii="宋体" w:hAnsi="宋体" w:eastAsia="宋体" w:cs="宋体"/>
                <w:sz w:val="22"/>
                <w:szCs w:val="22"/>
              </w:rPr>
              <w:t>0-</w:t>
            </w:r>
            <w:r>
              <w:rPr>
                <w:rFonts w:hint="eastAsia" w:ascii="宋体" w:hAnsi="宋体" w:eastAsia="宋体" w:cs="宋体"/>
                <w:sz w:val="22"/>
                <w:szCs w:val="22"/>
                <w:lang w:val="en-US" w:eastAsia="zh-CN"/>
              </w:rPr>
              <w:t>6</w:t>
            </w:r>
          </w:p>
        </w:tc>
        <w:tc>
          <w:tcPr>
            <w:tcW w:w="4509" w:type="dxa"/>
            <w:tcBorders>
              <w:top w:val="single" w:color="auto" w:sz="8" w:space="0"/>
              <w:left w:val="single" w:color="auto" w:sz="6" w:space="0"/>
              <w:bottom w:val="single" w:color="auto" w:sz="8"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根据供应商对应急突发事情的响应及处理方案是否完整、得力、可行等情况进行打分；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全部满足或优于要求的4.1-</w:t>
            </w: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分；基本满足要求的2.1-4分；满足部分要求的0-2分。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6</w:t>
            </w:r>
          </w:p>
        </w:tc>
        <w:tc>
          <w:tcPr>
            <w:tcW w:w="3456" w:type="dxa"/>
            <w:tcBorders>
              <w:top w:val="single" w:color="auto" w:sz="4" w:space="0"/>
              <w:bottom w:val="single" w:color="auto" w:sz="4" w:space="0"/>
            </w:tcBorders>
            <w:noWrap w:val="0"/>
            <w:vAlign w:val="center"/>
          </w:tcPr>
          <w:p>
            <w:pPr>
              <w:rPr>
                <w:rFonts w:hint="eastAsia" w:ascii="宋体" w:hAnsi="宋体" w:eastAsia="宋体" w:cs="宋体"/>
                <w:sz w:val="22"/>
                <w:szCs w:val="22"/>
                <w:lang w:val="en-US" w:eastAsia="zh-CN"/>
              </w:rPr>
            </w:pPr>
            <w:r>
              <w:rPr>
                <w:rFonts w:hint="eastAsia" w:ascii="宋体" w:hAnsi="宋体" w:eastAsia="宋体" w:cs="宋体"/>
                <w:bCs/>
                <w:color w:val="auto"/>
                <w:sz w:val="22"/>
                <w:szCs w:val="22"/>
              </w:rPr>
              <w:t>拟派项目</w:t>
            </w:r>
            <w:r>
              <w:rPr>
                <w:rFonts w:hint="eastAsia" w:ascii="宋体" w:hAnsi="宋体" w:eastAsia="宋体" w:cs="宋体"/>
                <w:bCs/>
                <w:color w:val="auto"/>
                <w:sz w:val="22"/>
                <w:szCs w:val="22"/>
                <w:lang w:val="en-US" w:eastAsia="zh-CN"/>
              </w:rPr>
              <w:t>组</w:t>
            </w:r>
            <w:r>
              <w:rPr>
                <w:rFonts w:hint="eastAsia" w:ascii="宋体" w:hAnsi="宋体" w:eastAsia="宋体" w:cs="宋体"/>
                <w:bCs/>
                <w:color w:val="auto"/>
                <w:sz w:val="22"/>
                <w:szCs w:val="22"/>
              </w:rPr>
              <w:t>人员情况</w:t>
            </w:r>
          </w:p>
        </w:tc>
        <w:tc>
          <w:tcPr>
            <w:tcW w:w="1036" w:type="dxa"/>
            <w:tcBorders>
              <w:top w:val="single" w:color="auto" w:sz="8" w:space="0"/>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0-6</w:t>
            </w:r>
          </w:p>
        </w:tc>
        <w:tc>
          <w:tcPr>
            <w:tcW w:w="4509" w:type="dxa"/>
            <w:tcBorders>
              <w:top w:val="single" w:color="auto" w:sz="8" w:space="0"/>
              <w:left w:val="single" w:color="auto" w:sz="6" w:space="0"/>
              <w:bottom w:val="single" w:color="auto" w:sz="8" w:space="0"/>
            </w:tcBorders>
            <w:noWrap w:val="0"/>
            <w:vAlign w:val="center"/>
          </w:tcPr>
          <w:p>
            <w:pPr>
              <w:rPr>
                <w:rFonts w:hint="eastAsia" w:ascii="宋体" w:hAnsi="宋体" w:eastAsia="宋体" w:cs="宋体"/>
                <w:sz w:val="22"/>
                <w:szCs w:val="22"/>
                <w:lang w:val="en-US" w:eastAsia="zh-CN"/>
              </w:rPr>
            </w:pPr>
            <w:r>
              <w:rPr>
                <w:rFonts w:hint="eastAsia" w:ascii="宋体" w:hAnsi="宋体" w:eastAsia="宋体" w:cs="宋体"/>
                <w:sz w:val="22"/>
                <w:szCs w:val="22"/>
              </w:rPr>
              <w:t>拟派项目</w:t>
            </w:r>
            <w:r>
              <w:rPr>
                <w:rFonts w:hint="eastAsia" w:ascii="宋体" w:hAnsi="宋体" w:eastAsia="宋体" w:cs="宋体"/>
                <w:sz w:val="22"/>
                <w:szCs w:val="22"/>
                <w:lang w:val="en-US" w:eastAsia="zh-CN"/>
              </w:rPr>
              <w:t>组人员中有</w:t>
            </w:r>
            <w:r>
              <w:rPr>
                <w:rFonts w:hint="eastAsia" w:ascii="宋体" w:hAnsi="宋体" w:eastAsia="宋体" w:cs="宋体"/>
                <w:sz w:val="22"/>
                <w:szCs w:val="22"/>
              </w:rPr>
              <w:t>林业</w:t>
            </w:r>
            <w:r>
              <w:rPr>
                <w:rFonts w:hint="eastAsia" w:ascii="宋体" w:hAnsi="宋体" w:eastAsia="宋体" w:cs="宋体"/>
                <w:sz w:val="22"/>
                <w:szCs w:val="22"/>
                <w:lang w:val="en-US" w:eastAsia="zh-CN"/>
              </w:rPr>
              <w:t>专业中级职称的得3分，有</w:t>
            </w:r>
            <w:r>
              <w:rPr>
                <w:rFonts w:hint="eastAsia" w:ascii="宋体" w:hAnsi="宋体" w:eastAsia="宋体" w:cs="宋体"/>
                <w:sz w:val="22"/>
                <w:szCs w:val="22"/>
              </w:rPr>
              <w:t>林业</w:t>
            </w:r>
            <w:r>
              <w:rPr>
                <w:rFonts w:hint="eastAsia" w:ascii="宋体" w:hAnsi="宋体" w:eastAsia="宋体" w:cs="宋体"/>
                <w:sz w:val="22"/>
                <w:szCs w:val="22"/>
                <w:lang w:val="en-US" w:eastAsia="zh-CN"/>
              </w:rPr>
              <w:t>专业高级及以上职称的得6分。本项最高得6分。</w:t>
            </w:r>
          </w:p>
          <w:p>
            <w:pPr>
              <w:pStyle w:val="10"/>
              <w:ind w:left="0" w:leftChars="0" w:firstLine="0" w:firstLineChars="0"/>
              <w:rPr>
                <w:rFonts w:hint="eastAsia" w:ascii="宋体" w:hAnsi="宋体" w:eastAsia="宋体" w:cs="宋体"/>
                <w:sz w:val="22"/>
                <w:szCs w:val="22"/>
                <w:lang w:val="en-US" w:eastAsia="zh-CN"/>
              </w:rPr>
            </w:pPr>
            <w:r>
              <w:rPr>
                <w:rFonts w:hint="eastAsia" w:ascii="宋体" w:hAnsi="宋体" w:eastAsia="宋体" w:cs="宋体"/>
                <w:color w:val="auto"/>
                <w:kern w:val="2"/>
                <w:sz w:val="22"/>
                <w:szCs w:val="22"/>
                <w:lang w:val="en-US" w:eastAsia="zh-CN" w:bidi="ar-SA"/>
              </w:rPr>
              <w:t>注：提供相关职称证书复印件加盖公章及投标截止前近6个月内任意一个月在投标单位缴纳的社保证明材料复印件加盖公章，否则不得分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7</w:t>
            </w:r>
          </w:p>
        </w:tc>
        <w:tc>
          <w:tcPr>
            <w:tcW w:w="3456" w:type="dxa"/>
            <w:tcBorders>
              <w:top w:val="single" w:color="auto" w:sz="4" w:space="0"/>
              <w:bottom w:val="single" w:color="auto" w:sz="4" w:space="0"/>
            </w:tcBorders>
            <w:noWrap w:val="0"/>
            <w:vAlign w:val="center"/>
          </w:tcPr>
          <w:p>
            <w:pP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类似项目业绩</w:t>
            </w:r>
          </w:p>
        </w:tc>
        <w:tc>
          <w:tcPr>
            <w:tcW w:w="1036" w:type="dxa"/>
            <w:tcBorders>
              <w:top w:val="single" w:color="auto" w:sz="8" w:space="0"/>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w:t>
            </w:r>
            <w:r>
              <w:rPr>
                <w:rFonts w:hint="eastAsia" w:ascii="宋体" w:hAnsi="宋体" w:cs="宋体"/>
                <w:sz w:val="22"/>
                <w:szCs w:val="22"/>
                <w:lang w:val="en-US" w:eastAsia="zh-CN"/>
              </w:rPr>
              <w:t>5</w:t>
            </w:r>
          </w:p>
        </w:tc>
        <w:tc>
          <w:tcPr>
            <w:tcW w:w="4509" w:type="dxa"/>
            <w:tcBorders>
              <w:top w:val="single" w:color="auto" w:sz="8" w:space="0"/>
              <w:left w:val="single" w:color="auto" w:sz="6" w:space="0"/>
              <w:bottom w:val="single" w:color="auto" w:sz="8" w:space="0"/>
            </w:tcBorders>
            <w:noWrap w:val="0"/>
            <w:vAlign w:val="center"/>
          </w:tcPr>
          <w:p>
            <w:pPr>
              <w:rPr>
                <w:rFonts w:hint="eastAsia" w:ascii="宋体" w:hAnsi="宋体" w:eastAsia="宋体" w:cs="宋体"/>
                <w:bCs/>
                <w:color w:val="FF0000"/>
                <w:sz w:val="22"/>
                <w:szCs w:val="22"/>
              </w:rPr>
            </w:pPr>
            <w:r>
              <w:rPr>
                <w:rFonts w:hint="eastAsia" w:ascii="宋体" w:hAnsi="宋体" w:eastAsia="宋体" w:cs="宋体"/>
                <w:color w:val="auto"/>
                <w:sz w:val="22"/>
                <w:szCs w:val="22"/>
                <w:lang w:val="en-US" w:eastAsia="zh-CN"/>
              </w:rPr>
              <w:t>投标</w:t>
            </w:r>
            <w:r>
              <w:rPr>
                <w:rFonts w:hint="eastAsia" w:ascii="宋体" w:hAnsi="宋体" w:eastAsia="宋体" w:cs="宋体"/>
                <w:color w:val="auto"/>
                <w:sz w:val="22"/>
                <w:szCs w:val="22"/>
              </w:rPr>
              <w:t>供应商自201</w:t>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年1月1日以来有过</w:t>
            </w:r>
            <w:r>
              <w:rPr>
                <w:rFonts w:hint="eastAsia" w:ascii="宋体" w:hAnsi="宋体" w:eastAsia="宋体" w:cs="宋体"/>
                <w:color w:val="auto"/>
                <w:sz w:val="22"/>
                <w:szCs w:val="22"/>
                <w:lang w:val="en-US" w:eastAsia="zh-CN"/>
              </w:rPr>
              <w:t>类似</w:t>
            </w:r>
            <w:r>
              <w:rPr>
                <w:rFonts w:hint="eastAsia" w:ascii="宋体" w:hAnsi="宋体" w:eastAsia="宋体" w:cs="宋体"/>
                <w:color w:val="auto"/>
                <w:sz w:val="22"/>
                <w:szCs w:val="22"/>
              </w:rPr>
              <w:t>项目业绩的，每个可得</w:t>
            </w:r>
            <w:r>
              <w:rPr>
                <w:rFonts w:hint="eastAsia" w:ascii="宋体" w:hAnsi="宋体" w:cs="宋体"/>
                <w:color w:val="auto"/>
                <w:sz w:val="22"/>
                <w:szCs w:val="22"/>
                <w:lang w:val="en-US" w:eastAsia="zh-CN"/>
              </w:rPr>
              <w:t>1</w:t>
            </w:r>
            <w:r>
              <w:rPr>
                <w:rFonts w:hint="eastAsia" w:ascii="宋体" w:hAnsi="宋体" w:eastAsia="宋体" w:cs="宋体"/>
                <w:color w:val="auto"/>
                <w:sz w:val="22"/>
                <w:szCs w:val="22"/>
              </w:rPr>
              <w:t>分，最多得</w:t>
            </w:r>
            <w:r>
              <w:rPr>
                <w:rFonts w:hint="eastAsia" w:ascii="宋体" w:hAnsi="宋体" w:cs="宋体"/>
                <w:color w:val="auto"/>
                <w:sz w:val="22"/>
                <w:szCs w:val="22"/>
                <w:lang w:val="en-US" w:eastAsia="zh-CN"/>
              </w:rPr>
              <w:t>5</w:t>
            </w:r>
            <w:r>
              <w:rPr>
                <w:rFonts w:hint="eastAsia" w:ascii="宋体" w:hAnsi="宋体" w:eastAsia="宋体" w:cs="宋体"/>
                <w:color w:val="auto"/>
                <w:sz w:val="22"/>
                <w:szCs w:val="22"/>
              </w:rPr>
              <w:t>分</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注：须提供合同以及验收</w:t>
            </w:r>
            <w:r>
              <w:rPr>
                <w:rFonts w:hint="eastAsia" w:ascii="宋体" w:hAnsi="宋体" w:eastAsia="宋体" w:cs="宋体"/>
                <w:color w:val="auto"/>
                <w:sz w:val="22"/>
                <w:szCs w:val="22"/>
                <w:lang w:val="en-US" w:eastAsia="zh-CN"/>
              </w:rPr>
              <w:t>证明</w:t>
            </w:r>
            <w:r>
              <w:rPr>
                <w:rFonts w:hint="eastAsia" w:ascii="宋体" w:hAnsi="宋体" w:eastAsia="宋体" w:cs="宋体"/>
                <w:color w:val="auto"/>
                <w:sz w:val="22"/>
                <w:szCs w:val="22"/>
              </w:rPr>
              <w:t>材料</w:t>
            </w:r>
            <w:r>
              <w:rPr>
                <w:rFonts w:hint="eastAsia" w:ascii="宋体" w:hAnsi="宋体" w:eastAsia="宋体" w:cs="宋体"/>
                <w:color w:val="auto"/>
                <w:sz w:val="22"/>
                <w:szCs w:val="22"/>
                <w:lang w:val="en-US" w:eastAsia="zh-CN"/>
              </w:rPr>
              <w:t>复印件</w:t>
            </w: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8</w:t>
            </w:r>
          </w:p>
        </w:tc>
        <w:tc>
          <w:tcPr>
            <w:tcW w:w="3456" w:type="dxa"/>
            <w:tcBorders>
              <w:top w:val="single" w:color="auto" w:sz="4" w:space="0"/>
            </w:tcBorders>
            <w:noWrap w:val="0"/>
            <w:vAlign w:val="center"/>
          </w:tcPr>
          <w:p>
            <w:pPr>
              <w:rPr>
                <w:rFonts w:hint="eastAsia" w:ascii="宋体" w:hAnsi="宋体" w:eastAsia="宋体" w:cs="宋体"/>
                <w:bCs/>
                <w:color w:val="auto"/>
                <w:sz w:val="22"/>
                <w:szCs w:val="22"/>
                <w:lang w:val="en-US" w:eastAsia="zh-CN"/>
              </w:rPr>
            </w:pPr>
            <w:r>
              <w:rPr>
                <w:rFonts w:hint="eastAsia" w:ascii="宋体" w:hAnsi="宋体" w:eastAsia="宋体" w:cs="宋体"/>
                <w:color w:val="000000"/>
                <w:sz w:val="22"/>
                <w:szCs w:val="22"/>
              </w:rPr>
              <w:t>管理制度</w:t>
            </w:r>
          </w:p>
        </w:tc>
        <w:tc>
          <w:tcPr>
            <w:tcW w:w="1036" w:type="dxa"/>
            <w:tcBorders>
              <w:top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0-10</w:t>
            </w:r>
          </w:p>
        </w:tc>
        <w:tc>
          <w:tcPr>
            <w:tcW w:w="4509" w:type="dxa"/>
            <w:tcBorders>
              <w:top w:val="single" w:color="auto" w:sz="8" w:space="0"/>
              <w:left w:val="single" w:color="auto" w:sz="6" w:space="0"/>
            </w:tcBorders>
            <w:noWrap w:val="0"/>
            <w:vAlign w:val="center"/>
          </w:tcPr>
          <w:p>
            <w:pPr>
              <w:adjustRightInd w:val="0"/>
              <w:snapToGrid w:val="0"/>
              <w:spacing w:line="240" w:lineRule="auto"/>
              <w:jc w:val="left"/>
              <w:rPr>
                <w:rFonts w:hint="eastAsia" w:ascii="宋体" w:hAnsi="宋体" w:eastAsia="宋体" w:cs="宋体"/>
                <w:kern w:val="0"/>
                <w:sz w:val="22"/>
                <w:szCs w:val="22"/>
              </w:rPr>
            </w:pPr>
            <w:r>
              <w:rPr>
                <w:rFonts w:hint="eastAsia" w:ascii="宋体" w:hAnsi="宋体" w:eastAsia="宋体" w:cs="宋体"/>
                <w:kern w:val="0"/>
                <w:sz w:val="22"/>
                <w:szCs w:val="22"/>
                <w:lang w:eastAsia="zh-CN"/>
              </w:rPr>
              <w:t>根据</w:t>
            </w:r>
            <w:r>
              <w:rPr>
                <w:rFonts w:hint="eastAsia" w:ascii="宋体" w:hAnsi="宋体" w:eastAsia="宋体" w:cs="宋体"/>
                <w:sz w:val="22"/>
                <w:szCs w:val="22"/>
              </w:rPr>
              <w:t>投标</w:t>
            </w:r>
            <w:r>
              <w:rPr>
                <w:rFonts w:hint="eastAsia" w:ascii="宋体" w:hAnsi="宋体" w:eastAsia="宋体" w:cs="宋体"/>
                <w:color w:val="000000"/>
                <w:sz w:val="22"/>
                <w:szCs w:val="22"/>
              </w:rPr>
              <w:t>供应商</w:t>
            </w:r>
            <w:r>
              <w:rPr>
                <w:rFonts w:hint="eastAsia" w:ascii="宋体" w:hAnsi="宋体" w:eastAsia="宋体" w:cs="宋体"/>
                <w:kern w:val="0"/>
                <w:sz w:val="22"/>
                <w:szCs w:val="22"/>
              </w:rPr>
              <w:t>针对本项目制定的管理考核制度（包括人员考核制度、作业操作流程规范等方面），根据</w:t>
            </w:r>
            <w:r>
              <w:rPr>
                <w:rFonts w:hint="eastAsia" w:ascii="宋体" w:hAnsi="宋体" w:eastAsia="宋体" w:cs="宋体"/>
                <w:spacing w:val="-2"/>
                <w:sz w:val="22"/>
                <w:szCs w:val="22"/>
              </w:rPr>
              <w:t>其管理</w:t>
            </w:r>
            <w:r>
              <w:rPr>
                <w:rFonts w:hint="eastAsia" w:ascii="宋体" w:hAnsi="宋体" w:eastAsia="宋体" w:cs="宋体"/>
                <w:kern w:val="0"/>
                <w:sz w:val="22"/>
                <w:szCs w:val="22"/>
              </w:rPr>
              <w:t>制度的完整性、合理性、严谨性等</w:t>
            </w:r>
            <w:r>
              <w:rPr>
                <w:rFonts w:hint="eastAsia" w:ascii="宋体" w:hAnsi="宋体" w:eastAsia="宋体" w:cs="宋体"/>
                <w:color w:val="000000"/>
                <w:sz w:val="22"/>
                <w:szCs w:val="22"/>
              </w:rPr>
              <w:t>情况</w:t>
            </w:r>
            <w:r>
              <w:rPr>
                <w:rFonts w:hint="eastAsia" w:ascii="宋体" w:hAnsi="宋体" w:eastAsia="宋体" w:cs="宋体"/>
                <w:color w:val="000000"/>
                <w:sz w:val="22"/>
                <w:szCs w:val="22"/>
                <w:lang w:val="en-US" w:eastAsia="zh-CN"/>
              </w:rPr>
              <w:t>进行</w:t>
            </w:r>
            <w:r>
              <w:rPr>
                <w:rFonts w:hint="eastAsia" w:ascii="宋体" w:hAnsi="宋体" w:eastAsia="宋体" w:cs="宋体"/>
                <w:color w:val="000000"/>
                <w:sz w:val="22"/>
                <w:szCs w:val="22"/>
              </w:rPr>
              <w:t>打分</w:t>
            </w:r>
            <w:r>
              <w:rPr>
                <w:rFonts w:hint="eastAsia" w:ascii="宋体" w:hAnsi="宋体" w:eastAsia="宋体" w:cs="宋体"/>
                <w:kern w:val="0"/>
                <w:sz w:val="22"/>
                <w:szCs w:val="22"/>
              </w:rPr>
              <w:t>。</w:t>
            </w:r>
          </w:p>
          <w:p>
            <w:pPr>
              <w:widowControl/>
              <w:spacing w:line="320" w:lineRule="exact"/>
              <w:jc w:val="left"/>
              <w:textAlignment w:val="baseline"/>
              <w:rPr>
                <w:rFonts w:hint="eastAsia" w:ascii="宋体" w:hAnsi="宋体" w:eastAsia="宋体" w:cs="宋体"/>
                <w:color w:val="auto"/>
                <w:sz w:val="22"/>
                <w:szCs w:val="22"/>
                <w:lang w:eastAsia="zh-CN"/>
              </w:rPr>
            </w:pPr>
            <w:r>
              <w:rPr>
                <w:rFonts w:hint="eastAsia" w:ascii="宋体" w:hAnsi="宋体" w:eastAsia="宋体" w:cs="宋体"/>
                <w:color w:val="000000"/>
                <w:sz w:val="22"/>
                <w:szCs w:val="22"/>
              </w:rPr>
              <w:t>其中：完全满足要求的</w:t>
            </w: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.1-</w:t>
            </w:r>
            <w:r>
              <w:rPr>
                <w:rFonts w:hint="eastAsia" w:ascii="宋体" w:hAnsi="宋体" w:eastAsia="宋体" w:cs="宋体"/>
                <w:color w:val="000000"/>
                <w:sz w:val="22"/>
                <w:szCs w:val="22"/>
                <w:lang w:val="en-US" w:eastAsia="zh-CN"/>
              </w:rPr>
              <w:t>10</w:t>
            </w:r>
            <w:r>
              <w:rPr>
                <w:rFonts w:hint="eastAsia" w:ascii="宋体" w:hAnsi="宋体" w:eastAsia="宋体" w:cs="宋体"/>
                <w:color w:val="000000"/>
                <w:sz w:val="22"/>
                <w:szCs w:val="22"/>
              </w:rPr>
              <w:t>分；基本满足要求的</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.1-</w:t>
            </w: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分；部分满足要求的0-</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分。</w:t>
            </w:r>
          </w:p>
        </w:tc>
      </w:tr>
    </w:tbl>
    <w:p>
      <w:pPr>
        <w:pStyle w:val="16"/>
      </w:pPr>
    </w:p>
    <w:p>
      <w:pPr>
        <w:pStyle w:val="15"/>
        <w:adjustRightInd w:val="0"/>
        <w:snapToGrid w:val="0"/>
        <w:spacing w:line="460" w:lineRule="exact"/>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4"/>
        <w:spacing w:before="120" w:after="120"/>
      </w:pPr>
    </w:p>
    <w:p>
      <w:pPr>
        <w:pStyle w:val="15"/>
        <w:adjustRightInd w:val="0"/>
        <w:snapToGrid w:val="0"/>
        <w:spacing w:line="400" w:lineRule="exact"/>
        <w:rPr>
          <w:rFonts w:hAnsi="宋体" w:cs="宋体"/>
          <w:sz w:val="22"/>
          <w:szCs w:val="2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rPr>
          <w:rFonts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53"/>
        <w:widowControl w:val="0"/>
        <w:snapToGrid w:val="0"/>
        <w:spacing w:line="480" w:lineRule="exact"/>
        <w:jc w:val="both"/>
        <w:rPr>
          <w:rFonts w:hint="default" w:ascii="仿宋" w:hAnsi="仿宋"/>
          <w:szCs w:val="21"/>
        </w:rPr>
      </w:pPr>
      <w:r>
        <w:rPr>
          <w:rFonts w:ascii="仿宋" w:hAnsi="仿宋"/>
          <w:kern w:val="0"/>
          <w:szCs w:val="21"/>
          <w:u w:val="single"/>
        </w:rPr>
        <w:t>浙江亿邦建设咨询有限公司（采购组织机构名称）</w:t>
      </w:r>
      <w:r>
        <w:rPr>
          <w:rFonts w:ascii="仿宋" w:hAnsi="仿宋"/>
          <w:kern w:val="0"/>
          <w:szCs w:val="21"/>
        </w:rPr>
        <w:t>：</w:t>
      </w:r>
    </w:p>
    <w:p>
      <w:pPr>
        <w:pStyle w:val="53"/>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平阳县怀溪镇2021年度松材线虫病防治项目</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54"/>
        <w:widowControl/>
        <w:numPr>
          <w:ilvl w:val="0"/>
          <w:numId w:val="7"/>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54"/>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3"/>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3"/>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3"/>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54"/>
        <w:widowControl/>
        <w:numPr>
          <w:ilvl w:val="0"/>
          <w:numId w:val="8"/>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54"/>
        <w:widowControl/>
        <w:numPr>
          <w:ilvl w:val="0"/>
          <w:numId w:val="8"/>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3"/>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3"/>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注：投标文件解密结束后，各投标供应商签署《政府采购活动现场确认声明书》，并在30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7"/>
          <w:rFonts w:hint="eastAsia" w:ascii="宋体" w:hAnsi="宋体"/>
          <w:b/>
          <w:bCs/>
          <w:color w:val="auto"/>
          <w:sz w:val="22"/>
        </w:rPr>
        <w:t>214381086@qq.com</w:t>
      </w:r>
      <w:r>
        <w:rPr>
          <w:rStyle w:val="37"/>
          <w:rFonts w:hint="eastAsia" w:ascii="宋体" w:hAnsi="宋体"/>
          <w:b/>
          <w:bCs/>
          <w:color w:val="auto"/>
          <w:sz w:val="22"/>
        </w:rPr>
        <w:fldChar w:fldCharType="end"/>
      </w:r>
      <w:r>
        <w:rPr>
          <w:rFonts w:hint="eastAsia" w:ascii="宋体" w:hAnsi="宋体"/>
          <w:b/>
          <w:bCs/>
          <w:sz w:val="22"/>
        </w:rPr>
        <w:t xml:space="preserve"> 。</w:t>
      </w:r>
    </w:p>
    <w:p>
      <w:pPr>
        <w:pStyle w:val="43"/>
      </w:pPr>
    </w:p>
    <w:p>
      <w:pPr>
        <w:pStyle w:val="14"/>
        <w:spacing w:before="120" w:after="120"/>
        <w:sectPr>
          <w:pgSz w:w="11907" w:h="16840"/>
          <w:pgMar w:top="1440" w:right="1106" w:bottom="1440" w:left="1157"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5"/>
        <w:adjustRightInd w:val="0"/>
        <w:snapToGrid w:val="0"/>
        <w:spacing w:line="460" w:lineRule="atLeast"/>
        <w:rPr>
          <w:rFonts w:hAnsi="宋体" w:cs="宋体"/>
        </w:rPr>
      </w:pPr>
    </w:p>
    <w:p/>
    <w:p/>
    <w:p>
      <w:pPr>
        <w:pStyle w:val="2"/>
      </w:pPr>
    </w:p>
    <w:p/>
    <w:p>
      <w:pPr>
        <w:pStyle w:val="2"/>
      </w:pPr>
    </w:p>
    <w:p>
      <w:pPr>
        <w:pStyle w:val="2"/>
        <w:jc w:val="both"/>
        <w:sectPr>
          <w:pgSz w:w="11907" w:h="16840"/>
          <w:pgMar w:top="1440" w:right="1106" w:bottom="1440" w:left="1157" w:header="720" w:footer="720" w:gutter="0"/>
          <w:cols w:space="720" w:num="1"/>
          <w:docGrid w:linePitch="312" w:charSpace="0"/>
        </w:sectPr>
      </w:pPr>
    </w:p>
    <w:p>
      <w:pPr>
        <w:rPr>
          <w:rFonts w:hint="eastAsia" w:eastAsia="宋体"/>
          <w:lang w:eastAsia="zh-CN"/>
        </w:rPr>
      </w:pPr>
      <w:r>
        <w:rPr>
          <w:rFonts w:hint="eastAsia" w:eastAsia="宋体"/>
          <w:lang w:eastAsia="zh-CN"/>
        </w:rPr>
        <w:drawing>
          <wp:inline distT="0" distB="0" distL="114300" distR="114300">
            <wp:extent cx="8479790" cy="5978525"/>
            <wp:effectExtent l="0" t="0" r="16510" b="3175"/>
            <wp:docPr id="19" name="图片 1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
                    <pic:cNvPicPr>
                      <a:picLocks noChangeAspect="1"/>
                    </pic:cNvPicPr>
                  </pic:nvPicPr>
                  <pic:blipFill>
                    <a:blip r:embed="rId13"/>
                    <a:stretch>
                      <a:fillRect/>
                    </a:stretch>
                  </pic:blipFill>
                  <pic:spPr>
                    <a:xfrm>
                      <a:off x="0" y="0"/>
                      <a:ext cx="8479790" cy="5978525"/>
                    </a:xfrm>
                    <a:prstGeom prst="rect">
                      <a:avLst/>
                    </a:prstGeom>
                  </pic:spPr>
                </pic:pic>
              </a:graphicData>
            </a:graphic>
          </wp:inline>
        </w:drawing>
      </w:r>
      <w:r>
        <w:rPr>
          <w:rFonts w:hint="eastAsia" w:eastAsia="宋体"/>
          <w:lang w:eastAsia="zh-CN"/>
        </w:rPr>
        <w:drawing>
          <wp:inline distT="0" distB="0" distL="114300" distR="114300">
            <wp:extent cx="8656955" cy="6117590"/>
            <wp:effectExtent l="0" t="0" r="10795" b="16510"/>
            <wp:docPr id="18" name="图片 18"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2"/>
                    <pic:cNvPicPr>
                      <a:picLocks noChangeAspect="1"/>
                    </pic:cNvPicPr>
                  </pic:nvPicPr>
                  <pic:blipFill>
                    <a:blip r:embed="rId14"/>
                    <a:stretch>
                      <a:fillRect/>
                    </a:stretch>
                  </pic:blipFill>
                  <pic:spPr>
                    <a:xfrm>
                      <a:off x="0" y="0"/>
                      <a:ext cx="8656955" cy="6117590"/>
                    </a:xfrm>
                    <a:prstGeom prst="rect">
                      <a:avLst/>
                    </a:prstGeom>
                  </pic:spPr>
                </pic:pic>
              </a:graphicData>
            </a:graphic>
          </wp:inline>
        </w:drawing>
      </w:r>
      <w:r>
        <w:rPr>
          <w:rFonts w:hint="eastAsia" w:eastAsia="宋体"/>
          <w:lang w:eastAsia="zh-CN"/>
        </w:rPr>
        <w:drawing>
          <wp:inline distT="0" distB="0" distL="114300" distR="114300">
            <wp:extent cx="8572500" cy="6057900"/>
            <wp:effectExtent l="0" t="0" r="0" b="0"/>
            <wp:docPr id="17" name="图片 1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3"/>
                    <pic:cNvPicPr>
                      <a:picLocks noChangeAspect="1"/>
                    </pic:cNvPicPr>
                  </pic:nvPicPr>
                  <pic:blipFill>
                    <a:blip r:embed="rId15"/>
                    <a:stretch>
                      <a:fillRect/>
                    </a:stretch>
                  </pic:blipFill>
                  <pic:spPr>
                    <a:xfrm>
                      <a:off x="0" y="0"/>
                      <a:ext cx="8572500" cy="6057900"/>
                    </a:xfrm>
                    <a:prstGeom prst="rect">
                      <a:avLst/>
                    </a:prstGeom>
                  </pic:spPr>
                </pic:pic>
              </a:graphicData>
            </a:graphic>
          </wp:inline>
        </w:drawing>
      </w:r>
      <w:r>
        <w:rPr>
          <w:rFonts w:hint="eastAsia" w:eastAsia="宋体"/>
          <w:lang w:eastAsia="zh-CN"/>
        </w:rPr>
        <w:drawing>
          <wp:inline distT="0" distB="0" distL="114300" distR="114300">
            <wp:extent cx="8614410" cy="6082030"/>
            <wp:effectExtent l="0" t="0" r="15240" b="13970"/>
            <wp:docPr id="16" name="图片 16"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4"/>
                    <pic:cNvPicPr>
                      <a:picLocks noChangeAspect="1"/>
                    </pic:cNvPicPr>
                  </pic:nvPicPr>
                  <pic:blipFill>
                    <a:blip r:embed="rId16"/>
                    <a:stretch>
                      <a:fillRect/>
                    </a:stretch>
                  </pic:blipFill>
                  <pic:spPr>
                    <a:xfrm>
                      <a:off x="0" y="0"/>
                      <a:ext cx="8614410" cy="6082030"/>
                    </a:xfrm>
                    <a:prstGeom prst="rect">
                      <a:avLst/>
                    </a:prstGeom>
                  </pic:spPr>
                </pic:pic>
              </a:graphicData>
            </a:graphic>
          </wp:inline>
        </w:drawing>
      </w:r>
      <w:r>
        <w:rPr>
          <w:rFonts w:hint="eastAsia" w:eastAsia="宋体"/>
          <w:lang w:eastAsia="zh-CN"/>
        </w:rPr>
        <w:drawing>
          <wp:inline distT="0" distB="0" distL="114300" distR="114300">
            <wp:extent cx="8709660" cy="6147435"/>
            <wp:effectExtent l="0" t="0" r="15240" b="5715"/>
            <wp:docPr id="15" name="图片 1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5"/>
                    <pic:cNvPicPr>
                      <a:picLocks noChangeAspect="1"/>
                    </pic:cNvPicPr>
                  </pic:nvPicPr>
                  <pic:blipFill>
                    <a:blip r:embed="rId17"/>
                    <a:stretch>
                      <a:fillRect/>
                    </a:stretch>
                  </pic:blipFill>
                  <pic:spPr>
                    <a:xfrm>
                      <a:off x="0" y="0"/>
                      <a:ext cx="8709660" cy="6147435"/>
                    </a:xfrm>
                    <a:prstGeom prst="rect">
                      <a:avLst/>
                    </a:prstGeom>
                  </pic:spPr>
                </pic:pic>
              </a:graphicData>
            </a:graphic>
          </wp:inline>
        </w:drawing>
      </w:r>
      <w:r>
        <w:rPr>
          <w:rFonts w:hint="eastAsia" w:eastAsia="宋体"/>
          <w:lang w:eastAsia="zh-CN"/>
        </w:rPr>
        <w:drawing>
          <wp:inline distT="0" distB="0" distL="114300" distR="114300">
            <wp:extent cx="8741410" cy="6170295"/>
            <wp:effectExtent l="0" t="0" r="2540" b="1905"/>
            <wp:docPr id="14" name="图片 14"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6"/>
                    <pic:cNvPicPr>
                      <a:picLocks noChangeAspect="1"/>
                    </pic:cNvPicPr>
                  </pic:nvPicPr>
                  <pic:blipFill>
                    <a:blip r:embed="rId18"/>
                    <a:stretch>
                      <a:fillRect/>
                    </a:stretch>
                  </pic:blipFill>
                  <pic:spPr>
                    <a:xfrm>
                      <a:off x="0" y="0"/>
                      <a:ext cx="8741410" cy="6170295"/>
                    </a:xfrm>
                    <a:prstGeom prst="rect">
                      <a:avLst/>
                    </a:prstGeom>
                  </pic:spPr>
                </pic:pic>
              </a:graphicData>
            </a:graphic>
          </wp:inline>
        </w:drawing>
      </w:r>
      <w:r>
        <w:rPr>
          <w:rFonts w:hint="eastAsia" w:eastAsia="宋体"/>
          <w:lang w:eastAsia="zh-CN"/>
        </w:rPr>
        <w:drawing>
          <wp:inline distT="0" distB="0" distL="114300" distR="114300">
            <wp:extent cx="8900160" cy="6282055"/>
            <wp:effectExtent l="0" t="0" r="15240" b="4445"/>
            <wp:docPr id="13" name="图片 13"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7"/>
                    <pic:cNvPicPr>
                      <a:picLocks noChangeAspect="1"/>
                    </pic:cNvPicPr>
                  </pic:nvPicPr>
                  <pic:blipFill>
                    <a:blip r:embed="rId19"/>
                    <a:stretch>
                      <a:fillRect/>
                    </a:stretch>
                  </pic:blipFill>
                  <pic:spPr>
                    <a:xfrm>
                      <a:off x="0" y="0"/>
                      <a:ext cx="8900160" cy="6282055"/>
                    </a:xfrm>
                    <a:prstGeom prst="rect">
                      <a:avLst/>
                    </a:prstGeom>
                  </pic:spPr>
                </pic:pic>
              </a:graphicData>
            </a:graphic>
          </wp:inline>
        </w:drawing>
      </w:r>
      <w:r>
        <w:rPr>
          <w:rFonts w:hint="eastAsia" w:eastAsia="宋体"/>
          <w:lang w:eastAsia="zh-CN"/>
        </w:rPr>
        <w:drawing>
          <wp:inline distT="0" distB="0" distL="114300" distR="114300">
            <wp:extent cx="8751570" cy="6177280"/>
            <wp:effectExtent l="0" t="0" r="11430" b="13970"/>
            <wp:docPr id="12" name="图片 12"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8"/>
                    <pic:cNvPicPr>
                      <a:picLocks noChangeAspect="1"/>
                    </pic:cNvPicPr>
                  </pic:nvPicPr>
                  <pic:blipFill>
                    <a:blip r:embed="rId20"/>
                    <a:stretch>
                      <a:fillRect/>
                    </a:stretch>
                  </pic:blipFill>
                  <pic:spPr>
                    <a:xfrm>
                      <a:off x="0" y="0"/>
                      <a:ext cx="8751570" cy="6177280"/>
                    </a:xfrm>
                    <a:prstGeom prst="rect">
                      <a:avLst/>
                    </a:prstGeom>
                  </pic:spPr>
                </pic:pic>
              </a:graphicData>
            </a:graphic>
          </wp:inline>
        </w:drawing>
      </w:r>
      <w:r>
        <w:rPr>
          <w:rFonts w:hint="eastAsia" w:eastAsia="宋体"/>
          <w:lang w:eastAsia="zh-CN"/>
        </w:rPr>
        <w:drawing>
          <wp:inline distT="0" distB="0" distL="114300" distR="114300">
            <wp:extent cx="8825865" cy="6229350"/>
            <wp:effectExtent l="0" t="0" r="13335" b="0"/>
            <wp:docPr id="11" name="图片 11"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9"/>
                    <pic:cNvPicPr>
                      <a:picLocks noChangeAspect="1"/>
                    </pic:cNvPicPr>
                  </pic:nvPicPr>
                  <pic:blipFill>
                    <a:blip r:embed="rId21"/>
                    <a:stretch>
                      <a:fillRect/>
                    </a:stretch>
                  </pic:blipFill>
                  <pic:spPr>
                    <a:xfrm>
                      <a:off x="0" y="0"/>
                      <a:ext cx="8825865" cy="6229350"/>
                    </a:xfrm>
                    <a:prstGeom prst="rect">
                      <a:avLst/>
                    </a:prstGeom>
                  </pic:spPr>
                </pic:pic>
              </a:graphicData>
            </a:graphic>
          </wp:inline>
        </w:drawing>
      </w:r>
      <w:r>
        <w:rPr>
          <w:rFonts w:hint="eastAsia" w:eastAsia="宋体"/>
          <w:lang w:eastAsia="zh-CN"/>
        </w:rPr>
        <w:drawing>
          <wp:inline distT="0" distB="0" distL="114300" distR="114300">
            <wp:extent cx="8855710" cy="6250940"/>
            <wp:effectExtent l="0" t="0" r="2540" b="16510"/>
            <wp:docPr id="10" name="图片 10"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0"/>
                    <pic:cNvPicPr>
                      <a:picLocks noChangeAspect="1"/>
                    </pic:cNvPicPr>
                  </pic:nvPicPr>
                  <pic:blipFill>
                    <a:blip r:embed="rId22"/>
                    <a:stretch>
                      <a:fillRect/>
                    </a:stretch>
                  </pic:blipFill>
                  <pic:spPr>
                    <a:xfrm>
                      <a:off x="0" y="0"/>
                      <a:ext cx="8855710" cy="6250940"/>
                    </a:xfrm>
                    <a:prstGeom prst="rect">
                      <a:avLst/>
                    </a:prstGeom>
                  </pic:spPr>
                </pic:pic>
              </a:graphicData>
            </a:graphic>
          </wp:inline>
        </w:drawing>
      </w:r>
      <w:r>
        <w:rPr>
          <w:rFonts w:hint="eastAsia" w:eastAsia="宋体"/>
          <w:lang w:eastAsia="zh-CN"/>
        </w:rPr>
        <w:drawing>
          <wp:inline distT="0" distB="0" distL="114300" distR="114300">
            <wp:extent cx="8862060" cy="6255385"/>
            <wp:effectExtent l="0" t="0" r="15240" b="12065"/>
            <wp:docPr id="9" name="图片 9"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1"/>
                    <pic:cNvPicPr>
                      <a:picLocks noChangeAspect="1"/>
                    </pic:cNvPicPr>
                  </pic:nvPicPr>
                  <pic:blipFill>
                    <a:blip r:embed="rId23"/>
                    <a:stretch>
                      <a:fillRect/>
                    </a:stretch>
                  </pic:blipFill>
                  <pic:spPr>
                    <a:xfrm>
                      <a:off x="0" y="0"/>
                      <a:ext cx="8862060" cy="6255385"/>
                    </a:xfrm>
                    <a:prstGeom prst="rect">
                      <a:avLst/>
                    </a:prstGeom>
                  </pic:spPr>
                </pic:pic>
              </a:graphicData>
            </a:graphic>
          </wp:inline>
        </w:drawing>
      </w:r>
      <w:r>
        <w:rPr>
          <w:rFonts w:hint="eastAsia" w:eastAsia="宋体"/>
          <w:lang w:eastAsia="zh-CN"/>
        </w:rPr>
        <w:drawing>
          <wp:inline distT="0" distB="0" distL="114300" distR="114300">
            <wp:extent cx="9034780" cy="6377305"/>
            <wp:effectExtent l="0" t="0" r="13970" b="4445"/>
            <wp:docPr id="8" name="图片 8"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2"/>
                    <pic:cNvPicPr>
                      <a:picLocks noChangeAspect="1"/>
                    </pic:cNvPicPr>
                  </pic:nvPicPr>
                  <pic:blipFill>
                    <a:blip r:embed="rId24"/>
                    <a:stretch>
                      <a:fillRect/>
                    </a:stretch>
                  </pic:blipFill>
                  <pic:spPr>
                    <a:xfrm>
                      <a:off x="0" y="0"/>
                      <a:ext cx="9034780" cy="6377305"/>
                    </a:xfrm>
                    <a:prstGeom prst="rect">
                      <a:avLst/>
                    </a:prstGeom>
                  </pic:spPr>
                </pic:pic>
              </a:graphicData>
            </a:graphic>
          </wp:inline>
        </w:drawing>
      </w:r>
      <w:r>
        <w:rPr>
          <w:rFonts w:hint="eastAsia" w:eastAsia="宋体"/>
          <w:lang w:eastAsia="zh-CN"/>
        </w:rPr>
        <w:drawing>
          <wp:inline distT="0" distB="0" distL="114300" distR="114300">
            <wp:extent cx="8830310" cy="6233160"/>
            <wp:effectExtent l="0" t="0" r="8890" b="15240"/>
            <wp:docPr id="3" name="图片 3"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3"/>
                    <pic:cNvPicPr>
                      <a:picLocks noChangeAspect="1"/>
                    </pic:cNvPicPr>
                  </pic:nvPicPr>
                  <pic:blipFill>
                    <a:blip r:embed="rId25"/>
                    <a:stretch>
                      <a:fillRect/>
                    </a:stretch>
                  </pic:blipFill>
                  <pic:spPr>
                    <a:xfrm>
                      <a:off x="0" y="0"/>
                      <a:ext cx="8830310" cy="6233160"/>
                    </a:xfrm>
                    <a:prstGeom prst="rect">
                      <a:avLst/>
                    </a:prstGeom>
                  </pic:spPr>
                </pic:pic>
              </a:graphicData>
            </a:graphic>
          </wp:inline>
        </w:drawing>
      </w:r>
      <w:r>
        <w:rPr>
          <w:rFonts w:hint="eastAsia" w:eastAsia="宋体"/>
          <w:lang w:eastAsia="zh-CN"/>
        </w:rPr>
        <w:drawing>
          <wp:inline distT="0" distB="0" distL="114300" distR="114300">
            <wp:extent cx="8526780" cy="6018530"/>
            <wp:effectExtent l="0" t="0" r="7620" b="1270"/>
            <wp:docPr id="2" name="图片 2" descr="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4"/>
                    <pic:cNvPicPr>
                      <a:picLocks noChangeAspect="1"/>
                    </pic:cNvPicPr>
                  </pic:nvPicPr>
                  <pic:blipFill>
                    <a:blip r:embed="rId26"/>
                    <a:stretch>
                      <a:fillRect/>
                    </a:stretch>
                  </pic:blipFill>
                  <pic:spPr>
                    <a:xfrm>
                      <a:off x="0" y="0"/>
                      <a:ext cx="8526780" cy="6018530"/>
                    </a:xfrm>
                    <a:prstGeom prst="rect">
                      <a:avLst/>
                    </a:prstGeom>
                  </pic:spPr>
                </pic:pic>
              </a:graphicData>
            </a:graphic>
          </wp:inline>
        </w:drawing>
      </w:r>
    </w:p>
    <w:p>
      <w:pPr>
        <w:pStyle w:val="2"/>
        <w:spacing w:line="240" w:lineRule="auto"/>
        <w:rPr>
          <w:rFonts w:hint="eastAsia"/>
          <w:lang w:eastAsia="zh-CN"/>
        </w:rPr>
      </w:pPr>
      <w:r>
        <w:rPr>
          <w:rFonts w:hint="eastAsia"/>
          <w:lang w:eastAsia="zh-CN"/>
        </w:rPr>
        <w:drawing>
          <wp:inline distT="0" distB="0" distL="114300" distR="114300">
            <wp:extent cx="8644890" cy="6102350"/>
            <wp:effectExtent l="0" t="0" r="3810" b="12700"/>
            <wp:docPr id="29" name="图片 29" descr="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15"/>
                    <pic:cNvPicPr>
                      <a:picLocks noChangeAspect="1"/>
                    </pic:cNvPicPr>
                  </pic:nvPicPr>
                  <pic:blipFill>
                    <a:blip r:embed="rId27"/>
                    <a:stretch>
                      <a:fillRect/>
                    </a:stretch>
                  </pic:blipFill>
                  <pic:spPr>
                    <a:xfrm>
                      <a:off x="0" y="0"/>
                      <a:ext cx="8644890" cy="6102350"/>
                    </a:xfrm>
                    <a:prstGeom prst="rect">
                      <a:avLst/>
                    </a:prstGeom>
                  </pic:spPr>
                </pic:pic>
              </a:graphicData>
            </a:graphic>
          </wp:inline>
        </w:drawing>
      </w:r>
      <w:r>
        <w:rPr>
          <w:rFonts w:hint="eastAsia"/>
          <w:lang w:eastAsia="zh-CN"/>
        </w:rPr>
        <w:drawing>
          <wp:inline distT="0" distB="0" distL="114300" distR="114300">
            <wp:extent cx="8181340" cy="5774690"/>
            <wp:effectExtent l="0" t="0" r="10160" b="16510"/>
            <wp:docPr id="28" name="图片 28" descr="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16"/>
                    <pic:cNvPicPr>
                      <a:picLocks noChangeAspect="1"/>
                    </pic:cNvPicPr>
                  </pic:nvPicPr>
                  <pic:blipFill>
                    <a:blip r:embed="rId28"/>
                    <a:stretch>
                      <a:fillRect/>
                    </a:stretch>
                  </pic:blipFill>
                  <pic:spPr>
                    <a:xfrm>
                      <a:off x="0" y="0"/>
                      <a:ext cx="8181340" cy="5774690"/>
                    </a:xfrm>
                    <a:prstGeom prst="rect">
                      <a:avLst/>
                    </a:prstGeom>
                  </pic:spPr>
                </pic:pic>
              </a:graphicData>
            </a:graphic>
          </wp:inline>
        </w:drawing>
      </w:r>
      <w:r>
        <w:rPr>
          <w:rFonts w:hint="eastAsia"/>
          <w:lang w:eastAsia="zh-CN"/>
        </w:rPr>
        <w:drawing>
          <wp:inline distT="0" distB="0" distL="114300" distR="114300">
            <wp:extent cx="8162290" cy="5761355"/>
            <wp:effectExtent l="0" t="0" r="10160" b="10795"/>
            <wp:docPr id="27" name="图片 27" descr="图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17"/>
                    <pic:cNvPicPr>
                      <a:picLocks noChangeAspect="1"/>
                    </pic:cNvPicPr>
                  </pic:nvPicPr>
                  <pic:blipFill>
                    <a:blip r:embed="rId29"/>
                    <a:stretch>
                      <a:fillRect/>
                    </a:stretch>
                  </pic:blipFill>
                  <pic:spPr>
                    <a:xfrm>
                      <a:off x="0" y="0"/>
                      <a:ext cx="8162290" cy="5761355"/>
                    </a:xfrm>
                    <a:prstGeom prst="rect">
                      <a:avLst/>
                    </a:prstGeom>
                  </pic:spPr>
                </pic:pic>
              </a:graphicData>
            </a:graphic>
          </wp:inline>
        </w:drawing>
      </w:r>
      <w:r>
        <w:rPr>
          <w:rFonts w:hint="eastAsia"/>
          <w:lang w:eastAsia="zh-CN"/>
        </w:rPr>
        <w:drawing>
          <wp:inline distT="0" distB="0" distL="114300" distR="114300">
            <wp:extent cx="8174990" cy="5770245"/>
            <wp:effectExtent l="0" t="0" r="16510" b="1905"/>
            <wp:docPr id="26" name="图片 26" descr="图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18"/>
                    <pic:cNvPicPr>
                      <a:picLocks noChangeAspect="1"/>
                    </pic:cNvPicPr>
                  </pic:nvPicPr>
                  <pic:blipFill>
                    <a:blip r:embed="rId30"/>
                    <a:stretch>
                      <a:fillRect/>
                    </a:stretch>
                  </pic:blipFill>
                  <pic:spPr>
                    <a:xfrm>
                      <a:off x="0" y="0"/>
                      <a:ext cx="8174990" cy="5770245"/>
                    </a:xfrm>
                    <a:prstGeom prst="rect">
                      <a:avLst/>
                    </a:prstGeom>
                  </pic:spPr>
                </pic:pic>
              </a:graphicData>
            </a:graphic>
          </wp:inline>
        </w:drawing>
      </w:r>
      <w:r>
        <w:rPr>
          <w:rFonts w:hint="eastAsia"/>
          <w:lang w:eastAsia="zh-CN"/>
        </w:rPr>
        <w:drawing>
          <wp:inline distT="0" distB="0" distL="114300" distR="114300">
            <wp:extent cx="8195310" cy="5784850"/>
            <wp:effectExtent l="0" t="0" r="15240" b="6350"/>
            <wp:docPr id="25" name="图片 25" descr="图片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19"/>
                    <pic:cNvPicPr>
                      <a:picLocks noChangeAspect="1"/>
                    </pic:cNvPicPr>
                  </pic:nvPicPr>
                  <pic:blipFill>
                    <a:blip r:embed="rId31"/>
                    <a:stretch>
                      <a:fillRect/>
                    </a:stretch>
                  </pic:blipFill>
                  <pic:spPr>
                    <a:xfrm>
                      <a:off x="0" y="0"/>
                      <a:ext cx="8195310" cy="5784850"/>
                    </a:xfrm>
                    <a:prstGeom prst="rect">
                      <a:avLst/>
                    </a:prstGeom>
                  </pic:spPr>
                </pic:pic>
              </a:graphicData>
            </a:graphic>
          </wp:inline>
        </w:drawing>
      </w:r>
      <w:r>
        <w:rPr>
          <w:rFonts w:hint="eastAsia"/>
          <w:lang w:eastAsia="zh-CN"/>
        </w:rPr>
        <w:drawing>
          <wp:inline distT="0" distB="0" distL="114300" distR="114300">
            <wp:extent cx="8134985" cy="5742940"/>
            <wp:effectExtent l="0" t="0" r="18415" b="10160"/>
            <wp:docPr id="24" name="图片 24" descr="图片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20"/>
                    <pic:cNvPicPr>
                      <a:picLocks noChangeAspect="1"/>
                    </pic:cNvPicPr>
                  </pic:nvPicPr>
                  <pic:blipFill>
                    <a:blip r:embed="rId32"/>
                    <a:stretch>
                      <a:fillRect/>
                    </a:stretch>
                  </pic:blipFill>
                  <pic:spPr>
                    <a:xfrm>
                      <a:off x="0" y="0"/>
                      <a:ext cx="8134985" cy="5742940"/>
                    </a:xfrm>
                    <a:prstGeom prst="rect">
                      <a:avLst/>
                    </a:prstGeom>
                  </pic:spPr>
                </pic:pic>
              </a:graphicData>
            </a:graphic>
          </wp:inline>
        </w:drawing>
      </w:r>
      <w:r>
        <w:rPr>
          <w:rFonts w:hint="eastAsia"/>
          <w:lang w:eastAsia="zh-CN"/>
        </w:rPr>
        <w:drawing>
          <wp:inline distT="0" distB="0" distL="114300" distR="114300">
            <wp:extent cx="8390890" cy="5922645"/>
            <wp:effectExtent l="0" t="0" r="10160" b="1905"/>
            <wp:docPr id="23" name="图片 23" descr="图片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21"/>
                    <pic:cNvPicPr>
                      <a:picLocks noChangeAspect="1"/>
                    </pic:cNvPicPr>
                  </pic:nvPicPr>
                  <pic:blipFill>
                    <a:blip r:embed="rId33"/>
                    <a:stretch>
                      <a:fillRect/>
                    </a:stretch>
                  </pic:blipFill>
                  <pic:spPr>
                    <a:xfrm>
                      <a:off x="0" y="0"/>
                      <a:ext cx="8390890" cy="5922645"/>
                    </a:xfrm>
                    <a:prstGeom prst="rect">
                      <a:avLst/>
                    </a:prstGeom>
                  </pic:spPr>
                </pic:pic>
              </a:graphicData>
            </a:graphic>
          </wp:inline>
        </w:drawing>
      </w:r>
      <w:r>
        <w:rPr>
          <w:rFonts w:hint="eastAsia"/>
          <w:lang w:eastAsia="zh-CN"/>
        </w:rPr>
        <w:drawing>
          <wp:inline distT="0" distB="0" distL="114300" distR="114300">
            <wp:extent cx="8406130" cy="5933440"/>
            <wp:effectExtent l="0" t="0" r="13970" b="10160"/>
            <wp:docPr id="22" name="图片 22" descr="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22"/>
                    <pic:cNvPicPr>
                      <a:picLocks noChangeAspect="1"/>
                    </pic:cNvPicPr>
                  </pic:nvPicPr>
                  <pic:blipFill>
                    <a:blip r:embed="rId34"/>
                    <a:stretch>
                      <a:fillRect/>
                    </a:stretch>
                  </pic:blipFill>
                  <pic:spPr>
                    <a:xfrm>
                      <a:off x="0" y="0"/>
                      <a:ext cx="8406130" cy="5933440"/>
                    </a:xfrm>
                    <a:prstGeom prst="rect">
                      <a:avLst/>
                    </a:prstGeom>
                  </pic:spPr>
                </pic:pic>
              </a:graphicData>
            </a:graphic>
          </wp:inline>
        </w:drawing>
      </w:r>
      <w:r>
        <w:rPr>
          <w:rFonts w:hint="eastAsia"/>
          <w:lang w:eastAsia="zh-CN"/>
        </w:rPr>
        <w:drawing>
          <wp:inline distT="0" distB="0" distL="114300" distR="114300">
            <wp:extent cx="8225155" cy="5805805"/>
            <wp:effectExtent l="0" t="0" r="4445" b="4445"/>
            <wp:docPr id="21" name="图片 21" descr="图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23"/>
                    <pic:cNvPicPr>
                      <a:picLocks noChangeAspect="1"/>
                    </pic:cNvPicPr>
                  </pic:nvPicPr>
                  <pic:blipFill>
                    <a:blip r:embed="rId35"/>
                    <a:stretch>
                      <a:fillRect/>
                    </a:stretch>
                  </pic:blipFill>
                  <pic:spPr>
                    <a:xfrm>
                      <a:off x="0" y="0"/>
                      <a:ext cx="8225155" cy="5805805"/>
                    </a:xfrm>
                    <a:prstGeom prst="rect">
                      <a:avLst/>
                    </a:prstGeom>
                  </pic:spPr>
                </pic:pic>
              </a:graphicData>
            </a:graphic>
          </wp:inline>
        </w:drawing>
      </w:r>
      <w:r>
        <w:rPr>
          <w:rFonts w:hint="eastAsia"/>
          <w:lang w:eastAsia="zh-CN"/>
        </w:rPr>
        <w:drawing>
          <wp:inline distT="0" distB="0" distL="114300" distR="114300">
            <wp:extent cx="8809990" cy="6218555"/>
            <wp:effectExtent l="0" t="0" r="10160" b="10795"/>
            <wp:docPr id="20" name="图片 20" descr="图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24"/>
                    <pic:cNvPicPr>
                      <a:picLocks noChangeAspect="1"/>
                    </pic:cNvPicPr>
                  </pic:nvPicPr>
                  <pic:blipFill>
                    <a:blip r:embed="rId36"/>
                    <a:stretch>
                      <a:fillRect/>
                    </a:stretch>
                  </pic:blipFill>
                  <pic:spPr>
                    <a:xfrm>
                      <a:off x="0" y="0"/>
                      <a:ext cx="8809990" cy="6218555"/>
                    </a:xfrm>
                    <a:prstGeom prst="rect">
                      <a:avLst/>
                    </a:prstGeom>
                  </pic:spPr>
                </pic:pic>
              </a:graphicData>
            </a:graphic>
          </wp:inline>
        </w:drawing>
      </w:r>
      <w:r>
        <w:rPr>
          <w:rFonts w:hint="eastAsia"/>
          <w:lang w:eastAsia="zh-CN"/>
        </w:rPr>
        <w:drawing>
          <wp:inline distT="0" distB="0" distL="114300" distR="114300">
            <wp:extent cx="8442960" cy="5959475"/>
            <wp:effectExtent l="0" t="0" r="15240" b="3175"/>
            <wp:docPr id="31" name="图片 31" descr="图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25"/>
                    <pic:cNvPicPr>
                      <a:picLocks noChangeAspect="1"/>
                    </pic:cNvPicPr>
                  </pic:nvPicPr>
                  <pic:blipFill>
                    <a:blip r:embed="rId37"/>
                    <a:stretch>
                      <a:fillRect/>
                    </a:stretch>
                  </pic:blipFill>
                  <pic:spPr>
                    <a:xfrm>
                      <a:off x="0" y="0"/>
                      <a:ext cx="8442960" cy="5959475"/>
                    </a:xfrm>
                    <a:prstGeom prst="rect">
                      <a:avLst/>
                    </a:prstGeom>
                  </pic:spPr>
                </pic:pic>
              </a:graphicData>
            </a:graphic>
          </wp:inline>
        </w:drawing>
      </w:r>
    </w:p>
    <w:sectPr>
      <w:pgSz w:w="16840" w:h="11907" w:orient="landscape"/>
      <w:pgMar w:top="1157" w:right="1440" w:bottom="1106" w:left="1440"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Century Gothic">
    <w:altName w:val="Segoe Print"/>
    <w:panose1 w:val="020B0502020202020204"/>
    <w:charset w:val="00"/>
    <w:family w:val="swiss"/>
    <w:pitch w:val="default"/>
    <w:sig w:usb0="00000000"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0"/>
                            </w:rPr>
                          </w:pPr>
                          <w:r>
                            <w:fldChar w:fldCharType="begin"/>
                          </w:r>
                          <w:r>
                            <w:rPr>
                              <w:rStyle w:val="30"/>
                            </w:rPr>
                            <w:instrText xml:space="preserve">PAGE  </w:instrText>
                          </w:r>
                          <w:r>
                            <w:fldChar w:fldCharType="separate"/>
                          </w:r>
                          <w:r>
                            <w:rPr>
                              <w:rStyle w:val="30"/>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20"/>
                      <w:rPr>
                        <w:rStyle w:val="30"/>
                      </w:rPr>
                    </w:pPr>
                    <w:r>
                      <w:fldChar w:fldCharType="begin"/>
                    </w:r>
                    <w:r>
                      <w:rPr>
                        <w:rStyle w:val="30"/>
                      </w:rPr>
                      <w:instrText xml:space="preserve">PAGE  </w:instrText>
                    </w:r>
                    <w:r>
                      <w:fldChar w:fldCharType="separate"/>
                    </w:r>
                    <w:r>
                      <w:rPr>
                        <w:rStyle w:val="30"/>
                      </w:rPr>
                      <w:t>62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Yc1PVAAAACAEAAA8AAAAAAAAAAQAgAAAAIgAAAGRycy9kb3ducmV2LnhtbFBLAQIUABQA&#10;AAAIAIdO4kCuO4Oa8wEAAOIDAAAOAAAAAAAAAAEAIAAAACQBAABkcnMvZTJvRG9jLnhtbFBLBQYA&#10;AAAABgAGAFkBAACJ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0"/>
                            </w:rPr>
                          </w:pPr>
                          <w:r>
                            <w:fldChar w:fldCharType="begin"/>
                          </w:r>
                          <w:r>
                            <w:rPr>
                              <w:rStyle w:val="30"/>
                            </w:rPr>
                            <w:instrText xml:space="preserve">PAGE  </w:instrText>
                          </w:r>
                          <w:r>
                            <w:fldChar w:fldCharType="separate"/>
                          </w:r>
                          <w:r>
                            <w:rPr>
                              <w:rStyle w:val="30"/>
                            </w:rP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20"/>
                      <w:rPr>
                        <w:rStyle w:val="30"/>
                      </w:rPr>
                    </w:pPr>
                    <w:r>
                      <w:fldChar w:fldCharType="begin"/>
                    </w:r>
                    <w:r>
                      <w:rPr>
                        <w:rStyle w:val="30"/>
                      </w:rPr>
                      <w:instrText xml:space="preserve">PAGE  </w:instrText>
                    </w:r>
                    <w:r>
                      <w:fldChar w:fldCharType="separate"/>
                    </w:r>
                    <w:r>
                      <w:rPr>
                        <w:rStyle w:val="30"/>
                      </w:rPr>
                      <w:t>70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0"/>
      </w:rPr>
    </w:pPr>
    <w:r>
      <w:fldChar w:fldCharType="begin"/>
    </w:r>
    <w:r>
      <w:rPr>
        <w:rStyle w:val="30"/>
      </w:rPr>
      <w:instrText xml:space="preserve">PAGE  </w:instrText>
    </w:r>
    <w:r>
      <w:fldChar w:fldCharType="end"/>
    </w:r>
  </w:p>
  <w:p>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00"/>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2"/>
    <w:multiLevelType w:val="multilevel"/>
    <w:tmpl w:val="00000002"/>
    <w:lvl w:ilvl="0" w:tentative="0">
      <w:start w:val="1"/>
      <w:numFmt w:val="japaneseCounting"/>
      <w:lvlText w:val="第%1条"/>
      <w:lvlJc w:val="left"/>
      <w:pPr>
        <w:tabs>
          <w:tab w:val="left" w:pos="1562"/>
        </w:tabs>
        <w:ind w:left="1562" w:hanging="1080"/>
      </w:pPr>
      <w:rPr>
        <w:rFonts w:hint="default"/>
      </w:rPr>
    </w:lvl>
    <w:lvl w:ilvl="1" w:tentative="0">
      <w:start w:val="1"/>
      <w:numFmt w:val="lowerLetter"/>
      <w:lvlText w:val="%2)"/>
      <w:lvlJc w:val="left"/>
      <w:pPr>
        <w:tabs>
          <w:tab w:val="left" w:pos="1322"/>
        </w:tabs>
        <w:ind w:left="1322" w:hanging="420"/>
      </w:pPr>
    </w:lvl>
    <w:lvl w:ilvl="2" w:tentative="0">
      <w:start w:val="1"/>
      <w:numFmt w:val="lowerRoman"/>
      <w:lvlText w:val="%3."/>
      <w:lvlJc w:val="righ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2">
    <w:nsid w:val="00000011"/>
    <w:multiLevelType w:val="multilevel"/>
    <w:tmpl w:val="00000011"/>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316DC16B"/>
    <w:multiLevelType w:val="multilevel"/>
    <w:tmpl w:val="316DC16B"/>
    <w:lvl w:ilvl="0" w:tentative="0">
      <w:start w:val="1"/>
      <w:numFmt w:val="decimal"/>
      <w:pStyle w:val="59"/>
      <w:lvlText w:val="第%1章"/>
      <w:lvlJc w:val="left"/>
      <w:pPr>
        <w:ind w:left="425" w:hanging="425"/>
      </w:pPr>
      <w:rPr>
        <w:rFonts w:hint="default" w:ascii="宋体" w:hAnsi="宋体" w:eastAsia="宋体" w:cs="宋体"/>
      </w:rPr>
    </w:lvl>
    <w:lvl w:ilvl="1" w:tentative="0">
      <w:start w:val="1"/>
      <w:numFmt w:val="decimal"/>
      <w:lvlText w:val="%1.%2"/>
      <w:lvlJc w:val="left"/>
      <w:pPr>
        <w:ind w:left="340" w:hanging="340"/>
      </w:pPr>
      <w:rPr>
        <w:rFonts w:hint="default" w:ascii="宋体" w:hAnsi="宋体" w:eastAsia="宋体" w:cs="宋体"/>
        <w:b/>
        <w:u w:val="none"/>
      </w:rPr>
    </w:lvl>
    <w:lvl w:ilvl="2" w:tentative="0">
      <w:start w:val="1"/>
      <w:numFmt w:val="decimal"/>
      <w:pStyle w:val="58"/>
      <w:lvlText w:val="%1.%2.%3"/>
      <w:lvlJc w:val="left"/>
      <w:pPr>
        <w:ind w:left="1418" w:hanging="1078"/>
      </w:pPr>
      <w:rPr>
        <w:rFonts w:hint="default" w:ascii="宋体" w:hAnsi="宋体" w:eastAsia="宋体" w:cs="宋体"/>
      </w:rPr>
    </w:lvl>
    <w:lvl w:ilvl="3" w:tentative="0">
      <w:start w:val="1"/>
      <w:numFmt w:val="decimal"/>
      <w:lvlText w:val="%1.%2.%3.%4"/>
      <w:lvlJc w:val="left"/>
      <w:pPr>
        <w:ind w:left="1418" w:hanging="454"/>
      </w:pPr>
      <w:rPr>
        <w:rFonts w:hint="default" w:ascii="宋体" w:hAnsi="宋体" w:eastAsia="宋体" w:cs="宋体"/>
      </w:rPr>
    </w:lvl>
    <w:lvl w:ilvl="4" w:tentative="0">
      <w:start w:val="1"/>
      <w:numFmt w:val="decimal"/>
      <w:lvlText w:val="(%5)"/>
      <w:lvlJc w:val="left"/>
      <w:pPr>
        <w:ind w:left="2551" w:hanging="850"/>
      </w:pPr>
      <w:rPr>
        <w:rFonts w:hint="default" w:ascii="宋体" w:hAnsi="宋体" w:eastAsia="宋体" w:cs="宋体"/>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54F403B5"/>
    <w:multiLevelType w:val="singleLevel"/>
    <w:tmpl w:val="54F403B5"/>
    <w:lvl w:ilvl="0" w:tentative="0">
      <w:start w:val="1"/>
      <w:numFmt w:val="chineseCounting"/>
      <w:suff w:val="nothing"/>
      <w:lvlText w:val="%1、"/>
      <w:lvlJc w:val="left"/>
    </w:lvl>
  </w:abstractNum>
  <w:abstractNum w:abstractNumId="6">
    <w:nsid w:val="557FD3DA"/>
    <w:multiLevelType w:val="singleLevel"/>
    <w:tmpl w:val="557FD3DA"/>
    <w:lvl w:ilvl="0" w:tentative="0">
      <w:start w:val="3"/>
      <w:numFmt w:val="chineseCounting"/>
      <w:suff w:val="nothing"/>
      <w:lvlText w:val="%1、"/>
      <w:lvlJc w:val="left"/>
    </w:lvl>
  </w:abstractNum>
  <w:abstractNum w:abstractNumId="7">
    <w:nsid w:val="77ED5E6E"/>
    <w:multiLevelType w:val="singleLevel"/>
    <w:tmpl w:val="77ED5E6E"/>
    <w:lvl w:ilvl="0" w:tentative="0">
      <w:start w:val="7"/>
      <w:numFmt w:val="chineseCounting"/>
      <w:suff w:val="nothing"/>
      <w:lvlText w:val="第%1部分、"/>
      <w:lvlJc w:val="left"/>
      <w:rPr>
        <w:rFonts w:hint="eastAsia"/>
      </w:rPr>
    </w:lvl>
  </w:abstractNum>
  <w:num w:numId="1">
    <w:abstractNumId w:val="4"/>
  </w:num>
  <w:num w:numId="2">
    <w:abstractNumId w:val="3"/>
  </w:num>
  <w:num w:numId="3">
    <w:abstractNumId w:val="7"/>
  </w:num>
  <w:num w:numId="4">
    <w:abstractNumId w:val="1"/>
  </w:num>
  <w:num w:numId="5">
    <w:abstractNumId w:val="0"/>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415DB"/>
    <w:rsid w:val="000C621A"/>
    <w:rsid w:val="000E55C5"/>
    <w:rsid w:val="001B213F"/>
    <w:rsid w:val="001B2F1F"/>
    <w:rsid w:val="001D032E"/>
    <w:rsid w:val="002C749E"/>
    <w:rsid w:val="002F74EF"/>
    <w:rsid w:val="00344060"/>
    <w:rsid w:val="00436C08"/>
    <w:rsid w:val="0049354C"/>
    <w:rsid w:val="004D6A9B"/>
    <w:rsid w:val="004F14AE"/>
    <w:rsid w:val="005B37C0"/>
    <w:rsid w:val="005E1230"/>
    <w:rsid w:val="005F0F67"/>
    <w:rsid w:val="005F4717"/>
    <w:rsid w:val="00606073"/>
    <w:rsid w:val="00690CD2"/>
    <w:rsid w:val="00720EA0"/>
    <w:rsid w:val="00726EFC"/>
    <w:rsid w:val="00732C93"/>
    <w:rsid w:val="00761C7A"/>
    <w:rsid w:val="007B027C"/>
    <w:rsid w:val="007F37B0"/>
    <w:rsid w:val="00835699"/>
    <w:rsid w:val="008C3344"/>
    <w:rsid w:val="008C4D8F"/>
    <w:rsid w:val="009278D3"/>
    <w:rsid w:val="009629AE"/>
    <w:rsid w:val="009E2E62"/>
    <w:rsid w:val="00A77E4F"/>
    <w:rsid w:val="00AC5B18"/>
    <w:rsid w:val="00AE7D9E"/>
    <w:rsid w:val="00B45994"/>
    <w:rsid w:val="00C02D79"/>
    <w:rsid w:val="00C0355E"/>
    <w:rsid w:val="00C27CBA"/>
    <w:rsid w:val="00D526C3"/>
    <w:rsid w:val="00D5286B"/>
    <w:rsid w:val="00E20CE5"/>
    <w:rsid w:val="00EA78A1"/>
    <w:rsid w:val="00F075AC"/>
    <w:rsid w:val="00F451B8"/>
    <w:rsid w:val="01077C33"/>
    <w:rsid w:val="011A5D63"/>
    <w:rsid w:val="011E1F22"/>
    <w:rsid w:val="01302E15"/>
    <w:rsid w:val="014F1046"/>
    <w:rsid w:val="0160164B"/>
    <w:rsid w:val="01727438"/>
    <w:rsid w:val="01F82AD7"/>
    <w:rsid w:val="02775BE8"/>
    <w:rsid w:val="02AF1C72"/>
    <w:rsid w:val="02D32A17"/>
    <w:rsid w:val="038C1E2A"/>
    <w:rsid w:val="039D4F10"/>
    <w:rsid w:val="03C837AB"/>
    <w:rsid w:val="03D3718A"/>
    <w:rsid w:val="040C7B8D"/>
    <w:rsid w:val="048358F9"/>
    <w:rsid w:val="04CD7F6B"/>
    <w:rsid w:val="06544FAB"/>
    <w:rsid w:val="066D4490"/>
    <w:rsid w:val="069A7E12"/>
    <w:rsid w:val="07455FA1"/>
    <w:rsid w:val="075F2127"/>
    <w:rsid w:val="07995B53"/>
    <w:rsid w:val="07A82FEA"/>
    <w:rsid w:val="07AE14AC"/>
    <w:rsid w:val="07E540E5"/>
    <w:rsid w:val="08014519"/>
    <w:rsid w:val="08302794"/>
    <w:rsid w:val="084B7A66"/>
    <w:rsid w:val="090504BF"/>
    <w:rsid w:val="09123E97"/>
    <w:rsid w:val="09243C42"/>
    <w:rsid w:val="09295FE7"/>
    <w:rsid w:val="09562DBC"/>
    <w:rsid w:val="095830FB"/>
    <w:rsid w:val="09656115"/>
    <w:rsid w:val="0984370C"/>
    <w:rsid w:val="09C142FE"/>
    <w:rsid w:val="09D56068"/>
    <w:rsid w:val="09E56C79"/>
    <w:rsid w:val="09FF022D"/>
    <w:rsid w:val="0A9F522E"/>
    <w:rsid w:val="0AEE0F7F"/>
    <w:rsid w:val="0AF83D3C"/>
    <w:rsid w:val="0B7550AF"/>
    <w:rsid w:val="0BDA3DA5"/>
    <w:rsid w:val="0BEC35D5"/>
    <w:rsid w:val="0C01741F"/>
    <w:rsid w:val="0C0F058D"/>
    <w:rsid w:val="0C211085"/>
    <w:rsid w:val="0CE05439"/>
    <w:rsid w:val="0CFE4784"/>
    <w:rsid w:val="0D0226E7"/>
    <w:rsid w:val="0D0549CE"/>
    <w:rsid w:val="0D953CB7"/>
    <w:rsid w:val="0E074511"/>
    <w:rsid w:val="0EB648C8"/>
    <w:rsid w:val="0EBB5AE7"/>
    <w:rsid w:val="0EE35DB9"/>
    <w:rsid w:val="0EF8693D"/>
    <w:rsid w:val="0F66262E"/>
    <w:rsid w:val="0F7726DF"/>
    <w:rsid w:val="0F97226F"/>
    <w:rsid w:val="10082EB6"/>
    <w:rsid w:val="10167F35"/>
    <w:rsid w:val="104A1AF6"/>
    <w:rsid w:val="104E26BF"/>
    <w:rsid w:val="107A78DA"/>
    <w:rsid w:val="10E21D49"/>
    <w:rsid w:val="10FB74BF"/>
    <w:rsid w:val="11470A12"/>
    <w:rsid w:val="11DC0AA5"/>
    <w:rsid w:val="12295E7D"/>
    <w:rsid w:val="12F65D70"/>
    <w:rsid w:val="133441B3"/>
    <w:rsid w:val="133C3534"/>
    <w:rsid w:val="136F1779"/>
    <w:rsid w:val="13E33120"/>
    <w:rsid w:val="13EC34E5"/>
    <w:rsid w:val="15131A84"/>
    <w:rsid w:val="153579F9"/>
    <w:rsid w:val="15394155"/>
    <w:rsid w:val="1594173F"/>
    <w:rsid w:val="15D97611"/>
    <w:rsid w:val="15FD5E75"/>
    <w:rsid w:val="1600268E"/>
    <w:rsid w:val="16563013"/>
    <w:rsid w:val="16AA7D9E"/>
    <w:rsid w:val="16AF2845"/>
    <w:rsid w:val="16C90357"/>
    <w:rsid w:val="17144E25"/>
    <w:rsid w:val="17680BE1"/>
    <w:rsid w:val="18077A2D"/>
    <w:rsid w:val="18077CAC"/>
    <w:rsid w:val="185C7A25"/>
    <w:rsid w:val="188D6746"/>
    <w:rsid w:val="18BB5017"/>
    <w:rsid w:val="18E27836"/>
    <w:rsid w:val="18FC310E"/>
    <w:rsid w:val="193F728D"/>
    <w:rsid w:val="197A4BF2"/>
    <w:rsid w:val="19FD1DFB"/>
    <w:rsid w:val="1AD2113B"/>
    <w:rsid w:val="1B853260"/>
    <w:rsid w:val="1BC229A4"/>
    <w:rsid w:val="1BC72FED"/>
    <w:rsid w:val="1BE43605"/>
    <w:rsid w:val="1C00530A"/>
    <w:rsid w:val="1C4F75C5"/>
    <w:rsid w:val="1C5C1105"/>
    <w:rsid w:val="1C767A88"/>
    <w:rsid w:val="1CE91494"/>
    <w:rsid w:val="1D4E0DCB"/>
    <w:rsid w:val="1D6B2D1C"/>
    <w:rsid w:val="1D9822C6"/>
    <w:rsid w:val="1DA86D22"/>
    <w:rsid w:val="1E5B61F8"/>
    <w:rsid w:val="1E940CF7"/>
    <w:rsid w:val="1EDA0C11"/>
    <w:rsid w:val="1F0B0800"/>
    <w:rsid w:val="1F3C0119"/>
    <w:rsid w:val="1F515AC7"/>
    <w:rsid w:val="1F90436C"/>
    <w:rsid w:val="1FA04B74"/>
    <w:rsid w:val="1FC57184"/>
    <w:rsid w:val="20242025"/>
    <w:rsid w:val="20510A2A"/>
    <w:rsid w:val="20907F89"/>
    <w:rsid w:val="20CA501D"/>
    <w:rsid w:val="21572348"/>
    <w:rsid w:val="21771B35"/>
    <w:rsid w:val="217B6E8F"/>
    <w:rsid w:val="21A400A0"/>
    <w:rsid w:val="21C84315"/>
    <w:rsid w:val="21E5239A"/>
    <w:rsid w:val="22651ECE"/>
    <w:rsid w:val="22801147"/>
    <w:rsid w:val="22D56430"/>
    <w:rsid w:val="234D0922"/>
    <w:rsid w:val="23E8649C"/>
    <w:rsid w:val="23FA5A14"/>
    <w:rsid w:val="24121B8C"/>
    <w:rsid w:val="241F452C"/>
    <w:rsid w:val="24513FD3"/>
    <w:rsid w:val="2477734D"/>
    <w:rsid w:val="24835BB5"/>
    <w:rsid w:val="24865DB9"/>
    <w:rsid w:val="24F55EFC"/>
    <w:rsid w:val="250F2123"/>
    <w:rsid w:val="253A38C1"/>
    <w:rsid w:val="25812C6B"/>
    <w:rsid w:val="25826536"/>
    <w:rsid w:val="26222264"/>
    <w:rsid w:val="26291998"/>
    <w:rsid w:val="264758BE"/>
    <w:rsid w:val="2679075F"/>
    <w:rsid w:val="26977AEE"/>
    <w:rsid w:val="26A24A66"/>
    <w:rsid w:val="276B23FE"/>
    <w:rsid w:val="277E2C49"/>
    <w:rsid w:val="27B376A4"/>
    <w:rsid w:val="27C22649"/>
    <w:rsid w:val="27F42830"/>
    <w:rsid w:val="280129BA"/>
    <w:rsid w:val="28076765"/>
    <w:rsid w:val="28785866"/>
    <w:rsid w:val="291104DB"/>
    <w:rsid w:val="295E607F"/>
    <w:rsid w:val="298469A3"/>
    <w:rsid w:val="299C59AC"/>
    <w:rsid w:val="29F4174E"/>
    <w:rsid w:val="29F70D19"/>
    <w:rsid w:val="2A2803A2"/>
    <w:rsid w:val="2A7F518B"/>
    <w:rsid w:val="2AAE7F81"/>
    <w:rsid w:val="2B0F45B6"/>
    <w:rsid w:val="2B28603C"/>
    <w:rsid w:val="2B4746D6"/>
    <w:rsid w:val="2B743FD7"/>
    <w:rsid w:val="2BC8409A"/>
    <w:rsid w:val="2BEE0864"/>
    <w:rsid w:val="2C46102B"/>
    <w:rsid w:val="2C92742C"/>
    <w:rsid w:val="2CDB2FD7"/>
    <w:rsid w:val="2CDD2F33"/>
    <w:rsid w:val="2D1D03C0"/>
    <w:rsid w:val="2DD31443"/>
    <w:rsid w:val="2DE250B1"/>
    <w:rsid w:val="2E162DED"/>
    <w:rsid w:val="2E36635A"/>
    <w:rsid w:val="2E7528AB"/>
    <w:rsid w:val="2E8F6794"/>
    <w:rsid w:val="2E996208"/>
    <w:rsid w:val="2F666935"/>
    <w:rsid w:val="2FB248C3"/>
    <w:rsid w:val="2FBB0B9D"/>
    <w:rsid w:val="2FD84CAE"/>
    <w:rsid w:val="301949EE"/>
    <w:rsid w:val="3065142C"/>
    <w:rsid w:val="30A33C7D"/>
    <w:rsid w:val="30E51140"/>
    <w:rsid w:val="30F85C3B"/>
    <w:rsid w:val="30FF690F"/>
    <w:rsid w:val="310C0E96"/>
    <w:rsid w:val="310C6367"/>
    <w:rsid w:val="31283645"/>
    <w:rsid w:val="31384A23"/>
    <w:rsid w:val="317C036E"/>
    <w:rsid w:val="317F1954"/>
    <w:rsid w:val="31A2473F"/>
    <w:rsid w:val="31D64EC5"/>
    <w:rsid w:val="31D96D58"/>
    <w:rsid w:val="31F74677"/>
    <w:rsid w:val="31FC04FB"/>
    <w:rsid w:val="32230873"/>
    <w:rsid w:val="32317ABF"/>
    <w:rsid w:val="323510FC"/>
    <w:rsid w:val="32353291"/>
    <w:rsid w:val="32365CF6"/>
    <w:rsid w:val="32C4309F"/>
    <w:rsid w:val="331C3A9A"/>
    <w:rsid w:val="33361C3D"/>
    <w:rsid w:val="335D1CC5"/>
    <w:rsid w:val="339139D3"/>
    <w:rsid w:val="34121EC5"/>
    <w:rsid w:val="341F3B07"/>
    <w:rsid w:val="342F3BA3"/>
    <w:rsid w:val="34802290"/>
    <w:rsid w:val="34993E20"/>
    <w:rsid w:val="354444AC"/>
    <w:rsid w:val="35AE3564"/>
    <w:rsid w:val="361F1786"/>
    <w:rsid w:val="363A3E94"/>
    <w:rsid w:val="36642A3A"/>
    <w:rsid w:val="366C3230"/>
    <w:rsid w:val="369C312F"/>
    <w:rsid w:val="36F626F5"/>
    <w:rsid w:val="371F40D7"/>
    <w:rsid w:val="379A126C"/>
    <w:rsid w:val="379D5206"/>
    <w:rsid w:val="386B7F2F"/>
    <w:rsid w:val="38730223"/>
    <w:rsid w:val="38B80387"/>
    <w:rsid w:val="39806B4E"/>
    <w:rsid w:val="399E325D"/>
    <w:rsid w:val="399F0A89"/>
    <w:rsid w:val="3A04659B"/>
    <w:rsid w:val="3A303CA8"/>
    <w:rsid w:val="3A9A1B01"/>
    <w:rsid w:val="3AC059F9"/>
    <w:rsid w:val="3AE75FCB"/>
    <w:rsid w:val="3B44235C"/>
    <w:rsid w:val="3B4E1694"/>
    <w:rsid w:val="3B790D77"/>
    <w:rsid w:val="3BA62150"/>
    <w:rsid w:val="3BD07F9E"/>
    <w:rsid w:val="3BF369DE"/>
    <w:rsid w:val="3BFF5BFB"/>
    <w:rsid w:val="3C1A0CB4"/>
    <w:rsid w:val="3C7D478B"/>
    <w:rsid w:val="3C9167E0"/>
    <w:rsid w:val="3CB4260C"/>
    <w:rsid w:val="3CDE0EAF"/>
    <w:rsid w:val="3D515BBF"/>
    <w:rsid w:val="3DD2267A"/>
    <w:rsid w:val="3E1723C3"/>
    <w:rsid w:val="3E52548F"/>
    <w:rsid w:val="3EB01D9F"/>
    <w:rsid w:val="3EEA1576"/>
    <w:rsid w:val="3F244EC9"/>
    <w:rsid w:val="3F561652"/>
    <w:rsid w:val="40576469"/>
    <w:rsid w:val="405D42B8"/>
    <w:rsid w:val="40AC51FF"/>
    <w:rsid w:val="40B830C1"/>
    <w:rsid w:val="41140916"/>
    <w:rsid w:val="41D100B9"/>
    <w:rsid w:val="41DC1814"/>
    <w:rsid w:val="4214123F"/>
    <w:rsid w:val="42397034"/>
    <w:rsid w:val="42705CC0"/>
    <w:rsid w:val="429D007B"/>
    <w:rsid w:val="4309648D"/>
    <w:rsid w:val="431F7F95"/>
    <w:rsid w:val="434C3C1B"/>
    <w:rsid w:val="438501B2"/>
    <w:rsid w:val="439A2AA9"/>
    <w:rsid w:val="43DB04EB"/>
    <w:rsid w:val="44336526"/>
    <w:rsid w:val="44FE2E57"/>
    <w:rsid w:val="450E0E77"/>
    <w:rsid w:val="45153A1F"/>
    <w:rsid w:val="45746617"/>
    <w:rsid w:val="45793729"/>
    <w:rsid w:val="45ED672C"/>
    <w:rsid w:val="45FA69EE"/>
    <w:rsid w:val="466850F2"/>
    <w:rsid w:val="46734DAD"/>
    <w:rsid w:val="470F50FB"/>
    <w:rsid w:val="47A65F99"/>
    <w:rsid w:val="48760998"/>
    <w:rsid w:val="48881000"/>
    <w:rsid w:val="488A79AF"/>
    <w:rsid w:val="488B792F"/>
    <w:rsid w:val="48BC6316"/>
    <w:rsid w:val="48D81343"/>
    <w:rsid w:val="492846DE"/>
    <w:rsid w:val="496C0725"/>
    <w:rsid w:val="4A147B86"/>
    <w:rsid w:val="4A6D6AAB"/>
    <w:rsid w:val="4ACE20F5"/>
    <w:rsid w:val="4AF45DC4"/>
    <w:rsid w:val="4B39541F"/>
    <w:rsid w:val="4B5633BD"/>
    <w:rsid w:val="4BC74E87"/>
    <w:rsid w:val="4BE9695F"/>
    <w:rsid w:val="4C0E2493"/>
    <w:rsid w:val="4C113079"/>
    <w:rsid w:val="4C1F06FA"/>
    <w:rsid w:val="4C515F9F"/>
    <w:rsid w:val="4CCD2C28"/>
    <w:rsid w:val="4CFE71B3"/>
    <w:rsid w:val="4DA16ADE"/>
    <w:rsid w:val="4DE8619F"/>
    <w:rsid w:val="4DF51062"/>
    <w:rsid w:val="4E015F16"/>
    <w:rsid w:val="4E362286"/>
    <w:rsid w:val="4E555CA6"/>
    <w:rsid w:val="4E860383"/>
    <w:rsid w:val="4EB47AF9"/>
    <w:rsid w:val="4EB600E0"/>
    <w:rsid w:val="4F1B67C9"/>
    <w:rsid w:val="4F782917"/>
    <w:rsid w:val="4F8944AF"/>
    <w:rsid w:val="4FC34047"/>
    <w:rsid w:val="4FD76F97"/>
    <w:rsid w:val="50247B60"/>
    <w:rsid w:val="50380ABA"/>
    <w:rsid w:val="50B163AF"/>
    <w:rsid w:val="510A0D9D"/>
    <w:rsid w:val="51524190"/>
    <w:rsid w:val="51724C3F"/>
    <w:rsid w:val="51A60C76"/>
    <w:rsid w:val="51F966FC"/>
    <w:rsid w:val="52134095"/>
    <w:rsid w:val="52312783"/>
    <w:rsid w:val="526123FD"/>
    <w:rsid w:val="52826DAC"/>
    <w:rsid w:val="52AD0E8E"/>
    <w:rsid w:val="52BD3BE5"/>
    <w:rsid w:val="52C45947"/>
    <w:rsid w:val="52C80673"/>
    <w:rsid w:val="52E1554F"/>
    <w:rsid w:val="52EB710C"/>
    <w:rsid w:val="52F07DFC"/>
    <w:rsid w:val="53DC329D"/>
    <w:rsid w:val="53FA5DCE"/>
    <w:rsid w:val="547905AA"/>
    <w:rsid w:val="54BA6982"/>
    <w:rsid w:val="55424374"/>
    <w:rsid w:val="555A5408"/>
    <w:rsid w:val="55BB3BD0"/>
    <w:rsid w:val="560616C0"/>
    <w:rsid w:val="56BB1A3C"/>
    <w:rsid w:val="56E10D7D"/>
    <w:rsid w:val="572D2A5B"/>
    <w:rsid w:val="573471D2"/>
    <w:rsid w:val="57837521"/>
    <w:rsid w:val="58121BBD"/>
    <w:rsid w:val="586B71BC"/>
    <w:rsid w:val="589231C8"/>
    <w:rsid w:val="58BF734E"/>
    <w:rsid w:val="58CC5BAC"/>
    <w:rsid w:val="592106AE"/>
    <w:rsid w:val="59457F9D"/>
    <w:rsid w:val="594D4C89"/>
    <w:rsid w:val="597E7592"/>
    <w:rsid w:val="599D3C8A"/>
    <w:rsid w:val="59A02982"/>
    <w:rsid w:val="59B3425C"/>
    <w:rsid w:val="59DA0E48"/>
    <w:rsid w:val="59F50871"/>
    <w:rsid w:val="59F969E3"/>
    <w:rsid w:val="5A2506D5"/>
    <w:rsid w:val="5A461C11"/>
    <w:rsid w:val="5A5B5812"/>
    <w:rsid w:val="5A7E5C4F"/>
    <w:rsid w:val="5B4C0FED"/>
    <w:rsid w:val="5B620028"/>
    <w:rsid w:val="5B9F2D78"/>
    <w:rsid w:val="5BAC78AB"/>
    <w:rsid w:val="5BFC683B"/>
    <w:rsid w:val="5C91188E"/>
    <w:rsid w:val="5C986DFD"/>
    <w:rsid w:val="5CBD2B03"/>
    <w:rsid w:val="5CBE3035"/>
    <w:rsid w:val="5CC40525"/>
    <w:rsid w:val="5D3A4BD9"/>
    <w:rsid w:val="5D3D7C30"/>
    <w:rsid w:val="5DC0137C"/>
    <w:rsid w:val="5E220F75"/>
    <w:rsid w:val="5E6B7D23"/>
    <w:rsid w:val="5EAE2404"/>
    <w:rsid w:val="5EDC5FF1"/>
    <w:rsid w:val="5EED5641"/>
    <w:rsid w:val="5F2375ED"/>
    <w:rsid w:val="5F3C12FF"/>
    <w:rsid w:val="5F6B5097"/>
    <w:rsid w:val="5F7D4D16"/>
    <w:rsid w:val="5FB44843"/>
    <w:rsid w:val="5FD27B73"/>
    <w:rsid w:val="60190DE3"/>
    <w:rsid w:val="60733255"/>
    <w:rsid w:val="60866C2D"/>
    <w:rsid w:val="60AE1401"/>
    <w:rsid w:val="612805E1"/>
    <w:rsid w:val="61306EDC"/>
    <w:rsid w:val="61407126"/>
    <w:rsid w:val="619A4202"/>
    <w:rsid w:val="61AD1F23"/>
    <w:rsid w:val="61BF72C0"/>
    <w:rsid w:val="61CB0FA5"/>
    <w:rsid w:val="62730F7B"/>
    <w:rsid w:val="62953005"/>
    <w:rsid w:val="62A27631"/>
    <w:rsid w:val="62C17A7B"/>
    <w:rsid w:val="62FC3619"/>
    <w:rsid w:val="6350086E"/>
    <w:rsid w:val="6364313A"/>
    <w:rsid w:val="636F09B8"/>
    <w:rsid w:val="6420020E"/>
    <w:rsid w:val="64A81D2B"/>
    <w:rsid w:val="6513595F"/>
    <w:rsid w:val="654D22AA"/>
    <w:rsid w:val="659B0C70"/>
    <w:rsid w:val="66006D42"/>
    <w:rsid w:val="663A47B5"/>
    <w:rsid w:val="66432E39"/>
    <w:rsid w:val="66590F89"/>
    <w:rsid w:val="66962570"/>
    <w:rsid w:val="66A95111"/>
    <w:rsid w:val="66B50FD2"/>
    <w:rsid w:val="66EB704A"/>
    <w:rsid w:val="67472502"/>
    <w:rsid w:val="67523E04"/>
    <w:rsid w:val="67906760"/>
    <w:rsid w:val="67D510FF"/>
    <w:rsid w:val="682355A6"/>
    <w:rsid w:val="68541712"/>
    <w:rsid w:val="68B702B5"/>
    <w:rsid w:val="68F550AB"/>
    <w:rsid w:val="692A4234"/>
    <w:rsid w:val="69A21EAC"/>
    <w:rsid w:val="69D967D1"/>
    <w:rsid w:val="6A6A42B6"/>
    <w:rsid w:val="6AB51213"/>
    <w:rsid w:val="6ADC0A6B"/>
    <w:rsid w:val="6AE1319A"/>
    <w:rsid w:val="6AFA14FA"/>
    <w:rsid w:val="6B212E61"/>
    <w:rsid w:val="6B590E08"/>
    <w:rsid w:val="6B6E36CD"/>
    <w:rsid w:val="6BA06610"/>
    <w:rsid w:val="6BB957B0"/>
    <w:rsid w:val="6BCD5068"/>
    <w:rsid w:val="6BEB40A9"/>
    <w:rsid w:val="6C021860"/>
    <w:rsid w:val="6C39327C"/>
    <w:rsid w:val="6C3E2AE1"/>
    <w:rsid w:val="6C435618"/>
    <w:rsid w:val="6C597B84"/>
    <w:rsid w:val="6C68265A"/>
    <w:rsid w:val="6CB04215"/>
    <w:rsid w:val="6CC77B23"/>
    <w:rsid w:val="6CEE5E4F"/>
    <w:rsid w:val="6D117F87"/>
    <w:rsid w:val="6D16450C"/>
    <w:rsid w:val="6D6537A5"/>
    <w:rsid w:val="6D816AE7"/>
    <w:rsid w:val="6DC2610C"/>
    <w:rsid w:val="6DD2700B"/>
    <w:rsid w:val="6E284011"/>
    <w:rsid w:val="6E612755"/>
    <w:rsid w:val="6E90735F"/>
    <w:rsid w:val="6EEC1804"/>
    <w:rsid w:val="6F0B2A09"/>
    <w:rsid w:val="6F6F1FE3"/>
    <w:rsid w:val="6F781FC5"/>
    <w:rsid w:val="6F91484E"/>
    <w:rsid w:val="6F930554"/>
    <w:rsid w:val="6FDD7905"/>
    <w:rsid w:val="703E0D95"/>
    <w:rsid w:val="70533B97"/>
    <w:rsid w:val="70B679CD"/>
    <w:rsid w:val="70D72EA9"/>
    <w:rsid w:val="70FE241A"/>
    <w:rsid w:val="7104744D"/>
    <w:rsid w:val="713B111A"/>
    <w:rsid w:val="717520BB"/>
    <w:rsid w:val="71797686"/>
    <w:rsid w:val="718167B7"/>
    <w:rsid w:val="71C241D1"/>
    <w:rsid w:val="722533F8"/>
    <w:rsid w:val="72314556"/>
    <w:rsid w:val="73762935"/>
    <w:rsid w:val="73CA1A40"/>
    <w:rsid w:val="73DE2A18"/>
    <w:rsid w:val="742C2C2D"/>
    <w:rsid w:val="744C0DB1"/>
    <w:rsid w:val="7457037A"/>
    <w:rsid w:val="74FD3B6F"/>
    <w:rsid w:val="75465AB3"/>
    <w:rsid w:val="759F3CEA"/>
    <w:rsid w:val="75E22227"/>
    <w:rsid w:val="76164725"/>
    <w:rsid w:val="76190ABD"/>
    <w:rsid w:val="762D12C2"/>
    <w:rsid w:val="767F17EA"/>
    <w:rsid w:val="76C30454"/>
    <w:rsid w:val="76CC0B51"/>
    <w:rsid w:val="77824A38"/>
    <w:rsid w:val="78141A18"/>
    <w:rsid w:val="78527978"/>
    <w:rsid w:val="787D3C56"/>
    <w:rsid w:val="78BB2DC9"/>
    <w:rsid w:val="78CE57AF"/>
    <w:rsid w:val="790B5EDC"/>
    <w:rsid w:val="793B627B"/>
    <w:rsid w:val="795723C3"/>
    <w:rsid w:val="796C2371"/>
    <w:rsid w:val="79B54F58"/>
    <w:rsid w:val="7A9E0310"/>
    <w:rsid w:val="7AAE1CA3"/>
    <w:rsid w:val="7AC62985"/>
    <w:rsid w:val="7BD35163"/>
    <w:rsid w:val="7BEE3984"/>
    <w:rsid w:val="7BFB0036"/>
    <w:rsid w:val="7CCB017E"/>
    <w:rsid w:val="7D38050F"/>
    <w:rsid w:val="7D617565"/>
    <w:rsid w:val="7D903C8D"/>
    <w:rsid w:val="7E856124"/>
    <w:rsid w:val="7EA1710A"/>
    <w:rsid w:val="7EBA6DD6"/>
    <w:rsid w:val="7EDC57B7"/>
    <w:rsid w:val="7EF86245"/>
    <w:rsid w:val="7F142ECB"/>
    <w:rsid w:val="7F1A038D"/>
    <w:rsid w:val="7F713C2F"/>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7">
    <w:name w:val="Normal Indent"/>
    <w:basedOn w:val="1"/>
    <w:qFormat/>
    <w:uiPriority w:val="0"/>
    <w:pPr>
      <w:ind w:firstLine="420" w:firstLineChars="200"/>
    </w:pPr>
  </w:style>
  <w:style w:type="paragraph" w:styleId="8">
    <w:name w:val="annotation text"/>
    <w:basedOn w:val="1"/>
    <w:link w:val="60"/>
    <w:qFormat/>
    <w:uiPriority w:val="0"/>
    <w:pPr>
      <w:jc w:val="left"/>
    </w:pPr>
  </w:style>
  <w:style w:type="paragraph" w:styleId="9">
    <w:name w:val="Body Text"/>
    <w:basedOn w:val="1"/>
    <w:next w:val="10"/>
    <w:qFormat/>
    <w:uiPriority w:val="0"/>
    <w:rPr>
      <w:rFonts w:ascii="Arial" w:hAnsi="Arial"/>
      <w:bCs/>
      <w:sz w:val="24"/>
    </w:rPr>
  </w:style>
  <w:style w:type="paragraph" w:styleId="10">
    <w:name w:val="Body Text First Indent"/>
    <w:basedOn w:val="9"/>
    <w:next w:val="11"/>
    <w:unhideWhenUsed/>
    <w:qFormat/>
    <w:uiPriority w:val="0"/>
    <w:pPr>
      <w:spacing w:after="120"/>
      <w:ind w:firstLine="420" w:firstLineChars="100"/>
    </w:pPr>
    <w:rPr>
      <w:rFonts w:ascii="Calibri" w:hAnsi="Calibri"/>
      <w:sz w:val="21"/>
      <w:szCs w:val="22"/>
    </w:rPr>
  </w:style>
  <w:style w:type="paragraph" w:styleId="11">
    <w:name w:val="toc 6"/>
    <w:basedOn w:val="1"/>
    <w:next w:val="1"/>
    <w:qFormat/>
    <w:uiPriority w:val="0"/>
    <w:pPr>
      <w:ind w:left="1400"/>
    </w:pPr>
    <w:rPr>
      <w:rFonts w:ascii="Calibri"/>
      <w:sz w:val="18"/>
      <w:szCs w:val="18"/>
    </w:rPr>
  </w:style>
  <w:style w:type="paragraph" w:styleId="12">
    <w:name w:val="Body Text Indent"/>
    <w:basedOn w:val="1"/>
    <w:qFormat/>
    <w:uiPriority w:val="0"/>
    <w:pPr>
      <w:spacing w:after="120"/>
      <w:ind w:left="420" w:leftChars="200"/>
    </w:pPr>
  </w:style>
  <w:style w:type="paragraph" w:styleId="13">
    <w:name w:val="List 2"/>
    <w:basedOn w:val="1"/>
    <w:qFormat/>
    <w:uiPriority w:val="0"/>
    <w:pPr>
      <w:ind w:left="100" w:leftChars="200" w:hanging="200" w:hangingChars="200"/>
    </w:pPr>
  </w:style>
  <w:style w:type="paragraph" w:styleId="14">
    <w:name w:val="Block Text"/>
    <w:basedOn w:val="1"/>
    <w:qFormat/>
    <w:uiPriority w:val="0"/>
    <w:pPr>
      <w:spacing w:before="156" w:beforeLines="50" w:after="156" w:afterLines="50"/>
      <w:ind w:left="426" w:right="-11" w:hanging="426" w:hangingChars="203"/>
    </w:pPr>
    <w:rPr>
      <w:rFonts w:eastAsia="楷体_GB2312"/>
    </w:rPr>
  </w:style>
  <w:style w:type="paragraph" w:styleId="15">
    <w:name w:val="Plain Text"/>
    <w:basedOn w:val="1"/>
    <w:next w:val="16"/>
    <w:qFormat/>
    <w:uiPriority w:val="0"/>
    <w:rPr>
      <w:rFonts w:ascii="宋体" w:hAnsi="Courier New"/>
      <w:szCs w:val="20"/>
    </w:rPr>
  </w:style>
  <w:style w:type="paragraph" w:styleId="16">
    <w:name w:val="toc 2"/>
    <w:basedOn w:val="1"/>
    <w:next w:val="1"/>
    <w:qFormat/>
    <w:uiPriority w:val="0"/>
    <w:pPr>
      <w:ind w:left="420" w:leftChars="200"/>
    </w:pPr>
    <w:rPr>
      <w:szCs w:val="20"/>
    </w:rPr>
  </w:style>
  <w:style w:type="paragraph" w:styleId="17">
    <w:name w:val="Date"/>
    <w:basedOn w:val="1"/>
    <w:next w:val="1"/>
    <w:qFormat/>
    <w:uiPriority w:val="0"/>
    <w:pPr>
      <w:ind w:left="100" w:leftChars="2500"/>
    </w:pPr>
    <w:rPr>
      <w:color w:val="000000"/>
      <w:sz w:val="24"/>
    </w:rPr>
  </w:style>
  <w:style w:type="paragraph" w:styleId="18">
    <w:name w:val="Body Text Indent 2"/>
    <w:basedOn w:val="1"/>
    <w:qFormat/>
    <w:uiPriority w:val="0"/>
    <w:pPr>
      <w:widowControl/>
      <w:spacing w:line="480" w:lineRule="atLeast"/>
      <w:ind w:firstLine="480"/>
    </w:pPr>
    <w:rPr>
      <w:rFonts w:ascii="宋体"/>
      <w:kern w:val="0"/>
      <w:sz w:val="24"/>
      <w:szCs w:val="20"/>
    </w:rPr>
  </w:style>
  <w:style w:type="paragraph" w:styleId="19">
    <w:name w:val="Balloon Text"/>
    <w:basedOn w:val="1"/>
    <w:link w:val="55"/>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Cs w:val="20"/>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annotation subject"/>
    <w:basedOn w:val="8"/>
    <w:next w:val="8"/>
    <w:link w:val="61"/>
    <w:qFormat/>
    <w:uiPriority w:val="0"/>
    <w:rPr>
      <w:b/>
      <w:bCs/>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0"/>
    <w:rPr>
      <w:b/>
      <w:bCs/>
    </w:rPr>
  </w:style>
  <w:style w:type="character" w:styleId="30">
    <w:name w:val="page number"/>
    <w:basedOn w:val="28"/>
    <w:qFormat/>
    <w:uiPriority w:val="0"/>
  </w:style>
  <w:style w:type="character" w:styleId="31">
    <w:name w:val="FollowedHyperlink"/>
    <w:basedOn w:val="28"/>
    <w:qFormat/>
    <w:uiPriority w:val="0"/>
    <w:rPr>
      <w:color w:val="4A4A4A"/>
      <w:u w:val="none"/>
    </w:rPr>
  </w:style>
  <w:style w:type="character" w:styleId="32">
    <w:name w:val="Emphasis"/>
    <w:basedOn w:val="28"/>
    <w:qFormat/>
    <w:uiPriority w:val="0"/>
  </w:style>
  <w:style w:type="character" w:styleId="33">
    <w:name w:val="HTML Definition"/>
    <w:basedOn w:val="28"/>
    <w:qFormat/>
    <w:uiPriority w:val="0"/>
  </w:style>
  <w:style w:type="character" w:styleId="34">
    <w:name w:val="HTML Typewriter"/>
    <w:basedOn w:val="28"/>
    <w:qFormat/>
    <w:uiPriority w:val="0"/>
    <w:rPr>
      <w:rFonts w:hint="default" w:ascii="monospace" w:hAnsi="monospace" w:eastAsia="monospace" w:cs="monospace"/>
      <w:sz w:val="20"/>
    </w:rPr>
  </w:style>
  <w:style w:type="character" w:styleId="35">
    <w:name w:val="HTML Acronym"/>
    <w:basedOn w:val="28"/>
    <w:qFormat/>
    <w:uiPriority w:val="0"/>
  </w:style>
  <w:style w:type="character" w:styleId="36">
    <w:name w:val="HTML Variable"/>
    <w:basedOn w:val="28"/>
    <w:qFormat/>
    <w:uiPriority w:val="0"/>
  </w:style>
  <w:style w:type="character" w:styleId="37">
    <w:name w:val="Hyperlink"/>
    <w:qFormat/>
    <w:uiPriority w:val="0"/>
    <w:rPr>
      <w:color w:val="0000FF"/>
      <w:u w:val="single"/>
    </w:rPr>
  </w:style>
  <w:style w:type="character" w:styleId="38">
    <w:name w:val="HTML Code"/>
    <w:basedOn w:val="28"/>
    <w:qFormat/>
    <w:uiPriority w:val="0"/>
    <w:rPr>
      <w:rFonts w:hint="default" w:ascii="monospace" w:hAnsi="monospace" w:eastAsia="monospace" w:cs="monospace"/>
      <w:sz w:val="20"/>
    </w:rPr>
  </w:style>
  <w:style w:type="character" w:styleId="39">
    <w:name w:val="annotation reference"/>
    <w:basedOn w:val="28"/>
    <w:qFormat/>
    <w:uiPriority w:val="0"/>
    <w:rPr>
      <w:sz w:val="21"/>
      <w:szCs w:val="21"/>
    </w:rPr>
  </w:style>
  <w:style w:type="character" w:styleId="40">
    <w:name w:val="HTML Cite"/>
    <w:basedOn w:val="28"/>
    <w:qFormat/>
    <w:uiPriority w:val="0"/>
  </w:style>
  <w:style w:type="character" w:styleId="41">
    <w:name w:val="HTML Keyboard"/>
    <w:basedOn w:val="28"/>
    <w:qFormat/>
    <w:uiPriority w:val="0"/>
    <w:rPr>
      <w:rFonts w:hint="default" w:ascii="monospace" w:hAnsi="monospace" w:eastAsia="monospace" w:cs="monospace"/>
      <w:sz w:val="20"/>
    </w:rPr>
  </w:style>
  <w:style w:type="character" w:styleId="42">
    <w:name w:val="HTML Sample"/>
    <w:basedOn w:val="28"/>
    <w:qFormat/>
    <w:uiPriority w:val="0"/>
    <w:rPr>
      <w:rFonts w:ascii="monospace" w:hAnsi="monospace" w:eastAsia="monospace" w:cs="monospace"/>
    </w:rPr>
  </w:style>
  <w:style w:type="paragraph" w:customStyle="1" w:styleId="43">
    <w:name w:val="表格文字"/>
    <w:basedOn w:val="15"/>
    <w:next w:val="9"/>
    <w:qFormat/>
    <w:uiPriority w:val="0"/>
    <w:pPr>
      <w:adjustRightInd w:val="0"/>
      <w:spacing w:line="420" w:lineRule="atLeast"/>
      <w:jc w:val="left"/>
      <w:textAlignment w:val="baseline"/>
    </w:pPr>
    <w:rPr>
      <w:rFonts w:ascii="Times New Roman" w:hAnsi="Times New Roman"/>
      <w:kern w:val="0"/>
      <w:szCs w:val="24"/>
    </w:rPr>
  </w:style>
  <w:style w:type="paragraph" w:customStyle="1" w:styleId="44">
    <w:name w:val="zw1"/>
    <w:basedOn w:val="1"/>
    <w:qFormat/>
    <w:uiPriority w:val="0"/>
    <w:pPr>
      <w:spacing w:line="360" w:lineRule="auto"/>
      <w:ind w:firstLine="560" w:firstLineChars="200"/>
    </w:pPr>
    <w:rPr>
      <w:sz w:val="28"/>
      <w:szCs w:val="20"/>
    </w:rPr>
  </w:style>
  <w:style w:type="paragraph" w:customStyle="1" w:styleId="45">
    <w:name w:val="正文缩进2"/>
    <w:basedOn w:val="1"/>
    <w:next w:val="1"/>
    <w:qFormat/>
    <w:uiPriority w:val="0"/>
    <w:pPr>
      <w:spacing w:line="500" w:lineRule="exact"/>
      <w:ind w:firstLine="567"/>
    </w:pPr>
    <w:rPr>
      <w:sz w:val="24"/>
      <w:szCs w:val="20"/>
    </w:rPr>
  </w:style>
  <w:style w:type="paragraph" w:customStyle="1" w:styleId="46">
    <w:name w:val="列出段落1"/>
    <w:basedOn w:val="1"/>
    <w:qFormat/>
    <w:uiPriority w:val="0"/>
    <w:pPr>
      <w:ind w:firstLine="420" w:firstLineChars="200"/>
    </w:pPr>
    <w:rPr>
      <w:rFonts w:cs="Arial"/>
    </w:rPr>
  </w:style>
  <w:style w:type="paragraph" w:customStyle="1" w:styleId="47">
    <w:name w:val="表内文字"/>
    <w:basedOn w:val="1"/>
    <w:qFormat/>
    <w:uiPriority w:val="0"/>
    <w:pPr>
      <w:spacing w:line="500" w:lineRule="atLeast"/>
      <w:jc w:val="center"/>
    </w:pPr>
    <w:rPr>
      <w:rFonts w:ascii="Arial" w:hAnsi="Arial" w:eastAsia="楷体_GB2312" w:cs="Arial"/>
      <w:sz w:val="28"/>
    </w:rPr>
  </w:style>
  <w:style w:type="paragraph" w:customStyle="1" w:styleId="48">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49">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50">
    <w:name w:val="font41"/>
    <w:basedOn w:val="28"/>
    <w:qFormat/>
    <w:uiPriority w:val="0"/>
    <w:rPr>
      <w:rFonts w:hint="eastAsia" w:ascii="宋体" w:hAnsi="宋体" w:eastAsia="宋体" w:cs="宋体"/>
      <w:color w:val="000000"/>
      <w:sz w:val="22"/>
      <w:szCs w:val="22"/>
      <w:u w:val="none"/>
    </w:rPr>
  </w:style>
  <w:style w:type="character" w:customStyle="1" w:styleId="51">
    <w:name w:val="font11"/>
    <w:basedOn w:val="28"/>
    <w:qFormat/>
    <w:uiPriority w:val="0"/>
    <w:rPr>
      <w:rFonts w:ascii="Calibri" w:hAnsi="Calibri" w:cs="Calibri"/>
      <w:color w:val="000000"/>
      <w:sz w:val="21"/>
      <w:szCs w:val="21"/>
      <w:u w:val="none"/>
    </w:rPr>
  </w:style>
  <w:style w:type="character" w:customStyle="1" w:styleId="52">
    <w:name w:val="font01"/>
    <w:basedOn w:val="28"/>
    <w:qFormat/>
    <w:uiPriority w:val="0"/>
    <w:rPr>
      <w:rFonts w:hint="eastAsia" w:ascii="宋体" w:hAnsi="宋体" w:eastAsia="宋体" w:cs="宋体"/>
      <w:color w:val="000000"/>
      <w:sz w:val="21"/>
      <w:szCs w:val="21"/>
      <w:u w:val="none"/>
    </w:rPr>
  </w:style>
  <w:style w:type="paragraph" w:customStyle="1" w:styleId="53">
    <w:name w:val="纯文本1"/>
    <w:qFormat/>
    <w:uiPriority w:val="0"/>
    <w:rPr>
      <w:rFonts w:hint="eastAsia" w:ascii="宋体" w:hAnsi="Courier New" w:eastAsia="宋体" w:cs="Times New Roman"/>
      <w:kern w:val="2"/>
      <w:sz w:val="21"/>
      <w:lang w:val="en-US" w:eastAsia="zh-CN" w:bidi="ar-SA"/>
    </w:rPr>
  </w:style>
  <w:style w:type="paragraph" w:customStyle="1" w:styleId="54">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55">
    <w:name w:val="批注框文本 Char"/>
    <w:basedOn w:val="28"/>
    <w:link w:val="19"/>
    <w:qFormat/>
    <w:uiPriority w:val="0"/>
    <w:rPr>
      <w:kern w:val="2"/>
      <w:sz w:val="18"/>
      <w:szCs w:val="18"/>
    </w:rPr>
  </w:style>
  <w:style w:type="character" w:customStyle="1" w:styleId="56">
    <w:name w:val="apple-converted-space"/>
    <w:basedOn w:val="28"/>
    <w:qFormat/>
    <w:uiPriority w:val="0"/>
  </w:style>
  <w:style w:type="paragraph" w:customStyle="1" w:styleId="57">
    <w:name w:val="lvkai正文"/>
    <w:basedOn w:val="1"/>
    <w:qFormat/>
    <w:uiPriority w:val="0"/>
    <w:pPr>
      <w:spacing w:line="360" w:lineRule="auto"/>
      <w:ind w:firstLine="964" w:firstLineChars="200"/>
      <w:jc w:val="left"/>
    </w:pPr>
    <w:rPr>
      <w:rFonts w:ascii="Calibri" w:hAnsi="Calibri"/>
      <w:sz w:val="24"/>
    </w:rPr>
  </w:style>
  <w:style w:type="paragraph" w:customStyle="1" w:styleId="58">
    <w:name w:val="lvkai标题3"/>
    <w:basedOn w:val="59"/>
    <w:next w:val="57"/>
    <w:qFormat/>
    <w:uiPriority w:val="0"/>
    <w:pPr>
      <w:numPr>
        <w:ilvl w:val="2"/>
      </w:numPr>
      <w:jc w:val="left"/>
      <w:outlineLvl w:val="2"/>
    </w:pPr>
    <w:rPr>
      <w:sz w:val="28"/>
    </w:rPr>
  </w:style>
  <w:style w:type="paragraph" w:customStyle="1" w:styleId="59">
    <w:name w:val="lvkai标题1"/>
    <w:basedOn w:val="2"/>
    <w:next w:val="57"/>
    <w:qFormat/>
    <w:uiPriority w:val="0"/>
    <w:pPr>
      <w:numPr>
        <w:ilvl w:val="0"/>
        <w:numId w:val="1"/>
      </w:numPr>
      <w:spacing w:line="360" w:lineRule="auto"/>
    </w:pPr>
    <w:rPr>
      <w:rFonts w:ascii="Calibri" w:hAnsi="Calibri"/>
    </w:rPr>
  </w:style>
  <w:style w:type="character" w:customStyle="1" w:styleId="60">
    <w:name w:val="批注文字 Char"/>
    <w:basedOn w:val="28"/>
    <w:link w:val="8"/>
    <w:qFormat/>
    <w:uiPriority w:val="0"/>
    <w:rPr>
      <w:kern w:val="2"/>
      <w:sz w:val="21"/>
      <w:szCs w:val="24"/>
    </w:rPr>
  </w:style>
  <w:style w:type="character" w:customStyle="1" w:styleId="61">
    <w:name w:val="批注主题 Char"/>
    <w:basedOn w:val="60"/>
    <w:link w:val="25"/>
    <w:qFormat/>
    <w:uiPriority w:val="0"/>
    <w:rPr>
      <w:b/>
      <w:bCs/>
      <w:kern w:val="2"/>
      <w:sz w:val="21"/>
      <w:szCs w:val="24"/>
    </w:rPr>
  </w:style>
  <w:style w:type="paragraph" w:customStyle="1" w:styleId="62">
    <w:name w:val="_Style 2"/>
    <w:basedOn w:val="1"/>
    <w:qFormat/>
    <w:uiPriority w:val="0"/>
    <w:pPr>
      <w:ind w:firstLine="420" w:firstLineChars="200"/>
    </w:pPr>
    <w:rPr>
      <w:rFonts w:ascii="Calibri" w:hAnsi="Calibri" w:cs="Times New Roman"/>
      <w:kern w:val="2"/>
      <w:sz w:val="21"/>
      <w:szCs w:val="24"/>
    </w:rPr>
  </w:style>
  <w:style w:type="paragraph" w:customStyle="1" w:styleId="63">
    <w:name w:val="段"/>
    <w:qFormat/>
    <w:uiPriority w:val="0"/>
    <w:pPr>
      <w:tabs>
        <w:tab w:val="center" w:pos="4201"/>
        <w:tab w:val="right" w:leader="dot" w:pos="9298"/>
      </w:tabs>
      <w:autoSpaceDE w:val="0"/>
      <w:autoSpaceDN w:val="0"/>
      <w:ind w:firstLine="420" w:firstLineChars="200"/>
      <w:jc w:val="both"/>
    </w:pPr>
    <w:rPr>
      <w:rFonts w:ascii="宋体" w:hAnsi="宋体" w:eastAsia="宋体" w:cs="宋体"/>
      <w:lang w:val="en-US" w:eastAsia="zh-CN" w:bidi="ar-SA"/>
    </w:rPr>
  </w:style>
  <w:style w:type="paragraph" w:customStyle="1" w:styleId="64">
    <w:name w:val="[Normal]"/>
    <w:qFormat/>
    <w:uiPriority w:val="0"/>
    <w:rPr>
      <w:rFonts w:ascii="宋体" w:hAnsi="宋体" w:eastAsia="宋体" w:cs="Times New Roman"/>
      <w:sz w:val="24"/>
      <w:szCs w:val="22"/>
      <w:lang w:val="zh-CN" w:eastAsia="zh-CN" w:bidi="ar-SA"/>
    </w:rPr>
  </w:style>
  <w:style w:type="paragraph" w:customStyle="1" w:styleId="65">
    <w:name w:val="l正文"/>
    <w:basedOn w:val="1"/>
    <w:qFormat/>
    <w:uiPriority w:val="0"/>
    <w:pPr>
      <w:widowControl w:val="0"/>
      <w:spacing w:line="300" w:lineRule="auto"/>
      <w:ind w:firstLine="200" w:firstLineChars="200"/>
    </w:pPr>
    <w:rPr>
      <w:rFonts w:ascii="楷体_GB2312" w:hAnsi="Times" w:eastAsia="楷体_GB231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0" Type="http://schemas.openxmlformats.org/officeDocument/2006/relationships/fontTable" Target="fontTable.xml"/><Relationship Id="rId4" Type="http://schemas.openxmlformats.org/officeDocument/2006/relationships/header" Target="head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79</Pages>
  <Words>7206</Words>
  <Characters>41079</Characters>
  <Lines>342</Lines>
  <Paragraphs>96</Paragraphs>
  <TotalTime>1</TotalTime>
  <ScaleCrop>false</ScaleCrop>
  <LinksUpToDate>false</LinksUpToDate>
  <CharactersWithSpaces>48189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2020-10-14T13:51:00Z</dcterms:created>
  <dc:creator>Arthur</dc:creator>
  <cp:lastModifiedBy>cj</cp:lastModifiedBy>
  <cp:lastPrinted>2020-10-21T01:30:00Z</cp:lastPrinted>
  <dcterms:modified xsi:type="dcterms:W3CDTF">2020-12-04T03:24:54Z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