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5"/>
      </w:tblGrid>
      <w:tr w14:paraId="1120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6" w:hRule="atLeast"/>
        </w:trPr>
        <w:tc>
          <w:tcPr>
            <w:tcW w:w="9025" w:type="dxa"/>
            <w:noWrap w:val="0"/>
            <w:vAlign w:val="top"/>
          </w:tcPr>
          <w:p w14:paraId="4FCF96DD">
            <w:pPr>
              <w:keepNext w:val="0"/>
              <w:keepLines w:val="0"/>
              <w:suppressLineNumbers w:val="0"/>
              <w:shd w:val="clear" w:color="auto" w:fill="auto"/>
              <w:tabs>
                <w:tab w:val="left" w:pos="6477"/>
              </w:tabs>
              <w:wordWrap w:val="0"/>
              <w:spacing w:before="0" w:beforeAutospacing="0" w:after="0" w:afterAutospacing="0" w:line="360" w:lineRule="auto"/>
              <w:ind w:left="0" w:right="0"/>
              <w:jc w:val="center"/>
              <w:rPr>
                <w:rFonts w:hint="default" w:ascii="宋体" w:hAnsi="宋体" w:eastAsia="宋体" w:cs="宋体"/>
                <w:b/>
                <w:color w:val="auto"/>
                <w:sz w:val="36"/>
                <w:highlight w:val="none"/>
                <w:lang w:val="en-US" w:eastAsia="zh-CN"/>
              </w:rPr>
            </w:pPr>
          </w:p>
          <w:p w14:paraId="5D86FCBB">
            <w:pPr>
              <w:keepNext w:val="0"/>
              <w:keepLines w:val="0"/>
              <w:suppressLineNumbers w:val="0"/>
              <w:shd w:val="clear" w:color="auto" w:fill="auto"/>
              <w:wordWrap w:val="0"/>
              <w:spacing w:before="0" w:beforeAutospacing="0" w:after="0" w:afterAutospacing="0"/>
              <w:ind w:left="0" w:right="0"/>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平  阳  县</w:t>
            </w:r>
          </w:p>
          <w:p w14:paraId="6D4FB086">
            <w:pPr>
              <w:keepNext w:val="0"/>
              <w:keepLines w:val="0"/>
              <w:suppressLineNumbers w:val="0"/>
              <w:shd w:val="clear" w:color="auto" w:fill="auto"/>
              <w:wordWrap w:val="0"/>
              <w:spacing w:before="0" w:beforeAutospacing="0" w:after="0" w:afterAutospacing="0"/>
              <w:ind w:left="0" w:right="0"/>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国有企业采购文件</w:t>
            </w:r>
          </w:p>
          <w:p w14:paraId="5CA72777">
            <w:pPr>
              <w:keepNext w:val="0"/>
              <w:keepLines w:val="0"/>
              <w:suppressLineNumbers w:val="0"/>
              <w:shd w:val="clear" w:color="auto" w:fill="auto"/>
              <w:wordWrap w:val="0"/>
              <w:spacing w:before="0" w:beforeAutospacing="0" w:after="0" w:afterAutospacing="0"/>
              <w:ind w:left="1148" w:right="0" w:firstLine="1968" w:firstLineChars="700"/>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（线上电子招投标）</w:t>
            </w:r>
          </w:p>
          <w:p w14:paraId="5A2CA5AA">
            <w:pPr>
              <w:pStyle w:val="11"/>
              <w:keepNext w:val="0"/>
              <w:keepLines w:val="0"/>
              <w:suppressLineNumbers w:val="0"/>
              <w:shd w:val="clear" w:color="auto" w:fill="auto"/>
              <w:spacing w:before="0" w:beforeAutospacing="0" w:afterAutospacing="0"/>
              <w:ind w:left="0" w:right="0" w:firstLine="281"/>
              <w:rPr>
                <w:rFonts w:hint="eastAsia" w:ascii="宋体" w:hAnsi="宋体" w:eastAsia="宋体" w:cs="宋体"/>
                <w:b/>
                <w:bCs w:val="0"/>
                <w:color w:val="auto"/>
                <w:sz w:val="28"/>
                <w:highlight w:val="none"/>
              </w:rPr>
            </w:pPr>
          </w:p>
          <w:p w14:paraId="219AFBF0">
            <w:pPr>
              <w:pStyle w:val="12"/>
              <w:keepNext w:val="0"/>
              <w:keepLines w:val="0"/>
              <w:suppressLineNumbers w:val="0"/>
              <w:shd w:val="clear" w:color="auto" w:fill="auto"/>
              <w:spacing w:before="0" w:beforeAutospacing="0" w:after="0" w:afterAutospacing="0"/>
              <w:ind w:right="0"/>
              <w:rPr>
                <w:rFonts w:hint="eastAsia" w:ascii="宋体" w:hAnsi="宋体" w:eastAsia="宋体" w:cs="宋体"/>
                <w:b/>
                <w:bCs/>
                <w:color w:val="auto"/>
                <w:sz w:val="28"/>
                <w:highlight w:val="none"/>
              </w:rPr>
            </w:pPr>
          </w:p>
          <w:p w14:paraId="07C46B20">
            <w:pPr>
              <w:keepNext w:val="0"/>
              <w:keepLines w:val="0"/>
              <w:suppressLineNumbers w:val="0"/>
              <w:shd w:val="clear" w:color="auto" w:fill="auto"/>
              <w:spacing w:before="0" w:beforeAutospacing="0" w:after="0" w:afterAutospacing="0"/>
              <w:ind w:left="0" w:right="0"/>
              <w:rPr>
                <w:rFonts w:hint="eastAsia" w:ascii="宋体" w:hAnsi="宋体" w:eastAsia="宋体" w:cs="宋体"/>
                <w:b/>
                <w:bCs/>
                <w:color w:val="auto"/>
                <w:sz w:val="28"/>
                <w:highlight w:val="none"/>
              </w:rPr>
            </w:pPr>
          </w:p>
          <w:p w14:paraId="752974EB">
            <w:pPr>
              <w:pStyle w:val="11"/>
              <w:keepNext w:val="0"/>
              <w:keepLines w:val="0"/>
              <w:suppressLineNumbers w:val="0"/>
              <w:shd w:val="clear" w:color="auto" w:fill="auto"/>
              <w:spacing w:before="0" w:beforeAutospacing="0" w:afterAutospacing="0"/>
              <w:ind w:left="0" w:right="0" w:firstLine="210"/>
              <w:rPr>
                <w:rFonts w:hint="eastAsia" w:ascii="宋体" w:hAnsi="宋体" w:eastAsia="宋体" w:cs="宋体"/>
                <w:color w:val="auto"/>
                <w:highlight w:val="none"/>
              </w:rPr>
            </w:pPr>
          </w:p>
          <w:p w14:paraId="583E20D2">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highlight w:val="none"/>
              </w:rPr>
            </w:pPr>
          </w:p>
          <w:tbl>
            <w:tblPr>
              <w:tblStyle w:val="28"/>
              <w:tblW w:w="0" w:type="auto"/>
              <w:jc w:val="center"/>
              <w:tblLayout w:type="fixed"/>
              <w:tblCellMar>
                <w:top w:w="0" w:type="dxa"/>
                <w:left w:w="108" w:type="dxa"/>
                <w:bottom w:w="0" w:type="dxa"/>
                <w:right w:w="108" w:type="dxa"/>
              </w:tblCellMar>
            </w:tblPr>
            <w:tblGrid>
              <w:gridCol w:w="2304"/>
              <w:gridCol w:w="4859"/>
            </w:tblGrid>
            <w:tr w14:paraId="26BD49D7">
              <w:tblPrEx>
                <w:tblCellMar>
                  <w:top w:w="0" w:type="dxa"/>
                  <w:left w:w="108" w:type="dxa"/>
                  <w:bottom w:w="0" w:type="dxa"/>
                  <w:right w:w="108" w:type="dxa"/>
                </w:tblCellMar>
              </w:tblPrEx>
              <w:trPr>
                <w:jc w:val="center"/>
              </w:trPr>
              <w:tc>
                <w:tcPr>
                  <w:tcW w:w="2304" w:type="dxa"/>
                  <w:noWrap w:val="0"/>
                  <w:vAlign w:val="top"/>
                </w:tcPr>
                <w:p w14:paraId="6DF0F7FB">
                  <w:pPr>
                    <w:keepNext w:val="0"/>
                    <w:keepLines w:val="0"/>
                    <w:suppressLineNumbers w:val="0"/>
                    <w:shd w:val="clear" w:color="auto" w:fill="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项目名称</w:t>
                  </w:r>
                  <w:r>
                    <w:rPr>
                      <w:rFonts w:hint="eastAsia" w:ascii="宋体" w:hAnsi="宋体" w:eastAsia="宋体" w:cs="宋体"/>
                      <w:b/>
                      <w:bCs/>
                      <w:color w:val="auto"/>
                      <w:sz w:val="30"/>
                      <w:szCs w:val="30"/>
                      <w:highlight w:val="none"/>
                      <w:lang w:eastAsia="zh-CN"/>
                    </w:rPr>
                    <w:t>：</w:t>
                  </w:r>
                </w:p>
              </w:tc>
              <w:tc>
                <w:tcPr>
                  <w:tcW w:w="4859" w:type="dxa"/>
                  <w:noWrap w:val="0"/>
                  <w:vAlign w:val="top"/>
                </w:tcPr>
                <w:p w14:paraId="71F250A8">
                  <w:pPr>
                    <w:keepNext w:val="0"/>
                    <w:keepLines w:val="0"/>
                    <w:suppressLineNumbers w:val="0"/>
                    <w:shd w:val="clear" w:color="auto" w:fill="auto"/>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lang w:eastAsia="zh-CN"/>
                    </w:rPr>
                    <w:t>昆鳌协同区F-42地块商业综合体项目招商运营服务项目</w:t>
                  </w:r>
                </w:p>
              </w:tc>
            </w:tr>
            <w:tr w14:paraId="72CC2C1B">
              <w:tblPrEx>
                <w:tblCellMar>
                  <w:top w:w="0" w:type="dxa"/>
                  <w:left w:w="108" w:type="dxa"/>
                  <w:bottom w:w="0" w:type="dxa"/>
                  <w:right w:w="108" w:type="dxa"/>
                </w:tblCellMar>
              </w:tblPrEx>
              <w:trPr>
                <w:jc w:val="center"/>
              </w:trPr>
              <w:tc>
                <w:tcPr>
                  <w:tcW w:w="2304" w:type="dxa"/>
                  <w:noWrap w:val="0"/>
                  <w:vAlign w:val="top"/>
                </w:tcPr>
                <w:p w14:paraId="6FB367BD">
                  <w:pPr>
                    <w:keepNext w:val="0"/>
                    <w:keepLines w:val="0"/>
                    <w:suppressLineNumbers w:val="0"/>
                    <w:shd w:val="clear" w:color="auto" w:fill="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采购编号</w:t>
                  </w:r>
                  <w:r>
                    <w:rPr>
                      <w:rFonts w:hint="eastAsia" w:ascii="宋体" w:hAnsi="宋体" w:eastAsia="宋体" w:cs="宋体"/>
                      <w:b/>
                      <w:bCs/>
                      <w:color w:val="auto"/>
                      <w:sz w:val="30"/>
                      <w:szCs w:val="30"/>
                      <w:highlight w:val="none"/>
                      <w:lang w:eastAsia="zh-CN"/>
                    </w:rPr>
                    <w:t>：</w:t>
                  </w:r>
                </w:p>
              </w:tc>
              <w:tc>
                <w:tcPr>
                  <w:tcW w:w="4859" w:type="dxa"/>
                  <w:noWrap w:val="0"/>
                  <w:vAlign w:val="top"/>
                </w:tcPr>
                <w:p w14:paraId="74EC4BA5">
                  <w:pPr>
                    <w:keepNext w:val="0"/>
                    <w:keepLines w:val="0"/>
                    <w:suppressLineNumbers w:val="0"/>
                    <w:shd w:val="clear" w:color="auto" w:fill="auto"/>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PYCG251021117</w:t>
                  </w:r>
                </w:p>
              </w:tc>
            </w:tr>
            <w:tr w14:paraId="24E60667">
              <w:tblPrEx>
                <w:tblCellMar>
                  <w:top w:w="0" w:type="dxa"/>
                  <w:left w:w="108" w:type="dxa"/>
                  <w:bottom w:w="0" w:type="dxa"/>
                  <w:right w:w="108" w:type="dxa"/>
                </w:tblCellMar>
              </w:tblPrEx>
              <w:trPr>
                <w:jc w:val="center"/>
              </w:trPr>
              <w:tc>
                <w:tcPr>
                  <w:tcW w:w="2304" w:type="dxa"/>
                  <w:noWrap w:val="0"/>
                  <w:vAlign w:val="top"/>
                </w:tcPr>
                <w:p w14:paraId="3B4223DF">
                  <w:pPr>
                    <w:keepNext w:val="0"/>
                    <w:keepLines w:val="0"/>
                    <w:suppressLineNumbers w:val="0"/>
                    <w:shd w:val="clear" w:color="auto" w:fill="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rPr>
                  </w:pPr>
                </w:p>
              </w:tc>
              <w:tc>
                <w:tcPr>
                  <w:tcW w:w="4859" w:type="dxa"/>
                  <w:noWrap w:val="0"/>
                  <w:vAlign w:val="top"/>
                </w:tcPr>
                <w:p w14:paraId="2511BDA6">
                  <w:pPr>
                    <w:keepNext w:val="0"/>
                    <w:keepLines w:val="0"/>
                    <w:suppressLineNumbers w:val="0"/>
                    <w:shd w:val="clear" w:color="auto" w:fill="auto"/>
                    <w:spacing w:before="0" w:beforeAutospacing="0" w:after="0" w:afterAutospacing="0" w:line="360" w:lineRule="auto"/>
                    <w:ind w:left="0" w:right="0"/>
                    <w:jc w:val="left"/>
                    <w:rPr>
                      <w:rFonts w:hint="eastAsia" w:ascii="宋体" w:hAnsi="宋体" w:eastAsia="宋体" w:cs="宋体"/>
                      <w:b/>
                      <w:bCs/>
                      <w:color w:val="auto"/>
                      <w:sz w:val="30"/>
                      <w:szCs w:val="30"/>
                      <w:highlight w:val="none"/>
                    </w:rPr>
                  </w:pPr>
                </w:p>
              </w:tc>
            </w:tr>
            <w:tr w14:paraId="0EEC9CA5">
              <w:tblPrEx>
                <w:tblCellMar>
                  <w:top w:w="0" w:type="dxa"/>
                  <w:left w:w="108" w:type="dxa"/>
                  <w:bottom w:w="0" w:type="dxa"/>
                  <w:right w:w="108" w:type="dxa"/>
                </w:tblCellMar>
              </w:tblPrEx>
              <w:trPr>
                <w:jc w:val="center"/>
              </w:trPr>
              <w:tc>
                <w:tcPr>
                  <w:tcW w:w="2304" w:type="dxa"/>
                  <w:noWrap w:val="0"/>
                  <w:vAlign w:val="top"/>
                </w:tcPr>
                <w:p w14:paraId="4881A386">
                  <w:pPr>
                    <w:keepNext w:val="0"/>
                    <w:keepLines w:val="0"/>
                    <w:suppressLineNumbers w:val="0"/>
                    <w:shd w:val="clear" w:color="auto" w:fill="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采购人</w:t>
                  </w:r>
                  <w:r>
                    <w:rPr>
                      <w:rFonts w:hint="eastAsia" w:ascii="宋体" w:hAnsi="宋体" w:eastAsia="宋体" w:cs="宋体"/>
                      <w:b/>
                      <w:bCs/>
                      <w:color w:val="auto"/>
                      <w:sz w:val="30"/>
                      <w:szCs w:val="30"/>
                      <w:highlight w:val="none"/>
                      <w:lang w:eastAsia="zh-CN"/>
                    </w:rPr>
                    <w:t>：</w:t>
                  </w:r>
                </w:p>
              </w:tc>
              <w:tc>
                <w:tcPr>
                  <w:tcW w:w="4859" w:type="dxa"/>
                  <w:noWrap w:val="0"/>
                  <w:vAlign w:val="top"/>
                </w:tcPr>
                <w:p w14:paraId="62C6CD7F">
                  <w:pPr>
                    <w:keepNext w:val="0"/>
                    <w:keepLines w:val="0"/>
                    <w:suppressLineNumbers w:val="0"/>
                    <w:shd w:val="clear" w:color="auto" w:fill="auto"/>
                    <w:spacing w:before="0" w:beforeAutospacing="0" w:after="0" w:afterAutospacing="0" w:line="360" w:lineRule="auto"/>
                    <w:ind w:left="0" w:right="0"/>
                    <w:jc w:val="left"/>
                    <w:rPr>
                      <w:rFonts w:hint="default" w:ascii="宋体" w:hAnsi="宋体" w:eastAsia="宋体" w:cs="宋体"/>
                      <w:b/>
                      <w:bCs/>
                      <w:color w:val="auto"/>
                      <w:sz w:val="30"/>
                      <w:szCs w:val="30"/>
                      <w:highlight w:val="none"/>
                      <w:lang w:val="en-US" w:eastAsia="zh-CN"/>
                    </w:rPr>
                  </w:pPr>
                  <w:r>
                    <w:rPr>
                      <w:rFonts w:hint="default" w:ascii="宋体" w:hAnsi="宋体" w:eastAsia="宋体" w:cs="宋体"/>
                      <w:b/>
                      <w:bCs/>
                      <w:color w:val="auto"/>
                      <w:sz w:val="30"/>
                      <w:szCs w:val="30"/>
                      <w:highlight w:val="none"/>
                      <w:lang w:val="en-US" w:eastAsia="zh-CN"/>
                    </w:rPr>
                    <w:t>平阳县城发城市运营管理有限公司</w:t>
                  </w:r>
                </w:p>
              </w:tc>
            </w:tr>
            <w:tr w14:paraId="252F2024">
              <w:tblPrEx>
                <w:tblCellMar>
                  <w:top w:w="0" w:type="dxa"/>
                  <w:left w:w="108" w:type="dxa"/>
                  <w:bottom w:w="0" w:type="dxa"/>
                  <w:right w:w="108" w:type="dxa"/>
                </w:tblCellMar>
              </w:tblPrEx>
              <w:trPr>
                <w:jc w:val="center"/>
              </w:trPr>
              <w:tc>
                <w:tcPr>
                  <w:tcW w:w="2304" w:type="dxa"/>
                  <w:noWrap w:val="0"/>
                  <w:vAlign w:val="top"/>
                </w:tcPr>
                <w:p w14:paraId="0674674D">
                  <w:pPr>
                    <w:keepNext w:val="0"/>
                    <w:keepLines w:val="0"/>
                    <w:suppressLineNumbers w:val="0"/>
                    <w:shd w:val="clear" w:color="auto" w:fill="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联系人</w:t>
                  </w:r>
                  <w:r>
                    <w:rPr>
                      <w:rFonts w:hint="eastAsia" w:ascii="宋体" w:hAnsi="宋体" w:eastAsia="宋体" w:cs="宋体"/>
                      <w:b/>
                      <w:bCs/>
                      <w:color w:val="auto"/>
                      <w:sz w:val="30"/>
                      <w:szCs w:val="30"/>
                      <w:highlight w:val="none"/>
                      <w:lang w:eastAsia="zh-CN"/>
                    </w:rPr>
                    <w:t>：</w:t>
                  </w:r>
                </w:p>
              </w:tc>
              <w:tc>
                <w:tcPr>
                  <w:tcW w:w="4859" w:type="dxa"/>
                  <w:noWrap w:val="0"/>
                  <w:vAlign w:val="top"/>
                </w:tcPr>
                <w:p w14:paraId="035F9E35">
                  <w:pPr>
                    <w:keepNext w:val="0"/>
                    <w:keepLines w:val="0"/>
                    <w:suppressLineNumbers w:val="0"/>
                    <w:shd w:val="clear" w:color="auto" w:fill="auto"/>
                    <w:spacing w:before="0" w:beforeAutospacing="0" w:after="0" w:afterAutospacing="0" w:line="360" w:lineRule="auto"/>
                    <w:ind w:left="0" w:right="0"/>
                    <w:jc w:val="left"/>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林先生</w:t>
                  </w:r>
                </w:p>
              </w:tc>
            </w:tr>
            <w:tr w14:paraId="20F90F71">
              <w:tblPrEx>
                <w:tblCellMar>
                  <w:top w:w="0" w:type="dxa"/>
                  <w:left w:w="108" w:type="dxa"/>
                  <w:bottom w:w="0" w:type="dxa"/>
                  <w:right w:w="108" w:type="dxa"/>
                </w:tblCellMar>
              </w:tblPrEx>
              <w:trPr>
                <w:jc w:val="center"/>
              </w:trPr>
              <w:tc>
                <w:tcPr>
                  <w:tcW w:w="2304" w:type="dxa"/>
                  <w:noWrap w:val="0"/>
                  <w:vAlign w:val="top"/>
                </w:tcPr>
                <w:p w14:paraId="0D24BE71">
                  <w:pPr>
                    <w:keepNext w:val="0"/>
                    <w:keepLines w:val="0"/>
                    <w:suppressLineNumbers w:val="0"/>
                    <w:shd w:val="clear" w:color="auto" w:fill="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联系电话</w:t>
                  </w:r>
                  <w:r>
                    <w:rPr>
                      <w:rFonts w:hint="eastAsia" w:ascii="宋体" w:hAnsi="宋体" w:eastAsia="宋体" w:cs="宋体"/>
                      <w:b/>
                      <w:bCs/>
                      <w:color w:val="auto"/>
                      <w:sz w:val="30"/>
                      <w:szCs w:val="30"/>
                      <w:highlight w:val="none"/>
                      <w:lang w:eastAsia="zh-CN"/>
                    </w:rPr>
                    <w:t>：</w:t>
                  </w:r>
                </w:p>
              </w:tc>
              <w:tc>
                <w:tcPr>
                  <w:tcW w:w="4859" w:type="dxa"/>
                  <w:noWrap w:val="0"/>
                  <w:vAlign w:val="top"/>
                </w:tcPr>
                <w:p w14:paraId="660D1EC4">
                  <w:pPr>
                    <w:keepNext w:val="0"/>
                    <w:keepLines w:val="0"/>
                    <w:suppressLineNumbers w:val="0"/>
                    <w:shd w:val="clear" w:color="auto" w:fill="auto"/>
                    <w:spacing w:before="0" w:beforeAutospacing="0" w:after="0" w:afterAutospacing="0" w:line="360" w:lineRule="auto"/>
                    <w:ind w:left="0" w:right="0"/>
                    <w:jc w:val="left"/>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val="en-US" w:eastAsia="zh-CN"/>
                    </w:rPr>
                    <w:t>0577-58105301</w:t>
                  </w:r>
                </w:p>
              </w:tc>
            </w:tr>
            <w:tr w14:paraId="1131FFB1">
              <w:tblPrEx>
                <w:tblCellMar>
                  <w:top w:w="0" w:type="dxa"/>
                  <w:left w:w="108" w:type="dxa"/>
                  <w:bottom w:w="0" w:type="dxa"/>
                  <w:right w:w="108" w:type="dxa"/>
                </w:tblCellMar>
              </w:tblPrEx>
              <w:trPr>
                <w:jc w:val="center"/>
              </w:trPr>
              <w:tc>
                <w:tcPr>
                  <w:tcW w:w="2304" w:type="dxa"/>
                  <w:noWrap w:val="0"/>
                  <w:vAlign w:val="top"/>
                </w:tcPr>
                <w:p w14:paraId="41603397">
                  <w:pPr>
                    <w:keepNext w:val="0"/>
                    <w:keepLines w:val="0"/>
                    <w:suppressLineNumbers w:val="0"/>
                    <w:shd w:val="clear" w:color="auto" w:fill="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rPr>
                  </w:pPr>
                </w:p>
              </w:tc>
              <w:tc>
                <w:tcPr>
                  <w:tcW w:w="4859" w:type="dxa"/>
                  <w:noWrap w:val="0"/>
                  <w:vAlign w:val="top"/>
                </w:tcPr>
                <w:p w14:paraId="52BCAE87">
                  <w:pPr>
                    <w:keepNext w:val="0"/>
                    <w:keepLines w:val="0"/>
                    <w:suppressLineNumbers w:val="0"/>
                    <w:shd w:val="clear" w:color="auto" w:fill="auto"/>
                    <w:spacing w:before="0" w:beforeAutospacing="0" w:after="0" w:afterAutospacing="0" w:line="360" w:lineRule="auto"/>
                    <w:ind w:left="0" w:right="0"/>
                    <w:jc w:val="left"/>
                    <w:rPr>
                      <w:rFonts w:hint="eastAsia" w:ascii="宋体" w:hAnsi="宋体" w:eastAsia="宋体" w:cs="宋体"/>
                      <w:b/>
                      <w:bCs/>
                      <w:color w:val="auto"/>
                      <w:sz w:val="30"/>
                      <w:szCs w:val="30"/>
                      <w:highlight w:val="none"/>
                    </w:rPr>
                  </w:pPr>
                </w:p>
              </w:tc>
            </w:tr>
            <w:tr w14:paraId="4EEC83B7">
              <w:tblPrEx>
                <w:tblCellMar>
                  <w:top w:w="0" w:type="dxa"/>
                  <w:left w:w="108" w:type="dxa"/>
                  <w:bottom w:w="0" w:type="dxa"/>
                  <w:right w:w="108" w:type="dxa"/>
                </w:tblCellMar>
              </w:tblPrEx>
              <w:trPr>
                <w:jc w:val="center"/>
              </w:trPr>
              <w:tc>
                <w:tcPr>
                  <w:tcW w:w="2304" w:type="dxa"/>
                  <w:noWrap w:val="0"/>
                  <w:vAlign w:val="top"/>
                </w:tcPr>
                <w:p w14:paraId="4B05A92F">
                  <w:pPr>
                    <w:keepNext w:val="0"/>
                    <w:keepLines w:val="0"/>
                    <w:suppressLineNumbers w:val="0"/>
                    <w:shd w:val="clear" w:color="auto" w:fill="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采购代理机构</w:t>
                  </w:r>
                  <w:r>
                    <w:rPr>
                      <w:rFonts w:hint="eastAsia" w:ascii="宋体" w:hAnsi="宋体" w:eastAsia="宋体" w:cs="宋体"/>
                      <w:b/>
                      <w:bCs/>
                      <w:color w:val="auto"/>
                      <w:sz w:val="30"/>
                      <w:szCs w:val="30"/>
                      <w:highlight w:val="none"/>
                      <w:lang w:eastAsia="zh-CN"/>
                    </w:rPr>
                    <w:t>：</w:t>
                  </w:r>
                </w:p>
              </w:tc>
              <w:tc>
                <w:tcPr>
                  <w:tcW w:w="4859" w:type="dxa"/>
                  <w:noWrap w:val="0"/>
                  <w:vAlign w:val="top"/>
                </w:tcPr>
                <w:p w14:paraId="1B35ECC8">
                  <w:pPr>
                    <w:keepNext w:val="0"/>
                    <w:keepLines w:val="0"/>
                    <w:suppressLineNumbers w:val="0"/>
                    <w:shd w:val="clear" w:color="auto" w:fill="auto"/>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val="en-US" w:eastAsia="zh-CN"/>
                    </w:rPr>
                    <w:t>浙江之信工程项目管理有限公司</w:t>
                  </w:r>
                </w:p>
              </w:tc>
            </w:tr>
            <w:tr w14:paraId="3FB56F87">
              <w:tblPrEx>
                <w:tblCellMar>
                  <w:top w:w="0" w:type="dxa"/>
                  <w:left w:w="108" w:type="dxa"/>
                  <w:bottom w:w="0" w:type="dxa"/>
                  <w:right w:w="108" w:type="dxa"/>
                </w:tblCellMar>
              </w:tblPrEx>
              <w:trPr>
                <w:trHeight w:val="90" w:hRule="atLeast"/>
                <w:jc w:val="center"/>
              </w:trPr>
              <w:tc>
                <w:tcPr>
                  <w:tcW w:w="2304" w:type="dxa"/>
                  <w:noWrap w:val="0"/>
                  <w:vAlign w:val="top"/>
                </w:tcPr>
                <w:p w14:paraId="5775B375">
                  <w:pPr>
                    <w:keepNext w:val="0"/>
                    <w:keepLines w:val="0"/>
                    <w:suppressLineNumbers w:val="0"/>
                    <w:shd w:val="clear" w:color="auto" w:fill="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联系人</w:t>
                  </w:r>
                  <w:r>
                    <w:rPr>
                      <w:rFonts w:hint="eastAsia" w:ascii="宋体" w:hAnsi="宋体" w:eastAsia="宋体" w:cs="宋体"/>
                      <w:b/>
                      <w:bCs/>
                      <w:color w:val="auto"/>
                      <w:sz w:val="30"/>
                      <w:szCs w:val="30"/>
                      <w:highlight w:val="none"/>
                      <w:lang w:eastAsia="zh-CN"/>
                    </w:rPr>
                    <w:t>：</w:t>
                  </w:r>
                </w:p>
              </w:tc>
              <w:tc>
                <w:tcPr>
                  <w:tcW w:w="4859" w:type="dxa"/>
                  <w:noWrap w:val="0"/>
                  <w:vAlign w:val="top"/>
                </w:tcPr>
                <w:p w14:paraId="7348F654">
                  <w:pPr>
                    <w:keepNext w:val="0"/>
                    <w:keepLines w:val="0"/>
                    <w:suppressLineNumbers w:val="0"/>
                    <w:shd w:val="clear" w:color="auto" w:fill="auto"/>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施先生</w:t>
                  </w:r>
                </w:p>
              </w:tc>
            </w:tr>
            <w:tr w14:paraId="37DE65CE">
              <w:tblPrEx>
                <w:tblCellMar>
                  <w:top w:w="0" w:type="dxa"/>
                  <w:left w:w="108" w:type="dxa"/>
                  <w:bottom w:w="0" w:type="dxa"/>
                  <w:right w:w="108" w:type="dxa"/>
                </w:tblCellMar>
              </w:tblPrEx>
              <w:trPr>
                <w:jc w:val="center"/>
              </w:trPr>
              <w:tc>
                <w:tcPr>
                  <w:tcW w:w="2304" w:type="dxa"/>
                  <w:noWrap w:val="0"/>
                  <w:vAlign w:val="top"/>
                </w:tcPr>
                <w:p w14:paraId="52BA9C75">
                  <w:pPr>
                    <w:keepNext w:val="0"/>
                    <w:keepLines w:val="0"/>
                    <w:suppressLineNumbers w:val="0"/>
                    <w:shd w:val="clear" w:color="auto" w:fill="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联系电话</w:t>
                  </w:r>
                  <w:r>
                    <w:rPr>
                      <w:rFonts w:hint="eastAsia" w:ascii="宋体" w:hAnsi="宋体" w:eastAsia="宋体" w:cs="宋体"/>
                      <w:b/>
                      <w:bCs/>
                      <w:color w:val="auto"/>
                      <w:sz w:val="30"/>
                      <w:szCs w:val="30"/>
                      <w:highlight w:val="none"/>
                      <w:lang w:eastAsia="zh-CN"/>
                    </w:rPr>
                    <w:t>：</w:t>
                  </w:r>
                </w:p>
              </w:tc>
              <w:tc>
                <w:tcPr>
                  <w:tcW w:w="4859" w:type="dxa"/>
                  <w:noWrap w:val="0"/>
                  <w:vAlign w:val="top"/>
                </w:tcPr>
                <w:p w14:paraId="473054F8">
                  <w:pPr>
                    <w:keepNext w:val="0"/>
                    <w:keepLines w:val="0"/>
                    <w:widowControl/>
                    <w:suppressLineNumbers w:val="0"/>
                    <w:shd w:val="clear" w:color="auto" w:fill="auto"/>
                    <w:wordWrap w:val="0"/>
                    <w:snapToGrid w:val="0"/>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eastAsia="zh-CN"/>
                    </w:rPr>
                    <w:t>0577-63718111</w:t>
                  </w:r>
                </w:p>
              </w:tc>
            </w:tr>
            <w:tr w14:paraId="627DBC2D">
              <w:tblPrEx>
                <w:tblCellMar>
                  <w:top w:w="0" w:type="dxa"/>
                  <w:left w:w="108" w:type="dxa"/>
                  <w:bottom w:w="0" w:type="dxa"/>
                  <w:right w:w="108" w:type="dxa"/>
                </w:tblCellMar>
              </w:tblPrEx>
              <w:trPr>
                <w:jc w:val="center"/>
              </w:trPr>
              <w:tc>
                <w:tcPr>
                  <w:tcW w:w="7163" w:type="dxa"/>
                  <w:gridSpan w:val="2"/>
                  <w:noWrap w:val="0"/>
                  <w:vAlign w:val="top"/>
                </w:tcPr>
                <w:p w14:paraId="63746573">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二○二</w:t>
                  </w:r>
                  <w:r>
                    <w:rPr>
                      <w:rFonts w:hint="eastAsia" w:ascii="宋体" w:hAnsi="宋体" w:cs="宋体"/>
                      <w:b/>
                      <w:bCs/>
                      <w:color w:val="auto"/>
                      <w:sz w:val="30"/>
                      <w:szCs w:val="30"/>
                      <w:highlight w:val="none"/>
                      <w:lang w:val="en-US" w:eastAsia="zh-CN"/>
                    </w:rPr>
                    <w:t>五</w:t>
                  </w:r>
                  <w:r>
                    <w:rPr>
                      <w:rFonts w:hint="eastAsia" w:ascii="宋体" w:hAnsi="宋体" w:eastAsia="宋体" w:cs="宋体"/>
                      <w:b/>
                      <w:bCs/>
                      <w:color w:val="auto"/>
                      <w:sz w:val="30"/>
                      <w:szCs w:val="30"/>
                      <w:highlight w:val="none"/>
                    </w:rPr>
                    <w:t>年</w:t>
                  </w:r>
                  <w:r>
                    <w:rPr>
                      <w:rFonts w:hint="eastAsia" w:ascii="宋体" w:hAnsi="宋体" w:cs="宋体"/>
                      <w:b/>
                      <w:bCs/>
                      <w:color w:val="auto"/>
                      <w:sz w:val="30"/>
                      <w:szCs w:val="30"/>
                      <w:highlight w:val="none"/>
                      <w:lang w:val="en-US" w:eastAsia="zh-CN"/>
                    </w:rPr>
                    <w:t>十</w:t>
                  </w:r>
                  <w:r>
                    <w:rPr>
                      <w:rFonts w:hint="eastAsia" w:ascii="宋体" w:hAnsi="宋体" w:eastAsia="宋体" w:cs="宋体"/>
                      <w:b/>
                      <w:bCs/>
                      <w:color w:val="auto"/>
                      <w:sz w:val="30"/>
                      <w:szCs w:val="30"/>
                      <w:highlight w:val="none"/>
                    </w:rPr>
                    <w:t>月</w:t>
                  </w:r>
                </w:p>
              </w:tc>
            </w:tr>
          </w:tbl>
          <w:p w14:paraId="538E8293">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color w:val="auto"/>
                <w:sz w:val="84"/>
                <w:highlight w:val="none"/>
              </w:rPr>
            </w:pPr>
          </w:p>
        </w:tc>
      </w:tr>
    </w:tbl>
    <w:p w14:paraId="16DC7AB5">
      <w:pPr>
        <w:shd w:val="clear" w:color="auto" w:fill="auto"/>
        <w:wordWrap w:val="0"/>
        <w:spacing w:line="360" w:lineRule="auto"/>
        <w:rPr>
          <w:rFonts w:hint="eastAsia" w:ascii="宋体" w:hAnsi="宋体" w:eastAsia="宋体" w:cs="宋体"/>
          <w:color w:val="auto"/>
          <w:highlight w:val="none"/>
        </w:rPr>
        <w:sectPr>
          <w:pgSz w:w="11906" w:h="16838"/>
          <w:pgMar w:top="1440" w:right="1622" w:bottom="1440" w:left="1287" w:header="851" w:footer="992" w:gutter="0"/>
          <w:pgNumType w:start="0"/>
          <w:cols w:space="720" w:num="1"/>
          <w:docGrid w:linePitch="312" w:charSpace="0"/>
        </w:sectPr>
      </w:pPr>
    </w:p>
    <w:p w14:paraId="7DFF32EB">
      <w:pPr>
        <w:widowControl/>
        <w:shd w:val="clear" w:color="auto" w:fill="auto"/>
        <w:tabs>
          <w:tab w:val="left" w:pos="2019"/>
        </w:tabs>
        <w:wordWrap w:val="0"/>
        <w:spacing w:line="360" w:lineRule="auto"/>
        <w:jc w:val="center"/>
        <w:rPr>
          <w:rFonts w:hint="eastAsia" w:ascii="宋体" w:hAnsi="宋体" w:eastAsia="宋体" w:cs="宋体"/>
          <w:b/>
          <w:bCs/>
          <w:color w:val="auto"/>
          <w:kern w:val="0"/>
          <w:sz w:val="28"/>
          <w:szCs w:val="28"/>
          <w:highlight w:val="none"/>
        </w:rPr>
      </w:pPr>
      <w:bookmarkStart w:id="0" w:name="OLE_LINK1"/>
      <w:bookmarkStart w:id="1" w:name="OLE_LINK3"/>
      <w:bookmarkStart w:id="2" w:name="OLE_LINK2"/>
      <w:r>
        <w:rPr>
          <w:rFonts w:hint="eastAsia" w:ascii="宋体" w:hAnsi="宋体" w:eastAsia="宋体" w:cs="宋体"/>
          <w:b/>
          <w:bCs/>
          <w:color w:val="auto"/>
          <w:kern w:val="0"/>
          <w:sz w:val="28"/>
          <w:szCs w:val="28"/>
          <w:highlight w:val="none"/>
          <w:lang w:val="en-US" w:eastAsia="zh-CN"/>
        </w:rPr>
        <w:t>浙江之信工程项目管理有限公司</w:t>
      </w:r>
      <w:r>
        <w:rPr>
          <w:rFonts w:hint="eastAsia" w:ascii="宋体" w:hAnsi="宋体" w:eastAsia="宋体" w:cs="宋体"/>
          <w:b/>
          <w:bCs/>
          <w:color w:val="auto"/>
          <w:kern w:val="0"/>
          <w:sz w:val="28"/>
          <w:szCs w:val="28"/>
          <w:highlight w:val="none"/>
        </w:rPr>
        <w:t>关于</w:t>
      </w:r>
      <w:r>
        <w:rPr>
          <w:rFonts w:hint="eastAsia" w:ascii="宋体" w:hAnsi="宋体" w:cs="宋体"/>
          <w:b/>
          <w:bCs/>
          <w:color w:val="auto"/>
          <w:kern w:val="0"/>
          <w:sz w:val="28"/>
          <w:szCs w:val="28"/>
          <w:highlight w:val="none"/>
          <w:lang w:eastAsia="zh-CN"/>
        </w:rPr>
        <w:t>昆鳌协同区F-42地块商业综合体项目招商运营服务项目</w:t>
      </w:r>
      <w:r>
        <w:rPr>
          <w:rFonts w:hint="eastAsia" w:ascii="宋体" w:hAnsi="宋体" w:eastAsia="宋体" w:cs="宋体"/>
          <w:b/>
          <w:bCs/>
          <w:color w:val="auto"/>
          <w:kern w:val="0"/>
          <w:sz w:val="28"/>
          <w:szCs w:val="28"/>
          <w:highlight w:val="none"/>
        </w:rPr>
        <w:t>的公开招标公告</w:t>
      </w:r>
    </w:p>
    <w:p w14:paraId="1236BBC7">
      <w:pPr>
        <w:shd w:val="clear" w:color="auto" w:fill="auto"/>
        <w:tabs>
          <w:tab w:val="left" w:pos="0"/>
        </w:tabs>
        <w:wordWrap w:val="0"/>
        <w:spacing w:line="360" w:lineRule="auto"/>
        <w:ind w:left="2" w:firstLine="2"/>
        <w:jc w:val="center"/>
        <w:rPr>
          <w:rFonts w:hint="eastAsia" w:ascii="宋体" w:hAnsi="宋体" w:eastAsia="宋体" w:cs="宋体"/>
          <w:color w:val="auto"/>
          <w:sz w:val="20"/>
          <w:szCs w:val="22"/>
          <w:highlight w:val="none"/>
        </w:rPr>
      </w:pPr>
      <w:r>
        <w:rPr>
          <w:rFonts w:hint="eastAsia" w:ascii="宋体" w:hAnsi="宋体" w:eastAsia="宋体" w:cs="宋体"/>
          <w:b/>
          <w:bCs/>
          <w:color w:val="auto"/>
          <w:sz w:val="28"/>
          <w:szCs w:val="28"/>
          <w:highlight w:val="none"/>
        </w:rPr>
        <w:t>（线上电子招投标）</w:t>
      </w:r>
    </w:p>
    <w:p w14:paraId="63DF5AA2">
      <w:pPr>
        <w:widowControl/>
        <w:shd w:val="clear" w:color="auto" w:fill="auto"/>
        <w:tabs>
          <w:tab w:val="left" w:pos="2019"/>
        </w:tabs>
        <w:wordWrap w:val="0"/>
        <w:spacing w:line="360" w:lineRule="auto"/>
        <w:ind w:left="2778" w:leftChars="1" w:hanging="2776" w:hangingChars="1152"/>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公告日期</w:t>
      </w:r>
      <w:r>
        <w:rPr>
          <w:rFonts w:hint="eastAsia" w:ascii="宋体" w:hAnsi="宋体" w:eastAsia="宋体" w:cs="宋体"/>
          <w:b/>
          <w:color w:val="auto"/>
          <w:sz w:val="24"/>
          <w:highlight w:val="none"/>
          <w:lang w:eastAsia="zh-CN"/>
        </w:rPr>
        <w:t>：202</w:t>
      </w: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lang w:eastAsia="zh-CN"/>
        </w:rPr>
        <w:t>年</w:t>
      </w:r>
      <w:r>
        <w:rPr>
          <w:rFonts w:hint="eastAsia" w:ascii="宋体" w:hAnsi="宋体" w:cs="宋体"/>
          <w:b/>
          <w:color w:val="auto"/>
          <w:sz w:val="24"/>
          <w:highlight w:val="none"/>
          <w:lang w:val="en-US" w:eastAsia="zh-CN"/>
        </w:rPr>
        <w:t>10</w:t>
      </w:r>
      <w:r>
        <w:rPr>
          <w:rFonts w:hint="eastAsia" w:ascii="宋体" w:hAnsi="宋体" w:eastAsia="宋体" w:cs="宋体"/>
          <w:b/>
          <w:color w:val="auto"/>
          <w:sz w:val="24"/>
          <w:highlight w:val="none"/>
        </w:rPr>
        <w:t>月</w:t>
      </w:r>
      <w:r>
        <w:rPr>
          <w:rFonts w:hint="eastAsia" w:ascii="宋体" w:hAnsi="宋体" w:cs="宋体"/>
          <w:b/>
          <w:color w:val="auto"/>
          <w:sz w:val="24"/>
          <w:highlight w:val="none"/>
          <w:lang w:val="en-US" w:eastAsia="zh-CN"/>
        </w:rPr>
        <w:t>21</w:t>
      </w:r>
      <w:r>
        <w:rPr>
          <w:rFonts w:hint="eastAsia" w:ascii="宋体" w:hAnsi="宋体" w:eastAsia="宋体" w:cs="宋体"/>
          <w:b/>
          <w:color w:val="auto"/>
          <w:sz w:val="24"/>
          <w:highlight w:val="none"/>
        </w:rPr>
        <w:t>日</w:t>
      </w:r>
    </w:p>
    <w:p w14:paraId="6F757F44">
      <w:pPr>
        <w:pStyle w:val="26"/>
        <w:shd w:val="clear" w:color="auto" w:fill="auto"/>
        <w:wordWrap w:val="0"/>
        <w:spacing w:before="0" w:beforeAutospacing="0" w:after="0" w:afterAutospacing="0" w:line="360" w:lineRule="auto"/>
        <w:jc w:val="both"/>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项目概况</w:t>
      </w:r>
    </w:p>
    <w:p w14:paraId="45D1CF2D">
      <w:pPr>
        <w:pStyle w:val="26"/>
        <w:shd w:val="clear" w:color="auto" w:fill="auto"/>
        <w:wordWrap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cs="宋体"/>
          <w:color w:val="auto"/>
          <w:sz w:val="22"/>
          <w:szCs w:val="22"/>
          <w:highlight w:val="none"/>
          <w:shd w:val="clear" w:color="auto" w:fill="FFFFFF"/>
          <w:lang w:eastAsia="zh-CN"/>
        </w:rPr>
        <w:t>昆鳌协同区F-42地块商业综合体项目招商运营服务项目</w:t>
      </w:r>
      <w:r>
        <w:rPr>
          <w:rFonts w:hint="eastAsia" w:ascii="宋体" w:hAnsi="宋体" w:eastAsia="宋体" w:cs="宋体"/>
          <w:color w:val="auto"/>
          <w:sz w:val="22"/>
          <w:szCs w:val="22"/>
          <w:highlight w:val="none"/>
          <w:shd w:val="clear" w:color="auto" w:fill="FFFFFF"/>
        </w:rPr>
        <w:t>的潜在投标供应商登录</w:t>
      </w:r>
      <w:r>
        <w:rPr>
          <w:rFonts w:hint="eastAsia" w:ascii="宋体" w:hAnsi="宋体" w:eastAsia="宋体" w:cs="宋体"/>
          <w:color w:val="auto"/>
          <w:sz w:val="22"/>
          <w:szCs w:val="22"/>
          <w:highlight w:val="none"/>
          <w:shd w:val="clear" w:color="auto" w:fill="FFFFFF"/>
          <w:lang w:eastAsia="zh-CN"/>
        </w:rPr>
        <w:t>乐采云平台https://www.lecaiyun.com/</w:t>
      </w:r>
      <w:r>
        <w:rPr>
          <w:rFonts w:hint="eastAsia" w:ascii="宋体" w:hAnsi="宋体" w:eastAsia="宋体" w:cs="宋体"/>
          <w:color w:val="auto"/>
          <w:sz w:val="22"/>
          <w:szCs w:val="22"/>
          <w:highlight w:val="none"/>
          <w:shd w:val="clear" w:color="auto" w:fill="FFFFFF"/>
        </w:rPr>
        <w:t>在线申请获取采购文件（进入“项目采购”应用，在获取采购文件菜单中选择项目，申请获取采购文件）获取采购文件，并于</w:t>
      </w:r>
      <w:r>
        <w:rPr>
          <w:rFonts w:hint="eastAsia" w:ascii="宋体" w:hAnsi="宋体" w:eastAsia="宋体" w:cs="宋体"/>
          <w:color w:val="auto"/>
          <w:sz w:val="22"/>
          <w:szCs w:val="22"/>
          <w:highlight w:val="none"/>
          <w:shd w:val="clear" w:color="auto" w:fill="FFFFFF"/>
          <w:lang w:eastAsia="zh-CN"/>
        </w:rPr>
        <w:t>20</w:t>
      </w:r>
      <w:r>
        <w:rPr>
          <w:rFonts w:hint="eastAsia" w:ascii="宋体" w:hAnsi="宋体" w:cs="宋体"/>
          <w:color w:val="auto"/>
          <w:sz w:val="22"/>
          <w:szCs w:val="22"/>
          <w:highlight w:val="none"/>
          <w:shd w:val="clear" w:color="auto" w:fill="FFFFFF"/>
          <w:lang w:val="en-US" w:eastAsia="zh-CN"/>
        </w:rPr>
        <w:t>25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11</w:t>
      </w:r>
      <w:r>
        <w:rPr>
          <w:rFonts w:hint="eastAsia" w:ascii="宋体" w:hAnsi="宋体" w:eastAsia="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 xml:space="preserve"> 14 </w:t>
      </w:r>
      <w:r>
        <w:rPr>
          <w:rFonts w:hint="eastAsia" w:ascii="宋体" w:hAnsi="宋体" w:eastAsia="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9</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30（北京时间）前递交投标文件。</w:t>
      </w:r>
    </w:p>
    <w:p w14:paraId="6775DA29">
      <w:pPr>
        <w:pStyle w:val="26"/>
        <w:shd w:val="clear" w:color="auto" w:fill="auto"/>
        <w:wordWrap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一、项目基本情况</w:t>
      </w:r>
    </w:p>
    <w:p w14:paraId="47293349">
      <w:pPr>
        <w:pStyle w:val="26"/>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项目编号</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eastAsia="zh-CN"/>
        </w:rPr>
        <w:t>PYCG251021117</w:t>
      </w:r>
    </w:p>
    <w:p w14:paraId="20B651E2">
      <w:pPr>
        <w:pStyle w:val="26"/>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color w:val="auto"/>
          <w:sz w:val="22"/>
          <w:szCs w:val="22"/>
          <w:highlight w:val="none"/>
          <w:shd w:val="clear" w:color="auto" w:fill="FFFFFF"/>
        </w:rPr>
        <w:t>项目名称</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eastAsia="zh-CN"/>
        </w:rPr>
        <w:t>昆鳌协同区F-42地块商业综合体项目招商运营服务项目</w:t>
      </w:r>
    </w:p>
    <w:p w14:paraId="0CAA16BC">
      <w:pPr>
        <w:pStyle w:val="26"/>
        <w:shd w:val="clear" w:color="auto" w:fill="auto"/>
        <w:wordWrap w:val="0"/>
        <w:spacing w:before="0" w:beforeAutospacing="0" w:after="0" w:afterAutospacing="0" w:line="360" w:lineRule="auto"/>
        <w:ind w:firstLine="440"/>
        <w:rPr>
          <w:rFonts w:hint="default" w:ascii="宋体" w:hAnsi="宋体" w:eastAsia="宋体" w:cs="宋体"/>
          <w:color w:val="auto"/>
          <w:sz w:val="22"/>
          <w:szCs w:val="22"/>
          <w:highlight w:val="none"/>
          <w:shd w:val="clear" w:color="auto" w:fill="FFFFFF"/>
          <w:lang w:val="en-US" w:eastAsia="zh-CN"/>
        </w:rPr>
      </w:pPr>
      <w:r>
        <w:rPr>
          <w:rFonts w:hint="eastAsia" w:ascii="宋体" w:hAnsi="宋体" w:eastAsia="宋体" w:cs="宋体"/>
          <w:color w:val="auto"/>
          <w:sz w:val="22"/>
          <w:szCs w:val="22"/>
          <w:highlight w:val="none"/>
          <w:shd w:val="clear" w:color="auto" w:fill="FFFFFF"/>
          <w:lang w:val="en-US" w:eastAsia="zh-CN"/>
        </w:rPr>
        <w:t>预算金额（元）:</w:t>
      </w:r>
      <w:r>
        <w:rPr>
          <w:rFonts w:hint="eastAsia" w:ascii="宋体" w:hAnsi="宋体" w:cs="宋体"/>
          <w:color w:val="auto"/>
          <w:sz w:val="22"/>
          <w:szCs w:val="22"/>
          <w:highlight w:val="none"/>
          <w:shd w:val="clear" w:color="auto" w:fill="FFFFFF"/>
          <w:lang w:val="en-US" w:eastAsia="zh-CN"/>
        </w:rPr>
        <w:t>56600000</w:t>
      </w:r>
    </w:p>
    <w:p w14:paraId="7C675D9A">
      <w:pPr>
        <w:pStyle w:val="26"/>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color w:val="auto"/>
          <w:sz w:val="22"/>
          <w:szCs w:val="22"/>
          <w:highlight w:val="none"/>
          <w:shd w:val="clear" w:color="auto" w:fill="FFFFFF"/>
          <w:lang w:val="en-US" w:eastAsia="zh-CN"/>
        </w:rPr>
        <w:t>最高限价（元）:</w:t>
      </w:r>
      <w:r>
        <w:rPr>
          <w:rFonts w:hint="eastAsia" w:ascii="宋体" w:hAnsi="宋体" w:cs="宋体"/>
          <w:color w:val="auto"/>
          <w:sz w:val="22"/>
          <w:szCs w:val="22"/>
          <w:highlight w:val="none"/>
          <w:shd w:val="clear" w:color="auto" w:fill="FFFFFF"/>
          <w:lang w:val="en-US" w:eastAsia="zh-CN"/>
        </w:rPr>
        <w:t>56600000</w:t>
      </w:r>
    </w:p>
    <w:p w14:paraId="474595BA">
      <w:pPr>
        <w:pStyle w:val="26"/>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color w:val="auto"/>
          <w:sz w:val="22"/>
          <w:szCs w:val="22"/>
          <w:highlight w:val="none"/>
          <w:shd w:val="clear" w:color="auto" w:fill="FFFFFF"/>
        </w:rPr>
        <w:t>采购需求</w:t>
      </w:r>
      <w:r>
        <w:rPr>
          <w:rFonts w:hint="eastAsia" w:ascii="宋体" w:hAnsi="宋体" w:eastAsia="宋体" w:cs="宋体"/>
          <w:color w:val="auto"/>
          <w:sz w:val="22"/>
          <w:szCs w:val="22"/>
          <w:highlight w:val="none"/>
          <w:shd w:val="clear" w:color="auto" w:fill="FFFFFF"/>
          <w:lang w:eastAsia="zh-CN"/>
        </w:rPr>
        <w:t>：</w:t>
      </w:r>
    </w:p>
    <w:p w14:paraId="33A5755D">
      <w:pPr>
        <w:pStyle w:val="26"/>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简要规格描述或项目基本概况介绍、用途</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详见采购文件</w:t>
      </w:r>
    </w:p>
    <w:p w14:paraId="5AB64D55">
      <w:pPr>
        <w:pStyle w:val="26"/>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备注</w:t>
      </w:r>
      <w:r>
        <w:rPr>
          <w:rFonts w:hint="eastAsia" w:ascii="宋体" w:hAnsi="宋体" w:eastAsia="宋体" w:cs="宋体"/>
          <w:color w:val="auto"/>
          <w:sz w:val="22"/>
          <w:szCs w:val="22"/>
          <w:highlight w:val="none"/>
          <w:shd w:val="clear" w:color="auto" w:fill="FFFFFF"/>
          <w:lang w:eastAsia="zh-CN"/>
        </w:rPr>
        <w:t>：</w:t>
      </w:r>
    </w:p>
    <w:p w14:paraId="23874628">
      <w:pPr>
        <w:pStyle w:val="26"/>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color w:val="auto"/>
          <w:sz w:val="22"/>
          <w:szCs w:val="22"/>
          <w:highlight w:val="none"/>
          <w:shd w:val="clear" w:color="auto" w:fill="FFFFFF"/>
        </w:rPr>
        <w:t>合同履约期限</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详见采购文件</w:t>
      </w:r>
    </w:p>
    <w:p w14:paraId="5598E2B9">
      <w:pPr>
        <w:pStyle w:val="26"/>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color w:val="auto"/>
          <w:sz w:val="22"/>
          <w:szCs w:val="22"/>
          <w:highlight w:val="none"/>
          <w:shd w:val="clear" w:color="auto" w:fill="FFFFFF"/>
        </w:rPr>
        <w:t>本项目</w:t>
      </w:r>
      <w:r>
        <w:rPr>
          <w:rFonts w:hint="eastAsia" w:ascii="宋体" w:hAnsi="宋体" w:eastAsia="宋体" w:cs="宋体"/>
          <w:color w:val="auto"/>
          <w:sz w:val="22"/>
          <w:szCs w:val="22"/>
          <w:highlight w:val="none"/>
          <w:shd w:val="clear" w:color="auto" w:fill="FFFFFF"/>
          <w:lang w:val="en-US" w:eastAsia="zh-CN"/>
        </w:rPr>
        <w:t>不</w:t>
      </w:r>
      <w:r>
        <w:rPr>
          <w:rFonts w:hint="eastAsia" w:ascii="宋体" w:hAnsi="宋体" w:eastAsia="宋体" w:cs="宋体"/>
          <w:color w:val="auto"/>
          <w:sz w:val="22"/>
          <w:szCs w:val="22"/>
          <w:highlight w:val="none"/>
          <w:shd w:val="clear" w:color="auto" w:fill="FFFFFF"/>
        </w:rPr>
        <w:t>接受联合体投标。</w:t>
      </w:r>
    </w:p>
    <w:p w14:paraId="59D0E232">
      <w:pPr>
        <w:pStyle w:val="26"/>
        <w:shd w:val="clear" w:color="auto" w:fill="auto"/>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二、申请人的资格要求</w:t>
      </w:r>
    </w:p>
    <w:p w14:paraId="7B7D7942">
      <w:pPr>
        <w:shd w:val="clear" w:color="auto" w:fill="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1.满足《平阳县县属国有企业采购管理办法（试行）》第十四条规定；未被“信用中国”（www.creditchina.gov.cn</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、中国政府采购网（www.ccgp.gov.cn）列入失信被执行人、重大税收违法案件当事人名单、政府采购严重违法失信行为记录名单。</w:t>
      </w:r>
    </w:p>
    <w:p w14:paraId="33C42170">
      <w:pPr>
        <w:shd w:val="clear" w:color="auto" w:fill="auto"/>
        <w:wordWrap w:val="0"/>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2.落实政府采购政策需满足的资格要求</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无</w:t>
      </w:r>
    </w:p>
    <w:p w14:paraId="6E2CF43C">
      <w:pPr>
        <w:shd w:val="clear" w:color="auto" w:fill="auto"/>
        <w:wordWrap w:val="0"/>
        <w:spacing w:line="360" w:lineRule="auto"/>
        <w:ind w:firstLine="440" w:firstLineChars="200"/>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rPr>
        <w:t>3.特定资格要求</w:t>
      </w:r>
      <w:r>
        <w:rPr>
          <w:rFonts w:hint="eastAsia" w:ascii="宋体" w:hAnsi="宋体" w:eastAsia="宋体" w:cs="宋体"/>
          <w:b w:val="0"/>
          <w:bCs w:val="0"/>
          <w:color w:val="auto"/>
          <w:sz w:val="22"/>
          <w:szCs w:val="22"/>
          <w:highlight w:val="none"/>
          <w:lang w:eastAsia="zh-CN"/>
        </w:rPr>
        <w:t>：</w:t>
      </w:r>
      <w:r>
        <w:rPr>
          <w:rFonts w:hint="eastAsia" w:ascii="宋体" w:hAnsi="宋体" w:cs="宋体"/>
          <w:b w:val="0"/>
          <w:bCs w:val="0"/>
          <w:color w:val="auto"/>
          <w:sz w:val="22"/>
          <w:szCs w:val="22"/>
          <w:highlight w:val="none"/>
          <w:lang w:val="en-US" w:eastAsia="zh-CN"/>
        </w:rPr>
        <w:t>业绩要求：投标人在管理的建筑面积不低于3.5万平方米的商业项目业绩不少于1个。（业绩为商业项目委托运营或自营均可。自营的提供产权证明或租赁登记备案证明，以及相应的商业项目营业执照复印件并加盖公章；委托运营管理的提供投标人为被委托人的管理服务合同复印件并加盖公章。）</w:t>
      </w:r>
    </w:p>
    <w:p w14:paraId="0A3A190A">
      <w:pPr>
        <w:pStyle w:val="26"/>
        <w:shd w:val="clear" w:color="auto" w:fill="auto"/>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三、获取采购文件</w:t>
      </w:r>
    </w:p>
    <w:p w14:paraId="50281ADA">
      <w:pPr>
        <w:pStyle w:val="26"/>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时间</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10</w:t>
      </w:r>
      <w:r>
        <w:rPr>
          <w:rFonts w:hint="eastAsia" w:ascii="宋体" w:hAnsi="宋体" w:eastAsia="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21</w:t>
      </w:r>
      <w:r>
        <w:rPr>
          <w:rFonts w:hint="eastAsia" w:ascii="宋体" w:hAnsi="宋体" w:eastAsia="宋体" w:cs="宋体"/>
          <w:color w:val="auto"/>
          <w:sz w:val="22"/>
          <w:szCs w:val="22"/>
          <w:highlight w:val="none"/>
          <w:shd w:val="clear" w:color="auto" w:fill="FFFFFF"/>
        </w:rPr>
        <w:t>日至</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11</w:t>
      </w:r>
      <w:r>
        <w:rPr>
          <w:rFonts w:hint="eastAsia" w:ascii="宋体" w:hAnsi="宋体" w:eastAsia="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 xml:space="preserve"> 14 </w:t>
      </w:r>
      <w:r>
        <w:rPr>
          <w:rFonts w:hint="eastAsia" w:ascii="宋体" w:hAnsi="宋体" w:eastAsia="宋体" w:cs="宋体"/>
          <w:color w:val="auto"/>
          <w:sz w:val="22"/>
          <w:szCs w:val="22"/>
          <w:highlight w:val="none"/>
          <w:shd w:val="clear" w:color="auto" w:fill="FFFFFF"/>
        </w:rPr>
        <w:t>日，每天上午00:00至12:00，下午12:00至23:59（北京时间，线上获取法定节假日均可，线下获取文件法定节假日除外）</w:t>
      </w:r>
    </w:p>
    <w:p w14:paraId="0CD6839C">
      <w:pPr>
        <w:pStyle w:val="26"/>
        <w:shd w:val="clear" w:color="auto" w:fill="auto"/>
        <w:wordWrap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eastAsia="宋体" w:cs="宋体"/>
          <w:color w:val="auto"/>
          <w:sz w:val="22"/>
          <w:szCs w:val="22"/>
          <w:highlight w:val="none"/>
          <w:shd w:val="clear" w:color="auto" w:fill="FFFFFF"/>
        </w:rPr>
        <w:t>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乐采云平台</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https://www.lecaiyun.com/</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w:t>
      </w:r>
    </w:p>
    <w:p w14:paraId="64844021">
      <w:pPr>
        <w:pStyle w:val="26"/>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方式</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供应商登录</w:t>
      </w:r>
      <w:r>
        <w:rPr>
          <w:rFonts w:hint="eastAsia" w:ascii="宋体" w:hAnsi="宋体" w:eastAsia="宋体" w:cs="宋体"/>
          <w:color w:val="auto"/>
          <w:sz w:val="22"/>
          <w:szCs w:val="22"/>
          <w:highlight w:val="none"/>
          <w:shd w:val="clear" w:color="auto" w:fill="FFFFFF"/>
          <w:lang w:eastAsia="zh-CN"/>
        </w:rPr>
        <w:t>乐采云平台https://www.lecaiyun.com/</w:t>
      </w:r>
      <w:r>
        <w:rPr>
          <w:rFonts w:hint="eastAsia" w:ascii="宋体" w:hAnsi="宋体" w:eastAsia="宋体" w:cs="宋体"/>
          <w:color w:val="auto"/>
          <w:sz w:val="22"/>
          <w:szCs w:val="22"/>
          <w:highlight w:val="none"/>
          <w:shd w:val="clear" w:color="auto" w:fill="FFFFFF"/>
        </w:rPr>
        <w:t>在线申请获取采购文件（进入“项目采购”应用，在获取采购文件菜单中选择项目，申请获取采购文件）；</w:t>
      </w:r>
    </w:p>
    <w:p w14:paraId="5A81E9FE">
      <w:pPr>
        <w:pStyle w:val="26"/>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售价（元）</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500元，开标时收取。</w:t>
      </w:r>
    </w:p>
    <w:p w14:paraId="74F02A46">
      <w:pPr>
        <w:pStyle w:val="26"/>
        <w:shd w:val="clear" w:color="auto" w:fill="auto"/>
        <w:wordWrap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四、提交投标文件截止时间、开标时间和地点</w:t>
      </w:r>
    </w:p>
    <w:p w14:paraId="1C183271">
      <w:pPr>
        <w:pStyle w:val="26"/>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提交投标文件截止时间</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11</w:t>
      </w:r>
      <w:r>
        <w:rPr>
          <w:rFonts w:hint="eastAsia" w:ascii="宋体" w:hAnsi="宋体" w:eastAsia="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 xml:space="preserve"> 14 </w:t>
      </w:r>
      <w:r>
        <w:rPr>
          <w:rFonts w:hint="eastAsia" w:ascii="宋体" w:hAnsi="宋体" w:eastAsia="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9</w:t>
      </w:r>
      <w:r>
        <w:rPr>
          <w:rFonts w:hint="eastAsia" w:ascii="宋体" w:hAnsi="宋体" w:eastAsia="宋体" w:cs="宋体"/>
          <w:color w:val="auto"/>
          <w:sz w:val="22"/>
          <w:szCs w:val="22"/>
          <w:highlight w:val="none"/>
          <w:shd w:val="clear" w:color="auto" w:fill="FFFFFF"/>
        </w:rPr>
        <w:t>:30（北京时间）</w:t>
      </w:r>
    </w:p>
    <w:p w14:paraId="4026CAC9">
      <w:pPr>
        <w:pStyle w:val="26"/>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投标地点（网址）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乐采云</w:t>
      </w:r>
      <w:r>
        <w:rPr>
          <w:rFonts w:hint="eastAsia" w:ascii="宋体" w:hAnsi="宋体" w:eastAsia="宋体" w:cs="宋体"/>
          <w:color w:val="auto"/>
          <w:sz w:val="22"/>
          <w:szCs w:val="22"/>
          <w:highlight w:val="none"/>
          <w:shd w:val="clear" w:color="auto" w:fill="FFFFFF"/>
        </w:rPr>
        <w:t xml:space="preserve">平台在线投标 </w:t>
      </w:r>
    </w:p>
    <w:p w14:paraId="345D338B">
      <w:pPr>
        <w:pStyle w:val="26"/>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开标时间</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11</w:t>
      </w:r>
      <w:r>
        <w:rPr>
          <w:rFonts w:hint="eastAsia" w:ascii="宋体" w:hAnsi="宋体" w:eastAsia="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 xml:space="preserve"> 14 </w:t>
      </w:r>
      <w:r>
        <w:rPr>
          <w:rFonts w:hint="eastAsia" w:ascii="宋体" w:hAnsi="宋体" w:eastAsia="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9</w:t>
      </w:r>
      <w:r>
        <w:rPr>
          <w:rFonts w:hint="eastAsia" w:ascii="宋体" w:hAnsi="宋体" w:eastAsia="宋体" w:cs="宋体"/>
          <w:color w:val="auto"/>
          <w:sz w:val="22"/>
          <w:szCs w:val="22"/>
          <w:highlight w:val="none"/>
          <w:shd w:val="clear" w:color="auto" w:fill="FFFFFF"/>
        </w:rPr>
        <w:t>:30（北京时间）</w:t>
      </w:r>
    </w:p>
    <w:p w14:paraId="6CB2D1F8">
      <w:pPr>
        <w:pStyle w:val="26"/>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乐采云</w:t>
      </w:r>
      <w:r>
        <w:rPr>
          <w:rFonts w:hint="eastAsia" w:ascii="宋体" w:hAnsi="宋体" w:eastAsia="宋体" w:cs="宋体"/>
          <w:color w:val="auto"/>
          <w:sz w:val="22"/>
          <w:szCs w:val="22"/>
          <w:highlight w:val="none"/>
          <w:shd w:val="clear" w:color="auto" w:fill="FFFFFF"/>
        </w:rPr>
        <w:t>平台在线投标</w:t>
      </w:r>
    </w:p>
    <w:p w14:paraId="20BDE519">
      <w:pPr>
        <w:pStyle w:val="26"/>
        <w:shd w:val="clear" w:color="auto" w:fill="auto"/>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五、公告期限</w:t>
      </w:r>
      <w:r>
        <w:rPr>
          <w:rFonts w:hint="eastAsia" w:ascii="宋体" w:hAnsi="宋体" w:cs="宋体"/>
          <w:b/>
          <w:color w:val="auto"/>
          <w:sz w:val="22"/>
          <w:szCs w:val="22"/>
          <w:highlight w:val="none"/>
          <w:shd w:val="clear" w:color="auto" w:fill="FFFFFF"/>
          <w:lang w:eastAsia="zh-CN"/>
        </w:rPr>
        <w:t>：</w:t>
      </w:r>
      <w:r>
        <w:rPr>
          <w:rFonts w:hint="eastAsia" w:ascii="宋体" w:hAnsi="宋体" w:eastAsia="宋体" w:cs="宋体"/>
          <w:b/>
          <w:color w:val="auto"/>
          <w:sz w:val="22"/>
          <w:szCs w:val="22"/>
          <w:highlight w:val="none"/>
          <w:shd w:val="clear" w:color="auto" w:fill="FFFFFF"/>
        </w:rPr>
        <w:t>自本公告发布之日起5个工作日</w:t>
      </w:r>
    </w:p>
    <w:p w14:paraId="67402010">
      <w:pPr>
        <w:pStyle w:val="26"/>
        <w:shd w:val="clear" w:color="auto" w:fill="auto"/>
        <w:wordWrap w:val="0"/>
        <w:spacing w:before="0" w:beforeAutospacing="0" w:after="0" w:afterAutospacing="0" w:line="360" w:lineRule="auto"/>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b/>
          <w:color w:val="auto"/>
          <w:sz w:val="22"/>
          <w:szCs w:val="22"/>
          <w:highlight w:val="none"/>
          <w:shd w:val="clear" w:color="auto" w:fill="FFFFFF"/>
        </w:rPr>
        <w:t>六、投标保证金</w:t>
      </w:r>
      <w:r>
        <w:rPr>
          <w:rFonts w:hint="eastAsia" w:ascii="宋体" w:hAnsi="宋体" w:eastAsia="宋体" w:cs="宋体"/>
          <w:color w:val="auto"/>
          <w:sz w:val="22"/>
          <w:szCs w:val="22"/>
          <w:highlight w:val="none"/>
          <w:shd w:val="clear" w:color="auto" w:fill="FFFFFF"/>
          <w:lang w:eastAsia="zh-CN"/>
        </w:rPr>
        <w:t>：</w:t>
      </w:r>
    </w:p>
    <w:p w14:paraId="098AB7DB">
      <w:pPr>
        <w:pStyle w:val="26"/>
        <w:shd w:val="clear" w:color="auto" w:fill="auto"/>
        <w:wordWrap w:val="0"/>
        <w:spacing w:before="0" w:beforeAutospacing="0" w:after="0" w:afterAutospacing="0" w:line="360" w:lineRule="auto"/>
        <w:ind w:firstLine="442" w:firstLineChars="200"/>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本项目无需递交投标保证金。</w:t>
      </w:r>
    </w:p>
    <w:p w14:paraId="3C8E740E">
      <w:pPr>
        <w:pStyle w:val="26"/>
        <w:shd w:val="clear" w:color="auto" w:fill="auto"/>
        <w:wordWrap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七、其他补充事宜</w:t>
      </w:r>
    </w:p>
    <w:p w14:paraId="29758D9D">
      <w:pPr>
        <w:shd w:val="clear" w:color="auto" w:fill="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1.质疑投诉</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w:t>
      </w:r>
    </w:p>
    <w:p w14:paraId="2D6CDBD3">
      <w:pPr>
        <w:shd w:val="clear" w:color="auto" w:fill="auto"/>
        <w:wordWrap w:val="0"/>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 </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w:t>
      </w:r>
      <w:r>
        <w:rPr>
          <w:rFonts w:hint="eastAsia" w:ascii="宋体" w:hAnsi="宋体" w:eastAsia="宋体" w:cs="宋体"/>
          <w:b/>
          <w:bCs/>
          <w:color w:val="auto"/>
          <w:sz w:val="22"/>
          <w:szCs w:val="22"/>
          <w:highlight w:val="none"/>
        </w:rPr>
        <w:t>本项目属国企采购项目，平阳县公共资源交易中心只负责在温州市公共资源交易网平阳县分网上发布公告，提供开标评标场地，不承担采购文件审核和交易过程监管职责。对采购文件或开标评标过程有疑义的，向采购单位或代理机构质疑；对质疑答复、合同履约不满意的，向监管部门投诉。</w:t>
      </w:r>
    </w:p>
    <w:p w14:paraId="04137BD6">
      <w:pPr>
        <w:pStyle w:val="26"/>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3.其他事项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1）本项目通过“</w:t>
      </w:r>
      <w:r>
        <w:rPr>
          <w:rFonts w:hint="eastAsia" w:ascii="宋体" w:hAnsi="宋体" w:eastAsia="宋体" w:cs="宋体"/>
          <w:color w:val="auto"/>
          <w:sz w:val="22"/>
          <w:szCs w:val="22"/>
          <w:highlight w:val="none"/>
          <w:lang w:eastAsia="zh-CN"/>
        </w:rPr>
        <w:t>乐采云平台（https://www.lecaiyun.com/）</w:t>
      </w:r>
      <w:r>
        <w:rPr>
          <w:rFonts w:hint="eastAsia" w:ascii="宋体" w:hAnsi="宋体" w:eastAsia="宋体" w:cs="宋体"/>
          <w:color w:val="auto"/>
          <w:sz w:val="22"/>
          <w:szCs w:val="22"/>
          <w:highlight w:val="none"/>
        </w:rPr>
        <w:t>”实行在线投标响应（电子投标），供应商应先安装“</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”，并按照本采购文件和“</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”的要求，通过“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”编制并加密投标文件。供应商未按规定加密的投标文件，“</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”将予以拒收。 “</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”请自行前往“</w:t>
      </w:r>
      <w:r>
        <w:rPr>
          <w:rFonts w:hint="eastAsia" w:ascii="宋体" w:hAnsi="宋体" w:eastAsia="宋体" w:cs="宋体"/>
          <w:color w:val="auto"/>
          <w:sz w:val="22"/>
          <w:szCs w:val="22"/>
          <w:highlight w:val="none"/>
          <w:lang w:val="en-US" w:eastAsia="zh-CN"/>
        </w:rPr>
        <w:t>乐采云官网</w:t>
      </w:r>
      <w:r>
        <w:rPr>
          <w:rFonts w:hint="eastAsia" w:ascii="宋体" w:hAnsi="宋体" w:eastAsia="宋体" w:cs="宋体"/>
          <w:color w:val="auto"/>
          <w:sz w:val="22"/>
          <w:szCs w:val="22"/>
          <w:highlight w:val="none"/>
          <w:lang w:eastAsia="zh-CN"/>
        </w:rPr>
        <w:t>（https://www.lecaiyun.com/）</w:t>
      </w:r>
      <w:r>
        <w:rPr>
          <w:rFonts w:hint="eastAsia" w:ascii="宋体" w:hAnsi="宋体" w:eastAsia="宋体" w:cs="宋体"/>
          <w:color w:val="auto"/>
          <w:sz w:val="22"/>
          <w:szCs w:val="22"/>
          <w:highlight w:val="none"/>
          <w:lang w:val="en-US" w:eastAsia="zh-CN"/>
        </w:rPr>
        <w:t>-投标客户端</w:t>
      </w:r>
      <w:r>
        <w:rPr>
          <w:rFonts w:hint="eastAsia" w:ascii="宋体" w:hAnsi="宋体" w:eastAsia="宋体" w:cs="宋体"/>
          <w:color w:val="auto"/>
          <w:sz w:val="22"/>
          <w:szCs w:val="22"/>
          <w:highlight w:val="none"/>
        </w:rPr>
        <w:t>”进行下载；电子投标具体操作流程详见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乐采云官网-操作手册”</w:t>
      </w:r>
      <w:r>
        <w:rPr>
          <w:rFonts w:hint="eastAsia" w:ascii="宋体" w:hAnsi="宋体" w:eastAsia="宋体" w:cs="宋体"/>
          <w:color w:val="auto"/>
          <w:sz w:val="22"/>
          <w:szCs w:val="22"/>
          <w:highlight w:val="none"/>
        </w:rPr>
        <w:t>；通过“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”参与在线投标时如遇平台技术问题详询</w:t>
      </w:r>
      <w:r>
        <w:rPr>
          <w:rFonts w:hint="eastAsia" w:ascii="宋体" w:hAnsi="宋体" w:eastAsia="宋体" w:cs="宋体"/>
          <w:color w:val="auto"/>
          <w:sz w:val="22"/>
          <w:szCs w:val="22"/>
          <w:highlight w:val="none"/>
          <w:lang w:eastAsia="zh-CN"/>
        </w:rPr>
        <w:t>95763</w:t>
      </w:r>
      <w:r>
        <w:rPr>
          <w:rFonts w:hint="eastAsia" w:ascii="宋体" w:hAnsi="宋体" w:eastAsia="宋体" w:cs="宋体"/>
          <w:color w:val="auto"/>
          <w:sz w:val="22"/>
          <w:szCs w:val="22"/>
          <w:highlight w:val="none"/>
        </w:rPr>
        <w:t>。 2）为确保网上操作合法、有效和安全，投标供应商应当在投标截止时间前完成在“</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”的身份认证，确保在电子投标过程中能够对相关数据电文进行加密和使用电子签章。使用“</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”需要提前申领CA数字证书，申领流程请自行前往“</w:t>
      </w:r>
      <w:r>
        <w:rPr>
          <w:rFonts w:hint="eastAsia" w:ascii="宋体" w:hAnsi="宋体" w:eastAsia="宋体" w:cs="宋体"/>
          <w:color w:val="auto"/>
          <w:sz w:val="22"/>
          <w:szCs w:val="22"/>
          <w:highlight w:val="none"/>
          <w:lang w:val="en-US" w:eastAsia="zh-CN"/>
        </w:rPr>
        <w:t>乐采云-操作手册-注册与系统管理-CA管理</w:t>
      </w:r>
      <w:r>
        <w:rPr>
          <w:rFonts w:hint="eastAsia" w:ascii="宋体" w:hAnsi="宋体" w:eastAsia="宋体" w:cs="宋体"/>
          <w:color w:val="auto"/>
          <w:sz w:val="22"/>
          <w:szCs w:val="22"/>
          <w:highlight w:val="none"/>
        </w:rPr>
        <w:t>”进行查阅；（供应商应在开标前完成CA数字证书办理。 3）投标供应商应当在投标截止时间前，将生成的“电子加密投标文件”上传递交至“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”。投标截止时间以后上传递交的投标文件将被“</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”拒收。 4）投标供应商在“</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”完成“电子加密投标文件”的上传递交后，还可以（邮寄形式</w:t>
      </w:r>
      <w:r>
        <w:rPr>
          <w:rFonts w:hint="eastAsia" w:ascii="宋体" w:hAnsi="宋体" w:eastAsia="宋体" w:cs="宋体"/>
          <w:color w:val="auto"/>
          <w:sz w:val="22"/>
          <w:szCs w:val="22"/>
          <w:highlight w:val="none"/>
          <w:lang w:val="en-US" w:eastAsia="zh-CN"/>
        </w:rPr>
        <w:t>或邮件形式</w:t>
      </w:r>
      <w:r>
        <w:rPr>
          <w:rFonts w:hint="eastAsia" w:ascii="宋体" w:hAnsi="宋体" w:eastAsia="宋体" w:cs="宋体"/>
          <w:color w:val="auto"/>
          <w:sz w:val="22"/>
          <w:szCs w:val="22"/>
          <w:highlight w:val="none"/>
        </w:rPr>
        <w:t>）在投标截止时间前递交“备份投标文件”，邮寄形式“备份投标文件”应当密封包装并在包装上标注投标项目名称、投标单位名称并加盖公章。 5）通过“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”上传递交的“电子加密投标文件”无法按时解密，投标供应商递交了备份投标文件的，以备份投标文件为依据，否则视为投标文件撤回。通过“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”上传递交的“电子加密投标文件”已按时解密的，“备份投标文件”自动失效。投标供应商仅递交备份投标文件的，投标无效。6）供应商在法定质疑期内一次性提出针对同一采购程序环节的质疑。</w:t>
      </w:r>
    </w:p>
    <w:p w14:paraId="254ECBCC">
      <w:pPr>
        <w:pStyle w:val="26"/>
        <w:shd w:val="clear" w:color="auto" w:fill="auto"/>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lang w:eastAsia="zh-CN"/>
        </w:rPr>
      </w:pPr>
      <w:r>
        <w:rPr>
          <w:rFonts w:hint="eastAsia" w:ascii="宋体" w:hAnsi="宋体" w:eastAsia="宋体" w:cs="宋体"/>
          <w:b/>
          <w:color w:val="auto"/>
          <w:sz w:val="22"/>
          <w:szCs w:val="22"/>
          <w:highlight w:val="none"/>
          <w:shd w:val="clear" w:color="auto" w:fill="FFFFFF"/>
        </w:rPr>
        <w:t>八、对本次采购提出询问、质疑、投诉，请按以下方式联系</w:t>
      </w:r>
      <w:r>
        <w:rPr>
          <w:rFonts w:hint="eastAsia" w:ascii="宋体" w:hAnsi="宋体" w:eastAsia="宋体" w:cs="宋体"/>
          <w:b/>
          <w:color w:val="auto"/>
          <w:sz w:val="22"/>
          <w:szCs w:val="22"/>
          <w:highlight w:val="none"/>
          <w:shd w:val="clear" w:color="auto" w:fill="FFFFFF"/>
          <w:lang w:eastAsia="zh-CN"/>
        </w:rPr>
        <w:t>：</w:t>
      </w:r>
    </w:p>
    <w:bookmarkEnd w:id="0"/>
    <w:bookmarkEnd w:id="1"/>
    <w:bookmarkEnd w:id="2"/>
    <w:p w14:paraId="15CA97F8">
      <w:pPr>
        <w:widowControl/>
        <w:shd w:val="clear" w:color="auto" w:fill="auto"/>
        <w:wordWrap w:val="0"/>
        <w:snapToGrid w:val="0"/>
        <w:spacing w:line="360" w:lineRule="auto"/>
        <w:ind w:firstLine="431" w:firstLineChars="196"/>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1</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rPr>
        <w:t>采购人</w:t>
      </w:r>
      <w:r>
        <w:rPr>
          <w:rFonts w:hint="eastAsia" w:ascii="宋体" w:hAnsi="宋体" w:eastAsia="宋体" w:cs="宋体"/>
          <w:color w:val="auto"/>
          <w:kern w:val="0"/>
          <w:sz w:val="22"/>
          <w:szCs w:val="22"/>
          <w:highlight w:val="none"/>
          <w:lang w:eastAsia="zh-CN"/>
        </w:rPr>
        <w:t>：平阳县城发城市运营管理有限公司</w:t>
      </w:r>
    </w:p>
    <w:p w14:paraId="55359EBB">
      <w:pPr>
        <w:widowControl/>
        <w:shd w:val="clear" w:color="auto" w:fill="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采购人地址</w:t>
      </w:r>
      <w:r>
        <w:rPr>
          <w:rFonts w:hint="eastAsia" w:ascii="宋体" w:hAnsi="宋体" w:eastAsia="宋体" w:cs="宋体"/>
          <w:color w:val="auto"/>
          <w:kern w:val="0"/>
          <w:sz w:val="22"/>
          <w:szCs w:val="22"/>
          <w:highlight w:val="none"/>
          <w:lang w:eastAsia="zh-CN"/>
        </w:rPr>
        <w:t>：平阳县昆阳镇飞鳌大道与状元路交叉口</w:t>
      </w:r>
    </w:p>
    <w:p w14:paraId="6BDFF2B5">
      <w:pPr>
        <w:widowControl/>
        <w:shd w:val="clear" w:color="auto" w:fill="auto"/>
        <w:wordWrap w:val="0"/>
        <w:snapToGrid w:val="0"/>
        <w:spacing w:line="360" w:lineRule="auto"/>
        <w:ind w:left="430" w:leftChars="205"/>
        <w:jc w:val="lef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联 系 人</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林先生</w:t>
      </w:r>
    </w:p>
    <w:p w14:paraId="1C4079C5">
      <w:pPr>
        <w:widowControl/>
        <w:shd w:val="clear" w:color="auto" w:fill="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联系电话</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0577-58105301</w:t>
      </w:r>
    </w:p>
    <w:p w14:paraId="3DD358C0">
      <w:pPr>
        <w:widowControl/>
        <w:shd w:val="clear" w:color="auto" w:fill="auto"/>
        <w:wordWrap w:val="0"/>
        <w:snapToGrid w:val="0"/>
        <w:spacing w:line="360" w:lineRule="auto"/>
        <w:ind w:firstLine="431" w:firstLineChars="196"/>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采购代理机构名称</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浙江之信工程项目管理有限公司</w:t>
      </w:r>
    </w:p>
    <w:p w14:paraId="14175516">
      <w:pPr>
        <w:widowControl/>
        <w:numPr>
          <w:ilvl w:val="0"/>
          <w:numId w:val="0"/>
        </w:numPr>
        <w:shd w:val="clear" w:color="auto" w:fill="auto"/>
        <w:wordWrap w:val="0"/>
        <w:snapToGrid w:val="0"/>
        <w:spacing w:line="360" w:lineRule="auto"/>
        <w:ind w:firstLine="440" w:firstLineChars="20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地址</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平阳县鳌江镇蓝田路昆仑公馆8幢商铺109号</w:t>
      </w:r>
    </w:p>
    <w:p w14:paraId="033FDB38">
      <w:pPr>
        <w:widowControl/>
        <w:shd w:val="clear" w:color="auto" w:fill="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联系人</w:t>
      </w:r>
      <w:bookmarkStart w:id="3" w:name="B38_联系人"/>
      <w:bookmarkEnd w:id="3"/>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施先生</w:t>
      </w:r>
    </w:p>
    <w:p w14:paraId="07576F82">
      <w:pPr>
        <w:widowControl/>
        <w:shd w:val="clear" w:color="auto" w:fill="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联系电话</w:t>
      </w:r>
      <w:r>
        <w:rPr>
          <w:rFonts w:hint="eastAsia" w:ascii="宋体" w:hAnsi="宋体" w:eastAsia="宋体" w:cs="宋体"/>
          <w:color w:val="auto"/>
          <w:kern w:val="0"/>
          <w:sz w:val="22"/>
          <w:szCs w:val="22"/>
          <w:highlight w:val="none"/>
          <w:lang w:eastAsia="zh-CN"/>
        </w:rPr>
        <w:t>：0577-63718111</w:t>
      </w:r>
    </w:p>
    <w:p w14:paraId="4A77C342">
      <w:pPr>
        <w:widowControl/>
        <w:shd w:val="clear" w:color="auto" w:fill="auto"/>
        <w:wordWrap w:val="0"/>
        <w:snapToGrid w:val="0"/>
        <w:spacing w:line="360" w:lineRule="auto"/>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rPr>
        <w:t>同级采购监督管理部门名称</w:t>
      </w:r>
      <w:r>
        <w:rPr>
          <w:rFonts w:hint="eastAsia" w:ascii="宋体" w:hAnsi="宋体" w:eastAsia="宋体" w:cs="宋体"/>
          <w:color w:val="auto"/>
          <w:kern w:val="0"/>
          <w:sz w:val="22"/>
          <w:szCs w:val="22"/>
          <w:highlight w:val="none"/>
          <w:lang w:eastAsia="zh-CN"/>
        </w:rPr>
        <w:t>：平阳县城发城市运营管理有限公司</w:t>
      </w:r>
      <w:r>
        <w:rPr>
          <w:rFonts w:hint="eastAsia" w:ascii="宋体" w:hAnsi="宋体" w:eastAsia="宋体" w:cs="宋体"/>
          <w:color w:val="auto"/>
          <w:kern w:val="0"/>
          <w:sz w:val="22"/>
          <w:szCs w:val="22"/>
          <w:highlight w:val="none"/>
          <w:lang w:val="en-US" w:eastAsia="zh-CN"/>
        </w:rPr>
        <w:t>纪检监察室</w:t>
      </w:r>
    </w:p>
    <w:p w14:paraId="23BA11F7">
      <w:pPr>
        <w:widowControl/>
        <w:shd w:val="clear" w:color="auto" w:fill="auto"/>
        <w:wordWrap w:val="0"/>
        <w:snapToGrid w:val="0"/>
        <w:spacing w:line="360" w:lineRule="auto"/>
        <w:ind w:left="430" w:leftChars="205"/>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联系人</w:t>
      </w:r>
      <w:r>
        <w:rPr>
          <w:rFonts w:hint="eastAsia" w:ascii="宋体" w:hAnsi="宋体" w:eastAsia="宋体" w:cs="宋体"/>
          <w:color w:val="auto"/>
          <w:kern w:val="0"/>
          <w:sz w:val="22"/>
          <w:szCs w:val="22"/>
          <w:highlight w:val="none"/>
          <w:lang w:eastAsia="zh-CN"/>
        </w:rPr>
        <w:t>：潘先生  陈先生</w:t>
      </w:r>
    </w:p>
    <w:p w14:paraId="74192670">
      <w:pPr>
        <w:widowControl/>
        <w:shd w:val="clear" w:color="auto" w:fill="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监督投诉电话</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0577-58193517</w:t>
      </w:r>
    </w:p>
    <w:p w14:paraId="755B7BBE">
      <w:pPr>
        <w:widowControl/>
        <w:shd w:val="clear" w:color="auto" w:fill="auto"/>
        <w:wordWrap w:val="0"/>
        <w:snapToGrid w:val="0"/>
        <w:spacing w:line="360" w:lineRule="auto"/>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地 址</w:t>
      </w:r>
      <w:r>
        <w:rPr>
          <w:rFonts w:hint="eastAsia" w:ascii="宋体" w:hAnsi="宋体" w:eastAsia="宋体" w:cs="宋体"/>
          <w:color w:val="auto"/>
          <w:kern w:val="0"/>
          <w:sz w:val="22"/>
          <w:szCs w:val="22"/>
          <w:highlight w:val="none"/>
          <w:lang w:eastAsia="zh-CN"/>
        </w:rPr>
        <w:t>：平阳县昆阳镇飞鳌大道与状元路交叉口</w:t>
      </w:r>
    </w:p>
    <w:p w14:paraId="5D78D46E">
      <w:pPr>
        <w:keepNext w:val="0"/>
        <w:keepLines w:val="0"/>
        <w:pageBreakBefore w:val="0"/>
        <w:widowControl/>
        <w:shd w:val="clear" w:color="auto" w:fill="auto"/>
        <w:kinsoku/>
        <w:wordWrap w:val="0"/>
        <w:overflowPunct/>
        <w:topLinePunct w:val="0"/>
        <w:autoSpaceDE/>
        <w:autoSpaceDN/>
        <w:bidi w:val="0"/>
        <w:snapToGrid w:val="0"/>
        <w:spacing w:line="360" w:lineRule="auto"/>
        <w:ind w:left="430" w:leftChars="205"/>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color w:val="auto"/>
          <w:kern w:val="0"/>
          <w:sz w:val="22"/>
          <w:szCs w:val="22"/>
          <w:highlight w:val="none"/>
        </w:rPr>
        <w:br w:type="page"/>
      </w:r>
      <w:r>
        <w:rPr>
          <w:rFonts w:hint="eastAsia" w:ascii="宋体" w:hAnsi="宋体" w:eastAsia="宋体" w:cs="宋体"/>
          <w:b/>
          <w:bCs/>
          <w:color w:val="auto"/>
          <w:sz w:val="36"/>
          <w:szCs w:val="36"/>
          <w:highlight w:val="none"/>
        </w:rPr>
        <w:t xml:space="preserve">投 标 通 知 </w:t>
      </w: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rPr>
        <w:t>邀 请</w:t>
      </w: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rPr>
        <w:t xml:space="preserve"> 书</w:t>
      </w:r>
    </w:p>
    <w:p w14:paraId="7D4A9B59">
      <w:pPr>
        <w:keepNext w:val="0"/>
        <w:keepLines w:val="0"/>
        <w:pageBreakBefore w:val="0"/>
        <w:shd w:val="clear" w:color="auto" w:fill="auto"/>
        <w:kinsoku/>
        <w:wordWrap w:val="0"/>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浙江之信工程项目管理有限公司</w:t>
      </w:r>
      <w:r>
        <w:rPr>
          <w:rFonts w:hint="eastAsia" w:ascii="宋体" w:hAnsi="宋体" w:eastAsia="宋体" w:cs="宋体"/>
          <w:color w:val="auto"/>
          <w:kern w:val="0"/>
          <w:sz w:val="22"/>
          <w:szCs w:val="22"/>
          <w:highlight w:val="none"/>
        </w:rPr>
        <w:t>对</w:t>
      </w:r>
      <w:r>
        <w:rPr>
          <w:rFonts w:hint="eastAsia" w:ascii="宋体" w:hAnsi="宋体" w:cs="宋体"/>
          <w:color w:val="auto"/>
          <w:sz w:val="22"/>
          <w:szCs w:val="22"/>
          <w:highlight w:val="none"/>
          <w:shd w:val="clear" w:color="auto" w:fill="FFFFFF"/>
          <w:lang w:eastAsia="zh-CN"/>
        </w:rPr>
        <w:t>昆鳌协同区F-42地块商业综合体项目招商运营服务项目</w:t>
      </w:r>
      <w:r>
        <w:rPr>
          <w:rFonts w:hint="eastAsia" w:ascii="宋体" w:hAnsi="宋体" w:eastAsia="宋体" w:cs="宋体"/>
          <w:color w:val="auto"/>
          <w:kern w:val="0"/>
          <w:sz w:val="22"/>
          <w:szCs w:val="22"/>
          <w:highlight w:val="none"/>
        </w:rPr>
        <w:t>进行公开招标，特通知贵公司（企业）前来投标。并请按采购文件的要求认真准备好投标文件，按时前来投标。</w:t>
      </w:r>
    </w:p>
    <w:tbl>
      <w:tblPr>
        <w:tblStyle w:val="28"/>
        <w:tblW w:w="99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42"/>
        <w:gridCol w:w="1553"/>
        <w:gridCol w:w="7533"/>
      </w:tblGrid>
      <w:tr w14:paraId="1F0B62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158EE07">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1553" w:type="dxa"/>
            <w:noWrap w:val="0"/>
            <w:vAlign w:val="center"/>
          </w:tcPr>
          <w:p w14:paraId="62414D4F">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内容</w:t>
            </w:r>
          </w:p>
        </w:tc>
        <w:tc>
          <w:tcPr>
            <w:tcW w:w="7533" w:type="dxa"/>
            <w:noWrap w:val="0"/>
            <w:vAlign w:val="center"/>
          </w:tcPr>
          <w:p w14:paraId="3156D211">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说明与要求</w:t>
            </w:r>
          </w:p>
        </w:tc>
      </w:tr>
      <w:tr w14:paraId="23709A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1D59CFA4">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3F7E429D">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7533" w:type="dxa"/>
            <w:noWrap w:val="0"/>
            <w:vAlign w:val="center"/>
          </w:tcPr>
          <w:p w14:paraId="27637535">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shd w:val="clear" w:color="auto" w:fill="FFFFFF"/>
                <w:lang w:eastAsia="zh-CN"/>
              </w:rPr>
              <w:t>昆鳌协同区F-42地块商业综合体项目招商运营服务项目</w:t>
            </w:r>
          </w:p>
        </w:tc>
      </w:tr>
      <w:tr w14:paraId="043950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483A497">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364BDBD1">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w:t>
            </w:r>
          </w:p>
        </w:tc>
        <w:tc>
          <w:tcPr>
            <w:tcW w:w="7533" w:type="dxa"/>
            <w:noWrap w:val="0"/>
            <w:vAlign w:val="center"/>
          </w:tcPr>
          <w:p w14:paraId="63CBC427">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shd w:val="clear" w:color="auto" w:fill="FFFFFF"/>
                <w:lang w:eastAsia="zh-CN"/>
              </w:rPr>
              <w:t>PYCG251021117</w:t>
            </w:r>
          </w:p>
        </w:tc>
      </w:tr>
      <w:tr w14:paraId="0B9D4E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42" w:type="dxa"/>
            <w:noWrap w:val="0"/>
            <w:vAlign w:val="center"/>
          </w:tcPr>
          <w:p w14:paraId="7D93D778">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6A803159">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资金来源</w:t>
            </w:r>
          </w:p>
        </w:tc>
        <w:tc>
          <w:tcPr>
            <w:tcW w:w="7533" w:type="dxa"/>
            <w:noWrap w:val="0"/>
            <w:vAlign w:val="center"/>
          </w:tcPr>
          <w:p w14:paraId="5040B70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自筹</w:t>
            </w:r>
          </w:p>
        </w:tc>
      </w:tr>
      <w:tr w14:paraId="01FBB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C351D13">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10C419EF">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采购预算</w:t>
            </w:r>
          </w:p>
          <w:p w14:paraId="268C2479">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（最高限价）</w:t>
            </w:r>
          </w:p>
        </w:tc>
        <w:tc>
          <w:tcPr>
            <w:tcW w:w="7533" w:type="dxa"/>
            <w:noWrap w:val="0"/>
            <w:vAlign w:val="center"/>
          </w:tcPr>
          <w:p w14:paraId="2765D56A">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具体见招标公告</w:t>
            </w:r>
          </w:p>
        </w:tc>
      </w:tr>
      <w:tr w14:paraId="0ACDB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3EEF38D">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4ECD0D2A">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采购方式</w:t>
            </w:r>
          </w:p>
        </w:tc>
        <w:tc>
          <w:tcPr>
            <w:tcW w:w="7533" w:type="dxa"/>
            <w:noWrap w:val="0"/>
            <w:vAlign w:val="center"/>
          </w:tcPr>
          <w:p w14:paraId="228A390F">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公开招标</w:t>
            </w:r>
          </w:p>
        </w:tc>
      </w:tr>
      <w:tr w14:paraId="6C9401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42F8ADD">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6D198BFB">
            <w:pPr>
              <w:keepNext w:val="0"/>
              <w:keepLines w:val="0"/>
              <w:suppressLineNumbers w:val="0"/>
              <w:shd w:val="clear" w:color="auto" w:fill="auto"/>
              <w:wordWrap w:val="0"/>
              <w:adjustRightIn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w:t>
            </w:r>
          </w:p>
        </w:tc>
        <w:tc>
          <w:tcPr>
            <w:tcW w:w="7533" w:type="dxa"/>
            <w:noWrap w:val="0"/>
            <w:vAlign w:val="center"/>
          </w:tcPr>
          <w:p w14:paraId="0B4794A9">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采购人</w:t>
            </w:r>
            <w:r>
              <w:rPr>
                <w:rFonts w:hint="eastAsia" w:ascii="宋体" w:hAnsi="宋体" w:eastAsia="宋体" w:cs="宋体"/>
                <w:color w:val="auto"/>
                <w:sz w:val="22"/>
                <w:szCs w:val="22"/>
                <w:highlight w:val="none"/>
                <w:lang w:eastAsia="zh-CN"/>
              </w:rPr>
              <w:t>：平阳县城发城市运营管理有限公司</w:t>
            </w:r>
          </w:p>
          <w:p w14:paraId="2F7EB7F4">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采购人地址</w:t>
            </w:r>
            <w:r>
              <w:rPr>
                <w:rFonts w:hint="eastAsia" w:ascii="宋体" w:hAnsi="宋体" w:eastAsia="宋体" w:cs="宋体"/>
                <w:color w:val="auto"/>
                <w:sz w:val="22"/>
                <w:szCs w:val="22"/>
                <w:highlight w:val="none"/>
                <w:lang w:eastAsia="zh-CN"/>
              </w:rPr>
              <w:t>：平阳县昆阳镇飞鳌大道与状元路交叉口</w:t>
            </w:r>
          </w:p>
          <w:p w14:paraId="48523417">
            <w:pPr>
              <w:keepNext w:val="0"/>
              <w:keepLines w:val="0"/>
              <w:suppressLineNumbers w:val="0"/>
              <w:shd w:val="clear" w:color="auto" w:fill="auto"/>
              <w:wordWrap w:val="0"/>
              <w:adjustRightInd w:val="0"/>
              <w:spacing w:before="0" w:beforeAutospacing="0" w:after="0" w:afterAutospacing="0" w:line="360" w:lineRule="auto"/>
              <w:ind w:left="0" w:right="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林先生</w:t>
            </w:r>
          </w:p>
          <w:p w14:paraId="257A42F5">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0577-58105301</w:t>
            </w:r>
          </w:p>
        </w:tc>
      </w:tr>
      <w:tr w14:paraId="101A19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221AA6A">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7D28DC76">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采购代理机构</w:t>
            </w:r>
          </w:p>
        </w:tc>
        <w:tc>
          <w:tcPr>
            <w:tcW w:w="7533" w:type="dxa"/>
            <w:noWrap w:val="0"/>
            <w:vAlign w:val="center"/>
          </w:tcPr>
          <w:p w14:paraId="4E5EE492">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代理机构名称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浙江之信工程项目管理有限公司</w:t>
            </w:r>
          </w:p>
          <w:p w14:paraId="403B6A01">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机构地址</w:t>
            </w:r>
            <w:r>
              <w:rPr>
                <w:rFonts w:hint="eastAsia" w:ascii="宋体" w:hAnsi="宋体" w:eastAsia="宋体" w:cs="宋体"/>
                <w:color w:val="auto"/>
                <w:sz w:val="22"/>
                <w:szCs w:val="22"/>
                <w:highlight w:val="none"/>
                <w:lang w:eastAsia="zh-CN"/>
              </w:rPr>
              <w:t>：</w:t>
            </w:r>
            <w:r>
              <w:rPr>
                <w:rFonts w:hint="eastAsia" w:ascii="宋体" w:hAnsi="宋体" w:cs="宋体"/>
                <w:color w:val="auto"/>
                <w:kern w:val="0"/>
                <w:sz w:val="22"/>
                <w:szCs w:val="22"/>
                <w:highlight w:val="none"/>
                <w:lang w:eastAsia="zh-CN"/>
              </w:rPr>
              <w:t>平阳县鳌江镇蓝田路昆仑公馆8幢商铺109号</w:t>
            </w:r>
          </w:p>
          <w:p w14:paraId="61EF22C8">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w:t>
            </w:r>
            <w:r>
              <w:rPr>
                <w:rFonts w:hint="eastAsia" w:ascii="宋体" w:hAnsi="宋体" w:cs="宋体"/>
                <w:color w:val="auto"/>
                <w:kern w:val="0"/>
                <w:sz w:val="22"/>
                <w:szCs w:val="22"/>
                <w:highlight w:val="none"/>
                <w:lang w:eastAsia="zh-CN"/>
              </w:rPr>
              <w:t>施先生</w:t>
            </w:r>
          </w:p>
          <w:p w14:paraId="42DC0F9A">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：0577-63718111</w:t>
            </w:r>
          </w:p>
        </w:tc>
      </w:tr>
      <w:tr w14:paraId="408AA6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C41BF1C">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730B4386">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w:t>
            </w:r>
          </w:p>
        </w:tc>
        <w:tc>
          <w:tcPr>
            <w:tcW w:w="7533" w:type="dxa"/>
            <w:noWrap w:val="0"/>
            <w:vAlign w:val="center"/>
          </w:tcPr>
          <w:p w14:paraId="516E6D26">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综合评分法</w:t>
            </w:r>
          </w:p>
        </w:tc>
      </w:tr>
      <w:tr w14:paraId="10754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16B1284A">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32247B0B">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招标内容</w:t>
            </w:r>
          </w:p>
        </w:tc>
        <w:tc>
          <w:tcPr>
            <w:tcW w:w="7533" w:type="dxa"/>
            <w:noWrap w:val="0"/>
            <w:vAlign w:val="center"/>
          </w:tcPr>
          <w:p w14:paraId="01014342">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具体内容见采购文件</w:t>
            </w:r>
          </w:p>
        </w:tc>
      </w:tr>
      <w:tr w14:paraId="7AB7B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34CB55DD">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0F404159">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w:t>
            </w:r>
          </w:p>
          <w:p w14:paraId="35E2E2B5">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资格要求</w:t>
            </w:r>
          </w:p>
        </w:tc>
        <w:tc>
          <w:tcPr>
            <w:tcW w:w="7533" w:type="dxa"/>
            <w:noWrap w:val="0"/>
            <w:vAlign w:val="center"/>
          </w:tcPr>
          <w:p w14:paraId="59500B80">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详见招标公告</w:t>
            </w:r>
          </w:p>
        </w:tc>
      </w:tr>
      <w:tr w14:paraId="7D9CB9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49" w:hRule="atLeast"/>
          <w:jc w:val="center"/>
        </w:trPr>
        <w:tc>
          <w:tcPr>
            <w:tcW w:w="842" w:type="dxa"/>
            <w:noWrap w:val="0"/>
            <w:vAlign w:val="center"/>
          </w:tcPr>
          <w:p w14:paraId="702CFCBE">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086E7A83">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是否接受联合体投标</w:t>
            </w:r>
          </w:p>
        </w:tc>
        <w:tc>
          <w:tcPr>
            <w:tcW w:w="7533" w:type="dxa"/>
            <w:noWrap w:val="0"/>
            <w:vAlign w:val="center"/>
          </w:tcPr>
          <w:p w14:paraId="36B1F6B1">
            <w:pPr>
              <w:keepNext w:val="0"/>
              <w:keepLines w:val="0"/>
              <w:suppressLineNumbers w:val="0"/>
              <w:shd w:val="clear" w:color="auto" w:fill="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sz w:val="22"/>
                <w:szCs w:val="22"/>
                <w:highlight w:val="none"/>
                <w:lang w:eastAsia="zh-CN"/>
              </w:rPr>
              <w:instrText xml:space="preserve">,</w:instrText>
            </w:r>
            <w:r>
              <w:rPr>
                <w:rFonts w:hint="eastAsia" w:ascii="宋体" w:hAnsi="宋体" w:eastAsia="宋体" w:cs="宋体"/>
                <w:color w:val="auto"/>
                <w:position w:val="2"/>
                <w:sz w:val="15"/>
                <w:szCs w:val="22"/>
                <w:highlight w:val="none"/>
                <w:lang w:eastAsia="zh-CN"/>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cs="宋体"/>
                <w:color w:val="auto"/>
                <w:sz w:val="22"/>
                <w:szCs w:val="22"/>
                <w:highlight w:val="none"/>
                <w:lang w:val="en-US" w:eastAsia="zh-CN"/>
              </w:rPr>
              <w:t>不</w:t>
            </w:r>
            <w:r>
              <w:rPr>
                <w:rFonts w:hint="eastAsia" w:ascii="宋体" w:hAnsi="宋体" w:eastAsia="宋体" w:cs="宋体"/>
                <w:color w:val="auto"/>
                <w:sz w:val="22"/>
                <w:szCs w:val="22"/>
                <w:highlight w:val="none"/>
              </w:rPr>
              <w:t>接受</w:t>
            </w:r>
            <w:r>
              <w:rPr>
                <w:rFonts w:hint="eastAsia" w:ascii="宋体" w:hAnsi="宋体" w:cs="宋体"/>
                <w:color w:val="auto"/>
                <w:sz w:val="22"/>
                <w:szCs w:val="22"/>
                <w:highlight w:val="none"/>
                <w:lang w:eastAsia="zh-CN"/>
              </w:rPr>
              <w:t>。</w:t>
            </w:r>
          </w:p>
        </w:tc>
      </w:tr>
      <w:tr w14:paraId="18F2E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60764EF">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34AAC946">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踏勘现场</w:t>
            </w:r>
          </w:p>
        </w:tc>
        <w:tc>
          <w:tcPr>
            <w:tcW w:w="7533" w:type="dxa"/>
            <w:noWrap w:val="0"/>
            <w:vAlign w:val="center"/>
          </w:tcPr>
          <w:p w14:paraId="29F10A1C">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2"/>
                <w:sz w:val="22"/>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不组织</w:t>
            </w:r>
          </w:p>
        </w:tc>
      </w:tr>
      <w:tr w14:paraId="00167F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42" w:type="dxa"/>
            <w:noWrap w:val="0"/>
            <w:vAlign w:val="center"/>
          </w:tcPr>
          <w:p w14:paraId="64BAFFCD">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18F56C01">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是否允许递交备选投标方案</w:t>
            </w:r>
          </w:p>
        </w:tc>
        <w:tc>
          <w:tcPr>
            <w:tcW w:w="7533" w:type="dxa"/>
            <w:noWrap w:val="0"/>
            <w:vAlign w:val="center"/>
          </w:tcPr>
          <w:p w14:paraId="4545EC92">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2"/>
                <w:sz w:val="22"/>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不允许</w:t>
            </w:r>
          </w:p>
        </w:tc>
      </w:tr>
      <w:tr w14:paraId="69B29E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51" w:hRule="atLeast"/>
          <w:jc w:val="center"/>
        </w:trPr>
        <w:tc>
          <w:tcPr>
            <w:tcW w:w="842" w:type="dxa"/>
            <w:noWrap w:val="0"/>
            <w:vAlign w:val="center"/>
          </w:tcPr>
          <w:p w14:paraId="3976E3A1">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103A314A">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投标货币</w:t>
            </w:r>
          </w:p>
        </w:tc>
        <w:tc>
          <w:tcPr>
            <w:tcW w:w="7533" w:type="dxa"/>
            <w:noWrap w:val="0"/>
            <w:vAlign w:val="center"/>
          </w:tcPr>
          <w:p w14:paraId="138FEA05">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w:t>
            </w:r>
          </w:p>
        </w:tc>
      </w:tr>
      <w:tr w14:paraId="493F55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1A8A51E">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5A9AB90F">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投标语言</w:t>
            </w:r>
          </w:p>
        </w:tc>
        <w:tc>
          <w:tcPr>
            <w:tcW w:w="7533" w:type="dxa"/>
            <w:noWrap w:val="0"/>
            <w:vAlign w:val="center"/>
          </w:tcPr>
          <w:p w14:paraId="211CB2A0">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中文</w:t>
            </w:r>
          </w:p>
        </w:tc>
      </w:tr>
      <w:tr w14:paraId="4FBA3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CE23139">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144043E1">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投标文件的组成</w:t>
            </w:r>
          </w:p>
        </w:tc>
        <w:tc>
          <w:tcPr>
            <w:tcW w:w="7533" w:type="dxa"/>
            <w:noWrap w:val="0"/>
            <w:vAlign w:val="center"/>
          </w:tcPr>
          <w:p w14:paraId="27344FB2">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完整的《投标文件》由“资格文件”、“报价文件”和“商务技术文件”三个部分组成。</w:t>
            </w:r>
          </w:p>
        </w:tc>
      </w:tr>
      <w:tr w14:paraId="2BAC37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C59590E">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1DDC719F">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投标文件的编制</w:t>
            </w:r>
          </w:p>
        </w:tc>
        <w:tc>
          <w:tcPr>
            <w:tcW w:w="7533" w:type="dxa"/>
            <w:noWrap w:val="0"/>
            <w:vAlign w:val="center"/>
          </w:tcPr>
          <w:p w14:paraId="5CBA1DCA">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1.供应商应先安装“</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”，并按照本采购文件和“</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”的要求，通过“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”编制并加密投标文件。</w:t>
            </w:r>
          </w:p>
        </w:tc>
      </w:tr>
      <w:tr w14:paraId="4BCDA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E41442F">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660DF5D3">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签字或盖章要求</w:t>
            </w:r>
          </w:p>
        </w:tc>
        <w:tc>
          <w:tcPr>
            <w:tcW w:w="7533" w:type="dxa"/>
            <w:noWrap w:val="0"/>
            <w:vAlign w:val="center"/>
          </w:tcPr>
          <w:p w14:paraId="1EB1E0F7">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lang w:bidi="ar"/>
              </w:rPr>
              <w:t>电子签章。</w:t>
            </w:r>
            <w:r>
              <w:rPr>
                <w:rFonts w:hint="eastAsia" w:ascii="宋体" w:hAnsi="宋体" w:eastAsia="宋体" w:cs="宋体"/>
                <w:color w:val="auto"/>
                <w:sz w:val="22"/>
                <w:szCs w:val="22"/>
                <w:highlight w:val="none"/>
              </w:rPr>
              <w:t>采购文件所指的加盖单位公章为电子签章。</w:t>
            </w:r>
          </w:p>
          <w:p w14:paraId="2096016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投标文件须按采购文件格式要求，由供应商加盖单位公章和法定代表人或其授权代表印章（或签字）。</w:t>
            </w:r>
          </w:p>
        </w:tc>
      </w:tr>
      <w:tr w14:paraId="75D216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4F37D43">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7CED4FD3">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投标文件的形式</w:t>
            </w:r>
          </w:p>
        </w:tc>
        <w:tc>
          <w:tcPr>
            <w:tcW w:w="7533" w:type="dxa"/>
            <w:noWrap w:val="0"/>
            <w:vAlign w:val="center"/>
          </w:tcPr>
          <w:p w14:paraId="172B1532">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电子投标文件（包括“电子加密投标文件”和“备份投标文件”，在投标文件编制完成后同时生成）；</w:t>
            </w:r>
          </w:p>
          <w:p w14:paraId="3B21A8AB">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（1）“电子加密投标文件”是指通过“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”完成投标文件编制后生成并加密的数据电文形式的投标文件。</w:t>
            </w:r>
          </w:p>
          <w:p w14:paraId="0D630D56">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（2）“备份投标文件”是指与“电子加密投标文件”同时生成的数据电文形式的电子文件（备份标书），</w:t>
            </w:r>
            <w:r>
              <w:rPr>
                <w:rFonts w:hint="eastAsia" w:ascii="宋体" w:hAnsi="宋体" w:eastAsia="宋体" w:cs="宋体"/>
                <w:b/>
                <w:bCs/>
                <w:color w:val="auto"/>
                <w:sz w:val="22"/>
                <w:szCs w:val="22"/>
                <w:highlight w:val="none"/>
              </w:rPr>
              <w:t>其他方式编制的备份投标文件视为无效备份投标文件。</w:t>
            </w:r>
          </w:p>
        </w:tc>
      </w:tr>
      <w:tr w14:paraId="589A4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114D5A66">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24DE6050">
            <w:pPr>
              <w:keepNext w:val="0"/>
              <w:keepLines w:val="0"/>
              <w:suppressLineNumbers w:val="0"/>
              <w:shd w:val="clear" w:color="auto" w:fill="auto"/>
              <w:wordWrap w:val="0"/>
              <w:adjustRightIn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投标文件份数</w:t>
            </w:r>
          </w:p>
        </w:tc>
        <w:tc>
          <w:tcPr>
            <w:tcW w:w="7533" w:type="dxa"/>
            <w:noWrap w:val="0"/>
            <w:vAlign w:val="center"/>
          </w:tcPr>
          <w:p w14:paraId="2597095C">
            <w:pPr>
              <w:pStyle w:val="23"/>
              <w:keepNext w:val="0"/>
              <w:keepLines w:val="0"/>
              <w:suppressLineNumbers w:val="0"/>
              <w:shd w:val="clear" w:color="auto" w:fill="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在线上传递交、一份。（2）“备份投标文件”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密封包装后（邮寄形式投标截止时间前递交、一份（邮寄地址</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平阳县鳌江镇蓝田路昆仑公馆8幢商铺109号</w:t>
            </w: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eastAsia="zh-CN"/>
              </w:rPr>
              <w:t>施先生</w:t>
            </w:r>
            <w:r>
              <w:rPr>
                <w:rFonts w:hint="eastAsia" w:ascii="宋体" w:hAnsi="宋体" w:eastAsia="宋体" w:cs="宋体"/>
                <w:color w:val="auto"/>
                <w:sz w:val="22"/>
                <w:szCs w:val="22"/>
                <w:highlight w:val="none"/>
              </w:rPr>
              <w:t xml:space="preserve">收 </w:t>
            </w:r>
            <w:r>
              <w:rPr>
                <w:rFonts w:hint="eastAsia" w:ascii="宋体" w:hAnsi="宋体" w:cs="宋体"/>
                <w:color w:val="auto"/>
                <w:sz w:val="22"/>
                <w:szCs w:val="22"/>
                <w:highlight w:val="none"/>
                <w:lang w:eastAsia="zh-CN"/>
              </w:rPr>
              <w:t>13958971911</w:t>
            </w:r>
            <w:r>
              <w:rPr>
                <w:rFonts w:hint="eastAsia" w:ascii="宋体" w:hAnsi="宋体" w:eastAsia="宋体" w:cs="宋体"/>
                <w:color w:val="auto"/>
                <w:sz w:val="22"/>
                <w:szCs w:val="22"/>
                <w:highlight w:val="none"/>
              </w:rPr>
              <w:t>））或者发至邮箱</w:t>
            </w:r>
            <w:r>
              <w:rPr>
                <w:rFonts w:hint="eastAsia" w:ascii="宋体" w:hAnsi="宋体" w:cs="宋体"/>
                <w:color w:val="auto"/>
                <w:sz w:val="22"/>
                <w:szCs w:val="22"/>
                <w:highlight w:val="none"/>
                <w:lang w:eastAsia="zh-CN"/>
              </w:rPr>
              <w:t>522893988</w:t>
            </w:r>
            <w:r>
              <w:rPr>
                <w:rFonts w:hint="eastAsia" w:ascii="宋体" w:hAnsi="宋体" w:eastAsia="宋体" w:cs="宋体"/>
                <w:color w:val="auto"/>
                <w:sz w:val="22"/>
                <w:szCs w:val="22"/>
                <w:highlight w:val="none"/>
                <w:lang w:eastAsia="zh-CN"/>
              </w:rPr>
              <w:t>@qq.com（</w:t>
            </w:r>
            <w:r>
              <w:rPr>
                <w:rFonts w:hint="eastAsia" w:ascii="宋体" w:hAnsi="宋体" w:eastAsia="宋体" w:cs="宋体"/>
                <w:color w:val="auto"/>
                <w:sz w:val="22"/>
                <w:szCs w:val="22"/>
                <w:highlight w:val="none"/>
                <w:lang w:val="en-US" w:eastAsia="zh-CN"/>
              </w:rPr>
              <w:t>压缩包打包加密，密码由供应商自行保管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tc>
      </w:tr>
      <w:tr w14:paraId="34CE6C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B56E1D3">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7710B171">
            <w:pPr>
              <w:keepNext w:val="0"/>
              <w:keepLines w:val="0"/>
              <w:suppressLineNumbers w:val="0"/>
              <w:shd w:val="clear" w:color="auto" w:fill="auto"/>
              <w:wordWrap w:val="0"/>
              <w:adjustRightIn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投标文件的上传和递交</w:t>
            </w:r>
          </w:p>
        </w:tc>
        <w:tc>
          <w:tcPr>
            <w:tcW w:w="7533" w:type="dxa"/>
            <w:noWrap w:val="0"/>
            <w:vAlign w:val="center"/>
          </w:tcPr>
          <w:p w14:paraId="60ACE22E">
            <w:pPr>
              <w:pStyle w:val="23"/>
              <w:keepNext w:val="0"/>
              <w:keepLines w:val="0"/>
              <w:suppressLineNumbers w:val="0"/>
              <w:shd w:val="clear" w:color="auto" w:fill="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（1）“电子加密投标文件”的上传、递交</w:t>
            </w:r>
            <w:r>
              <w:rPr>
                <w:rFonts w:hint="eastAsia" w:ascii="宋体" w:hAnsi="宋体" w:eastAsia="宋体" w:cs="宋体"/>
                <w:color w:val="auto"/>
                <w:sz w:val="22"/>
                <w:szCs w:val="22"/>
                <w:highlight w:val="none"/>
                <w:lang w:eastAsia="zh-CN"/>
              </w:rPr>
              <w:t>：</w:t>
            </w:r>
          </w:p>
          <w:p w14:paraId="2DFDF8B6">
            <w:pPr>
              <w:pStyle w:val="23"/>
              <w:keepNext w:val="0"/>
              <w:keepLines w:val="0"/>
              <w:suppressLineNumbers w:val="0"/>
              <w:shd w:val="clear" w:color="auto" w:fill="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a.投标供应商应在投标截止时间前将“电子加密投标文件”成功上传递交至“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”，否则投标无效。</w:t>
            </w:r>
          </w:p>
          <w:p w14:paraId="6A5583A9">
            <w:pPr>
              <w:pStyle w:val="23"/>
              <w:keepNext w:val="0"/>
              <w:keepLines w:val="0"/>
              <w:suppressLineNumbers w:val="0"/>
              <w:shd w:val="clear" w:color="auto" w:fill="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b.“电子加密投标文件”成功上传递交后，供应商可自行打印投标文件接收回执。</w:t>
            </w:r>
          </w:p>
          <w:p w14:paraId="1C13C6F8">
            <w:pPr>
              <w:pStyle w:val="23"/>
              <w:keepNext w:val="0"/>
              <w:keepLines w:val="0"/>
              <w:suppressLineNumbers w:val="0"/>
              <w:shd w:val="clear" w:color="auto" w:fill="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（2）“备份投标文件”的密封包装、递交</w:t>
            </w:r>
            <w:r>
              <w:rPr>
                <w:rFonts w:hint="eastAsia" w:ascii="宋体" w:hAnsi="宋体" w:eastAsia="宋体" w:cs="宋体"/>
                <w:color w:val="auto"/>
                <w:sz w:val="22"/>
                <w:szCs w:val="22"/>
                <w:highlight w:val="none"/>
                <w:lang w:eastAsia="zh-CN"/>
              </w:rPr>
              <w:t>：</w:t>
            </w:r>
          </w:p>
          <w:p w14:paraId="1EEA2505">
            <w:pPr>
              <w:pStyle w:val="23"/>
              <w:keepNext w:val="0"/>
              <w:keepLines w:val="0"/>
              <w:suppressLineNumbers w:val="0"/>
              <w:shd w:val="clear" w:color="auto" w:fill="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a.投标供应商在“</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”完成“电子加密投标文件”的上传递交后，还可以（邮寄形式）在投标截止时间前递交以介质（U盘）存储的 “备份投标文件”（一份）</w:t>
            </w:r>
            <w:r>
              <w:rPr>
                <w:rFonts w:hint="eastAsia" w:ascii="宋体" w:hAnsi="宋体" w:eastAsia="宋体" w:cs="宋体"/>
                <w:color w:val="auto"/>
                <w:sz w:val="22"/>
                <w:szCs w:val="22"/>
                <w:highlight w:val="none"/>
                <w:lang w:val="en-US" w:eastAsia="zh-CN"/>
              </w:rPr>
              <w:t>或以电子邮件方式递交</w:t>
            </w:r>
            <w:r>
              <w:rPr>
                <w:rFonts w:hint="eastAsia" w:ascii="宋体" w:hAnsi="宋体" w:eastAsia="宋体" w:cs="宋体"/>
                <w:color w:val="auto"/>
                <w:sz w:val="22"/>
                <w:szCs w:val="22"/>
                <w:highlight w:val="none"/>
              </w:rPr>
              <w:t>；</w:t>
            </w:r>
          </w:p>
          <w:p w14:paraId="422C1026">
            <w:pPr>
              <w:pStyle w:val="23"/>
              <w:keepNext w:val="0"/>
              <w:keepLines w:val="0"/>
              <w:suppressLineNumbers w:val="0"/>
              <w:shd w:val="clear" w:color="auto" w:fill="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b.邮寄“备份投标文件”应当密封包装，并在包装上标注投标项目名称、投标单位名称并加盖公章。没有密封包装或者逾期邮寄送达至投标地点的“备份投标文件”将不予接收；</w:t>
            </w:r>
          </w:p>
          <w:p w14:paraId="1D8713F0">
            <w:pPr>
              <w:pStyle w:val="23"/>
              <w:keepNext w:val="0"/>
              <w:keepLines w:val="0"/>
              <w:suppressLineNumbers w:val="0"/>
              <w:shd w:val="clear" w:color="auto" w:fill="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”成功上传递交的“电子加密投标文件”已按时解密的，“备份投标文件”自动失效。投标截止时间前，投标供应商仅递交了“备份投标文件”而未将“电子加密投标文件”成功上传至“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”的，投标无效。</w:t>
            </w:r>
          </w:p>
        </w:tc>
      </w:tr>
      <w:tr w14:paraId="31A7F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4036FEF">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2784738F">
            <w:pPr>
              <w:keepNext w:val="0"/>
              <w:keepLines w:val="0"/>
              <w:suppressLineNumbers w:val="0"/>
              <w:shd w:val="clear" w:color="auto" w:fill="auto"/>
              <w:wordWrap w:val="0"/>
              <w:adjustRightIn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电子加密投标文件的解密和异常情况处理</w:t>
            </w:r>
          </w:p>
        </w:tc>
        <w:tc>
          <w:tcPr>
            <w:tcW w:w="7533" w:type="dxa"/>
            <w:noWrap w:val="0"/>
            <w:vAlign w:val="center"/>
          </w:tcPr>
          <w:p w14:paraId="70BBAB7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（1）开标后，采购组织机构将向各投标供应商发出“电子加密投标文件”的解密通知，各投标供应商代表应当在接到解密通知后30分钟内自行完成“电子加密投标文件”的在线解密。</w:t>
            </w:r>
          </w:p>
          <w:p w14:paraId="6654985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”成功上传递交的“电子加密投标文件”无法按时解密，投标供应商如按规定递交了“备份投标文件”的，以“备份投标文件”为依据（由采购组织机构按“</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”操作规范将“备份投标文件”上传至“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”，上传成功后，“电子加密投标文件”自动失效），否则视为投标文件撤回。</w:t>
            </w:r>
          </w:p>
          <w:p w14:paraId="79CD05C3">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（3）投标截止时间前，投标供应商仅递交了“备份投标文件”而未将电子加密投标文件上传至“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”的，投标无效。</w:t>
            </w:r>
          </w:p>
        </w:tc>
      </w:tr>
      <w:tr w14:paraId="5D075C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821B636">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16AF30C3">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投标有效期</w:t>
            </w:r>
          </w:p>
        </w:tc>
        <w:tc>
          <w:tcPr>
            <w:tcW w:w="7533" w:type="dxa"/>
            <w:noWrap w:val="0"/>
            <w:vAlign w:val="center"/>
          </w:tcPr>
          <w:p w14:paraId="17C8ABC0">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提交投标文件截止日起90天内</w:t>
            </w:r>
          </w:p>
        </w:tc>
      </w:tr>
      <w:tr w14:paraId="5A33BC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8B97557">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30A2A97B">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投标</w:t>
            </w:r>
            <w:r>
              <w:rPr>
                <w:rFonts w:hint="eastAsia" w:ascii="宋体" w:hAnsi="宋体" w:eastAsia="宋体" w:cs="宋体"/>
                <w:color w:val="auto"/>
                <w:sz w:val="22"/>
                <w:szCs w:val="22"/>
                <w:highlight w:val="none"/>
                <w:lang w:val="en-US" w:eastAsia="zh-CN"/>
              </w:rPr>
              <w:t>演示</w:t>
            </w:r>
          </w:p>
        </w:tc>
        <w:tc>
          <w:tcPr>
            <w:tcW w:w="7533" w:type="dxa"/>
            <w:noWrap w:val="0"/>
            <w:vAlign w:val="center"/>
          </w:tcPr>
          <w:p w14:paraId="085FEEA6">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eq \o\ac(□</w:instrText>
            </w:r>
            <w:r>
              <w:rPr>
                <w:rFonts w:hint="eastAsia" w:ascii="宋体" w:hAnsi="宋体" w:eastAsia="宋体" w:cs="宋体"/>
                <w:color w:val="auto"/>
                <w:highlight w:val="none"/>
                <w:lang w:eastAsia="zh-CN"/>
              </w:rPr>
              <w:instrText xml:space="preserve">,</w:instrText>
            </w:r>
            <w:r>
              <w:rPr>
                <w:rFonts w:hint="eastAsia" w:ascii="宋体" w:hAnsi="宋体" w:eastAsia="宋体" w:cs="宋体"/>
                <w:color w:val="auto"/>
                <w:position w:val="2"/>
                <w:sz w:val="13"/>
                <w:highlight w:val="none"/>
                <w:lang w:eastAsia="zh-CN"/>
              </w:rPr>
              <w:instrText xml:space="preserve">√</w:instrText>
            </w:r>
            <w:r>
              <w:rPr>
                <w:rFonts w:hint="eastAsia" w:ascii="宋体" w:hAnsi="宋体" w:eastAsia="宋体" w:cs="宋体"/>
                <w:color w:val="auto"/>
                <w:highlight w:val="none"/>
              </w:rPr>
              <w:instrText xml:space="preserve">)</w:instrText>
            </w:r>
            <w:r>
              <w:rPr>
                <w:rFonts w:hint="eastAsia" w:ascii="宋体" w:hAnsi="宋体" w:eastAsia="宋体" w:cs="宋体"/>
                <w:color w:val="auto"/>
                <w:highlight w:val="none"/>
              </w:rPr>
              <w:fldChar w:fldCharType="end"/>
            </w:r>
            <w:r>
              <w:rPr>
                <w:rFonts w:hint="eastAsia" w:ascii="宋体" w:hAnsi="宋体" w:cs="宋体"/>
                <w:b w:val="0"/>
                <w:bCs w:val="0"/>
                <w:color w:val="auto"/>
                <w:highlight w:val="none"/>
                <w:lang w:val="en-US" w:eastAsia="zh-CN"/>
              </w:rPr>
              <w:t>不</w:t>
            </w:r>
            <w:r>
              <w:rPr>
                <w:rFonts w:hint="eastAsia" w:ascii="宋体" w:hAnsi="宋体" w:eastAsia="宋体" w:cs="宋体"/>
                <w:b w:val="0"/>
                <w:bCs w:val="0"/>
                <w:color w:val="auto"/>
                <w:highlight w:val="none"/>
              </w:rPr>
              <w:t>需要</w:t>
            </w:r>
          </w:p>
        </w:tc>
      </w:tr>
      <w:tr w14:paraId="4D9DF3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17B33D8E">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74B5FC90">
            <w:pPr>
              <w:keepNext w:val="0"/>
              <w:keepLines w:val="0"/>
              <w:suppressLineNumbers w:val="0"/>
              <w:shd w:val="clear" w:color="auto" w:fill="auto"/>
              <w:wordWrap w:val="0"/>
              <w:adjustRightInd w:val="0"/>
              <w:spacing w:before="0" w:beforeAutospacing="0" w:after="0" w:afterAutospacing="0" w:line="360" w:lineRule="auto"/>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履约</w:t>
            </w:r>
            <w:r>
              <w:rPr>
                <w:rFonts w:hint="eastAsia" w:ascii="宋体" w:hAnsi="宋体" w:eastAsia="宋体" w:cs="宋体"/>
                <w:color w:val="auto"/>
                <w:sz w:val="22"/>
                <w:szCs w:val="22"/>
                <w:highlight w:val="none"/>
                <w:lang w:val="en-US" w:eastAsia="zh-CN"/>
              </w:rPr>
              <w:t>保证金</w:t>
            </w:r>
          </w:p>
        </w:tc>
        <w:tc>
          <w:tcPr>
            <w:tcW w:w="7533" w:type="dxa"/>
            <w:noWrap w:val="0"/>
            <w:vAlign w:val="center"/>
          </w:tcPr>
          <w:p w14:paraId="443CDDE2">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2"/>
                <w:sz w:val="15"/>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需要</w:t>
            </w:r>
          </w:p>
        </w:tc>
      </w:tr>
      <w:tr w14:paraId="737ED2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70DA258">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17027C98">
            <w:pPr>
              <w:keepNext w:val="0"/>
              <w:keepLines w:val="0"/>
              <w:suppressLineNumbers w:val="0"/>
              <w:shd w:val="clear" w:color="auto" w:fill="auto"/>
              <w:wordWrap w:val="0"/>
              <w:adjustRightIn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投标保证金</w:t>
            </w:r>
          </w:p>
        </w:tc>
        <w:tc>
          <w:tcPr>
            <w:tcW w:w="7533" w:type="dxa"/>
            <w:noWrap w:val="0"/>
            <w:vAlign w:val="center"/>
          </w:tcPr>
          <w:p w14:paraId="1D195167">
            <w:pPr>
              <w:pStyle w:val="3"/>
              <w:keepLines w:val="0"/>
              <w:suppressLineNumbers w:val="0"/>
              <w:shd w:val="clear" w:color="auto" w:fill="auto"/>
              <w:wordWrap w:val="0"/>
              <w:spacing w:before="0" w:beforeAutospacing="0" w:after="0" w:afterAutospacing="0" w:line="360" w:lineRule="auto"/>
              <w:ind w:left="0" w:right="0"/>
              <w:outlineLvl w:val="0"/>
              <w:rPr>
                <w:rFonts w:hint="eastAsia" w:ascii="宋体" w:hAnsi="宋体" w:eastAsia="宋体" w:cs="宋体"/>
                <w:color w:val="auto"/>
                <w:sz w:val="22"/>
                <w:szCs w:val="22"/>
                <w:highlight w:val="none"/>
              </w:rPr>
            </w:pPr>
            <w:bookmarkStart w:id="4" w:name="_Toc25684"/>
            <w:bookmarkStart w:id="5" w:name="_Toc11510"/>
            <w:bookmarkStart w:id="6" w:name="_Toc26701"/>
            <w:r>
              <w:rPr>
                <w:rFonts w:hint="eastAsia" w:ascii="宋体" w:hAnsi="宋体" w:eastAsia="宋体" w:cs="宋体"/>
                <w:b w:val="0"/>
                <w:color w:val="auto"/>
                <w:sz w:val="22"/>
                <w:szCs w:val="22"/>
                <w:highlight w:val="none"/>
              </w:rPr>
              <w:fldChar w:fldCharType="begin"/>
            </w:r>
            <w:r>
              <w:rPr>
                <w:rFonts w:hint="eastAsia" w:ascii="宋体" w:hAnsi="宋体" w:eastAsia="宋体" w:cs="宋体"/>
                <w:b w:val="0"/>
                <w:color w:val="auto"/>
                <w:sz w:val="22"/>
                <w:szCs w:val="22"/>
                <w:highlight w:val="none"/>
              </w:rPr>
              <w:instrText xml:space="preserve"> eq \o\ac(□,</w:instrText>
            </w:r>
            <w:r>
              <w:rPr>
                <w:rFonts w:hint="eastAsia" w:ascii="宋体" w:hAnsi="宋体" w:eastAsia="宋体" w:cs="宋体"/>
                <w:b w:val="0"/>
                <w:color w:val="auto"/>
                <w:position w:val="2"/>
                <w:sz w:val="15"/>
                <w:szCs w:val="22"/>
                <w:highlight w:val="none"/>
              </w:rPr>
              <w:instrText xml:space="preserve">√</w:instrText>
            </w:r>
            <w:r>
              <w:rPr>
                <w:rFonts w:hint="eastAsia" w:ascii="宋体" w:hAnsi="宋体" w:eastAsia="宋体" w:cs="宋体"/>
                <w:b w:val="0"/>
                <w:color w:val="auto"/>
                <w:sz w:val="22"/>
                <w:szCs w:val="22"/>
                <w:highlight w:val="none"/>
              </w:rPr>
              <w:instrText xml:space="preserve">)</w:instrText>
            </w:r>
            <w:r>
              <w:rPr>
                <w:rFonts w:hint="eastAsia" w:ascii="宋体" w:hAnsi="宋体" w:eastAsia="宋体" w:cs="宋体"/>
                <w:b w:val="0"/>
                <w:color w:val="auto"/>
                <w:sz w:val="22"/>
                <w:szCs w:val="22"/>
                <w:highlight w:val="none"/>
              </w:rPr>
              <w:fldChar w:fldCharType="end"/>
            </w:r>
            <w:r>
              <w:rPr>
                <w:rFonts w:hint="eastAsia" w:ascii="宋体" w:hAnsi="宋体" w:eastAsia="宋体" w:cs="宋体"/>
                <w:b w:val="0"/>
                <w:color w:val="auto"/>
                <w:sz w:val="22"/>
                <w:szCs w:val="22"/>
                <w:highlight w:val="none"/>
              </w:rPr>
              <w:t>不需要</w:t>
            </w:r>
            <w:bookmarkEnd w:id="4"/>
            <w:bookmarkEnd w:id="5"/>
            <w:bookmarkEnd w:id="6"/>
          </w:p>
        </w:tc>
      </w:tr>
      <w:tr w14:paraId="6DE65A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620" w:hRule="atLeast"/>
          <w:jc w:val="center"/>
        </w:trPr>
        <w:tc>
          <w:tcPr>
            <w:tcW w:w="842" w:type="dxa"/>
            <w:noWrap w:val="0"/>
            <w:vAlign w:val="center"/>
          </w:tcPr>
          <w:p w14:paraId="58B0BB27">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71C1F7B5">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质疑受理联系方式</w:t>
            </w:r>
          </w:p>
        </w:tc>
        <w:tc>
          <w:tcPr>
            <w:tcW w:w="7533" w:type="dxa"/>
            <w:noWrap w:val="0"/>
            <w:vAlign w:val="center"/>
          </w:tcPr>
          <w:p w14:paraId="666AA116">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代理机构名称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浙江之信工程项目管理有限公司</w:t>
            </w:r>
          </w:p>
          <w:p w14:paraId="17EB50AC">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机构地址</w:t>
            </w:r>
            <w:r>
              <w:rPr>
                <w:rFonts w:hint="eastAsia" w:ascii="宋体" w:hAnsi="宋体" w:eastAsia="宋体" w:cs="宋体"/>
                <w:color w:val="auto"/>
                <w:sz w:val="22"/>
                <w:szCs w:val="22"/>
                <w:highlight w:val="none"/>
                <w:lang w:eastAsia="zh-CN"/>
              </w:rPr>
              <w:t>：</w:t>
            </w:r>
            <w:r>
              <w:rPr>
                <w:rFonts w:hint="eastAsia" w:ascii="宋体" w:hAnsi="宋体" w:cs="宋体"/>
                <w:color w:val="auto"/>
                <w:kern w:val="0"/>
                <w:sz w:val="22"/>
                <w:szCs w:val="22"/>
                <w:highlight w:val="none"/>
                <w:lang w:eastAsia="zh-CN"/>
              </w:rPr>
              <w:t>平阳县鳌江镇蓝田路昆仑公馆8幢商铺109号</w:t>
            </w:r>
          </w:p>
          <w:p w14:paraId="5665CAA8">
            <w:pPr>
              <w:keepNext w:val="0"/>
              <w:keepLines w:val="0"/>
              <w:suppressLineNumbers w:val="0"/>
              <w:shd w:val="clear" w:color="auto" w:fill="auto"/>
              <w:wordWrap w:val="0"/>
              <w:snapToGrid w:val="0"/>
              <w:spacing w:before="0" w:beforeAutospacing="0" w:after="0" w:afterAutospacing="0" w:line="360" w:lineRule="auto"/>
              <w:ind w:left="0" w:right="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陈女士</w:t>
            </w:r>
          </w:p>
          <w:p w14:paraId="3C357F79">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：0577-63718111</w:t>
            </w:r>
          </w:p>
        </w:tc>
      </w:tr>
      <w:tr w14:paraId="4DA3F1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104D1F72">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72AE16B8">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w:t>
            </w:r>
          </w:p>
        </w:tc>
        <w:tc>
          <w:tcPr>
            <w:tcW w:w="7533" w:type="dxa"/>
            <w:noWrap w:val="0"/>
            <w:vAlign w:val="center"/>
          </w:tcPr>
          <w:p w14:paraId="7B3631C9">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平阳县县属国有企业采购管理办法（试行）》的规定，供应商认为采购文件、采购过程、中标和成交结果使自己的合法权益受到损害的，应当首先依法向采购人、采购代理机构提出质疑。投标供应商认为国有企业答疑回复处理结果不合法的，可以采购人或代理机构为对象依法向人民法院提起诉讼。</w:t>
            </w:r>
          </w:p>
        </w:tc>
      </w:tr>
      <w:tr w14:paraId="2E6093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42" w:type="dxa"/>
            <w:noWrap w:val="0"/>
            <w:vAlign w:val="center"/>
          </w:tcPr>
          <w:p w14:paraId="043552C2">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348515EA">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投诉受理联系方式</w:t>
            </w:r>
          </w:p>
        </w:tc>
        <w:tc>
          <w:tcPr>
            <w:tcW w:w="7533" w:type="dxa"/>
            <w:noWrap w:val="0"/>
            <w:vAlign w:val="center"/>
          </w:tcPr>
          <w:p w14:paraId="1193CE2C">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同级采购监督管理部门名称</w:t>
            </w:r>
            <w:r>
              <w:rPr>
                <w:rFonts w:hint="eastAsia" w:ascii="宋体" w:hAnsi="宋体" w:eastAsia="宋体" w:cs="宋体"/>
                <w:color w:val="auto"/>
                <w:sz w:val="22"/>
                <w:szCs w:val="22"/>
                <w:highlight w:val="none"/>
                <w:lang w:eastAsia="zh-CN"/>
              </w:rPr>
              <w:t>：平阳县城发城市运营管理有限公司</w:t>
            </w:r>
            <w:r>
              <w:rPr>
                <w:rFonts w:hint="eastAsia" w:ascii="宋体" w:hAnsi="宋体" w:eastAsia="宋体" w:cs="宋体"/>
                <w:color w:val="auto"/>
                <w:sz w:val="22"/>
                <w:szCs w:val="22"/>
                <w:highlight w:val="none"/>
                <w:lang w:val="en-US" w:eastAsia="zh-CN"/>
              </w:rPr>
              <w:t>纪检监察室</w:t>
            </w:r>
          </w:p>
          <w:p w14:paraId="15EE098F">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联系人</w:t>
            </w:r>
            <w:r>
              <w:rPr>
                <w:rFonts w:hint="eastAsia" w:ascii="宋体" w:hAnsi="宋体" w:eastAsia="宋体" w:cs="宋体"/>
                <w:color w:val="auto"/>
                <w:sz w:val="22"/>
                <w:szCs w:val="22"/>
                <w:highlight w:val="none"/>
                <w:lang w:eastAsia="zh-CN"/>
              </w:rPr>
              <w:t>：潘先生  陈先生</w:t>
            </w:r>
          </w:p>
          <w:p w14:paraId="1998B260">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监督投诉电话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0577-58193517</w:t>
            </w:r>
          </w:p>
          <w:p w14:paraId="43D8AB5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w:t>
            </w:r>
            <w:r>
              <w:rPr>
                <w:rFonts w:hint="eastAsia" w:ascii="宋体" w:hAnsi="宋体" w:eastAsia="宋体" w:cs="宋体"/>
                <w:color w:val="auto"/>
                <w:sz w:val="22"/>
                <w:szCs w:val="22"/>
                <w:highlight w:val="none"/>
                <w:lang w:eastAsia="zh-CN"/>
              </w:rPr>
              <w:t>：平阳县昆阳镇飞鳌大道与状元路交叉口</w:t>
            </w:r>
          </w:p>
        </w:tc>
      </w:tr>
      <w:tr w14:paraId="3908A7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4431780">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3E97E772">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投标截止时间</w:t>
            </w:r>
          </w:p>
        </w:tc>
        <w:tc>
          <w:tcPr>
            <w:tcW w:w="7533" w:type="dxa"/>
            <w:noWrap w:val="0"/>
            <w:vAlign w:val="center"/>
          </w:tcPr>
          <w:p w14:paraId="24E1C748">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11</w:t>
            </w:r>
            <w:r>
              <w:rPr>
                <w:rFonts w:hint="eastAsia" w:ascii="宋体" w:hAnsi="宋体" w:eastAsia="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 xml:space="preserve"> 14 </w:t>
            </w:r>
            <w:r>
              <w:rPr>
                <w:rFonts w:hint="eastAsia" w:ascii="宋体" w:hAnsi="宋体" w:eastAsia="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9</w:t>
            </w:r>
            <w:r>
              <w:rPr>
                <w:rFonts w:hint="eastAsia" w:ascii="宋体" w:hAnsi="宋体" w:eastAsia="宋体" w:cs="宋体"/>
                <w:color w:val="auto"/>
                <w:sz w:val="22"/>
                <w:szCs w:val="22"/>
                <w:highlight w:val="none"/>
                <w:shd w:val="clear" w:color="auto" w:fill="FFFFFF"/>
              </w:rPr>
              <w:t>:30</w:t>
            </w:r>
            <w:r>
              <w:rPr>
                <w:rFonts w:hint="eastAsia" w:ascii="宋体" w:hAnsi="宋体" w:eastAsia="宋体" w:cs="宋体"/>
                <w:color w:val="auto"/>
                <w:sz w:val="22"/>
                <w:szCs w:val="22"/>
                <w:highlight w:val="none"/>
              </w:rPr>
              <w:t>截止</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北京时间</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tc>
      </w:tr>
      <w:tr w14:paraId="748D3E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B9D65BE">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2547C4BF">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w:t>
            </w:r>
          </w:p>
          <w:p w14:paraId="471A31C6">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评审地点</w:t>
            </w:r>
          </w:p>
        </w:tc>
        <w:tc>
          <w:tcPr>
            <w:tcW w:w="7533" w:type="dxa"/>
            <w:noWrap w:val="0"/>
            <w:vAlign w:val="center"/>
          </w:tcPr>
          <w:p w14:paraId="175DF8A7">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开标时间</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11</w:t>
            </w:r>
            <w:r>
              <w:rPr>
                <w:rFonts w:hint="eastAsia" w:ascii="宋体" w:hAnsi="宋体" w:eastAsia="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 xml:space="preserve"> 14 </w:t>
            </w:r>
            <w:r>
              <w:rPr>
                <w:rFonts w:hint="eastAsia" w:ascii="宋体" w:hAnsi="宋体" w:eastAsia="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9</w:t>
            </w:r>
            <w:r>
              <w:rPr>
                <w:rFonts w:hint="eastAsia" w:ascii="宋体" w:hAnsi="宋体" w:eastAsia="宋体" w:cs="宋体"/>
                <w:color w:val="auto"/>
                <w:sz w:val="22"/>
                <w:szCs w:val="22"/>
                <w:highlight w:val="none"/>
                <w:shd w:val="clear" w:color="auto" w:fill="FFFFFF"/>
              </w:rPr>
              <w:t>:30</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北京时间</w:t>
            </w:r>
            <w:r>
              <w:rPr>
                <w:rFonts w:hint="eastAsia" w:ascii="宋体" w:hAnsi="宋体" w:eastAsia="宋体" w:cs="宋体"/>
                <w:color w:val="auto"/>
                <w:sz w:val="22"/>
                <w:szCs w:val="22"/>
                <w:highlight w:val="none"/>
                <w:lang w:eastAsia="zh-CN"/>
              </w:rPr>
              <w:t>）</w:t>
            </w:r>
          </w:p>
          <w:p w14:paraId="54C6DCB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开标地点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平阳县公共资源交易中心三楼评标室（平阳县鳌江镇火车站大道和谐家园三楼）。</w:t>
            </w:r>
          </w:p>
        </w:tc>
      </w:tr>
      <w:tr w14:paraId="319B9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0C8AE07">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4DFE19BB">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评审委员会的</w:t>
            </w:r>
          </w:p>
          <w:p w14:paraId="1C27EA4B">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组建</w:t>
            </w:r>
          </w:p>
        </w:tc>
        <w:tc>
          <w:tcPr>
            <w:tcW w:w="7533" w:type="dxa"/>
            <w:noWrap w:val="0"/>
            <w:vAlign w:val="center"/>
          </w:tcPr>
          <w:p w14:paraId="2AE986A9">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评标委员会构成</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采购人依法组建，其中评审专家不得少于成员总数的三分之二；评审专家确定方式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按相关规定从专家库中抽取。</w:t>
            </w:r>
          </w:p>
        </w:tc>
      </w:tr>
      <w:tr w14:paraId="600B55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E0CC1A1">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62EBC798">
            <w:pPr>
              <w:keepNext w:val="0"/>
              <w:keepLines w:val="0"/>
              <w:suppressLineNumbers w:val="0"/>
              <w:shd w:val="clear" w:color="auto" w:fill="auto"/>
              <w:wordWrap w:val="0"/>
              <w:adjustRightIn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采购扶持政策</w:t>
            </w:r>
          </w:p>
        </w:tc>
        <w:tc>
          <w:tcPr>
            <w:tcW w:w="7533" w:type="dxa"/>
            <w:noWrap w:val="0"/>
            <w:vAlign w:val="center"/>
          </w:tcPr>
          <w:p w14:paraId="42317CB0">
            <w:pPr>
              <w:keepNext w:val="0"/>
              <w:keepLines w:val="0"/>
              <w:suppressLineNumbers w:val="0"/>
              <w:shd w:val="clear" w:color="auto" w:fill="auto"/>
              <w:autoSpaceDE/>
              <w:autoSpaceDN/>
              <w:spacing w:before="0" w:beforeAutospacing="0" w:after="0" w:afterAutospacing="0" w:line="36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本项目对符合财政扶持政策的中小企业（小型、微型）、监狱企业、残疾人福利性单位给予价格优惠扶持：</w:t>
            </w:r>
          </w:p>
          <w:p w14:paraId="729232C1">
            <w:pPr>
              <w:keepNext w:val="0"/>
              <w:keepLines w:val="0"/>
              <w:suppressLineNumbers w:val="0"/>
              <w:shd w:val="clear" w:color="auto" w:fill="auto"/>
              <w:autoSpaceDE/>
              <w:autoSpaceDN/>
              <w:spacing w:before="0" w:beforeAutospacing="0" w:after="0" w:afterAutospacing="0" w:line="36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（1）价格优惠：</w:t>
            </w:r>
            <w:r>
              <w:rPr>
                <w:rFonts w:hint="eastAsia" w:ascii="宋体" w:hAnsi="宋体" w:eastAsia="宋体" w:cs="宋体"/>
                <w:color w:val="auto"/>
                <w:kern w:val="0"/>
                <w:sz w:val="22"/>
                <w:szCs w:val="22"/>
                <w:highlight w:val="none"/>
                <w:u w:val="single"/>
                <w:lang w:val="en-US" w:eastAsia="zh-CN"/>
              </w:rPr>
              <w:t>6%</w:t>
            </w:r>
            <w:r>
              <w:rPr>
                <w:rFonts w:hint="eastAsia" w:ascii="宋体" w:hAnsi="宋体" w:eastAsia="宋体" w:cs="宋体"/>
                <w:color w:val="auto"/>
                <w:kern w:val="0"/>
                <w:sz w:val="22"/>
                <w:szCs w:val="22"/>
                <w:highlight w:val="none"/>
                <w:lang w:val="en-US" w:eastAsia="zh-CN"/>
              </w:rPr>
              <w:t>。</w:t>
            </w:r>
          </w:p>
          <w:p w14:paraId="789743B9">
            <w:pPr>
              <w:keepNext w:val="0"/>
              <w:keepLines w:val="0"/>
              <w:suppressLineNumbers w:val="0"/>
              <w:shd w:val="clear" w:color="auto" w:fill="auto"/>
              <w:autoSpaceDE/>
              <w:autoSpaceDN/>
              <w:spacing w:before="0" w:beforeAutospacing="0" w:after="0" w:afterAutospacing="0" w:line="36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（2）项目属性：服务类</w:t>
            </w:r>
          </w:p>
          <w:p w14:paraId="4A64B483">
            <w:pPr>
              <w:keepNext w:val="0"/>
              <w:keepLines w:val="0"/>
              <w:suppressLineNumbers w:val="0"/>
              <w:shd w:val="clear" w:color="auto" w:fill="auto"/>
              <w:autoSpaceDE/>
              <w:autoSpaceDN/>
              <w:spacing w:before="0" w:beforeAutospacing="0" w:after="0" w:afterAutospacing="0" w:line="36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（3）中小企业划分标准所属行业：根据《中小企业划型标准规定》执行（工信部联企业〔2011〕300号）</w:t>
            </w:r>
          </w:p>
          <w:p w14:paraId="4FB38D2F">
            <w:pPr>
              <w:keepNext w:val="0"/>
              <w:keepLines w:val="0"/>
              <w:suppressLineNumbers w:val="0"/>
              <w:shd w:val="clear" w:color="auto" w:fill="auto"/>
              <w:autoSpaceDE/>
              <w:autoSpaceDN/>
              <w:spacing w:before="0" w:beforeAutospacing="0" w:after="0" w:afterAutospacing="0" w:line="36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（4）所属行业：</w:t>
            </w:r>
            <w:r>
              <w:rPr>
                <w:rFonts w:hint="eastAsia" w:ascii="宋体" w:hAnsi="宋体" w:eastAsia="宋体" w:cs="宋体"/>
                <w:color w:val="auto"/>
                <w:kern w:val="0"/>
                <w:sz w:val="22"/>
                <w:szCs w:val="22"/>
                <w:highlight w:val="none"/>
                <w:u w:val="single"/>
                <w:lang w:val="en-US" w:eastAsia="zh-CN"/>
              </w:rPr>
              <w:t>租赁和商务服务业</w:t>
            </w:r>
          </w:p>
          <w:p w14:paraId="2C2537BC">
            <w:pPr>
              <w:keepNext w:val="0"/>
              <w:keepLines w:val="0"/>
              <w:suppressLineNumbers w:val="0"/>
              <w:shd w:val="clear" w:color="auto" w:fill="auto"/>
              <w:autoSpaceDE/>
              <w:autoSpaceDN/>
              <w:spacing w:before="0" w:beforeAutospacing="0" w:after="0" w:afterAutospacing="0" w:line="36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 满足财政部 工业和信息化部关于印发《政府采购促进中小企业发展管理办法》（财库﹝2020﹞46 号）的规定的中小企业可享受优惠扶持。</w:t>
            </w:r>
          </w:p>
          <w:p w14:paraId="759F1469">
            <w:pPr>
              <w:keepNext w:val="0"/>
              <w:keepLines w:val="0"/>
              <w:suppressLineNumbers w:val="0"/>
              <w:shd w:val="clear" w:color="auto" w:fill="auto"/>
              <w:autoSpaceDE/>
              <w:autoSpaceDN/>
              <w:spacing w:before="0" w:beforeAutospacing="0" w:after="0" w:afterAutospacing="0" w:line="36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3.满足关于政府采购支持监狱企业发展有关问题的通知（财库〔2014﹞68号）的规定的供应商可享受优惠扶持。</w:t>
            </w:r>
          </w:p>
          <w:p w14:paraId="36D6222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4.满足关于促进残疾人就业政府采购政策的通知（财库〔2017﹞141号）的规定的供应商可享受优惠扶持。</w:t>
            </w:r>
          </w:p>
        </w:tc>
      </w:tr>
      <w:tr w14:paraId="6E012C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996472B">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3622C79B">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供应商信用查询</w:t>
            </w:r>
          </w:p>
        </w:tc>
        <w:tc>
          <w:tcPr>
            <w:tcW w:w="7533" w:type="dxa"/>
            <w:noWrap w:val="0"/>
            <w:vAlign w:val="center"/>
          </w:tcPr>
          <w:p w14:paraId="7920121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1、投标供应商信用信息查询的查询渠道</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“信用中国”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"http://www.creditchina.gov.cn"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；“中国政府采购网”（http://www.ccgp.gov.cn/）；</w:t>
            </w:r>
          </w:p>
          <w:p w14:paraId="7B2F45CD">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2、投标供应商信用信息查询截止时点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至本项目投标截止时间前均可。</w:t>
            </w:r>
          </w:p>
          <w:p w14:paraId="0A1A6752">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3、投标供应商信用信息查询记录和证据留存的具体方式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网页截图打印；</w:t>
            </w:r>
          </w:p>
          <w:p w14:paraId="51EC15F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4、信用信息的使用规则</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截止评标当日，经查询“信用中国”等网站，存在列入失信被执行人、重大税收违法案件当事人名单、政府采购严重违法失信行为记录名单及其他不符合《平阳县县属国有企业采购管理办法（试行）》第十四条规定条件的供应商，其投标做无效投标处理。</w:t>
            </w:r>
          </w:p>
        </w:tc>
      </w:tr>
      <w:tr w14:paraId="180C8F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6565D9A">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2D54B143">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合同备案</w:t>
            </w:r>
          </w:p>
        </w:tc>
        <w:tc>
          <w:tcPr>
            <w:tcW w:w="7533" w:type="dxa"/>
            <w:noWrap w:val="0"/>
            <w:vAlign w:val="center"/>
          </w:tcPr>
          <w:p w14:paraId="26439C19">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1、中标供应商须在中标通知书发出之日起30日内与采购人签订合同。</w:t>
            </w:r>
          </w:p>
          <w:p w14:paraId="14725428">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2、中标供应商与采购人签订合同后，2日历天内将合同扫描件电子版发给</w:t>
            </w:r>
            <w:r>
              <w:rPr>
                <w:rFonts w:hint="eastAsia" w:ascii="宋体" w:hAnsi="宋体" w:eastAsia="宋体" w:cs="宋体"/>
                <w:color w:val="auto"/>
                <w:sz w:val="22"/>
                <w:szCs w:val="22"/>
                <w:highlight w:val="none"/>
                <w:lang w:val="en-US" w:eastAsia="zh-CN"/>
              </w:rPr>
              <w:t>浙江之信工程项目管理有限公司</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邮箱</w:t>
            </w:r>
            <w:r>
              <w:rPr>
                <w:rFonts w:hint="eastAsia" w:ascii="宋体" w:hAnsi="宋体" w:eastAsia="宋体" w:cs="宋体"/>
                <w:color w:val="auto"/>
                <w:sz w:val="22"/>
                <w:szCs w:val="22"/>
                <w:highlight w:val="none"/>
                <w:lang w:eastAsia="zh-CN"/>
              </w:rPr>
              <w:t>：</w:t>
            </w:r>
            <w:r>
              <w:rPr>
                <w:rStyle w:val="39"/>
                <w:rFonts w:hint="eastAsia" w:ascii="宋体" w:hAnsi="宋体" w:cs="宋体"/>
                <w:color w:val="auto"/>
                <w:sz w:val="22"/>
                <w:szCs w:val="22"/>
                <w:highlight w:val="none"/>
                <w:lang w:eastAsia="zh-CN"/>
              </w:rPr>
              <w:t>522893988</w:t>
            </w:r>
            <w:r>
              <w:rPr>
                <w:rStyle w:val="39"/>
                <w:rFonts w:hint="eastAsia" w:ascii="宋体" w:hAnsi="宋体" w:eastAsia="宋体" w:cs="宋体"/>
                <w:color w:val="auto"/>
                <w:sz w:val="22"/>
                <w:szCs w:val="22"/>
                <w:highlight w:val="none"/>
                <w:lang w:eastAsia="zh-CN"/>
              </w:rPr>
              <w:t>@qq.com</w:t>
            </w:r>
            <w:r>
              <w:rPr>
                <w:rFonts w:hint="eastAsia" w:ascii="宋体" w:hAnsi="宋体" w:eastAsia="宋体" w:cs="宋体"/>
                <w:color w:val="auto"/>
                <w:sz w:val="22"/>
                <w:szCs w:val="22"/>
                <w:highlight w:val="none"/>
              </w:rPr>
              <w:t>；</w:t>
            </w:r>
          </w:p>
        </w:tc>
      </w:tr>
      <w:tr w14:paraId="480AE3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FC001C3">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0D4D4239">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合同履约管理</w:t>
            </w:r>
          </w:p>
        </w:tc>
        <w:tc>
          <w:tcPr>
            <w:tcW w:w="7533" w:type="dxa"/>
            <w:noWrap w:val="0"/>
            <w:vAlign w:val="center"/>
          </w:tcPr>
          <w:p w14:paraId="7389381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合同签订后，采购人依法加强对合同履约进行管理，并在中标单位供货、项目验收等重要</w:t>
            </w:r>
            <w:r>
              <w:rPr>
                <w:rFonts w:hint="eastAsia" w:ascii="宋体" w:hAnsi="宋体" w:cs="宋体"/>
                <w:color w:val="auto"/>
                <w:sz w:val="22"/>
                <w:szCs w:val="22"/>
                <w:highlight w:val="none"/>
                <w:lang w:val="en-US" w:eastAsia="zh-CN"/>
              </w:rPr>
              <w:t>环</w:t>
            </w:r>
            <w:r>
              <w:rPr>
                <w:rFonts w:hint="eastAsia" w:ascii="宋体" w:hAnsi="宋体" w:eastAsia="宋体" w:cs="宋体"/>
                <w:color w:val="auto"/>
                <w:sz w:val="22"/>
                <w:szCs w:val="22"/>
                <w:highlight w:val="none"/>
              </w:rPr>
              <w:t>节，如实填写《合同验收报告》（或考核资料），并及时向同级财政部门报告验收过程中遇到的问题。</w:t>
            </w:r>
          </w:p>
        </w:tc>
      </w:tr>
      <w:tr w14:paraId="1840CB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42" w:type="dxa"/>
            <w:noWrap w:val="0"/>
            <w:vAlign w:val="center"/>
          </w:tcPr>
          <w:p w14:paraId="52738421">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5865F87B">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免责</w:t>
            </w:r>
            <w:r>
              <w:rPr>
                <w:rFonts w:hint="eastAsia" w:ascii="宋体" w:hAnsi="宋体" w:eastAsia="宋体" w:cs="宋体"/>
                <w:color w:val="auto"/>
                <w:sz w:val="22"/>
                <w:szCs w:val="22"/>
                <w:highlight w:val="none"/>
              </w:rPr>
              <w:t>声明</w:t>
            </w:r>
          </w:p>
        </w:tc>
        <w:tc>
          <w:tcPr>
            <w:tcW w:w="7533" w:type="dxa"/>
            <w:noWrap w:val="0"/>
            <w:vAlign w:val="center"/>
          </w:tcPr>
          <w:p w14:paraId="14BBBEA5">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1、投标供应商自行承担投标过程中产生的费用。无论何种因素导致采购项目延期开标、废标（流标）、投标供应商未中标、项目终止采购的，采购人与代理机构均不承担供应商投标费用。</w:t>
            </w:r>
          </w:p>
          <w:p w14:paraId="120D51E7">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2、投标供应商在投标、合同履行过程中必须做好安全保障工作，不因项目实施而危及自身及第三方人员、财产安全。若发生任何安全事故，由中标供应商自行承担一切责任并赔偿损失。</w:t>
            </w:r>
          </w:p>
        </w:tc>
      </w:tr>
      <w:tr w14:paraId="684210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904" w:hRule="atLeast"/>
          <w:jc w:val="center"/>
        </w:trPr>
        <w:tc>
          <w:tcPr>
            <w:tcW w:w="842" w:type="dxa"/>
            <w:noWrap w:val="0"/>
            <w:vAlign w:val="center"/>
          </w:tcPr>
          <w:p w14:paraId="1CBF6012">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5009B401">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解释权</w:t>
            </w:r>
          </w:p>
        </w:tc>
        <w:tc>
          <w:tcPr>
            <w:tcW w:w="7533" w:type="dxa"/>
            <w:noWrap w:val="0"/>
            <w:vAlign w:val="center"/>
          </w:tcPr>
          <w:p w14:paraId="60705AB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构成本采购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52A56C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77" w:hRule="atLeast"/>
          <w:jc w:val="center"/>
        </w:trPr>
        <w:tc>
          <w:tcPr>
            <w:tcW w:w="842" w:type="dxa"/>
            <w:noWrap w:val="0"/>
            <w:vAlign w:val="center"/>
          </w:tcPr>
          <w:p w14:paraId="03CF465D">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462C5B67">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特别说明</w:t>
            </w:r>
          </w:p>
        </w:tc>
        <w:tc>
          <w:tcPr>
            <w:tcW w:w="7533" w:type="dxa"/>
            <w:noWrap w:val="0"/>
            <w:vAlign w:val="center"/>
          </w:tcPr>
          <w:p w14:paraId="0E6A8B2A">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中标供应商在合同签订前，采购人有权要求中标供应商提供其投标文件中的相关文件资料的原件进行审核；如无法提供原件或提供的原件与其投标文件中的不符，采购人有权取消其中标资格，并提交主管部门处理。</w:t>
            </w:r>
          </w:p>
        </w:tc>
      </w:tr>
      <w:tr w14:paraId="67A38F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42" w:type="dxa"/>
            <w:noWrap w:val="0"/>
            <w:vAlign w:val="center"/>
          </w:tcPr>
          <w:p w14:paraId="3F9A9E38">
            <w:pPr>
              <w:keepNext w:val="0"/>
              <w:keepLines w:val="0"/>
              <w:widowControl/>
              <w:numPr>
                <w:ilvl w:val="0"/>
                <w:numId w:val="1"/>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5DEA0212">
            <w:pPr>
              <w:keepNext w:val="0"/>
              <w:keepLines w:val="0"/>
              <w:suppressLineNumbers w:val="0"/>
              <w:shd w:val="clear" w:color="auto" w:fill="auto"/>
              <w:wordWrap w:val="0"/>
              <w:spacing w:before="0" w:beforeAutospacing="0" w:after="0" w:afterAutospacing="0" w:line="360" w:lineRule="auto"/>
              <w:ind w:left="0" w:right="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报价要求</w:t>
            </w:r>
          </w:p>
        </w:tc>
        <w:tc>
          <w:tcPr>
            <w:tcW w:w="7533" w:type="dxa"/>
            <w:noWrap w:val="0"/>
            <w:vAlign w:val="center"/>
          </w:tcPr>
          <w:p w14:paraId="2196658D">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本项目预算公开，预算金额即为最高限价：</w:t>
            </w:r>
          </w:p>
          <w:p w14:paraId="479A0FB7">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1.1策划服务费：预算金额即最高限价：600万元；</w:t>
            </w:r>
          </w:p>
          <w:p w14:paraId="54A0750C">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1.2筹备期招商服务费：预算金额即最高限价：</w:t>
            </w:r>
          </w:p>
          <w:p w14:paraId="1F98931B">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该服务费用以商业综合体项目截止至正式开业日所达到的招商签约率，以实际图纸商业可租赁面积计算为基准。筹备期招商服务费按照采购人收取的3个月含税租金为标准收取费用为最高限价。附考核条件（奖惩条件详见采购文件）；投标报价时综合考虑后按3个月含税租金为基础填报折扣率，最高折扣率报价为100%。</w:t>
            </w:r>
          </w:p>
          <w:p w14:paraId="1AF70872">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注：以实际图纸商业可租赁面积计算为基准，并且签约租户的品牌、租户信息须经采购人书面同意方可计入签约率。</w:t>
            </w:r>
          </w:p>
          <w:p w14:paraId="3AF10BC9">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1.3品牌授权使用服务费：预算金额即最高限价：每年不高于70万元。</w:t>
            </w:r>
          </w:p>
          <w:p w14:paraId="509ACA9D">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1.4招商团队固定费用：20万元/月</w:t>
            </w:r>
            <w:r>
              <w:rPr>
                <w:rFonts w:hint="eastAsia" w:ascii="宋体" w:hAnsi="宋体" w:cs="宋体"/>
                <w:b w:val="0"/>
                <w:bCs w:val="0"/>
                <w:color w:val="auto"/>
                <w:sz w:val="22"/>
                <w:szCs w:val="22"/>
                <w:highlight w:val="none"/>
                <w:lang w:val="en-US" w:eastAsia="zh-CN"/>
              </w:rPr>
              <w:t>，固定报价，不作竞争。</w:t>
            </w:r>
          </w:p>
          <w:p w14:paraId="50B22CC5">
            <w:pPr>
              <w:keepNext w:val="0"/>
              <w:keepLines w:val="0"/>
              <w:suppressLineNumbers w:val="0"/>
              <w:shd w:val="clear" w:color="auto" w:fill="auto"/>
              <w:wordWrap w:val="0"/>
              <w:snapToGrid w:val="0"/>
              <w:spacing w:before="0" w:beforeAutospacing="0" w:after="0" w:afterAutospacing="0" w:line="360" w:lineRule="auto"/>
              <w:ind w:left="0" w:right="0"/>
              <w:rPr>
                <w:rFonts w:hint="default" w:ascii="宋体" w:hAnsi="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1.5运营团队固定费用</w:t>
            </w:r>
            <w:r>
              <w:rPr>
                <w:rFonts w:hint="eastAsia" w:ascii="宋体" w:hAnsi="宋体" w:cs="宋体"/>
                <w:b w:val="0"/>
                <w:bCs w:val="0"/>
                <w:color w:val="auto"/>
                <w:sz w:val="22"/>
                <w:szCs w:val="22"/>
                <w:highlight w:val="none"/>
                <w:lang w:val="en-US" w:eastAsia="zh-CN"/>
              </w:rPr>
              <w:t>：25万元/月，固定报价，不作竞争。</w:t>
            </w:r>
          </w:p>
        </w:tc>
      </w:tr>
    </w:tbl>
    <w:p w14:paraId="7813C448">
      <w:pPr>
        <w:pStyle w:val="10"/>
        <w:shd w:val="clear" w:color="auto" w:fill="auto"/>
        <w:wordWrap w:val="0"/>
        <w:spacing w:line="360" w:lineRule="auto"/>
        <w:rPr>
          <w:rFonts w:hint="eastAsia" w:ascii="宋体" w:hAnsi="宋体" w:eastAsia="宋体" w:cs="宋体"/>
          <w:color w:val="auto"/>
          <w:highlight w:val="none"/>
        </w:rPr>
        <w:sectPr>
          <w:footerReference r:id="rId3" w:type="default"/>
          <w:pgSz w:w="11906" w:h="16838"/>
          <w:pgMar w:top="1440" w:right="1080" w:bottom="1440" w:left="1080" w:header="851" w:footer="992" w:gutter="0"/>
          <w:pgNumType w:start="1"/>
          <w:cols w:space="720" w:num="1"/>
          <w:docGrid w:linePitch="312" w:charSpace="0"/>
        </w:sectPr>
      </w:pPr>
    </w:p>
    <w:p w14:paraId="21447097">
      <w:pPr>
        <w:shd w:val="clear" w:color="auto" w:fill="auto"/>
        <w:wordWrap w:val="0"/>
        <w:autoSpaceDE w:val="0"/>
        <w:autoSpaceDN w:val="0"/>
        <w:spacing w:line="360" w:lineRule="auto"/>
        <w:jc w:val="center"/>
        <w:textAlignment w:val="bottom"/>
        <w:rPr>
          <w:rFonts w:hint="eastAsia" w:ascii="宋体" w:hAnsi="宋体" w:eastAsia="宋体" w:cs="宋体"/>
          <w:color w:val="auto"/>
          <w:sz w:val="28"/>
          <w:highlight w:val="none"/>
        </w:rPr>
      </w:pPr>
      <w:r>
        <w:rPr>
          <w:rFonts w:hint="eastAsia" w:ascii="宋体" w:hAnsi="宋体" w:eastAsia="宋体" w:cs="宋体"/>
          <w:color w:val="auto"/>
          <w:sz w:val="36"/>
          <w:highlight w:val="none"/>
        </w:rPr>
        <w:t>采购文件目录</w:t>
      </w:r>
    </w:p>
    <w:p w14:paraId="47CD7076">
      <w:pPr>
        <w:shd w:val="clear" w:color="auto" w:fill="auto"/>
        <w:spacing w:line="480" w:lineRule="auto"/>
        <w:jc w:val="center"/>
        <w:rPr>
          <w:rFonts w:hint="eastAsia" w:ascii="宋体" w:hAnsi="宋体" w:eastAsia="宋体" w:cs="宋体"/>
          <w:color w:val="auto"/>
          <w:sz w:val="24"/>
          <w:highlight w:val="none"/>
        </w:rPr>
      </w:pPr>
    </w:p>
    <w:p w14:paraId="35143AF3">
      <w:pPr>
        <w:pStyle w:val="23"/>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_Toc15431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rPr>
        <w:t>第一部分 项目简介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_Toc15431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640D74">
      <w:pPr>
        <w:pStyle w:val="23"/>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_Toc15020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第二部分 采购内容及技术要求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_Toc15020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96CCD72">
      <w:pPr>
        <w:pStyle w:val="23"/>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rPr>
        <w:t>第三部分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_Toc15258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FA85959">
      <w:pPr>
        <w:pStyle w:val="17"/>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_Toc19221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_Toc19221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1992316">
      <w:pPr>
        <w:pStyle w:val="17"/>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_Toc22107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二、供应商资格要求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_Toc22107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9D8E7BA">
      <w:pPr>
        <w:pStyle w:val="17"/>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_Toc10391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三、采购文件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_Toc10391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5CF190E">
      <w:pPr>
        <w:pStyle w:val="17"/>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_Toc12846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四、投标文件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_Toc12846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A82E9C2">
      <w:pPr>
        <w:pStyle w:val="17"/>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_Toc16183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五、投标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_Toc16183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736A212">
      <w:pPr>
        <w:pStyle w:val="17"/>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_Toc23198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六、开标和评标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_Toc23198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8BC42E7">
      <w:pPr>
        <w:pStyle w:val="17"/>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_Toc16659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七、授予合同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_Toc16659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BC303AB">
      <w:pPr>
        <w:pStyle w:val="23"/>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_Toc8999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第四部分 采购政策功能相关说明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_Toc8999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4AF4DD">
      <w:pPr>
        <w:pStyle w:val="23"/>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_Toc7442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第五部分 合同格式（仅供参考）</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_Toc7442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76B57E">
      <w:pPr>
        <w:pStyle w:val="23"/>
        <w:shd w:val="clear" w:color="auto" w:fill="auto"/>
        <w:tabs>
          <w:tab w:val="right" w:leader="dot" w:pos="8997"/>
        </w:tabs>
        <w:spacing w:line="48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第六部分 附件—投标文件格式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8</w:t>
      </w:r>
    </w:p>
    <w:p w14:paraId="1F7C289F">
      <w:pPr>
        <w:pStyle w:val="23"/>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_Toc19137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第七部分 评标办法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_Toc19137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639999">
      <w:pPr>
        <w:pStyle w:val="23"/>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_Toc23666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国企采购活动现场确认声明书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_Toc23666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D46FEA6">
      <w:pPr>
        <w:pStyle w:val="14"/>
        <w:shd w:val="clear" w:color="auto" w:fill="auto"/>
        <w:wordWrap w:val="0"/>
        <w:spacing w:before="0" w:beforeLines="0" w:after="0" w:afterLines="0" w:line="480" w:lineRule="auto"/>
        <w:ind w:left="0" w:firstLine="0" w:firstLineChars="0"/>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end"/>
      </w:r>
    </w:p>
    <w:p w14:paraId="3130E369">
      <w:pPr>
        <w:pStyle w:val="14"/>
        <w:shd w:val="clear" w:color="auto" w:fill="auto"/>
        <w:wordWrap w:val="0"/>
        <w:spacing w:before="0" w:beforeLines="0" w:after="0" w:afterLines="0" w:line="360" w:lineRule="auto"/>
        <w:ind w:left="0" w:firstLine="0" w:firstLineChars="0"/>
        <w:rPr>
          <w:rFonts w:hint="eastAsia" w:ascii="宋体" w:hAnsi="宋体" w:eastAsia="宋体" w:cs="宋体"/>
          <w:color w:val="auto"/>
          <w:highlight w:val="none"/>
        </w:rPr>
      </w:pPr>
    </w:p>
    <w:p w14:paraId="1474D8BA">
      <w:pPr>
        <w:pStyle w:val="14"/>
        <w:shd w:val="clear" w:color="auto" w:fill="auto"/>
        <w:wordWrap w:val="0"/>
        <w:spacing w:before="0" w:beforeLines="0" w:after="0" w:afterLines="0" w:line="360" w:lineRule="auto"/>
        <w:ind w:left="0" w:firstLine="0" w:firstLineChars="0"/>
        <w:rPr>
          <w:rFonts w:hint="eastAsia" w:ascii="宋体" w:hAnsi="宋体" w:eastAsia="宋体" w:cs="宋体"/>
          <w:color w:val="auto"/>
          <w:highlight w:val="none"/>
        </w:rPr>
      </w:pPr>
    </w:p>
    <w:p w14:paraId="64FCC6E6">
      <w:pPr>
        <w:pStyle w:val="14"/>
        <w:shd w:val="clear" w:color="auto" w:fill="auto"/>
        <w:wordWrap w:val="0"/>
        <w:spacing w:before="0" w:beforeLines="0" w:after="0" w:afterLines="0" w:line="360" w:lineRule="auto"/>
        <w:ind w:left="0" w:firstLine="0" w:firstLineChars="0"/>
        <w:rPr>
          <w:rFonts w:hint="eastAsia" w:ascii="宋体" w:hAnsi="宋体" w:eastAsia="宋体" w:cs="宋体"/>
          <w:color w:val="auto"/>
          <w:highlight w:val="none"/>
        </w:rPr>
      </w:pPr>
    </w:p>
    <w:p w14:paraId="0F976D0A">
      <w:pPr>
        <w:shd w:val="clear" w:color="auto" w:fill="auto"/>
        <w:wordWrap w:val="0"/>
        <w:autoSpaceDE w:val="0"/>
        <w:autoSpaceDN w:val="0"/>
        <w:adjustRightInd w:val="0"/>
        <w:snapToGrid w:val="0"/>
        <w:spacing w:line="360" w:lineRule="auto"/>
        <w:jc w:val="center"/>
        <w:textAlignment w:val="bottom"/>
        <w:outlineLvl w:val="0"/>
        <w:rPr>
          <w:rFonts w:hint="eastAsia" w:ascii="宋体" w:hAnsi="宋体" w:eastAsia="宋体" w:cs="宋体"/>
          <w:b/>
          <w:color w:val="auto"/>
          <w:sz w:val="36"/>
          <w:highlight w:val="none"/>
          <w:lang w:val="zh-CN"/>
        </w:rPr>
      </w:pPr>
      <w:bookmarkStart w:id="7" w:name="_Toc15431"/>
      <w:r>
        <w:rPr>
          <w:rFonts w:hint="eastAsia" w:ascii="宋体" w:hAnsi="宋体" w:eastAsia="宋体" w:cs="宋体"/>
          <w:b/>
          <w:color w:val="auto"/>
          <w:sz w:val="36"/>
          <w:highlight w:val="none"/>
          <w:lang w:val="zh-CN"/>
        </w:rPr>
        <w:br w:type="page"/>
      </w:r>
      <w:r>
        <w:rPr>
          <w:rFonts w:hint="eastAsia" w:ascii="宋体" w:hAnsi="宋体" w:eastAsia="宋体" w:cs="宋体"/>
          <w:b/>
          <w:color w:val="auto"/>
          <w:sz w:val="36"/>
          <w:highlight w:val="none"/>
          <w:lang w:val="zh-CN"/>
        </w:rPr>
        <w:t>第一部分 项目简介</w:t>
      </w:r>
      <w:bookmarkEnd w:id="7"/>
    </w:p>
    <w:p w14:paraId="427CE774">
      <w:pPr>
        <w:pStyle w:val="24"/>
        <w:shd w:val="clear" w:color="auto" w:fill="auto"/>
        <w:wordWrap w:val="0"/>
        <w:adjustRightInd w:val="0"/>
        <w:snapToGrid w:val="0"/>
        <w:spacing w:line="360" w:lineRule="auto"/>
        <w:ind w:firstLine="0" w:firstLineChars="0"/>
        <w:outlineLvl w:val="0"/>
        <w:rPr>
          <w:rFonts w:hint="eastAsia" w:ascii="宋体" w:hAnsi="宋体" w:eastAsia="宋体" w:cs="宋体"/>
          <w:b/>
          <w:color w:val="auto"/>
          <w:sz w:val="22"/>
          <w:szCs w:val="22"/>
          <w:highlight w:val="none"/>
        </w:rPr>
      </w:pPr>
      <w:bookmarkStart w:id="8" w:name="_Toc23157"/>
      <w:bookmarkStart w:id="9" w:name="_Toc7800"/>
      <w:bookmarkStart w:id="10" w:name="_Toc611"/>
      <w:bookmarkStart w:id="11" w:name="_Toc444066171"/>
      <w:r>
        <w:rPr>
          <w:rFonts w:hint="eastAsia" w:ascii="宋体" w:hAnsi="宋体" w:eastAsia="宋体" w:cs="宋体"/>
          <w:b/>
          <w:color w:val="auto"/>
          <w:sz w:val="22"/>
          <w:szCs w:val="22"/>
          <w:highlight w:val="none"/>
        </w:rPr>
        <w:t>1、项目简介</w:t>
      </w:r>
      <w:bookmarkEnd w:id="8"/>
      <w:bookmarkEnd w:id="9"/>
      <w:bookmarkEnd w:id="10"/>
    </w:p>
    <w:p w14:paraId="5336E94B">
      <w:pPr>
        <w:shd w:val="clear" w:color="auto" w:fill="auto"/>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浙江之信工程项目管理有限公司</w:t>
      </w:r>
      <w:r>
        <w:rPr>
          <w:rFonts w:hint="eastAsia" w:ascii="宋体" w:hAnsi="宋体" w:eastAsia="宋体" w:cs="宋体"/>
          <w:color w:val="auto"/>
          <w:highlight w:val="none"/>
        </w:rPr>
        <w:t>受平阳县城发城市运营管理有限公司委托</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以公开招标方式采购</w:t>
      </w:r>
      <w:r>
        <w:rPr>
          <w:rFonts w:hint="eastAsia" w:ascii="宋体" w:hAnsi="宋体" w:cs="宋体"/>
          <w:color w:val="auto"/>
          <w:highlight w:val="none"/>
          <w:lang w:eastAsia="zh-CN"/>
        </w:rPr>
        <w:t>昆鳌协同区F-42地块商业综合体项目招商运营服务项目</w:t>
      </w:r>
      <w:r>
        <w:rPr>
          <w:rFonts w:hint="eastAsia" w:ascii="宋体" w:hAnsi="宋体" w:eastAsia="宋体" w:cs="宋体"/>
          <w:color w:val="auto"/>
          <w:highlight w:val="none"/>
        </w:rPr>
        <w:t>，本次招标资金已经落实。</w:t>
      </w:r>
    </w:p>
    <w:p w14:paraId="3F460633">
      <w:pPr>
        <w:shd w:val="clear" w:color="auto" w:fill="auto"/>
        <w:wordWrap w:val="0"/>
        <w:spacing w:line="360" w:lineRule="auto"/>
        <w:ind w:firstLine="420" w:firstLineChars="200"/>
        <w:rPr>
          <w:rFonts w:hint="eastAsia" w:ascii="宋体" w:hAnsi="宋体" w:eastAsia="宋体" w:cs="宋体"/>
          <w:b/>
          <w:color w:val="auto"/>
          <w:sz w:val="36"/>
          <w:highlight w:val="none"/>
        </w:rPr>
      </w:pPr>
      <w:r>
        <w:rPr>
          <w:rFonts w:hint="eastAsia" w:ascii="宋体" w:hAnsi="宋体" w:eastAsia="宋体" w:cs="宋体"/>
          <w:color w:val="auto"/>
          <w:highlight w:val="none"/>
        </w:rPr>
        <w:t>我们热情欢迎有关公司（企业）前来进行投标。</w:t>
      </w:r>
      <w:bookmarkEnd w:id="11"/>
    </w:p>
    <w:p w14:paraId="63DC9B66">
      <w:pPr>
        <w:numPr>
          <w:ilvl w:val="0"/>
          <w:numId w:val="2"/>
        </w:numPr>
        <w:shd w:val="clear" w:color="auto" w:fill="auto"/>
        <w:wordWrap w:val="0"/>
        <w:autoSpaceDE w:val="0"/>
        <w:autoSpaceDN w:val="0"/>
        <w:adjustRightInd w:val="0"/>
        <w:snapToGrid w:val="0"/>
        <w:spacing w:line="360" w:lineRule="auto"/>
        <w:jc w:val="center"/>
        <w:textAlignment w:val="bottom"/>
        <w:outlineLvl w:val="0"/>
        <w:rPr>
          <w:rFonts w:hint="eastAsia" w:ascii="宋体" w:hAnsi="宋体" w:eastAsia="宋体" w:cs="宋体"/>
          <w:b/>
          <w:color w:val="auto"/>
          <w:sz w:val="36"/>
          <w:highlight w:val="none"/>
        </w:rPr>
      </w:pPr>
      <w:bookmarkStart w:id="12" w:name="_Toc15020"/>
      <w:r>
        <w:rPr>
          <w:rFonts w:hint="eastAsia" w:ascii="宋体" w:hAnsi="宋体" w:eastAsia="宋体" w:cs="宋体"/>
          <w:b/>
          <w:color w:val="auto"/>
          <w:sz w:val="36"/>
          <w:highlight w:val="none"/>
        </w:rPr>
        <w:t>采购内容及技术要求</w:t>
      </w:r>
      <w:bookmarkEnd w:id="12"/>
    </w:p>
    <w:p w14:paraId="256911B0">
      <w:pPr>
        <w:spacing w:line="360" w:lineRule="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一、</w:t>
      </w:r>
      <w:r>
        <w:rPr>
          <w:rFonts w:hint="eastAsia" w:ascii="宋体" w:hAnsi="宋体" w:eastAsia="宋体" w:cs="宋体"/>
          <w:b/>
          <w:bCs/>
          <w:color w:val="auto"/>
          <w:sz w:val="21"/>
          <w:szCs w:val="21"/>
          <w:highlight w:val="none"/>
          <w:lang w:val="en-US" w:eastAsia="zh-CN"/>
        </w:rPr>
        <w:t>项目概况</w:t>
      </w:r>
    </w:p>
    <w:p w14:paraId="1A0C0B5D">
      <w:pPr>
        <w:spacing w:line="360" w:lineRule="auto"/>
        <w:ind w:firstLine="420" w:firstLineChars="200"/>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昆鳌协同区F-42地块商业综合体项目招商运营服务项目，位于平阳县昆鳌协同发展核心区，地块面积44635平方米。</w:t>
      </w:r>
    </w:p>
    <w:p w14:paraId="2DF1C256">
      <w:pPr>
        <w:spacing w:line="360" w:lineRule="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二、采购范围</w:t>
      </w:r>
      <w:r>
        <w:rPr>
          <w:rFonts w:hint="eastAsia" w:ascii="宋体" w:hAnsi="宋体" w:eastAsia="宋体" w:cs="宋体"/>
          <w:b/>
          <w:bCs/>
          <w:color w:val="auto"/>
          <w:sz w:val="21"/>
          <w:szCs w:val="21"/>
          <w:highlight w:val="none"/>
          <w:lang w:eastAsia="zh-CN"/>
        </w:rPr>
        <w:t>：</w:t>
      </w:r>
    </w:p>
    <w:p w14:paraId="2A529D1A">
      <w:pPr>
        <w:spacing w:line="360" w:lineRule="auto"/>
        <w:ind w:firstLine="420" w:firstLineChars="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商业综合体的商业部分委托运营，由中标方全权负责运营场所的</w:t>
      </w:r>
      <w:r>
        <w:rPr>
          <w:rFonts w:hint="eastAsia" w:ascii="宋体" w:hAnsi="宋体" w:cs="宋体"/>
          <w:color w:val="auto"/>
          <w:sz w:val="21"/>
          <w:szCs w:val="21"/>
          <w:highlight w:val="none"/>
          <w:lang w:val="en-US" w:eastAsia="zh-CN"/>
        </w:rPr>
        <w:t>策划、</w:t>
      </w:r>
      <w:r>
        <w:rPr>
          <w:rFonts w:hint="default" w:ascii="宋体" w:hAnsi="宋体" w:eastAsia="宋体" w:cs="宋体"/>
          <w:color w:val="auto"/>
          <w:sz w:val="21"/>
          <w:szCs w:val="21"/>
          <w:highlight w:val="none"/>
          <w:lang w:val="en-US" w:eastAsia="zh-CN"/>
        </w:rPr>
        <w:t>招商、对外租赁、营运、广告推广，并享有对外经营产生的分成收益。</w:t>
      </w:r>
    </w:p>
    <w:p w14:paraId="6D631FEF">
      <w:pPr>
        <w:spacing w:line="360" w:lineRule="auto"/>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三</w:t>
      </w:r>
      <w:r>
        <w:rPr>
          <w:rFonts w:hint="eastAsia" w:ascii="宋体" w:hAnsi="宋体" w:eastAsia="宋体" w:cs="宋体"/>
          <w:b/>
          <w:bCs/>
          <w:color w:val="auto"/>
          <w:highlight w:val="none"/>
        </w:rPr>
        <w:t>、</w:t>
      </w:r>
      <w:r>
        <w:rPr>
          <w:rFonts w:hint="eastAsia" w:ascii="宋体" w:hAnsi="宋体" w:cs="宋体"/>
          <w:b/>
          <w:bCs/>
          <w:color w:val="auto"/>
          <w:highlight w:val="none"/>
          <w:lang w:val="en-US" w:eastAsia="zh-CN"/>
        </w:rPr>
        <w:t>服务内容及商务条款</w:t>
      </w:r>
    </w:p>
    <w:p w14:paraId="132815B7">
      <w:pPr>
        <w:spacing w:line="360" w:lineRule="auto"/>
        <w:ind w:firstLine="420" w:firstLineChars="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w:t>
      </w:r>
      <w:r>
        <w:rPr>
          <w:rFonts w:hint="eastAsia" w:ascii="宋体" w:hAnsi="宋体" w:cs="宋体"/>
          <w:b/>
          <w:bCs/>
          <w:color w:val="auto"/>
          <w:sz w:val="21"/>
          <w:szCs w:val="21"/>
          <w:highlight w:val="none"/>
          <w:lang w:val="en-US" w:eastAsia="zh-CN"/>
        </w:rPr>
        <w:t>策划服务</w:t>
      </w:r>
    </w:p>
    <w:p w14:paraId="4DB63E12">
      <w:pPr>
        <w:spacing w:line="360" w:lineRule="auto"/>
        <w:ind w:firstLine="420" w:firstLineChars="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1、策划服务</w:t>
      </w:r>
      <w:r>
        <w:rPr>
          <w:rFonts w:hint="eastAsia" w:ascii="宋体" w:hAnsi="宋体" w:cs="宋体"/>
          <w:b/>
          <w:bCs/>
          <w:color w:val="auto"/>
          <w:sz w:val="21"/>
          <w:szCs w:val="21"/>
          <w:highlight w:val="none"/>
          <w:lang w:val="en-US" w:eastAsia="zh-CN"/>
        </w:rPr>
        <w:t>期</w:t>
      </w:r>
    </w:p>
    <w:p w14:paraId="6E11A14E">
      <w:pPr>
        <w:spacing w:line="36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合同签订之日起至项目开业之日。</w:t>
      </w:r>
    </w:p>
    <w:p w14:paraId="2F5874FE">
      <w:pPr>
        <w:spacing w:line="360" w:lineRule="auto"/>
        <w:ind w:firstLine="420" w:firstLineChars="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2、策划服务内容</w:t>
      </w:r>
    </w:p>
    <w:p w14:paraId="0EA60490">
      <w:pPr>
        <w:spacing w:line="360" w:lineRule="auto"/>
        <w:ind w:firstLine="42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商业策划服务：基于项目战略愿景、区域条件的本体分析；宏观经济环境、商业趋势、竞品格局及客群消费特征的市场调研；结合SWOT分析形成的整体发展战略(含主题定位、功能配比、业态矩阵)；基于市场调研和项目定位的项目营收预测模型构建及品牌组合策略、主力品牌筛选等。</w:t>
      </w:r>
    </w:p>
    <w:p w14:paraId="427BD6AB">
      <w:pPr>
        <w:spacing w:line="360" w:lineRule="auto"/>
        <w:ind w:firstLine="42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全过程咨询服务：基于项目愿景，提供合理清晰的市场调研、项目定位、业态规划、招商策略、经济测算、建设期商业空间规划协调顾问(审核设计图纸商业合理性、提供商业专项工程需求建议、协调商业需求与工程进度匹配)等。</w:t>
      </w:r>
    </w:p>
    <w:p w14:paraId="10065988">
      <w:pPr>
        <w:spacing w:line="360" w:lineRule="auto"/>
        <w:ind w:firstLine="420" w:firstLineChars="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3、策划服务费的支付：</w:t>
      </w:r>
    </w:p>
    <w:p w14:paraId="071D2879">
      <w:pPr>
        <w:spacing w:line="360" w:lineRule="auto"/>
        <w:ind w:firstLine="42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第一阶段：协议签订之日起14日内，采购人向中标人支付策划服务费用总额的30%。</w:t>
      </w:r>
    </w:p>
    <w:p w14:paraId="0E1BB50E">
      <w:pPr>
        <w:spacing w:line="360" w:lineRule="auto"/>
        <w:ind w:firstLine="42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第二阶段：中标人对接设计单位完成概念规划方案，且在采购人和中标人双方书面确认后的14日内,采购人支付中标人策划服务费用总额的30%。</w:t>
      </w:r>
    </w:p>
    <w:p w14:paraId="6004C181">
      <w:pPr>
        <w:spacing w:line="360" w:lineRule="auto"/>
        <w:ind w:firstLine="42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第三阶段：中标人对接设计单位完成项目施工图纸，且在采购人和中标人双方书面确认后的14日内,采购人支付中标人策划服务费用总额的30%。</w:t>
      </w:r>
    </w:p>
    <w:p w14:paraId="37AA5D3B">
      <w:pPr>
        <w:spacing w:line="360" w:lineRule="auto"/>
        <w:ind w:firstLine="42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第四阶段：中标人筹备招商阶段开始后的14日内，采购人支付中标人策划服务费用总额的10%。</w:t>
      </w:r>
    </w:p>
    <w:p w14:paraId="523A040A">
      <w:pPr>
        <w:spacing w:line="360" w:lineRule="auto"/>
        <w:ind w:firstLine="42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（二）筹备期招商服务</w:t>
      </w:r>
    </w:p>
    <w:p w14:paraId="3D63642E">
      <w:pPr>
        <w:spacing w:line="360" w:lineRule="auto"/>
        <w:ind w:firstLine="42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1.筹备期招商服务：</w:t>
      </w:r>
    </w:p>
    <w:p w14:paraId="09105141">
      <w:pPr>
        <w:spacing w:line="360" w:lineRule="auto"/>
        <w:ind w:firstLine="42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招商服务期限：开业前</w:t>
      </w:r>
      <w:r>
        <w:rPr>
          <w:rFonts w:hint="eastAsia" w:ascii="宋体" w:hAnsi="宋体" w:eastAsia="宋体" w:cs="宋体"/>
          <w:b w:val="0"/>
          <w:bCs w:val="0"/>
          <w:color w:val="auto"/>
          <w:sz w:val="21"/>
          <w:szCs w:val="21"/>
          <w:highlight w:val="none"/>
          <w:u w:val="single"/>
          <w:lang w:val="en-US" w:eastAsia="zh-CN"/>
        </w:rPr>
        <w:t>18</w:t>
      </w:r>
      <w:r>
        <w:rPr>
          <w:rFonts w:hint="eastAsia" w:ascii="宋体" w:hAnsi="宋体" w:eastAsia="宋体" w:cs="宋体"/>
          <w:b w:val="0"/>
          <w:bCs w:val="0"/>
          <w:color w:val="auto"/>
          <w:sz w:val="21"/>
          <w:szCs w:val="21"/>
          <w:highlight w:val="none"/>
          <w:lang w:val="en-US" w:eastAsia="zh-CN"/>
        </w:rPr>
        <w:t>个月。</w:t>
      </w:r>
    </w:p>
    <w:p w14:paraId="3E3637F8">
      <w:pPr>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2.筹备期招商服务费支付规则：</w:t>
      </w:r>
    </w:p>
    <w:p w14:paraId="0FBC161A">
      <w:pPr>
        <w:spacing w:line="36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筹备期招商服务费：按照采购人收取的含税3个月租金为标准支付，该租金为免租期结束后的正式租金。</w:t>
      </w:r>
    </w:p>
    <w:p w14:paraId="1AE8E835">
      <w:pPr>
        <w:spacing w:line="36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（1）经双方确认后开展具体招商管理和开业筹备工作的推进，招商考核时间节点如下（如项目推进过程中相关时间延后，考核时间节点相应延后）：</w:t>
      </w:r>
    </w:p>
    <w:p w14:paraId="25F12860">
      <w:pPr>
        <w:spacing w:line="36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①开业前3个月，品牌签约率达到80%，在约定时间内未完成目标</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支付</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30万元违约金；</w:t>
      </w:r>
    </w:p>
    <w:p w14:paraId="0462EE11">
      <w:pPr>
        <w:spacing w:line="36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②项目开业时，开业率不少于95%，在约定时间内未完成目标</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支付</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50万元违约金；</w:t>
      </w:r>
    </w:p>
    <w:p w14:paraId="0462B30F">
      <w:pPr>
        <w:spacing w:line="36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③与本平阳县已有同类型商业综合体品牌差异率达总引进品牌数量的【30%】以上，在开业时，未完成目标</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支付</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25万元；</w:t>
      </w:r>
    </w:p>
    <w:p w14:paraId="164BB77E">
      <w:pPr>
        <w:spacing w:line="36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④首次进入平阳县品牌需达到总引进品牌数量的【20%】以上，在开业时，未完成目标</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支付</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 xml:space="preserve"> 25 万元；</w:t>
      </w:r>
    </w:p>
    <w:p w14:paraId="5ED6A2E9">
      <w:pPr>
        <w:spacing w:line="36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⑤首次进入龙港市、平阳县、苍南县的品牌数量达总引进品牌数量的【15%】以上，在开业时，未完成目标</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支付</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25万元。</w:t>
      </w:r>
    </w:p>
    <w:p w14:paraId="72E2C824">
      <w:pPr>
        <w:spacing w:line="36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⑥首次进入温州市的品牌数量达总引进品牌数量的【5%】以上，在开业时，未完成目标</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支付</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 xml:space="preserve"> 25 万元。</w:t>
      </w:r>
    </w:p>
    <w:p w14:paraId="099A2144">
      <w:pPr>
        <w:spacing w:line="360" w:lineRule="auto"/>
        <w:ind w:firstLine="42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（2）筹备期招商服务</w:t>
      </w:r>
      <w:r>
        <w:rPr>
          <w:rFonts w:hint="eastAsia" w:ascii="宋体" w:hAnsi="宋体" w:cs="宋体"/>
          <w:color w:val="auto"/>
          <w:sz w:val="21"/>
          <w:szCs w:val="21"/>
          <w:highlight w:val="none"/>
          <w:lang w:val="en-US" w:eastAsia="zh-CN"/>
        </w:rPr>
        <w:t>费</w:t>
      </w:r>
      <w:r>
        <w:rPr>
          <w:rFonts w:hint="eastAsia" w:ascii="宋体" w:hAnsi="宋体" w:eastAsia="宋体" w:cs="宋体"/>
          <w:color w:val="auto"/>
          <w:sz w:val="21"/>
          <w:szCs w:val="21"/>
          <w:highlight w:val="none"/>
          <w:lang w:val="en-US" w:eastAsia="zh-CN"/>
        </w:rPr>
        <w:t>按季度支付，即在每季度内品牌商家与采购人签署正式租赁合同并缴纳履约保证金后，采购人向中标方提供已签署的正式租赁合同清单并盖章，</w:t>
      </w:r>
      <w:r>
        <w:rPr>
          <w:rFonts w:hint="eastAsia" w:ascii="宋体" w:hAnsi="宋体" w:cs="宋体"/>
          <w:color w:val="auto"/>
          <w:sz w:val="21"/>
          <w:szCs w:val="21"/>
          <w:highlight w:val="none"/>
          <w:lang w:val="en-US" w:eastAsia="zh-CN"/>
        </w:rPr>
        <w:t>经中标人确认后，</w:t>
      </w:r>
      <w:r>
        <w:rPr>
          <w:rFonts w:hint="eastAsia" w:ascii="宋体" w:hAnsi="宋体" w:eastAsia="宋体" w:cs="宋体"/>
          <w:color w:val="auto"/>
          <w:sz w:val="21"/>
          <w:szCs w:val="21"/>
          <w:highlight w:val="none"/>
          <w:lang w:val="en-US" w:eastAsia="zh-CN"/>
        </w:rPr>
        <w:t>采购人需于每季度第三个月的28日前向中标方支付该季度品牌筹备期招商服务</w:t>
      </w:r>
      <w:r>
        <w:rPr>
          <w:rFonts w:hint="eastAsia" w:ascii="宋体" w:hAnsi="宋体" w:cs="宋体"/>
          <w:color w:val="auto"/>
          <w:sz w:val="21"/>
          <w:szCs w:val="21"/>
          <w:highlight w:val="none"/>
          <w:lang w:val="en-US" w:eastAsia="zh-CN"/>
        </w:rPr>
        <w:t>费</w:t>
      </w:r>
      <w:r>
        <w:rPr>
          <w:rFonts w:hint="eastAsia" w:ascii="宋体" w:hAnsi="宋体" w:eastAsia="宋体" w:cs="宋体"/>
          <w:color w:val="auto"/>
          <w:sz w:val="21"/>
          <w:szCs w:val="21"/>
          <w:highlight w:val="none"/>
          <w:lang w:val="en-US" w:eastAsia="zh-CN"/>
        </w:rPr>
        <w:t>。无论何种原因，每个店铺筹备期招商服务</w:t>
      </w:r>
      <w:r>
        <w:rPr>
          <w:rFonts w:hint="eastAsia" w:ascii="宋体" w:hAnsi="宋体" w:cs="宋体"/>
          <w:color w:val="auto"/>
          <w:sz w:val="21"/>
          <w:szCs w:val="21"/>
          <w:highlight w:val="none"/>
          <w:lang w:val="en-US" w:eastAsia="zh-CN"/>
        </w:rPr>
        <w:t>费</w:t>
      </w:r>
      <w:r>
        <w:rPr>
          <w:rFonts w:hint="eastAsia" w:ascii="宋体" w:hAnsi="宋体" w:eastAsia="宋体" w:cs="宋体"/>
          <w:color w:val="auto"/>
          <w:sz w:val="21"/>
          <w:szCs w:val="21"/>
          <w:highlight w:val="none"/>
          <w:lang w:val="en-US" w:eastAsia="zh-CN"/>
        </w:rPr>
        <w:t>只计费一次（不区分品牌），不重复计费。</w:t>
      </w:r>
    </w:p>
    <w:p w14:paraId="11131B5F">
      <w:pPr>
        <w:spacing w:line="36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（3）品牌签约率=签约品牌面积/实际可租赁面积总额*100%。</w:t>
      </w:r>
    </w:p>
    <w:p w14:paraId="1E8DD145">
      <w:pPr>
        <w:spacing w:line="36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开业当天开业率=开业当天实际开业品牌的已租赁面积/实际品牌可租赁面积总额*100%</w:t>
      </w:r>
    </w:p>
    <w:p w14:paraId="51E8FAD9">
      <w:pPr>
        <w:spacing w:line="36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可租赁面积总额按照实际测量双方确认的数据为准；已租赁面积按照正式租赁合同所载的租赁面积为准。签约租户的品牌、租户信息须经采购人书面同意方可计入签约率。</w:t>
      </w:r>
    </w:p>
    <w:p w14:paraId="76C669A2">
      <w:pPr>
        <w:spacing w:line="360" w:lineRule="auto"/>
        <w:ind w:firstLine="42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3.项目筹备期开办费</w:t>
      </w:r>
    </w:p>
    <w:p w14:paraId="6465FAB1">
      <w:pPr>
        <w:spacing w:line="36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项目筹备期开办费指在项目开业前采购人为筹备项目开业而发生的各项费用</w:t>
      </w:r>
      <w:r>
        <w:rPr>
          <w:rFonts w:hint="eastAsia" w:ascii="宋体" w:hAnsi="宋体" w:cs="宋体"/>
          <w:color w:val="auto"/>
          <w:sz w:val="21"/>
          <w:szCs w:val="21"/>
          <w:highlight w:val="none"/>
          <w:lang w:val="en-US" w:eastAsia="zh-CN"/>
        </w:rPr>
        <w:t>（包含但不限于</w:t>
      </w:r>
      <w:r>
        <w:rPr>
          <w:rFonts w:hint="default" w:ascii="宋体" w:hAnsi="宋体" w:cs="宋体"/>
          <w:color w:val="auto"/>
          <w:sz w:val="21"/>
          <w:szCs w:val="21"/>
          <w:highlight w:val="none"/>
          <w:lang w:val="en-US" w:eastAsia="zh-CN"/>
        </w:rPr>
        <w:t>办公设备、筹备期的办公场地租赁、招商发布会、开业活动</w:t>
      </w:r>
      <w:r>
        <w:rPr>
          <w:rFonts w:hint="eastAsia" w:ascii="宋体" w:hAnsi="宋体" w:cs="宋体"/>
          <w:color w:val="auto"/>
          <w:sz w:val="21"/>
          <w:szCs w:val="21"/>
          <w:highlight w:val="none"/>
          <w:lang w:val="en-US" w:eastAsia="zh-CN"/>
        </w:rPr>
        <w:t>等），</w:t>
      </w:r>
      <w:r>
        <w:rPr>
          <w:rFonts w:hint="eastAsia" w:ascii="宋体" w:hAnsi="宋体" w:eastAsia="宋体" w:cs="宋体"/>
          <w:color w:val="auto"/>
          <w:sz w:val="21"/>
          <w:szCs w:val="21"/>
          <w:highlight w:val="none"/>
          <w:lang w:val="en-US" w:eastAsia="zh-CN"/>
        </w:rPr>
        <w:t>具体预算金额以中标方根据项目筹备情况编制的开业前预算表为准，在采购</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lang w:val="en-US" w:eastAsia="zh-CN"/>
        </w:rPr>
        <w:t>审批同意后执行。项目筹备期开办费由采购人承担。</w:t>
      </w:r>
    </w:p>
    <w:p w14:paraId="6665E1EB">
      <w:pPr>
        <w:spacing w:line="360" w:lineRule="auto"/>
        <w:ind w:firstLine="42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4.品牌装补费用</w:t>
      </w:r>
    </w:p>
    <w:p w14:paraId="401C056F">
      <w:pPr>
        <w:spacing w:line="36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1在筹备期每引进1个“重点品牌名录”内品牌，自品牌方进场装修前30日内，采购人向品牌支付装修补助（分为可直接提供、运营后分批返还、免租期延长等方式，具体由采购人依据制度执行），筹备期品牌装修补助费用总额不得超过【5</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00】万元</w:t>
      </w:r>
      <w:r>
        <w:rPr>
          <w:rFonts w:hint="eastAsia" w:ascii="宋体" w:hAnsi="宋体" w:cs="宋体"/>
          <w:color w:val="auto"/>
          <w:sz w:val="21"/>
          <w:szCs w:val="21"/>
          <w:highlight w:val="none"/>
          <w:lang w:val="en-US" w:eastAsia="zh-CN"/>
        </w:rPr>
        <w:t>，“重点品牌名录”、具体补助方式和补助资金通过采购人一事一议另行研究确定</w:t>
      </w:r>
      <w:r>
        <w:rPr>
          <w:rFonts w:hint="eastAsia" w:ascii="宋体" w:hAnsi="宋体" w:eastAsia="宋体" w:cs="宋体"/>
          <w:color w:val="auto"/>
          <w:sz w:val="21"/>
          <w:szCs w:val="21"/>
          <w:highlight w:val="none"/>
          <w:lang w:val="en-US" w:eastAsia="zh-CN"/>
        </w:rPr>
        <w:t>。</w:t>
      </w:r>
    </w:p>
    <w:p w14:paraId="476122C3">
      <w:pPr>
        <w:spacing w:line="36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其他详见合同约定。</w:t>
      </w:r>
    </w:p>
    <w:p w14:paraId="630535A8">
      <w:pPr>
        <w:spacing w:line="360" w:lineRule="auto"/>
        <w:ind w:firstLine="42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5.筹备期</w:t>
      </w:r>
      <w:r>
        <w:rPr>
          <w:rFonts w:hint="eastAsia" w:ascii="宋体" w:hAnsi="宋体" w:cs="宋体"/>
          <w:b/>
          <w:bCs/>
          <w:color w:val="auto"/>
          <w:sz w:val="21"/>
          <w:szCs w:val="21"/>
          <w:highlight w:val="none"/>
          <w:lang w:val="en-US" w:eastAsia="zh-CN"/>
        </w:rPr>
        <w:t>招商服务</w:t>
      </w:r>
      <w:r>
        <w:rPr>
          <w:rFonts w:hint="eastAsia" w:ascii="宋体" w:hAnsi="宋体" w:eastAsia="宋体" w:cs="宋体"/>
          <w:b/>
          <w:bCs/>
          <w:color w:val="auto"/>
          <w:sz w:val="21"/>
          <w:szCs w:val="21"/>
          <w:highlight w:val="none"/>
          <w:lang w:val="en-US" w:eastAsia="zh-CN"/>
        </w:rPr>
        <w:t>人员安排</w:t>
      </w:r>
    </w:p>
    <w:p w14:paraId="62F1EA57">
      <w:pPr>
        <w:spacing w:line="360" w:lineRule="auto"/>
        <w:ind w:firstLine="42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方按筹备所需提供相应管理团队，常驻人员4名+4名弹性人员，须安排1名项目总经理，1名招商总监和1名企划经理，1名工程经理，其余按需配备人员进场。本合同签订后【15】日内，应将委派人员名单书面送达至采购人。双方约定开业时间以双方书面确认为准后落实进场及招商工作。</w:t>
      </w:r>
    </w:p>
    <w:p w14:paraId="199B94E2">
      <w:pPr>
        <w:spacing w:line="360" w:lineRule="auto"/>
        <w:ind w:firstLine="42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委派驻场人员如不能胜任工作的，中标方应当更换有能力胜任工作的人员，确保筹备期工作的有序推进。</w:t>
      </w:r>
    </w:p>
    <w:p w14:paraId="12283C27">
      <w:pPr>
        <w:spacing w:line="360" w:lineRule="auto"/>
        <w:ind w:firstLine="420" w:firstLineChars="0"/>
        <w:rPr>
          <w:rFonts w:hint="eastAsia" w:ascii="宋体" w:hAnsi="宋体" w:eastAsia="宋体" w:cs="宋体"/>
          <w:color w:val="auto"/>
          <w:lang w:val="en-US" w:eastAsia="zh-CN"/>
        </w:rPr>
      </w:pPr>
      <w:r>
        <w:rPr>
          <w:rFonts w:hint="eastAsia" w:ascii="宋体" w:hAnsi="宋体" w:cs="宋体"/>
          <w:color w:val="auto"/>
          <w:lang w:val="en-US" w:eastAsia="zh-CN"/>
        </w:rPr>
        <w:t>（1）招商团队固定费用：</w:t>
      </w:r>
      <w:r>
        <w:rPr>
          <w:rFonts w:hint="eastAsia" w:ascii="宋体" w:hAnsi="宋体" w:cs="宋体"/>
          <w:color w:val="auto"/>
          <w:sz w:val="21"/>
          <w:szCs w:val="21"/>
          <w:highlight w:val="none"/>
          <w:lang w:val="en-US" w:eastAsia="zh-CN"/>
        </w:rPr>
        <w:t>20万元/月，期限为18个月。包括（但不限于）：</w:t>
      </w:r>
      <w:r>
        <w:rPr>
          <w:rFonts w:hint="default" w:ascii="宋体" w:hAnsi="宋体" w:eastAsia="宋体" w:cs="宋体"/>
          <w:color w:val="auto"/>
          <w:szCs w:val="21"/>
          <w:highlight w:val="none"/>
          <w:u w:val="none"/>
          <w:lang w:val="en-US" w:eastAsia="zh-CN"/>
        </w:rPr>
        <w:t>工资、五险一金、餐费、差旅接待、住宿、工会福利</w:t>
      </w:r>
      <w:r>
        <w:rPr>
          <w:rFonts w:hint="eastAsia" w:ascii="宋体" w:hAnsi="宋体" w:cs="宋体"/>
          <w:color w:val="auto"/>
          <w:szCs w:val="21"/>
          <w:highlight w:val="none"/>
          <w:u w:val="none"/>
          <w:lang w:val="en-US" w:eastAsia="zh-CN"/>
        </w:rPr>
        <w:t>等</w:t>
      </w:r>
      <w:r>
        <w:rPr>
          <w:rFonts w:hint="default" w:ascii="宋体" w:hAnsi="宋体" w:eastAsia="宋体" w:cs="宋体"/>
          <w:color w:val="auto"/>
          <w:szCs w:val="21"/>
          <w:highlight w:val="none"/>
          <w:u w:val="none"/>
          <w:lang w:val="en-US" w:eastAsia="zh-CN"/>
        </w:rPr>
        <w:t>所有费用(人员费用组成如下)。</w:t>
      </w:r>
    </w:p>
    <w:tbl>
      <w:tblPr>
        <w:tblStyle w:val="29"/>
        <w:tblpPr w:leftFromText="180" w:rightFromText="180" w:vertAnchor="text" w:tblpX="104" w:tblpY="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2059"/>
        <w:gridCol w:w="4666"/>
        <w:gridCol w:w="2294"/>
      </w:tblGrid>
      <w:tr w14:paraId="31669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80" w:type="dxa"/>
            <w:vAlign w:val="center"/>
          </w:tcPr>
          <w:p w14:paraId="71D3EFB9">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059" w:type="dxa"/>
            <w:vAlign w:val="center"/>
          </w:tcPr>
          <w:p w14:paraId="004E8094">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岗位</w:t>
            </w:r>
          </w:p>
        </w:tc>
        <w:tc>
          <w:tcPr>
            <w:tcW w:w="4666" w:type="dxa"/>
            <w:vAlign w:val="center"/>
          </w:tcPr>
          <w:p w14:paraId="6748B210">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岗位职责</w:t>
            </w:r>
          </w:p>
        </w:tc>
        <w:tc>
          <w:tcPr>
            <w:tcW w:w="2294" w:type="dxa"/>
            <w:vAlign w:val="center"/>
          </w:tcPr>
          <w:p w14:paraId="4A2BA4B5">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固定费用标准</w:t>
            </w:r>
          </w:p>
        </w:tc>
      </w:tr>
      <w:tr w14:paraId="37FFE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80" w:type="dxa"/>
            <w:vAlign w:val="center"/>
          </w:tcPr>
          <w:p w14:paraId="128A7218">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059" w:type="dxa"/>
            <w:vAlign w:val="center"/>
          </w:tcPr>
          <w:p w14:paraId="6F4A86F5">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项目总经理</w:t>
            </w:r>
          </w:p>
        </w:tc>
        <w:tc>
          <w:tcPr>
            <w:tcW w:w="4666" w:type="dxa"/>
            <w:vAlign w:val="center"/>
          </w:tcPr>
          <w:p w14:paraId="345FB611">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负责全口径收入把控，整体招商运行</w:t>
            </w:r>
          </w:p>
        </w:tc>
        <w:tc>
          <w:tcPr>
            <w:tcW w:w="2294" w:type="dxa"/>
            <w:vMerge w:val="restart"/>
            <w:vAlign w:val="center"/>
          </w:tcPr>
          <w:p w14:paraId="73F23D85">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r>
              <w:rPr>
                <w:rFonts w:hint="eastAsia" w:ascii="宋体" w:hAnsi="宋体" w:cs="宋体"/>
                <w:color w:val="auto"/>
                <w:sz w:val="21"/>
                <w:szCs w:val="21"/>
                <w:highlight w:val="none"/>
                <w:vertAlign w:val="baseline"/>
                <w:lang w:val="en-US" w:eastAsia="zh-CN"/>
              </w:rPr>
              <w:t>0</w:t>
            </w:r>
            <w:r>
              <w:rPr>
                <w:rFonts w:hint="eastAsia" w:ascii="宋体" w:hAnsi="宋体" w:eastAsia="宋体" w:cs="宋体"/>
                <w:color w:val="auto"/>
                <w:sz w:val="21"/>
                <w:szCs w:val="21"/>
                <w:highlight w:val="none"/>
                <w:vertAlign w:val="baseline"/>
                <w:lang w:val="en-US" w:eastAsia="zh-CN"/>
              </w:rPr>
              <w:t>万元/月</w:t>
            </w:r>
          </w:p>
        </w:tc>
      </w:tr>
      <w:tr w14:paraId="50EC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80" w:type="dxa"/>
            <w:vAlign w:val="center"/>
          </w:tcPr>
          <w:p w14:paraId="021DF0F4">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2059" w:type="dxa"/>
            <w:vAlign w:val="center"/>
          </w:tcPr>
          <w:p w14:paraId="20A99B62">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招商总监</w:t>
            </w:r>
          </w:p>
        </w:tc>
        <w:tc>
          <w:tcPr>
            <w:tcW w:w="4666" w:type="dxa"/>
            <w:vAlign w:val="center"/>
          </w:tcPr>
          <w:p w14:paraId="5F3E1CB4">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配合招商总经理负责品牌资源招商</w:t>
            </w:r>
          </w:p>
        </w:tc>
        <w:tc>
          <w:tcPr>
            <w:tcW w:w="2294" w:type="dxa"/>
            <w:vMerge w:val="continue"/>
            <w:vAlign w:val="center"/>
          </w:tcPr>
          <w:p w14:paraId="5C62B61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vertAlign w:val="baseline"/>
                <w:lang w:val="en-US" w:eastAsia="zh-CN"/>
              </w:rPr>
            </w:pPr>
          </w:p>
        </w:tc>
      </w:tr>
      <w:tr w14:paraId="5129B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80" w:type="dxa"/>
            <w:vAlign w:val="center"/>
          </w:tcPr>
          <w:p w14:paraId="239EC054">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2059" w:type="dxa"/>
            <w:vAlign w:val="center"/>
          </w:tcPr>
          <w:p w14:paraId="140E0039">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企划经理</w:t>
            </w:r>
          </w:p>
        </w:tc>
        <w:tc>
          <w:tcPr>
            <w:tcW w:w="4666" w:type="dxa"/>
            <w:vAlign w:val="center"/>
          </w:tcPr>
          <w:p w14:paraId="7C055EF0">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负责项目企划工作，包括PR+SP活动拟定与执行</w:t>
            </w:r>
          </w:p>
        </w:tc>
        <w:tc>
          <w:tcPr>
            <w:tcW w:w="2294" w:type="dxa"/>
            <w:vMerge w:val="continue"/>
            <w:vAlign w:val="center"/>
          </w:tcPr>
          <w:p w14:paraId="5615E79A">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vertAlign w:val="baseline"/>
                <w:lang w:val="en-US" w:eastAsia="zh-CN"/>
              </w:rPr>
            </w:pPr>
          </w:p>
        </w:tc>
      </w:tr>
      <w:tr w14:paraId="08F4C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80" w:type="dxa"/>
            <w:vAlign w:val="center"/>
          </w:tcPr>
          <w:p w14:paraId="74BF96DB">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2059" w:type="dxa"/>
            <w:vAlign w:val="center"/>
          </w:tcPr>
          <w:p w14:paraId="3ACD0878">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工程经理</w:t>
            </w:r>
          </w:p>
        </w:tc>
        <w:tc>
          <w:tcPr>
            <w:tcW w:w="4666" w:type="dxa"/>
            <w:vAlign w:val="center"/>
          </w:tcPr>
          <w:p w14:paraId="2514165F">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负责项目工程相关事宜、与物业公司协调对接</w:t>
            </w:r>
          </w:p>
        </w:tc>
        <w:tc>
          <w:tcPr>
            <w:tcW w:w="2294" w:type="dxa"/>
            <w:vMerge w:val="continue"/>
            <w:vAlign w:val="center"/>
          </w:tcPr>
          <w:p w14:paraId="1200938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vertAlign w:val="baseline"/>
                <w:lang w:val="en-US" w:eastAsia="zh-CN"/>
              </w:rPr>
            </w:pPr>
          </w:p>
        </w:tc>
      </w:tr>
      <w:tr w14:paraId="39DA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80" w:type="dxa"/>
            <w:vAlign w:val="center"/>
          </w:tcPr>
          <w:p w14:paraId="48472D1E">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2059" w:type="dxa"/>
            <w:vAlign w:val="center"/>
          </w:tcPr>
          <w:p w14:paraId="1568A872">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平面设计、文案策划等弹性人员（4人）</w:t>
            </w:r>
          </w:p>
        </w:tc>
        <w:tc>
          <w:tcPr>
            <w:tcW w:w="4666" w:type="dxa"/>
            <w:vAlign w:val="center"/>
          </w:tcPr>
          <w:p w14:paraId="58EC84EC">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配合以上项目经理开展日常工作，负责项目具体事务对接</w:t>
            </w:r>
          </w:p>
        </w:tc>
        <w:tc>
          <w:tcPr>
            <w:tcW w:w="2294" w:type="dxa"/>
            <w:vMerge w:val="continue"/>
            <w:vAlign w:val="center"/>
          </w:tcPr>
          <w:p w14:paraId="3D3A860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vertAlign w:val="baseline"/>
                <w:lang w:val="en-US" w:eastAsia="zh-CN"/>
              </w:rPr>
            </w:pPr>
          </w:p>
        </w:tc>
      </w:tr>
    </w:tbl>
    <w:p w14:paraId="31294312">
      <w:pPr>
        <w:spacing w:line="360" w:lineRule="auto"/>
        <w:ind w:firstLine="420" w:firstLineChars="0"/>
        <w:rPr>
          <w:rFonts w:hint="default" w:ascii="宋体" w:hAnsi="宋体" w:eastAsia="宋体" w:cs="宋体"/>
          <w:color w:val="auto"/>
          <w:lang w:val="en-US" w:eastAsia="zh-CN"/>
        </w:rPr>
      </w:pPr>
      <w:r>
        <w:rPr>
          <w:rFonts w:hint="eastAsia" w:ascii="宋体" w:hAnsi="宋体" w:cs="宋体"/>
          <w:color w:val="auto"/>
          <w:lang w:val="en-US" w:eastAsia="zh-CN"/>
        </w:rPr>
        <w:t>（2）支付方式：委派员工项目服务期间所有劳务费用每月结算一次上月招商团队固定费用，中标方在每月的5日前向采购人提供和收款额一致的服务类增值税专用发票，采购人需在收到发票后的5个工作日内向中标方支付与发票等额的款项。</w:t>
      </w:r>
    </w:p>
    <w:p w14:paraId="37B324F4">
      <w:pPr>
        <w:spacing w:line="360" w:lineRule="auto"/>
        <w:ind w:firstLine="42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其他要求详见合同约定。</w:t>
      </w:r>
    </w:p>
    <w:p w14:paraId="1BD07A22">
      <w:pPr>
        <w:spacing w:line="360" w:lineRule="auto"/>
        <w:ind w:firstLine="42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（三）运营服务与开业日</w:t>
      </w:r>
    </w:p>
    <w:p w14:paraId="4E490329">
      <w:pPr>
        <w:spacing w:line="360" w:lineRule="auto"/>
        <w:ind w:firstLine="42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1.运营</w:t>
      </w:r>
      <w:r>
        <w:rPr>
          <w:rFonts w:hint="eastAsia" w:ascii="宋体" w:hAnsi="宋体" w:cs="宋体"/>
          <w:b/>
          <w:bCs/>
          <w:color w:val="auto"/>
          <w:sz w:val="21"/>
          <w:szCs w:val="21"/>
          <w:highlight w:val="none"/>
          <w:lang w:val="en-US" w:eastAsia="zh-CN"/>
        </w:rPr>
        <w:t>服务</w:t>
      </w:r>
      <w:r>
        <w:rPr>
          <w:rFonts w:hint="eastAsia" w:ascii="宋体" w:hAnsi="宋体" w:eastAsia="宋体" w:cs="宋体"/>
          <w:b/>
          <w:bCs/>
          <w:color w:val="auto"/>
          <w:sz w:val="21"/>
          <w:szCs w:val="21"/>
          <w:highlight w:val="none"/>
          <w:lang w:val="en-US" w:eastAsia="zh-CN"/>
        </w:rPr>
        <w:t>期</w:t>
      </w:r>
      <w:r>
        <w:rPr>
          <w:rFonts w:hint="eastAsia" w:ascii="宋体" w:hAnsi="宋体" w:cs="宋体"/>
          <w:b/>
          <w:bCs/>
          <w:color w:val="auto"/>
          <w:sz w:val="21"/>
          <w:szCs w:val="21"/>
          <w:highlight w:val="none"/>
          <w:lang w:val="en-US" w:eastAsia="zh-CN"/>
        </w:rPr>
        <w:t>（10+5+5）</w:t>
      </w:r>
    </w:p>
    <w:p w14:paraId="23505587">
      <w:pPr>
        <w:spacing w:line="360" w:lineRule="auto"/>
        <w:ind w:firstLine="42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运营服务期限自实际开业日起计算的10年，运营期限届满，同等条件下，中标方享有</w:t>
      </w:r>
      <w:r>
        <w:rPr>
          <w:rFonts w:hint="eastAsia" w:ascii="宋体" w:hAnsi="宋体" w:cs="宋体"/>
          <w:color w:val="auto"/>
          <w:lang w:val="en-US" w:eastAsia="zh-CN"/>
        </w:rPr>
        <w:t>两次</w:t>
      </w:r>
      <w:r>
        <w:rPr>
          <w:rFonts w:hint="eastAsia" w:ascii="宋体" w:hAnsi="宋体" w:eastAsia="宋体" w:cs="宋体"/>
          <w:color w:val="auto"/>
          <w:lang w:val="en-US" w:eastAsia="zh-CN"/>
        </w:rPr>
        <w:t>5年运营优先续期权。</w:t>
      </w:r>
    </w:p>
    <w:p w14:paraId="526CF0AF">
      <w:pPr>
        <w:spacing w:line="360" w:lineRule="auto"/>
        <w:ind w:firstLine="42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在运营服务期限届满前12个月，双方可就运营权续期事宜进行协商并签署续期合同。</w:t>
      </w:r>
    </w:p>
    <w:p w14:paraId="7A18D726">
      <w:pPr>
        <w:spacing w:line="360" w:lineRule="auto"/>
        <w:ind w:firstLine="42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2.开业日</w:t>
      </w:r>
    </w:p>
    <w:p w14:paraId="18EA1BF0">
      <w:pPr>
        <w:spacing w:line="360" w:lineRule="auto"/>
        <w:ind w:firstLine="42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在完成项目竣工验收并完成商业设计改造后交付给中标</w:t>
      </w:r>
      <w:r>
        <w:rPr>
          <w:rFonts w:hint="eastAsia" w:ascii="宋体" w:hAnsi="宋体" w:cs="宋体"/>
          <w:color w:val="auto"/>
          <w:lang w:val="en-US" w:eastAsia="zh-CN"/>
        </w:rPr>
        <w:t>人</w:t>
      </w:r>
      <w:r>
        <w:rPr>
          <w:rFonts w:hint="eastAsia" w:ascii="宋体" w:hAnsi="宋体" w:eastAsia="宋体" w:cs="宋体"/>
          <w:color w:val="auto"/>
          <w:lang w:val="en-US" w:eastAsia="zh-CN"/>
        </w:rPr>
        <w:t>，具体开业日具体商定。</w:t>
      </w:r>
    </w:p>
    <w:p w14:paraId="25428713">
      <w:pPr>
        <w:spacing w:line="360" w:lineRule="auto"/>
        <w:ind w:firstLine="42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3.项目运营期人员安排</w:t>
      </w:r>
    </w:p>
    <w:p w14:paraId="5F8B702C">
      <w:pPr>
        <w:spacing w:line="360" w:lineRule="auto"/>
        <w:ind w:firstLine="42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中标方按运营所需提供相应管理团队，需向项目派出至少包含</w:t>
      </w:r>
      <w:r>
        <w:rPr>
          <w:rFonts w:hint="eastAsia" w:ascii="宋体" w:hAnsi="宋体" w:cs="宋体"/>
          <w:color w:val="auto"/>
          <w:lang w:val="en-US" w:eastAsia="zh-CN"/>
        </w:rPr>
        <w:t>项目</w:t>
      </w:r>
      <w:r>
        <w:rPr>
          <w:rFonts w:hint="eastAsia" w:ascii="宋体" w:hAnsi="宋体" w:eastAsia="宋体" w:cs="宋体"/>
          <w:color w:val="auto"/>
          <w:lang w:val="en-US" w:eastAsia="zh-CN"/>
        </w:rPr>
        <w:t>总经理、</w:t>
      </w:r>
      <w:r>
        <w:rPr>
          <w:rFonts w:hint="eastAsia" w:ascii="宋体" w:hAnsi="宋体" w:cs="宋体"/>
          <w:color w:val="auto"/>
          <w:lang w:val="en-US" w:eastAsia="zh-CN"/>
        </w:rPr>
        <w:t>项目</w:t>
      </w:r>
      <w:r>
        <w:rPr>
          <w:rFonts w:hint="eastAsia" w:ascii="宋体" w:hAnsi="宋体" w:eastAsia="宋体" w:cs="宋体"/>
          <w:color w:val="auto"/>
          <w:lang w:val="en-US" w:eastAsia="zh-CN"/>
        </w:rPr>
        <w:t>副总经理、招商运营经理</w:t>
      </w:r>
      <w:r>
        <w:rPr>
          <w:rFonts w:hint="eastAsia" w:ascii="宋体" w:hAnsi="宋体" w:cs="宋体"/>
          <w:color w:val="auto"/>
          <w:lang w:val="en-US" w:eastAsia="zh-CN"/>
        </w:rPr>
        <w:t>、工程物业经理</w:t>
      </w:r>
      <w:r>
        <w:rPr>
          <w:rFonts w:hint="eastAsia" w:ascii="宋体" w:hAnsi="宋体" w:eastAsia="宋体" w:cs="宋体"/>
          <w:color w:val="auto"/>
          <w:lang w:val="en-US" w:eastAsia="zh-CN"/>
        </w:rPr>
        <w:t>、企划经理</w:t>
      </w:r>
      <w:r>
        <w:rPr>
          <w:rFonts w:hint="eastAsia" w:ascii="宋体" w:hAnsi="宋体" w:cs="宋体"/>
          <w:color w:val="auto"/>
          <w:lang w:val="en-US" w:eastAsia="zh-CN"/>
        </w:rPr>
        <w:t>、总经理助理</w:t>
      </w:r>
      <w:r>
        <w:rPr>
          <w:rFonts w:hint="eastAsia" w:ascii="宋体" w:hAnsi="宋体" w:eastAsia="宋体" w:cs="宋体"/>
          <w:color w:val="auto"/>
          <w:lang w:val="en-US" w:eastAsia="zh-CN"/>
        </w:rPr>
        <w:t>共</w:t>
      </w:r>
      <w:r>
        <w:rPr>
          <w:rFonts w:hint="eastAsia" w:ascii="宋体" w:hAnsi="宋体" w:cs="宋体"/>
          <w:color w:val="auto"/>
          <w:lang w:val="en-US" w:eastAsia="zh-CN"/>
        </w:rPr>
        <w:t>6</w:t>
      </w:r>
      <w:r>
        <w:rPr>
          <w:rFonts w:hint="eastAsia" w:ascii="宋体" w:hAnsi="宋体" w:eastAsia="宋体" w:cs="宋体"/>
          <w:color w:val="auto"/>
          <w:lang w:val="en-US" w:eastAsia="zh-CN"/>
        </w:rPr>
        <w:t>人在内的全职团队。开业前【6】个月内，中标方应将委派人员名单书面送达至采购人。</w:t>
      </w:r>
    </w:p>
    <w:p w14:paraId="4093C960">
      <w:pPr>
        <w:spacing w:line="360" w:lineRule="auto"/>
        <w:ind w:firstLine="42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中标方委派驻场人员如不能胜任工作的，中标方应当更换有能力胜任工作的人员，确保运营工作的有序开展。</w:t>
      </w:r>
    </w:p>
    <w:p w14:paraId="2A2A46CF">
      <w:pPr>
        <w:spacing w:line="360" w:lineRule="auto"/>
        <w:ind w:firstLine="420" w:firstLineChars="0"/>
        <w:rPr>
          <w:rFonts w:hint="eastAsia" w:ascii="宋体" w:hAnsi="宋体" w:cs="宋体"/>
          <w:color w:val="auto"/>
          <w:lang w:val="en-US" w:eastAsia="zh-CN"/>
        </w:rPr>
      </w:pPr>
      <w:r>
        <w:rPr>
          <w:rFonts w:hint="eastAsia" w:ascii="宋体" w:hAnsi="宋体" w:cs="宋体"/>
          <w:color w:val="auto"/>
          <w:lang w:val="en-US" w:eastAsia="zh-CN"/>
        </w:rPr>
        <w:t>（1）运营团队固定费用：</w:t>
      </w:r>
      <w:r>
        <w:rPr>
          <w:rFonts w:hint="eastAsia" w:ascii="宋体" w:hAnsi="宋体" w:cs="宋体"/>
          <w:color w:val="auto"/>
          <w:sz w:val="21"/>
          <w:szCs w:val="21"/>
          <w:highlight w:val="none"/>
          <w:lang w:val="en-US" w:eastAsia="zh-CN"/>
        </w:rPr>
        <w:t>25万元/月，期限为10年。包括（但不限于）：</w:t>
      </w:r>
      <w:r>
        <w:rPr>
          <w:rFonts w:hint="default" w:ascii="宋体" w:hAnsi="宋体" w:eastAsia="宋体" w:cs="宋体"/>
          <w:color w:val="auto"/>
          <w:szCs w:val="21"/>
          <w:highlight w:val="none"/>
          <w:u w:val="none"/>
          <w:lang w:val="en-US" w:eastAsia="zh-CN"/>
        </w:rPr>
        <w:t>工资、五险一金、餐费、差旅接待、住宿、工会福利</w:t>
      </w:r>
      <w:r>
        <w:rPr>
          <w:rFonts w:hint="eastAsia" w:ascii="宋体" w:hAnsi="宋体" w:cs="宋体"/>
          <w:color w:val="auto"/>
          <w:szCs w:val="21"/>
          <w:highlight w:val="none"/>
          <w:u w:val="none"/>
          <w:lang w:val="en-US" w:eastAsia="zh-CN"/>
        </w:rPr>
        <w:t>等</w:t>
      </w:r>
      <w:r>
        <w:rPr>
          <w:rFonts w:hint="default" w:ascii="宋体" w:hAnsi="宋体" w:eastAsia="宋体" w:cs="宋体"/>
          <w:color w:val="auto"/>
          <w:szCs w:val="21"/>
          <w:highlight w:val="none"/>
          <w:u w:val="none"/>
          <w:lang w:val="en-US" w:eastAsia="zh-CN"/>
        </w:rPr>
        <w:t>所有费用(人员费用组成如下)。</w:t>
      </w:r>
    </w:p>
    <w:tbl>
      <w:tblPr>
        <w:tblStyle w:val="29"/>
        <w:tblpPr w:leftFromText="180" w:rightFromText="180" w:vertAnchor="text" w:tblpX="104" w:tblpY="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642"/>
        <w:gridCol w:w="5417"/>
        <w:gridCol w:w="1960"/>
      </w:tblGrid>
      <w:tr w14:paraId="03A8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80" w:type="dxa"/>
            <w:vAlign w:val="center"/>
          </w:tcPr>
          <w:p w14:paraId="76924DA6">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642" w:type="dxa"/>
            <w:vAlign w:val="center"/>
          </w:tcPr>
          <w:p w14:paraId="30882534">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岗位</w:t>
            </w:r>
          </w:p>
        </w:tc>
        <w:tc>
          <w:tcPr>
            <w:tcW w:w="5417" w:type="dxa"/>
            <w:vAlign w:val="center"/>
          </w:tcPr>
          <w:p w14:paraId="414A05D5">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岗位职责</w:t>
            </w:r>
          </w:p>
        </w:tc>
        <w:tc>
          <w:tcPr>
            <w:tcW w:w="1960" w:type="dxa"/>
            <w:vAlign w:val="center"/>
          </w:tcPr>
          <w:p w14:paraId="023A1042">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固定费用标准</w:t>
            </w:r>
          </w:p>
        </w:tc>
      </w:tr>
      <w:tr w14:paraId="2DFAA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80" w:type="dxa"/>
            <w:vAlign w:val="center"/>
          </w:tcPr>
          <w:p w14:paraId="5E518C01">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642" w:type="dxa"/>
            <w:vAlign w:val="center"/>
          </w:tcPr>
          <w:p w14:paraId="7625A461">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项目总经理</w:t>
            </w:r>
          </w:p>
        </w:tc>
        <w:tc>
          <w:tcPr>
            <w:tcW w:w="5417" w:type="dxa"/>
            <w:vAlign w:val="center"/>
          </w:tcPr>
          <w:p w14:paraId="711D3221">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负责全口径收入把控，项目整体日常运行</w:t>
            </w:r>
          </w:p>
        </w:tc>
        <w:tc>
          <w:tcPr>
            <w:tcW w:w="1960" w:type="dxa"/>
            <w:vMerge w:val="restart"/>
            <w:vAlign w:val="center"/>
          </w:tcPr>
          <w:p w14:paraId="1695E841">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25万元/月</w:t>
            </w:r>
          </w:p>
          <w:p w14:paraId="489FC588">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p>
        </w:tc>
      </w:tr>
      <w:tr w14:paraId="7ACD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80" w:type="dxa"/>
            <w:vAlign w:val="center"/>
          </w:tcPr>
          <w:p w14:paraId="62E7CBCF">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1642" w:type="dxa"/>
            <w:vAlign w:val="center"/>
          </w:tcPr>
          <w:p w14:paraId="7789F346">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项目副总经理</w:t>
            </w:r>
          </w:p>
        </w:tc>
        <w:tc>
          <w:tcPr>
            <w:tcW w:w="5417" w:type="dxa"/>
            <w:vAlign w:val="center"/>
          </w:tcPr>
          <w:p w14:paraId="77162009">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负责具体招商及运营工作，配合项目总经理开展日常工作</w:t>
            </w:r>
          </w:p>
        </w:tc>
        <w:tc>
          <w:tcPr>
            <w:tcW w:w="1960" w:type="dxa"/>
            <w:vMerge w:val="continue"/>
            <w:vAlign w:val="center"/>
          </w:tcPr>
          <w:p w14:paraId="2D7C8DA9">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p>
        </w:tc>
      </w:tr>
      <w:tr w14:paraId="74623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80" w:type="dxa"/>
            <w:vAlign w:val="center"/>
          </w:tcPr>
          <w:p w14:paraId="0115881B">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1642" w:type="dxa"/>
            <w:vAlign w:val="center"/>
          </w:tcPr>
          <w:p w14:paraId="056C94E4">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招商运营经理</w:t>
            </w:r>
          </w:p>
        </w:tc>
        <w:tc>
          <w:tcPr>
            <w:tcW w:w="5417" w:type="dxa"/>
            <w:vAlign w:val="center"/>
          </w:tcPr>
          <w:p w14:paraId="4CA92087">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具体招商策略实施与执行，配合项目总经理落实项目工作</w:t>
            </w:r>
          </w:p>
        </w:tc>
        <w:tc>
          <w:tcPr>
            <w:tcW w:w="1960" w:type="dxa"/>
            <w:vMerge w:val="continue"/>
            <w:vAlign w:val="center"/>
          </w:tcPr>
          <w:p w14:paraId="2D122034">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vertAlign w:val="baseline"/>
                <w:lang w:val="en-US" w:eastAsia="zh-CN"/>
              </w:rPr>
            </w:pPr>
          </w:p>
        </w:tc>
      </w:tr>
      <w:tr w14:paraId="128A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80" w:type="dxa"/>
            <w:vAlign w:val="center"/>
          </w:tcPr>
          <w:p w14:paraId="4D8A4567">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1642" w:type="dxa"/>
            <w:vAlign w:val="center"/>
          </w:tcPr>
          <w:p w14:paraId="025CA839">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工程物业经理</w:t>
            </w:r>
          </w:p>
        </w:tc>
        <w:tc>
          <w:tcPr>
            <w:tcW w:w="5417" w:type="dxa"/>
            <w:vAlign w:val="center"/>
          </w:tcPr>
          <w:p w14:paraId="2EC04A18">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负责外包方整体管理协调、监管工作等（整体物业管理外包第三方，前期工程服务由采购人提供）</w:t>
            </w:r>
          </w:p>
        </w:tc>
        <w:tc>
          <w:tcPr>
            <w:tcW w:w="1960" w:type="dxa"/>
            <w:vMerge w:val="continue"/>
            <w:vAlign w:val="center"/>
          </w:tcPr>
          <w:p w14:paraId="164EB4D7">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vertAlign w:val="baseline"/>
                <w:lang w:val="en-US" w:eastAsia="zh-CN"/>
              </w:rPr>
            </w:pPr>
          </w:p>
        </w:tc>
      </w:tr>
      <w:tr w14:paraId="591E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80" w:type="dxa"/>
            <w:vAlign w:val="center"/>
          </w:tcPr>
          <w:p w14:paraId="6DA3D6BB">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1642" w:type="dxa"/>
            <w:vAlign w:val="center"/>
          </w:tcPr>
          <w:p w14:paraId="0C44DD91">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企划经理</w:t>
            </w:r>
          </w:p>
        </w:tc>
        <w:tc>
          <w:tcPr>
            <w:tcW w:w="5417" w:type="dxa"/>
            <w:vAlign w:val="center"/>
          </w:tcPr>
          <w:p w14:paraId="06B632D4">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负责项目企划工作，包括PR+SP活动拟定与执行</w:t>
            </w:r>
          </w:p>
        </w:tc>
        <w:tc>
          <w:tcPr>
            <w:tcW w:w="1960" w:type="dxa"/>
            <w:vMerge w:val="continue"/>
            <w:shd w:val="clear" w:color="auto" w:fill="auto"/>
            <w:vAlign w:val="center"/>
          </w:tcPr>
          <w:p w14:paraId="4C2AEEA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vertAlign w:val="baseline"/>
                <w:lang w:val="en-US" w:eastAsia="zh-CN"/>
              </w:rPr>
            </w:pPr>
          </w:p>
        </w:tc>
      </w:tr>
      <w:tr w14:paraId="0E2D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80" w:type="dxa"/>
            <w:vAlign w:val="center"/>
          </w:tcPr>
          <w:p w14:paraId="0AF970A5">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6</w:t>
            </w:r>
          </w:p>
        </w:tc>
        <w:tc>
          <w:tcPr>
            <w:tcW w:w="1642" w:type="dxa"/>
            <w:vAlign w:val="center"/>
          </w:tcPr>
          <w:p w14:paraId="0A17A3E3">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总经理助理</w:t>
            </w:r>
          </w:p>
        </w:tc>
        <w:tc>
          <w:tcPr>
            <w:tcW w:w="5417" w:type="dxa"/>
            <w:vAlign w:val="center"/>
          </w:tcPr>
          <w:p w14:paraId="57384397">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负责</w:t>
            </w:r>
            <w:r>
              <w:rPr>
                <w:rFonts w:hint="eastAsia" w:ascii="宋体" w:hAnsi="宋体" w:cs="宋体"/>
                <w:color w:val="auto"/>
                <w:sz w:val="21"/>
                <w:szCs w:val="21"/>
                <w:highlight w:val="none"/>
                <w:vertAlign w:val="baseline"/>
                <w:lang w:val="en-US" w:eastAsia="zh-CN"/>
              </w:rPr>
              <w:t>协助总经理执行项目</w:t>
            </w:r>
            <w:r>
              <w:rPr>
                <w:rFonts w:hint="eastAsia" w:ascii="宋体" w:hAnsi="宋体" w:eastAsia="宋体" w:cs="宋体"/>
                <w:color w:val="auto"/>
                <w:sz w:val="21"/>
                <w:szCs w:val="21"/>
                <w:highlight w:val="none"/>
                <w:vertAlign w:val="baseline"/>
                <w:lang w:val="en-US" w:eastAsia="zh-CN"/>
              </w:rPr>
              <w:t>整体日常运行</w:t>
            </w:r>
          </w:p>
        </w:tc>
        <w:tc>
          <w:tcPr>
            <w:tcW w:w="1960" w:type="dxa"/>
            <w:vMerge w:val="continue"/>
            <w:shd w:val="clear" w:color="auto" w:fill="auto"/>
            <w:vAlign w:val="center"/>
          </w:tcPr>
          <w:p w14:paraId="3221F8D7">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vertAlign w:val="baseline"/>
                <w:lang w:val="en-US" w:eastAsia="zh-CN"/>
              </w:rPr>
            </w:pPr>
          </w:p>
        </w:tc>
      </w:tr>
    </w:tbl>
    <w:p w14:paraId="34FF48DB">
      <w:pPr>
        <w:spacing w:line="360" w:lineRule="auto"/>
        <w:ind w:firstLine="420" w:firstLineChars="0"/>
        <w:rPr>
          <w:rFonts w:hint="default" w:ascii="宋体" w:hAnsi="宋体" w:cs="宋体"/>
          <w:color w:val="auto"/>
          <w:lang w:val="en-US" w:eastAsia="zh-CN"/>
        </w:rPr>
      </w:pPr>
      <w:r>
        <w:rPr>
          <w:rFonts w:hint="eastAsia" w:ascii="宋体" w:hAnsi="宋体" w:cs="宋体"/>
          <w:color w:val="auto"/>
          <w:lang w:val="en-US" w:eastAsia="zh-CN"/>
        </w:rPr>
        <w:t>（2）支付方式：委派员工项目服务期间所有劳务费用每月结算一次上月运营团队固定费用，中标方在每月5日前向采购人提供和收款额一致的服务类增值税专用发票，采购人需在收到发票后的5个工作日内向中标方支付与发票等额的款项。若双方协商同意，可通过第三方公司支付劳务费用。</w:t>
      </w:r>
    </w:p>
    <w:p w14:paraId="6C7E1A4B">
      <w:pPr>
        <w:spacing w:line="360" w:lineRule="auto"/>
        <w:ind w:firstLine="42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其他要求详见合同约定。</w:t>
      </w:r>
    </w:p>
    <w:p w14:paraId="0F905F44">
      <w:pPr>
        <w:spacing w:line="360" w:lineRule="auto"/>
        <w:ind w:firstLine="420" w:firstLineChars="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4.运营管理绩效</w:t>
      </w:r>
    </w:p>
    <w:p w14:paraId="2F175497">
      <w:pPr>
        <w:spacing w:line="360" w:lineRule="auto"/>
        <w:ind w:firstLine="42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4.1运营管理提成</w:t>
      </w:r>
    </w:p>
    <w:p w14:paraId="025CAF6A">
      <w:pPr>
        <w:spacing w:line="360" w:lineRule="auto"/>
        <w:ind w:firstLine="420" w:firstLineChars="0"/>
        <w:rPr>
          <w:rFonts w:hint="default" w:ascii="宋体" w:hAnsi="宋体" w:eastAsia="宋体" w:cs="宋体"/>
          <w:color w:val="auto"/>
          <w:lang w:val="en-US" w:eastAsia="zh-CN"/>
        </w:rPr>
      </w:pPr>
      <w:r>
        <w:rPr>
          <w:rFonts w:hint="eastAsia" w:ascii="宋体" w:hAnsi="宋体" w:cs="宋体"/>
          <w:color w:val="auto"/>
          <w:lang w:val="en-US" w:eastAsia="zh-CN"/>
        </w:rPr>
        <w:t>4.1.1 经双方确认，按项目运营收益预算，进行具体项目运营工作的推进。如上半年开业的，自开业之日起三年内（第一年为开业之日起至当年12月31日止）双方按实际年全口径含税收入（不含停车费、物业管理费）进行扣点提成；如下半年开业的，自开业之日起至当年的12月31日不纳入提成，自次年1月1日起的三年内，双方按项目自然年全口径含税收入（不含停车费、物业管理费）进行扣点提成（计算周期为当年度1月1日至12月31日），具体如下：</w:t>
      </w:r>
    </w:p>
    <w:tbl>
      <w:tblPr>
        <w:tblStyle w:val="29"/>
        <w:tblpPr w:leftFromText="180" w:rightFromText="180" w:vertAnchor="text" w:tblpX="104" w:tblpY="23"/>
        <w:tblOverlap w:val="never"/>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6030"/>
        <w:gridCol w:w="3128"/>
      </w:tblGrid>
      <w:tr w14:paraId="41D1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52" w:type="dxa"/>
            <w:vAlign w:val="center"/>
          </w:tcPr>
          <w:p w14:paraId="4A6B5265">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类目</w:t>
            </w:r>
          </w:p>
        </w:tc>
        <w:tc>
          <w:tcPr>
            <w:tcW w:w="6030" w:type="dxa"/>
            <w:vAlign w:val="center"/>
          </w:tcPr>
          <w:p w14:paraId="117F9E5F">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不含停车费、物业管理费年全口径含税收入（万元）（非阶梯式）</w:t>
            </w:r>
          </w:p>
        </w:tc>
        <w:tc>
          <w:tcPr>
            <w:tcW w:w="3128" w:type="dxa"/>
            <w:vAlign w:val="center"/>
          </w:tcPr>
          <w:p w14:paraId="36A5457B">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全口径含税收入扣点额（%）</w:t>
            </w:r>
          </w:p>
        </w:tc>
      </w:tr>
      <w:tr w14:paraId="334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2" w:type="dxa"/>
            <w:vAlign w:val="center"/>
          </w:tcPr>
          <w:p w14:paraId="6F55E148">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1</w:t>
            </w:r>
          </w:p>
        </w:tc>
        <w:tc>
          <w:tcPr>
            <w:tcW w:w="6030" w:type="dxa"/>
            <w:vAlign w:val="center"/>
          </w:tcPr>
          <w:p w14:paraId="3A4AE6E9">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1600(万元)以下</w:t>
            </w:r>
          </w:p>
        </w:tc>
        <w:tc>
          <w:tcPr>
            <w:tcW w:w="3128" w:type="dxa"/>
            <w:vAlign w:val="center"/>
          </w:tcPr>
          <w:p w14:paraId="1BBA5E28">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0</w:t>
            </w:r>
          </w:p>
        </w:tc>
      </w:tr>
      <w:tr w14:paraId="7B35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52" w:type="dxa"/>
            <w:vAlign w:val="center"/>
          </w:tcPr>
          <w:p w14:paraId="40BF8161">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2</w:t>
            </w:r>
          </w:p>
        </w:tc>
        <w:tc>
          <w:tcPr>
            <w:tcW w:w="6030" w:type="dxa"/>
            <w:vAlign w:val="center"/>
          </w:tcPr>
          <w:p w14:paraId="153729C4">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1600万元(含)-3000万元(含3000万)</w:t>
            </w:r>
          </w:p>
        </w:tc>
        <w:tc>
          <w:tcPr>
            <w:tcW w:w="3128" w:type="dxa"/>
            <w:vAlign w:val="center"/>
          </w:tcPr>
          <w:p w14:paraId="058A5330">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8</w:t>
            </w:r>
          </w:p>
        </w:tc>
      </w:tr>
      <w:tr w14:paraId="37E6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52" w:type="dxa"/>
            <w:vAlign w:val="center"/>
          </w:tcPr>
          <w:p w14:paraId="14AED7B6">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3</w:t>
            </w:r>
          </w:p>
        </w:tc>
        <w:tc>
          <w:tcPr>
            <w:tcW w:w="6030" w:type="dxa"/>
            <w:vAlign w:val="center"/>
          </w:tcPr>
          <w:p w14:paraId="0BEE1485">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3000万元以上</w:t>
            </w:r>
          </w:p>
        </w:tc>
        <w:tc>
          <w:tcPr>
            <w:tcW w:w="3128" w:type="dxa"/>
            <w:vAlign w:val="center"/>
          </w:tcPr>
          <w:p w14:paraId="28F65EEA">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9</w:t>
            </w:r>
          </w:p>
        </w:tc>
      </w:tr>
    </w:tbl>
    <w:p w14:paraId="77DD116D">
      <w:pPr>
        <w:spacing w:line="360" w:lineRule="auto"/>
        <w:ind w:firstLine="210" w:firstLineChars="100"/>
        <w:rPr>
          <w:rFonts w:hint="eastAsia" w:ascii="宋体" w:hAnsi="宋体" w:cs="宋体"/>
          <w:color w:val="auto"/>
          <w:lang w:val="en-US" w:eastAsia="zh-CN"/>
        </w:rPr>
      </w:pPr>
      <w:r>
        <w:rPr>
          <w:rFonts w:hint="eastAsia" w:ascii="宋体" w:hAnsi="宋体" w:cs="宋体"/>
          <w:color w:val="auto"/>
          <w:lang w:val="en-US" w:eastAsia="zh-CN"/>
        </w:rPr>
        <w:t>4.1.2 第四年（计算周期为当年度1月1日至12月31日）起本项目年全口径收入（不含停车费、物业管理费）按下表进行扣点提成，若年全口径收入未超过2500万（含本数），采购人仅按25万元/月支付运营团队固定管理费用，不提成运营管理费。</w:t>
      </w:r>
    </w:p>
    <w:tbl>
      <w:tblPr>
        <w:tblStyle w:val="29"/>
        <w:tblpPr w:leftFromText="180" w:rightFromText="180" w:vertAnchor="text" w:tblpX="104" w:tblpY="23"/>
        <w:tblOverlap w:val="never"/>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6030"/>
        <w:gridCol w:w="3128"/>
      </w:tblGrid>
      <w:tr w14:paraId="4C79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52" w:type="dxa"/>
            <w:vAlign w:val="center"/>
          </w:tcPr>
          <w:p w14:paraId="52881E80">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类目</w:t>
            </w:r>
          </w:p>
        </w:tc>
        <w:tc>
          <w:tcPr>
            <w:tcW w:w="6030" w:type="dxa"/>
            <w:vAlign w:val="center"/>
          </w:tcPr>
          <w:p w14:paraId="2DC5C1CF">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不含停车费、物业管理费年全口径含税收入（万元）（非阶梯式）</w:t>
            </w:r>
          </w:p>
        </w:tc>
        <w:tc>
          <w:tcPr>
            <w:tcW w:w="3128" w:type="dxa"/>
            <w:vAlign w:val="center"/>
          </w:tcPr>
          <w:p w14:paraId="76405AC0">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全口径含税收入扣点额（%）</w:t>
            </w:r>
          </w:p>
        </w:tc>
      </w:tr>
      <w:tr w14:paraId="723D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2" w:type="dxa"/>
            <w:vAlign w:val="center"/>
          </w:tcPr>
          <w:p w14:paraId="7FEC53F4">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1</w:t>
            </w:r>
          </w:p>
        </w:tc>
        <w:tc>
          <w:tcPr>
            <w:tcW w:w="6030" w:type="dxa"/>
            <w:vAlign w:val="center"/>
          </w:tcPr>
          <w:p w14:paraId="30787278">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25</w:t>
            </w:r>
            <w:r>
              <w:rPr>
                <w:rFonts w:hint="eastAsia" w:ascii="宋体" w:hAnsi="宋体" w:eastAsia="宋体" w:cs="宋体"/>
                <w:color w:val="auto"/>
                <w:szCs w:val="21"/>
                <w:highlight w:val="none"/>
                <w:vertAlign w:val="baseline"/>
                <w:lang w:val="en-US" w:eastAsia="zh-CN"/>
              </w:rPr>
              <w:t>00(万元)以下</w:t>
            </w:r>
            <w:r>
              <w:rPr>
                <w:rFonts w:hint="eastAsia" w:ascii="宋体" w:hAnsi="宋体" w:cs="宋体"/>
                <w:color w:val="auto"/>
                <w:szCs w:val="21"/>
                <w:highlight w:val="none"/>
                <w:vertAlign w:val="baseline"/>
                <w:lang w:val="en-US" w:eastAsia="zh-CN"/>
              </w:rPr>
              <w:t>（含）</w:t>
            </w:r>
          </w:p>
        </w:tc>
        <w:tc>
          <w:tcPr>
            <w:tcW w:w="3128" w:type="dxa"/>
            <w:vAlign w:val="center"/>
          </w:tcPr>
          <w:p w14:paraId="0BED74D8">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0</w:t>
            </w:r>
          </w:p>
        </w:tc>
      </w:tr>
      <w:tr w14:paraId="1A40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52" w:type="dxa"/>
            <w:vAlign w:val="center"/>
          </w:tcPr>
          <w:p w14:paraId="323014B3">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2</w:t>
            </w:r>
          </w:p>
        </w:tc>
        <w:tc>
          <w:tcPr>
            <w:tcW w:w="6030" w:type="dxa"/>
            <w:vAlign w:val="center"/>
          </w:tcPr>
          <w:p w14:paraId="53102C9D">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25</w:t>
            </w:r>
            <w:r>
              <w:rPr>
                <w:rFonts w:hint="eastAsia" w:ascii="宋体" w:hAnsi="宋体" w:eastAsia="宋体" w:cs="宋体"/>
                <w:color w:val="auto"/>
                <w:szCs w:val="21"/>
                <w:highlight w:val="none"/>
                <w:vertAlign w:val="baseline"/>
                <w:lang w:val="en-US" w:eastAsia="zh-CN"/>
              </w:rPr>
              <w:t>00万元(</w:t>
            </w:r>
            <w:r>
              <w:rPr>
                <w:rFonts w:hint="eastAsia" w:ascii="宋体" w:hAnsi="宋体" w:cs="宋体"/>
                <w:color w:val="auto"/>
                <w:szCs w:val="21"/>
                <w:highlight w:val="none"/>
                <w:vertAlign w:val="baseline"/>
                <w:lang w:val="en-US" w:eastAsia="zh-CN"/>
              </w:rPr>
              <w:t>不</w:t>
            </w:r>
            <w:r>
              <w:rPr>
                <w:rFonts w:hint="eastAsia" w:ascii="宋体" w:hAnsi="宋体" w:eastAsia="宋体" w:cs="宋体"/>
                <w:color w:val="auto"/>
                <w:szCs w:val="21"/>
                <w:highlight w:val="none"/>
                <w:vertAlign w:val="baseline"/>
                <w:lang w:val="en-US" w:eastAsia="zh-CN"/>
              </w:rPr>
              <w:t>含)-3000万元(含3000万)</w:t>
            </w:r>
          </w:p>
        </w:tc>
        <w:tc>
          <w:tcPr>
            <w:tcW w:w="3128" w:type="dxa"/>
            <w:vAlign w:val="center"/>
          </w:tcPr>
          <w:p w14:paraId="19EE7402">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8</w:t>
            </w:r>
          </w:p>
        </w:tc>
      </w:tr>
      <w:tr w14:paraId="75C3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52" w:type="dxa"/>
            <w:vAlign w:val="center"/>
          </w:tcPr>
          <w:p w14:paraId="5DE7176E">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3</w:t>
            </w:r>
          </w:p>
        </w:tc>
        <w:tc>
          <w:tcPr>
            <w:tcW w:w="6030" w:type="dxa"/>
            <w:vAlign w:val="center"/>
          </w:tcPr>
          <w:p w14:paraId="61C30FA6">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3000万元以上</w:t>
            </w:r>
          </w:p>
        </w:tc>
        <w:tc>
          <w:tcPr>
            <w:tcW w:w="3128" w:type="dxa"/>
            <w:vAlign w:val="center"/>
          </w:tcPr>
          <w:p w14:paraId="01A108A2">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9</w:t>
            </w:r>
          </w:p>
        </w:tc>
      </w:tr>
    </w:tbl>
    <w:p w14:paraId="1605A0E6">
      <w:pPr>
        <w:spacing w:line="360" w:lineRule="auto"/>
        <w:ind w:firstLine="420" w:firstLineChars="0"/>
        <w:rPr>
          <w:rFonts w:hint="eastAsia" w:ascii="宋体" w:hAnsi="宋体" w:eastAsia="宋体" w:cs="宋体"/>
          <w:color w:val="auto"/>
          <w:lang w:val="en-US" w:eastAsia="zh-CN"/>
        </w:rPr>
      </w:pPr>
      <w:r>
        <w:rPr>
          <w:rFonts w:hint="eastAsia" w:ascii="宋体" w:hAnsi="宋体" w:cs="宋体"/>
          <w:color w:val="auto"/>
          <w:lang w:val="en-US" w:eastAsia="zh-CN"/>
        </w:rPr>
        <w:t xml:space="preserve">4.1.3 </w:t>
      </w:r>
      <w:r>
        <w:rPr>
          <w:rFonts w:hint="eastAsia" w:ascii="宋体" w:hAnsi="宋体" w:eastAsia="宋体" w:cs="宋体"/>
          <w:color w:val="auto"/>
          <w:lang w:val="en-US" w:eastAsia="zh-CN"/>
        </w:rPr>
        <w:t>收入包括但不限于含税租金收入、广告费收入、服务费收入、自营收入、其他经营相关的收入等。</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lang w:val="en-US" w:eastAsia="zh-CN"/>
        </w:rPr>
        <w:t>应在每年年初制定全口径收入测算表提供至</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lang w:val="en-US" w:eastAsia="zh-CN"/>
        </w:rPr>
        <w:t>确认。</w:t>
      </w:r>
      <w:r>
        <w:rPr>
          <w:rFonts w:hint="eastAsia" w:ascii="宋体" w:hAnsi="宋体" w:cs="宋体"/>
          <w:color w:val="auto"/>
          <w:sz w:val="21"/>
          <w:szCs w:val="21"/>
          <w:highlight w:val="none"/>
          <w:lang w:val="en-US" w:eastAsia="zh-CN"/>
        </w:rPr>
        <w:t>采购人和中标人</w:t>
      </w:r>
      <w:r>
        <w:rPr>
          <w:rFonts w:hint="eastAsia" w:ascii="宋体" w:hAnsi="宋体" w:eastAsia="宋体" w:cs="宋体"/>
          <w:color w:val="auto"/>
          <w:lang w:val="en-US" w:eastAsia="zh-CN"/>
        </w:rPr>
        <w:t>于自然年度结束后5个工作日内开展该年度的全口径收入总额核算工作，</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lang w:val="en-US" w:eastAsia="zh-CN"/>
        </w:rPr>
        <w:t>向</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lang w:val="en-US" w:eastAsia="zh-CN"/>
        </w:rPr>
        <w:t>提供该项目对应的财务报表(包括但不限于营收表、现金流量表、利润表等)、银行对账单及业务系统数据等，</w:t>
      </w:r>
      <w:r>
        <w:rPr>
          <w:rFonts w:hint="eastAsia" w:ascii="宋体" w:hAnsi="宋体" w:cs="宋体"/>
          <w:color w:val="auto"/>
          <w:sz w:val="21"/>
          <w:szCs w:val="21"/>
          <w:highlight w:val="none"/>
          <w:lang w:val="en-US" w:eastAsia="zh-CN"/>
        </w:rPr>
        <w:t>采购人</w:t>
      </w:r>
      <w:r>
        <w:rPr>
          <w:rFonts w:hint="eastAsia" w:ascii="宋体" w:hAnsi="宋体" w:cs="宋体"/>
          <w:color w:val="auto"/>
          <w:lang w:val="en-US" w:eastAsia="zh-CN"/>
        </w:rPr>
        <w:t>和</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lang w:val="en-US" w:eastAsia="zh-CN"/>
        </w:rPr>
        <w:t>财务应于次年1月31日前完成对收入的核对及确认。确认无误后的</w:t>
      </w:r>
      <w:r>
        <w:rPr>
          <w:rFonts w:hint="eastAsia" w:ascii="宋体" w:hAnsi="宋体" w:cs="宋体"/>
          <w:color w:val="auto"/>
          <w:lang w:val="en-US" w:eastAsia="zh-CN"/>
        </w:rPr>
        <w:t>5</w:t>
      </w:r>
      <w:r>
        <w:rPr>
          <w:rFonts w:hint="eastAsia" w:ascii="宋体" w:hAnsi="宋体" w:eastAsia="宋体" w:cs="宋体"/>
          <w:color w:val="auto"/>
          <w:lang w:val="en-US" w:eastAsia="zh-CN"/>
        </w:rPr>
        <w:t>个工作日内，</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lang w:val="en-US" w:eastAsia="zh-CN"/>
        </w:rPr>
        <w:t>向</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lang w:val="en-US" w:eastAsia="zh-CN"/>
        </w:rPr>
        <w:t>提供对应的服务类增值税专用发票，</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lang w:val="en-US" w:eastAsia="zh-CN"/>
        </w:rPr>
        <w:t>在收到发票后的5工作日内，将对应的运营服务费汇入</w:t>
      </w:r>
      <w:r>
        <w:rPr>
          <w:rFonts w:hint="eastAsia" w:ascii="宋体" w:hAnsi="宋体" w:cs="宋体"/>
          <w:color w:val="auto"/>
          <w:lang w:val="en-US" w:eastAsia="zh-CN"/>
        </w:rPr>
        <w:t>中标人</w:t>
      </w:r>
      <w:r>
        <w:rPr>
          <w:rFonts w:hint="eastAsia" w:ascii="宋体" w:hAnsi="宋体" w:eastAsia="宋体" w:cs="宋体"/>
          <w:color w:val="auto"/>
          <w:lang w:val="en-US" w:eastAsia="zh-CN"/>
        </w:rPr>
        <w:t>账户。最终收入以双方审计为准，待审计结束后</w:t>
      </w:r>
      <w:r>
        <w:rPr>
          <w:rFonts w:hint="eastAsia" w:ascii="宋体" w:hAnsi="宋体" w:cs="宋体"/>
          <w:color w:val="auto"/>
          <w:lang w:val="en-US" w:eastAsia="zh-CN"/>
        </w:rPr>
        <w:t>一个月内完成</w:t>
      </w:r>
      <w:r>
        <w:rPr>
          <w:rFonts w:hint="eastAsia" w:ascii="宋体" w:hAnsi="宋体" w:eastAsia="宋体" w:cs="宋体"/>
          <w:color w:val="auto"/>
          <w:lang w:val="en-US" w:eastAsia="zh-CN"/>
        </w:rPr>
        <w:t>清算。</w:t>
      </w:r>
    </w:p>
    <w:p w14:paraId="00C98F29">
      <w:pPr>
        <w:spacing w:line="360" w:lineRule="auto"/>
        <w:ind w:firstLine="420" w:firstLineChars="0"/>
        <w:rPr>
          <w:rFonts w:hint="eastAsia" w:ascii="宋体" w:hAnsi="宋体" w:cs="宋体"/>
          <w:color w:val="auto"/>
          <w:lang w:val="en-US" w:eastAsia="zh-CN"/>
        </w:rPr>
      </w:pPr>
      <w:r>
        <w:rPr>
          <w:rFonts w:hint="eastAsia" w:ascii="宋体" w:hAnsi="宋体" w:cs="宋体"/>
          <w:color w:val="auto"/>
          <w:lang w:val="en-US" w:eastAsia="zh-CN"/>
        </w:rPr>
        <w:t>5.</w:t>
      </w:r>
      <w:r>
        <w:rPr>
          <w:rFonts w:hint="eastAsia" w:ascii="宋体" w:hAnsi="宋体" w:eastAsia="宋体" w:cs="宋体"/>
          <w:color w:val="auto"/>
          <w:lang w:val="en-US" w:eastAsia="zh-CN"/>
        </w:rPr>
        <w:t>品牌</w:t>
      </w:r>
      <w:r>
        <w:rPr>
          <w:rFonts w:hint="eastAsia" w:ascii="宋体" w:hAnsi="宋体" w:cs="宋体"/>
          <w:color w:val="auto"/>
          <w:lang w:val="en-US" w:eastAsia="zh-CN"/>
        </w:rPr>
        <w:t>授权</w:t>
      </w:r>
      <w:r>
        <w:rPr>
          <w:rFonts w:hint="eastAsia" w:ascii="宋体" w:hAnsi="宋体" w:eastAsia="宋体" w:cs="宋体"/>
          <w:color w:val="auto"/>
          <w:lang w:val="en-US" w:eastAsia="zh-CN"/>
        </w:rPr>
        <w:t>使用</w:t>
      </w:r>
      <w:r>
        <w:rPr>
          <w:rFonts w:hint="eastAsia" w:ascii="宋体" w:hAnsi="宋体" w:cs="宋体"/>
          <w:color w:val="auto"/>
          <w:lang w:val="en-US" w:eastAsia="zh-CN"/>
        </w:rPr>
        <w:t>服务：</w:t>
      </w:r>
    </w:p>
    <w:p w14:paraId="7DD43239">
      <w:pPr>
        <w:spacing w:line="360" w:lineRule="auto"/>
        <w:ind w:firstLine="420" w:firstLineChars="0"/>
        <w:rPr>
          <w:rFonts w:hint="eastAsia" w:ascii="宋体" w:hAnsi="宋体" w:eastAsia="宋体" w:cs="宋体"/>
          <w:color w:val="auto"/>
          <w:lang w:val="en-US" w:eastAsia="zh-CN"/>
        </w:rPr>
      </w:pPr>
      <w:r>
        <w:rPr>
          <w:rFonts w:hint="eastAsia" w:ascii="宋体" w:hAnsi="宋体" w:cs="宋体"/>
          <w:color w:val="auto"/>
          <w:lang w:val="en-US" w:eastAsia="zh-CN"/>
        </w:rPr>
        <w:t>5.1品牌授权使用</w:t>
      </w:r>
      <w:r>
        <w:rPr>
          <w:rFonts w:hint="eastAsia" w:ascii="宋体" w:hAnsi="宋体" w:eastAsia="宋体" w:cs="宋体"/>
          <w:color w:val="auto"/>
          <w:lang w:val="en-US" w:eastAsia="zh-CN"/>
        </w:rPr>
        <w:t>期限</w:t>
      </w:r>
      <w:r>
        <w:rPr>
          <w:rFonts w:hint="eastAsia" w:ascii="宋体" w:hAnsi="宋体" w:cs="宋体"/>
          <w:color w:val="auto"/>
          <w:lang w:val="en-US" w:eastAsia="zh-CN"/>
        </w:rPr>
        <w:t>：</w:t>
      </w:r>
      <w:r>
        <w:rPr>
          <w:rFonts w:hint="eastAsia" w:ascii="宋体" w:hAnsi="宋体" w:eastAsia="宋体" w:cs="宋体"/>
          <w:color w:val="auto"/>
          <w:lang w:val="en-US" w:eastAsia="zh-CN"/>
        </w:rPr>
        <w:t>合同签订之日起</w:t>
      </w:r>
      <w:r>
        <w:rPr>
          <w:rFonts w:hint="eastAsia" w:ascii="宋体" w:hAnsi="宋体" w:cs="宋体"/>
          <w:color w:val="auto"/>
          <w:lang w:val="en-US" w:eastAsia="zh-CN"/>
        </w:rPr>
        <w:t>至</w:t>
      </w:r>
      <w:r>
        <w:rPr>
          <w:rFonts w:hint="eastAsia" w:ascii="宋体" w:hAnsi="宋体" w:eastAsia="宋体" w:cs="宋体"/>
          <w:color w:val="auto"/>
          <w:lang w:val="en-US" w:eastAsia="zh-CN"/>
        </w:rPr>
        <w:t>服务期结束</w:t>
      </w:r>
    </w:p>
    <w:p w14:paraId="0F151DB6">
      <w:pPr>
        <w:spacing w:line="360" w:lineRule="auto"/>
        <w:ind w:firstLine="420" w:firstLineChars="0"/>
        <w:rPr>
          <w:rFonts w:hint="eastAsia" w:ascii="宋体" w:hAnsi="宋体" w:eastAsia="宋体" w:cs="宋体"/>
          <w:color w:val="auto"/>
          <w:lang w:val="en-US" w:eastAsia="zh-CN"/>
        </w:rPr>
      </w:pPr>
      <w:r>
        <w:rPr>
          <w:rFonts w:hint="eastAsia" w:ascii="宋体" w:hAnsi="宋体" w:cs="宋体"/>
          <w:color w:val="auto"/>
          <w:lang w:val="en-US" w:eastAsia="zh-CN"/>
        </w:rPr>
        <w:t>5.2</w:t>
      </w:r>
      <w:r>
        <w:rPr>
          <w:rFonts w:hint="eastAsia" w:ascii="宋体" w:hAnsi="宋体" w:eastAsia="宋体" w:cs="宋体"/>
          <w:color w:val="auto"/>
          <w:lang w:val="en-US" w:eastAsia="zh-CN"/>
        </w:rPr>
        <w:t>品牌授权使用服务费用</w:t>
      </w:r>
      <w:r>
        <w:rPr>
          <w:rFonts w:hint="eastAsia" w:ascii="宋体" w:hAnsi="宋体" w:cs="宋体"/>
          <w:color w:val="auto"/>
          <w:lang w:val="en-US" w:eastAsia="zh-CN"/>
        </w:rPr>
        <w:t>每年</w:t>
      </w:r>
      <w:r>
        <w:rPr>
          <w:rFonts w:hint="eastAsia" w:ascii="宋体" w:hAnsi="宋体" w:eastAsia="宋体" w:cs="宋体"/>
          <w:color w:val="auto"/>
          <w:lang w:val="en-US" w:eastAsia="zh-CN"/>
        </w:rPr>
        <w:t>不高于</w:t>
      </w:r>
      <w:r>
        <w:rPr>
          <w:rFonts w:hint="eastAsia" w:ascii="宋体" w:hAnsi="宋体" w:cs="宋体"/>
          <w:color w:val="auto"/>
          <w:lang w:val="en-US" w:eastAsia="zh-CN"/>
        </w:rPr>
        <w:t>7</w:t>
      </w:r>
      <w:r>
        <w:rPr>
          <w:rFonts w:hint="eastAsia" w:ascii="宋体" w:hAnsi="宋体" w:eastAsia="宋体" w:cs="宋体"/>
          <w:color w:val="auto"/>
          <w:lang w:val="en-US" w:eastAsia="zh-CN"/>
        </w:rPr>
        <w:t>0万元。以实际报价为准。</w:t>
      </w:r>
    </w:p>
    <w:p w14:paraId="5437A767">
      <w:pPr>
        <w:spacing w:line="360" w:lineRule="auto"/>
        <w:ind w:firstLine="42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按年支付，分十年支付</w:t>
      </w:r>
      <w:r>
        <w:rPr>
          <w:rFonts w:hint="eastAsia" w:ascii="宋体" w:hAnsi="宋体" w:cs="宋体"/>
          <w:color w:val="auto"/>
          <w:lang w:val="en-US" w:eastAsia="zh-CN"/>
        </w:rPr>
        <w:t>，每年支付金额不高于投标报价</w:t>
      </w:r>
      <w:r>
        <w:rPr>
          <w:rFonts w:hint="eastAsia" w:ascii="宋体" w:hAnsi="宋体" w:eastAsia="宋体" w:cs="宋体"/>
          <w:color w:val="auto"/>
          <w:lang w:val="en-US" w:eastAsia="zh-CN"/>
        </w:rPr>
        <w:t>。合同签订之日起的10个工作日内，</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lang w:val="en-US" w:eastAsia="zh-CN"/>
        </w:rPr>
        <w:t>将第一笔商标授权汇入</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lang w:val="en-US" w:eastAsia="zh-CN"/>
        </w:rPr>
        <w:t>指定账户，后续商标授权费在每年12月底之前汇入</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lang w:val="en-US" w:eastAsia="zh-CN"/>
        </w:rPr>
        <w:t>指定账户。</w:t>
      </w:r>
    </w:p>
    <w:p w14:paraId="50FC0F16">
      <w:pPr>
        <w:spacing w:line="360" w:lineRule="auto"/>
        <w:ind w:firstLine="42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其他详见运营期服务内容以及合同约定内容。</w:t>
      </w:r>
    </w:p>
    <w:p w14:paraId="2E7EA79B">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四、其他服务要求</w:t>
      </w:r>
    </w:p>
    <w:p w14:paraId="5B8DB60F">
      <w:pPr>
        <w:spacing w:line="360" w:lineRule="auto"/>
        <w:ind w:firstLine="42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（一）招商服务内容及要求</w:t>
      </w:r>
    </w:p>
    <w:p w14:paraId="251CD5F8">
      <w:pPr>
        <w:spacing w:line="360" w:lineRule="auto"/>
        <w:ind w:firstLine="42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1.中标人应以其所具备的专业知识、实操经验和管理能力勤勉尽责地提供本项目所有服务，就招标人委托事项提出适合日后项目运作及经营的合理化专业意见。</w:t>
      </w:r>
    </w:p>
    <w:p w14:paraId="27718FF4">
      <w:pPr>
        <w:spacing w:line="360" w:lineRule="auto"/>
        <w:ind w:firstLine="42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2.中标人应于每年第一季度制定全年工作计划并提交给招标人审批，该计划将涉及推广计划与步骤、人员编制方案（包括需到岗与培训的人员编排、数目及责任范围）、须购妥的用品，以及需完成的行政与服务安排等。</w:t>
      </w:r>
    </w:p>
    <w:p w14:paraId="19C5B94A">
      <w:pPr>
        <w:spacing w:line="360" w:lineRule="auto"/>
        <w:ind w:firstLine="42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3.中标人将完成一份尽可能详细的开业预算计划交招标人批准。</w:t>
      </w:r>
    </w:p>
    <w:p w14:paraId="0BB819B6">
      <w:pPr>
        <w:spacing w:line="360" w:lineRule="auto"/>
        <w:ind w:firstLine="42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4.中标人有义务定期向招标人汇报在招商及其它管理服务过程中的重大事项和情况，具体汇报流程等由双方以会议、备忘录等形式予以明确。</w:t>
      </w:r>
    </w:p>
    <w:p w14:paraId="1940D082">
      <w:pPr>
        <w:spacing w:line="360" w:lineRule="auto"/>
        <w:ind w:firstLine="42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5.中标人负责制定该项目管理团队的组织架构、岗位职责、任职资格和到岗进度表，报招标人审批。</w:t>
      </w:r>
    </w:p>
    <w:p w14:paraId="1B4C3787">
      <w:pPr>
        <w:spacing w:line="360" w:lineRule="auto"/>
        <w:ind w:firstLine="42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6.遵守政府的所有法律法规、命令和要求，并采取所有必需的措施以消除上述各部门或机构对项目提出的任何及所有违反规定之处，因中标人原因所导致的相关责任和赔偿由中标人承担。</w:t>
      </w:r>
    </w:p>
    <w:p w14:paraId="6FD45DF4">
      <w:pPr>
        <w:spacing w:line="360" w:lineRule="auto"/>
        <w:ind w:firstLine="42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7.招商品牌与招标人已签订租赁合同或租赁意向合同后，但又没有成功入驻的，中标人还应继续招商，直至品牌商家入驻商场店铺为止，每个店铺</w:t>
      </w:r>
      <w:r>
        <w:rPr>
          <w:rFonts w:hint="eastAsia" w:ascii="宋体" w:hAnsi="宋体" w:eastAsia="宋体" w:cs="宋体"/>
          <w:color w:val="auto"/>
          <w:sz w:val="21"/>
          <w:szCs w:val="21"/>
          <w:highlight w:val="none"/>
          <w:lang w:val="en-US" w:eastAsia="zh-CN"/>
        </w:rPr>
        <w:t>筹备期招商服务</w:t>
      </w:r>
      <w:r>
        <w:rPr>
          <w:rFonts w:hint="eastAsia" w:ascii="宋体" w:hAnsi="宋体" w:cs="宋体"/>
          <w:color w:val="auto"/>
          <w:sz w:val="21"/>
          <w:szCs w:val="21"/>
          <w:highlight w:val="none"/>
          <w:lang w:val="en-US" w:eastAsia="zh-CN"/>
        </w:rPr>
        <w:t>费</w:t>
      </w:r>
      <w:r>
        <w:rPr>
          <w:rFonts w:hint="eastAsia" w:ascii="宋体" w:hAnsi="宋体" w:eastAsia="宋体" w:cs="宋体"/>
          <w:color w:val="auto"/>
          <w:lang w:val="en-US" w:eastAsia="zh-CN"/>
        </w:rPr>
        <w:t>只计费一次（不区分品牌），不重复计费。</w:t>
      </w:r>
    </w:p>
    <w:p w14:paraId="4B50CA8C">
      <w:pPr>
        <w:spacing w:line="360" w:lineRule="auto"/>
        <w:ind w:firstLine="42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8.中标人不得以本项目名义或者财产对外提供担保。</w:t>
      </w:r>
    </w:p>
    <w:p w14:paraId="33B4D5D7">
      <w:pPr>
        <w:spacing w:line="360" w:lineRule="auto"/>
        <w:ind w:firstLine="42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（二）运营服务内容及要求</w:t>
      </w:r>
    </w:p>
    <w:p w14:paraId="4454ACCF">
      <w:pPr>
        <w:spacing w:line="360" w:lineRule="auto"/>
        <w:ind w:firstLine="42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1.中标人应制定相应的策略将商业设施及产品有效、有序、有偿地提供给市场和广大消费者。向市场和消费者提供高质量的商业服务及产品，最大程度地提高本项目的经营业绩。并根据不断变化的市场行情和各方面情况调整本项目营销策略和价格体系。</w:t>
      </w:r>
    </w:p>
    <w:p w14:paraId="02A471A5">
      <w:pPr>
        <w:spacing w:line="360" w:lineRule="auto"/>
        <w:ind w:firstLine="42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2.中标人协助其派出的管理层制定本项目年度经营方案（该方案需经招标人同意），编制每月的工作报告、市场营销分析，以及各项统计资料等。</w:t>
      </w:r>
    </w:p>
    <w:p w14:paraId="31615680">
      <w:pPr>
        <w:spacing w:line="360" w:lineRule="auto"/>
        <w:ind w:firstLine="42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3.中标人协助其派出的管理层制定本项目年度市场营销推广计划，包括（但不限于）下列各项：</w:t>
      </w:r>
    </w:p>
    <w:p w14:paraId="66A279E2">
      <w:pPr>
        <w:spacing w:line="360" w:lineRule="auto"/>
        <w:ind w:firstLine="420" w:firstLineChars="0"/>
        <w:rPr>
          <w:rFonts w:hint="eastAsia" w:ascii="宋体" w:hAnsi="宋体" w:eastAsia="宋体" w:cs="宋体"/>
          <w:color w:val="auto"/>
          <w:lang w:val="en-US" w:eastAsia="zh-CN"/>
        </w:rPr>
      </w:pPr>
      <w:r>
        <w:rPr>
          <w:rFonts w:hint="eastAsia" w:ascii="宋体" w:hAnsi="宋体" w:cs="宋体"/>
          <w:color w:val="auto"/>
          <w:lang w:val="en-US" w:eastAsia="zh-CN"/>
        </w:rPr>
        <w:t>3</w:t>
      </w:r>
      <w:r>
        <w:rPr>
          <w:rFonts w:hint="eastAsia" w:ascii="宋体" w:hAnsi="宋体" w:eastAsia="宋体" w:cs="宋体"/>
          <w:color w:val="auto"/>
          <w:lang w:val="en-US" w:eastAsia="zh-CN"/>
        </w:rPr>
        <w:t>.1制定本项目营销策略；</w:t>
      </w:r>
    </w:p>
    <w:p w14:paraId="0E814F71">
      <w:pPr>
        <w:spacing w:line="360" w:lineRule="auto"/>
        <w:ind w:firstLine="420" w:firstLineChars="0"/>
        <w:rPr>
          <w:rFonts w:hint="eastAsia" w:ascii="宋体" w:hAnsi="宋体" w:eastAsia="宋体" w:cs="宋体"/>
          <w:color w:val="auto"/>
          <w:lang w:val="en-US" w:eastAsia="zh-CN"/>
        </w:rPr>
      </w:pPr>
      <w:r>
        <w:rPr>
          <w:rFonts w:hint="eastAsia" w:ascii="宋体" w:hAnsi="宋体" w:cs="宋体"/>
          <w:color w:val="auto"/>
          <w:lang w:val="en-US" w:eastAsia="zh-CN"/>
        </w:rPr>
        <w:t>3</w:t>
      </w:r>
      <w:r>
        <w:rPr>
          <w:rFonts w:hint="eastAsia" w:ascii="宋体" w:hAnsi="宋体" w:eastAsia="宋体" w:cs="宋体"/>
          <w:color w:val="auto"/>
          <w:lang w:val="en-US" w:eastAsia="zh-CN"/>
        </w:rPr>
        <w:t>.2充分利用项目现有主力店品牌及其他合作品牌的集团化市场营销资源；</w:t>
      </w:r>
    </w:p>
    <w:p w14:paraId="5E79C649">
      <w:pPr>
        <w:spacing w:line="360" w:lineRule="auto"/>
        <w:ind w:firstLine="420" w:firstLineChars="0"/>
        <w:rPr>
          <w:rFonts w:hint="eastAsia" w:ascii="宋体" w:hAnsi="宋体" w:eastAsia="宋体" w:cs="宋体"/>
          <w:color w:val="auto"/>
          <w:lang w:val="en-US" w:eastAsia="zh-CN"/>
        </w:rPr>
      </w:pPr>
      <w:r>
        <w:rPr>
          <w:rFonts w:hint="eastAsia" w:ascii="宋体" w:hAnsi="宋体" w:cs="宋体"/>
          <w:color w:val="auto"/>
          <w:lang w:val="en-US" w:eastAsia="zh-CN"/>
        </w:rPr>
        <w:t>3</w:t>
      </w:r>
      <w:r>
        <w:rPr>
          <w:rFonts w:hint="eastAsia" w:ascii="宋体" w:hAnsi="宋体" w:eastAsia="宋体" w:cs="宋体"/>
          <w:color w:val="auto"/>
          <w:lang w:val="en-US" w:eastAsia="zh-CN"/>
        </w:rPr>
        <w:t>.3确定本项目出租率及商务条件、年度客流指标、年度销售指标、会员体系等方面的营销目标；</w:t>
      </w:r>
    </w:p>
    <w:p w14:paraId="3B148B56">
      <w:pPr>
        <w:spacing w:line="360" w:lineRule="auto"/>
        <w:ind w:firstLine="420" w:firstLineChars="0"/>
        <w:rPr>
          <w:rFonts w:hint="eastAsia" w:ascii="宋体" w:hAnsi="宋体" w:eastAsia="宋体" w:cs="宋体"/>
          <w:color w:val="auto"/>
          <w:lang w:val="en-US" w:eastAsia="zh-CN"/>
        </w:rPr>
      </w:pPr>
      <w:r>
        <w:rPr>
          <w:rFonts w:hint="eastAsia" w:ascii="宋体" w:hAnsi="宋体" w:cs="宋体"/>
          <w:color w:val="auto"/>
          <w:lang w:val="en-US" w:eastAsia="zh-CN"/>
        </w:rPr>
        <w:t>3</w:t>
      </w:r>
      <w:r>
        <w:rPr>
          <w:rFonts w:hint="eastAsia" w:ascii="宋体" w:hAnsi="宋体" w:eastAsia="宋体" w:cs="宋体"/>
          <w:color w:val="auto"/>
          <w:lang w:val="en-US" w:eastAsia="zh-CN"/>
        </w:rPr>
        <w:t>.4针对不同消费者、不同品牌客群建立有效的营销方法和政策；</w:t>
      </w:r>
    </w:p>
    <w:p w14:paraId="6FA3AD07">
      <w:pPr>
        <w:spacing w:line="360" w:lineRule="auto"/>
        <w:ind w:firstLine="420" w:firstLineChars="0"/>
        <w:rPr>
          <w:rFonts w:hint="eastAsia" w:ascii="宋体" w:hAnsi="宋体" w:eastAsia="宋体" w:cs="宋体"/>
          <w:color w:val="auto"/>
          <w:lang w:val="en-US" w:eastAsia="zh-CN"/>
        </w:rPr>
      </w:pPr>
      <w:r>
        <w:rPr>
          <w:rFonts w:hint="eastAsia" w:ascii="宋体" w:hAnsi="宋体" w:cs="宋体"/>
          <w:color w:val="auto"/>
          <w:lang w:val="en-US" w:eastAsia="zh-CN"/>
        </w:rPr>
        <w:t>3</w:t>
      </w:r>
      <w:r>
        <w:rPr>
          <w:rFonts w:hint="eastAsia" w:ascii="宋体" w:hAnsi="宋体" w:eastAsia="宋体" w:cs="宋体"/>
          <w:color w:val="auto"/>
          <w:lang w:val="en-US" w:eastAsia="zh-CN"/>
        </w:rPr>
        <w:t>.5适时、有效地分析本项目业绩并作出相应的调整。</w:t>
      </w:r>
    </w:p>
    <w:p w14:paraId="71EB5E14">
      <w:pPr>
        <w:spacing w:line="360" w:lineRule="auto"/>
        <w:ind w:firstLine="420" w:firstLineChars="0"/>
        <w:rPr>
          <w:rFonts w:hint="eastAsia" w:ascii="宋体" w:hAnsi="宋体" w:eastAsia="宋体" w:cs="宋体"/>
          <w:color w:val="auto"/>
          <w:lang w:val="en-US" w:eastAsia="zh-CN"/>
        </w:rPr>
      </w:pPr>
      <w:r>
        <w:rPr>
          <w:rFonts w:hint="eastAsia" w:ascii="宋体" w:hAnsi="宋体" w:cs="宋体"/>
          <w:color w:val="auto"/>
          <w:lang w:val="en-US" w:eastAsia="zh-CN"/>
        </w:rPr>
        <w:t>4</w:t>
      </w:r>
      <w:r>
        <w:rPr>
          <w:rFonts w:hint="eastAsia" w:ascii="宋体" w:hAnsi="宋体" w:eastAsia="宋体" w:cs="宋体"/>
          <w:color w:val="auto"/>
          <w:lang w:val="en-US" w:eastAsia="zh-CN"/>
        </w:rPr>
        <w:t>.市场营销及推广活动</w:t>
      </w:r>
    </w:p>
    <w:p w14:paraId="37E5A2BA">
      <w:pPr>
        <w:spacing w:line="360" w:lineRule="auto"/>
        <w:ind w:firstLine="42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本项目将在中标人的指导下参加以下各种中标人现有渠道的产品销售及推广活动，以期降低项目的营销成本，提高项目的营销效率（营销费用及成本由</w:t>
      </w:r>
      <w:r>
        <w:rPr>
          <w:rFonts w:hint="eastAsia" w:ascii="宋体" w:hAnsi="宋体" w:cs="宋体"/>
          <w:color w:val="auto"/>
          <w:lang w:val="en-US" w:eastAsia="zh-CN"/>
        </w:rPr>
        <w:t>采购人</w:t>
      </w:r>
      <w:r>
        <w:rPr>
          <w:rFonts w:hint="eastAsia" w:ascii="宋体" w:hAnsi="宋体" w:eastAsia="宋体" w:cs="宋体"/>
          <w:color w:val="auto"/>
          <w:lang w:val="en-US" w:eastAsia="zh-CN"/>
        </w:rPr>
        <w:t xml:space="preserve">承担）： </w:t>
      </w:r>
    </w:p>
    <w:p w14:paraId="3CB19B17">
      <w:pPr>
        <w:spacing w:line="360" w:lineRule="auto"/>
        <w:ind w:firstLine="420" w:firstLineChars="0"/>
        <w:rPr>
          <w:rFonts w:hint="eastAsia" w:ascii="宋体" w:hAnsi="宋体" w:eastAsia="宋体" w:cs="宋体"/>
          <w:color w:val="auto"/>
          <w:lang w:val="en-US" w:eastAsia="zh-CN"/>
        </w:rPr>
      </w:pPr>
      <w:r>
        <w:rPr>
          <w:rFonts w:hint="eastAsia" w:ascii="宋体" w:hAnsi="宋体" w:cs="宋体"/>
          <w:color w:val="auto"/>
          <w:lang w:val="en-US" w:eastAsia="zh-CN"/>
        </w:rPr>
        <w:t>4</w:t>
      </w:r>
      <w:r>
        <w:rPr>
          <w:rFonts w:hint="eastAsia" w:ascii="宋体" w:hAnsi="宋体" w:eastAsia="宋体" w:cs="宋体"/>
          <w:color w:val="auto"/>
          <w:lang w:val="en-US" w:eastAsia="zh-CN"/>
        </w:rPr>
        <w:t>.1本项目须在中标人其他合作品牌惯常使用的各媒体及线上进行市场营销，活动使用的所有市场营销及宣传材料须符合中标人市场营销标准；</w:t>
      </w:r>
    </w:p>
    <w:p w14:paraId="394F7904">
      <w:pPr>
        <w:spacing w:line="360" w:lineRule="auto"/>
        <w:ind w:firstLine="420" w:firstLineChars="0"/>
        <w:rPr>
          <w:rFonts w:hint="eastAsia" w:ascii="宋体" w:hAnsi="宋体" w:eastAsia="宋体" w:cs="宋体"/>
          <w:color w:val="auto"/>
          <w:lang w:val="en-US" w:eastAsia="zh-CN"/>
        </w:rPr>
      </w:pPr>
      <w:r>
        <w:rPr>
          <w:rFonts w:hint="eastAsia" w:ascii="宋体" w:hAnsi="宋体" w:cs="宋体"/>
          <w:color w:val="auto"/>
          <w:lang w:val="en-US" w:eastAsia="zh-CN"/>
        </w:rPr>
        <w:t>4</w:t>
      </w:r>
      <w:r>
        <w:rPr>
          <w:rFonts w:hint="eastAsia" w:ascii="宋体" w:hAnsi="宋体" w:eastAsia="宋体" w:cs="宋体"/>
          <w:color w:val="auto"/>
          <w:lang w:val="en-US" w:eastAsia="zh-CN"/>
        </w:rPr>
        <w:t>.2中标人将就不同业务来源通过公司现有或将要开拓的各类渠道进行销售及推广。</w:t>
      </w:r>
    </w:p>
    <w:p w14:paraId="1F3DA66E">
      <w:pPr>
        <w:spacing w:line="360" w:lineRule="auto"/>
        <w:ind w:firstLine="420" w:firstLineChars="0"/>
        <w:rPr>
          <w:rFonts w:hint="eastAsia" w:ascii="宋体" w:hAnsi="宋体" w:eastAsia="宋体" w:cs="宋体"/>
          <w:color w:val="auto"/>
          <w:lang w:val="en-US" w:eastAsia="zh-CN"/>
        </w:rPr>
      </w:pPr>
      <w:r>
        <w:rPr>
          <w:rFonts w:hint="eastAsia" w:ascii="宋体" w:hAnsi="宋体" w:cs="宋体"/>
          <w:color w:val="auto"/>
          <w:lang w:val="en-US" w:eastAsia="zh-CN"/>
        </w:rPr>
        <w:t>5</w:t>
      </w:r>
      <w:r>
        <w:rPr>
          <w:rFonts w:hint="eastAsia" w:ascii="宋体" w:hAnsi="宋体" w:eastAsia="宋体" w:cs="宋体"/>
          <w:color w:val="auto"/>
          <w:lang w:val="en-US" w:eastAsia="zh-CN"/>
        </w:rPr>
        <w:t>.在本项目履行期间，中标人作为商场运营方，在安全责任方面的权益和责任明确如下：双方共同承担商场运营过程中的安全责任相关风险，但应依据各自的法定职责和合同约定具体界定责任范围。双方严格遵守国家及地方有关安全管理的法律法规，针对消防、治安、设施设备安全等可能影响商场安全运营的各类风险，建立健全安全管理机制，制定并执行安全应急预案。若一方发现安全隐患，应立即以书面形式（包括但不限于微信、邮件、正式函件等可留存记录的方式）通知对方，并明确整改要求和期限。接到通知方应在合理期限内给予书面回应，双方共同协商并采取有效措施进行整改。若因一方未履行通知义务或未按约定配合整改而导致安全事故或损失扩大，未履行义务方应承担相应的法律责任和赔偿责任，确保中标人在商场运营安全管理工作中不因招标人的不作为或不当行为而遭受额外损失，保障商场运营环境安全稳定，维护中标人的合法权益。</w:t>
      </w:r>
    </w:p>
    <w:p w14:paraId="475C8616">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五、服务期：</w:t>
      </w:r>
    </w:p>
    <w:p w14:paraId="233DD2FF">
      <w:pPr>
        <w:spacing w:line="360" w:lineRule="auto"/>
        <w:ind w:firstLine="420" w:firstLineChars="0"/>
        <w:rPr>
          <w:rFonts w:hint="eastAsia" w:ascii="宋体" w:hAnsi="宋体" w:eastAsia="宋体" w:cs="宋体"/>
          <w:color w:val="auto"/>
          <w:lang w:val="en-US" w:eastAsia="zh-CN"/>
        </w:rPr>
      </w:pPr>
      <w:r>
        <w:rPr>
          <w:rFonts w:hint="eastAsia" w:ascii="宋体" w:hAnsi="宋体" w:cs="宋体"/>
          <w:color w:val="auto"/>
          <w:lang w:val="en-US" w:eastAsia="zh-CN"/>
        </w:rPr>
        <w:t>（1）筹备</w:t>
      </w:r>
      <w:r>
        <w:rPr>
          <w:rFonts w:hint="eastAsia" w:ascii="宋体" w:hAnsi="宋体" w:eastAsia="宋体" w:cs="宋体"/>
          <w:color w:val="auto"/>
          <w:lang w:val="en-US" w:eastAsia="zh-CN"/>
        </w:rPr>
        <w:t>期：</w:t>
      </w:r>
    </w:p>
    <w:p w14:paraId="1BB8F5CA">
      <w:pPr>
        <w:spacing w:line="36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cs="宋体"/>
          <w:color w:val="auto"/>
          <w:lang w:val="en-US" w:eastAsia="zh-CN"/>
        </w:rPr>
        <w:t>1）策划服务期：合同签订之日起至项目开业之日。</w:t>
      </w:r>
    </w:p>
    <w:p w14:paraId="7BC1BDF4">
      <w:pPr>
        <w:spacing w:line="360" w:lineRule="auto"/>
        <w:ind w:firstLine="420" w:firstLineChars="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招商服务期：开业前</w:t>
      </w:r>
      <w:r>
        <w:rPr>
          <w:rFonts w:hint="eastAsia" w:ascii="宋体" w:hAnsi="宋体" w:eastAsia="宋体" w:cs="宋体"/>
          <w:b w:val="0"/>
          <w:bCs w:val="0"/>
          <w:color w:val="auto"/>
          <w:sz w:val="21"/>
          <w:szCs w:val="21"/>
          <w:highlight w:val="none"/>
          <w:u w:val="single"/>
          <w:lang w:val="en-US" w:eastAsia="zh-CN"/>
        </w:rPr>
        <w:t>18</w:t>
      </w:r>
      <w:r>
        <w:rPr>
          <w:rFonts w:hint="eastAsia" w:ascii="宋体" w:hAnsi="宋体" w:eastAsia="宋体" w:cs="宋体"/>
          <w:b w:val="0"/>
          <w:bCs w:val="0"/>
          <w:color w:val="auto"/>
          <w:sz w:val="21"/>
          <w:szCs w:val="21"/>
          <w:highlight w:val="none"/>
          <w:lang w:val="en-US" w:eastAsia="zh-CN"/>
        </w:rPr>
        <w:t>个月。</w:t>
      </w:r>
    </w:p>
    <w:p w14:paraId="67EA8EC2">
      <w:pPr>
        <w:spacing w:line="360" w:lineRule="auto"/>
        <w:ind w:firstLine="420" w:firstLineChars="0"/>
        <w:rPr>
          <w:rFonts w:hint="eastAsia" w:ascii="宋体" w:hAnsi="宋体" w:eastAsia="宋体" w:cs="宋体"/>
          <w:color w:val="auto"/>
          <w:lang w:val="en-US" w:eastAsia="zh-CN"/>
        </w:rPr>
      </w:pPr>
      <w:r>
        <w:rPr>
          <w:rFonts w:hint="eastAsia" w:ascii="宋体" w:hAnsi="宋体" w:cs="宋体"/>
          <w:color w:val="auto"/>
          <w:lang w:val="en-US" w:eastAsia="zh-CN"/>
        </w:rPr>
        <w:t>（2）</w:t>
      </w:r>
      <w:r>
        <w:rPr>
          <w:rFonts w:hint="eastAsia" w:ascii="宋体" w:hAnsi="宋体" w:eastAsia="宋体" w:cs="宋体"/>
          <w:color w:val="auto"/>
          <w:lang w:val="en-US" w:eastAsia="zh-CN"/>
        </w:rPr>
        <w:t>运营期：运营期为自实际开业日起计算10年。</w:t>
      </w:r>
    </w:p>
    <w:p w14:paraId="500E3786">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六、采购清单及要求</w:t>
      </w:r>
    </w:p>
    <w:tbl>
      <w:tblPr>
        <w:tblStyle w:val="28"/>
        <w:tblW w:w="10455" w:type="dxa"/>
        <w:tblInd w:w="-2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60"/>
        <w:gridCol w:w="1200"/>
        <w:gridCol w:w="660"/>
        <w:gridCol w:w="720"/>
        <w:gridCol w:w="3532"/>
        <w:gridCol w:w="3683"/>
      </w:tblGrid>
      <w:tr w14:paraId="0E576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10455" w:type="dxa"/>
            <w:gridSpan w:val="6"/>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73F0A59">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eastAsia" w:ascii="宋体" w:hAnsi="宋体" w:eastAsia="宋体" w:cs="宋体"/>
                <w:b/>
                <w:bCs/>
                <w:caps w:val="0"/>
                <w:color w:val="auto"/>
                <w:spacing w:val="0"/>
                <w:sz w:val="21"/>
                <w:szCs w:val="21"/>
                <w:highlight w:val="none"/>
                <w:lang w:val="en-US" w:eastAsia="zh-CN" w:bidi="en-US"/>
              </w:rPr>
            </w:pPr>
            <w:r>
              <w:rPr>
                <w:rFonts w:hint="eastAsia" w:ascii="宋体" w:hAnsi="宋体" w:eastAsia="宋体" w:cs="宋体"/>
                <w:b/>
                <w:bCs/>
                <w:caps w:val="0"/>
                <w:color w:val="auto"/>
                <w:spacing w:val="0"/>
                <w:sz w:val="21"/>
                <w:szCs w:val="21"/>
                <w:highlight w:val="none"/>
                <w:lang w:val="en-US" w:eastAsia="zh-CN" w:bidi="en-US"/>
              </w:rPr>
              <w:t>采购清单</w:t>
            </w:r>
          </w:p>
        </w:tc>
      </w:tr>
      <w:tr w14:paraId="7852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6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5782FBB">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eastAsia" w:ascii="宋体" w:hAnsi="宋体" w:eastAsia="宋体" w:cs="宋体"/>
                <w:b/>
                <w:bCs/>
                <w:color w:val="auto"/>
                <w:sz w:val="21"/>
                <w:szCs w:val="21"/>
                <w:highlight w:val="none"/>
                <w:lang w:val="en-US" w:eastAsia="zh-CN" w:bidi="en-US"/>
              </w:rPr>
            </w:pPr>
            <w:r>
              <w:rPr>
                <w:rFonts w:hint="eastAsia" w:ascii="宋体" w:hAnsi="宋体" w:eastAsia="宋体" w:cs="宋体"/>
                <w:b/>
                <w:bCs/>
                <w:caps w:val="0"/>
                <w:color w:val="auto"/>
                <w:spacing w:val="0"/>
                <w:sz w:val="21"/>
                <w:szCs w:val="21"/>
                <w:highlight w:val="none"/>
                <w:lang w:val="en-US" w:eastAsia="zh-CN" w:bidi="en-US"/>
              </w:rPr>
              <w:t>序号</w:t>
            </w:r>
          </w:p>
        </w:tc>
        <w:tc>
          <w:tcPr>
            <w:tcW w:w="12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77CAD4E">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eastAsia" w:ascii="宋体" w:hAnsi="宋体" w:eastAsia="宋体" w:cs="宋体"/>
                <w:b/>
                <w:bCs/>
                <w:color w:val="auto"/>
                <w:sz w:val="21"/>
                <w:szCs w:val="21"/>
                <w:highlight w:val="none"/>
                <w:lang w:val="en-US" w:eastAsia="en-US" w:bidi="en-US"/>
              </w:rPr>
            </w:pPr>
            <w:r>
              <w:rPr>
                <w:rFonts w:hint="eastAsia" w:ascii="宋体" w:hAnsi="宋体" w:eastAsia="宋体" w:cs="宋体"/>
                <w:b/>
                <w:bCs/>
                <w:color w:val="auto"/>
                <w:sz w:val="21"/>
                <w:szCs w:val="21"/>
                <w:highlight w:val="none"/>
                <w:lang w:val="en-US" w:eastAsia="en-US" w:bidi="en-US"/>
              </w:rPr>
              <w:t>项目内容</w:t>
            </w:r>
          </w:p>
        </w:tc>
        <w:tc>
          <w:tcPr>
            <w:tcW w:w="66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651D80F">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eastAsia" w:ascii="宋体" w:hAnsi="宋体" w:eastAsia="宋体" w:cs="宋体"/>
                <w:b/>
                <w:bCs/>
                <w:color w:val="auto"/>
                <w:sz w:val="21"/>
                <w:szCs w:val="21"/>
                <w:highlight w:val="none"/>
                <w:lang w:val="en-US" w:eastAsia="en-US" w:bidi="en-US"/>
              </w:rPr>
            </w:pPr>
            <w:r>
              <w:rPr>
                <w:rFonts w:hint="eastAsia" w:ascii="宋体" w:hAnsi="宋体" w:eastAsia="宋体" w:cs="宋体"/>
                <w:b/>
                <w:bCs/>
                <w:caps w:val="0"/>
                <w:color w:val="auto"/>
                <w:spacing w:val="0"/>
                <w:sz w:val="21"/>
                <w:szCs w:val="21"/>
                <w:highlight w:val="none"/>
                <w:lang w:val="en-US" w:eastAsia="en-US" w:bidi="en-US"/>
              </w:rPr>
              <w:t>单位</w:t>
            </w:r>
          </w:p>
        </w:tc>
        <w:tc>
          <w:tcPr>
            <w:tcW w:w="72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6BFD1B6">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eastAsia" w:ascii="宋体" w:hAnsi="宋体" w:eastAsia="宋体" w:cs="宋体"/>
                <w:b/>
                <w:bCs/>
                <w:color w:val="auto"/>
                <w:sz w:val="21"/>
                <w:szCs w:val="21"/>
                <w:highlight w:val="none"/>
                <w:lang w:val="en-US" w:eastAsia="en-US" w:bidi="en-US"/>
              </w:rPr>
            </w:pPr>
            <w:r>
              <w:rPr>
                <w:rFonts w:hint="eastAsia" w:ascii="宋体" w:hAnsi="宋体" w:eastAsia="宋体" w:cs="宋体"/>
                <w:b/>
                <w:bCs/>
                <w:caps w:val="0"/>
                <w:color w:val="auto"/>
                <w:spacing w:val="0"/>
                <w:sz w:val="21"/>
                <w:szCs w:val="21"/>
                <w:highlight w:val="none"/>
                <w:lang w:val="en-US" w:eastAsia="en-US" w:bidi="en-US"/>
              </w:rPr>
              <w:t>数量</w:t>
            </w:r>
          </w:p>
        </w:tc>
        <w:tc>
          <w:tcPr>
            <w:tcW w:w="353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A2DB603">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eastAsia" w:ascii="宋体" w:hAnsi="宋体" w:eastAsia="宋体" w:cs="宋体"/>
                <w:b/>
                <w:bCs/>
                <w:caps w:val="0"/>
                <w:color w:val="auto"/>
                <w:spacing w:val="0"/>
                <w:sz w:val="21"/>
                <w:szCs w:val="21"/>
                <w:highlight w:val="none"/>
                <w:lang w:val="en-US" w:eastAsia="zh-CN" w:bidi="en-US"/>
              </w:rPr>
            </w:pPr>
            <w:r>
              <w:rPr>
                <w:rFonts w:hint="eastAsia" w:ascii="宋体" w:hAnsi="宋体" w:eastAsia="宋体" w:cs="宋体"/>
                <w:b/>
                <w:bCs/>
                <w:caps w:val="0"/>
                <w:color w:val="auto"/>
                <w:spacing w:val="0"/>
                <w:sz w:val="21"/>
                <w:szCs w:val="21"/>
                <w:highlight w:val="none"/>
                <w:lang w:val="en-US" w:eastAsia="zh-CN" w:bidi="en-US"/>
              </w:rPr>
              <w:t>预算</w:t>
            </w:r>
            <w:r>
              <w:rPr>
                <w:rFonts w:hint="eastAsia" w:ascii="宋体" w:hAnsi="宋体" w:cs="宋体"/>
                <w:b/>
                <w:bCs/>
                <w:caps w:val="0"/>
                <w:color w:val="auto"/>
                <w:spacing w:val="0"/>
                <w:sz w:val="21"/>
                <w:szCs w:val="21"/>
                <w:highlight w:val="none"/>
                <w:lang w:val="en-US" w:eastAsia="zh-CN" w:bidi="en-US"/>
              </w:rPr>
              <w:t>金额</w:t>
            </w:r>
            <w:r>
              <w:rPr>
                <w:rFonts w:hint="eastAsia" w:ascii="宋体" w:hAnsi="宋体" w:eastAsia="宋体" w:cs="宋体"/>
                <w:b/>
                <w:bCs/>
                <w:caps w:val="0"/>
                <w:color w:val="auto"/>
                <w:spacing w:val="0"/>
                <w:sz w:val="21"/>
                <w:szCs w:val="21"/>
                <w:highlight w:val="none"/>
                <w:lang w:val="en-US" w:eastAsia="zh-CN" w:bidi="en-US"/>
              </w:rPr>
              <w:t>/最高限价</w:t>
            </w:r>
          </w:p>
        </w:tc>
        <w:tc>
          <w:tcPr>
            <w:tcW w:w="3683"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4753EF8">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default" w:ascii="宋体" w:hAnsi="宋体" w:eastAsia="宋体" w:cs="宋体"/>
                <w:b/>
                <w:bCs/>
                <w:caps w:val="0"/>
                <w:color w:val="auto"/>
                <w:spacing w:val="0"/>
                <w:sz w:val="21"/>
                <w:szCs w:val="21"/>
                <w:highlight w:val="none"/>
                <w:lang w:val="en-US" w:eastAsia="zh-CN" w:bidi="en-US"/>
              </w:rPr>
            </w:pPr>
            <w:r>
              <w:rPr>
                <w:rFonts w:hint="eastAsia" w:ascii="宋体" w:hAnsi="宋体" w:cs="宋体"/>
                <w:b/>
                <w:bCs/>
                <w:caps w:val="0"/>
                <w:color w:val="auto"/>
                <w:spacing w:val="0"/>
                <w:sz w:val="21"/>
                <w:szCs w:val="21"/>
                <w:highlight w:val="none"/>
                <w:lang w:val="en-US" w:eastAsia="zh-CN" w:bidi="en-US"/>
              </w:rPr>
              <w:t>报价要求</w:t>
            </w:r>
          </w:p>
        </w:tc>
      </w:tr>
      <w:tr w14:paraId="4394C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660" w:type="dxa"/>
            <w:tcBorders>
              <w:top w:val="nil"/>
              <w:left w:val="single" w:color="auto" w:sz="6" w:space="0"/>
              <w:bottom w:val="single" w:color="auto" w:sz="4" w:space="0"/>
              <w:right w:val="single" w:color="auto" w:sz="6" w:space="0"/>
            </w:tcBorders>
            <w:shd w:val="clear" w:color="auto" w:fill="auto"/>
            <w:tcMar>
              <w:top w:w="0" w:type="dxa"/>
              <w:left w:w="105" w:type="dxa"/>
              <w:bottom w:w="0" w:type="dxa"/>
              <w:right w:w="105" w:type="dxa"/>
            </w:tcMar>
            <w:vAlign w:val="center"/>
          </w:tcPr>
          <w:p w14:paraId="633D4D53">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eastAsia" w:ascii="宋体" w:hAnsi="宋体" w:eastAsia="宋体" w:cs="宋体"/>
                <w:caps w:val="0"/>
                <w:color w:val="auto"/>
                <w:spacing w:val="0"/>
                <w:sz w:val="21"/>
                <w:szCs w:val="21"/>
                <w:highlight w:val="none"/>
                <w:lang w:val="en-US" w:eastAsia="zh-CN" w:bidi="en-US"/>
              </w:rPr>
            </w:pPr>
            <w:r>
              <w:rPr>
                <w:rFonts w:hint="eastAsia" w:ascii="宋体" w:hAnsi="宋体" w:eastAsia="宋体" w:cs="宋体"/>
                <w:caps w:val="0"/>
                <w:color w:val="auto"/>
                <w:spacing w:val="0"/>
                <w:sz w:val="21"/>
                <w:szCs w:val="21"/>
                <w:highlight w:val="none"/>
                <w:lang w:val="en-US" w:eastAsia="zh-CN" w:bidi="en-US"/>
              </w:rPr>
              <w:t>1</w:t>
            </w:r>
          </w:p>
        </w:tc>
        <w:tc>
          <w:tcPr>
            <w:tcW w:w="1200" w:type="dxa"/>
            <w:tcBorders>
              <w:top w:val="nil"/>
              <w:left w:val="nil"/>
              <w:bottom w:val="single" w:color="auto" w:sz="4" w:space="0"/>
              <w:right w:val="single" w:color="auto" w:sz="6" w:space="0"/>
            </w:tcBorders>
            <w:shd w:val="clear" w:color="auto" w:fill="auto"/>
            <w:tcMar>
              <w:top w:w="0" w:type="dxa"/>
              <w:left w:w="105" w:type="dxa"/>
              <w:bottom w:w="0" w:type="dxa"/>
              <w:right w:w="105" w:type="dxa"/>
            </w:tcMar>
            <w:vAlign w:val="center"/>
          </w:tcPr>
          <w:p w14:paraId="55054F4D">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default" w:ascii="宋体" w:hAnsi="宋体" w:eastAsia="宋体" w:cs="宋体"/>
                <w:caps w:val="0"/>
                <w:color w:val="auto"/>
                <w:spacing w:val="0"/>
                <w:sz w:val="21"/>
                <w:szCs w:val="21"/>
                <w:highlight w:val="none"/>
                <w:lang w:val="en-US" w:eastAsia="zh-CN" w:bidi="en-US"/>
              </w:rPr>
            </w:pPr>
            <w:r>
              <w:rPr>
                <w:rFonts w:hint="eastAsia" w:ascii="宋体" w:hAnsi="宋体" w:cs="宋体"/>
                <w:caps w:val="0"/>
                <w:color w:val="auto"/>
                <w:spacing w:val="0"/>
                <w:sz w:val="21"/>
                <w:szCs w:val="21"/>
                <w:highlight w:val="none"/>
                <w:lang w:val="en-US" w:eastAsia="zh-CN" w:bidi="en-US"/>
              </w:rPr>
              <w:t>策划</w:t>
            </w:r>
            <w:r>
              <w:rPr>
                <w:rFonts w:hint="eastAsia" w:ascii="宋体" w:hAnsi="宋体" w:eastAsia="宋体" w:cs="宋体"/>
                <w:caps w:val="0"/>
                <w:color w:val="auto"/>
                <w:spacing w:val="0"/>
                <w:sz w:val="21"/>
                <w:szCs w:val="21"/>
                <w:highlight w:val="none"/>
                <w:lang w:val="en-US" w:eastAsia="zh-CN" w:bidi="en-US"/>
              </w:rPr>
              <w:t>服务</w:t>
            </w:r>
            <w:r>
              <w:rPr>
                <w:rFonts w:hint="eastAsia" w:ascii="宋体" w:hAnsi="宋体" w:cs="宋体"/>
                <w:caps w:val="0"/>
                <w:color w:val="auto"/>
                <w:spacing w:val="0"/>
                <w:sz w:val="21"/>
                <w:szCs w:val="21"/>
                <w:highlight w:val="none"/>
                <w:lang w:val="en-US" w:eastAsia="zh-CN" w:bidi="en-US"/>
              </w:rPr>
              <w:t>费</w:t>
            </w:r>
          </w:p>
        </w:tc>
        <w:tc>
          <w:tcPr>
            <w:tcW w:w="660" w:type="dxa"/>
            <w:tcBorders>
              <w:top w:val="nil"/>
              <w:left w:val="nil"/>
              <w:bottom w:val="single" w:color="auto" w:sz="4" w:space="0"/>
              <w:right w:val="single" w:color="auto" w:sz="6" w:space="0"/>
            </w:tcBorders>
            <w:shd w:val="clear" w:color="auto" w:fill="auto"/>
            <w:tcMar>
              <w:top w:w="0" w:type="dxa"/>
              <w:left w:w="105" w:type="dxa"/>
              <w:bottom w:w="0" w:type="dxa"/>
              <w:right w:w="105" w:type="dxa"/>
            </w:tcMar>
            <w:vAlign w:val="center"/>
          </w:tcPr>
          <w:p w14:paraId="168147F1">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eastAsia" w:ascii="宋体" w:hAnsi="宋体" w:eastAsia="宋体" w:cs="宋体"/>
                <w:caps w:val="0"/>
                <w:color w:val="auto"/>
                <w:spacing w:val="0"/>
                <w:sz w:val="21"/>
                <w:szCs w:val="21"/>
                <w:highlight w:val="none"/>
                <w:lang w:val="en-US" w:eastAsia="en-US" w:bidi="en-US"/>
              </w:rPr>
            </w:pPr>
            <w:r>
              <w:rPr>
                <w:rFonts w:hint="eastAsia" w:ascii="宋体" w:hAnsi="宋体" w:eastAsia="宋体" w:cs="宋体"/>
                <w:caps w:val="0"/>
                <w:color w:val="auto"/>
                <w:spacing w:val="0"/>
                <w:sz w:val="21"/>
                <w:szCs w:val="21"/>
                <w:highlight w:val="none"/>
                <w:lang w:val="en-US" w:eastAsia="en-US" w:bidi="en-US"/>
              </w:rPr>
              <w:t>项</w:t>
            </w:r>
          </w:p>
        </w:tc>
        <w:tc>
          <w:tcPr>
            <w:tcW w:w="720" w:type="dxa"/>
            <w:tcBorders>
              <w:top w:val="nil"/>
              <w:left w:val="nil"/>
              <w:bottom w:val="single" w:color="auto" w:sz="4" w:space="0"/>
              <w:right w:val="single" w:color="auto" w:sz="6" w:space="0"/>
            </w:tcBorders>
            <w:shd w:val="clear" w:color="auto" w:fill="auto"/>
            <w:tcMar>
              <w:top w:w="0" w:type="dxa"/>
              <w:left w:w="105" w:type="dxa"/>
              <w:bottom w:w="0" w:type="dxa"/>
              <w:right w:w="105" w:type="dxa"/>
            </w:tcMar>
            <w:vAlign w:val="center"/>
          </w:tcPr>
          <w:p w14:paraId="6CDDE321">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eastAsia" w:ascii="宋体" w:hAnsi="宋体" w:eastAsia="宋体" w:cs="宋体"/>
                <w:caps w:val="0"/>
                <w:color w:val="auto"/>
                <w:spacing w:val="0"/>
                <w:sz w:val="21"/>
                <w:szCs w:val="21"/>
                <w:highlight w:val="none"/>
                <w:lang w:val="en-US" w:eastAsia="en-US" w:bidi="en-US"/>
              </w:rPr>
            </w:pPr>
            <w:r>
              <w:rPr>
                <w:rFonts w:hint="eastAsia" w:ascii="宋体" w:hAnsi="宋体" w:eastAsia="宋体" w:cs="宋体"/>
                <w:caps w:val="0"/>
                <w:color w:val="auto"/>
                <w:spacing w:val="0"/>
                <w:sz w:val="21"/>
                <w:szCs w:val="21"/>
                <w:highlight w:val="none"/>
                <w:lang w:val="en-US" w:eastAsia="en-US" w:bidi="en-US"/>
              </w:rPr>
              <w:t>1</w:t>
            </w:r>
          </w:p>
        </w:tc>
        <w:tc>
          <w:tcPr>
            <w:tcW w:w="3532" w:type="dxa"/>
            <w:tcBorders>
              <w:top w:val="nil"/>
              <w:left w:val="nil"/>
              <w:bottom w:val="single" w:color="auto" w:sz="4" w:space="0"/>
              <w:right w:val="single" w:color="auto" w:sz="6" w:space="0"/>
            </w:tcBorders>
            <w:shd w:val="clear" w:color="auto" w:fill="auto"/>
            <w:tcMar>
              <w:top w:w="0" w:type="dxa"/>
              <w:left w:w="105" w:type="dxa"/>
              <w:bottom w:w="0" w:type="dxa"/>
              <w:right w:w="105" w:type="dxa"/>
            </w:tcMar>
            <w:vAlign w:val="center"/>
          </w:tcPr>
          <w:p w14:paraId="64676A7C">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left"/>
              <w:textAlignment w:val="auto"/>
              <w:rPr>
                <w:rFonts w:hint="eastAsia" w:ascii="宋体" w:hAnsi="宋体" w:eastAsia="宋体" w:cs="宋体"/>
                <w:caps w:val="0"/>
                <w:color w:val="auto"/>
                <w:spacing w:val="0"/>
                <w:sz w:val="21"/>
                <w:szCs w:val="21"/>
                <w:highlight w:val="none"/>
                <w:lang w:val="en-US" w:eastAsia="zh-CN" w:bidi="en-US"/>
              </w:rPr>
            </w:pPr>
            <w:r>
              <w:rPr>
                <w:rFonts w:hint="eastAsia" w:ascii="宋体" w:hAnsi="宋体" w:cs="宋体"/>
                <w:caps w:val="0"/>
                <w:color w:val="auto"/>
                <w:spacing w:val="0"/>
                <w:sz w:val="21"/>
                <w:szCs w:val="21"/>
                <w:highlight w:val="none"/>
                <w:lang w:val="en-US" w:eastAsia="zh-CN" w:bidi="en-US"/>
              </w:rPr>
              <w:t>6</w:t>
            </w:r>
            <w:r>
              <w:rPr>
                <w:rFonts w:hint="eastAsia" w:ascii="宋体" w:hAnsi="宋体" w:eastAsia="宋体" w:cs="宋体"/>
                <w:caps w:val="0"/>
                <w:color w:val="auto"/>
                <w:spacing w:val="0"/>
                <w:sz w:val="21"/>
                <w:szCs w:val="21"/>
                <w:highlight w:val="none"/>
                <w:lang w:val="en-US" w:eastAsia="zh-CN" w:bidi="en-US"/>
              </w:rPr>
              <w:t>00万元</w:t>
            </w:r>
          </w:p>
        </w:tc>
        <w:tc>
          <w:tcPr>
            <w:tcW w:w="36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86F1614">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caps w:val="0"/>
                <w:color w:val="auto"/>
                <w:spacing w:val="0"/>
                <w:sz w:val="21"/>
                <w:szCs w:val="21"/>
                <w:highlight w:val="none"/>
                <w:lang w:val="en-US" w:eastAsia="zh-CN" w:bidi="ar-SA"/>
              </w:rPr>
            </w:pPr>
            <w:r>
              <w:rPr>
                <w:rFonts w:hint="eastAsia" w:ascii="宋体" w:hAnsi="宋体" w:eastAsia="宋体" w:cs="宋体"/>
                <w:b/>
                <w:bCs/>
                <w:color w:val="auto"/>
                <w:sz w:val="22"/>
                <w:szCs w:val="22"/>
                <w:highlight w:val="none"/>
              </w:rPr>
              <w:t>▲</w:t>
            </w:r>
            <w:r>
              <w:rPr>
                <w:rFonts w:hint="eastAsia" w:ascii="宋体" w:hAnsi="宋体" w:eastAsia="宋体" w:cs="宋体"/>
                <w:color w:val="auto"/>
                <w:sz w:val="21"/>
                <w:szCs w:val="21"/>
                <w:highlight w:val="none"/>
                <w:lang w:val="en-US" w:eastAsia="zh-CN" w:bidi="ar-SA"/>
              </w:rPr>
              <w:t>策划服务</w:t>
            </w:r>
            <w:r>
              <w:rPr>
                <w:rFonts w:hint="eastAsia" w:ascii="宋体" w:hAnsi="宋体" w:cs="宋体"/>
                <w:color w:val="auto"/>
                <w:sz w:val="21"/>
                <w:szCs w:val="21"/>
                <w:highlight w:val="none"/>
                <w:lang w:val="en-US" w:eastAsia="zh-CN" w:bidi="ar-SA"/>
              </w:rPr>
              <w:t>费：</w:t>
            </w:r>
            <w:r>
              <w:rPr>
                <w:rFonts w:hint="eastAsia" w:ascii="宋体" w:hAnsi="宋体" w:eastAsia="宋体" w:cs="宋体"/>
                <w:color w:val="auto"/>
                <w:sz w:val="21"/>
                <w:szCs w:val="21"/>
                <w:highlight w:val="none"/>
                <w:lang w:val="en-US" w:eastAsia="zh-CN" w:bidi="ar-SA"/>
              </w:rPr>
              <w:t>投标报价时按</w:t>
            </w:r>
            <w:r>
              <w:rPr>
                <w:rFonts w:hint="eastAsia" w:ascii="宋体" w:hAnsi="宋体" w:cs="宋体"/>
                <w:color w:val="auto"/>
                <w:sz w:val="21"/>
                <w:szCs w:val="21"/>
                <w:highlight w:val="none"/>
                <w:lang w:val="en-US" w:eastAsia="zh-CN" w:bidi="ar-SA"/>
              </w:rPr>
              <w:t>策划</w:t>
            </w:r>
            <w:r>
              <w:rPr>
                <w:rFonts w:hint="eastAsia" w:ascii="宋体" w:hAnsi="宋体" w:eastAsia="宋体" w:cs="宋体"/>
                <w:color w:val="auto"/>
                <w:sz w:val="21"/>
                <w:szCs w:val="21"/>
                <w:highlight w:val="none"/>
                <w:lang w:val="en-US" w:eastAsia="zh-CN" w:bidi="ar-SA"/>
              </w:rPr>
              <w:t>服务进行测算填报投标报价，报价不得超过最高限价，否则投标无效。</w:t>
            </w:r>
          </w:p>
        </w:tc>
      </w:tr>
      <w:tr w14:paraId="1B19A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9" w:hRule="atLeast"/>
        </w:trPr>
        <w:tc>
          <w:tcPr>
            <w:tcW w:w="660" w:type="dxa"/>
            <w:tcBorders>
              <w:top w:val="single" w:color="auto" w:sz="4" w:space="0"/>
              <w:left w:val="single" w:color="auto" w:sz="6" w:space="0"/>
              <w:bottom w:val="single" w:color="auto" w:sz="4" w:space="0"/>
              <w:right w:val="single" w:color="auto" w:sz="6" w:space="0"/>
            </w:tcBorders>
            <w:shd w:val="clear" w:color="auto" w:fill="auto"/>
            <w:tcMar>
              <w:top w:w="0" w:type="dxa"/>
              <w:left w:w="105" w:type="dxa"/>
              <w:bottom w:w="0" w:type="dxa"/>
              <w:right w:w="105" w:type="dxa"/>
            </w:tcMar>
            <w:vAlign w:val="center"/>
          </w:tcPr>
          <w:p w14:paraId="3D751B23">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eastAsia" w:ascii="宋体" w:hAnsi="宋体" w:eastAsia="宋体" w:cs="宋体"/>
                <w:color w:val="auto"/>
                <w:sz w:val="21"/>
                <w:szCs w:val="21"/>
                <w:highlight w:val="none"/>
                <w:lang w:val="en-US" w:eastAsia="en-US" w:bidi="en-US"/>
              </w:rPr>
            </w:pPr>
            <w:r>
              <w:rPr>
                <w:rFonts w:hint="eastAsia" w:ascii="宋体" w:hAnsi="宋体" w:eastAsia="宋体" w:cs="宋体"/>
                <w:caps w:val="0"/>
                <w:color w:val="auto"/>
                <w:spacing w:val="0"/>
                <w:sz w:val="21"/>
                <w:szCs w:val="21"/>
                <w:highlight w:val="none"/>
                <w:lang w:val="en-US" w:eastAsia="en-US" w:bidi="en-US"/>
              </w:rPr>
              <w:t>2</w:t>
            </w:r>
          </w:p>
        </w:tc>
        <w:tc>
          <w:tcPr>
            <w:tcW w:w="1200" w:type="dxa"/>
            <w:tcBorders>
              <w:top w:val="single" w:color="auto" w:sz="4" w:space="0"/>
              <w:left w:val="nil"/>
              <w:bottom w:val="single" w:color="auto" w:sz="4" w:space="0"/>
              <w:right w:val="single" w:color="auto" w:sz="6" w:space="0"/>
            </w:tcBorders>
            <w:shd w:val="clear" w:color="auto" w:fill="auto"/>
            <w:tcMar>
              <w:top w:w="0" w:type="dxa"/>
              <w:left w:w="105" w:type="dxa"/>
              <w:bottom w:w="0" w:type="dxa"/>
              <w:right w:w="105" w:type="dxa"/>
            </w:tcMar>
            <w:vAlign w:val="center"/>
          </w:tcPr>
          <w:p w14:paraId="5D58CCFA">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default" w:ascii="宋体" w:hAnsi="宋体" w:eastAsia="宋体" w:cs="宋体"/>
                <w:color w:val="auto"/>
                <w:sz w:val="21"/>
                <w:szCs w:val="21"/>
                <w:highlight w:val="none"/>
                <w:lang w:val="en-US" w:eastAsia="en-US" w:bidi="en-US"/>
              </w:rPr>
            </w:pPr>
            <w:r>
              <w:rPr>
                <w:rFonts w:hint="eastAsia" w:ascii="宋体" w:hAnsi="宋体" w:eastAsia="宋体" w:cs="宋体"/>
                <w:caps w:val="0"/>
                <w:color w:val="auto"/>
                <w:spacing w:val="0"/>
                <w:sz w:val="21"/>
                <w:szCs w:val="21"/>
                <w:highlight w:val="none"/>
                <w:lang w:val="en-US" w:eastAsia="zh-CN" w:bidi="en-US"/>
              </w:rPr>
              <w:t>筹备期招商服务</w:t>
            </w:r>
            <w:r>
              <w:rPr>
                <w:rFonts w:hint="eastAsia" w:ascii="宋体" w:hAnsi="宋体" w:cs="宋体"/>
                <w:caps w:val="0"/>
                <w:color w:val="auto"/>
                <w:spacing w:val="0"/>
                <w:sz w:val="21"/>
                <w:szCs w:val="21"/>
                <w:highlight w:val="none"/>
                <w:lang w:val="en-US" w:eastAsia="zh-CN" w:bidi="en-US"/>
              </w:rPr>
              <w:t>费</w:t>
            </w:r>
          </w:p>
        </w:tc>
        <w:tc>
          <w:tcPr>
            <w:tcW w:w="660" w:type="dxa"/>
            <w:tcBorders>
              <w:top w:val="single" w:color="auto" w:sz="4" w:space="0"/>
              <w:left w:val="nil"/>
              <w:bottom w:val="single" w:color="auto" w:sz="4" w:space="0"/>
              <w:right w:val="single" w:color="auto" w:sz="6" w:space="0"/>
            </w:tcBorders>
            <w:shd w:val="clear" w:color="auto" w:fill="auto"/>
            <w:tcMar>
              <w:top w:w="0" w:type="dxa"/>
              <w:left w:w="105" w:type="dxa"/>
              <w:bottom w:w="0" w:type="dxa"/>
              <w:right w:w="105" w:type="dxa"/>
            </w:tcMar>
            <w:vAlign w:val="center"/>
          </w:tcPr>
          <w:p w14:paraId="2C4BD903">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eastAsia" w:ascii="宋体" w:hAnsi="宋体" w:eastAsia="宋体" w:cs="宋体"/>
                <w:color w:val="auto"/>
                <w:sz w:val="21"/>
                <w:szCs w:val="21"/>
                <w:highlight w:val="none"/>
                <w:lang w:val="en-US" w:eastAsia="en-US" w:bidi="en-US"/>
              </w:rPr>
            </w:pPr>
            <w:r>
              <w:rPr>
                <w:rFonts w:hint="eastAsia" w:ascii="宋体" w:hAnsi="宋体" w:eastAsia="宋体" w:cs="宋体"/>
                <w:caps w:val="0"/>
                <w:color w:val="auto"/>
                <w:spacing w:val="0"/>
                <w:sz w:val="21"/>
                <w:szCs w:val="21"/>
                <w:highlight w:val="none"/>
                <w:lang w:val="en-US" w:eastAsia="en-US" w:bidi="en-US"/>
              </w:rPr>
              <w:t>项</w:t>
            </w:r>
          </w:p>
        </w:tc>
        <w:tc>
          <w:tcPr>
            <w:tcW w:w="720" w:type="dxa"/>
            <w:tcBorders>
              <w:top w:val="single" w:color="auto" w:sz="4" w:space="0"/>
              <w:left w:val="nil"/>
              <w:bottom w:val="single" w:color="auto" w:sz="4" w:space="0"/>
              <w:right w:val="single" w:color="auto" w:sz="6" w:space="0"/>
            </w:tcBorders>
            <w:shd w:val="clear" w:color="auto" w:fill="auto"/>
            <w:tcMar>
              <w:top w:w="0" w:type="dxa"/>
              <w:left w:w="105" w:type="dxa"/>
              <w:bottom w:w="0" w:type="dxa"/>
              <w:right w:w="105" w:type="dxa"/>
            </w:tcMar>
            <w:vAlign w:val="center"/>
          </w:tcPr>
          <w:p w14:paraId="61085626">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eastAsia" w:ascii="宋体" w:hAnsi="宋体" w:eastAsia="宋体" w:cs="宋体"/>
                <w:color w:val="auto"/>
                <w:sz w:val="21"/>
                <w:szCs w:val="21"/>
                <w:highlight w:val="none"/>
                <w:lang w:val="en-US" w:eastAsia="en-US" w:bidi="en-US"/>
              </w:rPr>
            </w:pPr>
            <w:r>
              <w:rPr>
                <w:rFonts w:hint="eastAsia" w:ascii="宋体" w:hAnsi="宋体" w:eastAsia="宋体" w:cs="宋体"/>
                <w:caps w:val="0"/>
                <w:color w:val="auto"/>
                <w:spacing w:val="0"/>
                <w:sz w:val="21"/>
                <w:szCs w:val="21"/>
                <w:highlight w:val="none"/>
                <w:lang w:val="en-US" w:eastAsia="en-US" w:bidi="en-US"/>
              </w:rPr>
              <w:t>1</w:t>
            </w:r>
          </w:p>
        </w:tc>
        <w:tc>
          <w:tcPr>
            <w:tcW w:w="3532" w:type="dxa"/>
            <w:tcBorders>
              <w:top w:val="single" w:color="auto" w:sz="4" w:space="0"/>
              <w:left w:val="nil"/>
              <w:bottom w:val="single" w:color="auto" w:sz="4" w:space="0"/>
              <w:right w:val="single" w:color="auto" w:sz="6" w:space="0"/>
            </w:tcBorders>
            <w:shd w:val="clear" w:color="auto" w:fill="auto"/>
            <w:tcMar>
              <w:top w:w="0" w:type="dxa"/>
              <w:left w:w="105" w:type="dxa"/>
              <w:bottom w:w="0" w:type="dxa"/>
              <w:right w:w="105" w:type="dxa"/>
            </w:tcMar>
            <w:vAlign w:val="center"/>
          </w:tcPr>
          <w:p w14:paraId="3A26C0AF">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auto"/>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bidi="en-US"/>
              </w:rPr>
            </w:pPr>
            <w:r>
              <w:rPr>
                <w:rFonts w:hint="eastAsia" w:ascii="宋体" w:hAnsi="宋体" w:eastAsia="宋体" w:cs="宋体"/>
                <w:b w:val="0"/>
                <w:bCs w:val="0"/>
                <w:color w:val="auto"/>
                <w:sz w:val="21"/>
                <w:szCs w:val="21"/>
                <w:highlight w:val="none"/>
                <w:lang w:val="en-US" w:eastAsia="zh-CN"/>
              </w:rPr>
              <w:t>该服务费用以商业综合体项目截</w:t>
            </w:r>
            <w:r>
              <w:rPr>
                <w:rFonts w:hint="eastAsia" w:ascii="宋体" w:hAnsi="宋体" w:cs="宋体"/>
                <w:b w:val="0"/>
                <w:bCs w:val="0"/>
                <w:color w:val="auto"/>
                <w:sz w:val="21"/>
                <w:szCs w:val="21"/>
                <w:highlight w:val="none"/>
                <w:lang w:val="en-US" w:eastAsia="zh-CN"/>
              </w:rPr>
              <w:t>止</w:t>
            </w:r>
            <w:r>
              <w:rPr>
                <w:rFonts w:hint="eastAsia" w:ascii="宋体" w:hAnsi="宋体" w:eastAsia="宋体" w:cs="宋体"/>
                <w:b w:val="0"/>
                <w:bCs w:val="0"/>
                <w:color w:val="auto"/>
                <w:sz w:val="21"/>
                <w:szCs w:val="21"/>
                <w:highlight w:val="none"/>
                <w:lang w:val="en-US" w:eastAsia="zh-CN"/>
              </w:rPr>
              <w:t>至正式开业日所达到的招商签约率，以实际图纸商业可租赁面积计算为基准。</w:t>
            </w:r>
            <w:r>
              <w:rPr>
                <w:rFonts w:hint="eastAsia" w:ascii="宋体" w:hAnsi="宋体" w:eastAsia="宋体" w:cs="宋体"/>
                <w:color w:val="auto"/>
                <w:sz w:val="21"/>
                <w:szCs w:val="21"/>
                <w:highlight w:val="none"/>
                <w:lang w:val="en-US" w:eastAsia="zh-CN"/>
              </w:rPr>
              <w:t>筹备期招商服务</w:t>
            </w:r>
            <w:r>
              <w:rPr>
                <w:rFonts w:hint="eastAsia" w:ascii="宋体" w:hAnsi="宋体" w:cs="宋体"/>
                <w:color w:val="auto"/>
                <w:sz w:val="21"/>
                <w:szCs w:val="21"/>
                <w:highlight w:val="none"/>
                <w:lang w:val="en-US" w:eastAsia="zh-CN"/>
              </w:rPr>
              <w:t>费</w:t>
            </w:r>
            <w:r>
              <w:rPr>
                <w:rFonts w:hint="eastAsia" w:ascii="宋体" w:hAnsi="宋体" w:eastAsia="宋体" w:cs="宋体"/>
                <w:b w:val="0"/>
                <w:bCs w:val="0"/>
                <w:color w:val="auto"/>
                <w:sz w:val="21"/>
                <w:szCs w:val="21"/>
                <w:highlight w:val="none"/>
                <w:lang w:val="en-US" w:eastAsia="zh-CN"/>
              </w:rPr>
              <w:t>按照采购人收取的3个月</w:t>
            </w:r>
            <w:r>
              <w:rPr>
                <w:rFonts w:hint="eastAsia" w:ascii="宋体" w:hAnsi="宋体" w:cs="宋体"/>
                <w:b w:val="0"/>
                <w:bCs w:val="0"/>
                <w:color w:val="auto"/>
                <w:sz w:val="21"/>
                <w:szCs w:val="21"/>
                <w:highlight w:val="none"/>
                <w:lang w:val="en-US" w:eastAsia="zh-CN"/>
              </w:rPr>
              <w:t>含税</w:t>
            </w:r>
            <w:r>
              <w:rPr>
                <w:rFonts w:hint="eastAsia" w:ascii="宋体" w:hAnsi="宋体" w:eastAsia="宋体" w:cs="宋体"/>
                <w:b w:val="0"/>
                <w:bCs w:val="0"/>
                <w:color w:val="auto"/>
                <w:sz w:val="21"/>
                <w:szCs w:val="21"/>
                <w:highlight w:val="none"/>
                <w:lang w:val="en-US" w:eastAsia="zh-CN"/>
              </w:rPr>
              <w:t>租金为标准收取费用</w:t>
            </w:r>
            <w:r>
              <w:rPr>
                <w:rFonts w:hint="eastAsia" w:ascii="宋体" w:hAnsi="宋体" w:cs="宋体"/>
                <w:b w:val="0"/>
                <w:bCs w:val="0"/>
                <w:color w:val="auto"/>
                <w:sz w:val="21"/>
                <w:szCs w:val="21"/>
                <w:highlight w:val="none"/>
                <w:lang w:val="en-US" w:eastAsia="zh-CN"/>
              </w:rPr>
              <w:t>为</w:t>
            </w:r>
            <w:r>
              <w:rPr>
                <w:rFonts w:hint="eastAsia" w:ascii="宋体" w:hAnsi="宋体" w:eastAsia="宋体" w:cs="宋体"/>
                <w:b w:val="0"/>
                <w:bCs w:val="0"/>
                <w:color w:val="auto"/>
                <w:sz w:val="21"/>
                <w:szCs w:val="21"/>
                <w:highlight w:val="none"/>
                <w:lang w:val="en-US" w:eastAsia="zh-CN"/>
              </w:rPr>
              <w:t>最高限价。附考核条件（奖惩条件详见</w:t>
            </w:r>
            <w:r>
              <w:rPr>
                <w:rFonts w:hint="eastAsia" w:ascii="宋体" w:hAnsi="宋体" w:cs="宋体"/>
                <w:b w:val="0"/>
                <w:bCs w:val="0"/>
                <w:color w:val="auto"/>
                <w:sz w:val="21"/>
                <w:szCs w:val="21"/>
                <w:highlight w:val="none"/>
                <w:lang w:val="en-US" w:eastAsia="zh-CN"/>
              </w:rPr>
              <w:t>采购文件</w:t>
            </w:r>
            <w:r>
              <w:rPr>
                <w:rFonts w:hint="eastAsia" w:ascii="宋体" w:hAnsi="宋体" w:eastAsia="宋体" w:cs="宋体"/>
                <w:b w:val="0"/>
                <w:bCs w:val="0"/>
                <w:color w:val="auto"/>
                <w:sz w:val="21"/>
                <w:szCs w:val="21"/>
                <w:highlight w:val="none"/>
                <w:lang w:val="en-US" w:eastAsia="zh-CN"/>
              </w:rPr>
              <w:t>）</w:t>
            </w:r>
          </w:p>
        </w:tc>
        <w:tc>
          <w:tcPr>
            <w:tcW w:w="3683" w:type="dxa"/>
            <w:tcBorders>
              <w:top w:val="nil"/>
              <w:left w:val="nil"/>
              <w:bottom w:val="single" w:color="auto" w:sz="4" w:space="0"/>
              <w:right w:val="single" w:color="auto" w:sz="6" w:space="0"/>
            </w:tcBorders>
            <w:shd w:val="clear" w:color="auto" w:fill="auto"/>
            <w:tcMar>
              <w:top w:w="0" w:type="dxa"/>
              <w:left w:w="105" w:type="dxa"/>
              <w:bottom w:w="0" w:type="dxa"/>
              <w:right w:w="105" w:type="dxa"/>
            </w:tcMar>
            <w:vAlign w:val="center"/>
          </w:tcPr>
          <w:p w14:paraId="4C09F8F7">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b/>
                <w:bCs/>
                <w:color w:val="auto"/>
                <w:sz w:val="22"/>
                <w:szCs w:val="22"/>
                <w:highlight w:val="none"/>
              </w:rPr>
              <w:t>▲</w:t>
            </w:r>
            <w:r>
              <w:rPr>
                <w:rFonts w:hint="eastAsia" w:ascii="宋体" w:hAnsi="宋体" w:eastAsia="宋体" w:cs="宋体"/>
                <w:color w:val="auto"/>
                <w:sz w:val="21"/>
                <w:szCs w:val="21"/>
                <w:highlight w:val="none"/>
                <w:lang w:val="en-US" w:eastAsia="zh-CN" w:bidi="ar-SA"/>
              </w:rPr>
              <w:t>筹备期招商服务</w:t>
            </w:r>
            <w:r>
              <w:rPr>
                <w:rFonts w:hint="eastAsia" w:ascii="宋体" w:hAnsi="宋体" w:cs="宋体"/>
                <w:color w:val="auto"/>
                <w:sz w:val="21"/>
                <w:szCs w:val="21"/>
                <w:highlight w:val="none"/>
                <w:lang w:val="en-US" w:eastAsia="zh-CN" w:bidi="ar-SA"/>
              </w:rPr>
              <w:t>费：</w:t>
            </w:r>
            <w:r>
              <w:rPr>
                <w:rFonts w:hint="eastAsia" w:ascii="宋体" w:hAnsi="宋体" w:eastAsia="宋体" w:cs="宋体"/>
                <w:color w:val="auto"/>
                <w:sz w:val="21"/>
                <w:szCs w:val="21"/>
                <w:highlight w:val="none"/>
                <w:lang w:val="en-US" w:eastAsia="zh-CN" w:bidi="ar-SA"/>
              </w:rPr>
              <w:t>投标报价时综合考虑后</w:t>
            </w:r>
            <w:r>
              <w:rPr>
                <w:rFonts w:hint="eastAsia" w:ascii="宋体" w:hAnsi="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按</w:t>
            </w:r>
            <w:r>
              <w:rPr>
                <w:rFonts w:hint="eastAsia" w:ascii="宋体" w:hAnsi="宋体" w:eastAsia="宋体" w:cs="宋体"/>
                <w:caps w:val="0"/>
                <w:color w:val="auto"/>
                <w:spacing w:val="0"/>
                <w:sz w:val="21"/>
                <w:szCs w:val="21"/>
                <w:highlight w:val="none"/>
                <w:lang w:val="en-US" w:eastAsia="zh-CN" w:bidi="ar-SA"/>
              </w:rPr>
              <w:t>3个月含税租金为基础填报折扣</w:t>
            </w:r>
            <w:r>
              <w:rPr>
                <w:rFonts w:hint="eastAsia" w:ascii="宋体" w:hAnsi="宋体" w:cs="宋体"/>
                <w:caps w:val="0"/>
                <w:color w:val="auto"/>
                <w:spacing w:val="0"/>
                <w:sz w:val="21"/>
                <w:szCs w:val="21"/>
                <w:highlight w:val="none"/>
                <w:lang w:val="en-US" w:eastAsia="zh-CN" w:bidi="ar-SA"/>
              </w:rPr>
              <w:t>率</w:t>
            </w:r>
            <w:r>
              <w:rPr>
                <w:rFonts w:hint="eastAsia" w:ascii="宋体" w:hAnsi="宋体" w:eastAsia="宋体" w:cs="宋体"/>
                <w:caps w:val="0"/>
                <w:color w:val="auto"/>
                <w:spacing w:val="0"/>
                <w:sz w:val="21"/>
                <w:szCs w:val="21"/>
                <w:highlight w:val="none"/>
                <w:lang w:val="en-US" w:eastAsia="zh-CN" w:bidi="ar-SA"/>
              </w:rPr>
              <w:t>，最高折扣率报价为100%，</w:t>
            </w:r>
            <w:r>
              <w:rPr>
                <w:rFonts w:hint="eastAsia" w:ascii="宋体" w:hAnsi="宋体" w:eastAsia="宋体" w:cs="宋体"/>
                <w:color w:val="auto"/>
                <w:sz w:val="21"/>
                <w:szCs w:val="21"/>
                <w:highlight w:val="none"/>
                <w:lang w:val="en-US" w:eastAsia="zh-CN" w:bidi="ar-SA"/>
              </w:rPr>
              <w:t>不得超过最高限价折扣</w:t>
            </w:r>
            <w:r>
              <w:rPr>
                <w:rFonts w:hint="eastAsia" w:ascii="宋体" w:hAnsi="宋体" w:cs="宋体"/>
                <w:color w:val="auto"/>
                <w:sz w:val="21"/>
                <w:szCs w:val="21"/>
                <w:highlight w:val="none"/>
                <w:lang w:val="en-US" w:eastAsia="zh-CN" w:bidi="ar-SA"/>
              </w:rPr>
              <w:t>率报价</w:t>
            </w:r>
            <w:r>
              <w:rPr>
                <w:rFonts w:hint="eastAsia" w:ascii="宋体" w:hAnsi="宋体" w:eastAsia="宋体" w:cs="宋体"/>
                <w:color w:val="auto"/>
                <w:sz w:val="21"/>
                <w:szCs w:val="21"/>
                <w:highlight w:val="none"/>
                <w:lang w:val="en-US" w:eastAsia="zh-CN" w:bidi="ar-SA"/>
              </w:rPr>
              <w:t>，否则投标无效。</w:t>
            </w:r>
          </w:p>
          <w:p w14:paraId="2171EDC5">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b/>
                <w:bCs/>
                <w:color w:val="auto"/>
                <w:sz w:val="22"/>
                <w:szCs w:val="22"/>
                <w:highlight w:val="none"/>
              </w:rPr>
              <w:t>▲</w:t>
            </w:r>
            <w:r>
              <w:rPr>
                <w:rFonts w:hint="eastAsia" w:ascii="宋体" w:hAnsi="宋体" w:eastAsia="宋体" w:cs="宋体"/>
                <w:color w:val="auto"/>
                <w:sz w:val="21"/>
                <w:szCs w:val="21"/>
                <w:highlight w:val="none"/>
                <w:lang w:val="en-US" w:eastAsia="zh-CN" w:bidi="ar-SA"/>
              </w:rPr>
              <w:t>筹备期招商服务</w:t>
            </w:r>
            <w:r>
              <w:rPr>
                <w:rFonts w:hint="eastAsia" w:ascii="宋体" w:hAnsi="宋体" w:cs="宋体"/>
                <w:color w:val="auto"/>
                <w:sz w:val="21"/>
                <w:szCs w:val="21"/>
                <w:highlight w:val="none"/>
                <w:lang w:val="en-US" w:eastAsia="zh-CN" w:bidi="ar-SA"/>
              </w:rPr>
              <w:t>费=采购人收取的</w:t>
            </w:r>
            <w:r>
              <w:rPr>
                <w:rFonts w:hint="eastAsia" w:ascii="宋体" w:hAnsi="宋体" w:eastAsia="宋体" w:cs="宋体"/>
                <w:caps w:val="0"/>
                <w:color w:val="auto"/>
                <w:spacing w:val="0"/>
                <w:sz w:val="21"/>
                <w:szCs w:val="21"/>
                <w:highlight w:val="none"/>
                <w:lang w:val="en-US" w:eastAsia="zh-CN" w:bidi="ar-SA"/>
              </w:rPr>
              <w:t>3个月含税租金</w:t>
            </w:r>
            <w:r>
              <w:rPr>
                <w:rFonts w:hint="eastAsia" w:ascii="宋体" w:hAnsi="宋体" w:cs="宋体"/>
                <w:caps w:val="0"/>
                <w:color w:val="auto"/>
                <w:spacing w:val="0"/>
                <w:sz w:val="21"/>
                <w:szCs w:val="21"/>
                <w:highlight w:val="none"/>
                <w:lang w:val="en-US" w:eastAsia="zh-CN" w:bidi="ar-SA"/>
              </w:rPr>
              <w:t>*投标折扣率</w:t>
            </w:r>
          </w:p>
        </w:tc>
      </w:tr>
      <w:tr w14:paraId="3B81B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6" w:hRule="atLeast"/>
        </w:trPr>
        <w:tc>
          <w:tcPr>
            <w:tcW w:w="660" w:type="dxa"/>
            <w:tcBorders>
              <w:top w:val="single" w:color="auto" w:sz="4" w:space="0"/>
              <w:left w:val="single" w:color="auto" w:sz="6" w:space="0"/>
              <w:bottom w:val="single" w:color="auto" w:sz="4" w:space="0"/>
              <w:right w:val="single" w:color="auto" w:sz="6" w:space="0"/>
            </w:tcBorders>
            <w:shd w:val="clear" w:color="auto" w:fill="auto"/>
            <w:tcMar>
              <w:top w:w="0" w:type="dxa"/>
              <w:left w:w="105" w:type="dxa"/>
              <w:bottom w:w="0" w:type="dxa"/>
              <w:right w:w="105" w:type="dxa"/>
            </w:tcMar>
            <w:vAlign w:val="center"/>
          </w:tcPr>
          <w:p w14:paraId="1569F4A5">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leftChars="0" w:right="0" w:rightChars="0"/>
              <w:jc w:val="center"/>
              <w:textAlignment w:val="auto"/>
              <w:rPr>
                <w:rFonts w:hint="eastAsia" w:ascii="宋体" w:hAnsi="宋体" w:eastAsia="宋体" w:cs="宋体"/>
                <w:caps w:val="0"/>
                <w:color w:val="auto"/>
                <w:spacing w:val="0"/>
                <w:sz w:val="21"/>
                <w:szCs w:val="21"/>
                <w:highlight w:val="none"/>
                <w:lang w:val="en-US" w:eastAsia="en-US" w:bidi="en-US"/>
              </w:rPr>
            </w:pPr>
            <w:r>
              <w:rPr>
                <w:rFonts w:hint="eastAsia" w:ascii="宋体" w:hAnsi="宋体" w:eastAsia="宋体" w:cs="宋体"/>
                <w:caps w:val="0"/>
                <w:color w:val="auto"/>
                <w:spacing w:val="0"/>
                <w:sz w:val="21"/>
                <w:szCs w:val="21"/>
                <w:highlight w:val="none"/>
                <w:lang w:val="en-US" w:eastAsia="en-US" w:bidi="en-US"/>
              </w:rPr>
              <w:t>3</w:t>
            </w:r>
          </w:p>
        </w:tc>
        <w:tc>
          <w:tcPr>
            <w:tcW w:w="1200" w:type="dxa"/>
            <w:tcBorders>
              <w:top w:val="single" w:color="auto" w:sz="4" w:space="0"/>
              <w:left w:val="nil"/>
              <w:bottom w:val="single" w:color="auto" w:sz="4" w:space="0"/>
              <w:right w:val="single" w:color="auto" w:sz="6" w:space="0"/>
            </w:tcBorders>
            <w:shd w:val="clear" w:color="auto" w:fill="auto"/>
            <w:tcMar>
              <w:top w:w="0" w:type="dxa"/>
              <w:left w:w="105" w:type="dxa"/>
              <w:bottom w:w="0" w:type="dxa"/>
              <w:right w:w="105" w:type="dxa"/>
            </w:tcMar>
            <w:vAlign w:val="center"/>
          </w:tcPr>
          <w:p w14:paraId="052C78AF">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leftChars="0" w:right="0" w:rightChars="0"/>
              <w:jc w:val="center"/>
              <w:textAlignment w:val="auto"/>
              <w:rPr>
                <w:rFonts w:hint="eastAsia" w:ascii="宋体" w:hAnsi="宋体" w:eastAsia="宋体" w:cs="宋体"/>
                <w:caps w:val="0"/>
                <w:color w:val="auto"/>
                <w:spacing w:val="0"/>
                <w:sz w:val="21"/>
                <w:szCs w:val="21"/>
                <w:highlight w:val="none"/>
                <w:lang w:val="en-US" w:eastAsia="zh-CN" w:bidi="en-US"/>
              </w:rPr>
            </w:pPr>
            <w:r>
              <w:rPr>
                <w:rFonts w:hint="eastAsia" w:ascii="宋体" w:hAnsi="宋体" w:eastAsia="宋体" w:cs="宋体"/>
                <w:color w:val="auto"/>
                <w:sz w:val="21"/>
                <w:szCs w:val="21"/>
                <w:highlight w:val="none"/>
                <w:lang w:val="en-US" w:eastAsia="en-US" w:bidi="en-US"/>
              </w:rPr>
              <w:t>品牌授权使用服务</w:t>
            </w:r>
            <w:r>
              <w:rPr>
                <w:rFonts w:hint="eastAsia" w:ascii="宋体" w:hAnsi="宋体" w:cs="宋体"/>
                <w:color w:val="auto"/>
                <w:sz w:val="21"/>
                <w:szCs w:val="21"/>
                <w:highlight w:val="none"/>
                <w:lang w:val="en-US" w:eastAsia="zh-CN" w:bidi="en-US"/>
              </w:rPr>
              <w:t>费</w:t>
            </w:r>
          </w:p>
        </w:tc>
        <w:tc>
          <w:tcPr>
            <w:tcW w:w="660" w:type="dxa"/>
            <w:tcBorders>
              <w:top w:val="single" w:color="auto" w:sz="4" w:space="0"/>
              <w:left w:val="nil"/>
              <w:bottom w:val="single" w:color="auto" w:sz="4" w:space="0"/>
              <w:right w:val="single" w:color="auto" w:sz="6" w:space="0"/>
            </w:tcBorders>
            <w:shd w:val="clear" w:color="auto" w:fill="auto"/>
            <w:tcMar>
              <w:top w:w="0" w:type="dxa"/>
              <w:left w:w="105" w:type="dxa"/>
              <w:bottom w:w="0" w:type="dxa"/>
              <w:right w:w="105" w:type="dxa"/>
            </w:tcMar>
            <w:vAlign w:val="center"/>
          </w:tcPr>
          <w:p w14:paraId="4F34A2FF">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leftChars="0" w:right="0" w:rightChars="0"/>
              <w:jc w:val="center"/>
              <w:textAlignment w:val="auto"/>
              <w:rPr>
                <w:rFonts w:hint="eastAsia" w:ascii="宋体" w:hAnsi="宋体" w:eastAsia="宋体" w:cs="宋体"/>
                <w:caps w:val="0"/>
                <w:color w:val="auto"/>
                <w:spacing w:val="0"/>
                <w:sz w:val="21"/>
                <w:szCs w:val="21"/>
                <w:highlight w:val="none"/>
                <w:lang w:val="en-US" w:eastAsia="en-US" w:bidi="en-US"/>
              </w:rPr>
            </w:pPr>
            <w:r>
              <w:rPr>
                <w:rFonts w:hint="eastAsia" w:ascii="宋体" w:hAnsi="宋体" w:eastAsia="宋体" w:cs="宋体"/>
                <w:caps w:val="0"/>
                <w:color w:val="auto"/>
                <w:spacing w:val="0"/>
                <w:sz w:val="21"/>
                <w:szCs w:val="21"/>
                <w:highlight w:val="none"/>
                <w:lang w:val="en-US" w:eastAsia="en-US" w:bidi="en-US"/>
              </w:rPr>
              <w:t>项</w:t>
            </w:r>
          </w:p>
        </w:tc>
        <w:tc>
          <w:tcPr>
            <w:tcW w:w="720" w:type="dxa"/>
            <w:tcBorders>
              <w:top w:val="single" w:color="auto" w:sz="4" w:space="0"/>
              <w:left w:val="nil"/>
              <w:bottom w:val="single" w:color="auto" w:sz="4" w:space="0"/>
              <w:right w:val="single" w:color="auto" w:sz="6" w:space="0"/>
            </w:tcBorders>
            <w:shd w:val="clear" w:color="auto" w:fill="auto"/>
            <w:tcMar>
              <w:top w:w="0" w:type="dxa"/>
              <w:left w:w="105" w:type="dxa"/>
              <w:bottom w:w="0" w:type="dxa"/>
              <w:right w:w="105" w:type="dxa"/>
            </w:tcMar>
            <w:vAlign w:val="center"/>
          </w:tcPr>
          <w:p w14:paraId="61633659">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leftChars="0" w:right="0" w:rightChars="0"/>
              <w:jc w:val="center"/>
              <w:textAlignment w:val="auto"/>
              <w:rPr>
                <w:rFonts w:hint="eastAsia" w:ascii="宋体" w:hAnsi="宋体" w:eastAsia="宋体" w:cs="宋体"/>
                <w:caps w:val="0"/>
                <w:color w:val="auto"/>
                <w:spacing w:val="0"/>
                <w:sz w:val="21"/>
                <w:szCs w:val="21"/>
                <w:highlight w:val="none"/>
                <w:lang w:val="en-US" w:eastAsia="en-US" w:bidi="en-US"/>
              </w:rPr>
            </w:pPr>
            <w:r>
              <w:rPr>
                <w:rFonts w:hint="eastAsia" w:ascii="宋体" w:hAnsi="宋体" w:eastAsia="宋体" w:cs="宋体"/>
                <w:caps w:val="0"/>
                <w:color w:val="auto"/>
                <w:spacing w:val="0"/>
                <w:sz w:val="21"/>
                <w:szCs w:val="21"/>
                <w:highlight w:val="none"/>
                <w:lang w:val="en-US" w:eastAsia="en-US" w:bidi="en-US"/>
              </w:rPr>
              <w:t>1</w:t>
            </w:r>
          </w:p>
        </w:tc>
        <w:tc>
          <w:tcPr>
            <w:tcW w:w="3532" w:type="dxa"/>
            <w:tcBorders>
              <w:top w:val="single" w:color="auto" w:sz="4" w:space="0"/>
              <w:left w:val="nil"/>
              <w:bottom w:val="single" w:color="auto" w:sz="4" w:space="0"/>
              <w:right w:val="single" w:color="auto" w:sz="6" w:space="0"/>
            </w:tcBorders>
            <w:shd w:val="clear" w:color="auto" w:fill="auto"/>
            <w:tcMar>
              <w:top w:w="0" w:type="dxa"/>
              <w:left w:w="105" w:type="dxa"/>
              <w:bottom w:w="0" w:type="dxa"/>
              <w:right w:w="105" w:type="dxa"/>
            </w:tcMar>
            <w:vAlign w:val="center"/>
          </w:tcPr>
          <w:p w14:paraId="1D94AC08">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auto"/>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aps w:val="0"/>
                <w:color w:val="auto"/>
                <w:spacing w:val="0"/>
                <w:sz w:val="21"/>
                <w:szCs w:val="21"/>
                <w:highlight w:val="none"/>
                <w:lang w:val="en-US" w:eastAsia="zh-CN" w:bidi="ar-SA"/>
              </w:rPr>
              <w:t>品牌授权使用服务费</w:t>
            </w:r>
            <w:r>
              <w:rPr>
                <w:rFonts w:hint="eastAsia" w:ascii="宋体" w:hAnsi="宋体" w:cs="宋体"/>
                <w:caps w:val="0"/>
                <w:color w:val="auto"/>
                <w:spacing w:val="0"/>
                <w:sz w:val="21"/>
                <w:szCs w:val="21"/>
                <w:highlight w:val="none"/>
                <w:lang w:val="en-US" w:eastAsia="zh-CN" w:bidi="ar-SA"/>
              </w:rPr>
              <w:t>每年</w:t>
            </w:r>
            <w:r>
              <w:rPr>
                <w:rFonts w:hint="eastAsia" w:ascii="宋体" w:hAnsi="宋体" w:eastAsia="宋体" w:cs="宋体"/>
                <w:caps w:val="0"/>
                <w:color w:val="auto"/>
                <w:spacing w:val="0"/>
                <w:sz w:val="21"/>
                <w:szCs w:val="21"/>
                <w:highlight w:val="none"/>
                <w:lang w:val="en-US" w:eastAsia="zh-CN" w:bidi="ar-SA"/>
              </w:rPr>
              <w:t>不高于70万元。</w:t>
            </w:r>
          </w:p>
        </w:tc>
        <w:tc>
          <w:tcPr>
            <w:tcW w:w="3683" w:type="dxa"/>
            <w:tcBorders>
              <w:top w:val="nil"/>
              <w:left w:val="nil"/>
              <w:bottom w:val="single" w:color="auto" w:sz="4" w:space="0"/>
              <w:right w:val="single" w:color="auto" w:sz="6" w:space="0"/>
            </w:tcBorders>
            <w:shd w:val="clear" w:color="auto" w:fill="auto"/>
            <w:tcMar>
              <w:top w:w="0" w:type="dxa"/>
              <w:left w:w="105" w:type="dxa"/>
              <w:bottom w:w="0" w:type="dxa"/>
              <w:right w:w="105" w:type="dxa"/>
            </w:tcMar>
            <w:vAlign w:val="center"/>
          </w:tcPr>
          <w:p w14:paraId="5014BB80">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en-US"/>
              </w:rPr>
            </w:pPr>
            <w:r>
              <w:rPr>
                <w:rFonts w:hint="eastAsia" w:ascii="宋体" w:hAnsi="宋体" w:eastAsia="宋体" w:cs="宋体"/>
                <w:b/>
                <w:bCs/>
                <w:color w:val="auto"/>
                <w:sz w:val="21"/>
                <w:szCs w:val="21"/>
                <w:highlight w:val="none"/>
              </w:rPr>
              <w:t>▲</w:t>
            </w:r>
            <w:r>
              <w:rPr>
                <w:rFonts w:hint="eastAsia" w:ascii="宋体" w:hAnsi="宋体" w:eastAsia="宋体" w:cs="宋体"/>
                <w:color w:val="auto"/>
                <w:kern w:val="0"/>
                <w:sz w:val="21"/>
                <w:szCs w:val="21"/>
                <w:highlight w:val="none"/>
                <w:lang w:val="en-US" w:eastAsia="zh-CN" w:bidi="en-US"/>
              </w:rPr>
              <w:t>品牌授权使用服务</w:t>
            </w:r>
            <w:r>
              <w:rPr>
                <w:rFonts w:hint="eastAsia" w:ascii="宋体" w:hAnsi="宋体" w:cs="宋体"/>
                <w:color w:val="auto"/>
                <w:kern w:val="0"/>
                <w:sz w:val="21"/>
                <w:szCs w:val="21"/>
                <w:highlight w:val="none"/>
                <w:lang w:val="en-US" w:eastAsia="zh-CN" w:bidi="en-US"/>
              </w:rPr>
              <w:t>费：投标报价时品牌授权使用服务费按年进行测算填报投标报价，</w:t>
            </w:r>
            <w:r>
              <w:rPr>
                <w:rFonts w:hint="eastAsia" w:ascii="宋体" w:hAnsi="宋体" w:eastAsia="宋体" w:cs="宋体"/>
                <w:color w:val="auto"/>
                <w:kern w:val="0"/>
                <w:sz w:val="21"/>
                <w:szCs w:val="21"/>
                <w:highlight w:val="none"/>
                <w:lang w:val="en-US" w:eastAsia="zh-CN" w:bidi="en-US"/>
              </w:rPr>
              <w:t>报价不得超过年度最高限价，否则投标无效。</w:t>
            </w:r>
          </w:p>
          <w:p w14:paraId="5AA72D7D">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sz w:val="21"/>
                <w:szCs w:val="21"/>
                <w:highlight w:val="none"/>
                <w:lang w:val="en-US" w:eastAsia="zh-CN"/>
              </w:rPr>
              <w:t>最终结算金额=投标</w:t>
            </w:r>
            <w:r>
              <w:rPr>
                <w:rFonts w:hint="eastAsia" w:ascii="宋体" w:hAnsi="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w:t>
            </w:r>
          </w:p>
        </w:tc>
      </w:tr>
      <w:tr w14:paraId="4A585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5" w:hRule="atLeast"/>
        </w:trPr>
        <w:tc>
          <w:tcPr>
            <w:tcW w:w="660" w:type="dxa"/>
            <w:tcBorders>
              <w:top w:val="single" w:color="auto" w:sz="4" w:space="0"/>
              <w:left w:val="single" w:color="auto" w:sz="6" w:space="0"/>
              <w:bottom w:val="single" w:color="auto" w:sz="4" w:space="0"/>
              <w:right w:val="single" w:color="auto" w:sz="6" w:space="0"/>
            </w:tcBorders>
            <w:shd w:val="clear" w:color="auto" w:fill="auto"/>
            <w:tcMar>
              <w:top w:w="0" w:type="dxa"/>
              <w:left w:w="105" w:type="dxa"/>
              <w:bottom w:w="0" w:type="dxa"/>
              <w:right w:w="105" w:type="dxa"/>
            </w:tcMar>
            <w:vAlign w:val="center"/>
          </w:tcPr>
          <w:p w14:paraId="5DFE620E">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leftChars="0" w:right="0" w:rightChars="0"/>
              <w:jc w:val="center"/>
              <w:textAlignment w:val="auto"/>
              <w:rPr>
                <w:rFonts w:hint="eastAsia" w:ascii="宋体" w:hAnsi="宋体" w:eastAsia="宋体" w:cs="宋体"/>
                <w:caps w:val="0"/>
                <w:color w:val="auto"/>
                <w:spacing w:val="0"/>
                <w:sz w:val="21"/>
                <w:szCs w:val="21"/>
                <w:highlight w:val="none"/>
                <w:lang w:val="en-US" w:eastAsia="zh-CN" w:bidi="en-US"/>
              </w:rPr>
            </w:pPr>
            <w:r>
              <w:rPr>
                <w:rFonts w:hint="eastAsia" w:ascii="宋体" w:hAnsi="宋体" w:cs="宋体"/>
                <w:caps w:val="0"/>
                <w:color w:val="auto"/>
                <w:spacing w:val="0"/>
                <w:sz w:val="21"/>
                <w:szCs w:val="21"/>
                <w:highlight w:val="none"/>
                <w:lang w:val="en-US" w:eastAsia="zh-CN" w:bidi="en-US"/>
              </w:rPr>
              <w:t>4</w:t>
            </w:r>
          </w:p>
        </w:tc>
        <w:tc>
          <w:tcPr>
            <w:tcW w:w="1200" w:type="dxa"/>
            <w:tcBorders>
              <w:top w:val="single" w:color="auto" w:sz="4" w:space="0"/>
              <w:left w:val="nil"/>
              <w:bottom w:val="single" w:color="auto" w:sz="4" w:space="0"/>
              <w:right w:val="single" w:color="auto" w:sz="6" w:space="0"/>
            </w:tcBorders>
            <w:shd w:val="clear" w:color="auto" w:fill="auto"/>
            <w:tcMar>
              <w:top w:w="0" w:type="dxa"/>
              <w:left w:w="105" w:type="dxa"/>
              <w:bottom w:w="0" w:type="dxa"/>
              <w:right w:w="105" w:type="dxa"/>
            </w:tcMar>
            <w:vAlign w:val="center"/>
          </w:tcPr>
          <w:p w14:paraId="41EBE3E0">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leftChars="0" w:right="0" w:rightChars="0"/>
              <w:jc w:val="center"/>
              <w:textAlignment w:val="auto"/>
              <w:rPr>
                <w:rFonts w:hint="eastAsia" w:ascii="宋体" w:hAnsi="宋体" w:eastAsia="宋体" w:cs="宋体"/>
                <w:color w:val="auto"/>
                <w:sz w:val="21"/>
                <w:szCs w:val="21"/>
                <w:highlight w:val="none"/>
                <w:lang w:val="en-US" w:eastAsia="en-US" w:bidi="en-US"/>
              </w:rPr>
            </w:pPr>
            <w:r>
              <w:rPr>
                <w:rFonts w:hint="eastAsia" w:ascii="宋体" w:hAnsi="宋体" w:eastAsia="宋体" w:cs="宋体"/>
                <w:caps w:val="0"/>
                <w:color w:val="auto"/>
                <w:spacing w:val="0"/>
                <w:sz w:val="21"/>
                <w:szCs w:val="21"/>
                <w:highlight w:val="none"/>
                <w:lang w:val="en-US" w:eastAsia="zh-CN" w:bidi="ar-SA"/>
              </w:rPr>
              <w:t>招商团队固定费用</w:t>
            </w:r>
          </w:p>
        </w:tc>
        <w:tc>
          <w:tcPr>
            <w:tcW w:w="660" w:type="dxa"/>
            <w:tcBorders>
              <w:top w:val="single" w:color="auto" w:sz="4" w:space="0"/>
              <w:left w:val="nil"/>
              <w:bottom w:val="single" w:color="auto" w:sz="4" w:space="0"/>
              <w:right w:val="single" w:color="auto" w:sz="6" w:space="0"/>
            </w:tcBorders>
            <w:shd w:val="clear" w:color="auto" w:fill="auto"/>
            <w:tcMar>
              <w:top w:w="0" w:type="dxa"/>
              <w:left w:w="105" w:type="dxa"/>
              <w:bottom w:w="0" w:type="dxa"/>
              <w:right w:w="105" w:type="dxa"/>
            </w:tcMar>
            <w:vAlign w:val="center"/>
          </w:tcPr>
          <w:p w14:paraId="6AF129A0">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leftChars="0" w:right="0" w:rightChars="0"/>
              <w:jc w:val="center"/>
              <w:textAlignment w:val="auto"/>
              <w:rPr>
                <w:rFonts w:hint="eastAsia" w:ascii="宋体" w:hAnsi="宋体" w:eastAsia="宋体" w:cs="宋体"/>
                <w:caps w:val="0"/>
                <w:color w:val="auto"/>
                <w:spacing w:val="0"/>
                <w:sz w:val="21"/>
                <w:szCs w:val="21"/>
                <w:highlight w:val="none"/>
                <w:lang w:val="en-US" w:eastAsia="en-US" w:bidi="en-US"/>
              </w:rPr>
            </w:pPr>
            <w:r>
              <w:rPr>
                <w:rFonts w:hint="eastAsia" w:ascii="宋体" w:hAnsi="宋体" w:eastAsia="宋体" w:cs="宋体"/>
                <w:caps w:val="0"/>
                <w:color w:val="auto"/>
                <w:spacing w:val="0"/>
                <w:sz w:val="21"/>
                <w:szCs w:val="21"/>
                <w:highlight w:val="none"/>
                <w:lang w:val="en-US" w:eastAsia="en-US" w:bidi="en-US"/>
              </w:rPr>
              <w:t>项</w:t>
            </w:r>
          </w:p>
        </w:tc>
        <w:tc>
          <w:tcPr>
            <w:tcW w:w="720" w:type="dxa"/>
            <w:tcBorders>
              <w:top w:val="single" w:color="auto" w:sz="4" w:space="0"/>
              <w:left w:val="nil"/>
              <w:bottom w:val="single" w:color="auto" w:sz="4" w:space="0"/>
              <w:right w:val="single" w:color="auto" w:sz="6" w:space="0"/>
            </w:tcBorders>
            <w:shd w:val="clear" w:color="auto" w:fill="auto"/>
            <w:tcMar>
              <w:top w:w="0" w:type="dxa"/>
              <w:left w:w="105" w:type="dxa"/>
              <w:bottom w:w="0" w:type="dxa"/>
              <w:right w:w="105" w:type="dxa"/>
            </w:tcMar>
            <w:vAlign w:val="center"/>
          </w:tcPr>
          <w:p w14:paraId="486E8618">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leftChars="0" w:right="0" w:rightChars="0"/>
              <w:jc w:val="center"/>
              <w:textAlignment w:val="auto"/>
              <w:rPr>
                <w:rFonts w:hint="eastAsia" w:ascii="宋体" w:hAnsi="宋体" w:eastAsia="宋体" w:cs="宋体"/>
                <w:caps w:val="0"/>
                <w:color w:val="auto"/>
                <w:spacing w:val="0"/>
                <w:sz w:val="21"/>
                <w:szCs w:val="21"/>
                <w:highlight w:val="none"/>
                <w:lang w:val="en-US" w:eastAsia="en-US" w:bidi="en-US"/>
              </w:rPr>
            </w:pPr>
            <w:r>
              <w:rPr>
                <w:rFonts w:hint="eastAsia" w:ascii="宋体" w:hAnsi="宋体" w:eastAsia="宋体" w:cs="宋体"/>
                <w:caps w:val="0"/>
                <w:color w:val="auto"/>
                <w:spacing w:val="0"/>
                <w:sz w:val="21"/>
                <w:szCs w:val="21"/>
                <w:highlight w:val="none"/>
                <w:lang w:val="en-US" w:eastAsia="en-US" w:bidi="en-US"/>
              </w:rPr>
              <w:t>1</w:t>
            </w:r>
          </w:p>
        </w:tc>
        <w:tc>
          <w:tcPr>
            <w:tcW w:w="3532" w:type="dxa"/>
            <w:tcBorders>
              <w:top w:val="single" w:color="auto" w:sz="4" w:space="0"/>
              <w:left w:val="nil"/>
              <w:bottom w:val="single" w:color="auto" w:sz="4" w:space="0"/>
              <w:right w:val="single" w:color="auto" w:sz="6" w:space="0"/>
            </w:tcBorders>
            <w:shd w:val="clear" w:color="auto" w:fill="auto"/>
            <w:tcMar>
              <w:top w:w="0" w:type="dxa"/>
              <w:left w:w="105" w:type="dxa"/>
              <w:bottom w:w="0" w:type="dxa"/>
              <w:right w:w="105" w:type="dxa"/>
            </w:tcMar>
            <w:vAlign w:val="center"/>
          </w:tcPr>
          <w:p w14:paraId="0594D795">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aps w:val="0"/>
                <w:color w:val="auto"/>
                <w:spacing w:val="0"/>
                <w:sz w:val="21"/>
                <w:szCs w:val="21"/>
                <w:highlight w:val="none"/>
                <w:lang w:val="en-US" w:eastAsia="zh-CN" w:bidi="ar-SA"/>
              </w:rPr>
            </w:pPr>
            <w:r>
              <w:rPr>
                <w:rFonts w:hint="eastAsia" w:ascii="宋体" w:hAnsi="宋体" w:eastAsia="宋体" w:cs="宋体"/>
                <w:caps w:val="0"/>
                <w:color w:val="auto"/>
                <w:spacing w:val="0"/>
                <w:sz w:val="21"/>
                <w:szCs w:val="21"/>
                <w:highlight w:val="none"/>
                <w:lang w:val="en-US" w:eastAsia="zh-CN" w:bidi="ar-SA"/>
              </w:rPr>
              <w:t>20万元/月</w:t>
            </w:r>
          </w:p>
        </w:tc>
        <w:tc>
          <w:tcPr>
            <w:tcW w:w="3683" w:type="dxa"/>
            <w:tcBorders>
              <w:top w:val="single" w:color="auto" w:sz="4" w:space="0"/>
              <w:left w:val="nil"/>
              <w:bottom w:val="single" w:color="auto" w:sz="4" w:space="0"/>
              <w:right w:val="single" w:color="auto" w:sz="6" w:space="0"/>
            </w:tcBorders>
            <w:shd w:val="clear" w:color="auto" w:fill="auto"/>
            <w:tcMar>
              <w:top w:w="0" w:type="dxa"/>
              <w:left w:w="105" w:type="dxa"/>
              <w:bottom w:w="0" w:type="dxa"/>
              <w:right w:w="105" w:type="dxa"/>
            </w:tcMar>
            <w:vAlign w:val="center"/>
          </w:tcPr>
          <w:p w14:paraId="237D6186">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en-US"/>
              </w:rPr>
            </w:pPr>
            <w:r>
              <w:rPr>
                <w:rFonts w:hint="eastAsia" w:ascii="宋体" w:hAnsi="宋体" w:eastAsia="宋体" w:cs="宋体"/>
                <w:b/>
                <w:bCs/>
                <w:color w:val="auto"/>
                <w:sz w:val="22"/>
                <w:szCs w:val="22"/>
                <w:highlight w:val="none"/>
              </w:rPr>
              <w:t>▲</w:t>
            </w:r>
            <w:r>
              <w:rPr>
                <w:rFonts w:hint="eastAsia" w:ascii="宋体" w:hAnsi="宋体" w:eastAsia="宋体" w:cs="宋体"/>
                <w:caps w:val="0"/>
                <w:color w:val="auto"/>
                <w:spacing w:val="0"/>
                <w:sz w:val="21"/>
                <w:szCs w:val="21"/>
                <w:highlight w:val="none"/>
                <w:lang w:val="en-US" w:eastAsia="zh-CN" w:bidi="ar-SA"/>
              </w:rPr>
              <w:t>固定</w:t>
            </w:r>
            <w:r>
              <w:rPr>
                <w:rFonts w:hint="eastAsia" w:ascii="宋体" w:hAnsi="宋体" w:cs="宋体"/>
                <w:caps w:val="0"/>
                <w:color w:val="auto"/>
                <w:spacing w:val="0"/>
                <w:sz w:val="21"/>
                <w:szCs w:val="21"/>
                <w:highlight w:val="none"/>
                <w:lang w:val="en-US" w:eastAsia="zh-CN" w:bidi="ar-SA"/>
              </w:rPr>
              <w:t>报价，不作竞争。</w:t>
            </w:r>
          </w:p>
        </w:tc>
      </w:tr>
      <w:tr w14:paraId="3E4DE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660" w:type="dxa"/>
            <w:tcBorders>
              <w:top w:val="single" w:color="auto" w:sz="4" w:space="0"/>
              <w:left w:val="single" w:color="auto" w:sz="6" w:space="0"/>
              <w:bottom w:val="single" w:color="auto" w:sz="4" w:space="0"/>
              <w:right w:val="single" w:color="auto" w:sz="6" w:space="0"/>
            </w:tcBorders>
            <w:shd w:val="clear" w:color="auto" w:fill="auto"/>
            <w:tcMar>
              <w:top w:w="0" w:type="dxa"/>
              <w:left w:w="105" w:type="dxa"/>
              <w:bottom w:w="0" w:type="dxa"/>
              <w:right w:w="105" w:type="dxa"/>
            </w:tcMar>
            <w:vAlign w:val="center"/>
          </w:tcPr>
          <w:p w14:paraId="3858A60A">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leftChars="0" w:right="0" w:rightChars="0"/>
              <w:jc w:val="center"/>
              <w:textAlignment w:val="auto"/>
              <w:rPr>
                <w:rFonts w:hint="eastAsia" w:ascii="宋体" w:hAnsi="宋体" w:eastAsia="宋体" w:cs="宋体"/>
                <w:caps w:val="0"/>
                <w:color w:val="auto"/>
                <w:spacing w:val="0"/>
                <w:sz w:val="21"/>
                <w:szCs w:val="21"/>
                <w:highlight w:val="none"/>
                <w:lang w:val="en-US" w:eastAsia="zh-CN" w:bidi="en-US"/>
              </w:rPr>
            </w:pPr>
            <w:r>
              <w:rPr>
                <w:rFonts w:hint="eastAsia" w:ascii="宋体" w:hAnsi="宋体" w:cs="宋体"/>
                <w:caps w:val="0"/>
                <w:color w:val="auto"/>
                <w:spacing w:val="0"/>
                <w:sz w:val="21"/>
                <w:szCs w:val="21"/>
                <w:highlight w:val="none"/>
                <w:lang w:val="en-US" w:eastAsia="zh-CN" w:bidi="en-US"/>
              </w:rPr>
              <w:t>5</w:t>
            </w:r>
          </w:p>
        </w:tc>
        <w:tc>
          <w:tcPr>
            <w:tcW w:w="1200" w:type="dxa"/>
            <w:tcBorders>
              <w:top w:val="single" w:color="auto" w:sz="4" w:space="0"/>
              <w:left w:val="nil"/>
              <w:bottom w:val="single" w:color="auto" w:sz="4" w:space="0"/>
              <w:right w:val="single" w:color="auto" w:sz="6" w:space="0"/>
            </w:tcBorders>
            <w:shd w:val="clear" w:color="auto" w:fill="auto"/>
            <w:tcMar>
              <w:top w:w="0" w:type="dxa"/>
              <w:left w:w="105" w:type="dxa"/>
              <w:bottom w:w="0" w:type="dxa"/>
              <w:right w:w="105" w:type="dxa"/>
            </w:tcMar>
            <w:vAlign w:val="center"/>
          </w:tcPr>
          <w:p w14:paraId="3DF4E98A">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leftChars="0" w:right="0" w:rightChars="0"/>
              <w:jc w:val="center"/>
              <w:textAlignment w:val="auto"/>
              <w:rPr>
                <w:rFonts w:hint="eastAsia" w:ascii="宋体" w:hAnsi="宋体" w:eastAsia="宋体" w:cs="宋体"/>
                <w:color w:val="auto"/>
                <w:sz w:val="21"/>
                <w:szCs w:val="21"/>
                <w:highlight w:val="none"/>
                <w:lang w:val="en-US" w:eastAsia="en-US" w:bidi="en-US"/>
              </w:rPr>
            </w:pPr>
            <w:r>
              <w:rPr>
                <w:rFonts w:hint="eastAsia" w:ascii="宋体" w:hAnsi="宋体" w:eastAsia="宋体" w:cs="宋体"/>
                <w:caps w:val="0"/>
                <w:color w:val="auto"/>
                <w:spacing w:val="0"/>
                <w:sz w:val="21"/>
                <w:szCs w:val="21"/>
                <w:highlight w:val="none"/>
                <w:lang w:val="en-US" w:eastAsia="zh-CN" w:bidi="ar-SA"/>
              </w:rPr>
              <w:t>运营团队固定费用</w:t>
            </w:r>
          </w:p>
        </w:tc>
        <w:tc>
          <w:tcPr>
            <w:tcW w:w="660" w:type="dxa"/>
            <w:tcBorders>
              <w:top w:val="single" w:color="auto" w:sz="4" w:space="0"/>
              <w:left w:val="nil"/>
              <w:bottom w:val="single" w:color="auto" w:sz="4" w:space="0"/>
              <w:right w:val="single" w:color="auto" w:sz="6" w:space="0"/>
            </w:tcBorders>
            <w:shd w:val="clear" w:color="auto" w:fill="auto"/>
            <w:tcMar>
              <w:top w:w="0" w:type="dxa"/>
              <w:left w:w="105" w:type="dxa"/>
              <w:bottom w:w="0" w:type="dxa"/>
              <w:right w:w="105" w:type="dxa"/>
            </w:tcMar>
            <w:vAlign w:val="center"/>
          </w:tcPr>
          <w:p w14:paraId="28D8258F">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leftChars="0" w:right="0" w:rightChars="0"/>
              <w:jc w:val="center"/>
              <w:textAlignment w:val="auto"/>
              <w:rPr>
                <w:rFonts w:hint="eastAsia" w:ascii="宋体" w:hAnsi="宋体" w:eastAsia="宋体" w:cs="宋体"/>
                <w:caps w:val="0"/>
                <w:color w:val="auto"/>
                <w:spacing w:val="0"/>
                <w:sz w:val="21"/>
                <w:szCs w:val="21"/>
                <w:highlight w:val="none"/>
                <w:lang w:val="en-US" w:eastAsia="en-US" w:bidi="en-US"/>
              </w:rPr>
            </w:pPr>
            <w:r>
              <w:rPr>
                <w:rFonts w:hint="eastAsia" w:ascii="宋体" w:hAnsi="宋体" w:eastAsia="宋体" w:cs="宋体"/>
                <w:caps w:val="0"/>
                <w:color w:val="auto"/>
                <w:spacing w:val="0"/>
                <w:sz w:val="21"/>
                <w:szCs w:val="21"/>
                <w:highlight w:val="none"/>
                <w:lang w:val="en-US" w:eastAsia="en-US" w:bidi="en-US"/>
              </w:rPr>
              <w:t>项</w:t>
            </w:r>
          </w:p>
        </w:tc>
        <w:tc>
          <w:tcPr>
            <w:tcW w:w="720" w:type="dxa"/>
            <w:tcBorders>
              <w:top w:val="single" w:color="auto" w:sz="4" w:space="0"/>
              <w:left w:val="nil"/>
              <w:bottom w:val="single" w:color="auto" w:sz="4" w:space="0"/>
              <w:right w:val="single" w:color="auto" w:sz="6" w:space="0"/>
            </w:tcBorders>
            <w:shd w:val="clear" w:color="auto" w:fill="auto"/>
            <w:tcMar>
              <w:top w:w="0" w:type="dxa"/>
              <w:left w:w="105" w:type="dxa"/>
              <w:bottom w:w="0" w:type="dxa"/>
              <w:right w:w="105" w:type="dxa"/>
            </w:tcMar>
            <w:vAlign w:val="center"/>
          </w:tcPr>
          <w:p w14:paraId="706C71EB">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leftChars="0" w:right="0" w:rightChars="0"/>
              <w:jc w:val="center"/>
              <w:textAlignment w:val="auto"/>
              <w:rPr>
                <w:rFonts w:hint="eastAsia" w:ascii="宋体" w:hAnsi="宋体" w:eastAsia="宋体" w:cs="宋体"/>
                <w:caps w:val="0"/>
                <w:color w:val="auto"/>
                <w:spacing w:val="0"/>
                <w:sz w:val="21"/>
                <w:szCs w:val="21"/>
                <w:highlight w:val="none"/>
                <w:lang w:val="en-US" w:eastAsia="en-US" w:bidi="en-US"/>
              </w:rPr>
            </w:pPr>
            <w:r>
              <w:rPr>
                <w:rFonts w:hint="eastAsia" w:ascii="宋体" w:hAnsi="宋体" w:eastAsia="宋体" w:cs="宋体"/>
                <w:caps w:val="0"/>
                <w:color w:val="auto"/>
                <w:spacing w:val="0"/>
                <w:sz w:val="21"/>
                <w:szCs w:val="21"/>
                <w:highlight w:val="none"/>
                <w:lang w:val="en-US" w:eastAsia="en-US" w:bidi="en-US"/>
              </w:rPr>
              <w:t>1</w:t>
            </w:r>
          </w:p>
        </w:tc>
        <w:tc>
          <w:tcPr>
            <w:tcW w:w="3532" w:type="dxa"/>
            <w:tcBorders>
              <w:top w:val="single" w:color="auto" w:sz="4" w:space="0"/>
              <w:left w:val="nil"/>
              <w:bottom w:val="single" w:color="auto" w:sz="4" w:space="0"/>
              <w:right w:val="single" w:color="auto" w:sz="6" w:space="0"/>
            </w:tcBorders>
            <w:shd w:val="clear" w:color="auto" w:fill="auto"/>
            <w:tcMar>
              <w:top w:w="0" w:type="dxa"/>
              <w:left w:w="105" w:type="dxa"/>
              <w:bottom w:w="0" w:type="dxa"/>
              <w:right w:w="105" w:type="dxa"/>
            </w:tcMar>
            <w:vAlign w:val="center"/>
          </w:tcPr>
          <w:p w14:paraId="116B78A8">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aps w:val="0"/>
                <w:color w:val="auto"/>
                <w:spacing w:val="0"/>
                <w:sz w:val="21"/>
                <w:szCs w:val="21"/>
                <w:highlight w:val="none"/>
                <w:lang w:val="en-US" w:eastAsia="zh-CN" w:bidi="ar-SA"/>
              </w:rPr>
            </w:pPr>
            <w:r>
              <w:rPr>
                <w:rFonts w:hint="eastAsia" w:ascii="宋体" w:hAnsi="宋体" w:eastAsia="宋体" w:cs="宋体"/>
                <w:caps w:val="0"/>
                <w:color w:val="auto"/>
                <w:spacing w:val="0"/>
                <w:sz w:val="21"/>
                <w:szCs w:val="21"/>
                <w:highlight w:val="none"/>
                <w:lang w:val="en-US" w:eastAsia="zh-CN" w:bidi="ar-SA"/>
              </w:rPr>
              <w:t>25万元/月</w:t>
            </w:r>
          </w:p>
        </w:tc>
        <w:tc>
          <w:tcPr>
            <w:tcW w:w="3683" w:type="dxa"/>
            <w:tcBorders>
              <w:top w:val="single" w:color="auto" w:sz="4" w:space="0"/>
              <w:left w:val="nil"/>
              <w:bottom w:val="single" w:color="auto" w:sz="4" w:space="0"/>
              <w:right w:val="single" w:color="auto" w:sz="6" w:space="0"/>
            </w:tcBorders>
            <w:shd w:val="clear" w:color="auto" w:fill="auto"/>
            <w:tcMar>
              <w:top w:w="0" w:type="dxa"/>
              <w:left w:w="105" w:type="dxa"/>
              <w:bottom w:w="0" w:type="dxa"/>
              <w:right w:w="105" w:type="dxa"/>
            </w:tcMar>
            <w:vAlign w:val="center"/>
          </w:tcPr>
          <w:p w14:paraId="7FE7ED9F">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en-US"/>
              </w:rPr>
            </w:pPr>
            <w:r>
              <w:rPr>
                <w:rFonts w:hint="eastAsia" w:ascii="宋体" w:hAnsi="宋体" w:eastAsia="宋体" w:cs="宋体"/>
                <w:b/>
                <w:bCs/>
                <w:color w:val="auto"/>
                <w:sz w:val="22"/>
                <w:szCs w:val="22"/>
                <w:highlight w:val="none"/>
              </w:rPr>
              <w:t>▲</w:t>
            </w:r>
            <w:r>
              <w:rPr>
                <w:rFonts w:hint="eastAsia" w:ascii="宋体" w:hAnsi="宋体" w:eastAsia="宋体" w:cs="宋体"/>
                <w:caps w:val="0"/>
                <w:color w:val="auto"/>
                <w:spacing w:val="0"/>
                <w:sz w:val="21"/>
                <w:szCs w:val="21"/>
                <w:highlight w:val="none"/>
                <w:lang w:val="en-US" w:eastAsia="zh-CN" w:bidi="ar-SA"/>
              </w:rPr>
              <w:t>固定</w:t>
            </w:r>
            <w:r>
              <w:rPr>
                <w:rFonts w:hint="eastAsia" w:ascii="宋体" w:hAnsi="宋体" w:cs="宋体"/>
                <w:caps w:val="0"/>
                <w:color w:val="auto"/>
                <w:spacing w:val="0"/>
                <w:sz w:val="21"/>
                <w:szCs w:val="21"/>
                <w:highlight w:val="none"/>
                <w:lang w:val="en-US" w:eastAsia="zh-CN" w:bidi="ar-SA"/>
              </w:rPr>
              <w:t>报价，不作竞争。</w:t>
            </w:r>
          </w:p>
        </w:tc>
      </w:tr>
    </w:tbl>
    <w:p w14:paraId="78E02DD4">
      <w:pPr>
        <w:spacing w:line="360" w:lineRule="auto"/>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本项目报价详见采购清单，报价包括相应费用。</w:t>
      </w:r>
    </w:p>
    <w:p w14:paraId="73EAC652">
      <w:pPr>
        <w:spacing w:line="360" w:lineRule="auto"/>
        <w:ind w:firstLine="42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1.投标人所投报的投标报价为完成本次招标项目中的所有招商运营服务（包括本次项目实施所需的服务、调查研究、分析认证、编制报告、人员劳务、就餐住宿费、交通费、文本制作费、专家咨询费、管理费</w:t>
      </w:r>
      <w:r>
        <w:rPr>
          <w:rFonts w:hint="eastAsia" w:ascii="宋体" w:hAnsi="宋体" w:cs="宋体"/>
          <w:color w:val="auto"/>
          <w:lang w:val="en-US" w:eastAsia="zh-CN"/>
        </w:rPr>
        <w:t>、</w:t>
      </w:r>
      <w:r>
        <w:rPr>
          <w:rFonts w:hint="eastAsia" w:ascii="宋体" w:hAnsi="宋体" w:eastAsia="宋体" w:cs="宋体"/>
          <w:color w:val="auto"/>
          <w:lang w:val="en-US" w:eastAsia="zh-CN"/>
        </w:rPr>
        <w:t>培训指导</w:t>
      </w:r>
      <w:r>
        <w:rPr>
          <w:rFonts w:hint="eastAsia" w:ascii="宋体" w:hAnsi="宋体" w:cs="宋体"/>
          <w:color w:val="auto"/>
          <w:lang w:val="en-US" w:eastAsia="zh-CN"/>
        </w:rPr>
        <w:t>费</w:t>
      </w:r>
      <w:r>
        <w:rPr>
          <w:rFonts w:hint="eastAsia" w:ascii="宋体" w:hAnsi="宋体" w:eastAsia="宋体" w:cs="宋体"/>
          <w:color w:val="auto"/>
          <w:lang w:val="en-US" w:eastAsia="zh-CN"/>
        </w:rPr>
        <w:t>、品牌使用费、代理费等相关费用）、连带内容、关联内容及合同中明示或暗示的所有一般风险、责任和义务等所有费用。</w:t>
      </w:r>
    </w:p>
    <w:p w14:paraId="7F75B926">
      <w:pPr>
        <w:spacing w:line="360" w:lineRule="auto"/>
        <w:ind w:firstLine="42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2.以人民币为结算货币，按国家规定由中标方缴纳的各种税收已包含在投标总价内，由中标方向税务机关缴纳。</w:t>
      </w:r>
    </w:p>
    <w:p w14:paraId="3F88ED58">
      <w:pPr>
        <w:spacing w:line="360" w:lineRule="auto"/>
        <w:ind w:firstLine="42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3.报价中未包括的费用详见合同约定。</w:t>
      </w:r>
    </w:p>
    <w:p w14:paraId="45654C49">
      <w:pPr>
        <w:spacing w:line="360" w:lineRule="auto"/>
        <w:ind w:firstLine="42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▲4.各投标人投标报价超过规定的各分项内容的最高限价，投标无效。</w:t>
      </w:r>
    </w:p>
    <w:p w14:paraId="454F6B01">
      <w:pPr>
        <w:spacing w:line="360" w:lineRule="auto"/>
        <w:ind w:firstLine="42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5.合同期内新增资产所有权归属：双方明确，在运营期限内，除本合同有明确约定外，招租商户以装修、安装、购置、更换等各种形式投资形成的装修、设备、设施及其他附属物、附着物等各种形式的资产之所有权属相关招租商户，届时按租赁合同相关约定处理。</w:t>
      </w:r>
    </w:p>
    <w:p w14:paraId="42E1EF30">
      <w:pPr>
        <w:spacing w:line="360" w:lineRule="auto"/>
        <w:rPr>
          <w:rFonts w:hint="eastAsia" w:ascii="宋体" w:hAnsi="宋体" w:eastAsia="宋体" w:cs="宋体"/>
          <w:b/>
          <w:bCs/>
          <w:color w:val="auto"/>
          <w:highlight w:val="none"/>
          <w:lang w:eastAsia="zh-CN"/>
        </w:rPr>
      </w:pPr>
      <w:r>
        <w:rPr>
          <w:rFonts w:hint="eastAsia" w:ascii="宋体" w:hAnsi="宋体" w:cs="宋体"/>
          <w:b/>
          <w:bCs/>
          <w:color w:val="auto"/>
          <w:highlight w:val="none"/>
          <w:lang w:val="en-US" w:eastAsia="zh-CN"/>
        </w:rPr>
        <w:t>七</w:t>
      </w:r>
      <w:r>
        <w:rPr>
          <w:rFonts w:hint="eastAsia" w:ascii="宋体" w:hAnsi="宋体" w:eastAsia="宋体" w:cs="宋体"/>
          <w:b/>
          <w:bCs/>
          <w:color w:val="auto"/>
          <w:highlight w:val="none"/>
        </w:rPr>
        <w:t>、其他要求</w:t>
      </w:r>
      <w:r>
        <w:rPr>
          <w:rFonts w:hint="eastAsia" w:ascii="宋体" w:hAnsi="宋体" w:eastAsia="宋体" w:cs="宋体"/>
          <w:b/>
          <w:bCs/>
          <w:color w:val="auto"/>
          <w:highlight w:val="none"/>
          <w:lang w:eastAsia="zh-CN"/>
        </w:rPr>
        <w:t>：</w:t>
      </w:r>
    </w:p>
    <w:p w14:paraId="5F22F5DA">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（1）如有因成果编制不明，需要中标供应商现场说明或出具资料补充的，中标供应商必须予以配合，否则采购人有权按合同约定对中标供应商进行处罚。</w:t>
      </w:r>
    </w:p>
    <w:p w14:paraId="22124DBE">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（2）中标供应商负责必须对项目成果错误进行及时更正，不得以任何形式的原因及理由要求增加费用。</w:t>
      </w:r>
    </w:p>
    <w:p w14:paraId="1B5BD528">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（3）所有成果，归采购人所有。未经采购人许可，中标供应商不得向第三方提供或泄露，否则将承担相应的法律责任。</w:t>
      </w:r>
    </w:p>
    <w:p w14:paraId="204E3072">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（4）中标供应商必须对收集的基础资料及所有成果承担安全、保密责任。</w:t>
      </w:r>
    </w:p>
    <w:p w14:paraId="1C9C0973">
      <w:pPr>
        <w:spacing w:line="360" w:lineRule="auto"/>
        <w:ind w:firstLine="420" w:firstLineChars="0"/>
        <w:rPr>
          <w:rFonts w:hint="eastAsia" w:ascii="宋体" w:hAnsi="宋体" w:eastAsia="宋体" w:cs="宋体"/>
          <w:color w:val="auto"/>
          <w:sz w:val="21"/>
          <w:szCs w:val="21"/>
          <w:lang w:eastAsia="zh-CN"/>
        </w:rPr>
      </w:pPr>
      <w:r>
        <w:rPr>
          <w:rFonts w:hint="eastAsia" w:ascii="宋体" w:hAnsi="宋体" w:eastAsia="宋体" w:cs="宋体"/>
          <w:color w:val="auto"/>
          <w:highlight w:val="none"/>
        </w:rPr>
        <w:t>（5）中标供应商应保证提供服务过程中不会侵犯任何第三方的知识产权。</w:t>
      </w:r>
    </w:p>
    <w:p w14:paraId="77C17F8D">
      <w:pPr>
        <w:spacing w:line="360" w:lineRule="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八</w:t>
      </w: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履约保证金：</w:t>
      </w:r>
    </w:p>
    <w:p w14:paraId="2293F66F">
      <w:pPr>
        <w:spacing w:line="360" w:lineRule="auto"/>
        <w:ind w:firstLine="42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（1）成交供应商应于合同签订之日起</w:t>
      </w:r>
      <w:r>
        <w:rPr>
          <w:rFonts w:hint="eastAsia" w:ascii="宋体" w:hAnsi="宋体" w:cs="宋体"/>
          <w:color w:val="auto"/>
          <w:highlight w:val="none"/>
          <w:lang w:val="en-US" w:eastAsia="zh-CN"/>
        </w:rPr>
        <w:t>45个工作</w:t>
      </w:r>
      <w:r>
        <w:rPr>
          <w:rFonts w:hint="eastAsia" w:ascii="宋体" w:hAnsi="宋体" w:eastAsia="宋体" w:cs="宋体"/>
          <w:color w:val="auto"/>
          <w:highlight w:val="none"/>
          <w:lang w:val="en-US" w:eastAsia="zh-CN"/>
        </w:rPr>
        <w:t>日内向采购人提交履约保证金。</w:t>
      </w:r>
    </w:p>
    <w:p w14:paraId="1BCCA431">
      <w:pPr>
        <w:spacing w:line="360" w:lineRule="auto"/>
        <w:ind w:firstLine="42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（2）履约保证金的金额：人民币100万元整。</w:t>
      </w:r>
    </w:p>
    <w:p w14:paraId="11F59894">
      <w:pPr>
        <w:spacing w:line="360" w:lineRule="auto"/>
        <w:ind w:firstLine="42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（3）履约担保的形式：银行转账、转账支票、银行汇票或银行、保险公司、融资担保公司出具的保函等形式交纳</w:t>
      </w:r>
    </w:p>
    <w:p w14:paraId="6EF96C87">
      <w:pPr>
        <w:spacing w:line="360" w:lineRule="auto"/>
        <w:ind w:firstLine="420"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若采用保函形式的，应满足以下条件</w:t>
      </w:r>
      <w:r>
        <w:rPr>
          <w:rFonts w:hint="eastAsia" w:ascii="宋体" w:hAnsi="宋体" w:eastAsia="宋体" w:cs="宋体"/>
          <w:color w:val="auto"/>
          <w:highlight w:val="none"/>
          <w:lang w:eastAsia="zh-CN"/>
        </w:rPr>
        <w:t>：</w:t>
      </w:r>
    </w:p>
    <w:p w14:paraId="4B46CA66">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①保函期限</w:t>
      </w:r>
      <w:r>
        <w:rPr>
          <w:rFonts w:hint="eastAsia" w:ascii="宋体" w:hAnsi="宋体" w:eastAsia="宋体" w:cs="宋体"/>
          <w:color w:val="auto"/>
          <w:highlight w:val="none"/>
          <w:lang w:eastAsia="zh-CN"/>
        </w:rPr>
        <w:t>：合同签订之日起</w:t>
      </w:r>
      <w:r>
        <w:rPr>
          <w:rFonts w:hint="eastAsia" w:ascii="宋体" w:hAnsi="宋体" w:eastAsia="宋体" w:cs="宋体"/>
          <w:color w:val="auto"/>
          <w:highlight w:val="none"/>
          <w:lang w:val="en-US" w:eastAsia="zh-CN"/>
        </w:rPr>
        <w:t>直至服务期结束为止</w:t>
      </w:r>
      <w:r>
        <w:rPr>
          <w:rFonts w:hint="eastAsia" w:ascii="宋体" w:hAnsi="宋体" w:eastAsia="宋体" w:cs="宋体"/>
          <w:color w:val="auto"/>
          <w:highlight w:val="none"/>
          <w:lang w:eastAsia="zh-CN"/>
        </w:rPr>
        <w:t>。</w:t>
      </w:r>
    </w:p>
    <w:p w14:paraId="056A690B">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②如果由于服务期延误或保函出具机构要求分期出具保函的，则在前一份保函有效期满之日20日前必须重新出具相同内容的保函。</w:t>
      </w:r>
    </w:p>
    <w:p w14:paraId="0989E342">
      <w:pPr>
        <w:spacing w:line="360" w:lineRule="auto"/>
        <w:ind w:firstLine="420"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以银行转账、转</w:t>
      </w:r>
      <w:r>
        <w:rPr>
          <w:rFonts w:hint="eastAsia" w:ascii="宋体" w:hAnsi="宋体" w:eastAsia="宋体" w:cs="宋体"/>
          <w:color w:val="auto"/>
          <w:highlight w:val="none"/>
          <w:lang w:val="en-US" w:eastAsia="zh-CN"/>
        </w:rPr>
        <w:t>账</w:t>
      </w:r>
      <w:r>
        <w:rPr>
          <w:rFonts w:hint="eastAsia" w:ascii="宋体" w:hAnsi="宋体" w:eastAsia="宋体" w:cs="宋体"/>
          <w:color w:val="auto"/>
          <w:highlight w:val="none"/>
        </w:rPr>
        <w:t>支票、银行汇票等形式提交的</w:t>
      </w:r>
      <w:r>
        <w:rPr>
          <w:rFonts w:hint="eastAsia" w:ascii="宋体" w:hAnsi="宋体" w:eastAsia="宋体" w:cs="宋体"/>
          <w:color w:val="auto"/>
          <w:highlight w:val="none"/>
          <w:lang w:eastAsia="zh-CN"/>
        </w:rPr>
        <w:t>：</w:t>
      </w:r>
    </w:p>
    <w:p w14:paraId="34FC5F3F">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①从成交供应商基本账户转出；</w:t>
      </w:r>
    </w:p>
    <w:p w14:paraId="1DFD102D">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②</w:t>
      </w:r>
      <w:r>
        <w:rPr>
          <w:rFonts w:hint="eastAsia" w:ascii="宋体" w:hAnsi="宋体" w:eastAsia="宋体" w:cs="宋体"/>
          <w:color w:val="auto"/>
          <w:highlight w:val="none"/>
          <w:lang w:eastAsia="zh-CN"/>
        </w:rPr>
        <w:t>履约保证金</w:t>
      </w:r>
      <w:r>
        <w:rPr>
          <w:rFonts w:hint="eastAsia" w:ascii="宋体" w:hAnsi="宋体" w:eastAsia="宋体" w:cs="宋体"/>
          <w:color w:val="auto"/>
          <w:highlight w:val="none"/>
        </w:rPr>
        <w:t>退还时间</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服务期结束后</w:t>
      </w:r>
      <w:r>
        <w:rPr>
          <w:rFonts w:hint="eastAsia" w:ascii="宋体" w:hAnsi="宋体" w:eastAsia="宋体" w:cs="宋体"/>
          <w:color w:val="auto"/>
          <w:highlight w:val="none"/>
        </w:rPr>
        <w:t>10日内予以全部退还（无息）。</w:t>
      </w:r>
    </w:p>
    <w:p w14:paraId="12954780">
      <w:pPr>
        <w:spacing w:line="360" w:lineRule="auto"/>
        <w:ind w:firstLine="42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（4）如果乙方未能按合同规定履行其义务，甲方有权从履约保证金中予以扣除相关款项。</w:t>
      </w:r>
    </w:p>
    <w:p w14:paraId="1B43A2A9">
      <w:pPr>
        <w:pStyle w:val="27"/>
        <w:shd w:val="clear" w:color="auto" w:fill="auto"/>
        <w:wordWrap w:val="0"/>
        <w:spacing w:before="0" w:after="0" w:line="360" w:lineRule="auto"/>
        <w:jc w:val="center"/>
        <w:rPr>
          <w:rFonts w:hint="eastAsia" w:ascii="宋体" w:hAnsi="宋体" w:eastAsia="宋体" w:cs="宋体"/>
          <w:color w:val="auto"/>
          <w:highlight w:val="none"/>
          <w:lang w:val="zh-CN"/>
        </w:rPr>
      </w:pPr>
      <w:r>
        <w:rPr>
          <w:rFonts w:hint="eastAsia" w:ascii="宋体" w:hAnsi="宋体" w:eastAsia="宋体" w:cs="宋体"/>
          <w:b/>
          <w:bCs/>
          <w:color w:val="auto"/>
          <w:spacing w:val="0"/>
          <w:kern w:val="2"/>
          <w:sz w:val="22"/>
          <w:szCs w:val="22"/>
          <w:highlight w:val="none"/>
          <w:u w:val="single"/>
          <w:lang w:val="en-US" w:eastAsia="zh-CN" w:bidi="ar-SA"/>
        </w:rPr>
        <w:br w:type="page"/>
      </w:r>
      <w:bookmarkStart w:id="13" w:name="_Toc15258"/>
      <w:r>
        <w:rPr>
          <w:rFonts w:hint="eastAsia" w:ascii="宋体" w:hAnsi="宋体" w:eastAsia="宋体" w:cs="宋体"/>
          <w:color w:val="auto"/>
          <w:highlight w:val="none"/>
          <w:lang w:val="zh-CN"/>
        </w:rPr>
        <w:t>第三部分</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供应商须知</w:t>
      </w:r>
      <w:bookmarkEnd w:id="13"/>
    </w:p>
    <w:p w14:paraId="25901DF8">
      <w:pPr>
        <w:shd w:val="clear" w:color="auto" w:fill="auto"/>
        <w:wordWrap w:val="0"/>
        <w:autoSpaceDE w:val="0"/>
        <w:autoSpaceDN w:val="0"/>
        <w:adjustRightInd w:val="0"/>
        <w:snapToGrid w:val="0"/>
        <w:spacing w:line="360" w:lineRule="auto"/>
        <w:textAlignment w:val="bottom"/>
        <w:outlineLvl w:val="1"/>
        <w:rPr>
          <w:rFonts w:hint="eastAsia" w:ascii="宋体" w:hAnsi="宋体" w:eastAsia="宋体" w:cs="宋体"/>
          <w:b/>
          <w:bCs/>
          <w:color w:val="auto"/>
          <w:sz w:val="22"/>
          <w:szCs w:val="22"/>
          <w:highlight w:val="none"/>
        </w:rPr>
      </w:pPr>
      <w:bookmarkStart w:id="14" w:name="_Toc19221"/>
      <w:r>
        <w:rPr>
          <w:rFonts w:hint="eastAsia" w:ascii="宋体" w:hAnsi="宋体" w:eastAsia="宋体" w:cs="宋体"/>
          <w:b/>
          <w:bCs/>
          <w:color w:val="auto"/>
          <w:sz w:val="22"/>
          <w:szCs w:val="22"/>
          <w:highlight w:val="none"/>
        </w:rPr>
        <w:t>一、说明</w:t>
      </w:r>
      <w:bookmarkEnd w:id="14"/>
    </w:p>
    <w:p w14:paraId="689FB6D8">
      <w:pPr>
        <w:widowControl/>
        <w:shd w:val="clear" w:color="auto" w:fill="auto"/>
        <w:wordWrap w:val="0"/>
        <w:snapToGrid w:val="0"/>
        <w:spacing w:line="360" w:lineRule="auto"/>
        <w:ind w:firstLine="431" w:firstLineChars="196"/>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1、无论投标过程中的作法和结果如何，供应商自行承担投标活动中所发生的全部费用。</w:t>
      </w:r>
    </w:p>
    <w:p w14:paraId="49824D2A">
      <w:pPr>
        <w:shd w:val="clear" w:color="auto" w:fill="auto"/>
        <w:wordWrap w:val="0"/>
        <w:autoSpaceDE w:val="0"/>
        <w:autoSpaceDN w:val="0"/>
        <w:adjustRightInd w:val="0"/>
        <w:snapToGrid w:val="0"/>
        <w:spacing w:line="360" w:lineRule="auto"/>
        <w:ind w:firstLine="431" w:firstLineChars="196"/>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b/>
          <w:color w:val="auto"/>
          <w:sz w:val="22"/>
          <w:szCs w:val="22"/>
          <w:highlight w:val="none"/>
          <w:u w:val="single"/>
        </w:rPr>
        <w:t>供应商必须投全部标的物，否则按无效投标处理。</w:t>
      </w:r>
    </w:p>
    <w:p w14:paraId="60052296">
      <w:pPr>
        <w:shd w:val="clear" w:color="auto" w:fill="auto"/>
        <w:wordWrap w:val="0"/>
        <w:autoSpaceDE w:val="0"/>
        <w:autoSpaceDN w:val="0"/>
        <w:adjustRightInd w:val="0"/>
        <w:snapToGrid w:val="0"/>
        <w:spacing w:line="360" w:lineRule="auto"/>
        <w:ind w:firstLine="446" w:firstLineChars="203"/>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highlight w:val="none"/>
        </w:rPr>
        <w:t>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14:paraId="7549734C">
      <w:pPr>
        <w:shd w:val="clear" w:color="auto" w:fill="auto"/>
        <w:wordWrap w:val="0"/>
        <w:autoSpaceDE w:val="0"/>
        <w:autoSpaceDN w:val="0"/>
        <w:adjustRightInd w:val="0"/>
        <w:snapToGrid w:val="0"/>
        <w:spacing w:line="360" w:lineRule="auto"/>
        <w:ind w:firstLine="420" w:firstLineChars="190"/>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4、供应商须自行现场勘察，以求得准确的报价依据。供应商须自行考虑投标报价的风险。</w:t>
      </w:r>
    </w:p>
    <w:p w14:paraId="44EBB770">
      <w:pPr>
        <w:pStyle w:val="7"/>
        <w:shd w:val="clear" w:color="auto" w:fill="auto"/>
        <w:wordWrap w:val="0"/>
        <w:adjustRightInd w:val="0"/>
        <w:snapToGrid w:val="0"/>
        <w:spacing w:line="360" w:lineRule="auto"/>
        <w:ind w:firstLine="44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r>
        <w:rPr>
          <w:rFonts w:hint="eastAsia" w:ascii="宋体" w:hAnsi="宋体" w:eastAsia="宋体" w:cs="宋体"/>
          <w:b/>
          <w:color w:val="auto"/>
          <w:sz w:val="22"/>
          <w:szCs w:val="22"/>
          <w:highlight w:val="none"/>
          <w:lang w:val="zh-CN"/>
        </w:rPr>
        <w:t>、</w:t>
      </w:r>
      <w:r>
        <w:rPr>
          <w:rFonts w:hint="eastAsia" w:ascii="宋体" w:hAnsi="宋体" w:eastAsia="宋体" w:cs="宋体"/>
          <w:b/>
          <w:color w:val="auto"/>
          <w:sz w:val="22"/>
          <w:szCs w:val="22"/>
          <w:highlight w:val="none"/>
          <w:u w:val="single"/>
        </w:rPr>
        <w:t>供应商企业不是独立法人的，按浙财采监[2013]24号文件执行。</w:t>
      </w:r>
    </w:p>
    <w:p w14:paraId="29AB6FC4">
      <w:pPr>
        <w:shd w:val="clear" w:color="auto" w:fill="auto"/>
        <w:wordWrap w:val="0"/>
        <w:snapToGrid w:val="0"/>
        <w:spacing w:line="360" w:lineRule="auto"/>
        <w:ind w:firstLine="420" w:firstLineChars="19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单位负责人为同一人或者存在直接控股、管理关系的不同供应商，不得参加同一合同项下的采购活动。如在评标过程中发现供应商间存在上述关系，评标委员会可以对存在上述关系的供应商做无效投标处理。</w:t>
      </w:r>
    </w:p>
    <w:p w14:paraId="1289657A">
      <w:pPr>
        <w:pStyle w:val="7"/>
        <w:shd w:val="clear" w:color="auto" w:fill="auto"/>
        <w:wordWrap w:val="0"/>
        <w:adjustRightInd w:val="0"/>
        <w:snapToGrid w:val="0"/>
        <w:spacing w:line="360" w:lineRule="auto"/>
        <w:ind w:firstLine="44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w:t>
      </w:r>
      <w:r>
        <w:rPr>
          <w:rFonts w:hint="eastAsia" w:ascii="宋体" w:hAnsi="宋体" w:eastAsia="宋体" w:cs="宋体"/>
          <w:b/>
          <w:color w:val="auto"/>
          <w:sz w:val="22"/>
          <w:szCs w:val="22"/>
          <w:highlight w:val="none"/>
          <w:u w:val="single"/>
        </w:rPr>
        <w:t>某些（个）供应商投标报价超出预算</w:t>
      </w:r>
      <w:r>
        <w:rPr>
          <w:rFonts w:hint="eastAsia" w:ascii="宋体" w:hAnsi="宋体" w:cs="宋体"/>
          <w:b/>
          <w:color w:val="auto"/>
          <w:sz w:val="22"/>
          <w:szCs w:val="22"/>
          <w:highlight w:val="none"/>
          <w:u w:val="single"/>
          <w:lang w:val="en-US" w:eastAsia="zh-CN"/>
        </w:rPr>
        <w:t>金额</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lang w:val="en-US" w:eastAsia="zh-CN"/>
        </w:rPr>
        <w:t>分项</w:t>
      </w:r>
      <w:r>
        <w:rPr>
          <w:rFonts w:hint="eastAsia" w:ascii="宋体" w:hAnsi="宋体" w:eastAsia="宋体" w:cs="宋体"/>
          <w:b/>
          <w:color w:val="auto"/>
          <w:sz w:val="22"/>
          <w:szCs w:val="22"/>
          <w:highlight w:val="none"/>
          <w:u w:val="single"/>
        </w:rPr>
        <w:t>预算</w:t>
      </w:r>
      <w:r>
        <w:rPr>
          <w:rFonts w:hint="eastAsia" w:ascii="宋体" w:hAnsi="宋体" w:cs="宋体"/>
          <w:b/>
          <w:color w:val="auto"/>
          <w:sz w:val="22"/>
          <w:szCs w:val="22"/>
          <w:highlight w:val="none"/>
          <w:u w:val="single"/>
          <w:lang w:val="en-US" w:eastAsia="zh-CN"/>
        </w:rPr>
        <w:t>金额</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或最高限价</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lang w:val="en-US" w:eastAsia="zh-CN"/>
        </w:rPr>
        <w:t>分项最高限价</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的，则拒绝接受其投标报价，该供应商投标按无效投标处理。</w:t>
      </w:r>
    </w:p>
    <w:p w14:paraId="76A400E3">
      <w:pPr>
        <w:widowControl/>
        <w:shd w:val="clear" w:color="auto" w:fill="auto"/>
        <w:wordWrap w:val="0"/>
        <w:snapToGrid w:val="0"/>
        <w:spacing w:line="360" w:lineRule="auto"/>
        <w:ind w:firstLine="420" w:firstLineChars="190"/>
        <w:jc w:val="lef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rPr>
        <w:t>7、本次招标采用资格后审，供应商只需在网上下载采购文件，不接受现场报名。</w:t>
      </w:r>
    </w:p>
    <w:p w14:paraId="412AB1A1">
      <w:pPr>
        <w:pStyle w:val="62"/>
        <w:shd w:val="clear" w:color="auto" w:fill="auto"/>
        <w:wordWrap w:val="0"/>
        <w:spacing w:after="0" w:line="360" w:lineRule="auto"/>
        <w:ind w:left="0" w:leftChars="0" w:firstLine="442"/>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sz w:val="22"/>
          <w:szCs w:val="22"/>
          <w:highlight w:val="none"/>
          <w:u w:val="single"/>
        </w:rPr>
        <w:t>8</w:t>
      </w:r>
      <w:r>
        <w:rPr>
          <w:rFonts w:hint="eastAsia" w:ascii="宋体" w:hAnsi="宋体" w:eastAsia="宋体" w:cs="宋体"/>
          <w:b/>
          <w:color w:val="auto"/>
          <w:sz w:val="22"/>
          <w:szCs w:val="22"/>
          <w:highlight w:val="none"/>
          <w:u w:val="single"/>
          <w:lang w:val="zh-CN"/>
        </w:rPr>
        <w:t>、本次采购文件中，带有“▲”标注的有关技术和商务条款要求供应商做实质性响应，供应商要特别加以注意，必须对此回答并完全满足这些要求。否则若有一项“▲”的指标未响应或不满足，将按投标无效处理。</w:t>
      </w:r>
    </w:p>
    <w:p w14:paraId="766B4FE9">
      <w:pPr>
        <w:widowControl/>
        <w:shd w:val="clear" w:color="auto" w:fill="auto"/>
        <w:wordWrap w:val="0"/>
        <w:snapToGrid w:val="0"/>
        <w:spacing w:line="360" w:lineRule="auto"/>
        <w:ind w:firstLine="420" w:firstLineChars="19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w:t>
      </w:r>
      <w:r>
        <w:rPr>
          <w:rFonts w:hint="eastAsia" w:ascii="宋体" w:hAnsi="宋体" w:eastAsia="宋体" w:cs="宋体"/>
          <w:b/>
          <w:color w:val="auto"/>
          <w:sz w:val="22"/>
          <w:szCs w:val="22"/>
          <w:highlight w:val="none"/>
          <w:lang w:val="zh-CN"/>
        </w:rPr>
        <w:t>、投标供应商信用信息查询渠道及截止时点、信用信息查询记录和证据留存的具体方式、信用信息的使用规则等：</w:t>
      </w:r>
    </w:p>
    <w:p w14:paraId="0433BCED">
      <w:pPr>
        <w:widowControl/>
        <w:shd w:val="clear" w:color="auto" w:fill="auto"/>
        <w:wordWrap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zh-CN"/>
        </w:rPr>
        <w:t>投标供应商信用信息查询的查询渠道</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信用中国</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zh-CN"/>
        </w:rPr>
        <w:fldChar w:fldCharType="begin"/>
      </w:r>
      <w:r>
        <w:rPr>
          <w:rFonts w:hint="eastAsia" w:ascii="宋体" w:hAnsi="宋体" w:eastAsia="宋体" w:cs="宋体"/>
          <w:color w:val="auto"/>
          <w:sz w:val="22"/>
          <w:szCs w:val="22"/>
          <w:highlight w:val="none"/>
        </w:rPr>
        <w:instrText xml:space="preserve">HYPERLINK "D:\\</w:instrText>
      </w:r>
      <w:r>
        <w:rPr>
          <w:rFonts w:hint="eastAsia" w:ascii="宋体" w:hAnsi="宋体" w:eastAsia="宋体" w:cs="宋体"/>
          <w:color w:val="auto"/>
          <w:sz w:val="22"/>
          <w:szCs w:val="22"/>
          <w:highlight w:val="none"/>
          <w:lang w:val="zh-CN"/>
        </w:rPr>
        <w:instrText xml:space="preserve">平阳</w:instrText>
      </w:r>
      <w:r>
        <w:rPr>
          <w:rFonts w:hint="eastAsia" w:ascii="宋体" w:hAnsi="宋体" w:eastAsia="宋体" w:cs="宋体"/>
          <w:color w:val="auto"/>
          <w:sz w:val="22"/>
          <w:szCs w:val="22"/>
          <w:highlight w:val="none"/>
        </w:rPr>
        <w:instrText xml:space="preserve">2019</w:instrText>
      </w:r>
      <w:r>
        <w:rPr>
          <w:rFonts w:hint="eastAsia" w:ascii="宋体" w:hAnsi="宋体" w:eastAsia="宋体" w:cs="宋体"/>
          <w:color w:val="auto"/>
          <w:sz w:val="22"/>
          <w:szCs w:val="22"/>
          <w:highlight w:val="none"/>
          <w:lang w:val="zh-CN"/>
        </w:rPr>
        <w:instrText xml:space="preserve">年</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lang w:val="zh-CN"/>
        </w:rPr>
        <w:instrText xml:space="preserve">平阳县卫生健康局平阳县基层医疗卫生机构财政补偿机制改革绩效考核信息系统</w:instrText>
      </w:r>
      <w:r>
        <w:rPr>
          <w:rFonts w:hint="eastAsia" w:ascii="宋体" w:hAnsi="宋体" w:eastAsia="宋体" w:cs="宋体"/>
          <w:color w:val="auto"/>
          <w:sz w:val="22"/>
          <w:szCs w:val="22"/>
          <w:highlight w:val="none"/>
        </w:rPr>
        <w:instrText xml:space="preserve">\\www.creditchina.gov.cn"</w:instrText>
      </w:r>
      <w:r>
        <w:rPr>
          <w:rFonts w:hint="eastAsia" w:ascii="宋体" w:hAnsi="宋体" w:eastAsia="宋体" w:cs="宋体"/>
          <w:color w:val="auto"/>
          <w:sz w:val="22"/>
          <w:szCs w:val="22"/>
          <w:highlight w:val="none"/>
          <w:lang w:val="zh-CN"/>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lang w:val="zh-CN"/>
        </w:rPr>
        <w:fldChar w:fldCharType="end"/>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中国政府采购网</w:t>
      </w:r>
      <w:r>
        <w:rPr>
          <w:rFonts w:hint="eastAsia" w:ascii="宋体" w:hAnsi="宋体" w:eastAsia="宋体" w:cs="宋体"/>
          <w:color w:val="auto"/>
          <w:sz w:val="22"/>
          <w:szCs w:val="22"/>
          <w:highlight w:val="none"/>
          <w:lang w:val="zh-CN"/>
        </w:rPr>
        <w:fldChar w:fldCharType="begin"/>
      </w:r>
      <w:r>
        <w:rPr>
          <w:rFonts w:hint="eastAsia" w:ascii="宋体" w:hAnsi="宋体" w:eastAsia="宋体" w:cs="宋体"/>
          <w:color w:val="auto"/>
          <w:sz w:val="22"/>
          <w:szCs w:val="22"/>
          <w:highlight w:val="none"/>
        </w:rPr>
        <w:instrText xml:space="preserve">HYPERLINK "http://www.ccgp.gov.cn/"</w:instrText>
      </w:r>
      <w:r>
        <w:rPr>
          <w:rFonts w:hint="eastAsia" w:ascii="宋体" w:hAnsi="宋体" w:eastAsia="宋体" w:cs="宋体"/>
          <w:color w:val="auto"/>
          <w:sz w:val="22"/>
          <w:szCs w:val="22"/>
          <w:highlight w:val="none"/>
          <w:lang w:val="zh-CN"/>
        </w:rPr>
        <w:fldChar w:fldCharType="separate"/>
      </w:r>
      <w:r>
        <w:rPr>
          <w:rFonts w:hint="eastAsia" w:ascii="宋体" w:hAnsi="宋体" w:eastAsia="宋体" w:cs="宋体"/>
          <w:color w:val="auto"/>
          <w:sz w:val="22"/>
          <w:szCs w:val="22"/>
          <w:highlight w:val="none"/>
        </w:rPr>
        <w:t>http://www.ccgp.gov.cn/</w:t>
      </w:r>
      <w:r>
        <w:rPr>
          <w:rFonts w:hint="eastAsia" w:ascii="宋体" w:hAnsi="宋体" w:eastAsia="宋体" w:cs="宋体"/>
          <w:color w:val="auto"/>
          <w:sz w:val="22"/>
          <w:szCs w:val="22"/>
          <w:highlight w:val="none"/>
          <w:lang w:val="zh-CN"/>
        </w:rPr>
        <w:fldChar w:fldCharType="end"/>
      </w:r>
      <w:r>
        <w:rPr>
          <w:rFonts w:hint="eastAsia" w:ascii="宋体" w:hAnsi="宋体" w:eastAsia="宋体" w:cs="宋体"/>
          <w:color w:val="auto"/>
          <w:sz w:val="22"/>
          <w:szCs w:val="22"/>
          <w:highlight w:val="none"/>
        </w:rPr>
        <w:t>）；</w:t>
      </w:r>
    </w:p>
    <w:p w14:paraId="4984394F">
      <w:pPr>
        <w:widowControl/>
        <w:shd w:val="clear" w:color="auto" w:fill="auto"/>
        <w:wordWrap w:val="0"/>
        <w:snapToGrid w:val="0"/>
        <w:spacing w:line="360" w:lineRule="auto"/>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2）投标供应商信用信息查询截止时点：本项目投标截止时间；</w:t>
      </w:r>
    </w:p>
    <w:p w14:paraId="4E94E31B">
      <w:pPr>
        <w:widowControl/>
        <w:shd w:val="clear" w:color="auto" w:fill="auto"/>
        <w:wordWrap w:val="0"/>
        <w:snapToGrid w:val="0"/>
        <w:spacing w:line="360" w:lineRule="auto"/>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3）投标供应商信用信息查询记录和证据留存的具体方式：网页截图打印；</w:t>
      </w:r>
    </w:p>
    <w:p w14:paraId="2C8BBDBA">
      <w:pPr>
        <w:widowControl/>
        <w:shd w:val="clear" w:color="auto" w:fill="auto"/>
        <w:wordWrap w:val="0"/>
        <w:snapToGrid w:val="0"/>
        <w:spacing w:line="360" w:lineRule="auto"/>
        <w:ind w:firstLine="440" w:firstLineChars="200"/>
        <w:jc w:val="left"/>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zh-CN"/>
        </w:rPr>
        <w:t>信用信息的使用规则：截止评标当日，经查询“信用中国”“中国政府采购网”存在列入失信被执行人、重大税收违法案件当事人名单、政府采购严重违法失信行为记录名单及其他不符合《平阳县县属国有企业采购管理办法（试行）》第十四条规定条件的供应商，其投标做无效投标处理。</w:t>
      </w:r>
    </w:p>
    <w:p w14:paraId="381AE099">
      <w:pPr>
        <w:shd w:val="clear" w:color="auto" w:fill="auto"/>
        <w:wordWrap w:val="0"/>
        <w:autoSpaceDE w:val="0"/>
        <w:autoSpaceDN w:val="0"/>
        <w:adjustRightInd w:val="0"/>
        <w:snapToGrid w:val="0"/>
        <w:spacing w:line="360" w:lineRule="auto"/>
        <w:ind w:firstLine="433" w:firstLineChars="196"/>
        <w:textAlignment w:val="bottom"/>
        <w:rPr>
          <w:rFonts w:hint="eastAsia" w:ascii="宋体" w:hAnsi="宋体" w:eastAsia="宋体" w:cs="宋体"/>
          <w:b/>
          <w:color w:val="auto"/>
          <w:sz w:val="22"/>
          <w:highlight w:val="none"/>
          <w:u w:val="single"/>
        </w:rPr>
      </w:pPr>
      <w:r>
        <w:rPr>
          <w:rFonts w:hint="eastAsia" w:ascii="宋体" w:hAnsi="宋体" w:eastAsia="宋体" w:cs="宋体"/>
          <w:b/>
          <w:color w:val="auto"/>
          <w:sz w:val="22"/>
          <w:szCs w:val="22"/>
          <w:highlight w:val="none"/>
        </w:rPr>
        <w:t>10、</w:t>
      </w:r>
      <w:r>
        <w:rPr>
          <w:rFonts w:hint="eastAsia" w:ascii="宋体" w:hAnsi="宋体" w:eastAsia="宋体" w:cs="宋体"/>
          <w:b/>
          <w:color w:val="auto"/>
          <w:sz w:val="22"/>
          <w:highlight w:val="none"/>
          <w:u w:val="single"/>
        </w:rPr>
        <w:t>供应商进行电子投标应安装客户端软件，并按照采购文件和电子交易平台的要求编制并加密投标文件。供应商未按规定加密的投标文件，电子交易平台拒收并提示。</w:t>
      </w:r>
    </w:p>
    <w:p w14:paraId="496EC345">
      <w:pPr>
        <w:shd w:val="clear" w:color="auto" w:fill="auto"/>
        <w:wordWrap w:val="0"/>
        <w:autoSpaceDE w:val="0"/>
        <w:autoSpaceDN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11、</w:t>
      </w:r>
      <w:r>
        <w:rPr>
          <w:rFonts w:hint="eastAsia" w:ascii="宋体" w:hAnsi="宋体" w:eastAsia="宋体" w:cs="宋体"/>
          <w:color w:val="auto"/>
          <w:sz w:val="22"/>
          <w:szCs w:val="22"/>
          <w:highlight w:val="none"/>
        </w:rPr>
        <w:t>本次采购的产品如属于政府强制采购节能产品范围的，投标供应商必须选用符合要求的产品并在投标文件中提供相关产品的认证证书扫描件或电子证书，否则按无效投标处理，具体品目见《关于印发节能产品政府采购品目清单的通知》（财库〔2019〕19号）。</w:t>
      </w:r>
    </w:p>
    <w:p w14:paraId="4F651529">
      <w:pPr>
        <w:shd w:val="clear" w:color="auto" w:fill="auto"/>
        <w:wordWrap w:val="0"/>
        <w:autoSpaceDE w:val="0"/>
        <w:autoSpaceDN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12、</w:t>
      </w:r>
      <w:r>
        <w:rPr>
          <w:rFonts w:hint="eastAsia" w:ascii="宋体" w:hAnsi="宋体" w:eastAsia="宋体" w:cs="宋体"/>
          <w:color w:val="auto"/>
          <w:sz w:val="22"/>
          <w:szCs w:val="22"/>
          <w:highlight w:val="none"/>
        </w:rPr>
        <w:t>本项目采用在线投标响应方式，</w:t>
      </w:r>
      <w:r>
        <w:rPr>
          <w:rFonts w:hint="eastAsia" w:ascii="宋体" w:hAnsi="宋体" w:eastAsia="宋体" w:cs="宋体"/>
          <w:color w:val="auto"/>
          <w:sz w:val="22"/>
          <w:szCs w:val="22"/>
          <w:highlight w:val="none"/>
          <w:lang w:val="en-US" w:eastAsia="zh-CN"/>
        </w:rPr>
        <w:t>参照</w:t>
      </w:r>
      <w:r>
        <w:rPr>
          <w:rFonts w:hint="eastAsia" w:ascii="宋体" w:hAnsi="宋体" w:eastAsia="宋体" w:cs="宋体"/>
          <w:color w:val="auto"/>
          <w:sz w:val="22"/>
          <w:szCs w:val="22"/>
          <w:highlight w:val="none"/>
        </w:rPr>
        <w:t>执行《浙江省财政厅关于印发浙江省政府采购项目电子交易管理暂行办法的通知》（浙财采监〔2019〕10 号）等相关规定</w:t>
      </w:r>
      <w:r>
        <w:rPr>
          <w:rFonts w:hint="eastAsia" w:ascii="宋体" w:hAnsi="宋体" w:eastAsia="宋体" w:cs="宋体"/>
          <w:b/>
          <w:color w:val="auto"/>
          <w:sz w:val="22"/>
          <w:szCs w:val="22"/>
          <w:highlight w:val="none"/>
        </w:rPr>
        <w:t>。</w:t>
      </w:r>
    </w:p>
    <w:p w14:paraId="091062E0">
      <w:pPr>
        <w:shd w:val="clear" w:color="auto" w:fill="auto"/>
        <w:wordWrap w:val="0"/>
        <w:autoSpaceDE w:val="0"/>
        <w:autoSpaceDN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13、本项目在线开评标进行时，供应商授权代表需自行关注平台提示信息，期间如有发出“询标/澄清函”等相关线上函件时，因供应商自身原因逾期/错过回复时间，由此造成的后果由供应商自行承担。</w:t>
      </w:r>
    </w:p>
    <w:p w14:paraId="28EDF806">
      <w:pPr>
        <w:shd w:val="clear" w:color="auto" w:fill="auto"/>
        <w:wordWrap w:val="0"/>
        <w:autoSpaceDE w:val="0"/>
        <w:autoSpaceDN w:val="0"/>
        <w:adjustRightInd w:val="0"/>
        <w:snapToGrid w:val="0"/>
        <w:spacing w:line="360" w:lineRule="auto"/>
        <w:ind w:firstLine="433" w:firstLineChars="196"/>
        <w:textAlignment w:val="bottom"/>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14、为保证供应商顺利投标，供应商须在投标截止日前自行登录乐采云网站，查看是否有补充更正公告文件。如供应商未按补充更正公告文件进行投标的，责任自负。</w:t>
      </w:r>
    </w:p>
    <w:p w14:paraId="791AB10A">
      <w:pPr>
        <w:shd w:val="clear" w:color="auto" w:fill="auto"/>
        <w:wordWrap w:val="0"/>
        <w:autoSpaceDE w:val="0"/>
        <w:autoSpaceDN w:val="0"/>
        <w:adjustRightInd w:val="0"/>
        <w:snapToGrid w:val="0"/>
        <w:spacing w:line="360" w:lineRule="auto"/>
        <w:textAlignment w:val="bottom"/>
        <w:outlineLvl w:val="1"/>
        <w:rPr>
          <w:rFonts w:hint="eastAsia" w:ascii="宋体" w:hAnsi="宋体" w:eastAsia="宋体" w:cs="宋体"/>
          <w:b/>
          <w:bCs/>
          <w:color w:val="auto"/>
          <w:sz w:val="22"/>
          <w:szCs w:val="22"/>
          <w:highlight w:val="none"/>
        </w:rPr>
      </w:pPr>
      <w:bookmarkStart w:id="15" w:name="_Toc22107"/>
      <w:r>
        <w:rPr>
          <w:rFonts w:hint="eastAsia" w:ascii="宋体" w:hAnsi="宋体" w:eastAsia="宋体" w:cs="宋体"/>
          <w:b/>
          <w:bCs/>
          <w:color w:val="auto"/>
          <w:sz w:val="22"/>
          <w:szCs w:val="22"/>
          <w:highlight w:val="none"/>
        </w:rPr>
        <w:t>二、供应商资格要求</w:t>
      </w:r>
      <w:bookmarkEnd w:id="15"/>
    </w:p>
    <w:p w14:paraId="40DA995A">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按招标公告要求</w:t>
      </w:r>
    </w:p>
    <w:p w14:paraId="6DD4B161">
      <w:pPr>
        <w:shd w:val="clear" w:color="auto" w:fill="auto"/>
        <w:wordWrap w:val="0"/>
        <w:autoSpaceDE w:val="0"/>
        <w:autoSpaceDN w:val="0"/>
        <w:adjustRightInd w:val="0"/>
        <w:snapToGrid w:val="0"/>
        <w:spacing w:line="360" w:lineRule="auto"/>
        <w:textAlignment w:val="bottom"/>
        <w:outlineLvl w:val="1"/>
        <w:rPr>
          <w:rFonts w:hint="eastAsia" w:ascii="宋体" w:hAnsi="宋体" w:eastAsia="宋体" w:cs="宋体"/>
          <w:b/>
          <w:bCs/>
          <w:color w:val="auto"/>
          <w:sz w:val="22"/>
          <w:szCs w:val="22"/>
          <w:highlight w:val="none"/>
        </w:rPr>
      </w:pPr>
      <w:bookmarkStart w:id="16" w:name="_Toc10391"/>
      <w:r>
        <w:rPr>
          <w:rFonts w:hint="eastAsia" w:ascii="宋体" w:hAnsi="宋体" w:eastAsia="宋体" w:cs="宋体"/>
          <w:b/>
          <w:bCs/>
          <w:color w:val="auto"/>
          <w:sz w:val="22"/>
          <w:szCs w:val="22"/>
          <w:highlight w:val="none"/>
        </w:rPr>
        <w:t>三、采购文件</w:t>
      </w:r>
      <w:bookmarkEnd w:id="16"/>
    </w:p>
    <w:p w14:paraId="22D9602E">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1、采购文件</w:t>
      </w:r>
    </w:p>
    <w:p w14:paraId="28991F7C">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1.1采购文件的获取</w:t>
      </w:r>
    </w:p>
    <w:p w14:paraId="0098DD37">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供应商在</w:t>
      </w:r>
      <w:r>
        <w:rPr>
          <w:rFonts w:hint="eastAsia" w:ascii="宋体" w:hAnsi="宋体" w:eastAsia="宋体" w:cs="宋体"/>
          <w:color w:val="auto"/>
          <w:sz w:val="22"/>
          <w:szCs w:val="22"/>
          <w:highlight w:val="none"/>
          <w:lang w:val="en-US" w:eastAsia="zh-CN"/>
        </w:rPr>
        <w:t>乐采云</w:t>
      </w:r>
      <w:r>
        <w:rPr>
          <w:rFonts w:hint="eastAsia" w:ascii="宋体" w:hAnsi="宋体" w:eastAsia="宋体" w:cs="宋体"/>
          <w:color w:val="auto"/>
          <w:sz w:val="22"/>
          <w:szCs w:val="22"/>
          <w:highlight w:val="none"/>
        </w:rPr>
        <w:t>网站直接下载本项目采购文件。</w:t>
      </w:r>
    </w:p>
    <w:p w14:paraId="45BC8943">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1.2采购文件约束力</w:t>
      </w:r>
    </w:p>
    <w:p w14:paraId="4F0CA17D">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供应商一旦获取了本采购文件并参加投标，即被认为接受了本采购文件中所有条款和规定。</w:t>
      </w:r>
    </w:p>
    <w:p w14:paraId="18FF1F15">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1.3采购文件的组成</w:t>
      </w:r>
    </w:p>
    <w:p w14:paraId="21B01353">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采购文件由采购文件总目录所列内容及补充资料等组成。</w:t>
      </w:r>
    </w:p>
    <w:p w14:paraId="5455523D">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2、采购文件的澄清</w:t>
      </w:r>
    </w:p>
    <w:p w14:paraId="395599CE">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供应商对采购文件如有疑点要求澄清，可用书面形式（包括信函、传真，下同）通知</w:t>
      </w:r>
      <w:r>
        <w:rPr>
          <w:rFonts w:hint="eastAsia" w:ascii="宋体" w:hAnsi="宋体" w:eastAsia="宋体" w:cs="宋体"/>
          <w:color w:val="auto"/>
          <w:sz w:val="22"/>
          <w:szCs w:val="22"/>
          <w:highlight w:val="none"/>
          <w:u w:val="single"/>
        </w:rPr>
        <w:t>采购代理机构</w:t>
      </w:r>
      <w:r>
        <w:rPr>
          <w:rFonts w:hint="eastAsia" w:ascii="宋体" w:hAnsi="宋体" w:eastAsia="宋体" w:cs="宋体"/>
          <w:color w:val="auto"/>
          <w:sz w:val="22"/>
          <w:szCs w:val="22"/>
          <w:highlight w:val="none"/>
        </w:rPr>
        <w:t>，但通知不得迟于规定的质疑时间前使采购代理机构收到，采购代理机构将采用网上答疑形式予以答复。</w:t>
      </w:r>
    </w:p>
    <w:p w14:paraId="183DACD7">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3、采购文件的修改</w:t>
      </w:r>
    </w:p>
    <w:p w14:paraId="2C670265">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 在投标截止时间前，采购人有权修改采购文件，并在网上发布更正公告。补充文件作为采购文件的补充和组成部分，对所有供应商均有约束力。</w:t>
      </w:r>
    </w:p>
    <w:p w14:paraId="3112856F">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 为使供应商有足够的时间按采购文件要求修正投标文件，采购人可</w:t>
      </w:r>
      <w:r>
        <w:rPr>
          <w:rFonts w:hint="eastAsia" w:ascii="宋体" w:hAnsi="宋体" w:eastAsia="宋体" w:cs="宋体"/>
          <w:color w:val="auto"/>
          <w:sz w:val="22"/>
          <w:szCs w:val="22"/>
          <w:highlight w:val="none"/>
          <w:lang w:eastAsia="zh-CN"/>
        </w:rPr>
        <w:t>进行</w:t>
      </w:r>
      <w:r>
        <w:rPr>
          <w:rFonts w:hint="eastAsia" w:ascii="宋体" w:hAnsi="宋体" w:eastAsia="宋体" w:cs="宋体"/>
          <w:color w:val="auto"/>
          <w:sz w:val="22"/>
          <w:szCs w:val="22"/>
          <w:highlight w:val="none"/>
        </w:rPr>
        <w:t>推迟投标截止时间和开标时间，并将此变更网上告知。</w:t>
      </w:r>
    </w:p>
    <w:p w14:paraId="67C3D76B">
      <w:pPr>
        <w:shd w:val="clear" w:color="auto" w:fill="auto"/>
        <w:wordWrap w:val="0"/>
        <w:autoSpaceDE w:val="0"/>
        <w:autoSpaceDN w:val="0"/>
        <w:adjustRightInd w:val="0"/>
        <w:snapToGrid w:val="0"/>
        <w:spacing w:line="360" w:lineRule="auto"/>
        <w:textAlignment w:val="bottom"/>
        <w:outlineLvl w:val="1"/>
        <w:rPr>
          <w:rFonts w:hint="eastAsia" w:ascii="宋体" w:hAnsi="宋体" w:eastAsia="宋体" w:cs="宋体"/>
          <w:b/>
          <w:bCs/>
          <w:color w:val="auto"/>
          <w:sz w:val="22"/>
          <w:szCs w:val="22"/>
          <w:highlight w:val="none"/>
        </w:rPr>
      </w:pPr>
      <w:bookmarkStart w:id="17" w:name="_Toc12846"/>
      <w:r>
        <w:rPr>
          <w:rFonts w:hint="eastAsia" w:ascii="宋体" w:hAnsi="宋体" w:eastAsia="宋体" w:cs="宋体"/>
          <w:b/>
          <w:bCs/>
          <w:color w:val="auto"/>
          <w:sz w:val="22"/>
          <w:szCs w:val="22"/>
          <w:highlight w:val="none"/>
        </w:rPr>
        <w:t>四、投标文件</w:t>
      </w:r>
      <w:bookmarkEnd w:id="17"/>
    </w:p>
    <w:p w14:paraId="06C34627">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w:t>
      </w:r>
    </w:p>
    <w:p w14:paraId="0EE318CC">
      <w:pPr>
        <w:shd w:val="clear" w:color="auto" w:fill="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1.1</w:t>
      </w:r>
      <w:r>
        <w:rPr>
          <w:rFonts w:hint="eastAsia" w:ascii="宋体" w:hAnsi="宋体" w:eastAsia="宋体" w:cs="宋体"/>
          <w:color w:val="auto"/>
          <w:sz w:val="22"/>
          <w:szCs w:val="22"/>
          <w:highlight w:val="none"/>
        </w:rPr>
        <w:t>供应商应仔细阅读采购文件中的所有内容，按照采购文件要求，详细编制投标文件。并对采购文件的要求做出实质上响应。实质上响应的投标应该是与采购文件要求的条款没有重大偏离的投标。未实质上响应的投标文件将被拒绝，但允许投标在基本满足采购文件要求的前提下出现的微小差异。</w:t>
      </w:r>
    </w:p>
    <w:p w14:paraId="69DD5BD6">
      <w:pPr>
        <w:shd w:val="clear" w:color="auto" w:fill="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1.2</w:t>
      </w:r>
      <w:r>
        <w:rPr>
          <w:rFonts w:hint="eastAsia" w:ascii="宋体" w:hAnsi="宋体" w:eastAsia="宋体" w:cs="宋体"/>
          <w:color w:val="auto"/>
          <w:sz w:val="22"/>
          <w:szCs w:val="22"/>
          <w:highlight w:val="none"/>
        </w:rPr>
        <w:t>供应商必须按采购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323B3650">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1.3供应商应仔细阅读采购文件中的所有内容，按照采购文件要求，详细编制投标文件，所有文件资料必须是针对本次投标。不按采购文件的要求提供的投标文件可能导致被拒绝。</w:t>
      </w:r>
    </w:p>
    <w:p w14:paraId="094DCAA7">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2、投标文件的组成  </w:t>
      </w:r>
    </w:p>
    <w:p w14:paraId="36EFEB6E">
      <w:pPr>
        <w:shd w:val="clear" w:color="auto" w:fill="auto"/>
        <w:wordWrap w:val="0"/>
        <w:autoSpaceDE w:val="0"/>
        <w:autoSpaceDN w:val="0"/>
        <w:adjustRightInd w:val="0"/>
        <w:snapToGrid w:val="0"/>
        <w:spacing w:line="360" w:lineRule="auto"/>
        <w:ind w:firstLine="440" w:firstLineChars="200"/>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u w:val="single"/>
        </w:rPr>
        <w:t>投标文件应当包括以下主要内容</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资格文件、报价文件、商务技术文件。资格文件、商务技术文件不得含报价，否则投标将被拒绝。</w:t>
      </w:r>
    </w:p>
    <w:tbl>
      <w:tblPr>
        <w:tblStyle w:val="28"/>
        <w:tblW w:w="966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709"/>
        <w:gridCol w:w="1066"/>
        <w:gridCol w:w="6904"/>
        <w:gridCol w:w="987"/>
      </w:tblGrid>
      <w:tr w14:paraId="6A63E6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tblHeader/>
          <w:jc w:val="center"/>
        </w:trPr>
        <w:tc>
          <w:tcPr>
            <w:tcW w:w="709" w:type="dxa"/>
            <w:tcBorders>
              <w:bottom w:val="single" w:color="auto" w:sz="6" w:space="0"/>
            </w:tcBorders>
            <w:shd w:val="clear" w:color="auto" w:fill="auto"/>
            <w:noWrap w:val="0"/>
            <w:vAlign w:val="center"/>
          </w:tcPr>
          <w:p w14:paraId="6BE18288">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7970" w:type="dxa"/>
            <w:gridSpan w:val="2"/>
            <w:tcBorders>
              <w:bottom w:val="single" w:color="auto" w:sz="6" w:space="0"/>
            </w:tcBorders>
            <w:shd w:val="clear" w:color="auto" w:fill="auto"/>
            <w:noWrap w:val="0"/>
            <w:vAlign w:val="center"/>
          </w:tcPr>
          <w:p w14:paraId="6A1A1973">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响应文件组成内容</w:t>
            </w:r>
          </w:p>
        </w:tc>
        <w:tc>
          <w:tcPr>
            <w:tcW w:w="987" w:type="dxa"/>
            <w:tcBorders>
              <w:bottom w:val="single" w:color="auto" w:sz="6" w:space="0"/>
            </w:tcBorders>
            <w:shd w:val="clear" w:color="auto" w:fill="auto"/>
            <w:noWrap w:val="0"/>
            <w:vAlign w:val="center"/>
          </w:tcPr>
          <w:p w14:paraId="18D9164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w:t>
            </w:r>
          </w:p>
          <w:p w14:paraId="332E3A4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格式</w:t>
            </w:r>
          </w:p>
        </w:tc>
      </w:tr>
      <w:tr w14:paraId="5E2658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22" w:hRule="atLeast"/>
          <w:jc w:val="center"/>
        </w:trPr>
        <w:tc>
          <w:tcPr>
            <w:tcW w:w="9666" w:type="dxa"/>
            <w:gridSpan w:val="4"/>
            <w:tcBorders>
              <w:top w:val="single" w:color="auto" w:sz="6" w:space="0"/>
              <w:bottom w:val="single" w:color="auto" w:sz="6" w:space="0"/>
            </w:tcBorders>
            <w:shd w:val="clear" w:color="auto" w:fill="auto"/>
            <w:noWrap w:val="0"/>
            <w:vAlign w:val="center"/>
          </w:tcPr>
          <w:p w14:paraId="3E3BFEE7">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一、《资格文件》组成内容（须单页保存，逐页上传，格式见附件）（此项供应商必须提供，否则不能通过资格性审查的，责任自负）</w:t>
            </w:r>
          </w:p>
        </w:tc>
      </w:tr>
      <w:tr w14:paraId="4AB7C3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2" w:hRule="atLeast"/>
          <w:jc w:val="center"/>
        </w:trPr>
        <w:tc>
          <w:tcPr>
            <w:tcW w:w="709" w:type="dxa"/>
            <w:tcBorders>
              <w:top w:val="single" w:color="auto" w:sz="6" w:space="0"/>
            </w:tcBorders>
            <w:shd w:val="clear" w:color="auto" w:fill="auto"/>
            <w:noWrap w:val="0"/>
            <w:vAlign w:val="center"/>
          </w:tcPr>
          <w:p w14:paraId="04075FA8">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gridSpan w:val="2"/>
            <w:tcBorders>
              <w:top w:val="single" w:color="auto" w:sz="6" w:space="0"/>
            </w:tcBorders>
            <w:shd w:val="clear" w:color="auto" w:fill="auto"/>
            <w:noWrap w:val="0"/>
            <w:vAlign w:val="center"/>
          </w:tcPr>
          <w:p w14:paraId="7CCA201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《资格文件》封面</w:t>
            </w:r>
          </w:p>
        </w:tc>
        <w:tc>
          <w:tcPr>
            <w:tcW w:w="987" w:type="dxa"/>
            <w:tcBorders>
              <w:top w:val="single" w:color="auto" w:sz="6" w:space="0"/>
            </w:tcBorders>
            <w:shd w:val="clear" w:color="auto" w:fill="auto"/>
            <w:noWrap w:val="0"/>
            <w:vAlign w:val="center"/>
          </w:tcPr>
          <w:p w14:paraId="68592A86">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6B277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tcBorders>
            <w:shd w:val="clear" w:color="auto" w:fill="auto"/>
            <w:noWrap w:val="0"/>
            <w:vAlign w:val="center"/>
          </w:tcPr>
          <w:p w14:paraId="1E7459FF">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gridSpan w:val="2"/>
            <w:tcBorders>
              <w:top w:val="single" w:color="auto" w:sz="6" w:space="0"/>
            </w:tcBorders>
            <w:shd w:val="clear" w:color="auto" w:fill="auto"/>
            <w:noWrap w:val="0"/>
            <w:vAlign w:val="center"/>
          </w:tcPr>
          <w:p w14:paraId="7DF8AE6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投标供应商资格审查声明函，格式见附件</w:t>
            </w:r>
          </w:p>
        </w:tc>
        <w:tc>
          <w:tcPr>
            <w:tcW w:w="987" w:type="dxa"/>
            <w:tcBorders>
              <w:top w:val="single" w:color="auto" w:sz="6" w:space="0"/>
            </w:tcBorders>
            <w:shd w:val="clear" w:color="auto" w:fill="auto"/>
            <w:noWrap w:val="0"/>
            <w:vAlign w:val="center"/>
          </w:tcPr>
          <w:p w14:paraId="4320DB41">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57D03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0" w:hRule="atLeast"/>
          <w:jc w:val="center"/>
        </w:trPr>
        <w:tc>
          <w:tcPr>
            <w:tcW w:w="709" w:type="dxa"/>
            <w:shd w:val="clear" w:color="auto" w:fill="auto"/>
            <w:noWrap w:val="0"/>
            <w:vAlign w:val="center"/>
          </w:tcPr>
          <w:p w14:paraId="287D6C4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gridSpan w:val="2"/>
            <w:shd w:val="clear" w:color="auto" w:fill="auto"/>
            <w:noWrap w:val="0"/>
            <w:vAlign w:val="center"/>
          </w:tcPr>
          <w:p w14:paraId="509B2796">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具有独立承担民事责任能力的证明材料</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u w:val="single"/>
              </w:rPr>
              <w:t>企业法人营业执照</w:t>
            </w:r>
            <w:r>
              <w:rPr>
                <w:rFonts w:hint="eastAsia" w:ascii="宋体" w:hAnsi="宋体" w:eastAsia="宋体" w:cs="宋体"/>
                <w:color w:val="auto"/>
                <w:sz w:val="22"/>
                <w:szCs w:val="22"/>
                <w:highlight w:val="none"/>
              </w:rPr>
              <w:t>（提供复制件加盖投标供应商公章）或供应商为依法允许经营的事业单位的，应提交事业单位法人证书（提供复制件加盖投标供应商公章）</w:t>
            </w:r>
          </w:p>
          <w:p w14:paraId="62BF35F4">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投标供应商公章）。</w:t>
            </w:r>
          </w:p>
        </w:tc>
        <w:tc>
          <w:tcPr>
            <w:tcW w:w="987" w:type="dxa"/>
            <w:shd w:val="clear" w:color="auto" w:fill="auto"/>
            <w:noWrap w:val="0"/>
            <w:vAlign w:val="center"/>
          </w:tcPr>
          <w:p w14:paraId="40B5716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2D4C68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5BD6642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7970" w:type="dxa"/>
            <w:gridSpan w:val="2"/>
            <w:shd w:val="clear" w:color="auto" w:fill="auto"/>
            <w:noWrap w:val="0"/>
            <w:vAlign w:val="center"/>
          </w:tcPr>
          <w:p w14:paraId="37F8E74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供应商符合参与国企采购活动资格条件的声明函，格式见附件。</w:t>
            </w:r>
          </w:p>
        </w:tc>
        <w:tc>
          <w:tcPr>
            <w:tcW w:w="987" w:type="dxa"/>
            <w:shd w:val="clear" w:color="auto" w:fill="auto"/>
            <w:noWrap w:val="0"/>
            <w:vAlign w:val="center"/>
          </w:tcPr>
          <w:p w14:paraId="14AE58C7">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201C79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0798015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5</w:t>
            </w:r>
          </w:p>
        </w:tc>
        <w:tc>
          <w:tcPr>
            <w:tcW w:w="7970" w:type="dxa"/>
            <w:gridSpan w:val="2"/>
            <w:shd w:val="clear" w:color="auto" w:fill="auto"/>
            <w:noWrap w:val="0"/>
            <w:vAlign w:val="center"/>
          </w:tcPr>
          <w:p w14:paraId="705634C8">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特定资格要求；</w:t>
            </w:r>
          </w:p>
        </w:tc>
        <w:tc>
          <w:tcPr>
            <w:tcW w:w="987" w:type="dxa"/>
            <w:shd w:val="clear" w:color="auto" w:fill="auto"/>
            <w:noWrap w:val="0"/>
            <w:vAlign w:val="center"/>
          </w:tcPr>
          <w:p w14:paraId="4D546E0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无</w:t>
            </w:r>
          </w:p>
        </w:tc>
      </w:tr>
      <w:tr w14:paraId="27721C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115AB836">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val="en-US" w:eastAsia="zh-CN"/>
              </w:rPr>
              <w:t>6</w:t>
            </w:r>
          </w:p>
        </w:tc>
        <w:tc>
          <w:tcPr>
            <w:tcW w:w="7970" w:type="dxa"/>
            <w:gridSpan w:val="2"/>
            <w:shd w:val="clear" w:color="auto" w:fill="auto"/>
            <w:noWrap w:val="0"/>
            <w:vAlign w:val="top"/>
          </w:tcPr>
          <w:p w14:paraId="7440F66D">
            <w:pPr>
              <w:keepNext w:val="0"/>
              <w:keepLines w:val="0"/>
              <w:pageBreakBefore w:val="0"/>
              <w:widowControl w:val="0"/>
              <w:suppressLineNumbers w:val="0"/>
              <w:shd w:val="clear" w:color="auto" w:fill="auto"/>
              <w:kinsoku/>
              <w:wordWrap w:val="0"/>
              <w:overflowPunct/>
              <w:topLinePunct w:val="0"/>
              <w:autoSpaceDE w:val="0"/>
              <w:autoSpaceDN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供应商法定代表人授权书（非法定代表人参加投标时须提供）；如为法定代表人参与的</w:t>
            </w:r>
            <w:r>
              <w:rPr>
                <w:rFonts w:hint="eastAsia" w:ascii="宋体" w:hAnsi="宋体" w:eastAsia="宋体" w:cs="宋体"/>
                <w:b/>
                <w:color w:val="auto"/>
                <w:sz w:val="22"/>
                <w:szCs w:val="22"/>
                <w:highlight w:val="none"/>
                <w:lang w:val="en-US" w:eastAsia="zh-CN"/>
              </w:rPr>
              <w:t>无需提供</w:t>
            </w: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val="en-US" w:eastAsia="zh-CN"/>
              </w:rPr>
              <w:t>如有，</w:t>
            </w:r>
            <w:r>
              <w:rPr>
                <w:rFonts w:hint="eastAsia" w:ascii="宋体" w:hAnsi="宋体" w:eastAsia="宋体" w:cs="宋体"/>
                <w:b/>
                <w:color w:val="auto"/>
                <w:sz w:val="22"/>
                <w:szCs w:val="22"/>
                <w:highlight w:val="none"/>
              </w:rPr>
              <w:t>格式见附件）</w:t>
            </w:r>
          </w:p>
        </w:tc>
        <w:tc>
          <w:tcPr>
            <w:tcW w:w="987" w:type="dxa"/>
            <w:shd w:val="clear" w:color="auto" w:fill="auto"/>
            <w:noWrap w:val="0"/>
            <w:vAlign w:val="center"/>
          </w:tcPr>
          <w:p w14:paraId="208695D9">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2CE58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9666" w:type="dxa"/>
            <w:gridSpan w:val="4"/>
            <w:tcBorders>
              <w:bottom w:val="single" w:color="auto" w:sz="6" w:space="0"/>
            </w:tcBorders>
            <w:shd w:val="clear" w:color="auto" w:fill="auto"/>
            <w:noWrap w:val="0"/>
            <w:vAlign w:val="center"/>
          </w:tcPr>
          <w:p w14:paraId="7F30F04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1、上述资格</w:t>
            </w:r>
            <w:r>
              <w:rPr>
                <w:rFonts w:hint="eastAsia" w:ascii="宋体" w:hAnsi="宋体" w:eastAsia="宋体" w:cs="宋体"/>
                <w:color w:val="auto"/>
                <w:sz w:val="22"/>
                <w:szCs w:val="22"/>
                <w:highlight w:val="none"/>
                <w:lang w:val="en-US" w:eastAsia="zh-CN"/>
              </w:rPr>
              <w:t>2-5</w:t>
            </w:r>
            <w:r>
              <w:rPr>
                <w:rFonts w:hint="eastAsia" w:ascii="宋体" w:hAnsi="宋体" w:eastAsia="宋体" w:cs="宋体"/>
                <w:color w:val="auto"/>
                <w:sz w:val="22"/>
                <w:szCs w:val="22"/>
                <w:highlight w:val="none"/>
              </w:rPr>
              <w:t>证明文件未提供或提供的资格证明材料不齐全的，资格审查作不通过处理，不得进入评审程序。</w:t>
            </w:r>
          </w:p>
        </w:tc>
      </w:tr>
      <w:tr w14:paraId="75A96B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24" w:hRule="atLeast"/>
          <w:jc w:val="center"/>
        </w:trPr>
        <w:tc>
          <w:tcPr>
            <w:tcW w:w="9666" w:type="dxa"/>
            <w:gridSpan w:val="4"/>
            <w:tcBorders>
              <w:top w:val="single" w:color="auto" w:sz="6" w:space="0"/>
              <w:bottom w:val="single" w:color="auto" w:sz="6" w:space="0"/>
            </w:tcBorders>
            <w:shd w:val="clear" w:color="auto" w:fill="auto"/>
            <w:noWrap w:val="0"/>
            <w:vAlign w:val="center"/>
          </w:tcPr>
          <w:p w14:paraId="61E05090">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二、《商务技术文件》组成内容</w:t>
            </w:r>
          </w:p>
        </w:tc>
      </w:tr>
      <w:tr w14:paraId="34A20E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tcBorders>
            <w:shd w:val="clear" w:color="auto" w:fill="auto"/>
            <w:noWrap w:val="0"/>
            <w:vAlign w:val="center"/>
          </w:tcPr>
          <w:p w14:paraId="07A0FDF4">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gridSpan w:val="2"/>
            <w:tcBorders>
              <w:top w:val="single" w:color="auto" w:sz="6" w:space="0"/>
            </w:tcBorders>
            <w:shd w:val="clear" w:color="auto" w:fill="auto"/>
            <w:noWrap w:val="0"/>
            <w:vAlign w:val="center"/>
          </w:tcPr>
          <w:p w14:paraId="5753E2A7">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《商务技术文件》封面</w:t>
            </w:r>
          </w:p>
        </w:tc>
        <w:tc>
          <w:tcPr>
            <w:tcW w:w="987" w:type="dxa"/>
            <w:tcBorders>
              <w:top w:val="single" w:color="auto" w:sz="6" w:space="0"/>
            </w:tcBorders>
            <w:shd w:val="clear" w:color="auto" w:fill="auto"/>
            <w:noWrap w:val="0"/>
            <w:vAlign w:val="center"/>
          </w:tcPr>
          <w:p w14:paraId="36591C3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67AA79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47AA95B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gridSpan w:val="2"/>
            <w:shd w:val="clear" w:color="auto" w:fill="auto"/>
            <w:noWrap w:val="0"/>
            <w:vAlign w:val="center"/>
          </w:tcPr>
          <w:p w14:paraId="1EEB22CD">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《商务技术文件》目录（自拟）</w:t>
            </w:r>
          </w:p>
        </w:tc>
        <w:tc>
          <w:tcPr>
            <w:tcW w:w="987" w:type="dxa"/>
            <w:shd w:val="clear" w:color="auto" w:fill="auto"/>
            <w:noWrap w:val="0"/>
            <w:vAlign w:val="center"/>
          </w:tcPr>
          <w:p w14:paraId="4BFD0F67">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3572FD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6FB9CE0D">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gridSpan w:val="2"/>
            <w:shd w:val="clear" w:color="auto" w:fill="auto"/>
            <w:noWrap w:val="0"/>
            <w:vAlign w:val="center"/>
          </w:tcPr>
          <w:p w14:paraId="3074E489">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供应商自评分指引表（自拟）</w:t>
            </w:r>
          </w:p>
        </w:tc>
        <w:tc>
          <w:tcPr>
            <w:tcW w:w="987" w:type="dxa"/>
            <w:shd w:val="clear" w:color="auto" w:fill="auto"/>
            <w:noWrap w:val="0"/>
            <w:vAlign w:val="center"/>
          </w:tcPr>
          <w:p w14:paraId="5D12A63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280E52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31D4DDE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7970" w:type="dxa"/>
            <w:gridSpan w:val="2"/>
            <w:shd w:val="clear" w:color="auto" w:fill="auto"/>
            <w:noWrap w:val="0"/>
            <w:vAlign w:val="center"/>
          </w:tcPr>
          <w:p w14:paraId="3CD3A73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供应商参与采购活动投标资格声明</w:t>
            </w:r>
          </w:p>
        </w:tc>
        <w:tc>
          <w:tcPr>
            <w:tcW w:w="987" w:type="dxa"/>
            <w:shd w:val="clear" w:color="auto" w:fill="auto"/>
            <w:noWrap w:val="0"/>
            <w:vAlign w:val="center"/>
          </w:tcPr>
          <w:p w14:paraId="3ACF13B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13BFC1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4A5FAFE9">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p>
        </w:tc>
        <w:tc>
          <w:tcPr>
            <w:tcW w:w="7970" w:type="dxa"/>
            <w:gridSpan w:val="2"/>
            <w:shd w:val="clear" w:color="auto" w:fill="auto"/>
            <w:noWrap w:val="0"/>
            <w:vAlign w:val="center"/>
          </w:tcPr>
          <w:p w14:paraId="1A02B66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投标函</w:t>
            </w:r>
          </w:p>
        </w:tc>
        <w:tc>
          <w:tcPr>
            <w:tcW w:w="987" w:type="dxa"/>
            <w:shd w:val="clear" w:color="auto" w:fill="auto"/>
            <w:noWrap w:val="0"/>
            <w:vAlign w:val="center"/>
          </w:tcPr>
          <w:p w14:paraId="0758F600">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0949AC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2616C5D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w:t>
            </w:r>
          </w:p>
        </w:tc>
        <w:tc>
          <w:tcPr>
            <w:tcW w:w="7970" w:type="dxa"/>
            <w:gridSpan w:val="2"/>
            <w:shd w:val="clear" w:color="auto" w:fill="auto"/>
            <w:noWrap w:val="0"/>
            <w:vAlign w:val="center"/>
          </w:tcPr>
          <w:p w14:paraId="36F60601">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投标供应商情况声明（后附企业简介）</w:t>
            </w:r>
          </w:p>
        </w:tc>
        <w:tc>
          <w:tcPr>
            <w:tcW w:w="987" w:type="dxa"/>
            <w:shd w:val="clear" w:color="auto" w:fill="auto"/>
            <w:noWrap w:val="0"/>
            <w:vAlign w:val="center"/>
          </w:tcPr>
          <w:p w14:paraId="2FFA031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624AAD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bottom w:val="single" w:color="auto" w:sz="6" w:space="0"/>
            </w:tcBorders>
            <w:shd w:val="clear" w:color="auto" w:fill="auto"/>
            <w:noWrap w:val="0"/>
            <w:vAlign w:val="center"/>
          </w:tcPr>
          <w:p w14:paraId="05BE4771">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w:t>
            </w:r>
          </w:p>
        </w:tc>
        <w:tc>
          <w:tcPr>
            <w:tcW w:w="7970" w:type="dxa"/>
            <w:gridSpan w:val="2"/>
            <w:tcBorders>
              <w:bottom w:val="single" w:color="auto" w:sz="6" w:space="0"/>
            </w:tcBorders>
            <w:shd w:val="clear" w:color="auto" w:fill="auto"/>
            <w:noWrap w:val="0"/>
            <w:vAlign w:val="center"/>
          </w:tcPr>
          <w:p w14:paraId="14D075F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商务偏离表、技术偏离表</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格式见附件也可自拟）</w:t>
            </w:r>
          </w:p>
        </w:tc>
        <w:tc>
          <w:tcPr>
            <w:tcW w:w="987" w:type="dxa"/>
            <w:tcBorders>
              <w:bottom w:val="single" w:color="auto" w:sz="6" w:space="0"/>
            </w:tcBorders>
            <w:shd w:val="clear" w:color="auto" w:fill="auto"/>
            <w:noWrap w:val="0"/>
            <w:vAlign w:val="center"/>
          </w:tcPr>
          <w:p w14:paraId="147BAB5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4C3DE2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31C3010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8</w:t>
            </w:r>
          </w:p>
        </w:tc>
        <w:tc>
          <w:tcPr>
            <w:tcW w:w="7970" w:type="dxa"/>
            <w:gridSpan w:val="2"/>
            <w:tcBorders>
              <w:top w:val="single" w:color="auto" w:sz="6" w:space="0"/>
              <w:bottom w:val="single" w:color="auto" w:sz="6" w:space="0"/>
            </w:tcBorders>
            <w:shd w:val="clear" w:color="auto" w:fill="auto"/>
            <w:noWrap w:val="0"/>
            <w:vAlign w:val="center"/>
          </w:tcPr>
          <w:p w14:paraId="14A823D0">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zh-CN"/>
              </w:rPr>
              <w:t>针对本项目拟派人员名单</w:t>
            </w:r>
          </w:p>
        </w:tc>
        <w:tc>
          <w:tcPr>
            <w:tcW w:w="987" w:type="dxa"/>
            <w:tcBorders>
              <w:top w:val="single" w:color="auto" w:sz="6" w:space="0"/>
              <w:bottom w:val="single" w:color="auto" w:sz="6" w:space="0"/>
            </w:tcBorders>
            <w:shd w:val="clear" w:color="auto" w:fill="auto"/>
            <w:noWrap w:val="0"/>
            <w:vAlign w:val="center"/>
          </w:tcPr>
          <w:p w14:paraId="0897D096">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A1F04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68CEA601">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9</w:t>
            </w:r>
          </w:p>
        </w:tc>
        <w:tc>
          <w:tcPr>
            <w:tcW w:w="7970" w:type="dxa"/>
            <w:gridSpan w:val="2"/>
            <w:tcBorders>
              <w:top w:val="single" w:color="auto" w:sz="6" w:space="0"/>
              <w:bottom w:val="single" w:color="auto" w:sz="6" w:space="0"/>
            </w:tcBorders>
            <w:shd w:val="clear" w:color="auto" w:fill="auto"/>
            <w:noWrap w:val="0"/>
            <w:vAlign w:val="center"/>
          </w:tcPr>
          <w:p w14:paraId="7CC02388">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项目组织实施方案</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供应商根据评分细则自行自拟）</w:t>
            </w:r>
          </w:p>
        </w:tc>
        <w:tc>
          <w:tcPr>
            <w:tcW w:w="987" w:type="dxa"/>
            <w:tcBorders>
              <w:top w:val="single" w:color="auto" w:sz="6" w:space="0"/>
              <w:bottom w:val="single" w:color="auto" w:sz="6" w:space="0"/>
            </w:tcBorders>
            <w:shd w:val="clear" w:color="auto" w:fill="auto"/>
            <w:noWrap w:val="0"/>
            <w:vAlign w:val="center"/>
          </w:tcPr>
          <w:p w14:paraId="2EC2FB14">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3EBF5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0C7F9EF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10</w:t>
            </w:r>
          </w:p>
        </w:tc>
        <w:tc>
          <w:tcPr>
            <w:tcW w:w="7970" w:type="dxa"/>
            <w:gridSpan w:val="2"/>
            <w:tcBorders>
              <w:top w:val="single" w:color="auto" w:sz="6" w:space="0"/>
              <w:bottom w:val="single" w:color="auto" w:sz="6" w:space="0"/>
            </w:tcBorders>
            <w:shd w:val="clear" w:color="auto" w:fill="auto"/>
            <w:noWrap w:val="0"/>
            <w:vAlign w:val="center"/>
          </w:tcPr>
          <w:p w14:paraId="76DFAE18">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其他内容根据评分细则自拟</w:t>
            </w:r>
          </w:p>
        </w:tc>
        <w:tc>
          <w:tcPr>
            <w:tcW w:w="987" w:type="dxa"/>
            <w:tcBorders>
              <w:top w:val="single" w:color="auto" w:sz="6" w:space="0"/>
              <w:bottom w:val="single" w:color="auto" w:sz="6" w:space="0"/>
            </w:tcBorders>
            <w:shd w:val="clear" w:color="auto" w:fill="auto"/>
            <w:noWrap w:val="0"/>
            <w:vAlign w:val="center"/>
          </w:tcPr>
          <w:p w14:paraId="75E598C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67999A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76F4F1CD">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11</w:t>
            </w:r>
          </w:p>
        </w:tc>
        <w:tc>
          <w:tcPr>
            <w:tcW w:w="7970" w:type="dxa"/>
            <w:gridSpan w:val="2"/>
            <w:tcBorders>
              <w:top w:val="single" w:color="auto" w:sz="6" w:space="0"/>
              <w:bottom w:val="single" w:color="auto" w:sz="6" w:space="0"/>
            </w:tcBorders>
            <w:shd w:val="clear" w:color="auto" w:fill="auto"/>
            <w:noWrap w:val="0"/>
            <w:vAlign w:val="center"/>
          </w:tcPr>
          <w:p w14:paraId="00105829">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质量服务承诺书</w:t>
            </w:r>
          </w:p>
        </w:tc>
        <w:tc>
          <w:tcPr>
            <w:tcW w:w="987" w:type="dxa"/>
            <w:tcBorders>
              <w:top w:val="single" w:color="auto" w:sz="6" w:space="0"/>
              <w:bottom w:val="single" w:color="auto" w:sz="6" w:space="0"/>
            </w:tcBorders>
            <w:shd w:val="clear" w:color="auto" w:fill="auto"/>
            <w:noWrap w:val="0"/>
            <w:vAlign w:val="center"/>
          </w:tcPr>
          <w:p w14:paraId="47CD4F2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46F684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2BB944ED">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12</w:t>
            </w:r>
          </w:p>
        </w:tc>
        <w:tc>
          <w:tcPr>
            <w:tcW w:w="7970" w:type="dxa"/>
            <w:gridSpan w:val="2"/>
            <w:tcBorders>
              <w:top w:val="single" w:color="auto" w:sz="6" w:space="0"/>
              <w:bottom w:val="single" w:color="auto" w:sz="6" w:space="0"/>
            </w:tcBorders>
            <w:shd w:val="clear" w:color="auto" w:fill="auto"/>
            <w:noWrap w:val="0"/>
            <w:vAlign w:val="center"/>
          </w:tcPr>
          <w:p w14:paraId="628B2A40">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诚信投标承诺书</w:t>
            </w:r>
          </w:p>
        </w:tc>
        <w:tc>
          <w:tcPr>
            <w:tcW w:w="987" w:type="dxa"/>
            <w:tcBorders>
              <w:top w:val="single" w:color="auto" w:sz="6" w:space="0"/>
              <w:bottom w:val="single" w:color="auto" w:sz="6" w:space="0"/>
            </w:tcBorders>
            <w:shd w:val="clear" w:color="auto" w:fill="auto"/>
            <w:noWrap w:val="0"/>
            <w:vAlign w:val="center"/>
          </w:tcPr>
          <w:p w14:paraId="791A281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9B9A9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205657A3">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13</w:t>
            </w:r>
          </w:p>
        </w:tc>
        <w:tc>
          <w:tcPr>
            <w:tcW w:w="7970" w:type="dxa"/>
            <w:gridSpan w:val="2"/>
            <w:tcBorders>
              <w:top w:val="single" w:color="auto" w:sz="6" w:space="0"/>
              <w:bottom w:val="single" w:color="auto" w:sz="6" w:space="0"/>
            </w:tcBorders>
            <w:shd w:val="clear" w:color="auto" w:fill="auto"/>
            <w:noWrap w:val="0"/>
            <w:vAlign w:val="center"/>
          </w:tcPr>
          <w:p w14:paraId="05A34DFF">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投标供应商认为有必要提供的其他材料或说明（如有）</w:t>
            </w:r>
          </w:p>
        </w:tc>
        <w:tc>
          <w:tcPr>
            <w:tcW w:w="987" w:type="dxa"/>
            <w:tcBorders>
              <w:top w:val="single" w:color="auto" w:sz="6" w:space="0"/>
              <w:bottom w:val="single" w:color="auto" w:sz="6" w:space="0"/>
            </w:tcBorders>
            <w:shd w:val="clear" w:color="auto" w:fill="auto"/>
            <w:noWrap w:val="0"/>
            <w:vAlign w:val="center"/>
          </w:tcPr>
          <w:p w14:paraId="5940AFD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0F304C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710" w:hRule="atLeast"/>
          <w:jc w:val="center"/>
        </w:trPr>
        <w:tc>
          <w:tcPr>
            <w:tcW w:w="9666" w:type="dxa"/>
            <w:gridSpan w:val="4"/>
            <w:tcBorders>
              <w:top w:val="single" w:color="auto" w:sz="6" w:space="0"/>
              <w:bottom w:val="single" w:color="auto" w:sz="6" w:space="0"/>
            </w:tcBorders>
            <w:shd w:val="clear" w:color="auto" w:fill="auto"/>
            <w:noWrap w:val="0"/>
            <w:vAlign w:val="center"/>
          </w:tcPr>
          <w:p w14:paraId="081BCF0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三、《报价文件》组成内容【依序编制】</w:t>
            </w:r>
          </w:p>
        </w:tc>
      </w:tr>
      <w:tr w14:paraId="06D86D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239B16A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gridSpan w:val="2"/>
            <w:tcBorders>
              <w:top w:val="single" w:color="auto" w:sz="6" w:space="0"/>
              <w:bottom w:val="single" w:color="auto" w:sz="6" w:space="0"/>
            </w:tcBorders>
            <w:shd w:val="clear" w:color="auto" w:fill="auto"/>
            <w:noWrap w:val="0"/>
            <w:vAlign w:val="center"/>
          </w:tcPr>
          <w:p w14:paraId="255551E4">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《报价文件》封面</w:t>
            </w:r>
          </w:p>
        </w:tc>
        <w:tc>
          <w:tcPr>
            <w:tcW w:w="987" w:type="dxa"/>
            <w:tcBorders>
              <w:top w:val="single" w:color="auto" w:sz="6" w:space="0"/>
              <w:bottom w:val="single" w:color="auto" w:sz="6" w:space="0"/>
            </w:tcBorders>
            <w:shd w:val="clear" w:color="auto" w:fill="auto"/>
            <w:noWrap w:val="0"/>
            <w:vAlign w:val="center"/>
          </w:tcPr>
          <w:p w14:paraId="2D3B38D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6A9BCD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782D998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gridSpan w:val="2"/>
            <w:tcBorders>
              <w:top w:val="single" w:color="auto" w:sz="6" w:space="0"/>
              <w:bottom w:val="single" w:color="auto" w:sz="6" w:space="0"/>
            </w:tcBorders>
            <w:shd w:val="clear" w:color="auto" w:fill="auto"/>
            <w:noWrap w:val="0"/>
            <w:vAlign w:val="center"/>
          </w:tcPr>
          <w:p w14:paraId="68D981B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《报价文件》目录</w:t>
            </w:r>
            <w:r>
              <w:rPr>
                <w:rFonts w:hint="eastAsia" w:ascii="宋体" w:hAnsi="宋体" w:eastAsia="宋体" w:cs="宋体"/>
                <w:color w:val="auto"/>
                <w:sz w:val="22"/>
                <w:szCs w:val="22"/>
                <w:highlight w:val="none"/>
              </w:rPr>
              <w:t>（格式自拟）</w:t>
            </w:r>
          </w:p>
        </w:tc>
        <w:tc>
          <w:tcPr>
            <w:tcW w:w="987" w:type="dxa"/>
            <w:tcBorders>
              <w:top w:val="single" w:color="auto" w:sz="6" w:space="0"/>
              <w:bottom w:val="single" w:color="auto" w:sz="6" w:space="0"/>
            </w:tcBorders>
            <w:shd w:val="clear" w:color="auto" w:fill="auto"/>
            <w:noWrap w:val="0"/>
            <w:vAlign w:val="center"/>
          </w:tcPr>
          <w:p w14:paraId="6FB989A0">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4456A6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jc w:val="center"/>
        </w:trPr>
        <w:tc>
          <w:tcPr>
            <w:tcW w:w="709" w:type="dxa"/>
            <w:tcBorders>
              <w:top w:val="single" w:color="auto" w:sz="6" w:space="0"/>
            </w:tcBorders>
            <w:shd w:val="clear" w:color="auto" w:fill="auto"/>
            <w:noWrap w:val="0"/>
            <w:vAlign w:val="center"/>
          </w:tcPr>
          <w:p w14:paraId="46270D0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gridSpan w:val="2"/>
            <w:tcBorders>
              <w:top w:val="single" w:color="auto" w:sz="6" w:space="0"/>
            </w:tcBorders>
            <w:shd w:val="clear" w:color="auto" w:fill="auto"/>
            <w:noWrap w:val="0"/>
            <w:vAlign w:val="center"/>
          </w:tcPr>
          <w:p w14:paraId="4C0E3B74">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开标一览表</w:t>
            </w:r>
          </w:p>
        </w:tc>
        <w:tc>
          <w:tcPr>
            <w:tcW w:w="987" w:type="dxa"/>
            <w:tcBorders>
              <w:top w:val="single" w:color="auto" w:sz="6" w:space="0"/>
              <w:bottom w:val="single" w:color="auto" w:sz="6" w:space="0"/>
            </w:tcBorders>
            <w:shd w:val="clear" w:color="auto" w:fill="auto"/>
            <w:noWrap w:val="0"/>
            <w:vAlign w:val="center"/>
          </w:tcPr>
          <w:p w14:paraId="1D87B54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FC75C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03459656">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val="en-US" w:eastAsia="zh-CN"/>
              </w:rPr>
              <w:t>5</w:t>
            </w:r>
          </w:p>
        </w:tc>
        <w:tc>
          <w:tcPr>
            <w:tcW w:w="8957" w:type="dxa"/>
            <w:gridSpan w:val="3"/>
            <w:tcBorders>
              <w:top w:val="single" w:color="auto" w:sz="6" w:space="0"/>
              <w:bottom w:val="single" w:color="auto" w:sz="6" w:space="0"/>
            </w:tcBorders>
            <w:shd w:val="clear" w:color="auto" w:fill="auto"/>
            <w:noWrap w:val="0"/>
            <w:vAlign w:val="center"/>
          </w:tcPr>
          <w:p w14:paraId="41735170">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投标供应商符合采购文件规定的采购扶持政策的证明文件</w:t>
            </w:r>
            <w:r>
              <w:rPr>
                <w:rFonts w:hint="eastAsia" w:ascii="宋体" w:hAnsi="宋体" w:eastAsia="宋体" w:cs="宋体"/>
                <w:color w:val="auto"/>
                <w:sz w:val="22"/>
                <w:szCs w:val="22"/>
                <w:highlight w:val="none"/>
              </w:rPr>
              <w:t>（如符合）</w:t>
            </w:r>
          </w:p>
        </w:tc>
      </w:tr>
      <w:tr w14:paraId="224686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46" w:hRule="atLeast"/>
          <w:jc w:val="center"/>
        </w:trPr>
        <w:tc>
          <w:tcPr>
            <w:tcW w:w="709" w:type="dxa"/>
            <w:vMerge w:val="restart"/>
            <w:tcBorders>
              <w:top w:val="single" w:color="auto" w:sz="6" w:space="0"/>
            </w:tcBorders>
            <w:shd w:val="clear" w:color="auto" w:fill="auto"/>
            <w:noWrap w:val="0"/>
            <w:vAlign w:val="center"/>
          </w:tcPr>
          <w:p w14:paraId="43DB34C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cs="宋体"/>
                <w:b/>
                <w:color w:val="auto"/>
                <w:sz w:val="22"/>
                <w:szCs w:val="22"/>
                <w:highlight w:val="none"/>
                <w:lang w:val="en-US" w:eastAsia="zh-CN"/>
              </w:rPr>
              <w:t>5</w:t>
            </w:r>
            <w:r>
              <w:rPr>
                <w:rFonts w:hint="eastAsia" w:ascii="宋体" w:hAnsi="宋体" w:eastAsia="宋体" w:cs="宋体"/>
                <w:b/>
                <w:color w:val="auto"/>
                <w:sz w:val="22"/>
                <w:szCs w:val="22"/>
                <w:highlight w:val="none"/>
              </w:rPr>
              <w:t>.1</w:t>
            </w:r>
          </w:p>
        </w:tc>
        <w:tc>
          <w:tcPr>
            <w:tcW w:w="1066" w:type="dxa"/>
            <w:vMerge w:val="restart"/>
            <w:tcBorders>
              <w:top w:val="single" w:color="auto" w:sz="6" w:space="0"/>
            </w:tcBorders>
            <w:shd w:val="clear" w:color="auto" w:fill="auto"/>
            <w:noWrap w:val="0"/>
            <w:vAlign w:val="center"/>
          </w:tcPr>
          <w:p w14:paraId="04C3ADB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价格扶持政策材料</w:t>
            </w:r>
          </w:p>
        </w:tc>
        <w:tc>
          <w:tcPr>
            <w:tcW w:w="6904" w:type="dxa"/>
            <w:tcBorders>
              <w:top w:val="single" w:color="auto" w:sz="6" w:space="0"/>
              <w:bottom w:val="single" w:color="auto" w:sz="6" w:space="0"/>
            </w:tcBorders>
            <w:shd w:val="clear" w:color="auto" w:fill="auto"/>
            <w:noWrap w:val="0"/>
            <w:vAlign w:val="center"/>
          </w:tcPr>
          <w:p w14:paraId="6745642F">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（1）中小企业声明函</w:t>
            </w:r>
            <w:r>
              <w:rPr>
                <w:rFonts w:hint="eastAsia" w:ascii="宋体" w:hAnsi="宋体" w:eastAsia="宋体" w:cs="宋体"/>
                <w:color w:val="auto"/>
                <w:sz w:val="22"/>
                <w:szCs w:val="22"/>
                <w:highlight w:val="none"/>
              </w:rPr>
              <w:t>（如是，请提供）</w:t>
            </w:r>
          </w:p>
        </w:tc>
        <w:tc>
          <w:tcPr>
            <w:tcW w:w="987" w:type="dxa"/>
            <w:tcBorders>
              <w:top w:val="single" w:color="auto" w:sz="6" w:space="0"/>
              <w:bottom w:val="single" w:color="auto" w:sz="6" w:space="0"/>
            </w:tcBorders>
            <w:shd w:val="clear" w:color="auto" w:fill="auto"/>
            <w:noWrap w:val="0"/>
            <w:vAlign w:val="center"/>
          </w:tcPr>
          <w:p w14:paraId="4A6F150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4B8F6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46" w:hRule="atLeast"/>
          <w:jc w:val="center"/>
        </w:trPr>
        <w:tc>
          <w:tcPr>
            <w:tcW w:w="709" w:type="dxa"/>
            <w:vMerge w:val="continue"/>
            <w:shd w:val="clear" w:color="auto" w:fill="auto"/>
            <w:noWrap w:val="0"/>
            <w:vAlign w:val="center"/>
          </w:tcPr>
          <w:p w14:paraId="6E5A4F1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p>
        </w:tc>
        <w:tc>
          <w:tcPr>
            <w:tcW w:w="1066" w:type="dxa"/>
            <w:vMerge w:val="continue"/>
            <w:shd w:val="clear" w:color="auto" w:fill="auto"/>
            <w:noWrap w:val="0"/>
            <w:vAlign w:val="center"/>
          </w:tcPr>
          <w:p w14:paraId="2F42FEC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p>
        </w:tc>
        <w:tc>
          <w:tcPr>
            <w:tcW w:w="6904" w:type="dxa"/>
            <w:tcBorders>
              <w:top w:val="single" w:color="auto" w:sz="6" w:space="0"/>
              <w:bottom w:val="single" w:color="auto" w:sz="6" w:space="0"/>
            </w:tcBorders>
            <w:shd w:val="clear" w:color="auto" w:fill="auto"/>
            <w:noWrap w:val="0"/>
            <w:vAlign w:val="center"/>
          </w:tcPr>
          <w:p w14:paraId="473CCFB9">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（2）残疾人福利性单位声明函</w:t>
            </w:r>
            <w:r>
              <w:rPr>
                <w:rFonts w:hint="eastAsia" w:ascii="宋体" w:hAnsi="宋体" w:eastAsia="宋体" w:cs="宋体"/>
                <w:color w:val="auto"/>
                <w:sz w:val="22"/>
                <w:szCs w:val="22"/>
                <w:highlight w:val="none"/>
              </w:rPr>
              <w:t>（如是，请提供）</w:t>
            </w:r>
          </w:p>
        </w:tc>
        <w:tc>
          <w:tcPr>
            <w:tcW w:w="987" w:type="dxa"/>
            <w:tcBorders>
              <w:top w:val="single" w:color="auto" w:sz="6" w:space="0"/>
              <w:bottom w:val="single" w:color="auto" w:sz="6" w:space="0"/>
            </w:tcBorders>
            <w:shd w:val="clear" w:color="auto" w:fill="auto"/>
            <w:noWrap w:val="0"/>
            <w:vAlign w:val="center"/>
          </w:tcPr>
          <w:p w14:paraId="38EC168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E227A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46" w:hRule="atLeast"/>
          <w:jc w:val="center"/>
        </w:trPr>
        <w:tc>
          <w:tcPr>
            <w:tcW w:w="709" w:type="dxa"/>
            <w:vMerge w:val="continue"/>
            <w:tcBorders>
              <w:bottom w:val="single" w:color="auto" w:sz="6" w:space="0"/>
            </w:tcBorders>
            <w:shd w:val="clear" w:color="auto" w:fill="auto"/>
            <w:noWrap w:val="0"/>
            <w:vAlign w:val="center"/>
          </w:tcPr>
          <w:p w14:paraId="6CDEDC4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p>
        </w:tc>
        <w:tc>
          <w:tcPr>
            <w:tcW w:w="1066" w:type="dxa"/>
            <w:vMerge w:val="continue"/>
            <w:tcBorders>
              <w:bottom w:val="single" w:color="auto" w:sz="6" w:space="0"/>
            </w:tcBorders>
            <w:shd w:val="clear" w:color="auto" w:fill="auto"/>
            <w:noWrap w:val="0"/>
            <w:vAlign w:val="center"/>
          </w:tcPr>
          <w:p w14:paraId="4A105F2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p>
        </w:tc>
        <w:tc>
          <w:tcPr>
            <w:tcW w:w="6904" w:type="dxa"/>
            <w:tcBorders>
              <w:top w:val="single" w:color="auto" w:sz="6" w:space="0"/>
              <w:bottom w:val="single" w:color="auto" w:sz="6" w:space="0"/>
            </w:tcBorders>
            <w:shd w:val="clear" w:color="auto" w:fill="auto"/>
            <w:noWrap w:val="0"/>
            <w:vAlign w:val="center"/>
          </w:tcPr>
          <w:p w14:paraId="433715D9">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（3）相关部门出具的监狱企业证明文件</w:t>
            </w:r>
            <w:r>
              <w:rPr>
                <w:rFonts w:hint="eastAsia" w:ascii="宋体" w:hAnsi="宋体" w:eastAsia="宋体" w:cs="宋体"/>
                <w:color w:val="auto"/>
                <w:sz w:val="22"/>
                <w:szCs w:val="22"/>
                <w:highlight w:val="none"/>
              </w:rPr>
              <w:t>（如是，提供复制件加盖投标供应商公章）</w:t>
            </w:r>
          </w:p>
        </w:tc>
        <w:tc>
          <w:tcPr>
            <w:tcW w:w="987" w:type="dxa"/>
            <w:tcBorders>
              <w:top w:val="single" w:color="auto" w:sz="6" w:space="0"/>
              <w:bottom w:val="single" w:color="auto" w:sz="6" w:space="0"/>
            </w:tcBorders>
            <w:shd w:val="clear" w:color="auto" w:fill="auto"/>
            <w:noWrap w:val="0"/>
            <w:vAlign w:val="center"/>
          </w:tcPr>
          <w:p w14:paraId="3D0B3F8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5A9B5F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9666" w:type="dxa"/>
            <w:gridSpan w:val="4"/>
            <w:shd w:val="clear" w:color="auto" w:fill="auto"/>
            <w:noWrap w:val="0"/>
            <w:vAlign w:val="center"/>
          </w:tcPr>
          <w:p w14:paraId="0EA62EC3">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备注说明</w:t>
            </w:r>
          </w:p>
        </w:tc>
      </w:tr>
      <w:tr w14:paraId="24CD38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9666" w:type="dxa"/>
            <w:gridSpan w:val="4"/>
            <w:shd w:val="clear" w:color="auto" w:fill="auto"/>
            <w:noWrap w:val="0"/>
            <w:vAlign w:val="center"/>
          </w:tcPr>
          <w:p w14:paraId="48D39A9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上述内容本采购文件《响应文件格式》中有提供格式的，投标供应商可参照格式进行编制（格式中要求提供相关证明材料的还需后附相关证明材料），并按格式要求在指定位置根据要求进行签章，否则视为未提供；</w:t>
            </w:r>
          </w:p>
          <w:p w14:paraId="27269DDF">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（2）采购文件《响应文件格式》未提供格式的，请各投标供应商自行拟定格式，并加盖单位公章并由法定代表人或其授权代表签署（签字或盖章），否则视为未提供；</w:t>
            </w:r>
          </w:p>
          <w:p w14:paraId="6F92E49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（3）可以提供复</w:t>
            </w:r>
            <w:r>
              <w:rPr>
                <w:rFonts w:hint="eastAsia" w:ascii="宋体" w:hAnsi="宋体" w:cs="宋体"/>
                <w:b/>
                <w:color w:val="auto"/>
                <w:sz w:val="22"/>
                <w:szCs w:val="22"/>
                <w:highlight w:val="none"/>
                <w:lang w:val="en-US" w:eastAsia="zh-CN"/>
              </w:rPr>
              <w:t>印</w:t>
            </w:r>
            <w:r>
              <w:rPr>
                <w:rFonts w:hint="eastAsia" w:ascii="宋体" w:hAnsi="宋体" w:eastAsia="宋体" w:cs="宋体"/>
                <w:b/>
                <w:color w:val="auto"/>
                <w:sz w:val="22"/>
                <w:szCs w:val="22"/>
                <w:highlight w:val="none"/>
              </w:rPr>
              <w:t>件的相关证明材料必须加盖投标供应商公章，否则视为未提供（例如</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各类资格资质证书、业绩材料、许可材料、荣誉证书、产品注册登记材料、产品检测材料、验收材料等）；</w:t>
            </w:r>
          </w:p>
          <w:p w14:paraId="5D9174F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（4）以上内容中标注“</w:t>
            </w: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”的内容为必须提供的内容，未提供的投标无效。</w:t>
            </w:r>
          </w:p>
        </w:tc>
      </w:tr>
    </w:tbl>
    <w:p w14:paraId="15DD3D88">
      <w:pPr>
        <w:shd w:val="clear" w:color="auto" w:fill="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投标文件编制</w:t>
      </w:r>
    </w:p>
    <w:p w14:paraId="41FDA370">
      <w:pPr>
        <w:shd w:val="clear" w:color="auto" w:fill="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3.1本项目通过“</w:t>
      </w:r>
      <w:r>
        <w:rPr>
          <w:rFonts w:hint="eastAsia" w:ascii="宋体" w:hAnsi="宋体" w:eastAsia="宋体" w:cs="宋体"/>
          <w:color w:val="auto"/>
          <w:sz w:val="22"/>
          <w:szCs w:val="22"/>
          <w:highlight w:val="none"/>
          <w:lang w:eastAsia="zh-CN"/>
        </w:rPr>
        <w:t>乐采云平台（https://www.lecaiyun.com/）</w:t>
      </w:r>
      <w:r>
        <w:rPr>
          <w:rFonts w:hint="eastAsia" w:ascii="宋体" w:hAnsi="宋体" w:eastAsia="宋体" w:cs="宋体"/>
          <w:color w:val="auto"/>
          <w:sz w:val="22"/>
          <w:szCs w:val="22"/>
          <w:highlight w:val="none"/>
        </w:rPr>
        <w:t>”实行在线投标响应（电子投标）。供应商应通过“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”，并按照本采购文件和“</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”的要求编制并加密投标文件。</w:t>
      </w:r>
    </w:p>
    <w:p w14:paraId="3F668A04">
      <w:pPr>
        <w:shd w:val="clear" w:color="auto" w:fill="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3.2投标供应商应当按照本章节 “投标文件组成”规定的内容及顺序在“</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”编制投标文件。其中《资格文件》和《商务技术文件》中不得出现本项目投标报价，如因投标供应商原因提前泄露投标报价，是投标供应商的责任。</w:t>
      </w:r>
    </w:p>
    <w:p w14:paraId="28484633">
      <w:pPr>
        <w:shd w:val="clear" w:color="auto" w:fill="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3.3《投标文件》内容不完整、编排混乱导致《投标文件》被误读、漏读或者查找不到相关内容的，是投标供应商的责任。</w:t>
      </w:r>
    </w:p>
    <w:p w14:paraId="3E703F33">
      <w:pPr>
        <w:shd w:val="clear" w:color="auto" w:fill="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3.4《投标文件》因字迹潦草或表达不清所引起的后果由投标供应商负责。</w:t>
      </w:r>
    </w:p>
    <w:p w14:paraId="040C95E3">
      <w:pPr>
        <w:shd w:val="clear" w:color="auto" w:fill="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3.5投标供应商没有按照本章节 “投标文件组成”要求提供全部资料，或者没有仔细阅读采购文件，或者没有对采购文件在各方面的要求作出实质性响应是投标供应商的风险，由此造成的一切后果由投标供应商自行承担。</w:t>
      </w:r>
    </w:p>
    <w:p w14:paraId="23564AD2">
      <w:pPr>
        <w:shd w:val="clear" w:color="auto" w:fill="auto"/>
        <w:wordWrap w:val="0"/>
        <w:autoSpaceDE w:val="0"/>
        <w:autoSpaceDN w:val="0"/>
        <w:adjustRightInd w:val="0"/>
        <w:snapToGrid w:val="0"/>
        <w:spacing w:line="360" w:lineRule="auto"/>
        <w:textAlignment w:val="bottom"/>
        <w:rPr>
          <w:rFonts w:hint="eastAsia" w:ascii="宋体" w:hAnsi="宋体" w:eastAsia="宋体" w:cs="宋体"/>
          <w:color w:val="auto"/>
          <w:sz w:val="22"/>
          <w:szCs w:val="22"/>
          <w:highlight w:val="none"/>
        </w:rPr>
      </w:pPr>
      <w:bookmarkStart w:id="18" w:name="_Toc132122115"/>
      <w:bookmarkStart w:id="19" w:name="_Toc132122412"/>
      <w:r>
        <w:rPr>
          <w:rFonts w:hint="eastAsia" w:ascii="宋体" w:hAnsi="宋体" w:eastAsia="宋体" w:cs="宋体"/>
          <w:color w:val="auto"/>
          <w:sz w:val="22"/>
          <w:szCs w:val="22"/>
          <w:highlight w:val="none"/>
        </w:rPr>
        <w:t>4.投标报价</w:t>
      </w:r>
      <w:bookmarkEnd w:id="18"/>
      <w:bookmarkEnd w:id="19"/>
    </w:p>
    <w:p w14:paraId="30E7630F">
      <w:pPr>
        <w:shd w:val="clear" w:color="auto" w:fill="auto"/>
        <w:wordWrap w:val="0"/>
        <w:autoSpaceDE w:val="0"/>
        <w:autoSpaceDN w:val="0"/>
        <w:adjustRightInd w:val="0"/>
        <w:snapToGrid w:val="0"/>
        <w:spacing w:line="360" w:lineRule="auto"/>
        <w:ind w:firstLine="435" w:firstLineChars="198"/>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4.1、供应商应按采购文件中《开标一览表》填写报价。</w:t>
      </w:r>
      <w:r>
        <w:rPr>
          <w:rFonts w:hint="eastAsia" w:ascii="宋体" w:hAnsi="宋体" w:eastAsia="宋体" w:cs="宋体"/>
          <w:b/>
          <w:color w:val="auto"/>
          <w:sz w:val="22"/>
          <w:szCs w:val="22"/>
          <w:highlight w:val="none"/>
        </w:rPr>
        <w:t>投标供应商在线制作投标文件时《开标一览表》中填写的金额与解密后“电子加密投标文件”中《开标一览表》填写的金额不一致的，以解密后“电子加密投标文件”中《开标一览表》填写的金额为准，投标供应商拒绝接受此调整的，按无效投标处理</w:t>
      </w:r>
      <w:r>
        <w:rPr>
          <w:rFonts w:hint="eastAsia" w:ascii="宋体" w:hAnsi="宋体" w:eastAsia="宋体" w:cs="宋体"/>
          <w:color w:val="auto"/>
          <w:sz w:val="22"/>
          <w:szCs w:val="22"/>
          <w:highlight w:val="none"/>
        </w:rPr>
        <w:t>。</w:t>
      </w:r>
    </w:p>
    <w:p w14:paraId="0B146C3E">
      <w:pPr>
        <w:shd w:val="clear" w:color="auto" w:fill="auto"/>
        <w:wordWrap w:val="0"/>
        <w:autoSpaceDE w:val="0"/>
        <w:autoSpaceDN w:val="0"/>
        <w:adjustRightInd w:val="0"/>
        <w:snapToGrid w:val="0"/>
        <w:spacing w:line="360" w:lineRule="auto"/>
        <w:ind w:firstLine="440"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4.2、本次招标只允许有一个报价，有选择的报价将不予接受。</w:t>
      </w:r>
    </w:p>
    <w:p w14:paraId="6869D3AF">
      <w:pPr>
        <w:shd w:val="clear" w:color="auto" w:fill="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4.3、</w:t>
      </w:r>
      <w:r>
        <w:rPr>
          <w:rFonts w:hint="eastAsia" w:ascii="宋体" w:hAnsi="宋体" w:eastAsia="宋体" w:cs="宋体"/>
          <w:color w:val="auto"/>
          <w:sz w:val="22"/>
          <w:szCs w:val="22"/>
          <w:highlight w:val="none"/>
          <w:u w:val="single"/>
        </w:rPr>
        <w:t>供应商对在合同执行中，除采购文件规定的由中标供应商负责的工作范围以外需要</w:t>
      </w:r>
      <w:r>
        <w:rPr>
          <w:rFonts w:hint="eastAsia" w:ascii="宋体" w:hAnsi="宋体" w:cs="宋体"/>
          <w:color w:val="auto"/>
          <w:sz w:val="21"/>
          <w:szCs w:val="21"/>
          <w:highlight w:val="none"/>
          <w:u w:val="single"/>
          <w:lang w:val="en-US" w:eastAsia="zh-CN"/>
        </w:rPr>
        <w:t>采购人</w:t>
      </w:r>
      <w:r>
        <w:rPr>
          <w:rFonts w:hint="eastAsia" w:ascii="宋体" w:hAnsi="宋体" w:eastAsia="宋体" w:cs="宋体"/>
          <w:color w:val="auto"/>
          <w:sz w:val="22"/>
          <w:szCs w:val="22"/>
          <w:highlight w:val="none"/>
          <w:u w:val="single"/>
        </w:rPr>
        <w:t>协调或提供便利的工作应当在投标文件中说明。</w:t>
      </w:r>
    </w:p>
    <w:p w14:paraId="1C6C4F9A">
      <w:pPr>
        <w:shd w:val="clear" w:color="auto" w:fill="auto"/>
        <w:wordWrap w:val="0"/>
        <w:autoSpaceDE w:val="0"/>
        <w:autoSpaceDN w:val="0"/>
        <w:adjustRightInd w:val="0"/>
        <w:snapToGrid w:val="0"/>
        <w:spacing w:line="360" w:lineRule="auto"/>
        <w:ind w:firstLine="431" w:firstLineChars="196"/>
        <w:rPr>
          <w:rFonts w:hint="eastAsia" w:ascii="宋体" w:hAnsi="宋体" w:eastAsia="宋体" w:cs="宋体"/>
          <w:color w:val="auto"/>
          <w:sz w:val="22"/>
          <w:szCs w:val="22"/>
          <w:highlight w:val="none"/>
        </w:rPr>
      </w:pPr>
      <w:bookmarkStart w:id="20" w:name="_Toc132122414"/>
      <w:bookmarkStart w:id="21" w:name="_Toc132122117"/>
      <w:bookmarkStart w:id="22" w:name="_Toc132122415"/>
      <w:bookmarkStart w:id="23" w:name="_Toc132122118"/>
      <w:r>
        <w:rPr>
          <w:rFonts w:hint="eastAsia" w:ascii="宋体" w:hAnsi="宋体" w:eastAsia="宋体" w:cs="宋体"/>
          <w:color w:val="auto"/>
          <w:sz w:val="22"/>
          <w:szCs w:val="22"/>
          <w:highlight w:val="none"/>
        </w:rPr>
        <w:t>5、投标文件的有效期</w:t>
      </w:r>
      <w:bookmarkEnd w:id="20"/>
      <w:bookmarkEnd w:id="21"/>
    </w:p>
    <w:p w14:paraId="5B823387">
      <w:pPr>
        <w:pStyle w:val="16"/>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5.1自开标日起90天内，投标文件应保持有效。有效期短于这个规定期限的投标将被拒绝。</w:t>
      </w:r>
    </w:p>
    <w:p w14:paraId="4B9C54DC">
      <w:pPr>
        <w:pStyle w:val="16"/>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5.2在特殊情况下，采购人可与供应商协商延长投标文件的有效期，这种要求和答复均应以书面形式进行。</w:t>
      </w:r>
    </w:p>
    <w:p w14:paraId="2E57F07C">
      <w:pPr>
        <w:pStyle w:val="16"/>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5.3供应商可拒绝接受延期要求而不会导致处罚。同意延长有效期的供应商不能修改投标文件。</w:t>
      </w:r>
    </w:p>
    <w:bookmarkEnd w:id="22"/>
    <w:bookmarkEnd w:id="23"/>
    <w:p w14:paraId="4AEBC866">
      <w:pPr>
        <w:pStyle w:val="16"/>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6、投标文件的签章</w:t>
      </w:r>
    </w:p>
    <w:p w14:paraId="7D4519D6">
      <w:pPr>
        <w:pStyle w:val="16"/>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6.1《投标文件》的签章</w:t>
      </w:r>
      <w:r>
        <w:rPr>
          <w:rFonts w:hint="eastAsia" w:hAnsi="宋体" w:eastAsia="宋体" w:cs="宋体"/>
          <w:color w:val="auto"/>
          <w:sz w:val="22"/>
          <w:szCs w:val="22"/>
          <w:highlight w:val="none"/>
          <w:lang w:eastAsia="zh-CN"/>
        </w:rPr>
        <w:t>：</w:t>
      </w:r>
      <w:r>
        <w:rPr>
          <w:rFonts w:hint="eastAsia" w:ascii="宋体" w:hAnsi="宋体" w:eastAsia="宋体" w:cs="宋体"/>
          <w:b/>
          <w:color w:val="auto"/>
          <w:sz w:val="22"/>
          <w:szCs w:val="22"/>
          <w:highlight w:val="none"/>
          <w:lang w:bidi="ar"/>
        </w:rPr>
        <w:t>电子签章。</w:t>
      </w:r>
      <w:r>
        <w:rPr>
          <w:rFonts w:hint="eastAsia" w:ascii="宋体" w:hAnsi="宋体" w:eastAsia="宋体" w:cs="宋体"/>
          <w:color w:val="auto"/>
          <w:sz w:val="22"/>
          <w:szCs w:val="22"/>
          <w:highlight w:val="none"/>
        </w:rPr>
        <w:t>采购文件所指的加盖单位公章为电子签章。</w:t>
      </w:r>
    </w:p>
    <w:p w14:paraId="269E6ABF">
      <w:pPr>
        <w:pStyle w:val="16"/>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6.2《投标文件》应由投标供应商法定代表人或其授权代表签字（或盖章），并</w:t>
      </w:r>
      <w:r>
        <w:rPr>
          <w:rFonts w:hint="eastAsia" w:hAnsi="宋体" w:cs="宋体"/>
          <w:color w:val="auto"/>
          <w:sz w:val="22"/>
          <w:szCs w:val="22"/>
          <w:highlight w:val="none"/>
          <w:lang w:val="en-US" w:eastAsia="zh-CN"/>
        </w:rPr>
        <w:t>同</w:t>
      </w:r>
      <w:r>
        <w:rPr>
          <w:rFonts w:hint="eastAsia" w:ascii="宋体" w:hAnsi="宋体" w:eastAsia="宋体" w:cs="宋体"/>
          <w:color w:val="auto"/>
          <w:sz w:val="22"/>
          <w:szCs w:val="22"/>
          <w:highlight w:val="none"/>
        </w:rPr>
        <w:t>时加盖投标供应商公章。</w:t>
      </w:r>
    </w:p>
    <w:p w14:paraId="7DE229F8">
      <w:pPr>
        <w:pStyle w:val="16"/>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6.3电子签章操作指南详见采购公告附件《供应商项目采购-电子招投标操作指南》。</w:t>
      </w:r>
    </w:p>
    <w:p w14:paraId="3AC2B1EB">
      <w:pPr>
        <w:pStyle w:val="16"/>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7、投标文件的形式</w:t>
      </w:r>
    </w:p>
    <w:p w14:paraId="076AFFED">
      <w:pPr>
        <w:pStyle w:val="16"/>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7.1投标文件的形式</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hAnsi="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36411C5B">
      <w:pPr>
        <w:pStyle w:val="16"/>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7.2“电子加密投标文件”</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“电子加密投标文件”是指通过“</w:t>
      </w:r>
      <w:r>
        <w:rPr>
          <w:rFonts w:hint="eastAsia"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”完成投标文件编制后生成并加密的数据电文形式的投标文件。</w:t>
      </w:r>
    </w:p>
    <w:p w14:paraId="419099BA">
      <w:pPr>
        <w:pStyle w:val="16"/>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7.3“备份投标文件”</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“备份投标文件”是指与“电子加密投标文件”同时生成的数据电文形式的电子文件（备份标书），其他方式编制的“备份投标文件”视为无效的“备份投标文件”。</w:t>
      </w:r>
    </w:p>
    <w:p w14:paraId="10E417E2">
      <w:pPr>
        <w:pStyle w:val="16"/>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8、投标文件的份数</w:t>
      </w:r>
    </w:p>
    <w:p w14:paraId="14B8ED11">
      <w:pPr>
        <w:pStyle w:val="16"/>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8.1投标文件的份数</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hAnsi="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59CAC29B">
      <w:pPr>
        <w:shd w:val="clear" w:color="auto" w:fill="auto"/>
        <w:wordWrap w:val="0"/>
        <w:snapToGrid w:val="0"/>
        <w:spacing w:line="360" w:lineRule="auto"/>
        <w:outlineLvl w:val="1"/>
        <w:rPr>
          <w:rFonts w:hint="eastAsia" w:ascii="宋体" w:hAnsi="宋体" w:eastAsia="宋体" w:cs="宋体"/>
          <w:b/>
          <w:bCs w:val="0"/>
          <w:color w:val="auto"/>
          <w:sz w:val="22"/>
          <w:szCs w:val="22"/>
          <w:highlight w:val="none"/>
        </w:rPr>
      </w:pPr>
      <w:bookmarkStart w:id="24" w:name="_Toc16183"/>
      <w:r>
        <w:rPr>
          <w:rFonts w:hint="eastAsia" w:ascii="宋体" w:hAnsi="宋体" w:eastAsia="宋体" w:cs="宋体"/>
          <w:b/>
          <w:bCs w:val="0"/>
          <w:color w:val="auto"/>
          <w:sz w:val="22"/>
          <w:szCs w:val="22"/>
          <w:highlight w:val="none"/>
        </w:rPr>
        <w:t>五、投标</w:t>
      </w:r>
      <w:bookmarkEnd w:id="24"/>
    </w:p>
    <w:p w14:paraId="58189C19">
      <w:pPr>
        <w:pStyle w:val="16"/>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1、投标文件的上传和递交</w:t>
      </w:r>
    </w:p>
    <w:p w14:paraId="6F88F1E7">
      <w:pPr>
        <w:pStyle w:val="16"/>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1.1“投标文件”的上传、递交</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hAnsi="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062D8CA1">
      <w:pPr>
        <w:pStyle w:val="16"/>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2、“电子加密投标文件”解密和异常情况处理</w:t>
      </w:r>
    </w:p>
    <w:p w14:paraId="7DD3F9AD">
      <w:pPr>
        <w:pStyle w:val="16"/>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2.1“电子加密投标文件”解密</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hAnsi="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1687FDBA">
      <w:pPr>
        <w:pStyle w:val="16"/>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3、投标文件的补充、修改或撤回</w:t>
      </w:r>
    </w:p>
    <w:p w14:paraId="49838531">
      <w:pPr>
        <w:pStyle w:val="16"/>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w:t>
      </w:r>
      <w:r>
        <w:rPr>
          <w:rFonts w:hint="eastAsia"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”将予以拒收。</w:t>
      </w:r>
    </w:p>
    <w:p w14:paraId="3D2BA71E">
      <w:pPr>
        <w:pStyle w:val="16"/>
        <w:shd w:val="clear" w:color="auto" w:fill="auto"/>
        <w:wordWrap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3.2投标截止时间后，投标供应商不得撤回、修改《投标文件》。</w:t>
      </w:r>
    </w:p>
    <w:p w14:paraId="472343F4">
      <w:pPr>
        <w:pStyle w:val="16"/>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4、投标文件的备选方案</w:t>
      </w:r>
    </w:p>
    <w:p w14:paraId="0AA82F71">
      <w:pPr>
        <w:pStyle w:val="16"/>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4.1投标供应商不得递交任何的投标备选（替代）方案，否则其投标文件将作无效标处理。与“电子加密投标文件”同时生成的“备份投标文件”不是投标备选（替代）方案。</w:t>
      </w:r>
    </w:p>
    <w:p w14:paraId="25760FD3">
      <w:pPr>
        <w:shd w:val="clear" w:color="auto" w:fill="auto"/>
        <w:wordWrap w:val="0"/>
        <w:snapToGrid w:val="0"/>
        <w:spacing w:line="360" w:lineRule="auto"/>
        <w:outlineLvl w:val="1"/>
        <w:rPr>
          <w:rFonts w:hint="eastAsia" w:ascii="宋体" w:hAnsi="宋体" w:eastAsia="宋体" w:cs="宋体"/>
          <w:color w:val="auto"/>
          <w:sz w:val="22"/>
          <w:szCs w:val="22"/>
          <w:highlight w:val="none"/>
        </w:rPr>
      </w:pPr>
      <w:bookmarkStart w:id="25" w:name="_Toc23198"/>
      <w:r>
        <w:rPr>
          <w:rFonts w:hint="eastAsia" w:ascii="宋体" w:hAnsi="宋体" w:eastAsia="宋体" w:cs="宋体"/>
          <w:b/>
          <w:bCs/>
          <w:color w:val="auto"/>
          <w:sz w:val="22"/>
          <w:szCs w:val="22"/>
          <w:highlight w:val="none"/>
        </w:rPr>
        <w:t>六、开标和评标</w:t>
      </w:r>
      <w:bookmarkEnd w:id="25"/>
    </w:p>
    <w:p w14:paraId="2A3F21C0">
      <w:pPr>
        <w:shd w:val="clear" w:color="auto" w:fill="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一）开标</w:t>
      </w:r>
    </w:p>
    <w:p w14:paraId="36273F21">
      <w:pPr>
        <w:shd w:val="clear" w:color="auto" w:fill="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1、开标形式</w:t>
      </w:r>
    </w:p>
    <w:p w14:paraId="306B9323">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 采购组织机构将按照采购文件规定的时间通过“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”组织开标、开启投标文件，所有供应商均应当准时在线参加。</w:t>
      </w:r>
    </w:p>
    <w:p w14:paraId="32F3AD9D">
      <w:pPr>
        <w:shd w:val="clear" w:color="auto" w:fill="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2、开标准备</w:t>
      </w:r>
    </w:p>
    <w:p w14:paraId="4326CA07">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2.1开标的准备工作由采购组织机构负责落实；</w:t>
      </w:r>
    </w:p>
    <w:p w14:paraId="27A4EF4F">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2.2采购组织机构将按照采购文件规定的时间通过“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组织开标、开启投标文件，所有供应商均应当准时在线参加。投标供应商如不参加开标大会的，视同认可开标结果，事后不得对采购相关人员、开标过程和开标结果提出异议，同时投标供应商因未在线参加开标而导致投标文件无法按时解密等一切后果由供应商自己承担。</w:t>
      </w:r>
    </w:p>
    <w:p w14:paraId="0679C5B1">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3、开标流程（两阶段）</w:t>
      </w:r>
    </w:p>
    <w:p w14:paraId="6BBCEBBA">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3.1开标第一阶段</w:t>
      </w:r>
    </w:p>
    <w:p w14:paraId="16EE39AE">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向各投标供应商发出电子加密投标文件【开始解密】通知，由供应商按采购文件规定的时间内自行进行投标文件解密。投标供应商在规定的时间内无法完成已递交的“电子加密投标文件”解密的，如已按规定递交了备份投标文件的，将由采购组织机构按“</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”操作规范将备份投标文件上传至“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”，上传成功后，“电子加密投标文件”自动失效；</w:t>
      </w:r>
    </w:p>
    <w:p w14:paraId="14F0084B">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（2）投标文件解密结束，发送各投标供应商组织签署《国企采购活动现场确认声明书》；</w:t>
      </w:r>
    </w:p>
    <w:p w14:paraId="304F673B">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（3）开启投标文件，进入资格审查；</w:t>
      </w:r>
    </w:p>
    <w:p w14:paraId="11EDCF39">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（4）开启资格审查通过的投标供应商的商务技术文件进入符合性审查、商务技术评审；</w:t>
      </w:r>
    </w:p>
    <w:p w14:paraId="10F2F19C">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（5）第一阶段开标结束。</w:t>
      </w:r>
    </w:p>
    <w:p w14:paraId="06DEB6BE">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开标大会的第一阶段结束后，采购人或采购代理机构将依法对投标供应商的资格进行审查，资格审查结束后进入符合性审查和商务技术的评审工作，具体见本章节“投标供应商资格审查”相关规定。</w:t>
      </w:r>
    </w:p>
    <w:p w14:paraId="5043C32B">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3.2开标大会第二阶段</w:t>
      </w:r>
    </w:p>
    <w:p w14:paraId="00F7E1D2">
      <w:pPr>
        <w:numPr>
          <w:ilvl w:val="0"/>
          <w:numId w:val="3"/>
        </w:numPr>
        <w:shd w:val="clear" w:color="auto" w:fill="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符合性审查、商务技术评审结束后，举行开标大会第二阶段会议。首先公布符合性审查、商务技术评审无效供应商名称及理由；公布经商务技术评审后有效投标供应商的名单，同时公布其商务技术部分得分情况。</w:t>
      </w:r>
    </w:p>
    <w:p w14:paraId="3C4875DF">
      <w:pPr>
        <w:numPr>
          <w:ilvl w:val="0"/>
          <w:numId w:val="3"/>
        </w:numPr>
        <w:shd w:val="clear" w:color="auto" w:fill="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开启符合性审查、商务技术评审有效投标供应商的《报价文件》。供应商签字确认（10分钟内未确认的视为无异议），由评标委员会对报价的合理性、准确性等进行审查核实。</w:t>
      </w:r>
    </w:p>
    <w:p w14:paraId="7472A9A1">
      <w:pPr>
        <w:numPr>
          <w:ilvl w:val="0"/>
          <w:numId w:val="3"/>
        </w:numPr>
        <w:shd w:val="clear" w:color="auto" w:fill="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评审结束后，公布中标（成交）候选供应商名单，及采购人最终确定中标或成交供应商名单的时间和公告方式等。</w:t>
      </w:r>
    </w:p>
    <w:p w14:paraId="6A411172">
      <w:pPr>
        <w:shd w:val="clear" w:color="auto" w:fill="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特别说明</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如遇“</w:t>
      </w:r>
      <w:r>
        <w:rPr>
          <w:rFonts w:hint="eastAsia" w:ascii="宋体" w:hAnsi="宋体" w:eastAsia="宋体" w:cs="宋体"/>
          <w:b/>
          <w:color w:val="auto"/>
          <w:sz w:val="22"/>
          <w:szCs w:val="22"/>
          <w:highlight w:val="none"/>
          <w:lang w:eastAsia="zh-CN"/>
        </w:rPr>
        <w:t>乐采云平台</w:t>
      </w:r>
      <w:r>
        <w:rPr>
          <w:rFonts w:hint="eastAsia" w:ascii="宋体" w:hAnsi="宋体" w:eastAsia="宋体" w:cs="宋体"/>
          <w:b/>
          <w:color w:val="auto"/>
          <w:sz w:val="22"/>
          <w:szCs w:val="22"/>
          <w:highlight w:val="none"/>
        </w:rPr>
        <w:t>”电子化开标或评审程序调整的，按调整后程序执行。</w:t>
      </w:r>
    </w:p>
    <w:p w14:paraId="3D1C73AD">
      <w:pPr>
        <w:shd w:val="clear" w:color="auto" w:fill="auto"/>
        <w:wordWrap w:val="0"/>
        <w:snapToGrid w:val="0"/>
        <w:spacing w:line="360" w:lineRule="auto"/>
        <w:ind w:firstLine="527"/>
        <w:rPr>
          <w:rFonts w:hint="eastAsia" w:ascii="宋体" w:hAnsi="宋体" w:eastAsia="宋体" w:cs="宋体"/>
          <w:b/>
          <w:color w:val="auto"/>
          <w:sz w:val="22"/>
          <w:szCs w:val="22"/>
          <w:highlight w:val="none"/>
        </w:rPr>
      </w:pPr>
      <w:bookmarkStart w:id="26" w:name="_Toc33194393"/>
      <w:bookmarkStart w:id="27" w:name="_Toc24550037"/>
      <w:r>
        <w:rPr>
          <w:rFonts w:hint="eastAsia" w:ascii="宋体" w:hAnsi="宋体" w:eastAsia="宋体" w:cs="宋体"/>
          <w:b/>
          <w:color w:val="auto"/>
          <w:sz w:val="22"/>
          <w:szCs w:val="22"/>
          <w:highlight w:val="none"/>
        </w:rPr>
        <w:t>4、投标供应商资格审查</w:t>
      </w:r>
      <w:bookmarkEnd w:id="26"/>
      <w:bookmarkEnd w:id="27"/>
    </w:p>
    <w:p w14:paraId="48BC1521">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开标大会第一阶段结束后，采购人或采购代理机构首先依法对各投标供应商的资格进行审查，审查各投标供应商的资格是否满足采购文件的要求。采购人或采购代理机构对投标供应商所提交的资格证明材料仅负审核的责任。如发现投标供应商所提交的资格证明材料不合法或与事实不符，采购人可取消其中标资格并追究投标供应商的法律责任。</w:t>
      </w:r>
    </w:p>
    <w:p w14:paraId="246F7983">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4.2投标供应商提交的资格证明材料无法证明其符合采购文件规定的“投标供应商资格要求”的，采购人或采购代理机构将对其作资格审查不通过处理（无效投标），并不再将其投标提交评标委员会进行后续评审。</w:t>
      </w:r>
    </w:p>
    <w:p w14:paraId="511BE164">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4.3单位负责人为同一人或者存在直接控股、管理关系的不同供应商参加同一合同项下的采购活动的，相关投标供应商均作资格无效处理。</w:t>
      </w:r>
    </w:p>
    <w:p w14:paraId="21006615">
      <w:pPr>
        <w:shd w:val="clear" w:color="auto" w:fill="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二）评标</w:t>
      </w:r>
    </w:p>
    <w:p w14:paraId="401925D1">
      <w:pPr>
        <w:shd w:val="clear" w:color="auto" w:fill="auto"/>
        <w:wordWrap w:val="0"/>
        <w:snapToGrid w:val="0"/>
        <w:spacing w:line="360" w:lineRule="auto"/>
        <w:ind w:firstLine="527"/>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2.1评标由采购人依法组建的评标委员会负责，并独立履行下列职责</w:t>
      </w:r>
      <w:r>
        <w:rPr>
          <w:rFonts w:hint="eastAsia" w:ascii="宋体" w:hAnsi="宋体" w:eastAsia="宋体" w:cs="宋体"/>
          <w:color w:val="auto"/>
          <w:sz w:val="22"/>
          <w:szCs w:val="22"/>
          <w:highlight w:val="none"/>
          <w:lang w:eastAsia="zh-CN"/>
        </w:rPr>
        <w:t>：</w:t>
      </w:r>
    </w:p>
    <w:p w14:paraId="4DEE81C3">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1）审查投标文件是否符合采购文件要求，并作出评价；</w:t>
      </w:r>
    </w:p>
    <w:p w14:paraId="2310F008">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2）要求投标供应商对投标文件有关事项作出解释或者澄清；</w:t>
      </w:r>
    </w:p>
    <w:p w14:paraId="6635F01C">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3）根据采购人授权确定中标供应商；</w:t>
      </w:r>
    </w:p>
    <w:p w14:paraId="5F4AB403">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4）向采购代理机构或者有关部门报告非法干预评标工作的行为。</w:t>
      </w:r>
    </w:p>
    <w:p w14:paraId="06322FBA">
      <w:pPr>
        <w:shd w:val="clear" w:color="auto" w:fill="auto"/>
        <w:wordWrap w:val="0"/>
        <w:snapToGrid w:val="0"/>
        <w:spacing w:line="360" w:lineRule="auto"/>
        <w:ind w:firstLine="431" w:firstLineChars="19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2.2、评标应当遵循下列工作程序</w:t>
      </w:r>
      <w:r>
        <w:rPr>
          <w:rFonts w:hint="eastAsia" w:ascii="宋体" w:hAnsi="宋体" w:eastAsia="宋体" w:cs="宋体"/>
          <w:color w:val="auto"/>
          <w:sz w:val="22"/>
          <w:szCs w:val="22"/>
          <w:highlight w:val="none"/>
          <w:lang w:eastAsia="zh-CN"/>
        </w:rPr>
        <w:t>：</w:t>
      </w:r>
    </w:p>
    <w:p w14:paraId="00110693">
      <w:pPr>
        <w:shd w:val="clear" w:color="auto" w:fill="auto"/>
        <w:wordWrap w:val="0"/>
        <w:snapToGrid w:val="0"/>
        <w:spacing w:line="360" w:lineRule="auto"/>
        <w:rPr>
          <w:rFonts w:hint="eastAsia" w:ascii="宋体" w:hAnsi="宋体" w:eastAsia="宋体" w:cs="宋体"/>
          <w:b/>
          <w:color w:val="auto"/>
          <w:sz w:val="22"/>
          <w:szCs w:val="22"/>
          <w:highlight w:val="none"/>
          <w:u w:val="single"/>
        </w:rPr>
      </w:pPr>
      <w:r>
        <w:rPr>
          <w:rFonts w:hint="eastAsia" w:ascii="宋体" w:hAnsi="宋体" w:eastAsia="宋体" w:cs="宋体"/>
          <w:color w:val="auto"/>
          <w:sz w:val="22"/>
          <w:szCs w:val="22"/>
          <w:highlight w:val="none"/>
        </w:rPr>
        <w:t xml:space="preserve">    1）投标文件初审。初审分为资格性检查和符合性检查。</w:t>
      </w:r>
    </w:p>
    <w:p w14:paraId="50F5134B">
      <w:pPr>
        <w:shd w:val="clear" w:color="auto" w:fill="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资格性检查。依据法律法规和采购文件的规定，对投标文件中的投标供应商资格文件、投标保证金等进行审查，以确定投标供应商是否具备投标资格。</w:t>
      </w:r>
    </w:p>
    <w:p w14:paraId="63D9253E">
      <w:pPr>
        <w:shd w:val="clear" w:color="auto" w:fill="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符合性检查。依据采购文件的规定，从投标文件的有效性、完整性和对采购文件的响应程度进行审查，以确定是否对采购文件的实质性要求作出响应。</w:t>
      </w:r>
    </w:p>
    <w:p w14:paraId="2E7AE3DD">
      <w:pPr>
        <w:shd w:val="clear" w:color="auto" w:fill="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14:paraId="310B0DAC">
      <w:pPr>
        <w:shd w:val="clear" w:color="auto" w:fill="auto"/>
        <w:wordWrap w:val="0"/>
        <w:snapToGrid w:val="0"/>
        <w:spacing w:line="360" w:lineRule="auto"/>
        <w:ind w:firstLine="4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3）比较与评价。按采购文件中规定的评标方法和标准，对资格性检查和符合性检查合格的投标文件进行综合评估，综合比较与评价。</w:t>
      </w:r>
    </w:p>
    <w:p w14:paraId="7D4BE16F">
      <w:pPr>
        <w:pStyle w:val="16"/>
        <w:shd w:val="clear" w:color="auto" w:fill="auto"/>
        <w:wordWrap w:val="0"/>
        <w:adjustRightInd w:val="0"/>
        <w:snapToGrid w:val="0"/>
        <w:spacing w:line="360" w:lineRule="auto"/>
        <w:ind w:firstLine="440" w:firstLineChars="200"/>
        <w:rPr>
          <w:rFonts w:hint="eastAsia" w:ascii="宋体" w:hAnsi="宋体" w:eastAsia="宋体" w:cs="宋体"/>
          <w:b/>
          <w:color w:val="auto"/>
          <w:sz w:val="22"/>
          <w:szCs w:val="22"/>
          <w:highlight w:val="none"/>
          <w:u w:val="single"/>
          <w:lang w:eastAsia="zh-CN"/>
        </w:rPr>
      </w:pPr>
      <w:r>
        <w:rPr>
          <w:rFonts w:hint="eastAsia" w:ascii="宋体" w:hAnsi="宋体" w:eastAsia="宋体" w:cs="宋体"/>
          <w:color w:val="auto"/>
          <w:sz w:val="22"/>
          <w:szCs w:val="22"/>
          <w:highlight w:val="none"/>
        </w:rPr>
        <w:t>2.4、</w:t>
      </w:r>
      <w:r>
        <w:rPr>
          <w:rFonts w:hint="eastAsia" w:ascii="宋体" w:hAnsi="宋体" w:eastAsia="宋体" w:cs="宋体"/>
          <w:b/>
          <w:color w:val="auto"/>
          <w:sz w:val="22"/>
          <w:szCs w:val="22"/>
          <w:highlight w:val="none"/>
          <w:u w:val="single"/>
        </w:rPr>
        <w:t>评标委员会发现投标文件有下列情形之一的属于重大偏差</w:t>
      </w:r>
      <w:r>
        <w:rPr>
          <w:rFonts w:hint="eastAsia"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评标委员会按少数服从多数原则认定</w:t>
      </w:r>
      <w:r>
        <w:rPr>
          <w:rFonts w:hint="eastAsia"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,按照无效投标处理</w:t>
      </w:r>
      <w:r>
        <w:rPr>
          <w:rFonts w:hint="eastAsia" w:hAnsi="宋体" w:eastAsia="宋体" w:cs="宋体"/>
          <w:b/>
          <w:color w:val="auto"/>
          <w:sz w:val="22"/>
          <w:szCs w:val="22"/>
          <w:highlight w:val="none"/>
          <w:u w:val="single"/>
          <w:lang w:eastAsia="zh-CN"/>
        </w:rPr>
        <w:t>：</w:t>
      </w:r>
    </w:p>
    <w:p w14:paraId="33C04686">
      <w:pPr>
        <w:pStyle w:val="16"/>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1）未按采购文件要求编制或字迹模糊、辨认不清的投标文件；</w:t>
      </w:r>
    </w:p>
    <w:p w14:paraId="1927F925">
      <w:pPr>
        <w:pStyle w:val="16"/>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2）投标文件存在一个或一个以上备选（替代）投标方案的；仅提交“备份投标文件”的；</w:t>
      </w:r>
    </w:p>
    <w:p w14:paraId="656FFFB0">
      <w:pPr>
        <w:pStyle w:val="16"/>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3）没有按采购文件格式要求加盖有效公章、无法定代表人（或授权代表）签字或印章（具体格式见采购文件附件—投标文件格式）；</w:t>
      </w:r>
    </w:p>
    <w:p w14:paraId="3CD76B01">
      <w:pPr>
        <w:pStyle w:val="16"/>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4）投标文件未有效授权，法定代表人授权委托书等填写不完整或有涂改的；</w:t>
      </w:r>
    </w:p>
    <w:p w14:paraId="47689968">
      <w:pPr>
        <w:pStyle w:val="16"/>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5）供应商商务技术投标文件中出现投标报价；</w:t>
      </w:r>
    </w:p>
    <w:p w14:paraId="3A84137F">
      <w:pPr>
        <w:pStyle w:val="16"/>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6）文件组成内容不齐全，本采购文件规定必须提供而未提供的（属于资格审查范围的除外）；明显不符合要求的投标文件；</w:t>
      </w:r>
    </w:p>
    <w:p w14:paraId="7B927673">
      <w:pPr>
        <w:pStyle w:val="16"/>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7）付款方式、服务期出现负偏差的；</w:t>
      </w:r>
    </w:p>
    <w:p w14:paraId="5847ECB0">
      <w:pPr>
        <w:pStyle w:val="16"/>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8）投标文件附有采购人不能接受的条款；</w:t>
      </w:r>
    </w:p>
    <w:p w14:paraId="1C6963D7">
      <w:pPr>
        <w:pStyle w:val="16"/>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9）不符合采购文件中规定的实质性要求的投标文件，是否为偏离实质性要求由评标委员会认定。</w:t>
      </w:r>
    </w:p>
    <w:p w14:paraId="5C6AAC4F">
      <w:pPr>
        <w:pStyle w:val="16"/>
        <w:shd w:val="clear" w:color="auto" w:fill="auto"/>
        <w:wordWrap w:val="0"/>
        <w:adjustRightInd w:val="0"/>
        <w:snapToGrid w:val="0"/>
        <w:spacing w:line="360" w:lineRule="auto"/>
        <w:ind w:firstLine="431" w:firstLineChars="196"/>
        <w:rPr>
          <w:rFonts w:hint="eastAsia" w:ascii="宋体" w:hAnsi="宋体" w:eastAsia="宋体" w:cs="宋体"/>
          <w:color w:val="auto"/>
          <w:highlight w:val="none"/>
        </w:rPr>
      </w:pPr>
      <w:r>
        <w:rPr>
          <w:rFonts w:hint="eastAsia" w:ascii="宋体" w:hAnsi="宋体" w:eastAsia="宋体" w:cs="宋体"/>
          <w:color w:val="auto"/>
          <w:sz w:val="22"/>
          <w:szCs w:val="22"/>
          <w:highlight w:val="none"/>
        </w:rPr>
        <w:t>10）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21747DDB">
      <w:pPr>
        <w:pStyle w:val="16"/>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11）有下列情形之一的，视为投标供应商串通投标，其投标无效</w:t>
      </w:r>
      <w:r>
        <w:rPr>
          <w:rFonts w:hint="eastAsia" w:hAnsi="宋体" w:eastAsia="宋体" w:cs="宋体"/>
          <w:color w:val="auto"/>
          <w:sz w:val="22"/>
          <w:szCs w:val="22"/>
          <w:highlight w:val="none"/>
          <w:lang w:eastAsia="zh-CN"/>
        </w:rPr>
        <w:t>：</w:t>
      </w:r>
    </w:p>
    <w:p w14:paraId="0042B52D">
      <w:pPr>
        <w:pStyle w:val="16"/>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（一）不同投标供应商的投标文件由同一单位或者个人编制；</w:t>
      </w:r>
    </w:p>
    <w:p w14:paraId="72F59861">
      <w:pPr>
        <w:pStyle w:val="16"/>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（二）不同投标供应商委托同一单位或者个人办理投标事宜；</w:t>
      </w:r>
    </w:p>
    <w:p w14:paraId="761D521E">
      <w:pPr>
        <w:pStyle w:val="16"/>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（三）不同投标供应商的投标文件载明的项目管理成员或者联系人员为同一人；</w:t>
      </w:r>
    </w:p>
    <w:p w14:paraId="4CF56954">
      <w:pPr>
        <w:pStyle w:val="16"/>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（四）不同投标供应商的投标文件异常一致或者投标报价呈规律性差异；</w:t>
      </w:r>
    </w:p>
    <w:p w14:paraId="12EF2793">
      <w:pPr>
        <w:pStyle w:val="16"/>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（五）不同投标供应商的投标文件相互混装；　　</w:t>
      </w:r>
    </w:p>
    <w:p w14:paraId="5F678528">
      <w:pPr>
        <w:pStyle w:val="16"/>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12）其他经评标委员会认定的未能在实质上响应的或违反国家有关规定的投标文件。</w:t>
      </w:r>
    </w:p>
    <w:p w14:paraId="27ADCCFF">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2.5、实质上没有响应采购文件要求的投标将被拒绝。供应商不得通过修正或撤</w:t>
      </w:r>
      <w:r>
        <w:rPr>
          <w:rFonts w:hint="eastAsia" w:ascii="宋体" w:hAnsi="宋体" w:cs="宋体"/>
          <w:color w:val="auto"/>
          <w:sz w:val="22"/>
          <w:szCs w:val="22"/>
          <w:highlight w:val="none"/>
          <w:lang w:val="en-US" w:eastAsia="zh-CN"/>
        </w:rPr>
        <w:t>销</w:t>
      </w:r>
      <w:r>
        <w:rPr>
          <w:rFonts w:hint="eastAsia" w:ascii="宋体" w:hAnsi="宋体" w:eastAsia="宋体" w:cs="宋体"/>
          <w:color w:val="auto"/>
          <w:sz w:val="22"/>
          <w:szCs w:val="22"/>
          <w:highlight w:val="none"/>
        </w:rPr>
        <w:t>不合要求的偏离从而使其投标成为实质上响应的投标。</w:t>
      </w:r>
    </w:p>
    <w:p w14:paraId="7E8F1A94">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2.6、评标委员会对投标文件的判定，只依据投标内容本身，不依靠开标后的任何外来证明。</w:t>
      </w:r>
    </w:p>
    <w:p w14:paraId="6983559E">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2.7、评标委员会在评标中，不得改变采购文件中规定的评标标准、方法和中标条件。</w:t>
      </w:r>
    </w:p>
    <w:p w14:paraId="55DAEE2D">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3.投标文件的澄清</w:t>
      </w:r>
    </w:p>
    <w:p w14:paraId="2FE23C97">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3.1对于投标文件中含义不明确、同类问题表述不一致或者有明显文字和计算错误的内容，评标委员会将以书面形式（或通过“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”在线询标）的形式要求投标供应商在规定的时间内作出必要的澄清、说明或者补正，投标供应商澄清、说明或补正时间为30分钟。</w:t>
      </w:r>
    </w:p>
    <w:p w14:paraId="3133C750">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3.2投标供应商的澄清、说明或者补正应当采用书面（或通过“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”在线答复）形式提交，并加盖公章，或者由法定代表人或其授权的代表签字。投标供应商的澄清、说明或者补正不得超出投标文件的范围或者改变投标文件的实质性内容。</w:t>
      </w:r>
    </w:p>
    <w:p w14:paraId="6C16DA5B">
      <w:pPr>
        <w:shd w:val="clear" w:color="auto" w:fill="auto"/>
        <w:wordWrap w:val="0"/>
        <w:adjustRightInd w:val="0"/>
        <w:snapToGrid w:val="0"/>
        <w:spacing w:line="360" w:lineRule="auto"/>
        <w:ind w:firstLine="442" w:firstLineChars="20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4、在采购中，出现下列情形之一的，应予废标</w:t>
      </w:r>
      <w:r>
        <w:rPr>
          <w:rFonts w:hint="eastAsia" w:ascii="宋体" w:hAnsi="宋体" w:eastAsia="宋体" w:cs="宋体"/>
          <w:b/>
          <w:color w:val="auto"/>
          <w:sz w:val="22"/>
          <w:szCs w:val="22"/>
          <w:highlight w:val="none"/>
          <w:lang w:eastAsia="zh-CN"/>
        </w:rPr>
        <w:t>：</w:t>
      </w:r>
    </w:p>
    <w:p w14:paraId="09A58111">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截止时间及评审期间，出现有效供应商不足三家的，作流（废）标处理，并重新组织招标。</w:t>
      </w:r>
    </w:p>
    <w:p w14:paraId="309987EF">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出现影响采购公正的违法、违规行为的；</w:t>
      </w:r>
    </w:p>
    <w:p w14:paraId="78EE480B">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报价均超过预算，不能支付的；</w:t>
      </w:r>
    </w:p>
    <w:p w14:paraId="301733AD">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因重大变故，采购任务取消的。</w:t>
      </w:r>
    </w:p>
    <w:p w14:paraId="4453D5A4">
      <w:pPr>
        <w:shd w:val="clear" w:color="auto" w:fill="auto"/>
        <w:wordWrap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5、可中止电子交易活动的情形</w:t>
      </w:r>
    </w:p>
    <w:p w14:paraId="0D2EB82D">
      <w:pPr>
        <w:shd w:val="clear" w:color="auto" w:fill="auto"/>
        <w:wordWrap w:val="0"/>
        <w:adjustRightInd w:val="0"/>
        <w:snapToGrid w:val="0"/>
        <w:spacing w:line="360" w:lineRule="auto"/>
        <w:ind w:firstLine="442" w:firstLineChars="20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采购过程中出现以下情形，导致电子交易平台无法正常运行，或者无法保证电子交易的公平、公正和安全时，采购组织机构可中止电子交易活动</w:t>
      </w:r>
      <w:r>
        <w:rPr>
          <w:rFonts w:hint="eastAsia" w:ascii="宋体" w:hAnsi="宋体" w:eastAsia="宋体" w:cs="宋体"/>
          <w:b/>
          <w:color w:val="auto"/>
          <w:sz w:val="22"/>
          <w:szCs w:val="22"/>
          <w:highlight w:val="none"/>
          <w:lang w:eastAsia="zh-CN"/>
        </w:rPr>
        <w:t>：</w:t>
      </w:r>
    </w:p>
    <w:p w14:paraId="689A240B">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1）电子交易平台发生故障而无法登录访问的；</w:t>
      </w:r>
    </w:p>
    <w:p w14:paraId="28EC20AC">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2）电子交易平台应用或数据库出现错误，不能进行正常操作的；</w:t>
      </w:r>
    </w:p>
    <w:p w14:paraId="42EE31FD">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3）电子交易平台发现严重安全漏洞，有潜在泄密危险的；</w:t>
      </w:r>
    </w:p>
    <w:p w14:paraId="6B893DD5">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4）病毒发作导致不能进行正常操作的；</w:t>
      </w:r>
    </w:p>
    <w:p w14:paraId="6D76DA10">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5）其他无法保证电子交易的公平、公正和安全的情况。</w:t>
      </w:r>
    </w:p>
    <w:p w14:paraId="42F73B8A">
      <w:pPr>
        <w:shd w:val="clear" w:color="auto" w:fill="auto"/>
        <w:wordWrap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出现前款规定情形，不影响采购公平、公正性的，采购组织机构可以待上述情形消除后继续组织电子交易活动；影响或可能影响采购公平、公正性的，应当重新采购。</w:t>
      </w:r>
    </w:p>
    <w:p w14:paraId="1473AD1B">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6、评标原则</w:t>
      </w:r>
    </w:p>
    <w:p w14:paraId="0FB02D2C">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评标委员会按照采购文件的要求和条件对投标文件进行资格、商务和技术评估，综合比较与评价。</w:t>
      </w:r>
    </w:p>
    <w:p w14:paraId="0C28A189">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评标办法具体见本采购文件第七部分。</w:t>
      </w:r>
    </w:p>
    <w:p w14:paraId="12CADA0A">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7、评标过程中遇到特殊情况，由评标委员会遵循公开、公正原则，采取投票方式按照少数服从多数原则决定。</w:t>
      </w:r>
    </w:p>
    <w:p w14:paraId="628C30D5">
      <w:pPr>
        <w:shd w:val="clear" w:color="auto" w:fill="auto"/>
        <w:wordWrap w:val="0"/>
        <w:snapToGrid w:val="0"/>
        <w:spacing w:line="360" w:lineRule="auto"/>
        <w:ind w:firstLine="527"/>
        <w:outlineLvl w:val="1"/>
        <w:rPr>
          <w:rFonts w:hint="eastAsia" w:ascii="宋体" w:hAnsi="宋体" w:eastAsia="宋体" w:cs="宋体"/>
          <w:b/>
          <w:bCs/>
          <w:color w:val="auto"/>
          <w:sz w:val="22"/>
          <w:szCs w:val="22"/>
          <w:highlight w:val="none"/>
        </w:rPr>
      </w:pPr>
      <w:bookmarkStart w:id="28" w:name="_Toc16659"/>
      <w:r>
        <w:rPr>
          <w:rFonts w:hint="eastAsia" w:ascii="宋体" w:hAnsi="宋体" w:eastAsia="宋体" w:cs="宋体"/>
          <w:b/>
          <w:bCs/>
          <w:color w:val="auto"/>
          <w:sz w:val="22"/>
          <w:szCs w:val="22"/>
          <w:highlight w:val="none"/>
        </w:rPr>
        <w:t>七、授予合同</w:t>
      </w:r>
      <w:bookmarkEnd w:id="28"/>
    </w:p>
    <w:p w14:paraId="44AA6B3E">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1、决标</w:t>
      </w:r>
    </w:p>
    <w:p w14:paraId="4AA985FD">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评标结束后，评标委员会按照采购文件确定的评标办法，根据采购人授权确定中标供应商。</w:t>
      </w:r>
    </w:p>
    <w:p w14:paraId="4E1A10B2">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2、中标通知书</w:t>
      </w:r>
    </w:p>
    <w:p w14:paraId="48D53F48">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2.1、招标机构在</w:t>
      </w:r>
      <w:r>
        <w:rPr>
          <w:rFonts w:hint="eastAsia" w:ascii="宋体" w:hAnsi="宋体" w:eastAsia="宋体" w:cs="宋体"/>
          <w:color w:val="auto"/>
          <w:sz w:val="22"/>
          <w:szCs w:val="22"/>
          <w:highlight w:val="none"/>
          <w:lang w:val="en-US" w:eastAsia="zh-CN"/>
        </w:rPr>
        <w:t>乐采云</w:t>
      </w:r>
      <w:r>
        <w:rPr>
          <w:rFonts w:hint="eastAsia" w:ascii="宋体" w:hAnsi="宋体" w:eastAsia="宋体" w:cs="宋体"/>
          <w:color w:val="auto"/>
          <w:sz w:val="22"/>
          <w:szCs w:val="22"/>
          <w:highlight w:val="none"/>
        </w:rPr>
        <w:t>网上公告中标结果。</w:t>
      </w:r>
    </w:p>
    <w:p w14:paraId="1DE5184D">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中标供应商须在中标结果公告后主动联系采购机构领取中标通知书，供应商领取中标通知书时，须填写签收回执；中标通知书对采购人和中标供应商具有法律约束力。中标通知书发出后，采购人改变中标结果或者中标供应商放弃中标的，应当承担法律责任。</w:t>
      </w:r>
    </w:p>
    <w:p w14:paraId="70635521">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3、评标委员会对未中标的供应商不作落标原因解释。</w:t>
      </w:r>
    </w:p>
    <w:p w14:paraId="6ABAD290">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4、签订合同</w:t>
      </w:r>
    </w:p>
    <w:p w14:paraId="1FD13C43">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4.1、中标供应商领取中标通知书后到采购人处与采购人签订合同（采购结果公告发出后30日内）。中标供应商未经采购人许可，在规定时间内未到采购人处与采购人签订合同，则视为拒签合同。</w:t>
      </w:r>
    </w:p>
    <w:p w14:paraId="1CA7D188">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4.2、采购文件、中标供应商的投标文件及投标修改文件、评标过程中有关澄清文件及经双方签字的询标纪要（承诺）和中标通知书均作为合同附件。</w:t>
      </w:r>
    </w:p>
    <w:p w14:paraId="79C8F412">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 拒签合同的责任</w:t>
      </w:r>
    </w:p>
    <w:p w14:paraId="68AD821C">
      <w:pPr>
        <w:pStyle w:val="16"/>
        <w:shd w:val="clear" w:color="auto" w:fill="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14:paraId="1C4B3BD9">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rPr>
        <w:t>招标代理服务费</w:t>
      </w:r>
    </w:p>
    <w:p w14:paraId="4570AE59">
      <w:pPr>
        <w:shd w:val="clear" w:color="auto" w:fill="auto"/>
        <w:wordWrap w:val="0"/>
        <w:snapToGrid w:val="0"/>
        <w:spacing w:line="360" w:lineRule="auto"/>
        <w:ind w:firstLine="527"/>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5.1中标供应商在领取中标通知书前向招标代理机构支付招标代理服务费（根据</w:t>
      </w:r>
      <w:r>
        <w:rPr>
          <w:rFonts w:hint="eastAsia" w:ascii="宋体" w:hAnsi="宋体" w:eastAsia="宋体" w:cs="宋体"/>
          <w:color w:val="auto"/>
          <w:sz w:val="22"/>
          <w:szCs w:val="22"/>
          <w:highlight w:val="none"/>
          <w:lang w:val="en-US" w:eastAsia="zh-CN"/>
        </w:rPr>
        <w:t>温州市公共资源交易协会温协〔2020〕20号（关于印发《温州市招标代理费取费指引》（试行）的通知）服务</w:t>
      </w:r>
      <w:r>
        <w:rPr>
          <w:rFonts w:hint="eastAsia" w:ascii="宋体" w:hAnsi="宋体" w:cs="宋体"/>
          <w:color w:val="auto"/>
          <w:sz w:val="22"/>
          <w:szCs w:val="22"/>
          <w:highlight w:val="none"/>
          <w:lang w:val="en-US" w:eastAsia="zh-CN"/>
        </w:rPr>
        <w:t>招标</w:t>
      </w:r>
      <w:r>
        <w:rPr>
          <w:rFonts w:hint="eastAsia" w:ascii="宋体" w:hAnsi="宋体" w:eastAsia="宋体" w:cs="宋体"/>
          <w:color w:val="auto"/>
          <w:sz w:val="22"/>
          <w:szCs w:val="22"/>
          <w:highlight w:val="none"/>
        </w:rPr>
        <w:t>收费</w:t>
      </w:r>
      <w:r>
        <w:rPr>
          <w:rFonts w:hint="eastAsia" w:ascii="宋体" w:hAnsi="宋体" w:cs="宋体"/>
          <w:color w:val="auto"/>
          <w:sz w:val="22"/>
          <w:szCs w:val="22"/>
          <w:highlight w:val="none"/>
          <w:lang w:eastAsia="zh-CN"/>
        </w:rPr>
        <w:t>，</w:t>
      </w:r>
      <w:r>
        <w:rPr>
          <w:rFonts w:hint="eastAsia" w:ascii="宋体" w:hAnsi="宋体" w:cs="宋体"/>
          <w:b w:val="0"/>
          <w:bCs w:val="0"/>
          <w:color w:val="auto"/>
          <w:sz w:val="22"/>
          <w:szCs w:val="22"/>
          <w:highlight w:val="none"/>
          <w:lang w:val="en-US" w:eastAsia="zh-CN"/>
        </w:rPr>
        <w:t>本项目招标代理服务费按</w:t>
      </w:r>
      <w:r>
        <w:rPr>
          <w:rFonts w:hint="eastAsia" w:ascii="宋体" w:hAnsi="宋体" w:cs="宋体"/>
          <w:b w:val="0"/>
          <w:bCs w:val="0"/>
          <w:color w:val="auto"/>
          <w:sz w:val="22"/>
          <w:szCs w:val="22"/>
          <w:highlight w:val="none"/>
          <w:u w:val="single"/>
          <w:lang w:val="en-US" w:eastAsia="zh-CN"/>
        </w:rPr>
        <w:t>125000</w:t>
      </w:r>
      <w:r>
        <w:rPr>
          <w:rFonts w:hint="eastAsia" w:ascii="宋体" w:hAnsi="宋体" w:cs="宋体"/>
          <w:b w:val="0"/>
          <w:bCs w:val="0"/>
          <w:color w:val="auto"/>
          <w:sz w:val="22"/>
          <w:szCs w:val="22"/>
          <w:highlight w:val="none"/>
          <w:lang w:val="en-US" w:eastAsia="zh-CN"/>
        </w:rPr>
        <w:t>元收取</w:t>
      </w:r>
      <w:r>
        <w:rPr>
          <w:rFonts w:hint="eastAsia" w:ascii="宋体" w:hAnsi="宋体" w:eastAsia="宋体" w:cs="宋体"/>
          <w:b w:val="0"/>
          <w:bCs w:val="0"/>
          <w:color w:val="auto"/>
          <w:sz w:val="22"/>
          <w:szCs w:val="22"/>
          <w:highlight w:val="none"/>
        </w:rPr>
        <w:t>），</w:t>
      </w:r>
      <w:r>
        <w:rPr>
          <w:rFonts w:hint="eastAsia" w:ascii="宋体" w:hAnsi="宋体" w:eastAsia="宋体" w:cs="宋体"/>
          <w:color w:val="auto"/>
          <w:sz w:val="22"/>
          <w:szCs w:val="22"/>
          <w:highlight w:val="none"/>
        </w:rPr>
        <w:t>招标代理服务费</w:t>
      </w:r>
      <w:r>
        <w:rPr>
          <w:rFonts w:hint="eastAsia" w:ascii="宋体" w:hAnsi="宋体" w:cs="宋体"/>
          <w:color w:val="auto"/>
          <w:sz w:val="22"/>
          <w:szCs w:val="22"/>
          <w:highlight w:val="none"/>
          <w:lang w:val="en-US" w:eastAsia="zh-CN"/>
        </w:rPr>
        <w:t>由中标人承担</w:t>
      </w:r>
      <w:r>
        <w:rPr>
          <w:rFonts w:hint="eastAsia" w:ascii="宋体" w:hAnsi="宋体" w:eastAsia="宋体" w:cs="宋体"/>
          <w:color w:val="auto"/>
          <w:sz w:val="22"/>
          <w:szCs w:val="22"/>
          <w:highlight w:val="none"/>
        </w:rPr>
        <w:t>，不在报价中单列。中标人在领取中标通知书时须携带法人代表证明原件或法定代表人授权书原件。</w:t>
      </w:r>
      <w:r>
        <w:rPr>
          <w:rFonts w:hint="eastAsia" w:ascii="宋体" w:hAnsi="宋体" w:eastAsia="宋体" w:cs="宋体"/>
          <w:color w:val="auto"/>
          <w:sz w:val="22"/>
          <w:szCs w:val="22"/>
          <w:highlight w:val="none"/>
          <w:lang w:eastAsia="zh-CN"/>
        </w:rPr>
        <w:t>招标代理服务费收取账户：</w:t>
      </w:r>
    </w:p>
    <w:p w14:paraId="4D93596C">
      <w:pPr>
        <w:shd w:val="clear" w:color="auto" w:fill="auto"/>
        <w:wordWrap w:val="0"/>
        <w:snapToGrid w:val="0"/>
        <w:spacing w:line="360" w:lineRule="auto"/>
        <w:ind w:firstLine="527"/>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开户银行：中国农业银行股份有限公司平阳海西支行</w:t>
      </w:r>
    </w:p>
    <w:p w14:paraId="4330A13E">
      <w:pPr>
        <w:shd w:val="clear" w:color="auto" w:fill="auto"/>
        <w:wordWrap w:val="0"/>
        <w:snapToGrid w:val="0"/>
        <w:spacing w:line="360" w:lineRule="auto"/>
        <w:ind w:firstLine="527"/>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开户名称：浙江之信工程项目管理有限公司平阳分公司</w:t>
      </w:r>
    </w:p>
    <w:p w14:paraId="26885184">
      <w:pPr>
        <w:shd w:val="clear" w:color="auto" w:fill="auto"/>
        <w:wordWrap w:val="0"/>
        <w:snapToGrid w:val="0"/>
        <w:spacing w:line="360" w:lineRule="auto"/>
        <w:ind w:firstLine="527"/>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开户</w:t>
      </w:r>
      <w:r>
        <w:rPr>
          <w:rFonts w:hint="eastAsia" w:ascii="宋体" w:hAnsi="宋体" w:eastAsia="宋体" w:cs="宋体"/>
          <w:color w:val="auto"/>
          <w:sz w:val="22"/>
          <w:szCs w:val="22"/>
          <w:highlight w:val="none"/>
          <w:lang w:val="en-US" w:eastAsia="zh-CN"/>
        </w:rPr>
        <w:t>账</w:t>
      </w:r>
      <w:r>
        <w:rPr>
          <w:rFonts w:hint="eastAsia" w:ascii="宋体" w:hAnsi="宋体" w:eastAsia="宋体" w:cs="宋体"/>
          <w:color w:val="auto"/>
          <w:sz w:val="22"/>
          <w:szCs w:val="22"/>
          <w:highlight w:val="none"/>
        </w:rPr>
        <w:t>号：19251501040000062</w:t>
      </w:r>
    </w:p>
    <w:p w14:paraId="781A6131">
      <w:pPr>
        <w:shd w:val="clear" w:color="auto" w:fill="auto"/>
        <w:wordWrap w:val="0"/>
        <w:snapToGrid w:val="0"/>
        <w:spacing w:line="360" w:lineRule="auto"/>
        <w:ind w:firstLine="630" w:firstLineChars="196"/>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29" w:name="_Toc8999"/>
      <w:r>
        <w:rPr>
          <w:rFonts w:hint="eastAsia" w:ascii="宋体" w:hAnsi="宋体" w:eastAsia="宋体" w:cs="宋体"/>
          <w:b/>
          <w:color w:val="auto"/>
          <w:sz w:val="32"/>
          <w:szCs w:val="32"/>
          <w:highlight w:val="none"/>
        </w:rPr>
        <w:t>第四部分 采购政策功能相关说明</w:t>
      </w:r>
      <w:bookmarkEnd w:id="29"/>
    </w:p>
    <w:p w14:paraId="11201CD5">
      <w:pPr>
        <w:shd w:val="clear" w:color="auto" w:fill="auto"/>
        <w:wordWrap w:val="0"/>
        <w:spacing w:line="360" w:lineRule="auto"/>
        <w:jc w:val="left"/>
        <w:rPr>
          <w:rFonts w:hint="eastAsia" w:ascii="宋体" w:hAnsi="宋体" w:eastAsia="宋体" w:cs="宋体"/>
          <w:color w:val="auto"/>
          <w:sz w:val="22"/>
          <w:szCs w:val="22"/>
          <w:highlight w:val="none"/>
        </w:rPr>
      </w:pPr>
    </w:p>
    <w:p w14:paraId="789F97AB">
      <w:pPr>
        <w:shd w:val="clear" w:color="auto" w:fill="auto"/>
        <w:wordWrap w:val="0"/>
        <w:spacing w:line="360" w:lineRule="auto"/>
        <w:outlineLvl w:val="1"/>
        <w:rPr>
          <w:rFonts w:hint="eastAsia" w:ascii="宋体" w:hAnsi="宋体" w:eastAsia="宋体" w:cs="宋体"/>
          <w:color w:val="auto"/>
          <w:sz w:val="22"/>
          <w:szCs w:val="22"/>
          <w:highlight w:val="none"/>
        </w:rPr>
      </w:pPr>
      <w:bookmarkStart w:id="30" w:name="_Toc15934"/>
      <w:bookmarkStart w:id="31" w:name="_Toc31958"/>
      <w:bookmarkStart w:id="32" w:name="_Toc14337"/>
      <w:r>
        <w:rPr>
          <w:rFonts w:hint="eastAsia" w:ascii="宋体" w:hAnsi="宋体" w:eastAsia="宋体" w:cs="宋体"/>
          <w:color w:val="auto"/>
          <w:sz w:val="22"/>
          <w:szCs w:val="22"/>
          <w:highlight w:val="none"/>
        </w:rPr>
        <w:t>一、小、微企业（含监狱企业、残疾人福利性单位）扶持政策说明</w:t>
      </w:r>
      <w:bookmarkEnd w:id="30"/>
      <w:bookmarkEnd w:id="31"/>
      <w:bookmarkEnd w:id="32"/>
    </w:p>
    <w:p w14:paraId="12306880">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1、文件依据</w:t>
      </w:r>
    </w:p>
    <w:p w14:paraId="5C899E9E">
      <w:pPr>
        <w:shd w:val="clear" w:color="auto" w:fill="auto"/>
        <w:wordWrap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（1）关于印发《政府采购促进中小企业发展管理办法》的通知（财库〔2020〕46号）</w:t>
      </w:r>
    </w:p>
    <w:p w14:paraId="182CE6E0">
      <w:pPr>
        <w:shd w:val="clear" w:color="auto" w:fill="auto"/>
        <w:wordWrap w:val="0"/>
        <w:snapToGrid w:val="0"/>
        <w:spacing w:line="360" w:lineRule="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（2）浙江省财政厅、浙江省经济和信息化委员会《关于简化中小企业类别确认流程有关事项的通知》</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浙财采监[2018]2号</w:t>
      </w:r>
      <w:r>
        <w:rPr>
          <w:rFonts w:hint="eastAsia" w:ascii="宋体" w:hAnsi="宋体" w:eastAsia="宋体" w:cs="宋体"/>
          <w:color w:val="auto"/>
          <w:sz w:val="22"/>
          <w:highlight w:val="none"/>
          <w:lang w:eastAsia="zh-CN"/>
        </w:rPr>
        <w:t>）</w:t>
      </w:r>
    </w:p>
    <w:p w14:paraId="34E8694C">
      <w:pPr>
        <w:shd w:val="clear" w:color="auto" w:fill="auto"/>
        <w:wordWrap w:val="0"/>
        <w:snapToGrid w:val="0"/>
        <w:spacing w:line="360" w:lineRule="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（3）浙江省财政厅《关于开展政府采购供应商网上注册登记和诚信管理工作的通知》（浙财采监〔2010〕8号</w:t>
      </w:r>
      <w:r>
        <w:rPr>
          <w:rFonts w:hint="eastAsia" w:ascii="宋体" w:hAnsi="宋体" w:eastAsia="宋体" w:cs="宋体"/>
          <w:color w:val="auto"/>
          <w:sz w:val="22"/>
          <w:highlight w:val="none"/>
          <w:lang w:eastAsia="zh-CN"/>
        </w:rPr>
        <w:t>）</w:t>
      </w:r>
    </w:p>
    <w:p w14:paraId="0F78CFAE">
      <w:pPr>
        <w:shd w:val="clear" w:color="auto" w:fill="auto"/>
        <w:wordWrap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（4）《工业和信息化部、国家统计局、国家发展和改革委员会、财政部关于印发中小企业划型标准规定的通知》（工信部联企业[2011]300号）</w:t>
      </w:r>
    </w:p>
    <w:p w14:paraId="6D4291DC">
      <w:pPr>
        <w:shd w:val="clear" w:color="auto" w:fill="auto"/>
        <w:wordWrap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（5）财政部、司法部《关于政府采购支持监狱企业发展有关问题的通知》（财库〔2014〕68号）</w:t>
      </w:r>
    </w:p>
    <w:p w14:paraId="29D9719F">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highlight w:val="none"/>
        </w:rPr>
        <w:t>（6）《财政部 民政部 中国残疾人联合会关于促进残疾人就业政府采购政策的通知》（财库〔2017〕 141号）</w:t>
      </w:r>
    </w:p>
    <w:p w14:paraId="1A6CA2CE">
      <w:pPr>
        <w:shd w:val="clear" w:color="auto" w:fill="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2、享受小微企业价格折扣应具备的条件与价格折扣比例</w:t>
      </w:r>
    </w:p>
    <w:p w14:paraId="34A6149A">
      <w:pPr>
        <w:shd w:val="clear" w:color="auto" w:fill="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（1）符合中小企业划分标准；</w:t>
      </w:r>
    </w:p>
    <w:p w14:paraId="1720CB5B">
      <w:pPr>
        <w:shd w:val="clear" w:color="auto" w:fill="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（2）提供本企业制造的货物、承担的工程或者服务，或者提供其他中小企业制造的货物。本项所称货物不包括使用大型企业注册商标的货物。</w:t>
      </w:r>
    </w:p>
    <w:p w14:paraId="7D23C485">
      <w:pPr>
        <w:shd w:val="clear" w:color="auto" w:fill="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中小企业划分标准，是指国务院有关部门根据企业从业人员、营业收入、资产总额等指标制定的中小企业划</w:t>
      </w:r>
      <w:r>
        <w:rPr>
          <w:rFonts w:hint="eastAsia" w:ascii="宋体" w:hAnsi="宋体" w:cs="宋体"/>
          <w:color w:val="auto"/>
          <w:sz w:val="22"/>
          <w:szCs w:val="22"/>
          <w:highlight w:val="none"/>
          <w:lang w:val="en-US" w:eastAsia="zh-CN"/>
        </w:rPr>
        <w:t>分</w:t>
      </w:r>
      <w:r>
        <w:rPr>
          <w:rFonts w:hint="eastAsia" w:ascii="宋体" w:hAnsi="宋体" w:eastAsia="宋体" w:cs="宋体"/>
          <w:color w:val="auto"/>
          <w:sz w:val="22"/>
          <w:szCs w:val="22"/>
          <w:highlight w:val="none"/>
        </w:rPr>
        <w:t>标准。</w:t>
      </w:r>
    </w:p>
    <w:p w14:paraId="6EE9D8B8">
      <w:pPr>
        <w:shd w:val="clear" w:color="auto" w:fill="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小型、微型企业提供中型企业制造的货物的，视同为中型企业。</w:t>
      </w:r>
    </w:p>
    <w:p w14:paraId="5A497E4B">
      <w:pPr>
        <w:shd w:val="clear" w:color="auto" w:fill="auto"/>
        <w:wordWrap w:val="0"/>
        <w:spacing w:line="360" w:lineRule="auto"/>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（3）本项目对小型和微型企业产品的价格给予6%的扣除，用扣除后的价格参与评审。</w:t>
      </w:r>
    </w:p>
    <w:p w14:paraId="15537C0A">
      <w:pPr>
        <w:shd w:val="clear" w:color="auto" w:fill="auto"/>
        <w:wordWrap w:val="0"/>
        <w:spacing w:line="360" w:lineRule="auto"/>
        <w:ind w:firstLine="220" w:firstLineChars="10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u w:val="single"/>
        </w:rPr>
        <w:t>3、享受小微企业价格折扣应提供以下证明材料</w:t>
      </w:r>
      <w:r>
        <w:rPr>
          <w:rFonts w:hint="eastAsia" w:ascii="宋体" w:hAnsi="宋体" w:eastAsia="宋体" w:cs="宋体"/>
          <w:color w:val="auto"/>
          <w:sz w:val="22"/>
          <w:szCs w:val="22"/>
          <w:highlight w:val="none"/>
          <w:lang w:eastAsia="zh-CN"/>
        </w:rPr>
        <w:t>：</w:t>
      </w:r>
    </w:p>
    <w:p w14:paraId="35BF1B1D">
      <w:pPr>
        <w:shd w:val="clear" w:color="auto" w:fill="auto"/>
        <w:wordWrap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（1）《中小企业声明函》（加盖供应商公章，格式见附件）</w:t>
      </w:r>
    </w:p>
    <w:p w14:paraId="0C0039BA">
      <w:pPr>
        <w:shd w:val="clear" w:color="auto" w:fill="auto"/>
        <w:wordWrap w:val="0"/>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u w:val="single"/>
        </w:rPr>
        <w:t>享受监狱企业价格折扣应提供以下证明材料（投标文件报价文件标中，不提供的不享受价格折扣）</w:t>
      </w:r>
      <w:r>
        <w:rPr>
          <w:rFonts w:hint="eastAsia" w:ascii="宋体" w:hAnsi="宋体" w:eastAsia="宋体" w:cs="宋体"/>
          <w:color w:val="auto"/>
          <w:sz w:val="22"/>
          <w:szCs w:val="22"/>
          <w:highlight w:val="none"/>
          <w:lang w:eastAsia="zh-CN"/>
        </w:rPr>
        <w:t>：</w:t>
      </w:r>
    </w:p>
    <w:p w14:paraId="384ACCBA">
      <w:pPr>
        <w:shd w:val="clear" w:color="auto" w:fill="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（1）监狱企业参加采购活动时，应当提供由省级以上监狱管理局、戒毒管理局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含新疆生产建设兵团</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出具的属于监狱企业的证明文件（原件或复印件加盖公章）。在采购活动中，监狱企业视同小型、微型企业，享受评审中价格扣除政策。</w:t>
      </w:r>
    </w:p>
    <w:p w14:paraId="129463E8">
      <w:pPr>
        <w:shd w:val="clear" w:color="auto" w:fill="auto"/>
        <w:wordWrap w:val="0"/>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u w:val="single"/>
        </w:rPr>
        <w:t>享受残疾人福利性单位</w:t>
      </w:r>
      <w:r>
        <w:rPr>
          <w:rFonts w:hint="eastAsia" w:ascii="宋体" w:hAnsi="宋体" w:cs="宋体"/>
          <w:color w:val="auto"/>
          <w:sz w:val="22"/>
          <w:szCs w:val="22"/>
          <w:highlight w:val="none"/>
          <w:u w:val="single"/>
          <w:lang w:val="en-US" w:eastAsia="zh-CN"/>
        </w:rPr>
        <w:t>价</w:t>
      </w:r>
      <w:r>
        <w:rPr>
          <w:rFonts w:hint="eastAsia" w:ascii="宋体" w:hAnsi="宋体" w:eastAsia="宋体" w:cs="宋体"/>
          <w:color w:val="auto"/>
          <w:sz w:val="22"/>
          <w:szCs w:val="22"/>
          <w:highlight w:val="none"/>
          <w:u w:val="single"/>
        </w:rPr>
        <w:t>格折扣应提供以下证明材料（投标文件报价文件标中，不提供的不享受价格折扣）</w:t>
      </w:r>
      <w:r>
        <w:rPr>
          <w:rFonts w:hint="eastAsia" w:ascii="宋体" w:hAnsi="宋体" w:eastAsia="宋体" w:cs="宋体"/>
          <w:color w:val="auto"/>
          <w:sz w:val="22"/>
          <w:szCs w:val="22"/>
          <w:highlight w:val="none"/>
          <w:lang w:eastAsia="zh-CN"/>
        </w:rPr>
        <w:t>：</w:t>
      </w:r>
    </w:p>
    <w:p w14:paraId="753DECF2">
      <w:pPr>
        <w:shd w:val="clear" w:color="auto" w:fill="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（1）残疾人福利性单位声明函；</w:t>
      </w:r>
    </w:p>
    <w:p w14:paraId="76CD8B14">
      <w:pPr>
        <w:shd w:val="clear" w:color="auto" w:fill="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3CA96ACB">
      <w:pPr>
        <w:shd w:val="clear" w:color="auto" w:fill="auto"/>
        <w:wordWrap w:val="0"/>
        <w:spacing w:line="360" w:lineRule="auto"/>
        <w:jc w:val="left"/>
        <w:rPr>
          <w:rFonts w:hint="eastAsia" w:ascii="宋体" w:hAnsi="宋体" w:eastAsia="宋体" w:cs="宋体"/>
          <w:color w:val="auto"/>
          <w:sz w:val="22"/>
          <w:szCs w:val="22"/>
          <w:highlight w:val="none"/>
        </w:rPr>
      </w:pPr>
    </w:p>
    <w:p w14:paraId="5E33A926">
      <w:pPr>
        <w:shd w:val="clear" w:color="auto" w:fill="auto"/>
        <w:snapToGrid w:val="0"/>
        <w:spacing w:line="360" w:lineRule="auto"/>
        <w:jc w:val="center"/>
        <w:rPr>
          <w:rFonts w:hint="eastAsia" w:ascii="宋体" w:hAnsi="宋体" w:eastAsia="宋体" w:cs="宋体"/>
          <w:b/>
          <w:bCs/>
          <w:color w:val="auto"/>
          <w:sz w:val="22"/>
          <w:szCs w:val="22"/>
          <w:highlight w:val="none"/>
        </w:rPr>
      </w:pPr>
      <w:bookmarkStart w:id="33" w:name="OLE_LINK13"/>
      <w:bookmarkStart w:id="34" w:name="OLE_LINK14"/>
      <w:r>
        <w:rPr>
          <w:rFonts w:hint="eastAsia" w:ascii="宋体" w:hAnsi="宋体" w:eastAsia="宋体" w:cs="宋体"/>
          <w:b/>
          <w:bCs/>
          <w:color w:val="auto"/>
          <w:sz w:val="22"/>
          <w:szCs w:val="22"/>
          <w:highlight w:val="none"/>
        </w:rPr>
        <w:t>中小企业声明函（服务、工程）</w:t>
      </w:r>
    </w:p>
    <w:p w14:paraId="1A55D160">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采购活动，工程的施工单位全部为符合政策要求的中小企业（或者</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服务全部由符合政策要求的中小企业承接）。相关企业（含联合体中的中小企业、签订分包意向协议的中小企业）的具体情况如下</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41FB1731">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val="en-US" w:eastAsia="zh-CN"/>
        </w:rPr>
        <w:t>租赁和商务服务业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万元（注1），属于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18C74D50">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val="en-US" w:eastAsia="zh-CN"/>
        </w:rPr>
        <w:t>租赁和商务服务业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5A6C2460">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33E66CFE">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以上企业，不属于大企业的分支机构，不存在控股股东为大企业的情形，也不存在与大企业的负责人为同一人的情形。 </w:t>
      </w:r>
    </w:p>
    <w:p w14:paraId="4FFF3882">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p>
    <w:p w14:paraId="141F9BC3">
      <w:pPr>
        <w:widowControl/>
        <w:shd w:val="clear" w:color="auto" w:fill="auto"/>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53A683C4">
      <w:pPr>
        <w:widowControl/>
        <w:shd w:val="clear" w:color="auto" w:fill="auto"/>
        <w:snapToGrid w:val="0"/>
        <w:spacing w:line="360" w:lineRule="auto"/>
        <w:ind w:firstLine="440" w:firstLineChars="20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30C7F69F">
      <w:pPr>
        <w:shd w:val="clear" w:color="auto" w:fill="auto"/>
        <w:wordWrap w:val="0"/>
        <w:snapToGrid w:val="0"/>
        <w:spacing w:line="360" w:lineRule="auto"/>
        <w:ind w:firstLine="3740" w:firstLineChars="1700"/>
        <w:jc w:val="righ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p>
    <w:p w14:paraId="79D31DB5">
      <w:pPr>
        <w:pStyle w:val="11"/>
        <w:shd w:val="clear" w:color="auto" w:fill="auto"/>
        <w:wordWrap w:val="0"/>
        <w:spacing w:after="0" w:line="360" w:lineRule="auto"/>
        <w:ind w:firstLine="232"/>
        <w:rPr>
          <w:rFonts w:hint="eastAsia" w:ascii="宋体" w:hAnsi="宋体" w:eastAsia="宋体" w:cs="宋体"/>
          <w:color w:val="auto"/>
          <w:sz w:val="22"/>
          <w:highlight w:val="none"/>
        </w:rPr>
      </w:pPr>
      <w:r>
        <w:rPr>
          <w:rFonts w:hint="eastAsia" w:ascii="宋体" w:hAnsi="宋体" w:eastAsia="宋体" w:cs="宋体"/>
          <w:color w:val="auto"/>
          <w:spacing w:val="6"/>
          <w:sz w:val="22"/>
          <w:highlight w:val="none"/>
        </w:rPr>
        <w:t>（注1）从业人员、营业收入、资产总额填报上一年度数据，无上一年度数据的新成立企业可不填</w:t>
      </w:r>
      <w:r>
        <w:rPr>
          <w:rFonts w:hint="eastAsia" w:ascii="宋体" w:hAnsi="宋体" w:eastAsia="宋体" w:cs="宋体"/>
          <w:color w:val="auto"/>
          <w:sz w:val="22"/>
          <w:highlight w:val="none"/>
        </w:rPr>
        <w:t>报。     </w:t>
      </w:r>
    </w:p>
    <w:p w14:paraId="7925C389">
      <w:pPr>
        <w:shd w:val="clear" w:color="auto" w:fill="auto"/>
        <w:wordWrap w:val="0"/>
        <w:spacing w:line="360" w:lineRule="auto"/>
        <w:jc w:val="center"/>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残疾人福利性单位声明函</w:t>
      </w:r>
    </w:p>
    <w:bookmarkEnd w:id="33"/>
    <w:bookmarkEnd w:id="34"/>
    <w:p w14:paraId="622D71E7">
      <w:pPr>
        <w:shd w:val="clear" w:color="auto" w:fill="auto"/>
        <w:wordWrap w:val="0"/>
        <w:spacing w:line="360" w:lineRule="auto"/>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本单位郑重声明，根据《财政部 民政部 中国残疾人联合会关于促进残疾人就业政府采购政策的通知》（财库</w:t>
      </w:r>
      <w:r>
        <w:rPr>
          <w:rFonts w:hint="eastAsia" w:ascii="宋体" w:hAnsi="宋体" w:eastAsia="宋体" w:cs="宋体"/>
          <w:color w:val="auto"/>
          <w:sz w:val="22"/>
          <w:szCs w:val="22"/>
          <w:highlight w:val="none"/>
        </w:rPr>
        <w:t>〔2017〕 141</w:t>
      </w:r>
      <w:r>
        <w:rPr>
          <w:rFonts w:hint="eastAsia" w:ascii="宋体" w:hAnsi="宋体" w:eastAsia="宋体" w:cs="宋体"/>
          <w:color w:val="auto"/>
          <w:spacing w:val="6"/>
          <w:sz w:val="22"/>
          <w:szCs w:val="22"/>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FB49332">
      <w:pPr>
        <w:shd w:val="clear" w:color="auto" w:fill="auto"/>
        <w:wordWrap w:val="0"/>
        <w:spacing w:line="360" w:lineRule="auto"/>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本单位对上述声明的真实性负责。如有虚假，将依法承担相应责任。</w:t>
      </w:r>
    </w:p>
    <w:p w14:paraId="15E2D119">
      <w:pPr>
        <w:shd w:val="clear" w:color="auto" w:fill="auto"/>
        <w:tabs>
          <w:tab w:val="left" w:pos="4860"/>
        </w:tabs>
        <w:wordWrap w:val="0"/>
        <w:spacing w:line="360" w:lineRule="auto"/>
        <w:ind w:right="1560" w:firstLine="464" w:firstLineChars="20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rPr>
        <w:t xml:space="preserve">               单位名称（盖章）</w:t>
      </w:r>
      <w:r>
        <w:rPr>
          <w:rFonts w:hint="eastAsia" w:ascii="宋体" w:hAnsi="宋体" w:eastAsia="宋体" w:cs="宋体"/>
          <w:color w:val="auto"/>
          <w:spacing w:val="6"/>
          <w:sz w:val="22"/>
          <w:szCs w:val="22"/>
          <w:highlight w:val="none"/>
          <w:lang w:eastAsia="zh-CN"/>
        </w:rPr>
        <w:t>：</w:t>
      </w:r>
    </w:p>
    <w:p w14:paraId="3C92D900">
      <w:pPr>
        <w:shd w:val="clear" w:color="auto" w:fill="auto"/>
        <w:tabs>
          <w:tab w:val="left" w:pos="4860"/>
        </w:tabs>
        <w:wordWrap w:val="0"/>
        <w:spacing w:line="360" w:lineRule="auto"/>
        <w:ind w:right="1560" w:firstLine="464" w:firstLineChars="20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rPr>
        <w:t xml:space="preserve">       日  期</w:t>
      </w:r>
      <w:r>
        <w:rPr>
          <w:rFonts w:hint="eastAsia" w:ascii="宋体" w:hAnsi="宋体" w:eastAsia="宋体" w:cs="宋体"/>
          <w:color w:val="auto"/>
          <w:spacing w:val="6"/>
          <w:sz w:val="22"/>
          <w:szCs w:val="22"/>
          <w:highlight w:val="none"/>
          <w:lang w:eastAsia="zh-CN"/>
        </w:rPr>
        <w:t>：</w:t>
      </w:r>
    </w:p>
    <w:p w14:paraId="13679582">
      <w:pPr>
        <w:shd w:val="clear" w:color="auto" w:fill="auto"/>
        <w:tabs>
          <w:tab w:val="left" w:pos="4860"/>
        </w:tabs>
        <w:wordWrap w:val="0"/>
        <w:spacing w:line="360" w:lineRule="auto"/>
        <w:ind w:right="156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备注说明</w:t>
      </w:r>
      <w:r>
        <w:rPr>
          <w:rFonts w:hint="eastAsia" w:ascii="宋体" w:hAnsi="宋体" w:eastAsia="宋体" w:cs="宋体"/>
          <w:color w:val="auto"/>
          <w:sz w:val="22"/>
          <w:szCs w:val="22"/>
          <w:highlight w:val="none"/>
          <w:lang w:eastAsia="zh-CN"/>
        </w:rPr>
        <w:t>：</w:t>
      </w:r>
    </w:p>
    <w:p w14:paraId="7262EFEE">
      <w:pPr>
        <w:shd w:val="clear" w:color="auto" w:fill="auto"/>
        <w:tabs>
          <w:tab w:val="left" w:pos="4860"/>
        </w:tabs>
        <w:wordWrap w:val="0"/>
        <w:spacing w:line="360" w:lineRule="auto"/>
        <w:ind w:right="156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1、如中标，将在中标公示中将此残疾人福利性单位声明函予以公示，接受社会监督；</w:t>
      </w:r>
    </w:p>
    <w:p w14:paraId="34706C5C">
      <w:pPr>
        <w:shd w:val="clear" w:color="auto" w:fill="auto"/>
        <w:tabs>
          <w:tab w:val="left" w:pos="4860"/>
        </w:tabs>
        <w:wordWrap w:val="0"/>
        <w:spacing w:line="360" w:lineRule="auto"/>
        <w:ind w:right="0" w:rightChars="0"/>
        <w:jc w:val="left"/>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2、供应商提供的《残疾人福利性单位声明函》与事实不符的，依照《政府采购法》第七十七条第一款的规定追究法律责任。</w:t>
      </w:r>
    </w:p>
    <w:p w14:paraId="477BA7AC">
      <w:pPr>
        <w:shd w:val="clear" w:color="auto" w:fill="auto"/>
        <w:wordWrap w:val="0"/>
        <w:snapToGrid w:val="0"/>
        <w:spacing w:line="360" w:lineRule="auto"/>
        <w:outlineLvl w:val="1"/>
        <w:rPr>
          <w:rFonts w:hint="eastAsia" w:ascii="宋体" w:hAnsi="宋体" w:eastAsia="宋体" w:cs="宋体"/>
          <w:color w:val="auto"/>
          <w:sz w:val="22"/>
          <w:szCs w:val="22"/>
          <w:highlight w:val="none"/>
        </w:rPr>
      </w:pPr>
      <w:bookmarkStart w:id="35" w:name="_Toc12703"/>
      <w:bookmarkStart w:id="36" w:name="_Toc32144"/>
      <w:bookmarkStart w:id="37" w:name="_Toc25588"/>
      <w:r>
        <w:rPr>
          <w:rFonts w:hint="eastAsia" w:ascii="宋体" w:hAnsi="宋体" w:eastAsia="宋体" w:cs="宋体"/>
          <w:color w:val="auto"/>
          <w:sz w:val="22"/>
          <w:szCs w:val="22"/>
          <w:highlight w:val="none"/>
        </w:rPr>
        <w:t>二、节能、环保产品优先（强制）采购政策说明</w:t>
      </w:r>
      <w:bookmarkEnd w:id="35"/>
      <w:bookmarkEnd w:id="36"/>
      <w:bookmarkEnd w:id="37"/>
    </w:p>
    <w:p w14:paraId="12375B1A">
      <w:pPr>
        <w:shd w:val="clear" w:color="auto" w:fill="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1、政策依据</w:t>
      </w:r>
    </w:p>
    <w:p w14:paraId="34C14574">
      <w:pPr>
        <w:shd w:val="clear" w:color="auto" w:fill="auto"/>
        <w:wordWrap w:val="0"/>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（一）《国务院办公厅关于建立政府强制采购节能产品制度的通知》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国办发[2007]51号</w:t>
      </w:r>
      <w:r>
        <w:rPr>
          <w:rFonts w:hint="eastAsia" w:ascii="宋体" w:hAnsi="宋体" w:eastAsia="宋体" w:cs="宋体"/>
          <w:color w:val="auto"/>
          <w:sz w:val="22"/>
          <w:szCs w:val="22"/>
          <w:highlight w:val="none"/>
          <w:lang w:eastAsia="zh-CN"/>
        </w:rPr>
        <w:t>）</w:t>
      </w:r>
    </w:p>
    <w:p w14:paraId="67811B69">
      <w:pPr>
        <w:shd w:val="clear" w:color="auto" w:fill="auto"/>
        <w:wordWrap w:val="0"/>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（二）财政部、发展改革委发布的《节能产品政府采购实施意见》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财库[2984]185号</w:t>
      </w:r>
      <w:r>
        <w:rPr>
          <w:rFonts w:hint="eastAsia" w:ascii="宋体" w:hAnsi="宋体" w:eastAsia="宋体" w:cs="宋体"/>
          <w:color w:val="auto"/>
          <w:sz w:val="22"/>
          <w:szCs w:val="22"/>
          <w:highlight w:val="none"/>
          <w:lang w:eastAsia="zh-CN"/>
        </w:rPr>
        <w:t>）</w:t>
      </w:r>
    </w:p>
    <w:p w14:paraId="2527117A">
      <w:pPr>
        <w:shd w:val="clear" w:color="auto" w:fill="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（三）财政部、原环保总局印发的《环境标志产品政府采购实施的意见》（财库[2986]90号）</w:t>
      </w:r>
    </w:p>
    <w:p w14:paraId="6EA8FF36">
      <w:pPr>
        <w:shd w:val="clear" w:color="auto" w:fill="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2、供应商投标货物属于节能、环保优先（强制）采购范围的，须提供相关证明材料。</w:t>
      </w:r>
    </w:p>
    <w:p w14:paraId="0ECCCC2D">
      <w:pPr>
        <w:shd w:val="clear" w:color="auto" w:fill="auto"/>
        <w:wordWrap w:val="0"/>
        <w:autoSpaceDE w:val="0"/>
        <w:autoSpaceDN w:val="0"/>
        <w:adjustRightInd w:val="0"/>
        <w:snapToGrid w:val="0"/>
        <w:spacing w:line="360" w:lineRule="auto"/>
        <w:jc w:val="center"/>
        <w:textAlignment w:val="bottom"/>
        <w:rPr>
          <w:rFonts w:hint="eastAsia" w:ascii="宋体" w:hAnsi="宋体" w:eastAsia="宋体" w:cs="宋体"/>
          <w:color w:val="auto"/>
          <w:sz w:val="36"/>
          <w:highlight w:val="none"/>
        </w:rPr>
      </w:pPr>
    </w:p>
    <w:p w14:paraId="314BBFF2">
      <w:pPr>
        <w:shd w:val="clear" w:color="auto" w:fill="auto"/>
        <w:wordWrap w:val="0"/>
        <w:autoSpaceDE w:val="0"/>
        <w:autoSpaceDN w:val="0"/>
        <w:adjustRightInd w:val="0"/>
        <w:snapToGrid w:val="0"/>
        <w:spacing w:line="360" w:lineRule="auto"/>
        <w:textAlignment w:val="bottom"/>
        <w:rPr>
          <w:rFonts w:hint="eastAsia" w:ascii="宋体" w:hAnsi="宋体" w:eastAsia="宋体" w:cs="宋体"/>
          <w:color w:val="auto"/>
          <w:sz w:val="36"/>
          <w:highlight w:val="none"/>
        </w:rPr>
      </w:pPr>
    </w:p>
    <w:p w14:paraId="31B95F4D">
      <w:pPr>
        <w:pStyle w:val="48"/>
        <w:shd w:val="clear" w:color="auto" w:fill="auto"/>
        <w:wordWrap w:val="0"/>
        <w:spacing w:line="360" w:lineRule="auto"/>
        <w:rPr>
          <w:rFonts w:hint="eastAsia" w:ascii="宋体" w:hAnsi="宋体" w:eastAsia="宋体" w:cs="宋体"/>
          <w:color w:val="auto"/>
          <w:sz w:val="36"/>
          <w:highlight w:val="none"/>
        </w:rPr>
      </w:pPr>
    </w:p>
    <w:p w14:paraId="02EB1849">
      <w:pPr>
        <w:pStyle w:val="10"/>
        <w:shd w:val="clear" w:color="auto" w:fill="auto"/>
        <w:wordWrap w:val="0"/>
        <w:spacing w:line="360" w:lineRule="auto"/>
        <w:rPr>
          <w:rFonts w:hint="eastAsia" w:ascii="宋体" w:hAnsi="宋体" w:eastAsia="宋体" w:cs="宋体"/>
          <w:color w:val="auto"/>
          <w:sz w:val="36"/>
          <w:highlight w:val="none"/>
        </w:rPr>
      </w:pPr>
    </w:p>
    <w:p w14:paraId="53A0AE62">
      <w:pPr>
        <w:pStyle w:val="11"/>
        <w:shd w:val="clear" w:color="auto" w:fill="auto"/>
        <w:wordWrap w:val="0"/>
        <w:spacing w:after="0" w:line="360" w:lineRule="auto"/>
        <w:ind w:firstLine="360"/>
        <w:rPr>
          <w:rFonts w:hint="eastAsia" w:ascii="宋体" w:hAnsi="宋体" w:eastAsia="宋体" w:cs="宋体"/>
          <w:color w:val="auto"/>
          <w:sz w:val="36"/>
          <w:highlight w:val="none"/>
        </w:rPr>
      </w:pPr>
    </w:p>
    <w:p w14:paraId="6A7BC0EB">
      <w:pPr>
        <w:pStyle w:val="11"/>
        <w:shd w:val="clear" w:color="auto" w:fill="auto"/>
        <w:wordWrap w:val="0"/>
        <w:spacing w:after="0" w:line="360" w:lineRule="auto"/>
        <w:ind w:firstLine="360"/>
        <w:rPr>
          <w:rFonts w:hint="eastAsia" w:ascii="宋体" w:hAnsi="宋体" w:eastAsia="宋体" w:cs="宋体"/>
          <w:color w:val="auto"/>
          <w:sz w:val="36"/>
          <w:highlight w:val="none"/>
        </w:rPr>
      </w:pPr>
    </w:p>
    <w:p w14:paraId="45BA84A5">
      <w:pPr>
        <w:pStyle w:val="11"/>
        <w:shd w:val="clear" w:color="auto" w:fill="auto"/>
        <w:wordWrap w:val="0"/>
        <w:spacing w:after="0" w:line="360" w:lineRule="auto"/>
        <w:ind w:firstLine="360"/>
        <w:rPr>
          <w:rFonts w:hint="eastAsia" w:ascii="宋体" w:hAnsi="宋体" w:eastAsia="宋体" w:cs="宋体"/>
          <w:color w:val="auto"/>
          <w:sz w:val="36"/>
          <w:highlight w:val="none"/>
        </w:rPr>
      </w:pPr>
    </w:p>
    <w:p w14:paraId="393E5890">
      <w:pPr>
        <w:pStyle w:val="11"/>
        <w:shd w:val="clear" w:color="auto" w:fill="auto"/>
        <w:wordWrap w:val="0"/>
        <w:spacing w:after="0" w:line="360" w:lineRule="auto"/>
        <w:ind w:firstLine="360"/>
        <w:rPr>
          <w:rFonts w:hint="eastAsia" w:ascii="宋体" w:hAnsi="宋体" w:eastAsia="宋体" w:cs="宋体"/>
          <w:color w:val="auto"/>
          <w:sz w:val="36"/>
          <w:highlight w:val="none"/>
        </w:rPr>
      </w:pPr>
    </w:p>
    <w:p w14:paraId="4A2D47D7">
      <w:pPr>
        <w:pStyle w:val="11"/>
        <w:shd w:val="clear" w:color="auto" w:fill="auto"/>
        <w:wordWrap w:val="0"/>
        <w:spacing w:after="0" w:line="360" w:lineRule="auto"/>
        <w:ind w:firstLine="360"/>
        <w:rPr>
          <w:rFonts w:hint="eastAsia" w:ascii="宋体" w:hAnsi="宋体" w:eastAsia="宋体" w:cs="宋体"/>
          <w:color w:val="auto"/>
          <w:sz w:val="36"/>
          <w:highlight w:val="none"/>
        </w:rPr>
      </w:pPr>
    </w:p>
    <w:p w14:paraId="107FBC4B">
      <w:pPr>
        <w:pStyle w:val="11"/>
        <w:shd w:val="clear" w:color="auto" w:fill="auto"/>
        <w:wordWrap w:val="0"/>
        <w:spacing w:after="0" w:line="360" w:lineRule="auto"/>
        <w:ind w:firstLine="360"/>
        <w:rPr>
          <w:rFonts w:hint="eastAsia" w:ascii="宋体" w:hAnsi="宋体" w:eastAsia="宋体" w:cs="宋体"/>
          <w:color w:val="auto"/>
          <w:sz w:val="36"/>
          <w:highlight w:val="none"/>
        </w:rPr>
      </w:pPr>
    </w:p>
    <w:p w14:paraId="1BE8D755">
      <w:pPr>
        <w:pStyle w:val="11"/>
        <w:shd w:val="clear" w:color="auto" w:fill="auto"/>
        <w:wordWrap w:val="0"/>
        <w:spacing w:after="0" w:line="360" w:lineRule="auto"/>
        <w:ind w:firstLine="360"/>
        <w:rPr>
          <w:rFonts w:hint="eastAsia" w:ascii="宋体" w:hAnsi="宋体" w:eastAsia="宋体" w:cs="宋体"/>
          <w:color w:val="auto"/>
          <w:sz w:val="36"/>
          <w:highlight w:val="none"/>
        </w:rPr>
      </w:pPr>
    </w:p>
    <w:p w14:paraId="2A557543">
      <w:pPr>
        <w:shd w:val="clear" w:color="auto" w:fill="auto"/>
        <w:wordWrap w:val="0"/>
        <w:autoSpaceDE w:val="0"/>
        <w:autoSpaceDN w:val="0"/>
        <w:adjustRightInd w:val="0"/>
        <w:snapToGrid w:val="0"/>
        <w:spacing w:line="360" w:lineRule="auto"/>
        <w:jc w:val="center"/>
        <w:textAlignment w:val="bottom"/>
        <w:outlineLvl w:val="0"/>
        <w:rPr>
          <w:rFonts w:hint="eastAsia" w:ascii="宋体" w:hAnsi="宋体" w:eastAsia="宋体" w:cs="宋体"/>
          <w:color w:val="auto"/>
          <w:sz w:val="36"/>
          <w:highlight w:val="none"/>
        </w:rPr>
      </w:pPr>
      <w:r>
        <w:rPr>
          <w:rFonts w:hint="eastAsia" w:ascii="宋体" w:hAnsi="宋体" w:eastAsia="宋体" w:cs="宋体"/>
          <w:color w:val="auto"/>
          <w:sz w:val="36"/>
          <w:highlight w:val="none"/>
        </w:rPr>
        <w:br w:type="page"/>
      </w:r>
      <w:bookmarkStart w:id="38" w:name="_Toc7442"/>
      <w:r>
        <w:rPr>
          <w:rFonts w:hint="eastAsia" w:ascii="宋体" w:hAnsi="宋体" w:eastAsia="宋体" w:cs="宋体"/>
          <w:color w:val="auto"/>
          <w:sz w:val="36"/>
          <w:highlight w:val="none"/>
        </w:rPr>
        <w:t>第五部分 合同格式（仅供参考）</w:t>
      </w:r>
      <w:bookmarkEnd w:id="38"/>
    </w:p>
    <w:p w14:paraId="64287F1A">
      <w:pPr>
        <w:snapToGrid w:val="0"/>
        <w:spacing w:line="360" w:lineRule="auto"/>
        <w:ind w:firstLine="480" w:firstLineChars="200"/>
        <w:rPr>
          <w:rFonts w:hint="eastAsia" w:ascii="宋体" w:hAnsi="宋体" w:cs="宋体"/>
          <w:color w:val="auto"/>
          <w:sz w:val="24"/>
          <w:szCs w:val="24"/>
          <w:highlight w:val="none"/>
        </w:rPr>
      </w:pPr>
      <w:bookmarkStart w:id="39" w:name="_Toc1378"/>
    </w:p>
    <w:p w14:paraId="4C78C86E">
      <w:pPr>
        <w:snapToGrid w:val="0"/>
        <w:spacing w:line="360" w:lineRule="auto"/>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rPr>
        <w:t>项目名称</w:t>
      </w:r>
      <w:r>
        <w:rPr>
          <w:rFonts w:hint="eastAsia" w:ascii="宋体" w:hAnsi="宋体" w:cs="宋体"/>
          <w:color w:val="auto"/>
          <w:sz w:val="21"/>
          <w:szCs w:val="21"/>
          <w:highlight w:val="none"/>
          <w:lang w:val="en-US" w:eastAsia="zh-CN"/>
        </w:rPr>
        <w:t>：</w:t>
      </w:r>
      <w:r>
        <w:rPr>
          <w:rFonts w:hint="eastAsia" w:ascii="宋体" w:hAnsi="宋体" w:cs="宋体"/>
          <w:color w:val="auto"/>
          <w:szCs w:val="21"/>
          <w:highlight w:val="none"/>
          <w:u w:val="single"/>
          <w:lang w:val="en-US" w:eastAsia="zh-CN"/>
        </w:rPr>
        <w:t xml:space="preserve">                          </w:t>
      </w:r>
    </w:p>
    <w:p w14:paraId="00F3930D">
      <w:pPr>
        <w:snapToGrid w:val="0"/>
        <w:spacing w:line="360" w:lineRule="auto"/>
        <w:rPr>
          <w:rFonts w:hint="eastAsia" w:ascii="宋体" w:hAnsi="宋体" w:cs="宋体"/>
          <w:color w:val="auto"/>
          <w:szCs w:val="21"/>
          <w:highlight w:val="none"/>
          <w:u w:val="single"/>
          <w:lang w:val="en-US" w:eastAsia="zh-CN"/>
        </w:rPr>
      </w:pPr>
      <w:r>
        <w:rPr>
          <w:rFonts w:hint="default" w:ascii="宋体" w:hAnsi="宋体" w:cs="宋体"/>
          <w:color w:val="auto"/>
          <w:szCs w:val="21"/>
          <w:highlight w:val="none"/>
          <w:u w:val="none"/>
          <w:lang w:val="en-US" w:eastAsia="zh-CN"/>
        </w:rPr>
        <w:t>甲方(委托方)</w:t>
      </w:r>
      <w:r>
        <w:rPr>
          <w:rFonts w:hint="eastAsia" w:ascii="宋体" w:hAnsi="宋体" w:cs="宋体"/>
          <w:color w:val="auto"/>
          <w:sz w:val="21"/>
          <w:szCs w:val="21"/>
          <w:highlight w:val="none"/>
          <w:lang w:val="en-US" w:eastAsia="zh-CN"/>
        </w:rPr>
        <w:t>：</w:t>
      </w:r>
      <w:r>
        <w:rPr>
          <w:rFonts w:hint="eastAsia" w:ascii="宋体" w:hAnsi="宋体" w:cs="宋体"/>
          <w:color w:val="auto"/>
          <w:szCs w:val="21"/>
          <w:highlight w:val="none"/>
          <w:u w:val="single"/>
          <w:lang w:val="en-US" w:eastAsia="zh-CN"/>
        </w:rPr>
        <w:t xml:space="preserve">                      </w:t>
      </w:r>
    </w:p>
    <w:p w14:paraId="6BAB5AC2">
      <w:pPr>
        <w:snapToGrid w:val="0"/>
        <w:spacing w:line="360" w:lineRule="auto"/>
        <w:rPr>
          <w:rFonts w:hint="eastAsia" w:ascii="宋体" w:hAnsi="宋体" w:cs="宋体"/>
          <w:color w:val="auto"/>
          <w:szCs w:val="21"/>
          <w:highlight w:val="none"/>
          <w:u w:val="single"/>
          <w:lang w:val="en-US" w:eastAsia="zh-CN"/>
        </w:rPr>
      </w:pPr>
      <w:r>
        <w:rPr>
          <w:rFonts w:hint="eastAsia" w:ascii="宋体" w:hAnsi="宋体" w:eastAsia="宋体" w:cs="宋体"/>
          <w:color w:val="auto"/>
          <w:szCs w:val="21"/>
          <w:highlight w:val="none"/>
        </w:rPr>
        <w:t>乙方(服务方)</w:t>
      </w:r>
      <w:r>
        <w:rPr>
          <w:rFonts w:hint="eastAsia" w:ascii="宋体" w:hAnsi="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u w:val="single"/>
          <w:lang w:val="en-US" w:eastAsia="zh-CN"/>
        </w:rPr>
        <w:t xml:space="preserve">                      </w:t>
      </w:r>
    </w:p>
    <w:p w14:paraId="30258666">
      <w:pPr>
        <w:snapToGrid w:val="0"/>
        <w:spacing w:line="360" w:lineRule="auto"/>
        <w:ind w:firstLine="420" w:firstLineChars="200"/>
        <w:rPr>
          <w:rFonts w:hint="eastAsia" w:ascii="宋体" w:hAnsi="宋体" w:cs="宋体"/>
          <w:color w:val="auto"/>
          <w:szCs w:val="21"/>
          <w:highlight w:val="none"/>
          <w:u w:val="single"/>
          <w:lang w:val="en-US" w:eastAsia="zh-CN"/>
        </w:rPr>
      </w:pPr>
    </w:p>
    <w:p w14:paraId="1B78ED00">
      <w:pPr>
        <w:snapToGrid w:val="0"/>
        <w:spacing w:line="360" w:lineRule="auto"/>
        <w:rPr>
          <w:rFonts w:hint="eastAsia" w:ascii="宋体" w:hAnsi="宋体" w:cs="宋体"/>
          <w:b/>
          <w:bCs/>
          <w:color w:val="auto"/>
          <w:szCs w:val="21"/>
          <w:highlight w:val="none"/>
          <w:u w:val="none"/>
          <w:lang w:val="en-US" w:eastAsia="zh-CN"/>
        </w:rPr>
      </w:pPr>
      <w:r>
        <w:rPr>
          <w:rFonts w:hint="eastAsia" w:ascii="宋体" w:hAnsi="宋体" w:cs="宋体"/>
          <w:b/>
          <w:bCs/>
          <w:color w:val="auto"/>
          <w:szCs w:val="21"/>
          <w:highlight w:val="none"/>
          <w:u w:val="none"/>
          <w:lang w:val="en-US" w:eastAsia="zh-CN"/>
        </w:rPr>
        <w:t>一、服务内容</w:t>
      </w:r>
    </w:p>
    <w:p w14:paraId="791D86E3">
      <w:pPr>
        <w:snapToGrid w:val="0"/>
        <w:spacing w:line="360" w:lineRule="auto"/>
        <w:ind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甲方同意在本合同服务期内全权委托乙方提供项目招商管理和开业筹备等服务,乙方向甲方提供的管理服务内容、标准和明细详见以下合同内容(商业管理咨询内容包括不限于以下内容，甲方有权根据项目实际情况且与乙方协商一致后调整)。</w:t>
      </w:r>
    </w:p>
    <w:p w14:paraId="55A240E4">
      <w:pPr>
        <w:snapToGrid w:val="0"/>
        <w:spacing w:line="360" w:lineRule="auto"/>
        <w:ind w:firstLine="420" w:firstLineChars="200"/>
        <w:rPr>
          <w:rFonts w:hint="default" w:ascii="宋体" w:hAnsi="宋体" w:cs="宋体"/>
          <w:color w:val="auto"/>
          <w:szCs w:val="21"/>
          <w:highlight w:val="none"/>
          <w:u w:val="single"/>
          <w:lang w:val="en-US" w:eastAsia="zh-CN"/>
        </w:rPr>
      </w:pPr>
      <w:r>
        <w:rPr>
          <w:rFonts w:hint="eastAsia" w:ascii="宋体" w:hAnsi="宋体" w:cs="宋体"/>
          <w:color w:val="auto"/>
          <w:szCs w:val="21"/>
          <w:highlight w:val="none"/>
          <w:u w:val="none"/>
          <w:lang w:val="en-US" w:eastAsia="zh-CN"/>
        </w:rPr>
        <w:t>1.1甲方提供的本项目位于</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。商业部分的建筑面积约为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万平方米，商业面积最终以实际图纸商业可租赁面积计算为准。</w:t>
      </w:r>
    </w:p>
    <w:p w14:paraId="1E06AC85">
      <w:pPr>
        <w:snapToGrid w:val="0"/>
        <w:spacing w:line="360" w:lineRule="auto"/>
        <w:ind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甲方作为项目所有权人委托乙方独家管理。乙方提供管理服务的方式是乙方根据项目进展需要协助甲方组建管理团队。除非经乙方书面确认，否则甲方不得以任何形式将本合同规定的全部或部分委托事项再委托给第三方。</w:t>
      </w:r>
    </w:p>
    <w:p w14:paraId="1D92F147">
      <w:pPr>
        <w:snapToGrid w:val="0"/>
        <w:spacing w:line="360" w:lineRule="auto"/>
        <w:ind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1.2双方承诺，未经对方书面同意，互不将对方公司名称或商标用于乙方或乙方关联公司的宣传、对外展示或所有注册名称之中。</w:t>
      </w:r>
    </w:p>
    <w:p w14:paraId="3E272E77">
      <w:pPr>
        <w:snapToGrid w:val="0"/>
        <w:spacing w:line="360" w:lineRule="auto"/>
        <w:rPr>
          <w:rFonts w:hint="default" w:ascii="宋体" w:hAnsi="宋体" w:eastAsia="宋体" w:cs="宋体"/>
          <w:b/>
          <w:bCs/>
          <w:color w:val="auto"/>
          <w:szCs w:val="21"/>
          <w:highlight w:val="none"/>
          <w:u w:val="none"/>
          <w:lang w:val="en-US" w:eastAsia="zh-CN"/>
        </w:rPr>
      </w:pPr>
      <w:r>
        <w:rPr>
          <w:rFonts w:hint="eastAsia" w:ascii="宋体" w:hAnsi="宋体" w:eastAsia="宋体" w:cs="宋体"/>
          <w:b/>
          <w:bCs/>
          <w:color w:val="auto"/>
          <w:szCs w:val="21"/>
          <w:highlight w:val="none"/>
          <w:u w:val="none"/>
          <w:lang w:val="en-US" w:eastAsia="zh-CN"/>
        </w:rPr>
        <w:t>二、</w:t>
      </w:r>
      <w:r>
        <w:rPr>
          <w:rFonts w:hint="eastAsia" w:ascii="宋体" w:hAnsi="宋体" w:cs="宋体"/>
          <w:b/>
          <w:bCs/>
          <w:color w:val="auto"/>
          <w:szCs w:val="21"/>
          <w:highlight w:val="none"/>
          <w:u w:val="none"/>
          <w:lang w:val="en-US" w:eastAsia="zh-CN"/>
        </w:rPr>
        <w:t>品牌授</w:t>
      </w:r>
      <w:r>
        <w:rPr>
          <w:rFonts w:hint="eastAsia" w:ascii="宋体" w:hAnsi="宋体" w:eastAsia="宋体" w:cs="宋体"/>
          <w:b/>
          <w:bCs/>
          <w:color w:val="auto"/>
          <w:szCs w:val="21"/>
          <w:highlight w:val="none"/>
          <w:u w:val="none"/>
          <w:lang w:val="en-US" w:eastAsia="zh-CN"/>
        </w:rPr>
        <w:t>权使用</w:t>
      </w:r>
      <w:r>
        <w:rPr>
          <w:rFonts w:hint="eastAsia" w:ascii="宋体" w:hAnsi="宋体" w:cs="宋体"/>
          <w:b/>
          <w:bCs/>
          <w:color w:val="auto"/>
          <w:szCs w:val="21"/>
          <w:highlight w:val="none"/>
          <w:u w:val="none"/>
          <w:lang w:val="en-US" w:eastAsia="zh-CN"/>
        </w:rPr>
        <w:t>服务</w:t>
      </w:r>
      <w:r>
        <w:rPr>
          <w:rFonts w:hint="eastAsia" w:ascii="宋体" w:hAnsi="宋体" w:eastAsia="宋体" w:cs="宋体"/>
          <w:b/>
          <w:bCs/>
          <w:color w:val="auto"/>
          <w:szCs w:val="21"/>
          <w:highlight w:val="none"/>
          <w:u w:val="none"/>
          <w:lang w:val="en-US" w:eastAsia="zh-CN"/>
        </w:rPr>
        <w:t>费金额及支付方式</w:t>
      </w:r>
    </w:p>
    <w:p w14:paraId="3F35421A">
      <w:pPr>
        <w:snapToGrid w:val="0"/>
        <w:spacing w:line="360" w:lineRule="auto"/>
        <w:ind w:firstLine="420" w:firstLineChars="200"/>
        <w:rPr>
          <w:rFonts w:hint="default"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2.1商标、商号授权内容</w:t>
      </w:r>
    </w:p>
    <w:p w14:paraId="57E4BE21">
      <w:pPr>
        <w:snapToGrid w:val="0"/>
        <w:spacing w:line="360" w:lineRule="auto"/>
        <w:ind w:firstLine="420" w:firstLineChars="200"/>
        <w:rPr>
          <w:rFonts w:hint="default" w:ascii="宋体" w:hAnsi="宋体" w:cs="宋体"/>
          <w:color w:val="auto"/>
          <w:szCs w:val="21"/>
          <w:highlight w:val="none"/>
          <w:u w:val="single"/>
          <w:lang w:val="en-US" w:eastAsia="zh-CN"/>
        </w:rPr>
      </w:pPr>
      <w:r>
        <w:rPr>
          <w:rFonts w:hint="eastAsia" w:ascii="宋体" w:hAnsi="宋体" w:cs="宋体"/>
          <w:color w:val="auto"/>
          <w:szCs w:val="21"/>
          <w:highlight w:val="none"/>
          <w:u w:val="none"/>
          <w:lang w:val="en-US" w:eastAsia="zh-CN"/>
        </w:rPr>
        <w:t>根据《中华人民共和国商标法》及《中华人民共和国商标法实施条例》有关规定，乙方同意授权甲方在位于</w:t>
      </w:r>
      <w:r>
        <w:rPr>
          <w:rFonts w:hint="eastAsia" w:ascii="宋体" w:hAnsi="宋体" w:cs="宋体"/>
          <w:color w:val="auto"/>
          <w:szCs w:val="21"/>
          <w:highlight w:val="none"/>
          <w:u w:val="single"/>
          <w:lang w:val="en-US" w:eastAsia="zh-CN"/>
        </w:rPr>
        <w:t>平阳县的</w:t>
      </w:r>
      <w:r>
        <w:rPr>
          <w:rFonts w:hint="eastAsia" w:ascii="宋体" w:hAnsi="宋体" w:cs="宋体"/>
          <w:color w:val="auto"/>
          <w:szCs w:val="21"/>
          <w:highlight w:val="none"/>
          <w:u w:val="none"/>
          <w:lang w:val="en-US" w:eastAsia="zh-CN"/>
        </w:rPr>
        <w:t>“</w:t>
      </w:r>
      <w:r>
        <w:rPr>
          <w:rFonts w:hint="eastAsia" w:ascii="宋体" w:hAnsi="宋体" w:cs="宋体"/>
          <w:color w:val="auto"/>
          <w:szCs w:val="21"/>
          <w:highlight w:val="none"/>
          <w:u w:val="single"/>
          <w:lang w:val="en-US" w:eastAsia="zh-CN"/>
        </w:rPr>
        <w:t>昆鳌协同区F-42地块商业综合体项目招商运营服务项目</w:t>
      </w:r>
      <w:r>
        <w:rPr>
          <w:rFonts w:hint="eastAsia" w:ascii="宋体" w:hAnsi="宋体" w:cs="宋体"/>
          <w:color w:val="auto"/>
          <w:szCs w:val="21"/>
          <w:highlight w:val="none"/>
          <w:u w:val="none"/>
          <w:lang w:val="en-US" w:eastAsia="zh-CN"/>
        </w:rPr>
        <w:t>”（以下简称 “该购物中心”）对外挂名使用乙方商号“</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”及商标(商标具体信息详见附件[商标注册证书等品牌资料详情])</w:t>
      </w:r>
    </w:p>
    <w:p w14:paraId="33E07C66">
      <w:pPr>
        <w:snapToGrid w:val="0"/>
        <w:spacing w:line="360" w:lineRule="auto"/>
        <w:ind w:firstLine="420" w:firstLineChars="200"/>
        <w:rPr>
          <w:rFonts w:hint="default"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2.2授权使用期限</w:t>
      </w:r>
    </w:p>
    <w:p w14:paraId="30DBCE78">
      <w:pPr>
        <w:snapToGrid w:val="0"/>
        <w:spacing w:line="360" w:lineRule="auto"/>
        <w:ind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本次商标、商号授权使用期限自</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日起至</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日。合同期满，如需延长使用时间，由甲、乙双方另行续订商标使用许可合同。</w:t>
      </w:r>
    </w:p>
    <w:p w14:paraId="0A3496EF">
      <w:pPr>
        <w:snapToGrid w:val="0"/>
        <w:spacing w:line="360" w:lineRule="auto"/>
        <w:ind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2.3授权使用范围</w:t>
      </w:r>
    </w:p>
    <w:p w14:paraId="5CDCBE56">
      <w:pPr>
        <w:snapToGrid w:val="0"/>
        <w:spacing w:line="360" w:lineRule="auto"/>
        <w:ind w:firstLine="420" w:firstLineChars="200"/>
        <w:rPr>
          <w:rFonts w:hint="default" w:ascii="宋体" w:hAnsi="宋体" w:cs="宋体"/>
          <w:color w:val="auto"/>
          <w:szCs w:val="21"/>
          <w:highlight w:val="none"/>
          <w:u w:val="none"/>
          <w:lang w:val="en-US" w:eastAsia="zh-CN"/>
        </w:rPr>
      </w:pPr>
      <w:r>
        <w:rPr>
          <w:rFonts w:hint="default" w:ascii="宋体" w:hAnsi="宋体" w:cs="宋体"/>
          <w:color w:val="auto"/>
          <w:szCs w:val="21"/>
          <w:highlight w:val="none"/>
          <w:u w:val="none"/>
          <w:lang w:val="en-US" w:eastAsia="zh-CN"/>
        </w:rPr>
        <w:t>该项目的建筑外立面、入口标识、内部指引标识、宣传物料(如海报、宣传单页等)以及线上官方</w:t>
      </w:r>
      <w:r>
        <w:rPr>
          <w:rFonts w:hint="eastAsia" w:ascii="宋体" w:hAnsi="宋体" w:cs="宋体"/>
          <w:color w:val="auto"/>
          <w:szCs w:val="21"/>
          <w:highlight w:val="none"/>
          <w:u w:val="none"/>
          <w:lang w:val="en-US" w:eastAsia="zh-CN"/>
        </w:rPr>
        <w:t>宣</w:t>
      </w:r>
      <w:r>
        <w:rPr>
          <w:rFonts w:hint="default" w:ascii="宋体" w:hAnsi="宋体" w:cs="宋体"/>
          <w:color w:val="auto"/>
          <w:szCs w:val="21"/>
          <w:highlight w:val="none"/>
          <w:u w:val="none"/>
          <w:lang w:val="en-US" w:eastAsia="zh-CN"/>
        </w:rPr>
        <w:t>传渠道(包括但不限于官方网站、社交媒体账号等)。授权商标、商号不得用于该项目场地内各单店的宣传经营。</w:t>
      </w:r>
    </w:p>
    <w:p w14:paraId="22D75E3B">
      <w:pPr>
        <w:snapToGrid w:val="0"/>
        <w:spacing w:line="360" w:lineRule="auto"/>
        <w:ind w:firstLine="420" w:firstLineChars="200"/>
        <w:rPr>
          <w:rFonts w:hint="default"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2.4许可费及支付方式</w:t>
      </w:r>
    </w:p>
    <w:p w14:paraId="0EAA7947">
      <w:pPr>
        <w:snapToGrid w:val="0"/>
        <w:spacing w:line="360" w:lineRule="auto"/>
        <w:ind w:firstLine="420" w:firstLineChars="200"/>
        <w:rPr>
          <w:rFonts w:hint="default" w:ascii="宋体" w:hAnsi="宋体" w:cs="宋体"/>
          <w:color w:val="auto"/>
          <w:szCs w:val="21"/>
          <w:highlight w:val="none"/>
          <w:u w:val="single"/>
          <w:lang w:val="en-US" w:eastAsia="zh-CN"/>
        </w:rPr>
      </w:pPr>
      <w:r>
        <w:rPr>
          <w:rFonts w:hint="eastAsia" w:ascii="宋体" w:hAnsi="宋体" w:cs="宋体"/>
          <w:color w:val="auto"/>
          <w:szCs w:val="21"/>
          <w:highlight w:val="none"/>
          <w:u w:val="none"/>
          <w:lang w:val="en-US" w:eastAsia="zh-CN"/>
        </w:rPr>
        <w:t>甲方向乙方支付的授权期间的总品牌使用费为人民币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元（大写：</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元整），其中不含税金额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元，增值税额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元。</w:t>
      </w:r>
    </w:p>
    <w:p w14:paraId="3A2D85A2">
      <w:pPr>
        <w:snapToGrid w:val="0"/>
        <w:spacing w:line="360" w:lineRule="auto"/>
        <w:ind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支付方式：按年支付，每年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万元，分十年支付。合同签订之日起的5个工作日内，乙方向甲方提供第一笔商标授权费</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万元对应的服务类增值税专用发票，甲方在收到发票后的5个工作日内，将该笔商标授权费</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万元汇入乙方指定账户。自2026年1月开始，乙方在每年12月10日前向甲方提供服务类增值税专用发票，甲方在收到发票后5个工作日内将对应商标授权费汇入乙方指定账户。2034年为支付期的最后一年。</w:t>
      </w:r>
    </w:p>
    <w:p w14:paraId="5F9E0FB5">
      <w:pPr>
        <w:snapToGrid w:val="0"/>
        <w:spacing w:line="360" w:lineRule="auto"/>
        <w:ind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2.5商标、商号使用规范及责任</w:t>
      </w:r>
    </w:p>
    <w:p w14:paraId="2780BB3F">
      <w:pPr>
        <w:snapToGrid w:val="0"/>
        <w:spacing w:line="360" w:lineRule="auto"/>
        <w:ind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甲方必须严格按照乙方商标使用规范的要求，使用乙方商标标识、标准字体、标准颜色等元素，确保商标使用上的一致性和专业性。未经乙方书面同意，甲方不得擅自对乙方授权商标的文字、图形或者其组合进行任何修改、变形、删减或添加其他元素。甲方不得超越商标注册证上标注的核定使用商品/服务项目许可的范围使用甲方的注册商标，亦不得将乙方商标、商号用于本合同约定以外的任何其他商业用途。</w:t>
      </w:r>
    </w:p>
    <w:p w14:paraId="267F1F2F">
      <w:pPr>
        <w:snapToGrid w:val="0"/>
        <w:spacing w:line="360" w:lineRule="auto"/>
        <w:ind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甲方负责维护乙方商标、商号声誉，遇损害乙方合法权益的情况需及时通知并配合乙方应对。若因甲方原因致乙方商标、商号价值受损的，甲方需对乙方的商标、商号价值损失承担赔偿责任。</w:t>
      </w:r>
    </w:p>
    <w:p w14:paraId="0EAA2A24">
      <w:pPr>
        <w:snapToGrid w:val="0"/>
        <w:spacing w:line="360" w:lineRule="auto"/>
        <w:ind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未经乙方书面授权同意，甲方不得将商标、商号用于本合同约定之外的范围或目的，也不得以任何形式和理由将商标、商号许可给任意第三人使用。</w:t>
      </w:r>
    </w:p>
    <w:p w14:paraId="03303584">
      <w:pPr>
        <w:snapToGrid w:val="0"/>
        <w:spacing w:line="360" w:lineRule="auto"/>
        <w:ind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乙方有权定期或不定期检查甲方的商标、商号使用情况，甲方需配合。乙方经检查发现甲方违规使用商标、商号的，甲方需及时整改。若甲方在乙方通知后仍未及时整改的，乙方有权直接扣除相应费用，并有权要求甲方立即暂停使用授权商标、商号，还可直接解除本授权，并追究甲方责任。</w:t>
      </w:r>
    </w:p>
    <w:p w14:paraId="25825DFE">
      <w:pPr>
        <w:snapToGrid w:val="0"/>
        <w:spacing w:line="360" w:lineRule="auto"/>
        <w:ind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乙方应保证其对授权商标拥有合法有效的所有权或授权处分权。本授权为非独家授权。乙方承诺在授权期内相关商标持续有效，若因商标到期给甲方带来直接损失，由乙方对该直接损失承担赔偿责任。</w:t>
      </w:r>
    </w:p>
    <w:p w14:paraId="08784AEC">
      <w:pPr>
        <w:snapToGrid w:val="0"/>
        <w:spacing w:line="360" w:lineRule="auto"/>
        <w:ind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2.6授权的终止</w:t>
      </w:r>
    </w:p>
    <w:p w14:paraId="2DD66086">
      <w:pPr>
        <w:snapToGrid w:val="0"/>
        <w:spacing w:line="360" w:lineRule="auto"/>
        <w:ind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本授权以本合同的终止而终止，经双方协商一致，也可以提前终止本商标、商号授权。</w:t>
      </w:r>
    </w:p>
    <w:p w14:paraId="3D5E35EF">
      <w:pPr>
        <w:snapToGrid w:val="0"/>
        <w:spacing w:line="360" w:lineRule="auto"/>
        <w:ind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发生下列情形之一，乙方有权解除商标、商号授权，且乙方有权在本合同或法律规定的其他补救之外，还享有强制禁止令救济（包括但不限于拆除店招，销毁宣传物料等救济手段）并要求甲方承担违约责任。</w:t>
      </w:r>
    </w:p>
    <w:p w14:paraId="0D96D736">
      <w:pPr>
        <w:snapToGrid w:val="0"/>
        <w:spacing w:line="360" w:lineRule="auto"/>
        <w:ind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1、甲方超越本合同约定使用范围使用商标、商号的；</w:t>
      </w:r>
    </w:p>
    <w:p w14:paraId="7EA910A3">
      <w:pPr>
        <w:snapToGrid w:val="0"/>
        <w:spacing w:line="360" w:lineRule="auto"/>
        <w:ind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2、甲方超越商标注册证上标注的核定使用商品/服务项目许可的范围使用商标的；</w:t>
      </w:r>
    </w:p>
    <w:p w14:paraId="34BC9BC6">
      <w:pPr>
        <w:snapToGrid w:val="0"/>
        <w:spacing w:line="360" w:lineRule="auto"/>
        <w:ind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3、甲方未经乙方书面授权同意，将商标、商号许可给任意第三人使用；</w:t>
      </w:r>
    </w:p>
    <w:p w14:paraId="564708D8">
      <w:pPr>
        <w:snapToGrid w:val="0"/>
        <w:spacing w:line="360" w:lineRule="auto"/>
        <w:ind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4、甲方未按约定时间足额支付商标授权使用费；</w:t>
      </w:r>
    </w:p>
    <w:p w14:paraId="0F4C2818">
      <w:pPr>
        <w:snapToGrid w:val="0"/>
        <w:spacing w:line="360" w:lineRule="auto"/>
        <w:ind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5、商标、商号使用不当使用，造成乙方商誉损害的；</w:t>
      </w:r>
    </w:p>
    <w:p w14:paraId="1038DC41">
      <w:pPr>
        <w:snapToGrid w:val="0"/>
        <w:spacing w:line="360" w:lineRule="auto"/>
        <w:ind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6、甲方存在损害乙方或授权商标、商号形象的其他情形；</w:t>
      </w:r>
    </w:p>
    <w:p w14:paraId="2BBF1A1F">
      <w:pPr>
        <w:snapToGrid w:val="0"/>
        <w:spacing w:line="360" w:lineRule="auto"/>
        <w:ind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发生下列情形之一，甲方有权解除本合同，并要求乙方承担相应的经济赔偿责任及退还剩余授权期限对应的商标、商号使用费（按日折算）</w:t>
      </w:r>
      <w:r>
        <w:rPr>
          <w:rFonts w:hint="eastAsia" w:ascii="宋体" w:hAnsi="宋体" w:cs="宋体"/>
          <w:color w:val="auto"/>
          <w:sz w:val="21"/>
          <w:szCs w:val="21"/>
          <w:highlight w:val="none"/>
          <w:lang w:val="en-US" w:eastAsia="zh-CN"/>
        </w:rPr>
        <w:t>：</w:t>
      </w:r>
    </w:p>
    <w:p w14:paraId="1A547D8A">
      <w:pPr>
        <w:snapToGrid w:val="0"/>
        <w:spacing w:line="360" w:lineRule="auto"/>
        <w:ind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1、乙方未能保证授权商标、商号的合法有效性；</w:t>
      </w:r>
    </w:p>
    <w:p w14:paraId="76E1E52C">
      <w:pPr>
        <w:snapToGrid w:val="0"/>
        <w:spacing w:line="360" w:lineRule="auto"/>
        <w:ind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2、因乙方商标或商号产生重大负面舆情，且该情况确系乙方责任，致使甲方声誉或商业利益受损；</w:t>
      </w:r>
    </w:p>
    <w:p w14:paraId="343EDE01">
      <w:pPr>
        <w:snapToGrid w:val="0"/>
        <w:spacing w:line="360" w:lineRule="auto"/>
        <w:ind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3、乙方存在损害甲方合法权益的其他情形。</w:t>
      </w:r>
    </w:p>
    <w:p w14:paraId="3D9AC669">
      <w:pPr>
        <w:snapToGrid w:val="0"/>
        <w:spacing w:line="360" w:lineRule="auto"/>
        <w:ind w:firstLine="420" w:firstLineChars="200"/>
        <w:rPr>
          <w:rFonts w:hint="default" w:ascii="宋体" w:hAnsi="宋体" w:eastAsia="宋体" w:cs="宋体"/>
          <w:color w:val="auto"/>
          <w:szCs w:val="21"/>
          <w:highlight w:val="none"/>
          <w:u w:val="none"/>
          <w:lang w:val="en-US" w:eastAsia="zh-CN"/>
        </w:rPr>
      </w:pPr>
      <w:r>
        <w:rPr>
          <w:rFonts w:hint="default" w:ascii="宋体" w:hAnsi="宋体" w:eastAsia="宋体" w:cs="宋体"/>
          <w:color w:val="auto"/>
          <w:szCs w:val="21"/>
          <w:highlight w:val="none"/>
          <w:u w:val="none"/>
          <w:lang w:val="en-US" w:eastAsia="zh-CN"/>
        </w:rPr>
        <w:t>本授权终止时，甲方应立即停止使用商标、商号，包括但不限于拆除外立面、入口标识</w:t>
      </w:r>
      <w:r>
        <w:rPr>
          <w:rFonts w:hint="eastAsia" w:ascii="宋体" w:hAnsi="宋体" w:eastAsia="宋体" w:cs="宋体"/>
          <w:color w:val="auto"/>
          <w:szCs w:val="21"/>
          <w:highlight w:val="none"/>
          <w:u w:val="none"/>
          <w:lang w:val="en-US" w:eastAsia="zh-CN"/>
        </w:rPr>
        <w:t>、内部指引标识等、销毁已制造完成的宣传物料及线上官方宣传渠道上所展示的授权商标信息。未尽事宜，双方可协商解决补充。若产生争议，双方应友好协商解决。协商不成，任何一方均可向原告所在地人民法院提起诉讼。</w:t>
      </w:r>
    </w:p>
    <w:p w14:paraId="7E2547C5">
      <w:pPr>
        <w:snapToGrid w:val="0"/>
        <w:spacing w:line="360" w:lineRule="auto"/>
        <w:rPr>
          <w:rFonts w:hint="default" w:ascii="宋体" w:hAnsi="宋体" w:eastAsia="宋体" w:cs="宋体"/>
          <w:b/>
          <w:bCs/>
          <w:color w:val="auto"/>
          <w:szCs w:val="21"/>
          <w:highlight w:val="none"/>
          <w:u w:val="none"/>
          <w:lang w:val="en-US" w:eastAsia="zh-CN"/>
        </w:rPr>
      </w:pPr>
      <w:r>
        <w:rPr>
          <w:rFonts w:hint="eastAsia" w:ascii="宋体" w:hAnsi="宋体" w:eastAsia="宋体" w:cs="宋体"/>
          <w:b/>
          <w:bCs/>
          <w:color w:val="auto"/>
          <w:szCs w:val="21"/>
          <w:highlight w:val="none"/>
          <w:u w:val="none"/>
          <w:lang w:val="en-US" w:eastAsia="zh-CN"/>
        </w:rPr>
        <w:t>三、策划服务费</w:t>
      </w:r>
    </w:p>
    <w:p w14:paraId="1B801D04">
      <w:pPr>
        <w:snapToGrid w:val="0"/>
        <w:spacing w:line="360" w:lineRule="auto"/>
        <w:ind w:firstLine="420" w:firstLineChars="200"/>
        <w:rPr>
          <w:rFonts w:hint="default" w:ascii="宋体" w:hAnsi="宋体" w:eastAsia="宋体" w:cs="宋体"/>
          <w:color w:val="auto"/>
          <w:szCs w:val="21"/>
          <w:highlight w:val="none"/>
          <w:u w:val="none"/>
          <w:lang w:val="en-US" w:eastAsia="zh-CN"/>
        </w:rPr>
      </w:pPr>
      <w:r>
        <w:rPr>
          <w:rFonts w:hint="default" w:ascii="宋体" w:hAnsi="宋体" w:eastAsia="宋体" w:cs="宋体"/>
          <w:color w:val="auto"/>
          <w:szCs w:val="21"/>
          <w:highlight w:val="none"/>
          <w:u w:val="none"/>
          <w:lang w:val="en-US" w:eastAsia="zh-CN"/>
        </w:rPr>
        <w:t>策划服务费共计人民币</w:t>
      </w:r>
      <w:r>
        <w:rPr>
          <w:rFonts w:hint="eastAsia" w:ascii="宋体" w:hAnsi="宋体" w:eastAsia="宋体" w:cs="宋体"/>
          <w:color w:val="auto"/>
          <w:szCs w:val="21"/>
          <w:highlight w:val="none"/>
          <w:u w:val="single"/>
          <w:lang w:val="en-US" w:eastAsia="zh-CN"/>
        </w:rPr>
        <w:t xml:space="preserve">           </w:t>
      </w:r>
      <w:r>
        <w:rPr>
          <w:rFonts w:hint="default" w:ascii="宋体" w:hAnsi="宋体" w:eastAsia="宋体" w:cs="宋体"/>
          <w:color w:val="auto"/>
          <w:szCs w:val="21"/>
          <w:highlight w:val="none"/>
          <w:u w:val="none"/>
          <w:lang w:val="en-US" w:eastAsia="zh-CN"/>
        </w:rPr>
        <w:t>元</w:t>
      </w:r>
      <w:r>
        <w:rPr>
          <w:rFonts w:hint="eastAsia" w:ascii="宋体" w:hAnsi="宋体" w:cs="宋体"/>
          <w:color w:val="auto"/>
          <w:szCs w:val="21"/>
          <w:highlight w:val="none"/>
          <w:u w:val="none"/>
          <w:lang w:val="en-US" w:eastAsia="zh-CN"/>
        </w:rPr>
        <w:t>（</w:t>
      </w:r>
      <w:r>
        <w:rPr>
          <w:rFonts w:hint="default" w:ascii="宋体" w:hAnsi="宋体" w:eastAsia="宋体" w:cs="宋体"/>
          <w:color w:val="auto"/>
          <w:szCs w:val="21"/>
          <w:highlight w:val="none"/>
          <w:u w:val="none"/>
          <w:lang w:val="en-US" w:eastAsia="zh-CN"/>
        </w:rPr>
        <w:t>大写</w:t>
      </w:r>
      <w:r>
        <w:rPr>
          <w:rFonts w:hint="eastAsia" w:ascii="宋体" w:hAnsi="宋体" w:eastAsia="宋体" w:cs="宋体"/>
          <w:color w:val="auto"/>
          <w:szCs w:val="21"/>
          <w:highlight w:val="none"/>
          <w:u w:val="none"/>
          <w:lang w:val="en-US" w:eastAsia="zh-CN"/>
        </w:rPr>
        <w:t>：</w:t>
      </w:r>
      <w:r>
        <w:rPr>
          <w:rFonts w:hint="eastAsia" w:ascii="宋体" w:hAnsi="宋体" w:eastAsia="宋体" w:cs="宋体"/>
          <w:color w:val="auto"/>
          <w:szCs w:val="21"/>
          <w:highlight w:val="none"/>
          <w:u w:val="single"/>
          <w:lang w:val="en-US" w:eastAsia="zh-CN"/>
        </w:rPr>
        <w:t xml:space="preserve">          </w:t>
      </w:r>
      <w:r>
        <w:rPr>
          <w:rFonts w:hint="default" w:ascii="宋体" w:hAnsi="宋体" w:eastAsia="宋体" w:cs="宋体"/>
          <w:color w:val="auto"/>
          <w:szCs w:val="21"/>
          <w:highlight w:val="none"/>
          <w:u w:val="none"/>
          <w:lang w:val="en-US" w:eastAsia="zh-CN"/>
        </w:rPr>
        <w:t>元整</w:t>
      </w:r>
      <w:r>
        <w:rPr>
          <w:rFonts w:hint="eastAsia" w:ascii="宋体" w:hAnsi="宋体" w:cs="宋体"/>
          <w:color w:val="auto"/>
          <w:szCs w:val="21"/>
          <w:highlight w:val="none"/>
          <w:u w:val="none"/>
          <w:lang w:val="en-US" w:eastAsia="zh-CN"/>
        </w:rPr>
        <w:t>）</w:t>
      </w:r>
      <w:r>
        <w:rPr>
          <w:rFonts w:hint="default" w:ascii="宋体" w:hAnsi="宋体" w:eastAsia="宋体" w:cs="宋体"/>
          <w:color w:val="auto"/>
          <w:szCs w:val="21"/>
          <w:highlight w:val="none"/>
          <w:u w:val="none"/>
          <w:lang w:val="en-US" w:eastAsia="zh-CN"/>
        </w:rPr>
        <w:t>，其中不含税金额</w:t>
      </w:r>
      <w:r>
        <w:rPr>
          <w:rFonts w:hint="eastAsia" w:ascii="宋体" w:hAnsi="宋体" w:eastAsia="宋体" w:cs="宋体"/>
          <w:color w:val="auto"/>
          <w:szCs w:val="21"/>
          <w:highlight w:val="none"/>
          <w:u w:val="single"/>
          <w:lang w:val="en-US" w:eastAsia="zh-CN"/>
        </w:rPr>
        <w:t xml:space="preserve">          </w:t>
      </w:r>
      <w:r>
        <w:rPr>
          <w:rFonts w:hint="default" w:ascii="宋体" w:hAnsi="宋体" w:eastAsia="宋体" w:cs="宋体"/>
          <w:color w:val="auto"/>
          <w:szCs w:val="21"/>
          <w:highlight w:val="none"/>
          <w:u w:val="none"/>
          <w:lang w:val="en-US" w:eastAsia="zh-CN"/>
        </w:rPr>
        <w:t>元，增值税额</w:t>
      </w:r>
      <w:r>
        <w:rPr>
          <w:rFonts w:hint="eastAsia" w:ascii="宋体" w:hAnsi="宋体" w:eastAsia="宋体" w:cs="宋体"/>
          <w:color w:val="auto"/>
          <w:szCs w:val="21"/>
          <w:highlight w:val="none"/>
          <w:u w:val="single"/>
          <w:lang w:val="en-US" w:eastAsia="zh-CN"/>
        </w:rPr>
        <w:t xml:space="preserve">       </w:t>
      </w:r>
      <w:r>
        <w:rPr>
          <w:rFonts w:hint="default" w:ascii="宋体" w:hAnsi="宋体" w:eastAsia="宋体" w:cs="宋体"/>
          <w:color w:val="auto"/>
          <w:szCs w:val="21"/>
          <w:highlight w:val="none"/>
          <w:u w:val="none"/>
          <w:lang w:val="en-US" w:eastAsia="zh-CN"/>
        </w:rPr>
        <w:t>元。策划服务期</w:t>
      </w:r>
      <w:r>
        <w:rPr>
          <w:rFonts w:hint="eastAsia" w:ascii="宋体" w:hAnsi="宋体" w:cs="宋体"/>
          <w:color w:val="auto"/>
          <w:szCs w:val="21"/>
          <w:highlight w:val="none"/>
          <w:u w:val="none"/>
          <w:lang w:val="en-US" w:eastAsia="zh-CN"/>
        </w:rPr>
        <w:t>：</w:t>
      </w:r>
      <w:r>
        <w:rPr>
          <w:rFonts w:hint="eastAsia" w:ascii="宋体" w:hAnsi="宋体" w:cs="宋体"/>
          <w:caps w:val="0"/>
          <w:color w:val="auto"/>
          <w:spacing w:val="0"/>
          <w:sz w:val="21"/>
          <w:szCs w:val="21"/>
          <w:highlight w:val="none"/>
          <w:lang w:val="en-US" w:eastAsia="zh-CN" w:bidi="en-US"/>
        </w:rPr>
        <w:t>合同签订</w:t>
      </w:r>
      <w:r>
        <w:rPr>
          <w:rFonts w:hint="eastAsia" w:ascii="宋体" w:hAnsi="宋体" w:eastAsia="宋体" w:cs="宋体"/>
          <w:caps w:val="0"/>
          <w:color w:val="auto"/>
          <w:spacing w:val="0"/>
          <w:sz w:val="21"/>
          <w:szCs w:val="21"/>
          <w:highlight w:val="none"/>
          <w:lang w:val="en-US" w:eastAsia="zh-CN" w:bidi="en-US"/>
        </w:rPr>
        <w:t>之日起至项目开业之日。</w:t>
      </w:r>
      <w:r>
        <w:rPr>
          <w:rFonts w:hint="default" w:ascii="宋体" w:hAnsi="宋体" w:eastAsia="宋体" w:cs="宋体"/>
          <w:color w:val="auto"/>
          <w:szCs w:val="21"/>
          <w:highlight w:val="none"/>
          <w:u w:val="none"/>
          <w:lang w:val="en-US" w:eastAsia="zh-CN"/>
        </w:rPr>
        <w:t>具体支付方式如下</w:t>
      </w:r>
      <w:r>
        <w:rPr>
          <w:rFonts w:hint="eastAsia" w:ascii="宋体" w:hAnsi="宋体" w:cs="宋体"/>
          <w:color w:val="auto"/>
          <w:sz w:val="21"/>
          <w:szCs w:val="21"/>
          <w:highlight w:val="none"/>
          <w:lang w:val="en-US" w:eastAsia="zh-CN"/>
        </w:rPr>
        <w:t>：</w:t>
      </w:r>
    </w:p>
    <w:p w14:paraId="34FFE2FD">
      <w:pPr>
        <w:snapToGrid w:val="0"/>
        <w:spacing w:line="360" w:lineRule="auto"/>
        <w:ind w:firstLine="420" w:firstLineChars="200"/>
        <w:rPr>
          <w:rFonts w:hint="default" w:ascii="宋体" w:hAnsi="宋体" w:eastAsia="宋体" w:cs="宋体"/>
          <w:color w:val="auto"/>
          <w:szCs w:val="21"/>
          <w:highlight w:val="none"/>
          <w:u w:val="none"/>
          <w:lang w:val="en-US" w:eastAsia="zh-CN"/>
        </w:rPr>
      </w:pPr>
      <w:r>
        <w:rPr>
          <w:rFonts w:hint="default" w:ascii="宋体" w:hAnsi="宋体" w:eastAsia="宋体" w:cs="宋体"/>
          <w:color w:val="auto"/>
          <w:szCs w:val="21"/>
          <w:highlight w:val="none"/>
          <w:u w:val="none"/>
          <w:lang w:val="en-US" w:eastAsia="zh-CN"/>
        </w:rPr>
        <w:t>第一阶段</w:t>
      </w:r>
      <w:r>
        <w:rPr>
          <w:rFonts w:hint="eastAsia" w:ascii="宋体" w:hAnsi="宋体" w:cs="宋体"/>
          <w:color w:val="auto"/>
          <w:sz w:val="21"/>
          <w:szCs w:val="21"/>
          <w:highlight w:val="none"/>
          <w:lang w:val="en-US" w:eastAsia="zh-CN"/>
        </w:rPr>
        <w:t>：</w:t>
      </w:r>
      <w:r>
        <w:rPr>
          <w:rFonts w:hint="default" w:ascii="宋体" w:hAnsi="宋体" w:eastAsia="宋体" w:cs="宋体"/>
          <w:color w:val="auto"/>
          <w:szCs w:val="21"/>
          <w:highlight w:val="none"/>
          <w:u w:val="none"/>
          <w:lang w:val="en-US" w:eastAsia="zh-CN"/>
        </w:rPr>
        <w:t>协议</w:t>
      </w:r>
      <w:r>
        <w:rPr>
          <w:rFonts w:hint="eastAsia" w:ascii="宋体" w:hAnsi="宋体" w:eastAsia="宋体" w:cs="宋体"/>
          <w:color w:val="auto"/>
          <w:szCs w:val="21"/>
          <w:highlight w:val="none"/>
          <w:u w:val="none"/>
          <w:lang w:val="en-US" w:eastAsia="zh-CN"/>
        </w:rPr>
        <w:t>签</w:t>
      </w:r>
      <w:r>
        <w:rPr>
          <w:rFonts w:hint="default" w:ascii="宋体" w:hAnsi="宋体" w:eastAsia="宋体" w:cs="宋体"/>
          <w:color w:val="auto"/>
          <w:szCs w:val="21"/>
          <w:highlight w:val="none"/>
          <w:u w:val="none"/>
          <w:lang w:val="en-US" w:eastAsia="zh-CN"/>
        </w:rPr>
        <w:t>订之日</w:t>
      </w:r>
      <w:r>
        <w:rPr>
          <w:rFonts w:hint="eastAsia" w:ascii="宋体" w:hAnsi="宋体" w:eastAsia="宋体" w:cs="宋体"/>
          <w:color w:val="auto"/>
          <w:szCs w:val="21"/>
          <w:highlight w:val="none"/>
          <w:u w:val="none"/>
          <w:lang w:val="en-US" w:eastAsia="zh-CN"/>
        </w:rPr>
        <w:t>的</w:t>
      </w:r>
      <w:r>
        <w:rPr>
          <w:rFonts w:hint="eastAsia" w:ascii="宋体" w:hAnsi="宋体" w:cs="宋体"/>
          <w:color w:val="auto"/>
          <w:szCs w:val="21"/>
          <w:highlight w:val="none"/>
          <w:u w:val="none"/>
          <w:lang w:val="en-US" w:eastAsia="zh-CN"/>
        </w:rPr>
        <w:t>14</w:t>
      </w:r>
      <w:r>
        <w:rPr>
          <w:rFonts w:hint="default" w:ascii="宋体" w:hAnsi="宋体" w:eastAsia="宋体" w:cs="宋体"/>
          <w:color w:val="auto"/>
          <w:szCs w:val="21"/>
          <w:highlight w:val="none"/>
          <w:u w:val="none"/>
          <w:lang w:val="en-US" w:eastAsia="zh-CN"/>
        </w:rPr>
        <w:t>日内，甲方支付乙方策划服务费用总额的</w:t>
      </w:r>
      <w:r>
        <w:rPr>
          <w:rFonts w:hint="eastAsia" w:ascii="宋体" w:hAnsi="宋体" w:eastAsia="宋体" w:cs="宋体"/>
          <w:color w:val="auto"/>
          <w:szCs w:val="21"/>
          <w:highlight w:val="none"/>
          <w:u w:val="none"/>
          <w:lang w:val="en-US" w:eastAsia="zh-CN"/>
        </w:rPr>
        <w:t>30%，即</w:t>
      </w:r>
      <w:r>
        <w:rPr>
          <w:rFonts w:hint="default" w:ascii="宋体" w:hAnsi="宋体" w:eastAsia="宋体" w:cs="宋体"/>
          <w:color w:val="auto"/>
          <w:szCs w:val="21"/>
          <w:highlight w:val="none"/>
          <w:u w:val="none"/>
          <w:lang w:val="en-US" w:eastAsia="zh-CN"/>
        </w:rPr>
        <w:t>人民币</w:t>
      </w:r>
      <w:r>
        <w:rPr>
          <w:rFonts w:hint="eastAsia" w:ascii="宋体" w:hAnsi="宋体" w:eastAsia="宋体" w:cs="宋体"/>
          <w:color w:val="auto"/>
          <w:szCs w:val="21"/>
          <w:highlight w:val="none"/>
          <w:u w:val="single"/>
          <w:lang w:val="en-US" w:eastAsia="zh-CN"/>
        </w:rPr>
        <w:t xml:space="preserve">    </w:t>
      </w:r>
      <w:r>
        <w:rPr>
          <w:rFonts w:hint="default" w:ascii="宋体" w:hAnsi="宋体" w:eastAsia="宋体" w:cs="宋体"/>
          <w:color w:val="auto"/>
          <w:szCs w:val="21"/>
          <w:highlight w:val="none"/>
          <w:u w:val="none"/>
          <w:lang w:val="en-US" w:eastAsia="zh-CN"/>
        </w:rPr>
        <w:t>元</w:t>
      </w:r>
      <w:r>
        <w:rPr>
          <w:rFonts w:hint="eastAsia" w:ascii="宋体" w:hAnsi="宋体" w:cs="宋体"/>
          <w:color w:val="auto"/>
          <w:szCs w:val="21"/>
          <w:highlight w:val="none"/>
          <w:u w:val="none"/>
          <w:lang w:val="en-US" w:eastAsia="zh-CN"/>
        </w:rPr>
        <w:t>（</w:t>
      </w:r>
      <w:r>
        <w:rPr>
          <w:rFonts w:hint="default" w:ascii="宋体" w:hAnsi="宋体" w:eastAsia="宋体" w:cs="宋体"/>
          <w:color w:val="auto"/>
          <w:szCs w:val="21"/>
          <w:highlight w:val="none"/>
          <w:u w:val="none"/>
          <w:lang w:val="en-US" w:eastAsia="zh-CN"/>
        </w:rPr>
        <w:t>大写</w:t>
      </w:r>
      <w:r>
        <w:rPr>
          <w:rFonts w:hint="eastAsia" w:ascii="宋体" w:hAnsi="宋体" w:eastAsia="宋体" w:cs="宋体"/>
          <w:color w:val="auto"/>
          <w:szCs w:val="21"/>
          <w:highlight w:val="none"/>
          <w:u w:val="none"/>
          <w:lang w:val="en-US" w:eastAsia="zh-CN"/>
        </w:rPr>
        <w:t>：</w:t>
      </w:r>
      <w:r>
        <w:rPr>
          <w:rFonts w:hint="eastAsia" w:ascii="宋体" w:hAnsi="宋体" w:eastAsia="宋体" w:cs="宋体"/>
          <w:color w:val="auto"/>
          <w:szCs w:val="21"/>
          <w:highlight w:val="none"/>
          <w:u w:val="single"/>
          <w:lang w:val="en-US" w:eastAsia="zh-CN"/>
        </w:rPr>
        <w:t xml:space="preserve">       </w:t>
      </w:r>
      <w:r>
        <w:rPr>
          <w:rFonts w:hint="default" w:ascii="宋体" w:hAnsi="宋体" w:eastAsia="宋体" w:cs="宋体"/>
          <w:color w:val="auto"/>
          <w:szCs w:val="21"/>
          <w:highlight w:val="none"/>
          <w:u w:val="none"/>
          <w:lang w:val="en-US" w:eastAsia="zh-CN"/>
        </w:rPr>
        <w:t>元整</w:t>
      </w:r>
      <w:r>
        <w:rPr>
          <w:rFonts w:hint="eastAsia" w:ascii="宋体" w:hAnsi="宋体" w:cs="宋体"/>
          <w:color w:val="auto"/>
          <w:szCs w:val="21"/>
          <w:highlight w:val="none"/>
          <w:u w:val="none"/>
          <w:lang w:val="en-US" w:eastAsia="zh-CN"/>
        </w:rPr>
        <w:t>）</w:t>
      </w:r>
      <w:r>
        <w:rPr>
          <w:rFonts w:hint="default" w:ascii="宋体" w:hAnsi="宋体" w:eastAsia="宋体" w:cs="宋体"/>
          <w:color w:val="auto"/>
          <w:szCs w:val="21"/>
          <w:highlight w:val="none"/>
          <w:u w:val="none"/>
          <w:lang w:val="en-US" w:eastAsia="zh-CN"/>
        </w:rPr>
        <w:t>。</w:t>
      </w:r>
    </w:p>
    <w:p w14:paraId="3F6BE30C">
      <w:pPr>
        <w:snapToGrid w:val="0"/>
        <w:spacing w:line="360" w:lineRule="auto"/>
        <w:ind w:firstLine="420" w:firstLineChars="200"/>
        <w:rPr>
          <w:rFonts w:hint="default" w:ascii="宋体" w:hAnsi="宋体" w:eastAsia="宋体" w:cs="宋体"/>
          <w:color w:val="auto"/>
          <w:szCs w:val="21"/>
          <w:highlight w:val="none"/>
          <w:u w:val="none"/>
          <w:lang w:val="en-US" w:eastAsia="zh-CN"/>
        </w:rPr>
      </w:pPr>
      <w:r>
        <w:rPr>
          <w:rFonts w:hint="default" w:ascii="宋体" w:hAnsi="宋体" w:eastAsia="宋体" w:cs="宋体"/>
          <w:color w:val="auto"/>
          <w:szCs w:val="21"/>
          <w:highlight w:val="none"/>
          <w:u w:val="none"/>
          <w:lang w:val="en-US" w:eastAsia="zh-CN"/>
        </w:rPr>
        <w:t>第二阶段</w:t>
      </w:r>
      <w:r>
        <w:rPr>
          <w:rFonts w:hint="eastAsia" w:ascii="宋体" w:hAnsi="宋体" w:cs="宋体"/>
          <w:color w:val="auto"/>
          <w:sz w:val="21"/>
          <w:szCs w:val="21"/>
          <w:highlight w:val="none"/>
          <w:lang w:val="en-US" w:eastAsia="zh-CN"/>
        </w:rPr>
        <w:t>：</w:t>
      </w:r>
      <w:r>
        <w:rPr>
          <w:rFonts w:hint="default" w:ascii="宋体" w:hAnsi="宋体" w:eastAsia="宋体" w:cs="宋体"/>
          <w:color w:val="auto"/>
          <w:szCs w:val="21"/>
          <w:highlight w:val="none"/>
          <w:u w:val="none"/>
          <w:lang w:val="en-US" w:eastAsia="zh-CN"/>
        </w:rPr>
        <w:t>乙方对接设计单位完成概念规划方案，且在甲乙双方书面确认后的</w:t>
      </w:r>
      <w:r>
        <w:rPr>
          <w:rFonts w:hint="eastAsia" w:ascii="宋体" w:hAnsi="宋体" w:cs="宋体"/>
          <w:color w:val="auto"/>
          <w:szCs w:val="21"/>
          <w:highlight w:val="none"/>
          <w:u w:val="none"/>
          <w:lang w:val="en-US" w:eastAsia="zh-CN"/>
        </w:rPr>
        <w:t>14</w:t>
      </w:r>
      <w:r>
        <w:rPr>
          <w:rFonts w:hint="default" w:ascii="宋体" w:hAnsi="宋体" w:eastAsia="宋体" w:cs="宋体"/>
          <w:color w:val="auto"/>
          <w:szCs w:val="21"/>
          <w:highlight w:val="none"/>
          <w:u w:val="none"/>
          <w:lang w:val="en-US" w:eastAsia="zh-CN"/>
        </w:rPr>
        <w:t>日内,甲方支付乙方策划服务费用总额的30%</w:t>
      </w:r>
      <w:r>
        <w:rPr>
          <w:rFonts w:hint="eastAsia" w:ascii="宋体" w:hAnsi="宋体" w:eastAsia="宋体" w:cs="宋体"/>
          <w:color w:val="auto"/>
          <w:szCs w:val="21"/>
          <w:highlight w:val="none"/>
          <w:u w:val="none"/>
          <w:lang w:val="en-US" w:eastAsia="zh-CN"/>
        </w:rPr>
        <w:t>，即</w:t>
      </w:r>
      <w:r>
        <w:rPr>
          <w:rFonts w:hint="default" w:ascii="宋体" w:hAnsi="宋体" w:eastAsia="宋体" w:cs="宋体"/>
          <w:color w:val="auto"/>
          <w:szCs w:val="21"/>
          <w:highlight w:val="none"/>
          <w:u w:val="none"/>
          <w:lang w:val="en-US" w:eastAsia="zh-CN"/>
        </w:rPr>
        <w:t>人民币</w:t>
      </w:r>
      <w:r>
        <w:rPr>
          <w:rFonts w:hint="eastAsia" w:ascii="宋体" w:hAnsi="宋体" w:eastAsia="宋体" w:cs="宋体"/>
          <w:color w:val="auto"/>
          <w:szCs w:val="21"/>
          <w:highlight w:val="none"/>
          <w:u w:val="single"/>
          <w:lang w:val="en-US" w:eastAsia="zh-CN"/>
        </w:rPr>
        <w:t xml:space="preserve">    </w:t>
      </w:r>
      <w:r>
        <w:rPr>
          <w:rFonts w:hint="default" w:ascii="宋体" w:hAnsi="宋体" w:eastAsia="宋体" w:cs="宋体"/>
          <w:color w:val="auto"/>
          <w:szCs w:val="21"/>
          <w:highlight w:val="none"/>
          <w:u w:val="none"/>
          <w:lang w:val="en-US" w:eastAsia="zh-CN"/>
        </w:rPr>
        <w:t>元</w:t>
      </w:r>
      <w:r>
        <w:rPr>
          <w:rFonts w:hint="eastAsia" w:ascii="宋体" w:hAnsi="宋体" w:cs="宋体"/>
          <w:color w:val="auto"/>
          <w:szCs w:val="21"/>
          <w:highlight w:val="none"/>
          <w:u w:val="none"/>
          <w:lang w:val="en-US" w:eastAsia="zh-CN"/>
        </w:rPr>
        <w:t>（</w:t>
      </w:r>
      <w:r>
        <w:rPr>
          <w:rFonts w:hint="default" w:ascii="宋体" w:hAnsi="宋体" w:eastAsia="宋体" w:cs="宋体"/>
          <w:color w:val="auto"/>
          <w:szCs w:val="21"/>
          <w:highlight w:val="none"/>
          <w:u w:val="none"/>
          <w:lang w:val="en-US" w:eastAsia="zh-CN"/>
        </w:rPr>
        <w:t>大写</w:t>
      </w:r>
      <w:r>
        <w:rPr>
          <w:rFonts w:hint="eastAsia" w:ascii="宋体" w:hAnsi="宋体" w:eastAsia="宋体" w:cs="宋体"/>
          <w:color w:val="auto"/>
          <w:szCs w:val="21"/>
          <w:highlight w:val="none"/>
          <w:u w:val="none"/>
          <w:lang w:val="en-US" w:eastAsia="zh-CN"/>
        </w:rPr>
        <w:t>：</w:t>
      </w:r>
      <w:r>
        <w:rPr>
          <w:rFonts w:hint="eastAsia" w:ascii="宋体" w:hAnsi="宋体" w:eastAsia="宋体" w:cs="宋体"/>
          <w:color w:val="auto"/>
          <w:szCs w:val="21"/>
          <w:highlight w:val="none"/>
          <w:u w:val="single"/>
          <w:lang w:val="en-US" w:eastAsia="zh-CN"/>
        </w:rPr>
        <w:t xml:space="preserve">       </w:t>
      </w:r>
      <w:r>
        <w:rPr>
          <w:rFonts w:hint="default" w:ascii="宋体" w:hAnsi="宋体" w:eastAsia="宋体" w:cs="宋体"/>
          <w:color w:val="auto"/>
          <w:szCs w:val="21"/>
          <w:highlight w:val="none"/>
          <w:u w:val="none"/>
          <w:lang w:val="en-US" w:eastAsia="zh-CN"/>
        </w:rPr>
        <w:t>元整</w:t>
      </w:r>
      <w:r>
        <w:rPr>
          <w:rFonts w:hint="eastAsia" w:ascii="宋体" w:hAnsi="宋体" w:cs="宋体"/>
          <w:color w:val="auto"/>
          <w:szCs w:val="21"/>
          <w:highlight w:val="none"/>
          <w:u w:val="none"/>
          <w:lang w:val="en-US" w:eastAsia="zh-CN"/>
        </w:rPr>
        <w:t>）</w:t>
      </w:r>
      <w:r>
        <w:rPr>
          <w:rFonts w:hint="default" w:ascii="宋体" w:hAnsi="宋体" w:eastAsia="宋体" w:cs="宋体"/>
          <w:color w:val="auto"/>
          <w:szCs w:val="21"/>
          <w:highlight w:val="none"/>
          <w:u w:val="none"/>
          <w:lang w:val="en-US" w:eastAsia="zh-CN"/>
        </w:rPr>
        <w:t>。</w:t>
      </w:r>
    </w:p>
    <w:p w14:paraId="316FAA69">
      <w:pPr>
        <w:snapToGrid w:val="0"/>
        <w:spacing w:line="360" w:lineRule="auto"/>
        <w:ind w:firstLine="420" w:firstLineChars="200"/>
        <w:rPr>
          <w:rFonts w:hint="default" w:ascii="宋体" w:hAnsi="宋体" w:eastAsia="宋体" w:cs="宋体"/>
          <w:color w:val="auto"/>
          <w:szCs w:val="21"/>
          <w:highlight w:val="none"/>
          <w:u w:val="none"/>
          <w:lang w:val="en-US" w:eastAsia="zh-CN"/>
        </w:rPr>
      </w:pPr>
      <w:r>
        <w:rPr>
          <w:rFonts w:hint="default" w:ascii="宋体" w:hAnsi="宋体" w:eastAsia="宋体" w:cs="宋体"/>
          <w:color w:val="auto"/>
          <w:szCs w:val="21"/>
          <w:highlight w:val="none"/>
          <w:u w:val="none"/>
          <w:lang w:val="en-US" w:eastAsia="zh-CN"/>
        </w:rPr>
        <w:t>第三阶段</w:t>
      </w:r>
      <w:r>
        <w:rPr>
          <w:rFonts w:hint="eastAsia" w:ascii="宋体" w:hAnsi="宋体" w:cs="宋体"/>
          <w:color w:val="auto"/>
          <w:sz w:val="21"/>
          <w:szCs w:val="21"/>
          <w:highlight w:val="none"/>
          <w:lang w:val="en-US" w:eastAsia="zh-CN"/>
        </w:rPr>
        <w:t>：</w:t>
      </w:r>
      <w:r>
        <w:rPr>
          <w:rFonts w:hint="default" w:ascii="宋体" w:hAnsi="宋体" w:eastAsia="宋体" w:cs="宋体"/>
          <w:color w:val="auto"/>
          <w:szCs w:val="21"/>
          <w:highlight w:val="none"/>
          <w:u w:val="none"/>
          <w:lang w:val="en-US" w:eastAsia="zh-CN"/>
        </w:rPr>
        <w:t>乙方对接设计单位完成项目施工图纸，且在甲乙双方书面确认后的</w:t>
      </w:r>
      <w:r>
        <w:rPr>
          <w:rFonts w:hint="eastAsia" w:ascii="宋体" w:hAnsi="宋体" w:cs="宋体"/>
          <w:color w:val="auto"/>
          <w:szCs w:val="21"/>
          <w:highlight w:val="none"/>
          <w:u w:val="none"/>
          <w:lang w:val="en-US" w:eastAsia="zh-CN"/>
        </w:rPr>
        <w:t>14</w:t>
      </w:r>
      <w:r>
        <w:rPr>
          <w:rFonts w:hint="default" w:ascii="宋体" w:hAnsi="宋体" w:eastAsia="宋体" w:cs="宋体"/>
          <w:color w:val="auto"/>
          <w:szCs w:val="21"/>
          <w:highlight w:val="none"/>
          <w:u w:val="none"/>
          <w:lang w:val="en-US" w:eastAsia="zh-CN"/>
        </w:rPr>
        <w:t>日内,甲方支付乙方策划服务费用总额的30%</w:t>
      </w:r>
      <w:r>
        <w:rPr>
          <w:rFonts w:hint="eastAsia" w:ascii="宋体" w:hAnsi="宋体" w:eastAsia="宋体" w:cs="宋体"/>
          <w:color w:val="auto"/>
          <w:szCs w:val="21"/>
          <w:highlight w:val="none"/>
          <w:u w:val="none"/>
          <w:lang w:val="en-US" w:eastAsia="zh-CN"/>
        </w:rPr>
        <w:t>，即</w:t>
      </w:r>
      <w:r>
        <w:rPr>
          <w:rFonts w:hint="default" w:ascii="宋体" w:hAnsi="宋体" w:eastAsia="宋体" w:cs="宋体"/>
          <w:color w:val="auto"/>
          <w:szCs w:val="21"/>
          <w:highlight w:val="none"/>
          <w:u w:val="none"/>
          <w:lang w:val="en-US" w:eastAsia="zh-CN"/>
        </w:rPr>
        <w:t>人民币</w:t>
      </w:r>
      <w:r>
        <w:rPr>
          <w:rFonts w:hint="eastAsia" w:ascii="宋体" w:hAnsi="宋体" w:eastAsia="宋体" w:cs="宋体"/>
          <w:color w:val="auto"/>
          <w:szCs w:val="21"/>
          <w:highlight w:val="none"/>
          <w:u w:val="single"/>
          <w:lang w:val="en-US" w:eastAsia="zh-CN"/>
        </w:rPr>
        <w:t xml:space="preserve">    </w:t>
      </w:r>
      <w:r>
        <w:rPr>
          <w:rFonts w:hint="default" w:ascii="宋体" w:hAnsi="宋体" w:eastAsia="宋体" w:cs="宋体"/>
          <w:color w:val="auto"/>
          <w:szCs w:val="21"/>
          <w:highlight w:val="none"/>
          <w:u w:val="none"/>
          <w:lang w:val="en-US" w:eastAsia="zh-CN"/>
        </w:rPr>
        <w:t>元</w:t>
      </w:r>
      <w:r>
        <w:rPr>
          <w:rFonts w:hint="eastAsia" w:ascii="宋体" w:hAnsi="宋体" w:cs="宋体"/>
          <w:color w:val="auto"/>
          <w:szCs w:val="21"/>
          <w:highlight w:val="none"/>
          <w:u w:val="none"/>
          <w:lang w:val="en-US" w:eastAsia="zh-CN"/>
        </w:rPr>
        <w:t>（</w:t>
      </w:r>
      <w:r>
        <w:rPr>
          <w:rFonts w:hint="default" w:ascii="宋体" w:hAnsi="宋体" w:eastAsia="宋体" w:cs="宋体"/>
          <w:color w:val="auto"/>
          <w:szCs w:val="21"/>
          <w:highlight w:val="none"/>
          <w:u w:val="none"/>
          <w:lang w:val="en-US" w:eastAsia="zh-CN"/>
        </w:rPr>
        <w:t>大写</w:t>
      </w:r>
      <w:r>
        <w:rPr>
          <w:rFonts w:hint="eastAsia" w:ascii="宋体" w:hAnsi="宋体" w:eastAsia="宋体" w:cs="宋体"/>
          <w:color w:val="auto"/>
          <w:szCs w:val="21"/>
          <w:highlight w:val="none"/>
          <w:u w:val="none"/>
          <w:lang w:val="en-US" w:eastAsia="zh-CN"/>
        </w:rPr>
        <w:t>：</w:t>
      </w:r>
      <w:r>
        <w:rPr>
          <w:rFonts w:hint="eastAsia" w:ascii="宋体" w:hAnsi="宋体" w:eastAsia="宋体" w:cs="宋体"/>
          <w:color w:val="auto"/>
          <w:szCs w:val="21"/>
          <w:highlight w:val="none"/>
          <w:u w:val="single"/>
          <w:lang w:val="en-US" w:eastAsia="zh-CN"/>
        </w:rPr>
        <w:t xml:space="preserve">       </w:t>
      </w:r>
      <w:r>
        <w:rPr>
          <w:rFonts w:hint="default" w:ascii="宋体" w:hAnsi="宋体" w:eastAsia="宋体" w:cs="宋体"/>
          <w:color w:val="auto"/>
          <w:szCs w:val="21"/>
          <w:highlight w:val="none"/>
          <w:u w:val="none"/>
          <w:lang w:val="en-US" w:eastAsia="zh-CN"/>
        </w:rPr>
        <w:t>元整</w:t>
      </w:r>
      <w:r>
        <w:rPr>
          <w:rFonts w:hint="eastAsia" w:ascii="宋体" w:hAnsi="宋体" w:cs="宋体"/>
          <w:color w:val="auto"/>
          <w:szCs w:val="21"/>
          <w:highlight w:val="none"/>
          <w:u w:val="none"/>
          <w:lang w:val="en-US" w:eastAsia="zh-CN"/>
        </w:rPr>
        <w:t>）</w:t>
      </w:r>
      <w:r>
        <w:rPr>
          <w:rFonts w:hint="default" w:ascii="宋体" w:hAnsi="宋体" w:eastAsia="宋体" w:cs="宋体"/>
          <w:color w:val="auto"/>
          <w:szCs w:val="21"/>
          <w:highlight w:val="none"/>
          <w:u w:val="none"/>
          <w:lang w:val="en-US" w:eastAsia="zh-CN"/>
        </w:rPr>
        <w:t>。</w:t>
      </w:r>
    </w:p>
    <w:p w14:paraId="4A81C07B">
      <w:pPr>
        <w:snapToGrid w:val="0"/>
        <w:spacing w:line="360" w:lineRule="auto"/>
        <w:ind w:firstLine="420" w:firstLineChars="200"/>
        <w:rPr>
          <w:rFonts w:hint="default" w:ascii="宋体" w:hAnsi="宋体" w:eastAsia="宋体" w:cs="宋体"/>
          <w:color w:val="auto"/>
          <w:szCs w:val="21"/>
          <w:highlight w:val="none"/>
          <w:u w:val="none"/>
          <w:lang w:val="en-US" w:eastAsia="zh-CN"/>
        </w:rPr>
      </w:pPr>
      <w:r>
        <w:rPr>
          <w:rFonts w:hint="default" w:ascii="宋体" w:hAnsi="宋体" w:eastAsia="宋体" w:cs="宋体"/>
          <w:color w:val="auto"/>
          <w:szCs w:val="21"/>
          <w:highlight w:val="none"/>
          <w:u w:val="none"/>
          <w:lang w:val="en-US" w:eastAsia="zh-CN"/>
        </w:rPr>
        <w:t>第四阶段</w:t>
      </w:r>
      <w:r>
        <w:rPr>
          <w:rFonts w:hint="eastAsia" w:ascii="宋体" w:hAnsi="宋体" w:cs="宋体"/>
          <w:color w:val="auto"/>
          <w:sz w:val="21"/>
          <w:szCs w:val="21"/>
          <w:highlight w:val="none"/>
          <w:lang w:val="en-US" w:eastAsia="zh-CN"/>
        </w:rPr>
        <w:t>：</w:t>
      </w:r>
      <w:r>
        <w:rPr>
          <w:rFonts w:hint="default" w:ascii="宋体" w:hAnsi="宋体" w:eastAsia="宋体" w:cs="宋体"/>
          <w:color w:val="auto"/>
          <w:szCs w:val="21"/>
          <w:highlight w:val="none"/>
          <w:u w:val="none"/>
          <w:lang w:val="en-US" w:eastAsia="zh-CN"/>
        </w:rPr>
        <w:t>乙方筹备招商阶段开始后的</w:t>
      </w:r>
      <w:r>
        <w:rPr>
          <w:rFonts w:hint="eastAsia" w:ascii="宋体" w:hAnsi="宋体" w:cs="宋体"/>
          <w:color w:val="auto"/>
          <w:szCs w:val="21"/>
          <w:highlight w:val="none"/>
          <w:u w:val="none"/>
          <w:lang w:val="en-US" w:eastAsia="zh-CN"/>
        </w:rPr>
        <w:t>14</w:t>
      </w:r>
      <w:r>
        <w:rPr>
          <w:rFonts w:hint="default" w:ascii="宋体" w:hAnsi="宋体" w:eastAsia="宋体" w:cs="宋体"/>
          <w:color w:val="auto"/>
          <w:szCs w:val="21"/>
          <w:highlight w:val="none"/>
          <w:u w:val="none"/>
          <w:lang w:val="en-US" w:eastAsia="zh-CN"/>
        </w:rPr>
        <w:t>日内，甲方支付乙方策划服务费用总额的10%，</w:t>
      </w:r>
      <w:r>
        <w:rPr>
          <w:rFonts w:hint="eastAsia" w:ascii="宋体" w:hAnsi="宋体" w:eastAsia="宋体" w:cs="宋体"/>
          <w:color w:val="auto"/>
          <w:szCs w:val="21"/>
          <w:highlight w:val="none"/>
          <w:u w:val="none"/>
          <w:lang w:val="en-US" w:eastAsia="zh-CN"/>
        </w:rPr>
        <w:t>即</w:t>
      </w:r>
      <w:r>
        <w:rPr>
          <w:rFonts w:hint="default" w:ascii="宋体" w:hAnsi="宋体" w:eastAsia="宋体" w:cs="宋体"/>
          <w:color w:val="auto"/>
          <w:szCs w:val="21"/>
          <w:highlight w:val="none"/>
          <w:u w:val="none"/>
          <w:lang w:val="en-US" w:eastAsia="zh-CN"/>
        </w:rPr>
        <w:t>人民币</w:t>
      </w:r>
      <w:r>
        <w:rPr>
          <w:rFonts w:hint="eastAsia" w:ascii="宋体" w:hAnsi="宋体" w:eastAsia="宋体" w:cs="宋体"/>
          <w:color w:val="auto"/>
          <w:szCs w:val="21"/>
          <w:highlight w:val="none"/>
          <w:u w:val="single"/>
          <w:lang w:val="en-US" w:eastAsia="zh-CN"/>
        </w:rPr>
        <w:t xml:space="preserve">    </w:t>
      </w:r>
      <w:r>
        <w:rPr>
          <w:rFonts w:hint="default" w:ascii="宋体" w:hAnsi="宋体" w:eastAsia="宋体" w:cs="宋体"/>
          <w:color w:val="auto"/>
          <w:szCs w:val="21"/>
          <w:highlight w:val="none"/>
          <w:u w:val="none"/>
          <w:lang w:val="en-US" w:eastAsia="zh-CN"/>
        </w:rPr>
        <w:t>元</w:t>
      </w:r>
      <w:r>
        <w:rPr>
          <w:rFonts w:hint="eastAsia" w:ascii="宋体" w:hAnsi="宋体" w:cs="宋体"/>
          <w:color w:val="auto"/>
          <w:szCs w:val="21"/>
          <w:highlight w:val="none"/>
          <w:u w:val="none"/>
          <w:lang w:val="en-US" w:eastAsia="zh-CN"/>
        </w:rPr>
        <w:t>（</w:t>
      </w:r>
      <w:r>
        <w:rPr>
          <w:rFonts w:hint="default" w:ascii="宋体" w:hAnsi="宋体" w:eastAsia="宋体" w:cs="宋体"/>
          <w:color w:val="auto"/>
          <w:szCs w:val="21"/>
          <w:highlight w:val="none"/>
          <w:u w:val="none"/>
          <w:lang w:val="en-US" w:eastAsia="zh-CN"/>
        </w:rPr>
        <w:t>大写</w:t>
      </w:r>
      <w:r>
        <w:rPr>
          <w:rFonts w:hint="eastAsia" w:ascii="宋体" w:hAnsi="宋体" w:eastAsia="宋体" w:cs="宋体"/>
          <w:color w:val="auto"/>
          <w:szCs w:val="21"/>
          <w:highlight w:val="none"/>
          <w:u w:val="none"/>
          <w:lang w:val="en-US" w:eastAsia="zh-CN"/>
        </w:rPr>
        <w:t>：</w:t>
      </w:r>
      <w:r>
        <w:rPr>
          <w:rFonts w:hint="eastAsia" w:ascii="宋体" w:hAnsi="宋体" w:eastAsia="宋体" w:cs="宋体"/>
          <w:color w:val="auto"/>
          <w:szCs w:val="21"/>
          <w:highlight w:val="none"/>
          <w:u w:val="single"/>
          <w:lang w:val="en-US" w:eastAsia="zh-CN"/>
        </w:rPr>
        <w:t xml:space="preserve">       </w:t>
      </w:r>
      <w:r>
        <w:rPr>
          <w:rFonts w:hint="default" w:ascii="宋体" w:hAnsi="宋体" w:eastAsia="宋体" w:cs="宋体"/>
          <w:color w:val="auto"/>
          <w:szCs w:val="21"/>
          <w:highlight w:val="none"/>
          <w:u w:val="none"/>
          <w:lang w:val="en-US" w:eastAsia="zh-CN"/>
        </w:rPr>
        <w:t>元整</w:t>
      </w:r>
      <w:r>
        <w:rPr>
          <w:rFonts w:hint="eastAsia" w:ascii="宋体" w:hAnsi="宋体" w:cs="宋体"/>
          <w:color w:val="auto"/>
          <w:szCs w:val="21"/>
          <w:highlight w:val="none"/>
          <w:u w:val="none"/>
          <w:lang w:val="en-US" w:eastAsia="zh-CN"/>
        </w:rPr>
        <w:t>）</w:t>
      </w:r>
      <w:r>
        <w:rPr>
          <w:rFonts w:hint="default" w:ascii="宋体" w:hAnsi="宋体" w:eastAsia="宋体" w:cs="宋体"/>
          <w:color w:val="auto"/>
          <w:szCs w:val="21"/>
          <w:highlight w:val="none"/>
          <w:u w:val="none"/>
          <w:lang w:val="en-US" w:eastAsia="zh-CN"/>
        </w:rPr>
        <w:t>。</w:t>
      </w:r>
    </w:p>
    <w:p w14:paraId="3ECD5CC7">
      <w:pPr>
        <w:snapToGrid w:val="0"/>
        <w:spacing w:line="360" w:lineRule="auto"/>
        <w:ind w:firstLine="420" w:firstLineChars="200"/>
        <w:rPr>
          <w:rFonts w:hint="default" w:ascii="宋体" w:hAnsi="宋体" w:eastAsia="宋体" w:cs="宋体"/>
          <w:color w:val="auto"/>
          <w:szCs w:val="21"/>
          <w:highlight w:val="none"/>
          <w:u w:val="none"/>
          <w:lang w:val="en-US" w:eastAsia="zh-CN"/>
        </w:rPr>
      </w:pPr>
      <w:r>
        <w:rPr>
          <w:rFonts w:hint="default" w:ascii="宋体" w:hAnsi="宋体" w:eastAsia="宋体" w:cs="宋体"/>
          <w:color w:val="auto"/>
          <w:szCs w:val="21"/>
          <w:highlight w:val="none"/>
          <w:u w:val="none"/>
          <w:lang w:val="en-US" w:eastAsia="zh-CN"/>
        </w:rPr>
        <w:t>甲方在向乙方支付各期款项前，乙方应提前向甲方提供和收款额一致的服务类增值税专用发票，如因发票不合规或未提供发票而影响付款，甲方不构成违约。</w:t>
      </w:r>
    </w:p>
    <w:p w14:paraId="1B81EC3B">
      <w:pPr>
        <w:snapToGrid w:val="0"/>
        <w:spacing w:line="360" w:lineRule="auto"/>
        <w:ind w:firstLine="420" w:firstLineChars="200"/>
        <w:rPr>
          <w:rFonts w:hint="default" w:ascii="宋体" w:hAnsi="宋体" w:eastAsia="宋体" w:cs="宋体"/>
          <w:color w:val="auto"/>
          <w:szCs w:val="21"/>
          <w:highlight w:val="none"/>
          <w:u w:val="none"/>
          <w:lang w:val="en-US" w:eastAsia="zh-CN"/>
        </w:rPr>
      </w:pPr>
      <w:r>
        <w:rPr>
          <w:rFonts w:hint="default" w:ascii="宋体" w:hAnsi="宋体" w:eastAsia="宋体" w:cs="宋体"/>
          <w:color w:val="auto"/>
          <w:szCs w:val="21"/>
          <w:highlight w:val="none"/>
          <w:u w:val="none"/>
          <w:lang w:val="en-US" w:eastAsia="zh-CN"/>
        </w:rPr>
        <w:t>服务内容包括以下</w:t>
      </w:r>
      <w:r>
        <w:rPr>
          <w:rFonts w:hint="eastAsia" w:ascii="宋体" w:hAnsi="宋体" w:cs="宋体"/>
          <w:color w:val="auto"/>
          <w:sz w:val="21"/>
          <w:szCs w:val="21"/>
          <w:highlight w:val="none"/>
          <w:lang w:val="en-US" w:eastAsia="zh-CN"/>
        </w:rPr>
        <w:t>：</w:t>
      </w:r>
    </w:p>
    <w:p w14:paraId="6F28CDCB">
      <w:pPr>
        <w:snapToGrid w:val="0"/>
        <w:spacing w:line="360" w:lineRule="auto"/>
        <w:ind w:firstLine="420" w:firstLineChars="200"/>
        <w:rPr>
          <w:rFonts w:hint="default" w:ascii="宋体" w:hAnsi="宋体" w:eastAsia="宋体" w:cs="宋体"/>
          <w:color w:val="auto"/>
          <w:szCs w:val="21"/>
          <w:highlight w:val="none"/>
          <w:u w:val="none"/>
          <w:lang w:val="en-US" w:eastAsia="zh-CN"/>
        </w:rPr>
      </w:pPr>
      <w:r>
        <w:rPr>
          <w:rFonts w:hint="default" w:ascii="宋体" w:hAnsi="宋体" w:eastAsia="宋体" w:cs="宋体"/>
          <w:color w:val="auto"/>
          <w:szCs w:val="21"/>
          <w:highlight w:val="none"/>
          <w:u w:val="none"/>
          <w:lang w:val="en-US" w:eastAsia="zh-CN"/>
        </w:rPr>
        <w:t>商业策划服务</w:t>
      </w:r>
      <w:r>
        <w:rPr>
          <w:rFonts w:hint="eastAsia" w:ascii="宋体" w:hAnsi="宋体" w:cs="宋体"/>
          <w:color w:val="auto"/>
          <w:sz w:val="21"/>
          <w:szCs w:val="21"/>
          <w:highlight w:val="none"/>
          <w:lang w:val="en-US" w:eastAsia="zh-CN"/>
        </w:rPr>
        <w:t>：</w:t>
      </w:r>
      <w:r>
        <w:rPr>
          <w:rFonts w:hint="default" w:ascii="宋体" w:hAnsi="宋体" w:eastAsia="宋体" w:cs="宋体"/>
          <w:color w:val="auto"/>
          <w:szCs w:val="21"/>
          <w:highlight w:val="none"/>
          <w:u w:val="none"/>
          <w:lang w:val="en-US" w:eastAsia="zh-CN"/>
        </w:rPr>
        <w:t>基于项目战略愿景、区域条件的本体分析</w:t>
      </w:r>
      <w:r>
        <w:rPr>
          <w:rFonts w:hint="eastAsia" w:ascii="宋体" w:hAnsi="宋体" w:cs="宋体"/>
          <w:color w:val="auto"/>
          <w:szCs w:val="21"/>
          <w:highlight w:val="none"/>
          <w:u w:val="none"/>
          <w:lang w:val="en-US" w:eastAsia="zh-CN"/>
        </w:rPr>
        <w:t>；</w:t>
      </w:r>
      <w:r>
        <w:rPr>
          <w:rFonts w:hint="default" w:ascii="宋体" w:hAnsi="宋体" w:eastAsia="宋体" w:cs="宋体"/>
          <w:color w:val="auto"/>
          <w:szCs w:val="21"/>
          <w:highlight w:val="none"/>
          <w:u w:val="none"/>
          <w:lang w:val="en-US" w:eastAsia="zh-CN"/>
        </w:rPr>
        <w:t>宏观经济环境、商业趋势、竞品格局及客群消费特征的市场调研</w:t>
      </w:r>
      <w:r>
        <w:rPr>
          <w:rFonts w:hint="eastAsia" w:ascii="宋体" w:hAnsi="宋体" w:cs="宋体"/>
          <w:color w:val="auto"/>
          <w:szCs w:val="21"/>
          <w:highlight w:val="none"/>
          <w:u w:val="none"/>
          <w:lang w:val="en-US" w:eastAsia="zh-CN"/>
        </w:rPr>
        <w:t>；</w:t>
      </w:r>
      <w:r>
        <w:rPr>
          <w:rFonts w:hint="default" w:ascii="宋体" w:hAnsi="宋体" w:eastAsia="宋体" w:cs="宋体"/>
          <w:color w:val="auto"/>
          <w:szCs w:val="21"/>
          <w:highlight w:val="none"/>
          <w:u w:val="none"/>
          <w:lang w:val="en-US" w:eastAsia="zh-CN"/>
        </w:rPr>
        <w:t>结合SWOT分析形成的整体发展战略(含主题定位、功能配比、业态矩阵)</w:t>
      </w:r>
      <w:r>
        <w:rPr>
          <w:rFonts w:hint="eastAsia" w:ascii="宋体" w:hAnsi="宋体" w:cs="宋体"/>
          <w:color w:val="auto"/>
          <w:szCs w:val="21"/>
          <w:highlight w:val="none"/>
          <w:u w:val="none"/>
          <w:lang w:val="en-US" w:eastAsia="zh-CN"/>
        </w:rPr>
        <w:t>；</w:t>
      </w:r>
      <w:r>
        <w:rPr>
          <w:rFonts w:hint="default" w:ascii="宋体" w:hAnsi="宋体" w:eastAsia="宋体" w:cs="宋体"/>
          <w:color w:val="auto"/>
          <w:szCs w:val="21"/>
          <w:highlight w:val="none"/>
          <w:u w:val="none"/>
          <w:lang w:val="en-US" w:eastAsia="zh-CN"/>
        </w:rPr>
        <w:t>基于市场调研和项目定位的项目营收预测模型构建及品牌组合策略、主力品牌筛选等。</w:t>
      </w:r>
    </w:p>
    <w:p w14:paraId="1A7070EF">
      <w:pPr>
        <w:snapToGrid w:val="0"/>
        <w:spacing w:line="360" w:lineRule="auto"/>
        <w:ind w:firstLine="420" w:firstLineChars="200"/>
        <w:rPr>
          <w:rFonts w:hint="default" w:ascii="宋体" w:hAnsi="宋体" w:eastAsia="宋体" w:cs="宋体"/>
          <w:color w:val="auto"/>
          <w:szCs w:val="21"/>
          <w:highlight w:val="none"/>
          <w:u w:val="none"/>
          <w:lang w:val="en-US" w:eastAsia="zh-CN"/>
        </w:rPr>
      </w:pPr>
      <w:r>
        <w:rPr>
          <w:rFonts w:hint="default" w:ascii="宋体" w:hAnsi="宋体" w:eastAsia="宋体" w:cs="宋体"/>
          <w:color w:val="auto"/>
          <w:szCs w:val="21"/>
          <w:highlight w:val="none"/>
          <w:u w:val="none"/>
          <w:lang w:val="en-US" w:eastAsia="zh-CN"/>
        </w:rPr>
        <w:t>全过程咨询服务</w:t>
      </w:r>
      <w:r>
        <w:rPr>
          <w:rFonts w:hint="eastAsia" w:ascii="宋体" w:hAnsi="宋体" w:cs="宋体"/>
          <w:color w:val="auto"/>
          <w:sz w:val="21"/>
          <w:szCs w:val="21"/>
          <w:highlight w:val="none"/>
          <w:lang w:val="en-US" w:eastAsia="zh-CN"/>
        </w:rPr>
        <w:t>：</w:t>
      </w:r>
      <w:r>
        <w:rPr>
          <w:rFonts w:hint="default" w:ascii="宋体" w:hAnsi="宋体" w:eastAsia="宋体" w:cs="宋体"/>
          <w:color w:val="auto"/>
          <w:szCs w:val="21"/>
          <w:highlight w:val="none"/>
          <w:u w:val="none"/>
          <w:lang w:val="en-US" w:eastAsia="zh-CN"/>
        </w:rPr>
        <w:t>基于项目愿景，提供合理清晰的市场调研、项目定位、业态规划、招商策略、经济测算、建设期商业空间规划协调顾问(审核设计图纸商业合理性、提供商业专项工程需求建议、协调商业需求与工程进度匹配)等。</w:t>
      </w:r>
    </w:p>
    <w:p w14:paraId="5AFDEF58">
      <w:pPr>
        <w:snapToGrid w:val="0"/>
        <w:spacing w:line="360" w:lineRule="auto"/>
        <w:rPr>
          <w:rFonts w:hint="default" w:ascii="宋体" w:hAnsi="宋体" w:eastAsia="宋体" w:cs="宋体"/>
          <w:b/>
          <w:bCs/>
          <w:color w:val="auto"/>
          <w:szCs w:val="21"/>
          <w:highlight w:val="none"/>
          <w:u w:val="none"/>
          <w:lang w:val="en-US" w:eastAsia="zh-CN"/>
        </w:rPr>
      </w:pPr>
      <w:r>
        <w:rPr>
          <w:rFonts w:hint="default" w:ascii="宋体" w:hAnsi="宋体" w:eastAsia="宋体" w:cs="宋体"/>
          <w:b/>
          <w:bCs/>
          <w:color w:val="auto"/>
          <w:szCs w:val="21"/>
          <w:highlight w:val="none"/>
          <w:u w:val="none"/>
          <w:lang w:val="en-US" w:eastAsia="zh-CN"/>
        </w:rPr>
        <w:t>四、招商服务期限及服务费用标准</w:t>
      </w:r>
    </w:p>
    <w:p w14:paraId="70680E5B">
      <w:pPr>
        <w:snapToGrid w:val="0"/>
        <w:spacing w:line="360" w:lineRule="auto"/>
        <w:ind w:firstLine="420" w:firstLineChars="200"/>
        <w:rPr>
          <w:rFonts w:hint="default" w:ascii="宋体" w:hAnsi="宋体" w:eastAsia="宋体" w:cs="宋体"/>
          <w:color w:val="auto"/>
          <w:szCs w:val="21"/>
          <w:highlight w:val="none"/>
          <w:u w:val="none"/>
          <w:lang w:val="en-US" w:eastAsia="zh-CN"/>
        </w:rPr>
      </w:pPr>
      <w:r>
        <w:rPr>
          <w:rFonts w:hint="default" w:ascii="宋体" w:hAnsi="宋体" w:eastAsia="宋体" w:cs="宋体"/>
          <w:color w:val="auto"/>
          <w:szCs w:val="21"/>
          <w:highlight w:val="none"/>
          <w:u w:val="none"/>
          <w:lang w:val="en-US" w:eastAsia="zh-CN"/>
        </w:rPr>
        <w:t>4.1除本合同另有约定外，招商服务期限</w:t>
      </w:r>
      <w:r>
        <w:rPr>
          <w:rFonts w:hint="eastAsia" w:ascii="宋体" w:hAnsi="宋体" w:cs="宋体"/>
          <w:color w:val="auto"/>
          <w:szCs w:val="21"/>
          <w:highlight w:val="none"/>
          <w:u w:val="none"/>
          <w:lang w:val="en-US" w:eastAsia="zh-CN"/>
        </w:rPr>
        <w:t>：</w:t>
      </w:r>
      <w:r>
        <w:rPr>
          <w:rFonts w:hint="default" w:ascii="宋体" w:hAnsi="宋体" w:eastAsia="宋体" w:cs="宋体"/>
          <w:color w:val="auto"/>
          <w:szCs w:val="21"/>
          <w:highlight w:val="none"/>
          <w:u w:val="none"/>
          <w:lang w:val="en-US" w:eastAsia="zh-CN"/>
        </w:rPr>
        <w:t>开业前18个月。项目乙方常驻人员4名+4名弹性人员，按项目实际进展情况，双方约定开业时间以双方书面确认为准后落实进场及招商工作。</w:t>
      </w:r>
    </w:p>
    <w:p w14:paraId="2DF543BB">
      <w:pPr>
        <w:snapToGrid w:val="0"/>
        <w:spacing w:line="360" w:lineRule="auto"/>
        <w:ind w:firstLine="420" w:firstLineChars="200"/>
        <w:rPr>
          <w:rFonts w:hint="default" w:ascii="宋体" w:hAnsi="宋体" w:eastAsia="宋体" w:cs="宋体"/>
          <w:color w:val="auto"/>
          <w:szCs w:val="21"/>
          <w:highlight w:val="none"/>
          <w:u w:val="none"/>
          <w:lang w:val="en-US" w:eastAsia="zh-CN"/>
        </w:rPr>
      </w:pPr>
      <w:r>
        <w:rPr>
          <w:rFonts w:hint="default" w:ascii="宋体" w:hAnsi="宋体" w:eastAsia="宋体" w:cs="宋体"/>
          <w:color w:val="auto"/>
          <w:szCs w:val="21"/>
          <w:highlight w:val="none"/>
          <w:u w:val="none"/>
          <w:lang w:val="en-US" w:eastAsia="zh-CN"/>
        </w:rPr>
        <w:t>4.2招商服务费用标准</w:t>
      </w:r>
    </w:p>
    <w:p w14:paraId="19C2618F">
      <w:pPr>
        <w:snapToGrid w:val="0"/>
        <w:spacing w:line="360" w:lineRule="auto"/>
        <w:ind w:firstLine="420" w:firstLineChars="200"/>
        <w:rPr>
          <w:rFonts w:hint="default" w:ascii="宋体" w:hAnsi="宋体" w:eastAsia="宋体" w:cs="宋体"/>
          <w:color w:val="auto"/>
          <w:szCs w:val="21"/>
          <w:highlight w:val="none"/>
          <w:u w:val="none"/>
          <w:lang w:val="en-US" w:eastAsia="zh-CN"/>
        </w:rPr>
      </w:pPr>
      <w:r>
        <w:rPr>
          <w:rFonts w:hint="default" w:ascii="宋体" w:hAnsi="宋体" w:eastAsia="宋体" w:cs="宋体"/>
          <w:color w:val="auto"/>
          <w:szCs w:val="21"/>
          <w:highlight w:val="none"/>
          <w:u w:val="none"/>
          <w:lang w:val="en-US" w:eastAsia="zh-CN"/>
        </w:rPr>
        <w:t>(1)招商团队固定费用</w:t>
      </w:r>
      <w:r>
        <w:rPr>
          <w:rFonts w:hint="eastAsia" w:ascii="宋体" w:hAnsi="宋体" w:cs="宋体"/>
          <w:color w:val="auto"/>
          <w:sz w:val="21"/>
          <w:szCs w:val="21"/>
          <w:highlight w:val="none"/>
          <w:lang w:val="en-US" w:eastAsia="zh-CN"/>
        </w:rPr>
        <w:t>：20万元/月，期限为18个月。包括（但不限于）：</w:t>
      </w:r>
      <w:r>
        <w:rPr>
          <w:rFonts w:hint="default" w:ascii="宋体" w:hAnsi="宋体" w:eastAsia="宋体" w:cs="宋体"/>
          <w:color w:val="auto"/>
          <w:szCs w:val="21"/>
          <w:highlight w:val="none"/>
          <w:u w:val="none"/>
          <w:lang w:val="en-US" w:eastAsia="zh-CN"/>
        </w:rPr>
        <w:t>工资、五险一金、餐费、差旅接待、住宿、工会福利</w:t>
      </w:r>
      <w:r>
        <w:rPr>
          <w:rFonts w:hint="eastAsia" w:ascii="宋体" w:hAnsi="宋体" w:cs="宋体"/>
          <w:color w:val="auto"/>
          <w:szCs w:val="21"/>
          <w:highlight w:val="none"/>
          <w:u w:val="none"/>
          <w:lang w:val="en-US" w:eastAsia="zh-CN"/>
        </w:rPr>
        <w:t>等</w:t>
      </w:r>
      <w:r>
        <w:rPr>
          <w:rFonts w:hint="default" w:ascii="宋体" w:hAnsi="宋体" w:eastAsia="宋体" w:cs="宋体"/>
          <w:color w:val="auto"/>
          <w:szCs w:val="21"/>
          <w:highlight w:val="none"/>
          <w:u w:val="none"/>
          <w:lang w:val="en-US" w:eastAsia="zh-CN"/>
        </w:rPr>
        <w:t>所有费用(人员费用组成如下)。</w:t>
      </w:r>
    </w:p>
    <w:tbl>
      <w:tblPr>
        <w:tblStyle w:val="29"/>
        <w:tblpPr w:leftFromText="180" w:rightFromText="180" w:vertAnchor="text" w:tblpX="104" w:tblpY="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2059"/>
        <w:gridCol w:w="4666"/>
        <w:gridCol w:w="2294"/>
      </w:tblGrid>
      <w:tr w14:paraId="6395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80" w:type="dxa"/>
            <w:vAlign w:val="center"/>
          </w:tcPr>
          <w:p w14:paraId="5164F620">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059" w:type="dxa"/>
            <w:vAlign w:val="center"/>
          </w:tcPr>
          <w:p w14:paraId="2C40B3A3">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岗位</w:t>
            </w:r>
          </w:p>
        </w:tc>
        <w:tc>
          <w:tcPr>
            <w:tcW w:w="4666" w:type="dxa"/>
            <w:vAlign w:val="center"/>
          </w:tcPr>
          <w:p w14:paraId="5439F6C4">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岗位职责</w:t>
            </w:r>
          </w:p>
        </w:tc>
        <w:tc>
          <w:tcPr>
            <w:tcW w:w="2294" w:type="dxa"/>
            <w:vAlign w:val="center"/>
          </w:tcPr>
          <w:p w14:paraId="4CF958C4">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固定费用标准</w:t>
            </w:r>
          </w:p>
        </w:tc>
      </w:tr>
      <w:tr w14:paraId="4C84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80" w:type="dxa"/>
            <w:vAlign w:val="center"/>
          </w:tcPr>
          <w:p w14:paraId="47A80915">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059" w:type="dxa"/>
            <w:vAlign w:val="center"/>
          </w:tcPr>
          <w:p w14:paraId="60D11E33">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项目总经理</w:t>
            </w:r>
          </w:p>
        </w:tc>
        <w:tc>
          <w:tcPr>
            <w:tcW w:w="4666" w:type="dxa"/>
            <w:vAlign w:val="center"/>
          </w:tcPr>
          <w:p w14:paraId="3A726E02">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负责全口径收入把控，整体招商运行</w:t>
            </w:r>
          </w:p>
        </w:tc>
        <w:tc>
          <w:tcPr>
            <w:tcW w:w="2294" w:type="dxa"/>
            <w:vMerge w:val="restart"/>
            <w:vAlign w:val="center"/>
          </w:tcPr>
          <w:p w14:paraId="170B04C6">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r>
              <w:rPr>
                <w:rFonts w:hint="eastAsia" w:ascii="宋体" w:hAnsi="宋体" w:cs="宋体"/>
                <w:color w:val="auto"/>
                <w:sz w:val="21"/>
                <w:szCs w:val="21"/>
                <w:highlight w:val="none"/>
                <w:vertAlign w:val="baseline"/>
                <w:lang w:val="en-US" w:eastAsia="zh-CN"/>
              </w:rPr>
              <w:t>0</w:t>
            </w:r>
            <w:r>
              <w:rPr>
                <w:rFonts w:hint="eastAsia" w:ascii="宋体" w:hAnsi="宋体" w:eastAsia="宋体" w:cs="宋体"/>
                <w:color w:val="auto"/>
                <w:sz w:val="21"/>
                <w:szCs w:val="21"/>
                <w:highlight w:val="none"/>
                <w:vertAlign w:val="baseline"/>
                <w:lang w:val="en-US" w:eastAsia="zh-CN"/>
              </w:rPr>
              <w:t>万元/月</w:t>
            </w:r>
          </w:p>
        </w:tc>
      </w:tr>
      <w:tr w14:paraId="37CF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80" w:type="dxa"/>
            <w:vAlign w:val="center"/>
          </w:tcPr>
          <w:p w14:paraId="469DFFC7">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2059" w:type="dxa"/>
            <w:vAlign w:val="center"/>
          </w:tcPr>
          <w:p w14:paraId="5EE154CA">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招商总监</w:t>
            </w:r>
          </w:p>
        </w:tc>
        <w:tc>
          <w:tcPr>
            <w:tcW w:w="4666" w:type="dxa"/>
            <w:vAlign w:val="center"/>
          </w:tcPr>
          <w:p w14:paraId="48A2CC24">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配合招商总经理负责品牌资源招商</w:t>
            </w:r>
          </w:p>
        </w:tc>
        <w:tc>
          <w:tcPr>
            <w:tcW w:w="2294" w:type="dxa"/>
            <w:vMerge w:val="continue"/>
            <w:vAlign w:val="center"/>
          </w:tcPr>
          <w:p w14:paraId="5F72AD5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vertAlign w:val="baseline"/>
                <w:lang w:val="en-US" w:eastAsia="zh-CN"/>
              </w:rPr>
            </w:pPr>
          </w:p>
        </w:tc>
      </w:tr>
      <w:tr w14:paraId="24E1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80" w:type="dxa"/>
            <w:vAlign w:val="center"/>
          </w:tcPr>
          <w:p w14:paraId="38577537">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2059" w:type="dxa"/>
            <w:vAlign w:val="center"/>
          </w:tcPr>
          <w:p w14:paraId="571FC7D3">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企划经理</w:t>
            </w:r>
          </w:p>
        </w:tc>
        <w:tc>
          <w:tcPr>
            <w:tcW w:w="4666" w:type="dxa"/>
            <w:vAlign w:val="center"/>
          </w:tcPr>
          <w:p w14:paraId="7041ACB7">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负责项目企划工作，包括PR+SP活动拟定与执行</w:t>
            </w:r>
          </w:p>
        </w:tc>
        <w:tc>
          <w:tcPr>
            <w:tcW w:w="2294" w:type="dxa"/>
            <w:vMerge w:val="continue"/>
            <w:vAlign w:val="center"/>
          </w:tcPr>
          <w:p w14:paraId="179DE95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vertAlign w:val="baseline"/>
                <w:lang w:val="en-US" w:eastAsia="zh-CN"/>
              </w:rPr>
            </w:pPr>
          </w:p>
        </w:tc>
      </w:tr>
      <w:tr w14:paraId="1DF9D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80" w:type="dxa"/>
            <w:vAlign w:val="center"/>
          </w:tcPr>
          <w:p w14:paraId="2ABE9F2B">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2059" w:type="dxa"/>
            <w:vAlign w:val="center"/>
          </w:tcPr>
          <w:p w14:paraId="2AD020D2">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工程经理</w:t>
            </w:r>
          </w:p>
        </w:tc>
        <w:tc>
          <w:tcPr>
            <w:tcW w:w="4666" w:type="dxa"/>
            <w:vAlign w:val="center"/>
          </w:tcPr>
          <w:p w14:paraId="537ECE11">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负责项目工程相关事宜、与物业公司协调对接</w:t>
            </w:r>
          </w:p>
        </w:tc>
        <w:tc>
          <w:tcPr>
            <w:tcW w:w="2294" w:type="dxa"/>
            <w:vMerge w:val="continue"/>
            <w:vAlign w:val="center"/>
          </w:tcPr>
          <w:p w14:paraId="5A9B05B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vertAlign w:val="baseline"/>
                <w:lang w:val="en-US" w:eastAsia="zh-CN"/>
              </w:rPr>
            </w:pPr>
          </w:p>
        </w:tc>
      </w:tr>
      <w:tr w14:paraId="3B1ED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80" w:type="dxa"/>
            <w:vAlign w:val="center"/>
          </w:tcPr>
          <w:p w14:paraId="2A1E5638">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2059" w:type="dxa"/>
            <w:vAlign w:val="center"/>
          </w:tcPr>
          <w:p w14:paraId="7933E1F4">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平面设计、文案策划等弹性人员（4人）</w:t>
            </w:r>
          </w:p>
        </w:tc>
        <w:tc>
          <w:tcPr>
            <w:tcW w:w="4666" w:type="dxa"/>
            <w:vAlign w:val="center"/>
          </w:tcPr>
          <w:p w14:paraId="3378BEF6">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配合以上项目经理开展日常工作，负责项目具体事务对接</w:t>
            </w:r>
          </w:p>
        </w:tc>
        <w:tc>
          <w:tcPr>
            <w:tcW w:w="2294" w:type="dxa"/>
            <w:vMerge w:val="continue"/>
            <w:vAlign w:val="center"/>
          </w:tcPr>
          <w:p w14:paraId="176DBC0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vertAlign w:val="baseline"/>
                <w:lang w:val="en-US" w:eastAsia="zh-CN"/>
              </w:rPr>
            </w:pPr>
          </w:p>
        </w:tc>
      </w:tr>
    </w:tbl>
    <w:p w14:paraId="6557F233">
      <w:pPr>
        <w:snapToGrid w:val="0"/>
        <w:spacing w:line="360" w:lineRule="auto"/>
        <w:ind w:firstLine="420" w:firstLineChars="200"/>
        <w:rPr>
          <w:rFonts w:hint="default" w:ascii="宋体" w:hAnsi="宋体" w:eastAsia="宋体" w:cs="宋体"/>
          <w:color w:val="auto"/>
          <w:szCs w:val="21"/>
          <w:highlight w:val="none"/>
          <w:u w:val="none"/>
          <w:lang w:val="en-US" w:eastAsia="zh-CN"/>
        </w:rPr>
      </w:pPr>
    </w:p>
    <w:p w14:paraId="3E274195">
      <w:pPr>
        <w:snapToGrid w:val="0"/>
        <w:spacing w:line="360" w:lineRule="auto"/>
        <w:ind w:firstLine="420" w:firstLineChars="200"/>
        <w:rPr>
          <w:rFonts w:hint="eastAsia" w:ascii="宋体" w:hAnsi="宋体" w:eastAsia="宋体" w:cs="宋体"/>
          <w:color w:val="auto"/>
          <w:szCs w:val="21"/>
          <w:highlight w:val="none"/>
          <w:u w:val="none"/>
          <w:lang w:val="en-US" w:eastAsia="zh-CN"/>
        </w:rPr>
      </w:pPr>
      <w:r>
        <w:rPr>
          <w:rFonts w:hint="default" w:ascii="宋体" w:hAnsi="宋体" w:eastAsia="宋体" w:cs="宋体"/>
          <w:color w:val="auto"/>
          <w:szCs w:val="21"/>
          <w:highlight w:val="none"/>
          <w:u w:val="none"/>
          <w:lang w:val="en-US" w:eastAsia="zh-CN"/>
        </w:rPr>
        <w:t>支付方式</w:t>
      </w:r>
      <w:r>
        <w:rPr>
          <w:rFonts w:hint="eastAsia" w:ascii="宋体" w:hAnsi="宋体" w:cs="宋体"/>
          <w:color w:val="auto"/>
          <w:sz w:val="21"/>
          <w:szCs w:val="21"/>
          <w:highlight w:val="none"/>
          <w:lang w:val="en-US" w:eastAsia="zh-CN"/>
        </w:rPr>
        <w:t>：</w:t>
      </w:r>
      <w:r>
        <w:rPr>
          <w:rFonts w:hint="default" w:ascii="宋体" w:hAnsi="宋体" w:eastAsia="宋体" w:cs="宋体"/>
          <w:color w:val="auto"/>
          <w:szCs w:val="21"/>
          <w:highlight w:val="none"/>
          <w:u w:val="none"/>
          <w:lang w:val="en-US" w:eastAsia="zh-CN"/>
        </w:rPr>
        <w:t>委派员工项目服务期间所有劳务费用每月结算一次</w:t>
      </w:r>
      <w:r>
        <w:rPr>
          <w:rFonts w:hint="eastAsia" w:ascii="宋体" w:hAnsi="宋体" w:cs="宋体"/>
          <w:color w:val="auto"/>
          <w:lang w:val="en-US" w:eastAsia="zh-CN"/>
        </w:rPr>
        <w:t>上月招商团队固定费用</w:t>
      </w:r>
      <w:r>
        <w:rPr>
          <w:rFonts w:hint="default" w:ascii="宋体" w:hAnsi="宋体" w:eastAsia="宋体" w:cs="宋体"/>
          <w:color w:val="auto"/>
          <w:szCs w:val="21"/>
          <w:highlight w:val="none"/>
          <w:u w:val="none"/>
          <w:lang w:val="en-US" w:eastAsia="zh-CN"/>
        </w:rPr>
        <w:t>，乙方在每月5日前向甲方提供和收款额一致的服务类增值税专用发票，甲方需在收到发票</w:t>
      </w:r>
      <w:r>
        <w:rPr>
          <w:rFonts w:hint="eastAsia" w:ascii="宋体" w:hAnsi="宋体" w:cs="宋体"/>
          <w:color w:val="auto"/>
          <w:szCs w:val="21"/>
          <w:highlight w:val="none"/>
          <w:u w:val="none"/>
          <w:lang w:val="en-US" w:eastAsia="zh-CN"/>
        </w:rPr>
        <w:t>后</w:t>
      </w:r>
      <w:r>
        <w:rPr>
          <w:rFonts w:hint="default" w:ascii="宋体" w:hAnsi="宋体" w:eastAsia="宋体" w:cs="宋体"/>
          <w:color w:val="auto"/>
          <w:szCs w:val="21"/>
          <w:highlight w:val="none"/>
          <w:u w:val="none"/>
          <w:lang w:val="en-US" w:eastAsia="zh-CN"/>
        </w:rPr>
        <w:t>的5个工作日内向乙方支付与发票等额的款项</w:t>
      </w:r>
      <w:r>
        <w:rPr>
          <w:rFonts w:hint="eastAsia" w:ascii="宋体" w:hAnsi="宋体" w:eastAsia="宋体" w:cs="宋体"/>
          <w:color w:val="auto"/>
          <w:szCs w:val="21"/>
          <w:highlight w:val="none"/>
          <w:u w:val="none"/>
          <w:lang w:val="en-US" w:eastAsia="zh-CN"/>
        </w:rPr>
        <w:t>。</w:t>
      </w:r>
    </w:p>
    <w:p w14:paraId="66315CB0">
      <w:pPr>
        <w:snapToGrid w:val="0"/>
        <w:spacing w:line="360" w:lineRule="auto"/>
        <w:ind w:firstLine="420" w:firstLineChars="200"/>
        <w:rPr>
          <w:rFonts w:hint="default" w:ascii="宋体" w:hAnsi="宋体" w:eastAsia="宋体" w:cs="宋体"/>
          <w:color w:val="auto"/>
          <w:szCs w:val="21"/>
          <w:highlight w:val="none"/>
          <w:u w:val="none"/>
          <w:lang w:val="en-US" w:eastAsia="zh-CN"/>
        </w:rPr>
      </w:pPr>
      <w:r>
        <w:rPr>
          <w:rFonts w:hint="default" w:ascii="宋体" w:hAnsi="宋体" w:eastAsia="宋体" w:cs="宋体"/>
          <w:color w:val="auto"/>
          <w:szCs w:val="21"/>
          <w:highlight w:val="none"/>
          <w:u w:val="none"/>
          <w:lang w:val="en-US" w:eastAsia="zh-CN"/>
        </w:rPr>
        <w:t>4.3</w:t>
      </w:r>
      <w:r>
        <w:rPr>
          <w:rFonts w:hint="eastAsia" w:ascii="宋体" w:hAnsi="宋体" w:eastAsia="宋体" w:cs="宋体"/>
          <w:color w:val="auto"/>
          <w:sz w:val="21"/>
          <w:szCs w:val="21"/>
          <w:highlight w:val="none"/>
          <w:lang w:val="en-US" w:eastAsia="zh-CN"/>
        </w:rPr>
        <w:t>筹备期招商服务</w:t>
      </w:r>
      <w:r>
        <w:rPr>
          <w:rFonts w:hint="eastAsia" w:ascii="宋体" w:hAnsi="宋体" w:cs="宋体"/>
          <w:color w:val="auto"/>
          <w:sz w:val="21"/>
          <w:szCs w:val="21"/>
          <w:highlight w:val="none"/>
          <w:lang w:val="en-US" w:eastAsia="zh-CN"/>
        </w:rPr>
        <w:t>费</w:t>
      </w:r>
      <w:r>
        <w:rPr>
          <w:rFonts w:hint="default" w:ascii="宋体" w:hAnsi="宋体" w:eastAsia="宋体" w:cs="宋体"/>
          <w:color w:val="auto"/>
          <w:szCs w:val="21"/>
          <w:highlight w:val="none"/>
          <w:u w:val="none"/>
          <w:lang w:val="en-US" w:eastAsia="zh-CN"/>
        </w:rPr>
        <w:t>支付规则</w:t>
      </w:r>
    </w:p>
    <w:p w14:paraId="0792B5C6">
      <w:pPr>
        <w:snapToGrid w:val="0"/>
        <w:spacing w:line="360" w:lineRule="auto"/>
        <w:ind w:firstLine="420" w:firstLineChars="200"/>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筹备期招商服务费：按照甲方收取的含税3个月租金为标准支付，该租金为免租期结束后的正式租金。</w:t>
      </w:r>
    </w:p>
    <w:p w14:paraId="215A713A">
      <w:pPr>
        <w:snapToGrid w:val="0"/>
        <w:spacing w:line="360" w:lineRule="auto"/>
        <w:ind w:firstLine="420" w:firstLineChars="200"/>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（1）</w:t>
      </w:r>
      <w:r>
        <w:rPr>
          <w:rFonts w:hint="default" w:ascii="宋体" w:hAnsi="宋体" w:eastAsia="宋体" w:cs="宋体"/>
          <w:color w:val="auto"/>
          <w:szCs w:val="21"/>
          <w:highlight w:val="none"/>
          <w:u w:val="none"/>
          <w:lang w:val="en-US" w:eastAsia="zh-CN"/>
        </w:rPr>
        <w:t>经双方确认后开展具体招商管理和开业筹备工作，其中乙方的招商考核时间节点如下(如项目推进过程中相关时间延后，考核时间节点相应延后)</w:t>
      </w:r>
      <w:r>
        <w:rPr>
          <w:rFonts w:hint="eastAsia" w:ascii="宋体" w:hAnsi="宋体" w:eastAsia="宋体" w:cs="宋体"/>
          <w:color w:val="auto"/>
          <w:szCs w:val="21"/>
          <w:highlight w:val="none"/>
          <w:u w:val="none"/>
          <w:lang w:val="en-US" w:eastAsia="zh-CN"/>
        </w:rPr>
        <w:t>：</w:t>
      </w:r>
    </w:p>
    <w:p w14:paraId="5C23DCA8">
      <w:pPr>
        <w:snapToGrid w:val="0"/>
        <w:spacing w:line="360" w:lineRule="auto"/>
        <w:ind w:firstLine="420" w:firstLineChars="200"/>
        <w:rPr>
          <w:rFonts w:hint="eastAsia" w:ascii="宋体" w:hAnsi="宋体" w:eastAsia="宋体" w:cs="宋体"/>
          <w:color w:val="auto"/>
          <w:szCs w:val="21"/>
          <w:highlight w:val="none"/>
          <w:u w:val="none"/>
          <w:lang w:val="en-US" w:eastAsia="zh-CN"/>
        </w:rPr>
      </w:pPr>
      <w:r>
        <w:rPr>
          <w:rFonts w:hint="default" w:ascii="宋体" w:hAnsi="宋体" w:eastAsia="宋体" w:cs="宋体"/>
          <w:color w:val="auto"/>
          <w:szCs w:val="21"/>
          <w:highlight w:val="none"/>
          <w:u w:val="none"/>
          <w:lang w:val="en-US" w:eastAsia="zh-CN"/>
        </w:rPr>
        <w:t>①开业前3个月，品牌签约率达到80%，在约定时间内未完成目标乙方支付甲方30万元违约金</w:t>
      </w:r>
      <w:r>
        <w:rPr>
          <w:rFonts w:hint="eastAsia" w:ascii="宋体" w:hAnsi="宋体" w:eastAsia="宋体" w:cs="宋体"/>
          <w:color w:val="auto"/>
          <w:szCs w:val="21"/>
          <w:highlight w:val="none"/>
          <w:u w:val="none"/>
          <w:lang w:val="en-US" w:eastAsia="zh-CN"/>
        </w:rPr>
        <w:t>；</w:t>
      </w:r>
    </w:p>
    <w:p w14:paraId="34B307FF">
      <w:pPr>
        <w:snapToGrid w:val="0"/>
        <w:spacing w:line="360" w:lineRule="auto"/>
        <w:ind w:firstLine="420" w:firstLineChars="200"/>
        <w:rPr>
          <w:rFonts w:hint="default" w:ascii="宋体" w:hAnsi="宋体" w:eastAsia="宋体" w:cs="宋体"/>
          <w:color w:val="auto"/>
          <w:szCs w:val="21"/>
          <w:highlight w:val="none"/>
          <w:u w:val="none"/>
          <w:lang w:val="en-US" w:eastAsia="zh-CN"/>
        </w:rPr>
      </w:pPr>
      <w:r>
        <w:rPr>
          <w:rFonts w:hint="default" w:ascii="宋体" w:hAnsi="宋体" w:eastAsia="宋体" w:cs="宋体"/>
          <w:color w:val="auto"/>
          <w:szCs w:val="21"/>
          <w:highlight w:val="none"/>
          <w:u w:val="none"/>
          <w:lang w:val="en-US" w:eastAsia="zh-CN"/>
        </w:rPr>
        <w:t>②项目开业时，开业率不少于95%，在约定时间内未完成目标乙方支付甲方50万元违约金</w:t>
      </w:r>
      <w:r>
        <w:rPr>
          <w:rFonts w:hint="eastAsia" w:ascii="宋体" w:hAnsi="宋体" w:eastAsia="宋体" w:cs="宋体"/>
          <w:color w:val="auto"/>
          <w:szCs w:val="21"/>
          <w:highlight w:val="none"/>
          <w:u w:val="none"/>
          <w:lang w:val="en-US" w:eastAsia="zh-CN"/>
        </w:rPr>
        <w:t>；</w:t>
      </w:r>
    </w:p>
    <w:p w14:paraId="224A9FF1">
      <w:pPr>
        <w:snapToGrid w:val="0"/>
        <w:spacing w:line="360" w:lineRule="auto"/>
        <w:ind w:firstLine="420" w:firstLineChars="200"/>
        <w:rPr>
          <w:rFonts w:hint="default" w:ascii="宋体" w:hAnsi="宋体" w:eastAsia="宋体" w:cs="宋体"/>
          <w:color w:val="auto"/>
          <w:szCs w:val="21"/>
          <w:highlight w:val="none"/>
          <w:u w:val="none"/>
          <w:lang w:val="en-US" w:eastAsia="zh-CN"/>
        </w:rPr>
      </w:pPr>
      <w:r>
        <w:rPr>
          <w:rFonts w:hint="default" w:ascii="宋体" w:hAnsi="宋体" w:eastAsia="宋体" w:cs="宋体"/>
          <w:color w:val="auto"/>
          <w:szCs w:val="21"/>
          <w:highlight w:val="none"/>
          <w:u w:val="none"/>
          <w:lang w:val="en-US" w:eastAsia="zh-CN"/>
        </w:rPr>
        <w:t>③与本平阳县已有同类型商业综合体品牌差异率达总引进品牌数量的【30%】以上，在开业时，未完成目标乙方支付甲方25万元</w:t>
      </w:r>
      <w:r>
        <w:rPr>
          <w:rFonts w:hint="eastAsia" w:ascii="宋体" w:hAnsi="宋体" w:eastAsia="宋体" w:cs="宋体"/>
          <w:color w:val="auto"/>
          <w:szCs w:val="21"/>
          <w:highlight w:val="none"/>
          <w:u w:val="none"/>
          <w:lang w:val="en-US" w:eastAsia="zh-CN"/>
        </w:rPr>
        <w:t>；</w:t>
      </w:r>
    </w:p>
    <w:p w14:paraId="11F85BC6">
      <w:pPr>
        <w:snapToGrid w:val="0"/>
        <w:spacing w:line="360" w:lineRule="auto"/>
        <w:ind w:firstLine="420" w:firstLineChars="200"/>
        <w:rPr>
          <w:rFonts w:hint="default" w:ascii="宋体" w:hAnsi="宋体" w:eastAsia="宋体" w:cs="宋体"/>
          <w:color w:val="auto"/>
          <w:szCs w:val="21"/>
          <w:highlight w:val="none"/>
          <w:u w:val="none"/>
          <w:lang w:val="en-US" w:eastAsia="zh-CN"/>
        </w:rPr>
      </w:pPr>
      <w:r>
        <w:rPr>
          <w:rFonts w:hint="default" w:ascii="宋体" w:hAnsi="宋体" w:eastAsia="宋体" w:cs="宋体"/>
          <w:color w:val="auto"/>
          <w:szCs w:val="21"/>
          <w:highlight w:val="none"/>
          <w:u w:val="none"/>
          <w:lang w:val="en-US" w:eastAsia="zh-CN"/>
        </w:rPr>
        <w:t>④首次进入平阳县品牌需达到总引进品牌数量的【20%】以上，在开业时，未完成目标乙方支付甲方25 万元</w:t>
      </w:r>
      <w:r>
        <w:rPr>
          <w:rFonts w:hint="eastAsia" w:ascii="宋体" w:hAnsi="宋体" w:eastAsia="宋体" w:cs="宋体"/>
          <w:color w:val="auto"/>
          <w:szCs w:val="21"/>
          <w:highlight w:val="none"/>
          <w:u w:val="none"/>
          <w:lang w:val="en-US" w:eastAsia="zh-CN"/>
        </w:rPr>
        <w:t>；</w:t>
      </w:r>
    </w:p>
    <w:p w14:paraId="3EF1B20D">
      <w:pPr>
        <w:snapToGrid w:val="0"/>
        <w:spacing w:line="360" w:lineRule="auto"/>
        <w:ind w:firstLine="420" w:firstLineChars="200"/>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 xml:space="preserve"> ⑤首次进入龙港市、平阳县、苍南县的品牌数量达总引进品牌数量的【15%】以上，在开业时，未完成目标乙方支付甲方25万元。</w:t>
      </w:r>
    </w:p>
    <w:p w14:paraId="06F8E2EE">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⑥首次进入温州市的品牌数量达总引进品牌数量的【5%】以上，在开业时，未完成目标乙方支付甲方25万元。</w:t>
      </w:r>
    </w:p>
    <w:p w14:paraId="1E5E481F">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 w:val="21"/>
          <w:szCs w:val="21"/>
          <w:highlight w:val="none"/>
          <w:lang w:val="en-US" w:eastAsia="zh-CN"/>
        </w:rPr>
        <w:t>筹备期招商服务</w:t>
      </w:r>
      <w:r>
        <w:rPr>
          <w:rFonts w:hint="eastAsia" w:ascii="宋体" w:hAnsi="宋体" w:cs="宋体"/>
          <w:color w:val="auto"/>
          <w:sz w:val="21"/>
          <w:szCs w:val="21"/>
          <w:highlight w:val="none"/>
          <w:lang w:val="en-US" w:eastAsia="zh-CN"/>
        </w:rPr>
        <w:t>费</w:t>
      </w:r>
      <w:r>
        <w:rPr>
          <w:rFonts w:hint="eastAsia" w:ascii="宋体" w:hAnsi="宋体" w:eastAsia="宋体" w:cs="宋体"/>
          <w:color w:val="auto"/>
          <w:szCs w:val="21"/>
          <w:highlight w:val="none"/>
          <w:lang w:val="en-US" w:eastAsia="zh-CN"/>
        </w:rPr>
        <w:t>按季度支付，即在每季度内品牌商家与甲方签署正式租赁合同并缴纳履约保证金后，甲方向乙方提供已签署的正式租赁合同清单并盖章，经乙方确认后，甲方于每季度第三个月的28日前向乙方支付该季度品牌</w:t>
      </w:r>
      <w:r>
        <w:rPr>
          <w:rFonts w:hint="eastAsia" w:ascii="宋体" w:hAnsi="宋体" w:eastAsia="宋体" w:cs="宋体"/>
          <w:color w:val="auto"/>
          <w:sz w:val="21"/>
          <w:szCs w:val="21"/>
          <w:highlight w:val="none"/>
          <w:lang w:val="en-US" w:eastAsia="zh-CN"/>
        </w:rPr>
        <w:t>筹备期招商服务</w:t>
      </w:r>
      <w:r>
        <w:rPr>
          <w:rFonts w:hint="eastAsia" w:ascii="宋体" w:hAnsi="宋体" w:cs="宋体"/>
          <w:color w:val="auto"/>
          <w:sz w:val="21"/>
          <w:szCs w:val="21"/>
          <w:highlight w:val="none"/>
          <w:lang w:val="en-US" w:eastAsia="zh-CN"/>
        </w:rPr>
        <w:t>费</w:t>
      </w:r>
      <w:r>
        <w:rPr>
          <w:rFonts w:hint="eastAsia" w:ascii="宋体" w:hAnsi="宋体" w:eastAsia="宋体" w:cs="宋体"/>
          <w:color w:val="auto"/>
          <w:szCs w:val="21"/>
          <w:highlight w:val="none"/>
          <w:lang w:val="en-US" w:eastAsia="zh-CN"/>
        </w:rPr>
        <w:t>，乙方收到款项后提供等额的服务类增值税专用发票，无论何种原因，每个店铺</w:t>
      </w:r>
      <w:r>
        <w:rPr>
          <w:rFonts w:hint="eastAsia" w:ascii="宋体" w:hAnsi="宋体" w:eastAsia="宋体" w:cs="宋体"/>
          <w:color w:val="auto"/>
          <w:sz w:val="21"/>
          <w:szCs w:val="21"/>
          <w:highlight w:val="none"/>
          <w:lang w:val="en-US" w:eastAsia="zh-CN"/>
        </w:rPr>
        <w:t>筹备期招商服务</w:t>
      </w:r>
      <w:r>
        <w:rPr>
          <w:rFonts w:hint="eastAsia" w:ascii="宋体" w:hAnsi="宋体" w:cs="宋体"/>
          <w:color w:val="auto"/>
          <w:sz w:val="21"/>
          <w:szCs w:val="21"/>
          <w:highlight w:val="none"/>
          <w:lang w:val="en-US" w:eastAsia="zh-CN"/>
        </w:rPr>
        <w:t>费</w:t>
      </w:r>
      <w:r>
        <w:rPr>
          <w:rFonts w:hint="eastAsia" w:ascii="宋体" w:hAnsi="宋体" w:eastAsia="宋体" w:cs="宋体"/>
          <w:color w:val="auto"/>
          <w:szCs w:val="21"/>
          <w:highlight w:val="none"/>
          <w:lang w:val="en-US" w:eastAsia="zh-CN"/>
        </w:rPr>
        <w:t>只计费一次(不区分品牌)，不重复计费。</w:t>
      </w:r>
    </w:p>
    <w:p w14:paraId="7365CD40">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品牌签约率=签约品牌面积/实际品牌可租赁面积总额*100%。</w:t>
      </w:r>
    </w:p>
    <w:p w14:paraId="3259CBBC">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开业当天开业率=开业当天实际开业品牌的已租赁面积/实际品牌可租赁面积总额*100%</w:t>
      </w:r>
    </w:p>
    <w:p w14:paraId="13800620">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可租赁面积总额按照实际测量双方确认的数据为准；已租赁面积按照正式租赁合同所载的租赁面积为准。</w:t>
      </w:r>
      <w:r>
        <w:rPr>
          <w:rFonts w:hint="eastAsia" w:ascii="宋体" w:hAnsi="宋体" w:eastAsia="宋体" w:cs="宋体"/>
          <w:color w:val="auto"/>
          <w:sz w:val="21"/>
          <w:szCs w:val="21"/>
          <w:highlight w:val="none"/>
          <w:lang w:val="en-US" w:eastAsia="zh-CN"/>
        </w:rPr>
        <w:t>签约租户的品牌、租户信息须经</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 w:val="21"/>
          <w:szCs w:val="21"/>
          <w:highlight w:val="none"/>
          <w:lang w:val="en-US" w:eastAsia="zh-CN"/>
        </w:rPr>
        <w:t>书面同意方可计入签约率。</w:t>
      </w:r>
    </w:p>
    <w:p w14:paraId="24E0751E">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若因甲方工程交付延迟、消防验收未通过或装补政策未兑现导致未达标，豁免乙方考核，且甲方仍须支付全额</w:t>
      </w:r>
      <w:r>
        <w:rPr>
          <w:rFonts w:hint="eastAsia" w:ascii="宋体" w:hAnsi="宋体" w:cs="宋体"/>
          <w:color w:val="auto"/>
          <w:szCs w:val="21"/>
          <w:highlight w:val="none"/>
          <w:lang w:val="en-US" w:eastAsia="zh-CN"/>
        </w:rPr>
        <w:t>服务费</w:t>
      </w:r>
      <w:r>
        <w:rPr>
          <w:rFonts w:hint="eastAsia" w:ascii="宋体" w:hAnsi="宋体" w:eastAsia="宋体" w:cs="宋体"/>
          <w:color w:val="auto"/>
          <w:szCs w:val="21"/>
          <w:highlight w:val="none"/>
          <w:lang w:val="en-US" w:eastAsia="zh-CN"/>
        </w:rPr>
        <w:t>。</w:t>
      </w:r>
    </w:p>
    <w:p w14:paraId="4AD8F0A2">
      <w:pPr>
        <w:spacing w:line="360" w:lineRule="auto"/>
        <w:ind w:firstLine="420" w:firstLineChars="0"/>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4.4</w:t>
      </w:r>
      <w:r>
        <w:rPr>
          <w:rFonts w:hint="eastAsia" w:ascii="宋体" w:hAnsi="宋体" w:eastAsia="宋体" w:cs="宋体"/>
          <w:b/>
          <w:bCs/>
          <w:color w:val="auto"/>
          <w:sz w:val="21"/>
          <w:szCs w:val="21"/>
          <w:highlight w:val="none"/>
          <w:lang w:val="en-US" w:eastAsia="zh-CN"/>
        </w:rPr>
        <w:t>项目筹备期开办费</w:t>
      </w:r>
    </w:p>
    <w:p w14:paraId="3DB14551">
      <w:pPr>
        <w:spacing w:line="36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项目筹备期开办费指在项目开业前</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为筹备项目开业而发生的各项费用</w:t>
      </w:r>
      <w:r>
        <w:rPr>
          <w:rFonts w:hint="eastAsia" w:ascii="宋体" w:hAnsi="宋体" w:cs="宋体"/>
          <w:color w:val="auto"/>
          <w:sz w:val="21"/>
          <w:szCs w:val="21"/>
          <w:highlight w:val="none"/>
          <w:lang w:val="en-US" w:eastAsia="zh-CN"/>
        </w:rPr>
        <w:t>（包含但不限于</w:t>
      </w:r>
      <w:r>
        <w:rPr>
          <w:rFonts w:hint="default" w:ascii="宋体" w:hAnsi="宋体" w:cs="宋体"/>
          <w:color w:val="auto"/>
          <w:sz w:val="21"/>
          <w:szCs w:val="21"/>
          <w:highlight w:val="none"/>
          <w:lang w:val="en-US" w:eastAsia="zh-CN"/>
        </w:rPr>
        <w:t>办公设备、筹备期的办公场地租赁、招商发布会、开业活动</w:t>
      </w:r>
      <w:r>
        <w:rPr>
          <w:rFonts w:hint="eastAsia" w:ascii="宋体" w:hAnsi="宋体" w:cs="宋体"/>
          <w:color w:val="auto"/>
          <w:sz w:val="21"/>
          <w:szCs w:val="21"/>
          <w:highlight w:val="none"/>
          <w:lang w:val="en-US" w:eastAsia="zh-CN"/>
        </w:rPr>
        <w:t>等），</w:t>
      </w:r>
      <w:r>
        <w:rPr>
          <w:rFonts w:hint="eastAsia" w:ascii="宋体" w:hAnsi="宋体" w:eastAsia="宋体" w:cs="宋体"/>
          <w:color w:val="auto"/>
          <w:sz w:val="21"/>
          <w:szCs w:val="21"/>
          <w:highlight w:val="none"/>
          <w:lang w:val="en-US" w:eastAsia="zh-CN"/>
        </w:rPr>
        <w:t>具体预算金额以</w:t>
      </w:r>
      <w:r>
        <w:rPr>
          <w:rFonts w:hint="eastAsia" w:ascii="宋体" w:hAnsi="宋体" w:cs="宋体"/>
          <w:color w:val="auto"/>
          <w:sz w:val="21"/>
          <w:szCs w:val="21"/>
          <w:highlight w:val="none"/>
          <w:lang w:val="en-US" w:eastAsia="zh-CN"/>
        </w:rPr>
        <w:t>乙</w:t>
      </w:r>
      <w:r>
        <w:rPr>
          <w:rFonts w:hint="eastAsia" w:ascii="宋体" w:hAnsi="宋体" w:eastAsia="宋体" w:cs="宋体"/>
          <w:color w:val="auto"/>
          <w:sz w:val="21"/>
          <w:szCs w:val="21"/>
          <w:highlight w:val="none"/>
          <w:lang w:val="en-US" w:eastAsia="zh-CN"/>
        </w:rPr>
        <w:t>方根据项目筹备情况编制</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开业前预算表为准，在</w:t>
      </w:r>
      <w:r>
        <w:rPr>
          <w:rFonts w:hint="eastAsia" w:ascii="宋体" w:hAnsi="宋体" w:cs="宋体"/>
          <w:color w:val="auto"/>
          <w:sz w:val="21"/>
          <w:szCs w:val="21"/>
          <w:highlight w:val="none"/>
          <w:lang w:val="en-US" w:eastAsia="zh-CN"/>
        </w:rPr>
        <w:t>甲</w:t>
      </w:r>
      <w:r>
        <w:rPr>
          <w:rFonts w:hint="eastAsia" w:ascii="宋体" w:hAnsi="宋体" w:eastAsia="宋体" w:cs="宋体"/>
          <w:color w:val="auto"/>
          <w:sz w:val="21"/>
          <w:szCs w:val="21"/>
          <w:highlight w:val="none"/>
          <w:lang w:val="en-US" w:eastAsia="zh-CN"/>
        </w:rPr>
        <w:t>方审批同意后执行。项目筹备期开办费由</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承担。</w:t>
      </w:r>
    </w:p>
    <w:p w14:paraId="6748E58D">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品牌装补费</w:t>
      </w:r>
    </w:p>
    <w:p w14:paraId="254D9EE4">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乙</w:t>
      </w:r>
      <w:r>
        <w:rPr>
          <w:rFonts w:hint="eastAsia" w:ascii="宋体" w:hAnsi="宋体" w:eastAsia="宋体" w:cs="宋体"/>
          <w:color w:val="auto"/>
          <w:szCs w:val="21"/>
          <w:highlight w:val="none"/>
          <w:lang w:val="en-US" w:eastAsia="zh-CN"/>
        </w:rPr>
        <w:t>方在筹备期每引进1个“重点品牌名录”内品牌，自品牌方进场装修前 30日内，甲方向品牌支付装修补助(分为可直接提供、运营后分批返还、免租期延长等方式，具体由甲方依据制度执行)，筹备期品牌装修补助费用总额预估【5</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00】万元</w:t>
      </w:r>
      <w:r>
        <w:rPr>
          <w:rFonts w:hint="eastAsia" w:ascii="宋体" w:hAnsi="宋体" w:cs="宋体"/>
          <w:color w:val="auto"/>
          <w:szCs w:val="21"/>
          <w:highlight w:val="none"/>
          <w:lang w:val="en-US" w:eastAsia="zh-CN"/>
        </w:rPr>
        <w:t>，</w:t>
      </w:r>
      <w:r>
        <w:rPr>
          <w:rFonts w:hint="eastAsia" w:ascii="宋体" w:hAnsi="宋体" w:cs="宋体"/>
          <w:color w:val="auto"/>
          <w:sz w:val="21"/>
          <w:szCs w:val="21"/>
          <w:highlight w:val="none"/>
          <w:lang w:val="en-US" w:eastAsia="zh-CN"/>
        </w:rPr>
        <w:t>“重点品牌名录”、具体补助方式和补助资金通过甲方一事一议另行研究确定</w:t>
      </w:r>
      <w:r>
        <w:rPr>
          <w:rFonts w:hint="eastAsia" w:ascii="宋体" w:hAnsi="宋体" w:eastAsia="宋体" w:cs="宋体"/>
          <w:color w:val="auto"/>
          <w:sz w:val="21"/>
          <w:szCs w:val="21"/>
          <w:highlight w:val="none"/>
          <w:lang w:val="en-US" w:eastAsia="zh-CN"/>
        </w:rPr>
        <w:t>。</w:t>
      </w:r>
    </w:p>
    <w:p w14:paraId="7C7C30E8">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筹备期间，如果甲方更改招商定位，须与乙方一起讨论确定，品牌装修补助费用标准也将以补充协议形式另行确定。运营期的品牌装补费由甲乙双方另行协商。</w:t>
      </w:r>
    </w:p>
    <w:p w14:paraId="3678D448">
      <w:pPr>
        <w:snapToGrid w:val="0"/>
        <w:spacing w:line="360" w:lineRule="auto"/>
        <w:rPr>
          <w:rFonts w:hint="eastAsia" w:ascii="宋体" w:hAnsi="宋体" w:eastAsia="宋体" w:cs="宋体"/>
          <w:b/>
          <w:bCs/>
          <w:color w:val="auto"/>
          <w:szCs w:val="21"/>
          <w:highlight w:val="none"/>
          <w:u w:val="none"/>
          <w:lang w:val="en-US" w:eastAsia="zh-CN"/>
        </w:rPr>
      </w:pPr>
      <w:r>
        <w:rPr>
          <w:rFonts w:hint="eastAsia" w:ascii="宋体" w:hAnsi="宋体" w:eastAsia="宋体" w:cs="宋体"/>
          <w:b/>
          <w:bCs/>
          <w:color w:val="auto"/>
          <w:szCs w:val="21"/>
          <w:highlight w:val="none"/>
          <w:u w:val="none"/>
          <w:lang w:val="en-US" w:eastAsia="zh-CN"/>
        </w:rPr>
        <w:t>五、运营期服务期限及服务费用标准</w:t>
      </w:r>
    </w:p>
    <w:p w14:paraId="348F66D1">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5.1项目运营期起算日</w:t>
      </w:r>
      <w:r>
        <w:rPr>
          <w:rFonts w:hint="eastAsia" w:ascii="宋体" w:hAnsi="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是指本项目各个阶段本项目建成，符合乙方管理标准、品牌标准，具备基本开业条件，项目开始正式对外营业之日。开业前，甲方应提供的基本条件为</w:t>
      </w:r>
      <w:r>
        <w:rPr>
          <w:rFonts w:hint="eastAsia" w:ascii="宋体" w:hAnsi="宋体" w:cs="宋体"/>
          <w:color w:val="auto"/>
          <w:sz w:val="21"/>
          <w:szCs w:val="21"/>
          <w:highlight w:val="none"/>
          <w:lang w:val="en-US" w:eastAsia="zh-CN"/>
        </w:rPr>
        <w:t>：</w:t>
      </w:r>
    </w:p>
    <w:p w14:paraId="4719527F">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A.项目在所有重大方面均已实质性完工；</w:t>
      </w:r>
    </w:p>
    <w:p w14:paraId="0AA198F0">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B.项目在所有重大方面均符合品牌标准，项目所有设施、设备、物资符合营业要求；</w:t>
      </w:r>
    </w:p>
    <w:p w14:paraId="326A0071">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C.项目营业所必需的手续齐全，甲方已取得乙方为经营项目所需的所有证照；</w:t>
      </w:r>
    </w:p>
    <w:p w14:paraId="3743DCB0">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D.项目内或其相邻部分不存在对乙方根据品牌标准经营管理项目造成重大不利影响的施工因素；</w:t>
      </w:r>
    </w:p>
    <w:p w14:paraId="56B6144E">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E.各项保险生效；</w:t>
      </w:r>
    </w:p>
    <w:p w14:paraId="4D547E26">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F.甲方和乙方都确认项目可以营业。</w:t>
      </w:r>
    </w:p>
    <w:p w14:paraId="14B935D4">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开业日由双方协商后，书面确认。</w:t>
      </w:r>
    </w:p>
    <w:p w14:paraId="0BB7AE9B">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5.2除本合同另有约定外</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运营服务期限自正式开业之日起至  年  月  日</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10年</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，合同到期后同等条件下，乙方享有</w:t>
      </w:r>
      <w:r>
        <w:rPr>
          <w:rFonts w:hint="eastAsia" w:ascii="宋体" w:hAnsi="宋体" w:cs="宋体"/>
          <w:color w:val="auto"/>
          <w:lang w:val="en-US" w:eastAsia="zh-CN"/>
        </w:rPr>
        <w:t>两次</w:t>
      </w:r>
      <w:r>
        <w:rPr>
          <w:rFonts w:hint="eastAsia" w:ascii="宋体" w:hAnsi="宋体" w:eastAsia="宋体" w:cs="宋体"/>
          <w:color w:val="auto"/>
          <w:lang w:val="en-US" w:eastAsia="zh-CN"/>
        </w:rPr>
        <w:t>5年运营</w:t>
      </w:r>
      <w:r>
        <w:rPr>
          <w:rFonts w:hint="eastAsia" w:ascii="宋体" w:hAnsi="宋体" w:eastAsia="宋体" w:cs="宋体"/>
          <w:color w:val="auto"/>
          <w:szCs w:val="21"/>
          <w:highlight w:val="none"/>
          <w:lang w:val="en-US" w:eastAsia="zh-CN"/>
        </w:rPr>
        <w:t>优先续约权。项目乙方常驻人员</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名，双方书面确认后进场</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以实际书面文件或函件确认进场时间为准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p>
    <w:p w14:paraId="722A1E2A">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5.3运营服务费用标准</w:t>
      </w:r>
    </w:p>
    <w:p w14:paraId="1A6D21E1">
      <w:pPr>
        <w:snapToGrid w:val="0"/>
        <w:spacing w:line="360" w:lineRule="auto"/>
        <w:ind w:firstLine="420" w:firstLineChars="200"/>
        <w:rPr>
          <w:rFonts w:hint="default" w:ascii="宋体" w:hAnsi="宋体" w:eastAsia="宋体" w:cs="宋体"/>
          <w:color w:val="auto"/>
          <w:szCs w:val="21"/>
          <w:highlight w:val="none"/>
          <w:u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运营团队固定费用</w:t>
      </w:r>
      <w:r>
        <w:rPr>
          <w:rFonts w:hint="eastAsia" w:ascii="宋体" w:hAnsi="宋体" w:cs="宋体"/>
          <w:color w:val="auto"/>
          <w:sz w:val="21"/>
          <w:szCs w:val="21"/>
          <w:highlight w:val="none"/>
          <w:lang w:val="en-US" w:eastAsia="zh-CN"/>
        </w:rPr>
        <w:t>：25万元/月，期限为10年。包括但不限于：</w:t>
      </w:r>
      <w:r>
        <w:rPr>
          <w:rFonts w:hint="default" w:ascii="宋体" w:hAnsi="宋体" w:eastAsia="宋体" w:cs="宋体"/>
          <w:color w:val="auto"/>
          <w:szCs w:val="21"/>
          <w:highlight w:val="none"/>
          <w:u w:val="none"/>
          <w:lang w:val="en-US" w:eastAsia="zh-CN"/>
        </w:rPr>
        <w:t>工资、五险一金、餐费、差旅接待、住宿、工会福利</w:t>
      </w:r>
      <w:r>
        <w:rPr>
          <w:rFonts w:hint="eastAsia" w:ascii="宋体" w:hAnsi="宋体" w:cs="宋体"/>
          <w:color w:val="auto"/>
          <w:szCs w:val="21"/>
          <w:highlight w:val="none"/>
          <w:u w:val="none"/>
          <w:lang w:val="en-US" w:eastAsia="zh-CN"/>
        </w:rPr>
        <w:t>等</w:t>
      </w:r>
      <w:r>
        <w:rPr>
          <w:rFonts w:hint="default" w:ascii="宋体" w:hAnsi="宋体" w:eastAsia="宋体" w:cs="宋体"/>
          <w:color w:val="auto"/>
          <w:szCs w:val="21"/>
          <w:highlight w:val="none"/>
          <w:u w:val="none"/>
          <w:lang w:val="en-US" w:eastAsia="zh-CN"/>
        </w:rPr>
        <w:t>所有费用(人员费用组成如下)。</w:t>
      </w:r>
    </w:p>
    <w:tbl>
      <w:tblPr>
        <w:tblStyle w:val="29"/>
        <w:tblpPr w:leftFromText="180" w:rightFromText="180" w:vertAnchor="text" w:tblpX="104" w:tblpY="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642"/>
        <w:gridCol w:w="5417"/>
        <w:gridCol w:w="1960"/>
      </w:tblGrid>
      <w:tr w14:paraId="74D6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80" w:type="dxa"/>
            <w:vAlign w:val="center"/>
          </w:tcPr>
          <w:p w14:paraId="48BB50A7">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642" w:type="dxa"/>
            <w:vAlign w:val="center"/>
          </w:tcPr>
          <w:p w14:paraId="194F64D2">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岗位</w:t>
            </w:r>
          </w:p>
        </w:tc>
        <w:tc>
          <w:tcPr>
            <w:tcW w:w="5417" w:type="dxa"/>
            <w:vAlign w:val="center"/>
          </w:tcPr>
          <w:p w14:paraId="1204AC2E">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岗位职责</w:t>
            </w:r>
          </w:p>
        </w:tc>
        <w:tc>
          <w:tcPr>
            <w:tcW w:w="1960" w:type="dxa"/>
            <w:vAlign w:val="center"/>
          </w:tcPr>
          <w:p w14:paraId="71E750C2">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固定费用标准</w:t>
            </w:r>
          </w:p>
        </w:tc>
      </w:tr>
      <w:tr w14:paraId="07D1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80" w:type="dxa"/>
            <w:vAlign w:val="center"/>
          </w:tcPr>
          <w:p w14:paraId="7CE1FF69">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642" w:type="dxa"/>
            <w:vAlign w:val="center"/>
          </w:tcPr>
          <w:p w14:paraId="0E8C3BEC">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项目总经理</w:t>
            </w:r>
          </w:p>
        </w:tc>
        <w:tc>
          <w:tcPr>
            <w:tcW w:w="5417" w:type="dxa"/>
            <w:vAlign w:val="center"/>
          </w:tcPr>
          <w:p w14:paraId="69C72E6F">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负责全口径收入把控，项目整体日常运行</w:t>
            </w:r>
          </w:p>
        </w:tc>
        <w:tc>
          <w:tcPr>
            <w:tcW w:w="1960" w:type="dxa"/>
            <w:vMerge w:val="restart"/>
            <w:vAlign w:val="center"/>
          </w:tcPr>
          <w:p w14:paraId="291BE20B">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25万元/月</w:t>
            </w:r>
          </w:p>
          <w:p w14:paraId="2F8D9A69">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p>
        </w:tc>
      </w:tr>
      <w:tr w14:paraId="3535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80" w:type="dxa"/>
            <w:vAlign w:val="center"/>
          </w:tcPr>
          <w:p w14:paraId="27643122">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1642" w:type="dxa"/>
            <w:vAlign w:val="center"/>
          </w:tcPr>
          <w:p w14:paraId="2B5C76BD">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项目副总经理</w:t>
            </w:r>
          </w:p>
        </w:tc>
        <w:tc>
          <w:tcPr>
            <w:tcW w:w="5417" w:type="dxa"/>
            <w:vAlign w:val="center"/>
          </w:tcPr>
          <w:p w14:paraId="79859CAE">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负责具体招商及运营工作，配合项目总经理开展日常工作</w:t>
            </w:r>
          </w:p>
        </w:tc>
        <w:tc>
          <w:tcPr>
            <w:tcW w:w="1960" w:type="dxa"/>
            <w:vMerge w:val="continue"/>
            <w:vAlign w:val="center"/>
          </w:tcPr>
          <w:p w14:paraId="2B285882">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vertAlign w:val="baseline"/>
                <w:lang w:val="en-US" w:eastAsia="zh-CN"/>
              </w:rPr>
            </w:pPr>
          </w:p>
        </w:tc>
      </w:tr>
      <w:tr w14:paraId="3AFD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80" w:type="dxa"/>
            <w:vAlign w:val="center"/>
          </w:tcPr>
          <w:p w14:paraId="08CE702E">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1642" w:type="dxa"/>
            <w:vAlign w:val="center"/>
          </w:tcPr>
          <w:p w14:paraId="6CF1E7FC">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招商运营经理</w:t>
            </w:r>
          </w:p>
        </w:tc>
        <w:tc>
          <w:tcPr>
            <w:tcW w:w="5417" w:type="dxa"/>
            <w:vAlign w:val="center"/>
          </w:tcPr>
          <w:p w14:paraId="70E51A15">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具体招商策略实施与执行，配合项目总经理落实项目工作</w:t>
            </w:r>
          </w:p>
        </w:tc>
        <w:tc>
          <w:tcPr>
            <w:tcW w:w="1960" w:type="dxa"/>
            <w:vMerge w:val="continue"/>
            <w:vAlign w:val="center"/>
          </w:tcPr>
          <w:p w14:paraId="1828ECD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vertAlign w:val="baseline"/>
                <w:lang w:val="en-US" w:eastAsia="zh-CN"/>
              </w:rPr>
            </w:pPr>
          </w:p>
        </w:tc>
      </w:tr>
      <w:tr w14:paraId="7D2C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80" w:type="dxa"/>
            <w:vAlign w:val="center"/>
          </w:tcPr>
          <w:p w14:paraId="6A1B130E">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1642" w:type="dxa"/>
            <w:vAlign w:val="center"/>
          </w:tcPr>
          <w:p w14:paraId="3CCEB92B">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工程物业经理</w:t>
            </w:r>
          </w:p>
        </w:tc>
        <w:tc>
          <w:tcPr>
            <w:tcW w:w="5417" w:type="dxa"/>
            <w:vAlign w:val="center"/>
          </w:tcPr>
          <w:p w14:paraId="000AD3E2">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负责外包方整体管理协调、监管工作等（整体物业管理外包第三方，前期工程服务由</w:t>
            </w:r>
            <w:r>
              <w:rPr>
                <w:rFonts w:hint="eastAsia" w:ascii="宋体" w:hAnsi="宋体" w:cs="宋体"/>
                <w:color w:val="auto"/>
                <w:sz w:val="21"/>
                <w:szCs w:val="21"/>
                <w:highlight w:val="none"/>
                <w:vertAlign w:val="baseline"/>
                <w:lang w:val="en-US" w:eastAsia="zh-CN"/>
              </w:rPr>
              <w:t>甲方</w:t>
            </w:r>
            <w:r>
              <w:rPr>
                <w:rFonts w:hint="eastAsia" w:ascii="宋体" w:hAnsi="宋体" w:eastAsia="宋体" w:cs="宋体"/>
                <w:color w:val="auto"/>
                <w:sz w:val="21"/>
                <w:szCs w:val="21"/>
                <w:highlight w:val="none"/>
                <w:vertAlign w:val="baseline"/>
                <w:lang w:val="en-US" w:eastAsia="zh-CN"/>
              </w:rPr>
              <w:t>提供）</w:t>
            </w:r>
          </w:p>
        </w:tc>
        <w:tc>
          <w:tcPr>
            <w:tcW w:w="1960" w:type="dxa"/>
            <w:vMerge w:val="continue"/>
            <w:vAlign w:val="center"/>
          </w:tcPr>
          <w:p w14:paraId="2AC2E9D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vertAlign w:val="baseline"/>
                <w:lang w:val="en-US" w:eastAsia="zh-CN"/>
              </w:rPr>
            </w:pPr>
          </w:p>
        </w:tc>
      </w:tr>
      <w:tr w14:paraId="6731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80" w:type="dxa"/>
            <w:vAlign w:val="center"/>
          </w:tcPr>
          <w:p w14:paraId="67423FB3">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1642" w:type="dxa"/>
            <w:vAlign w:val="center"/>
          </w:tcPr>
          <w:p w14:paraId="0D291DED">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企划经理</w:t>
            </w:r>
          </w:p>
        </w:tc>
        <w:tc>
          <w:tcPr>
            <w:tcW w:w="5417" w:type="dxa"/>
            <w:vAlign w:val="center"/>
          </w:tcPr>
          <w:p w14:paraId="5FED6DBC">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负责项目企划工作，包括PR+SP活动拟定与执行</w:t>
            </w:r>
          </w:p>
        </w:tc>
        <w:tc>
          <w:tcPr>
            <w:tcW w:w="1960" w:type="dxa"/>
            <w:vMerge w:val="continue"/>
            <w:shd w:val="clear" w:color="auto" w:fill="auto"/>
            <w:vAlign w:val="center"/>
          </w:tcPr>
          <w:p w14:paraId="6CE5F24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vertAlign w:val="baseline"/>
                <w:lang w:val="en-US" w:eastAsia="zh-CN"/>
              </w:rPr>
            </w:pPr>
          </w:p>
        </w:tc>
      </w:tr>
      <w:tr w14:paraId="2F05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80" w:type="dxa"/>
            <w:vAlign w:val="center"/>
          </w:tcPr>
          <w:p w14:paraId="66BE4C06">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6</w:t>
            </w:r>
          </w:p>
        </w:tc>
        <w:tc>
          <w:tcPr>
            <w:tcW w:w="1642" w:type="dxa"/>
            <w:vAlign w:val="center"/>
          </w:tcPr>
          <w:p w14:paraId="073B0A40">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总经理助理</w:t>
            </w:r>
          </w:p>
        </w:tc>
        <w:tc>
          <w:tcPr>
            <w:tcW w:w="5417" w:type="dxa"/>
            <w:vAlign w:val="center"/>
          </w:tcPr>
          <w:p w14:paraId="46A8DB35">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负责</w:t>
            </w:r>
            <w:r>
              <w:rPr>
                <w:rFonts w:hint="eastAsia" w:ascii="宋体" w:hAnsi="宋体" w:cs="宋体"/>
                <w:color w:val="auto"/>
                <w:sz w:val="21"/>
                <w:szCs w:val="21"/>
                <w:highlight w:val="none"/>
                <w:vertAlign w:val="baseline"/>
                <w:lang w:val="en-US" w:eastAsia="zh-CN"/>
              </w:rPr>
              <w:t>协助总经理执行项目</w:t>
            </w:r>
            <w:r>
              <w:rPr>
                <w:rFonts w:hint="eastAsia" w:ascii="宋体" w:hAnsi="宋体" w:eastAsia="宋体" w:cs="宋体"/>
                <w:color w:val="auto"/>
                <w:sz w:val="21"/>
                <w:szCs w:val="21"/>
                <w:highlight w:val="none"/>
                <w:vertAlign w:val="baseline"/>
                <w:lang w:val="en-US" w:eastAsia="zh-CN"/>
              </w:rPr>
              <w:t>整体日常运行</w:t>
            </w:r>
          </w:p>
        </w:tc>
        <w:tc>
          <w:tcPr>
            <w:tcW w:w="1960" w:type="dxa"/>
            <w:vMerge w:val="continue"/>
            <w:shd w:val="clear" w:color="auto" w:fill="auto"/>
            <w:vAlign w:val="center"/>
          </w:tcPr>
          <w:p w14:paraId="6191D37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vertAlign w:val="baseline"/>
                <w:lang w:val="en-US" w:eastAsia="zh-CN"/>
              </w:rPr>
            </w:pPr>
          </w:p>
        </w:tc>
      </w:tr>
    </w:tbl>
    <w:p w14:paraId="1F303082">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支付方式</w:t>
      </w:r>
      <w:r>
        <w:rPr>
          <w:rFonts w:hint="eastAsia" w:ascii="宋体" w:hAnsi="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委派常驻员工项目服务期间所有劳务费用每月结算一次</w:t>
      </w:r>
      <w:r>
        <w:rPr>
          <w:rFonts w:hint="eastAsia" w:ascii="宋体" w:hAnsi="宋体" w:cs="宋体"/>
          <w:color w:val="auto"/>
          <w:lang w:val="en-US" w:eastAsia="zh-CN"/>
        </w:rPr>
        <w:t>上月运营团队固定费用</w:t>
      </w:r>
      <w:r>
        <w:rPr>
          <w:rFonts w:hint="eastAsia" w:ascii="宋体" w:hAnsi="宋体" w:eastAsia="宋体" w:cs="宋体"/>
          <w:color w:val="auto"/>
          <w:szCs w:val="21"/>
          <w:highlight w:val="none"/>
          <w:lang w:val="en-US" w:eastAsia="zh-CN"/>
        </w:rPr>
        <w:t>，乙方在每月5日前向甲方提供和收款额一致的服务类增值税专用发票，甲方需在收到发票</w:t>
      </w:r>
      <w:r>
        <w:rPr>
          <w:rFonts w:hint="eastAsia" w:ascii="宋体" w:hAnsi="宋体" w:cs="宋体"/>
          <w:color w:val="auto"/>
          <w:szCs w:val="21"/>
          <w:highlight w:val="none"/>
          <w:lang w:val="en-US" w:eastAsia="zh-CN"/>
        </w:rPr>
        <w:t>后</w:t>
      </w:r>
      <w:r>
        <w:rPr>
          <w:rFonts w:hint="eastAsia" w:ascii="宋体" w:hAnsi="宋体" w:eastAsia="宋体" w:cs="宋体"/>
          <w:color w:val="auto"/>
          <w:szCs w:val="21"/>
          <w:highlight w:val="none"/>
          <w:lang w:val="en-US" w:eastAsia="zh-CN"/>
        </w:rPr>
        <w:t>的5个工作日内向乙方支付与发票等额的款项。若甲乙方协商同意，可通过第三方公司支付劳务费用。</w:t>
      </w:r>
    </w:p>
    <w:p w14:paraId="0F9BEE6A">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在服务期间，如需调整派驻人员的岗位设置或固定费用标准，需经甲乙双方协商一致后执行。</w:t>
      </w:r>
    </w:p>
    <w:p w14:paraId="4CFEFDB2">
      <w:pPr>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5.4运营</w:t>
      </w:r>
      <w:r>
        <w:rPr>
          <w:rFonts w:hint="eastAsia" w:ascii="宋体" w:hAnsi="宋体" w:cs="宋体"/>
          <w:color w:val="auto"/>
          <w:szCs w:val="21"/>
          <w:highlight w:val="none"/>
          <w:lang w:val="en-US" w:eastAsia="zh-CN"/>
        </w:rPr>
        <w:t>管理提成</w:t>
      </w:r>
    </w:p>
    <w:p w14:paraId="4DD62A14">
      <w:pPr>
        <w:spacing w:line="360" w:lineRule="auto"/>
        <w:ind w:firstLine="420" w:firstLineChars="0"/>
        <w:rPr>
          <w:rFonts w:hint="default" w:ascii="宋体" w:hAnsi="宋体" w:eastAsia="宋体" w:cs="宋体"/>
          <w:color w:val="auto"/>
          <w:lang w:val="en-US" w:eastAsia="zh-CN"/>
        </w:rPr>
      </w:pPr>
      <w:r>
        <w:rPr>
          <w:rFonts w:hint="eastAsia" w:ascii="宋体" w:hAnsi="宋体" w:cs="宋体"/>
          <w:color w:val="auto"/>
          <w:lang w:val="en-US" w:eastAsia="zh-CN"/>
        </w:rPr>
        <w:t>5.4.1 经双方确认，按项目运营收益预算，进行具体项目运营工作的推进。如上半年开业的，自开业之日起三年内（第一年为开业之日起至当年12月31日止）双方按实际年全口径含税收入（不含停车费、物业管理费）进行扣点提成；如下半年开业的，自开业之日起至当年的12月31日不纳入提成，自次年1月1日起的三年内，双方按项目自然年全口径含税收入（不含停车费、物业管理费）进行扣点提成（计算周期为当年度1月1日至12月31日），具体如下：</w:t>
      </w:r>
    </w:p>
    <w:tbl>
      <w:tblPr>
        <w:tblStyle w:val="29"/>
        <w:tblpPr w:leftFromText="180" w:rightFromText="180" w:vertAnchor="text" w:tblpX="104" w:tblpY="23"/>
        <w:tblOverlap w:val="never"/>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6030"/>
        <w:gridCol w:w="3128"/>
      </w:tblGrid>
      <w:tr w14:paraId="5273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52" w:type="dxa"/>
            <w:vAlign w:val="center"/>
          </w:tcPr>
          <w:p w14:paraId="67B69BCE">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类目</w:t>
            </w:r>
          </w:p>
        </w:tc>
        <w:tc>
          <w:tcPr>
            <w:tcW w:w="6030" w:type="dxa"/>
            <w:vAlign w:val="center"/>
          </w:tcPr>
          <w:p w14:paraId="0ABA86F1">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不含停车费、物业管理费年全口径含税收入（万元）（非阶梯式）</w:t>
            </w:r>
          </w:p>
        </w:tc>
        <w:tc>
          <w:tcPr>
            <w:tcW w:w="3128" w:type="dxa"/>
            <w:vAlign w:val="center"/>
          </w:tcPr>
          <w:p w14:paraId="77F57713">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全口径含税收入扣点额（%）</w:t>
            </w:r>
          </w:p>
        </w:tc>
      </w:tr>
      <w:tr w14:paraId="4CFF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2" w:type="dxa"/>
            <w:vAlign w:val="center"/>
          </w:tcPr>
          <w:p w14:paraId="5704F9F0">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1</w:t>
            </w:r>
          </w:p>
        </w:tc>
        <w:tc>
          <w:tcPr>
            <w:tcW w:w="6030" w:type="dxa"/>
            <w:vAlign w:val="center"/>
          </w:tcPr>
          <w:p w14:paraId="50E8E732">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1600(万元)以下</w:t>
            </w:r>
          </w:p>
        </w:tc>
        <w:tc>
          <w:tcPr>
            <w:tcW w:w="3128" w:type="dxa"/>
            <w:vAlign w:val="center"/>
          </w:tcPr>
          <w:p w14:paraId="783773E4">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0</w:t>
            </w:r>
          </w:p>
        </w:tc>
      </w:tr>
      <w:tr w14:paraId="3A2B1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52" w:type="dxa"/>
            <w:vAlign w:val="center"/>
          </w:tcPr>
          <w:p w14:paraId="579D43A9">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2</w:t>
            </w:r>
          </w:p>
        </w:tc>
        <w:tc>
          <w:tcPr>
            <w:tcW w:w="6030" w:type="dxa"/>
            <w:vAlign w:val="center"/>
          </w:tcPr>
          <w:p w14:paraId="16608921">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1600万元(含)-3000万元(含3000万)</w:t>
            </w:r>
          </w:p>
        </w:tc>
        <w:tc>
          <w:tcPr>
            <w:tcW w:w="3128" w:type="dxa"/>
            <w:vAlign w:val="center"/>
          </w:tcPr>
          <w:p w14:paraId="7AA8A6C7">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8</w:t>
            </w:r>
          </w:p>
        </w:tc>
      </w:tr>
      <w:tr w14:paraId="44DC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52" w:type="dxa"/>
            <w:vAlign w:val="center"/>
          </w:tcPr>
          <w:p w14:paraId="5797C978">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3</w:t>
            </w:r>
          </w:p>
        </w:tc>
        <w:tc>
          <w:tcPr>
            <w:tcW w:w="6030" w:type="dxa"/>
            <w:vAlign w:val="center"/>
          </w:tcPr>
          <w:p w14:paraId="751DF1D7">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3000万元以上</w:t>
            </w:r>
          </w:p>
        </w:tc>
        <w:tc>
          <w:tcPr>
            <w:tcW w:w="3128" w:type="dxa"/>
            <w:vAlign w:val="center"/>
          </w:tcPr>
          <w:p w14:paraId="42D7CA5C">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9</w:t>
            </w:r>
          </w:p>
        </w:tc>
      </w:tr>
    </w:tbl>
    <w:p w14:paraId="2E631CC6">
      <w:pPr>
        <w:spacing w:line="360" w:lineRule="auto"/>
        <w:ind w:firstLine="420" w:firstLineChars="0"/>
        <w:rPr>
          <w:rFonts w:hint="eastAsia" w:ascii="宋体" w:hAnsi="宋体" w:eastAsia="宋体" w:cs="宋体"/>
          <w:color w:val="auto"/>
          <w:lang w:val="en-US" w:eastAsia="zh-CN"/>
        </w:rPr>
      </w:pPr>
      <w:r>
        <w:rPr>
          <w:rFonts w:hint="eastAsia" w:ascii="宋体" w:hAnsi="宋体" w:cs="宋体"/>
          <w:color w:val="auto"/>
          <w:lang w:val="en-US" w:eastAsia="zh-CN"/>
        </w:rPr>
        <w:t>5</w:t>
      </w:r>
      <w:r>
        <w:rPr>
          <w:rFonts w:hint="eastAsia" w:ascii="宋体" w:hAnsi="宋体" w:eastAsia="宋体" w:cs="宋体"/>
          <w:color w:val="auto"/>
          <w:lang w:val="en-US" w:eastAsia="zh-CN"/>
        </w:rPr>
        <w:t>.</w:t>
      </w:r>
      <w:r>
        <w:rPr>
          <w:rFonts w:hint="eastAsia" w:ascii="宋体" w:hAnsi="宋体" w:cs="宋体"/>
          <w:color w:val="auto"/>
          <w:lang w:val="en-US" w:eastAsia="zh-CN"/>
        </w:rPr>
        <w:t>4</w:t>
      </w:r>
      <w:r>
        <w:rPr>
          <w:rFonts w:hint="eastAsia" w:ascii="宋体" w:hAnsi="宋体" w:eastAsia="宋体" w:cs="宋体"/>
          <w:color w:val="auto"/>
          <w:lang w:val="en-US" w:eastAsia="zh-CN"/>
        </w:rPr>
        <w:t>.2 第四年（计算周期为当年度1月1日至12月31日）起本项目年全口径收入（不含停车费、物业管理费）按下表进行扣点提成，若年全口径收入未超过2500万（含本数），甲方仅按25万元/月支付运营团队固定管理费用，不提成运营管理费。</w:t>
      </w:r>
    </w:p>
    <w:tbl>
      <w:tblPr>
        <w:tblStyle w:val="29"/>
        <w:tblpPr w:leftFromText="180" w:rightFromText="180" w:vertAnchor="text" w:tblpX="104" w:tblpY="23"/>
        <w:tblOverlap w:val="never"/>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6030"/>
        <w:gridCol w:w="3128"/>
      </w:tblGrid>
      <w:tr w14:paraId="78E9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52" w:type="dxa"/>
            <w:vAlign w:val="center"/>
          </w:tcPr>
          <w:p w14:paraId="2B720BCC">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类目</w:t>
            </w:r>
          </w:p>
        </w:tc>
        <w:tc>
          <w:tcPr>
            <w:tcW w:w="6030" w:type="dxa"/>
            <w:vAlign w:val="center"/>
          </w:tcPr>
          <w:p w14:paraId="4A0C04D6">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不含停车费、物业管理费年全口径含税收入（万元）（非阶梯式）</w:t>
            </w:r>
          </w:p>
        </w:tc>
        <w:tc>
          <w:tcPr>
            <w:tcW w:w="3128" w:type="dxa"/>
            <w:vAlign w:val="center"/>
          </w:tcPr>
          <w:p w14:paraId="202BFDC9">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全口径含税收入扣点额（%）</w:t>
            </w:r>
          </w:p>
        </w:tc>
      </w:tr>
      <w:tr w14:paraId="4E72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2" w:type="dxa"/>
            <w:vAlign w:val="center"/>
          </w:tcPr>
          <w:p w14:paraId="42847F92">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1</w:t>
            </w:r>
          </w:p>
        </w:tc>
        <w:tc>
          <w:tcPr>
            <w:tcW w:w="6030" w:type="dxa"/>
            <w:vAlign w:val="center"/>
          </w:tcPr>
          <w:p w14:paraId="44756809">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25</w:t>
            </w:r>
            <w:r>
              <w:rPr>
                <w:rFonts w:hint="eastAsia" w:ascii="宋体" w:hAnsi="宋体" w:eastAsia="宋体" w:cs="宋体"/>
                <w:color w:val="auto"/>
                <w:szCs w:val="21"/>
                <w:highlight w:val="none"/>
                <w:vertAlign w:val="baseline"/>
                <w:lang w:val="en-US" w:eastAsia="zh-CN"/>
              </w:rPr>
              <w:t>00(万元)以下</w:t>
            </w:r>
            <w:r>
              <w:rPr>
                <w:rFonts w:hint="eastAsia" w:ascii="宋体" w:hAnsi="宋体" w:cs="宋体"/>
                <w:color w:val="auto"/>
                <w:szCs w:val="21"/>
                <w:highlight w:val="none"/>
                <w:vertAlign w:val="baseline"/>
                <w:lang w:val="en-US" w:eastAsia="zh-CN"/>
              </w:rPr>
              <w:t>（含）</w:t>
            </w:r>
          </w:p>
        </w:tc>
        <w:tc>
          <w:tcPr>
            <w:tcW w:w="3128" w:type="dxa"/>
            <w:vAlign w:val="center"/>
          </w:tcPr>
          <w:p w14:paraId="1FA6F4D9">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0</w:t>
            </w:r>
          </w:p>
        </w:tc>
      </w:tr>
      <w:tr w14:paraId="66E4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52" w:type="dxa"/>
            <w:vAlign w:val="center"/>
          </w:tcPr>
          <w:p w14:paraId="3172AB8D">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2</w:t>
            </w:r>
          </w:p>
        </w:tc>
        <w:tc>
          <w:tcPr>
            <w:tcW w:w="6030" w:type="dxa"/>
            <w:vAlign w:val="center"/>
          </w:tcPr>
          <w:p w14:paraId="0B7EF9A9">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25</w:t>
            </w:r>
            <w:r>
              <w:rPr>
                <w:rFonts w:hint="eastAsia" w:ascii="宋体" w:hAnsi="宋体" w:eastAsia="宋体" w:cs="宋体"/>
                <w:color w:val="auto"/>
                <w:szCs w:val="21"/>
                <w:highlight w:val="none"/>
                <w:vertAlign w:val="baseline"/>
                <w:lang w:val="en-US" w:eastAsia="zh-CN"/>
              </w:rPr>
              <w:t>00万元(</w:t>
            </w:r>
            <w:r>
              <w:rPr>
                <w:rFonts w:hint="eastAsia" w:ascii="宋体" w:hAnsi="宋体" w:cs="宋体"/>
                <w:color w:val="auto"/>
                <w:szCs w:val="21"/>
                <w:highlight w:val="none"/>
                <w:vertAlign w:val="baseline"/>
                <w:lang w:val="en-US" w:eastAsia="zh-CN"/>
              </w:rPr>
              <w:t>不</w:t>
            </w:r>
            <w:r>
              <w:rPr>
                <w:rFonts w:hint="eastAsia" w:ascii="宋体" w:hAnsi="宋体" w:eastAsia="宋体" w:cs="宋体"/>
                <w:color w:val="auto"/>
                <w:szCs w:val="21"/>
                <w:highlight w:val="none"/>
                <w:vertAlign w:val="baseline"/>
                <w:lang w:val="en-US" w:eastAsia="zh-CN"/>
              </w:rPr>
              <w:t>含)-3000万元(含3000万)</w:t>
            </w:r>
          </w:p>
        </w:tc>
        <w:tc>
          <w:tcPr>
            <w:tcW w:w="3128" w:type="dxa"/>
            <w:vAlign w:val="center"/>
          </w:tcPr>
          <w:p w14:paraId="17DF8FEF">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8</w:t>
            </w:r>
          </w:p>
        </w:tc>
      </w:tr>
      <w:tr w14:paraId="13A5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52" w:type="dxa"/>
            <w:vAlign w:val="center"/>
          </w:tcPr>
          <w:p w14:paraId="754CF9E5">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3</w:t>
            </w:r>
          </w:p>
        </w:tc>
        <w:tc>
          <w:tcPr>
            <w:tcW w:w="6030" w:type="dxa"/>
            <w:vAlign w:val="center"/>
          </w:tcPr>
          <w:p w14:paraId="2767C323">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3000万元以上</w:t>
            </w:r>
          </w:p>
        </w:tc>
        <w:tc>
          <w:tcPr>
            <w:tcW w:w="3128" w:type="dxa"/>
            <w:vAlign w:val="center"/>
          </w:tcPr>
          <w:p w14:paraId="2FEAB7E9">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9</w:t>
            </w:r>
          </w:p>
        </w:tc>
      </w:tr>
    </w:tbl>
    <w:p w14:paraId="7EE11A7A">
      <w:pPr>
        <w:spacing w:line="360" w:lineRule="auto"/>
        <w:ind w:firstLine="420" w:firstLineChars="200"/>
        <w:rPr>
          <w:rFonts w:hint="eastAsia" w:ascii="宋体" w:hAnsi="宋体" w:eastAsia="宋体" w:cs="宋体"/>
          <w:color w:val="auto"/>
          <w:lang w:val="en-US" w:eastAsia="zh-CN"/>
        </w:rPr>
      </w:pPr>
      <w:r>
        <w:rPr>
          <w:rFonts w:hint="eastAsia" w:ascii="宋体" w:hAnsi="宋体" w:cs="宋体"/>
          <w:color w:val="auto"/>
          <w:lang w:val="en-US" w:eastAsia="zh-CN"/>
        </w:rPr>
        <w:t>5.4.3</w:t>
      </w:r>
      <w:r>
        <w:rPr>
          <w:rFonts w:hint="eastAsia" w:ascii="宋体" w:hAnsi="宋体" w:eastAsia="宋体" w:cs="宋体"/>
          <w:color w:val="auto"/>
          <w:lang w:val="en-US" w:eastAsia="zh-CN"/>
        </w:rPr>
        <w:t>收入包括但不限于含税租金收入、广告费收入、服务费收入、自营收入、其他经营相关的收入等。</w:t>
      </w:r>
    </w:p>
    <w:p w14:paraId="3933EB90">
      <w:pPr>
        <w:snapToGrid w:val="0"/>
        <w:spacing w:line="360" w:lineRule="auto"/>
        <w:ind w:firstLine="420" w:firstLineChars="200"/>
        <w:rPr>
          <w:rFonts w:hint="default" w:ascii="宋体" w:hAnsi="宋体" w:cs="宋体"/>
          <w:color w:val="auto"/>
          <w:lang w:val="en-US" w:eastAsia="zh-CN"/>
        </w:rPr>
      </w:pPr>
      <w:r>
        <w:rPr>
          <w:rFonts w:hint="eastAsia" w:ascii="宋体" w:hAnsi="宋体" w:eastAsia="宋体" w:cs="宋体"/>
          <w:color w:val="auto"/>
          <w:lang w:val="en-US" w:eastAsia="zh-CN"/>
        </w:rPr>
        <w:t>乙方应在每年年初制定全口径收入测算表提供至甲方确认。甲乙双方于自然年度结束后5个工作日内开展该年度的全口径收入总额核算工作，甲方向乙方提供该项目对应的财务报表(包括但不限于营收表、现金流量表、利润表等)、银行对账单及业务系统数据等，甲乙双方财务应于次年1月31日前完成对收入的核对及确认。确认无误后的</w:t>
      </w:r>
      <w:r>
        <w:rPr>
          <w:rFonts w:hint="eastAsia" w:ascii="宋体" w:hAnsi="宋体" w:cs="宋体"/>
          <w:color w:val="auto"/>
          <w:lang w:val="en-US" w:eastAsia="zh-CN"/>
        </w:rPr>
        <w:t>5</w:t>
      </w:r>
      <w:r>
        <w:rPr>
          <w:rFonts w:hint="eastAsia" w:ascii="宋体" w:hAnsi="宋体" w:eastAsia="宋体" w:cs="宋体"/>
          <w:color w:val="auto"/>
          <w:lang w:val="en-US" w:eastAsia="zh-CN"/>
        </w:rPr>
        <w:t>个工作日内，</w:t>
      </w:r>
      <w:r>
        <w:rPr>
          <w:rFonts w:hint="eastAsia" w:ascii="宋体" w:hAnsi="宋体" w:cs="宋体"/>
          <w:color w:val="auto"/>
          <w:sz w:val="21"/>
          <w:szCs w:val="21"/>
          <w:highlight w:val="none"/>
          <w:lang w:val="en-US" w:eastAsia="zh-CN"/>
        </w:rPr>
        <w:t>乙方</w:t>
      </w:r>
      <w:r>
        <w:rPr>
          <w:rFonts w:hint="eastAsia" w:ascii="宋体" w:hAnsi="宋体" w:eastAsia="宋体" w:cs="宋体"/>
          <w:color w:val="auto"/>
          <w:lang w:val="en-US" w:eastAsia="zh-CN"/>
        </w:rPr>
        <w:t>向</w:t>
      </w:r>
      <w:r>
        <w:rPr>
          <w:rFonts w:hint="eastAsia" w:ascii="宋体" w:hAnsi="宋体" w:cs="宋体"/>
          <w:color w:val="auto"/>
          <w:lang w:val="en-US" w:eastAsia="zh-CN"/>
        </w:rPr>
        <w:t>甲方</w:t>
      </w:r>
      <w:r>
        <w:rPr>
          <w:rFonts w:hint="eastAsia" w:ascii="宋体" w:hAnsi="宋体" w:eastAsia="宋体" w:cs="宋体"/>
          <w:color w:val="auto"/>
          <w:lang w:val="en-US" w:eastAsia="zh-CN"/>
        </w:rPr>
        <w:t>提供对应的服务类增值税专用发票，</w:t>
      </w:r>
      <w:r>
        <w:rPr>
          <w:rFonts w:hint="eastAsia" w:ascii="宋体" w:hAnsi="宋体" w:cs="宋体"/>
          <w:color w:val="auto"/>
          <w:sz w:val="21"/>
          <w:szCs w:val="21"/>
          <w:highlight w:val="none"/>
          <w:lang w:val="en-US" w:eastAsia="zh-CN"/>
        </w:rPr>
        <w:t>甲方</w:t>
      </w:r>
      <w:r>
        <w:rPr>
          <w:rFonts w:hint="eastAsia" w:ascii="宋体" w:hAnsi="宋体" w:eastAsia="宋体" w:cs="宋体"/>
          <w:color w:val="auto"/>
          <w:lang w:val="en-US" w:eastAsia="zh-CN"/>
        </w:rPr>
        <w:t>在收到发票后的5工作日内，将对应的运营服务费汇入</w:t>
      </w:r>
      <w:r>
        <w:rPr>
          <w:rFonts w:hint="eastAsia" w:ascii="宋体" w:hAnsi="宋体" w:cs="宋体"/>
          <w:color w:val="auto"/>
          <w:lang w:val="en-US" w:eastAsia="zh-CN"/>
        </w:rPr>
        <w:t>乙方</w:t>
      </w:r>
      <w:r>
        <w:rPr>
          <w:rFonts w:hint="eastAsia" w:ascii="宋体" w:hAnsi="宋体" w:eastAsia="宋体" w:cs="宋体"/>
          <w:color w:val="auto"/>
          <w:lang w:val="en-US" w:eastAsia="zh-CN"/>
        </w:rPr>
        <w:t>账户。最终收入以双方审计为准，待审计结束后</w:t>
      </w:r>
      <w:r>
        <w:rPr>
          <w:rFonts w:hint="eastAsia" w:ascii="宋体" w:hAnsi="宋体" w:cs="宋体"/>
          <w:color w:val="auto"/>
          <w:lang w:val="en-US" w:eastAsia="zh-CN"/>
        </w:rPr>
        <w:t>一个月内完成</w:t>
      </w:r>
      <w:r>
        <w:rPr>
          <w:rFonts w:hint="eastAsia" w:ascii="宋体" w:hAnsi="宋体" w:eastAsia="宋体" w:cs="宋体"/>
          <w:color w:val="auto"/>
          <w:lang w:val="en-US" w:eastAsia="zh-CN"/>
        </w:rPr>
        <w:t>清算。</w:t>
      </w:r>
    </w:p>
    <w:p w14:paraId="5ADC3F07">
      <w:pPr>
        <w:snapToGrid w:val="0"/>
        <w:spacing w:line="360" w:lineRule="auto"/>
        <w:rPr>
          <w:rFonts w:hint="eastAsia" w:ascii="宋体" w:hAnsi="宋体" w:eastAsia="宋体" w:cs="宋体"/>
          <w:b/>
          <w:bCs/>
          <w:color w:val="auto"/>
          <w:szCs w:val="21"/>
          <w:highlight w:val="none"/>
          <w:u w:val="none"/>
          <w:lang w:val="en-US" w:eastAsia="zh-CN"/>
        </w:rPr>
      </w:pPr>
      <w:r>
        <w:rPr>
          <w:rFonts w:hint="eastAsia" w:ascii="宋体" w:hAnsi="宋体" w:eastAsia="宋体" w:cs="宋体"/>
          <w:b/>
          <w:bCs/>
          <w:color w:val="auto"/>
          <w:szCs w:val="21"/>
          <w:highlight w:val="none"/>
          <w:u w:val="none"/>
          <w:lang w:val="en-US" w:eastAsia="zh-CN"/>
        </w:rPr>
        <w:t>六、账户信息</w:t>
      </w:r>
    </w:p>
    <w:p w14:paraId="28D80213">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甲方付款均以银行转账的形式支付。</w:t>
      </w:r>
    </w:p>
    <w:p w14:paraId="74CB66A4">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甲方开票信息如下</w:t>
      </w:r>
      <w:r>
        <w:rPr>
          <w:rFonts w:hint="eastAsia" w:ascii="宋体" w:hAnsi="宋体" w:cs="宋体"/>
          <w:color w:val="auto"/>
          <w:sz w:val="21"/>
          <w:szCs w:val="21"/>
          <w:highlight w:val="none"/>
          <w:lang w:val="en-US" w:eastAsia="zh-CN"/>
        </w:rPr>
        <w:t>：</w:t>
      </w:r>
    </w:p>
    <w:p w14:paraId="3C3D2C77">
      <w:pPr>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公司名称</w:t>
      </w:r>
      <w:r>
        <w:rPr>
          <w:rFonts w:hint="eastAsia" w:ascii="宋体" w:hAnsi="宋体" w:cs="宋体"/>
          <w:color w:val="auto"/>
          <w:sz w:val="21"/>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p>
    <w:p w14:paraId="1565BCDD">
      <w:pPr>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税号：</w:t>
      </w:r>
      <w:r>
        <w:rPr>
          <w:rFonts w:hint="eastAsia" w:ascii="宋体" w:hAnsi="宋体" w:eastAsia="宋体" w:cs="宋体"/>
          <w:color w:val="auto"/>
          <w:szCs w:val="21"/>
          <w:highlight w:val="none"/>
          <w:u w:val="single"/>
          <w:lang w:val="en-US" w:eastAsia="zh-CN"/>
        </w:rPr>
        <w:t xml:space="preserve">             </w:t>
      </w:r>
    </w:p>
    <w:p w14:paraId="3A8A556E">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地址：</w:t>
      </w:r>
      <w:r>
        <w:rPr>
          <w:rFonts w:hint="eastAsia" w:ascii="宋体" w:hAnsi="宋体" w:eastAsia="宋体" w:cs="宋体"/>
          <w:color w:val="auto"/>
          <w:szCs w:val="21"/>
          <w:highlight w:val="none"/>
          <w:u w:val="single"/>
          <w:lang w:val="en-US" w:eastAsia="zh-CN"/>
        </w:rPr>
        <w:t xml:space="preserve">             </w:t>
      </w:r>
    </w:p>
    <w:p w14:paraId="6E780266">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电话：</w:t>
      </w:r>
      <w:r>
        <w:rPr>
          <w:rFonts w:hint="eastAsia" w:ascii="宋体" w:hAnsi="宋体" w:eastAsia="宋体" w:cs="宋体"/>
          <w:color w:val="auto"/>
          <w:szCs w:val="21"/>
          <w:highlight w:val="none"/>
          <w:u w:val="single"/>
          <w:lang w:val="en-US" w:eastAsia="zh-CN"/>
        </w:rPr>
        <w:t xml:space="preserve">             </w:t>
      </w:r>
    </w:p>
    <w:p w14:paraId="4B8A0F87">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发票接收邮箱：</w:t>
      </w:r>
      <w:r>
        <w:rPr>
          <w:rFonts w:hint="eastAsia" w:ascii="宋体" w:hAnsi="宋体" w:eastAsia="宋体" w:cs="宋体"/>
          <w:color w:val="auto"/>
          <w:szCs w:val="21"/>
          <w:highlight w:val="none"/>
          <w:u w:val="single"/>
          <w:lang w:val="en-US" w:eastAsia="zh-CN"/>
        </w:rPr>
        <w:t xml:space="preserve">         </w:t>
      </w:r>
    </w:p>
    <w:p w14:paraId="54E10687">
      <w:pPr>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乙方银行账号资料如下：</w:t>
      </w:r>
    </w:p>
    <w:p w14:paraId="0135C281">
      <w:pPr>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开户行</w:t>
      </w:r>
      <w:r>
        <w:rPr>
          <w:rFonts w:hint="eastAsia" w:ascii="宋体" w:hAnsi="宋体" w:cs="宋体"/>
          <w:color w:val="auto"/>
          <w:sz w:val="21"/>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p>
    <w:p w14:paraId="3BFE9AC0">
      <w:pPr>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户名：</w:t>
      </w:r>
      <w:r>
        <w:rPr>
          <w:rFonts w:hint="eastAsia" w:ascii="宋体" w:hAnsi="宋体" w:eastAsia="宋体" w:cs="宋体"/>
          <w:color w:val="auto"/>
          <w:szCs w:val="21"/>
          <w:highlight w:val="none"/>
          <w:u w:val="single"/>
          <w:lang w:val="en-US" w:eastAsia="zh-CN"/>
        </w:rPr>
        <w:t xml:space="preserve">           </w:t>
      </w:r>
    </w:p>
    <w:p w14:paraId="7B400113">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账号：</w:t>
      </w:r>
      <w:r>
        <w:rPr>
          <w:rFonts w:hint="eastAsia" w:ascii="宋体" w:hAnsi="宋体" w:eastAsia="宋体" w:cs="宋体"/>
          <w:color w:val="auto"/>
          <w:szCs w:val="21"/>
          <w:highlight w:val="none"/>
          <w:u w:val="single"/>
          <w:lang w:val="en-US" w:eastAsia="zh-CN"/>
        </w:rPr>
        <w:t xml:space="preserve">           </w:t>
      </w:r>
    </w:p>
    <w:p w14:paraId="22E627E9">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发票接收邮箱：</w:t>
      </w:r>
      <w:r>
        <w:rPr>
          <w:rFonts w:hint="eastAsia" w:ascii="宋体" w:hAnsi="宋体" w:eastAsia="宋体" w:cs="宋体"/>
          <w:color w:val="auto"/>
          <w:szCs w:val="21"/>
          <w:highlight w:val="none"/>
          <w:u w:val="single"/>
          <w:lang w:val="en-US" w:eastAsia="zh-CN"/>
        </w:rPr>
        <w:t xml:space="preserve">         </w:t>
      </w:r>
    </w:p>
    <w:p w14:paraId="2A888D4A">
      <w:pPr>
        <w:snapToGrid w:val="0"/>
        <w:spacing w:line="360" w:lineRule="auto"/>
        <w:rPr>
          <w:rFonts w:hint="eastAsia" w:ascii="宋体" w:hAnsi="宋体" w:eastAsia="宋体" w:cs="宋体"/>
          <w:b/>
          <w:bCs/>
          <w:color w:val="auto"/>
          <w:szCs w:val="21"/>
          <w:highlight w:val="none"/>
          <w:u w:val="none"/>
          <w:lang w:val="en-US" w:eastAsia="zh-CN"/>
        </w:rPr>
      </w:pPr>
      <w:r>
        <w:rPr>
          <w:rFonts w:hint="eastAsia" w:ascii="宋体" w:hAnsi="宋体" w:eastAsia="宋体" w:cs="宋体"/>
          <w:b/>
          <w:bCs/>
          <w:color w:val="auto"/>
          <w:szCs w:val="21"/>
          <w:highlight w:val="none"/>
          <w:u w:val="none"/>
          <w:lang w:val="en-US" w:eastAsia="zh-CN"/>
        </w:rPr>
        <w:t>七、甲方权利</w:t>
      </w:r>
    </w:p>
    <w:p w14:paraId="7C970633">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7.1甲方拥有项目开发、招商、运营过程中所有事项的知情权，但甲方无正当理由不得干涉乙方正常招商工作。</w:t>
      </w:r>
    </w:p>
    <w:p w14:paraId="0B00F9B9">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7.2甲方有权对乙方在服务过程中的工作进行监督。</w:t>
      </w:r>
    </w:p>
    <w:p w14:paraId="0DC16F08">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7.3甲方有权对乙方提供的服务提出建议，乙方对甲方的合理建议应当执行。</w:t>
      </w:r>
    </w:p>
    <w:p w14:paraId="2BB36FD3">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7.4审批乙方提交的管理架构、人员编制方案。</w:t>
      </w:r>
    </w:p>
    <w:p w14:paraId="7456354E">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7.5审批乙方提交的工作计划、招商及租赁方案、招商进度表、资金预算表、业态规划图、项目定位、年度经营指标、年度推广营销计划等。</w:t>
      </w:r>
    </w:p>
    <w:p w14:paraId="2854A4BA">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7.6根据乙方的推荐，审查乙方项目人员的任职资格，对于服务中严重失职、不称职或违法乱纪的乙方项目人员，甲方有权暂停其职务并要求乙方更换，乙方接到甲方书面通知且查证属实后，应于7日内回复并另行推荐和更换合格的项目人员。</w:t>
      </w:r>
    </w:p>
    <w:p w14:paraId="634033F2">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7.7审批各项管理制度。</w:t>
      </w:r>
    </w:p>
    <w:p w14:paraId="12569037">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7.8法律法规或双方约定的其他权利。</w:t>
      </w:r>
    </w:p>
    <w:p w14:paraId="6F5A67AA">
      <w:pPr>
        <w:snapToGrid w:val="0"/>
        <w:spacing w:line="360" w:lineRule="auto"/>
        <w:rPr>
          <w:rFonts w:hint="eastAsia" w:ascii="宋体" w:hAnsi="宋体" w:eastAsia="宋体" w:cs="宋体"/>
          <w:b/>
          <w:bCs/>
          <w:color w:val="auto"/>
          <w:szCs w:val="21"/>
          <w:highlight w:val="none"/>
          <w:u w:val="none"/>
          <w:lang w:val="en-US" w:eastAsia="zh-CN"/>
        </w:rPr>
      </w:pPr>
      <w:r>
        <w:rPr>
          <w:rFonts w:hint="eastAsia" w:ascii="宋体" w:hAnsi="宋体" w:eastAsia="宋体" w:cs="宋体"/>
          <w:b/>
          <w:bCs/>
          <w:color w:val="auto"/>
          <w:szCs w:val="21"/>
          <w:highlight w:val="none"/>
          <w:u w:val="none"/>
          <w:lang w:val="en-US" w:eastAsia="zh-CN"/>
        </w:rPr>
        <w:t>八、乙方权利</w:t>
      </w:r>
    </w:p>
    <w:p w14:paraId="74266292">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8.1乙方根据管理架构在各阶段具体工作开始前一个月挑选派驻人员，并将相关人员的名单，列明资历及具体责任范围、联系方式并附身份证复印件报送甲方，经甲方批准后，成为乙方委派人员，乙方委派人员与甲方无劳动合同关系，如乙方委派人员有工作调动或变更，需事先通知甲方，经甲方批准后，乙方应及时增补人员。</w:t>
      </w:r>
    </w:p>
    <w:p w14:paraId="6A126456">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8.2除本合同另有规定外，项目管理团队接受乙方的指导、支持，负责对该项目管理服务所涉及的招商、市场推广、项目运营管理等事务。</w:t>
      </w:r>
    </w:p>
    <w:p w14:paraId="0D13FEB5">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8.3乙方全面负责本项目招商及品牌引进工作，对拟引进的品牌拥有一票否决权；甲方应尊重乙方的品牌选择，未经乙方书面同意，不得以任何形式干涉乙方的招商决策及品牌引进工作，否则甲方需承担由此产生的一切法律责任与经济损失。</w:t>
      </w:r>
    </w:p>
    <w:p w14:paraId="56DD4141">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8.4乙方拟定项目管理的基本制度(包括项目公司的人事、行政、用章管理、财务制度、安全制度等)，经甲方审批确定后实施。</w:t>
      </w:r>
    </w:p>
    <w:p w14:paraId="432D8F17">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8.5乙方团队负责项目的经营管理，并享有甲方所授予的组织项目经营的权利，此种权利包括：</w:t>
      </w:r>
    </w:p>
    <w:p w14:paraId="302879D7">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(1)编制年度预算，经与甲方审批确定后组织实施。</w:t>
      </w:r>
    </w:p>
    <w:p w14:paraId="05136690">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(2)在符合年度预算的情况下制定租金及其他收费标准。</w:t>
      </w:r>
    </w:p>
    <w:p w14:paraId="0A72D7C2">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(3)租赁合同及租约的签署审批权。双方约定，符合租赁条件的租户可由乙方提交甲方审批确认后直接签约，未满足租赁条件的拟签约租户可采用会议提报、租赁周报、邮件提报等方式</w:t>
      </w:r>
      <w:r>
        <w:rPr>
          <w:rFonts w:hint="eastAsia" w:ascii="宋体" w:hAnsi="宋体" w:cs="宋体"/>
          <w:color w:val="auto"/>
          <w:szCs w:val="21"/>
          <w:highlight w:val="none"/>
          <w:lang w:val="en-US" w:eastAsia="zh-CN"/>
        </w:rPr>
        <w:t>提</w:t>
      </w:r>
      <w:r>
        <w:rPr>
          <w:rFonts w:hint="eastAsia" w:ascii="宋体" w:hAnsi="宋体" w:eastAsia="宋体" w:cs="宋体"/>
          <w:color w:val="auto"/>
          <w:szCs w:val="21"/>
          <w:highlight w:val="none"/>
          <w:lang w:val="en-US" w:eastAsia="zh-CN"/>
        </w:rPr>
        <w:t>交甲方审批。</w:t>
      </w:r>
    </w:p>
    <w:p w14:paraId="777E1318">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8.6各项工作时间计划节点经甲乙双方另行确认。</w:t>
      </w:r>
    </w:p>
    <w:p w14:paraId="78D07387">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8.7如甲方在服务周期内有部分服务内容需委托第三方提供的，该第三方必须接受乙方的指导，保证服务质量，乙方有权对其制定服务标准和细则，有权和甲方共同监督考核第三方的服务。</w:t>
      </w:r>
    </w:p>
    <w:p w14:paraId="25B1FD62">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8.8乙方享有按照合同约定或法律规定获得报酬的权利。</w:t>
      </w:r>
    </w:p>
    <w:p w14:paraId="68A673D9">
      <w:pPr>
        <w:snapToGrid w:val="0"/>
        <w:spacing w:line="360" w:lineRule="auto"/>
        <w:rPr>
          <w:rFonts w:hint="eastAsia" w:ascii="宋体" w:hAnsi="宋体" w:eastAsia="宋体" w:cs="宋体"/>
          <w:b/>
          <w:bCs/>
          <w:color w:val="auto"/>
          <w:szCs w:val="21"/>
          <w:highlight w:val="none"/>
          <w:u w:val="none"/>
          <w:lang w:val="en-US" w:eastAsia="zh-CN"/>
        </w:rPr>
      </w:pPr>
      <w:r>
        <w:rPr>
          <w:rFonts w:hint="eastAsia" w:ascii="宋体" w:hAnsi="宋体" w:eastAsia="宋体" w:cs="宋体"/>
          <w:b/>
          <w:bCs/>
          <w:color w:val="auto"/>
          <w:szCs w:val="21"/>
          <w:highlight w:val="none"/>
          <w:u w:val="none"/>
          <w:lang w:val="en-US" w:eastAsia="zh-CN"/>
        </w:rPr>
        <w:t>九、交付标准</w:t>
      </w:r>
    </w:p>
    <w:p w14:paraId="7DC8539C">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9.1甲方保证在双方约定的时间内，按照双方确认的交付标准完成相关建设工作。若因甲方原因未能完成相关建设工作，造成乙方无法完成招商工作或影响乙方的招商效果的，乙方有权要求甲方承担相应责任，影响确实重大的，乙方有权单方解除本合同。</w:t>
      </w:r>
    </w:p>
    <w:p w14:paraId="34EF56C2">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9.2甲方保证根据乙方工作进度完成下列工作：</w:t>
      </w:r>
    </w:p>
    <w:p w14:paraId="1499F515">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9.2.1提供营业执照、建设用地规划许可证、建设工程规划许可证、建筑工程施工许可证等租户签约及办理营业执照必要的应由出租方提供的各项证照资料。</w:t>
      </w:r>
    </w:p>
    <w:p w14:paraId="3F45002C">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9.2.2保证已确认的工程进度及竣工时间，以确保对租户的承诺，</w:t>
      </w:r>
    </w:p>
    <w:p w14:paraId="1D881DAE">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9.2.3办理各项质检证书，包括但不限于消防、环保、竣工验收备案等 。</w:t>
      </w:r>
    </w:p>
    <w:p w14:paraId="2750083E">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9.2.4本合同有效期内根据中国法律购买各项必要的保险，包括财产险、公众责任险、火灾公众责任险等(约定由租户承担的除外)。</w:t>
      </w:r>
    </w:p>
    <w:p w14:paraId="0179D9CF">
      <w:pPr>
        <w:snapToGrid w:val="0"/>
        <w:spacing w:line="360" w:lineRule="auto"/>
        <w:rPr>
          <w:rFonts w:hint="eastAsia" w:ascii="宋体" w:hAnsi="宋体" w:eastAsia="宋体" w:cs="宋体"/>
          <w:b/>
          <w:bCs/>
          <w:color w:val="auto"/>
          <w:szCs w:val="21"/>
          <w:highlight w:val="none"/>
          <w:u w:val="none"/>
          <w:lang w:val="en-US" w:eastAsia="zh-CN"/>
        </w:rPr>
      </w:pPr>
      <w:r>
        <w:rPr>
          <w:rFonts w:hint="eastAsia" w:ascii="宋体" w:hAnsi="宋体" w:eastAsia="宋体" w:cs="宋体"/>
          <w:b/>
          <w:bCs/>
          <w:color w:val="auto"/>
          <w:szCs w:val="21"/>
          <w:highlight w:val="none"/>
          <w:u w:val="none"/>
          <w:lang w:val="en-US" w:eastAsia="zh-CN"/>
        </w:rPr>
        <w:t>十、甲方义务</w:t>
      </w:r>
    </w:p>
    <w:p w14:paraId="50FB8149">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10.1招商期甲方义务</w:t>
      </w:r>
    </w:p>
    <w:p w14:paraId="6552635A">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10.1.1甲方应保证对项目具有完整的所有权和处分权，甲方在本合同签订之前或之后对项目的任何处分行为都应及时而完整地告知乙方。</w:t>
      </w:r>
    </w:p>
    <w:p w14:paraId="7C34CDF2">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10.1.2甲方应按乙方需求提供相关商户所需文件资料。</w:t>
      </w:r>
    </w:p>
    <w:p w14:paraId="6C36E60D">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10.1.3甲方应当根据本合同的约定按时足额</w:t>
      </w:r>
      <w:r>
        <w:rPr>
          <w:rFonts w:hint="eastAsia" w:ascii="宋体" w:hAnsi="宋体" w:cs="宋体"/>
          <w:color w:val="auto"/>
          <w:szCs w:val="21"/>
          <w:highlight w:val="none"/>
          <w:lang w:val="en-US" w:eastAsia="zh-CN"/>
        </w:rPr>
        <w:t>地</w:t>
      </w:r>
      <w:r>
        <w:rPr>
          <w:rFonts w:hint="eastAsia" w:ascii="宋体" w:hAnsi="宋体" w:eastAsia="宋体" w:cs="宋体"/>
          <w:color w:val="auto"/>
          <w:szCs w:val="21"/>
          <w:highlight w:val="none"/>
          <w:lang w:val="en-US" w:eastAsia="zh-CN"/>
        </w:rPr>
        <w:t>向乙方支付各项服务费用。</w:t>
      </w:r>
    </w:p>
    <w:p w14:paraId="0C2B31A9">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10.1.4甲方应遵守乙方的招商自主权，无正当理由的情况下不得干预乙方的招商项目。</w:t>
      </w:r>
    </w:p>
    <w:p w14:paraId="18D48C90">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10.1.5甲方应尊重乙方制定的工作计划、业态规划、项目定位、推广营销计划等有关招商运营的专业意见，如甲方无正当理由拒绝审批通过乙方制定的相关计划，致使乙方招商运营工作无法顺利开展的，双方有权协商终止合同。</w:t>
      </w:r>
    </w:p>
    <w:p w14:paraId="76F247D6">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10.2运营期甲方义务</w:t>
      </w:r>
    </w:p>
    <w:p w14:paraId="02A51F88">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10.2.1甲方根据本项目方案、品牌标准以及所有法律要求所作的开业前检查(包括“消防装置”的检测)显示，本项目经营场所足以令公众和品牌能合理消费或入驻，且令乙方能合理管理项目的经营，包括向乙方提供所有相关的竣工文件，已做好充分准备开业，合作品牌符合乙方品牌标准；乙方在进行开业前检查时发现的工程遗留问题已由甲方补救，并达到开业标准；</w:t>
      </w:r>
    </w:p>
    <w:p w14:paraId="4335DBE5">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10.2.2国家主管机关已出具项目建设工程竣工验收意见书，证明项目</w:t>
      </w:r>
      <w:r>
        <w:rPr>
          <w:rFonts w:hint="eastAsia" w:ascii="宋体" w:hAnsi="宋体" w:cs="宋体"/>
          <w:color w:val="auto"/>
          <w:szCs w:val="21"/>
          <w:highlight w:val="none"/>
          <w:lang w:val="en-US" w:eastAsia="zh-CN"/>
        </w:rPr>
        <w:t>已</w:t>
      </w:r>
      <w:r>
        <w:rPr>
          <w:rFonts w:hint="eastAsia" w:ascii="宋体" w:hAnsi="宋体" w:eastAsia="宋体" w:cs="宋体"/>
          <w:color w:val="auto"/>
          <w:szCs w:val="21"/>
          <w:highlight w:val="none"/>
          <w:lang w:val="en-US" w:eastAsia="zh-CN"/>
        </w:rPr>
        <w:t>全部建设和装备完毕并达到标准；</w:t>
      </w:r>
    </w:p>
    <w:p w14:paraId="66CA4D99">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10.2.3项目经营所需的所有执照、许可证和批准均已获得；</w:t>
      </w:r>
    </w:p>
    <w:p w14:paraId="0FDCBC3C">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10.2.4甲方已为项目开业准备充足的流动资金；</w:t>
      </w:r>
    </w:p>
    <w:p w14:paraId="740FF56D">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10.2.5本合同所述的保险都已投保并获得保单。</w:t>
      </w:r>
    </w:p>
    <w:p w14:paraId="635A7DBE">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10.2.6甲方同意，在本项目开业前，由其负责获得乙方经营项目所需的所有批准、执照和许可证；而如有需要，乙方派出的管理层应给予甲方以必要协助。甲方也应在整个管理期限内维持批准持续有效，使乙方能够按照管理标准持续经营项目，并保证本协议完全有效并可以实施。这些批准包括但不限于：</w:t>
      </w:r>
    </w:p>
    <w:p w14:paraId="64797D60">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10.2.6.1相关审批机关对本协议的批准(如需要)；</w:t>
      </w:r>
    </w:p>
    <w:p w14:paraId="088C0ED4">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10.2.6.2营业执照；</w:t>
      </w:r>
    </w:p>
    <w:p w14:paraId="4C6A91D7">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10.2.6.3消防验收合格证；</w:t>
      </w:r>
    </w:p>
    <w:p w14:paraId="6780F896">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10.2.6.4卖酒执照、卖烟执照、酒吧间及餐厅执照；</w:t>
      </w:r>
    </w:p>
    <w:p w14:paraId="2B236644">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10.2.6.5卫生许可证；</w:t>
      </w:r>
    </w:p>
    <w:p w14:paraId="087A8D1B">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10.2.6.6标牌许可证；</w:t>
      </w:r>
    </w:p>
    <w:p w14:paraId="13580B95">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10.2.6.7治安许可证；</w:t>
      </w:r>
    </w:p>
    <w:p w14:paraId="0B37A299">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10.2.6.8税务登记证；</w:t>
      </w:r>
    </w:p>
    <w:p w14:paraId="7573B4B3">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10.2.6.9文化经营许可证</w:t>
      </w:r>
    </w:p>
    <w:p w14:paraId="7E5D7B6E">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10.2.6.10其他特种行业许可证等。</w:t>
      </w:r>
    </w:p>
    <w:p w14:paraId="3DBB5545">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具体以本项目所在地有关政策、法规要求为准。</w:t>
      </w:r>
    </w:p>
    <w:p w14:paraId="441DE5C6">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甲方同意在项目开业日前相关商户所需办理证件材料的提供并协助进行申请并获得批准。</w:t>
      </w:r>
    </w:p>
    <w:p w14:paraId="278585B9">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10.2.7 甲方应配合乙方完成项目运营团队的搭建，配备充足的运营人员以确保项目正常经营。</w:t>
      </w:r>
    </w:p>
    <w:p w14:paraId="122569A4">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10.3 双方明确，在本合同履行期间内，甲方不得部分转让（即分割销售，签订转让协议即视为转让，下同）运营场所所有权，如甲方需整体转让运营场所（包括甲方股东以转让股权方式转让运营场所，但国有资产划拨以及内部划转导致的运营场所所有权变更除外），应提前90日书面通知乙方，甲方应在与资产受让方签订转让协议的同时协助受让方与乙方重新签订运营合同（或者按本合同内容与甲方、乙方签订三方权利义务转让协议）。双方无法协调的情况下，导致乙方无法按本合同约定替得慧题意极盛态流再常运营的，则乙方有权解除本合同，并由甲方无息退还乙方履约保证金100万元。</w:t>
      </w:r>
    </w:p>
    <w:p w14:paraId="360F2B31">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10.4 在不影响乙方对运营场所正常经营的情况下，甲方可以运营场所作为抵押物进行融资。但是，在双方无法协商的情况下，如抵押权人行使抵押权导致乙方无法按本合同约并由甲方赔偿乙方违定获得运营场所经营权或无法正常运营的，则乙方有权解除本合同，并由甲方无息退还乙方履约保证金100万元。</w:t>
      </w:r>
    </w:p>
    <w:p w14:paraId="2B01AB68">
      <w:pPr>
        <w:snapToGrid w:val="0"/>
        <w:spacing w:line="360" w:lineRule="auto"/>
        <w:rPr>
          <w:rFonts w:hint="eastAsia" w:ascii="宋体" w:hAnsi="宋体" w:eastAsia="宋体" w:cs="宋体"/>
          <w:b/>
          <w:bCs/>
          <w:color w:val="auto"/>
          <w:szCs w:val="21"/>
          <w:highlight w:val="none"/>
          <w:u w:val="none"/>
          <w:lang w:val="en-US" w:eastAsia="zh-CN"/>
        </w:rPr>
      </w:pPr>
      <w:r>
        <w:rPr>
          <w:rFonts w:hint="eastAsia" w:ascii="宋体" w:hAnsi="宋体" w:eastAsia="宋体" w:cs="宋体"/>
          <w:b/>
          <w:bCs/>
          <w:color w:val="auto"/>
          <w:szCs w:val="21"/>
          <w:highlight w:val="none"/>
          <w:u w:val="none"/>
          <w:lang w:val="en-US" w:eastAsia="zh-CN"/>
        </w:rPr>
        <w:t>十一、乙方义务</w:t>
      </w:r>
    </w:p>
    <w:p w14:paraId="3E601049">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11.1招商期乙方义务</w:t>
      </w:r>
    </w:p>
    <w:p w14:paraId="7B449562">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11.1.1乙方应以其所具备的专业知识、实操经验和管理能力勤勉尽责地提供本合同所有服务，就甲方委托事项提出适合日后项目运作及经营的合理化专业意见。</w:t>
      </w:r>
    </w:p>
    <w:p w14:paraId="6155FB84">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11.1.2乙方应于每年第一季度制定全年工作计划并提交给甲方审批，该计划将涉及推广计划与步骤、人员编制方案(包括需到岗与培训的人员编排、数目及责任范围)、须购妥的用品，以及需完成的行政与服务安排等。</w:t>
      </w:r>
    </w:p>
    <w:p w14:paraId="093C4A05">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11.1.3乙方将完成一份尽可能详细的开业预算计划交甲方批准。</w:t>
      </w:r>
    </w:p>
    <w:p w14:paraId="1FE79DCE">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11.1.4乙方有义务定期向甲方汇报招商等提供管理服务过程中的重大事项和情况，具体汇报流程等由双方以会议、备忘录等形式予以明确。</w:t>
      </w:r>
    </w:p>
    <w:p w14:paraId="3BBFFFDC">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11.1.5乙方负责制定该项目管理团队的组织架构、岗位职责、任职资格和到岗进度表，报甲方审批。</w:t>
      </w:r>
    </w:p>
    <w:p w14:paraId="3382231F">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11.1.6遵守政府的所有法律法规、命令和要求，并采取所有必需的措施以消除上述各部门或机构对项目提出的任何及所有违反规定之处,因乙方原因所导致的相关责任和赔偿由乙方承担。</w:t>
      </w:r>
    </w:p>
    <w:p w14:paraId="3941EA44">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11.1.7招商品牌与甲方已签订租赁合同或租赁意向合同后，但又没有成功入驻的，乙方还应继续招商,直至品牌商家入驻商场店铺为止,每个店铺筹备期招商服务费只计费一次(不区分品牌)</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不重复计费。</w:t>
      </w:r>
    </w:p>
    <w:p w14:paraId="1C582AC6">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11.1.8确保在开业时，入驻商家开业率达到95%以上。</w:t>
      </w:r>
    </w:p>
    <w:p w14:paraId="324FC9A1">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11.1.9乙方不得以本项目名义或者财产对外提供担保。</w:t>
      </w:r>
    </w:p>
    <w:p w14:paraId="4C79C1D3">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11.2运营期乙方义务</w:t>
      </w:r>
    </w:p>
    <w:p w14:paraId="5BD89B85">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11.2.1制定相应的策略将商业设施及产品有效、有序、有偿地提供给市场和广大消费者。向市场和消费者提供高质量的商业服务，最大程度地提高本项目的经营业绩。并根据不断变化的市场行情和各方面情况实施调整本项目营销策略和价格体系。</w:t>
      </w:r>
    </w:p>
    <w:p w14:paraId="2D806D55">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11.2.2向本项目选派合适的项目总经理、招商运营经理、工程物业经理和企划经理等若干名，并对其工作进行有效</w:t>
      </w:r>
      <w:r>
        <w:rPr>
          <w:rFonts w:hint="eastAsia" w:ascii="宋体" w:hAnsi="宋体" w:cs="宋体"/>
          <w:color w:val="auto"/>
          <w:szCs w:val="21"/>
          <w:highlight w:val="none"/>
          <w:lang w:val="en-US" w:eastAsia="zh-CN"/>
        </w:rPr>
        <w:t>地</w:t>
      </w:r>
      <w:r>
        <w:rPr>
          <w:rFonts w:hint="eastAsia" w:ascii="宋体" w:hAnsi="宋体" w:eastAsia="宋体" w:cs="宋体"/>
          <w:color w:val="auto"/>
          <w:szCs w:val="21"/>
          <w:highlight w:val="none"/>
          <w:lang w:val="en-US" w:eastAsia="zh-CN"/>
        </w:rPr>
        <w:t>指导、管理和控制。确保项目总经理全权负责制、其他经理分业态及工作逐级负责制责任体系的全面实施。乙方有权在与甲方沟通的前提下对各级主要负责人实施包括调整、调任、提升、降级、奖励、行政处罚直至解聘等方面作出决策。乙方应充分尊重甲方对本项目高层管理团队的看法和意见,在收到甲方提出的对项目高层管理人员的调整意见后，并在调查后应及时向甲方作出答复并作出处理。</w:t>
      </w:r>
    </w:p>
    <w:p w14:paraId="077F25F5">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11.2.3乙方派出的管理层将与甲方共同开展本项目运营所需的其他管理人员和员工的挑选与聘用工作。在项目人力资源管理方面，包括培训、制定薪酬、人员管理以及员工的提升和解雇等事务，双方共同协商决策。</w:t>
      </w:r>
    </w:p>
    <w:p w14:paraId="7FF06F5B">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11.2.4乙方协助其派出的管理层制定本项目年度经营方案(该方案需经甲方同意)，编制每月的工作报告、市场营销分析，以及各项统计资料等。</w:t>
      </w:r>
    </w:p>
    <w:p w14:paraId="2427DC8B">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11.2.5乙方协助其派出的管理层制定本项目年度市场营销推广计划，包括(但不限于)下列各项：</w:t>
      </w:r>
    </w:p>
    <w:p w14:paraId="50EAF512">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11.2.5.1制定的本项目营销策略</w:t>
      </w:r>
      <w:r>
        <w:rPr>
          <w:rFonts w:hint="eastAsia" w:ascii="宋体" w:hAnsi="宋体" w:cs="宋体"/>
          <w:color w:val="auto"/>
          <w:szCs w:val="21"/>
          <w:highlight w:val="none"/>
          <w:lang w:val="en-US" w:eastAsia="zh-CN"/>
        </w:rPr>
        <w:t>；</w:t>
      </w:r>
    </w:p>
    <w:p w14:paraId="3377BC53">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11.2.5.2充分利用项目现有主力店品牌及其他合作品牌的集团化市场营销资源：</w:t>
      </w:r>
    </w:p>
    <w:p w14:paraId="3250D9F5">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11.2.5.3确定本项目出租率及商务条件、其他品牌项目收入、年度客流指标、年度销售指标、会员体系等方面的营销目标；</w:t>
      </w:r>
    </w:p>
    <w:p w14:paraId="71961DFE">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11.2.5.4针对不同消费者、不同品牌客群建立有效的营销方法和政策；</w:t>
      </w:r>
    </w:p>
    <w:p w14:paraId="5EFC8970">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11.2.5.5适时、有效地分析本项目业绩并</w:t>
      </w:r>
      <w:r>
        <w:rPr>
          <w:rFonts w:hint="eastAsia" w:ascii="宋体" w:hAnsi="宋体" w:cs="宋体"/>
          <w:color w:val="auto"/>
          <w:szCs w:val="21"/>
          <w:highlight w:val="none"/>
          <w:lang w:val="en-US" w:eastAsia="zh-CN"/>
        </w:rPr>
        <w:t>做</w:t>
      </w:r>
      <w:r>
        <w:rPr>
          <w:rFonts w:hint="eastAsia" w:ascii="宋体" w:hAnsi="宋体" w:eastAsia="宋体" w:cs="宋体"/>
          <w:color w:val="auto"/>
          <w:szCs w:val="21"/>
          <w:highlight w:val="none"/>
          <w:lang w:val="en-US" w:eastAsia="zh-CN"/>
        </w:rPr>
        <w:t>出相应的调整。</w:t>
      </w:r>
    </w:p>
    <w:p w14:paraId="0DAFB39B">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11.2.6市场营销及推广活动</w:t>
      </w:r>
    </w:p>
    <w:p w14:paraId="20409FB6">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本项目将在乙方的指导下参加以下各种乙方现有渠道的产品销售及推广活动,以期降低项目的营销成本，提高项目的营销效率(营销费用及成本由甲方承担)。</w:t>
      </w:r>
    </w:p>
    <w:p w14:paraId="3F5E5AE6">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11.2.6.1本项目须在乙方其他合作品牌惯常使用的各媒体及线上进行市场营销，活动使用的所有市场营销及宣传材料须符合乙方市场营销标准；</w:t>
      </w:r>
    </w:p>
    <w:p w14:paraId="45F5494E">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11.2.6.2乙方将就不同业务来源通过公司现有或将要开拓的各类渠道进行销售及推广。</w:t>
      </w:r>
    </w:p>
    <w:p w14:paraId="77BD7E5F">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11.2.7在本合同履行期间，乙方作为商场运营方，在安全责任方面的权益和责任明确如下：双方共同承担商场运营过程中的安全责任相关风险，但应依据各自的法定职责和合同约定具体界定责任范围。双方严格遵守国家及地方有关安全管理的法律法规，针对消防、治安、设施设备安全等可能影响商场安全运营的各类风险，建立健全安全管理机制，制定并执行安全应急预案。若一方发现安全隐患，应立即以书面形式(包括但不限于微信、邮件、正式函件等可留存记录的方式)通知对方，并明确整改要求和期限。接到通知方应在合理期限内给予书面回应，双方共同协商并采取有效措施进行整改。若因一方未履行通知义务或未按约定配合整改而导致安全事故或损失扩大，未履行义务方应承担相应的法律责任和赔偿责任，确保乙方在商场安全管理工作中不因甲方的不作为或不当行为而遭受额外损失，保障商场运营环境安全稳定，维护乙方的合法权益。</w:t>
      </w:r>
    </w:p>
    <w:p w14:paraId="52688551">
      <w:pPr>
        <w:snapToGrid w:val="0"/>
        <w:spacing w:line="360" w:lineRule="auto"/>
        <w:rPr>
          <w:rFonts w:hint="eastAsia" w:ascii="宋体" w:hAnsi="宋体" w:eastAsia="宋体" w:cs="宋体"/>
          <w:b/>
          <w:bCs/>
          <w:color w:val="auto"/>
          <w:szCs w:val="21"/>
          <w:highlight w:val="none"/>
          <w:u w:val="none"/>
          <w:lang w:val="en-US" w:eastAsia="zh-CN"/>
        </w:rPr>
      </w:pPr>
      <w:r>
        <w:rPr>
          <w:rFonts w:hint="eastAsia" w:ascii="宋体" w:hAnsi="宋体" w:eastAsia="宋体" w:cs="宋体"/>
          <w:b/>
          <w:bCs/>
          <w:color w:val="auto"/>
          <w:szCs w:val="21"/>
          <w:highlight w:val="none"/>
          <w:u w:val="none"/>
          <w:lang w:val="en-US" w:eastAsia="zh-CN"/>
        </w:rPr>
        <w:t>十二、甲乙双方的其他约定</w:t>
      </w:r>
    </w:p>
    <w:p w14:paraId="036737F7">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12.1本项目所有资产及物业所有权归甲方所有，乙方不得以任何方式将其对外出售、抵押、处置或者对外投资；乙方在管理项目的全过程中，处理或者更换固定资产时须经甲方书面同意后方可实施：对于处置更新替换后不再使用的固定资产、易损易耗品或物品等所获得的收入归甲方所有。</w:t>
      </w:r>
    </w:p>
    <w:p w14:paraId="553321D3">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12.2乙方授权</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为项目负责人和甲方工作中对接的联系人(联系电话：</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，联系邮箱：</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，联系地址：</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，负责代表乙方签署有关文件并及时处理工作中的有关事务，如对接联系人变更，乙方必须书面通知甲方确定新的对接人员。甲方授权</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为和乙方工作中对接的联系人，(联系电话：</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，联系邮箱：</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，联系地址：</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）负责代表甲方签署有关文件并及时处理工作中的有关事务，如对接联系人变更，甲方必须书面通知乙方确定新的对接人员。</w:t>
      </w:r>
    </w:p>
    <w:p w14:paraId="229F1EF5">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12.3所有租赁意向书或租赁合同的签订均需加盖甲方公章方为有效。</w:t>
      </w:r>
    </w:p>
    <w:p w14:paraId="4FD21B86">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12.4所有涉及对本合同条款的补充或变更均需双方签订补充协议并加盖双方公章。</w:t>
      </w:r>
    </w:p>
    <w:p w14:paraId="4257E68C">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12.5乙方委派人员的工资、社保、福利差旅、业务接待费等所有费用由甲方支付，相关人员的行为责任由乙方负责，与甲方无关。</w:t>
      </w:r>
    </w:p>
    <w:p w14:paraId="2F138F32">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12.6未经甲方许可，乙方不得直接收取项目客户的意向金、</w:t>
      </w:r>
      <w:r>
        <w:rPr>
          <w:rFonts w:hint="eastAsia" w:ascii="宋体" w:hAnsi="宋体" w:cs="宋体"/>
          <w:color w:val="auto"/>
          <w:szCs w:val="21"/>
          <w:highlight w:val="none"/>
          <w:lang w:val="en-US" w:eastAsia="zh-CN"/>
        </w:rPr>
        <w:t>履</w:t>
      </w:r>
      <w:r>
        <w:rPr>
          <w:rFonts w:hint="eastAsia" w:ascii="宋体" w:hAnsi="宋体" w:eastAsia="宋体" w:cs="宋体"/>
          <w:color w:val="auto"/>
          <w:szCs w:val="21"/>
          <w:highlight w:val="none"/>
          <w:lang w:val="en-US" w:eastAsia="zh-CN"/>
        </w:rPr>
        <w:t>约保证金、租金等任何款项。乙方也不得私自收取项目客户给予的回扣或好处费。如有发现，甲方有权在应付乙方的款项中扣除双倍金额的违约金，并有权追究相关法律责任。</w:t>
      </w:r>
    </w:p>
    <w:p w14:paraId="4C30D64E">
      <w:pPr>
        <w:snapToGrid w:val="0"/>
        <w:spacing w:line="360" w:lineRule="auto"/>
        <w:rPr>
          <w:rFonts w:hint="eastAsia" w:ascii="宋体" w:hAnsi="宋体" w:eastAsia="宋体" w:cs="宋体"/>
          <w:b/>
          <w:bCs/>
          <w:color w:val="auto"/>
          <w:szCs w:val="21"/>
          <w:highlight w:val="none"/>
          <w:u w:val="none"/>
          <w:lang w:val="en-US" w:eastAsia="zh-CN"/>
        </w:rPr>
      </w:pPr>
      <w:r>
        <w:rPr>
          <w:rFonts w:hint="eastAsia" w:ascii="宋体" w:hAnsi="宋体" w:eastAsia="宋体" w:cs="宋体"/>
          <w:b/>
          <w:bCs/>
          <w:color w:val="auto"/>
          <w:szCs w:val="21"/>
          <w:highlight w:val="none"/>
          <w:u w:val="none"/>
          <w:lang w:val="en-US" w:eastAsia="zh-CN"/>
        </w:rPr>
        <w:t>十三、履约保证金</w:t>
      </w:r>
    </w:p>
    <w:p w14:paraId="4EF4BA52">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13.1乙方应于合同签订之日起45个工作日内向甲方提交履约保证金。</w:t>
      </w:r>
    </w:p>
    <w:p w14:paraId="0625936F">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13.2履约保证金的金额</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人民币</w:t>
      </w:r>
      <w:r>
        <w:rPr>
          <w:rFonts w:hint="eastAsia" w:ascii="宋体" w:hAnsi="宋体" w:eastAsia="宋体" w:cs="宋体"/>
          <w:color w:val="auto"/>
          <w:szCs w:val="21"/>
          <w:highlight w:val="none"/>
          <w:u w:val="single"/>
          <w:lang w:val="en-US" w:eastAsia="zh-CN"/>
        </w:rPr>
        <w:t>100</w:t>
      </w:r>
      <w:r>
        <w:rPr>
          <w:rFonts w:hint="eastAsia" w:ascii="宋体" w:hAnsi="宋体" w:eastAsia="宋体" w:cs="宋体"/>
          <w:color w:val="auto"/>
          <w:szCs w:val="21"/>
          <w:highlight w:val="none"/>
          <w:lang w:val="en-US" w:eastAsia="zh-CN"/>
        </w:rPr>
        <w:t>万元整。</w:t>
      </w:r>
    </w:p>
    <w:p w14:paraId="0F8A8AF5">
      <w:pPr>
        <w:snapToGrid/>
        <w:spacing w:line="360" w:lineRule="auto"/>
        <w:ind w:firstLine="420" w:firstLineChars="0"/>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13.3履约担保的形式</w:t>
      </w:r>
      <w:r>
        <w:rPr>
          <w:rFonts w:hint="eastAsia" w:ascii="宋体" w:hAnsi="宋体" w:cs="宋体"/>
          <w:color w:val="auto"/>
          <w:szCs w:val="21"/>
          <w:highlight w:val="none"/>
          <w:lang w:val="en-US" w:eastAsia="zh-CN"/>
        </w:rPr>
        <w:t>：</w:t>
      </w:r>
      <w:r>
        <w:rPr>
          <w:rFonts w:hint="eastAsia" w:ascii="宋体" w:hAnsi="宋体" w:eastAsia="宋体" w:cs="宋体"/>
          <w:color w:val="auto"/>
          <w:highlight w:val="none"/>
          <w:lang w:val="en-US" w:eastAsia="zh-CN"/>
        </w:rPr>
        <w:t>银行转账、转账支票、银行汇票或银行、保险公司、融资担保公司出具的保函等形式交纳</w:t>
      </w:r>
    </w:p>
    <w:p w14:paraId="0AAC1E14">
      <w:pPr>
        <w:snapToGrid/>
        <w:spacing w:line="360" w:lineRule="auto"/>
        <w:ind w:firstLine="420" w:firstLineChars="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1）若采用保函形式的，应满足以下条件：</w:t>
      </w:r>
    </w:p>
    <w:p w14:paraId="7CB0CFA9">
      <w:pPr>
        <w:snapToGrid/>
        <w:spacing w:line="360" w:lineRule="auto"/>
        <w:ind w:firstLine="420" w:firstLineChars="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①保函期限：合同签订之日起直至服务期结束为止。</w:t>
      </w:r>
    </w:p>
    <w:p w14:paraId="1B8B2803">
      <w:pPr>
        <w:snapToGrid/>
        <w:spacing w:line="360" w:lineRule="auto"/>
        <w:ind w:firstLine="420" w:firstLineChars="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②如果由于服务期延误或保函出具机构要求分期出具保函的，则在前一份保函有效期满之日20日前必须重新出具相同内容的保函。</w:t>
      </w:r>
    </w:p>
    <w:p w14:paraId="21BB340D">
      <w:pPr>
        <w:snapToGrid/>
        <w:spacing w:line="360" w:lineRule="auto"/>
        <w:ind w:firstLine="420" w:firstLineChars="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2）以银行转账、转账支票、银行汇票等形式提交的：</w:t>
      </w:r>
    </w:p>
    <w:p w14:paraId="1F993A4F">
      <w:pPr>
        <w:snapToGrid/>
        <w:spacing w:line="360" w:lineRule="auto"/>
        <w:ind w:firstLine="420" w:firstLineChars="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①从成交供应商基本账户转出；</w:t>
      </w:r>
    </w:p>
    <w:p w14:paraId="6B73747E">
      <w:pPr>
        <w:snapToGrid/>
        <w:spacing w:line="360" w:lineRule="auto"/>
        <w:ind w:firstLine="420" w:firstLineChars="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②履约保证金退还时间：服务期结束后10日内予以全部退还（无息）。</w:t>
      </w:r>
    </w:p>
    <w:p w14:paraId="782CF037">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如果乙方未能按合同规定履行其义务，甲方有权从</w:t>
      </w:r>
      <w:r>
        <w:rPr>
          <w:rFonts w:hint="eastAsia" w:ascii="宋体" w:hAnsi="宋体" w:cs="宋体"/>
          <w:color w:val="auto"/>
          <w:szCs w:val="21"/>
          <w:highlight w:val="none"/>
          <w:lang w:val="en-US" w:eastAsia="zh-CN"/>
        </w:rPr>
        <w:t>履</w:t>
      </w:r>
      <w:r>
        <w:rPr>
          <w:rFonts w:hint="eastAsia" w:ascii="宋体" w:hAnsi="宋体" w:eastAsia="宋体" w:cs="宋体"/>
          <w:color w:val="auto"/>
          <w:szCs w:val="21"/>
          <w:highlight w:val="none"/>
          <w:lang w:val="en-US" w:eastAsia="zh-CN"/>
        </w:rPr>
        <w:t>约保证金中予以扣除相关款项。</w:t>
      </w:r>
    </w:p>
    <w:p w14:paraId="52F3CD50">
      <w:pPr>
        <w:snapToGrid w:val="0"/>
        <w:spacing w:line="360" w:lineRule="auto"/>
        <w:rPr>
          <w:rFonts w:hint="eastAsia" w:ascii="宋体" w:hAnsi="宋体" w:eastAsia="宋体" w:cs="宋体"/>
          <w:b/>
          <w:bCs/>
          <w:color w:val="auto"/>
          <w:szCs w:val="21"/>
          <w:highlight w:val="none"/>
          <w:u w:val="none"/>
          <w:lang w:val="en-US" w:eastAsia="zh-CN"/>
        </w:rPr>
      </w:pPr>
      <w:r>
        <w:rPr>
          <w:rFonts w:hint="eastAsia" w:ascii="宋体" w:hAnsi="宋体" w:eastAsia="宋体" w:cs="宋体"/>
          <w:b/>
          <w:bCs/>
          <w:color w:val="auto"/>
          <w:szCs w:val="21"/>
          <w:highlight w:val="none"/>
          <w:u w:val="none"/>
          <w:lang w:val="en-US" w:eastAsia="zh-CN"/>
        </w:rPr>
        <w:t>十四、违约责任</w:t>
      </w:r>
    </w:p>
    <w:p w14:paraId="756C23B3">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14.1如因甲方原因(包括但不限于未满足租户交付条件，甲方未及时提供相关房屋交付迟延、消防验收滞后等)导致招商率未能达到上述要求的，乙方对此无需承担任何责任。</w:t>
      </w:r>
    </w:p>
    <w:p w14:paraId="7551F03E">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14.2如甲方无正当理由逾期支付本合同项下任何应付未付款项超过90日以上，且经乙方书面通知后15日内仍未支付的，乙方有权书面通知甲方后解除本合同，甲方除按本合同约定支付相应管理酬金之外，还应支付相当于三个月服务费总和的违约金。</w:t>
      </w:r>
    </w:p>
    <w:p w14:paraId="435B7F73">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14.3若乙方未经甲方书面同意</w:t>
      </w:r>
      <w:r>
        <w:rPr>
          <w:rFonts w:hint="eastAsia" w:ascii="宋体" w:hAnsi="宋体" w:cs="宋体"/>
          <w:color w:val="auto"/>
          <w:szCs w:val="21"/>
          <w:highlight w:val="none"/>
          <w:lang w:val="en-US" w:eastAsia="zh-CN"/>
        </w:rPr>
        <w:t>（因客观原因导致乙方服务延迟的除外）</w:t>
      </w:r>
      <w:r>
        <w:rPr>
          <w:rFonts w:hint="eastAsia" w:ascii="宋体" w:hAnsi="宋体" w:eastAsia="宋体" w:cs="宋体"/>
          <w:color w:val="auto"/>
          <w:szCs w:val="21"/>
          <w:highlight w:val="none"/>
          <w:lang w:val="en-US" w:eastAsia="zh-CN"/>
        </w:rPr>
        <w:t>，未向甲方提供本合同约定的服务连续超过45日，且经甲方书面通知后乙方15日内仍不改正，将视为违约，甲方有权书面通知乙方解除本合同并没收履约保证金。本合同自乙方收到甲方书面通知之日解除，双方根据乙方实际提供服务情况进行结算，甲方还有权要求乙方向甲方支付相当于三个月运营团队固定费用总和的违约金。</w:t>
      </w:r>
    </w:p>
    <w:p w14:paraId="31F244FF">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14.4如因乙方原因造成招商率不足及或开业时间延后，若甲方给予宽限期的，则在甲方给予的宽限期内，乙方需在不收取额外月固定服务费的前提下完成既定目标。</w:t>
      </w:r>
    </w:p>
    <w:p w14:paraId="29778DFD">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14.5如乙方在甲方许可的宽限期内未完成既定目标(正式开业率达到95%)，甲方有权要求乙方向甲方支付相当于三个月运营团队固定费用总和的违约金。</w:t>
      </w:r>
    </w:p>
    <w:p w14:paraId="61E65449">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14.6如乙方需对团队人员进行更换时，应以书面形式通知甲方，得到甲方认可且做好工作交接后方可更换(因成员自行离职，或乙方根据法律法规和公司规章制度与其解除劳动关系的除外)。若乙方未经甲方同意擅自更换投入本项目的工作人员，经甲方指出后，乙方拒不纠正的，甲方有权拒付乙方团队固定费用。</w:t>
      </w:r>
    </w:p>
    <w:p w14:paraId="579A8014">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14.7乙方运营期内按项目公司考勤制度进行考勤考核。</w:t>
      </w:r>
    </w:p>
    <w:p w14:paraId="68B354C6">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14.8除非本合同另有约定外，在以下情况下，守约方均有权提前解除本合同，且解约方有权向对方追究因此受到的</w:t>
      </w:r>
      <w:r>
        <w:rPr>
          <w:rFonts w:hint="eastAsia" w:ascii="宋体" w:hAnsi="宋体" w:cs="宋体"/>
          <w:color w:val="auto"/>
          <w:szCs w:val="21"/>
          <w:highlight w:val="none"/>
          <w:lang w:val="en-US" w:eastAsia="zh-CN"/>
        </w:rPr>
        <w:t>直接</w:t>
      </w:r>
      <w:r>
        <w:rPr>
          <w:rFonts w:hint="eastAsia" w:ascii="宋体" w:hAnsi="宋体" w:eastAsia="宋体" w:cs="宋体"/>
          <w:color w:val="auto"/>
          <w:szCs w:val="21"/>
          <w:highlight w:val="none"/>
          <w:lang w:val="en-US" w:eastAsia="zh-CN"/>
        </w:rPr>
        <w:t>损失</w:t>
      </w:r>
      <w:r>
        <w:rPr>
          <w:rFonts w:hint="eastAsia" w:ascii="宋体" w:hAnsi="宋体" w:cs="宋体"/>
          <w:color w:val="auto"/>
          <w:szCs w:val="21"/>
          <w:highlight w:val="none"/>
          <w:lang w:val="en-US" w:eastAsia="zh-CN"/>
        </w:rPr>
        <w:t>：</w:t>
      </w:r>
    </w:p>
    <w:p w14:paraId="466D08ED">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除另有约定外，在本合同的执行中一方不能履行本合同规定的责任、义务和承诺,并收到对方书面通知30日之内未采取积极有效的纠正措施，则对方有权随时以书面形式通知解除本合同。</w:t>
      </w:r>
    </w:p>
    <w:p w14:paraId="444762C8">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甲、乙任一方曾有或正在进行非法行为，并因此严重损害对方的利益，则对方有权随时以书面形式通知解除本合同。</w:t>
      </w:r>
    </w:p>
    <w:p w14:paraId="2294427F">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14.9甲乙双方约定，乙方承诺在2035年前不在温州地区开设第二家同品牌商业综合体，若乙方未履行该承诺，甲方有权没收乙方履约保证金。</w:t>
      </w:r>
    </w:p>
    <w:p w14:paraId="44744A7E">
      <w:pPr>
        <w:snapToGrid w:val="0"/>
        <w:spacing w:line="360" w:lineRule="auto"/>
        <w:ind w:firstLine="420" w:firstLineChars="200"/>
        <w:rPr>
          <w:rFonts w:hint="default" w:ascii="宋体" w:hAnsi="宋体" w:cs="宋体"/>
          <w:color w:val="auto"/>
          <w:lang w:val="en-US" w:eastAsia="zh-CN"/>
        </w:rPr>
      </w:pPr>
      <w:r>
        <w:rPr>
          <w:rFonts w:hint="eastAsia" w:ascii="宋体" w:hAnsi="宋体" w:cs="宋体"/>
          <w:color w:val="auto"/>
          <w:lang w:val="en-US" w:eastAsia="zh-CN"/>
        </w:rPr>
        <w:t>14.10 从开业之日的次年开始，若</w:t>
      </w:r>
      <w:r>
        <w:rPr>
          <w:rFonts w:hint="default" w:ascii="宋体" w:hAnsi="宋体" w:cs="宋体"/>
          <w:color w:val="auto"/>
          <w:lang w:val="en-US" w:eastAsia="zh-CN"/>
        </w:rPr>
        <w:t>连续</w:t>
      </w:r>
      <w:r>
        <w:rPr>
          <w:rFonts w:hint="eastAsia" w:ascii="宋体" w:hAnsi="宋体" w:cs="宋体"/>
          <w:color w:val="auto"/>
          <w:lang w:val="en-US" w:eastAsia="zh-CN"/>
        </w:rPr>
        <w:t>两</w:t>
      </w:r>
      <w:r>
        <w:rPr>
          <w:rFonts w:hint="default" w:ascii="宋体" w:hAnsi="宋体" w:cs="宋体"/>
          <w:color w:val="auto"/>
          <w:lang w:val="en-US" w:eastAsia="zh-CN"/>
        </w:rPr>
        <w:t>年</w:t>
      </w:r>
      <w:r>
        <w:rPr>
          <w:rFonts w:hint="eastAsia" w:ascii="宋体" w:hAnsi="宋体" w:cs="宋体"/>
          <w:color w:val="auto"/>
          <w:lang w:val="en-US" w:eastAsia="zh-CN"/>
        </w:rPr>
        <w:t>出租率＜</w:t>
      </w:r>
      <w:r>
        <w:rPr>
          <w:rFonts w:hint="default" w:ascii="宋体" w:hAnsi="宋体" w:cs="宋体"/>
          <w:color w:val="auto"/>
          <w:lang w:val="en-US" w:eastAsia="zh-CN"/>
        </w:rPr>
        <w:t>60%（出租率计算公式：每年度12月31日已出租的可租赁面积/可出租的租赁面积）</w:t>
      </w:r>
      <w:r>
        <w:rPr>
          <w:rFonts w:hint="eastAsia" w:ascii="宋体" w:hAnsi="宋体" w:cs="宋体"/>
          <w:color w:val="auto"/>
          <w:lang w:val="en-US" w:eastAsia="zh-CN"/>
        </w:rPr>
        <w:t>，</w:t>
      </w:r>
      <w:r>
        <w:rPr>
          <w:rFonts w:hint="default" w:ascii="宋体" w:hAnsi="宋体" w:cs="宋体"/>
          <w:color w:val="auto"/>
          <w:lang w:val="en-US" w:eastAsia="zh-CN"/>
        </w:rPr>
        <w:t>甲方有权</w:t>
      </w:r>
      <w:r>
        <w:rPr>
          <w:rFonts w:hint="eastAsia" w:ascii="宋体" w:hAnsi="宋体" w:cs="宋体"/>
          <w:color w:val="auto"/>
          <w:lang w:val="en-US" w:eastAsia="zh-CN"/>
        </w:rPr>
        <w:t>解除合同并没收履约保证金</w:t>
      </w:r>
      <w:r>
        <w:rPr>
          <w:rFonts w:hint="default" w:ascii="宋体" w:hAnsi="宋体" w:cs="宋体"/>
          <w:color w:val="auto"/>
          <w:lang w:val="en-US" w:eastAsia="zh-CN"/>
        </w:rPr>
        <w:t>。</w:t>
      </w:r>
    </w:p>
    <w:p w14:paraId="4EEA984D">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可租赁面积总额按照实际测量双方确认的数据为准；已租赁面积按照正式租赁合同所载的租赁面积为准。</w:t>
      </w:r>
    </w:p>
    <w:p w14:paraId="168A97D3">
      <w:pPr>
        <w:snapToGrid w:val="0"/>
        <w:spacing w:line="360" w:lineRule="auto"/>
        <w:rPr>
          <w:rFonts w:hint="eastAsia" w:ascii="宋体" w:hAnsi="宋体" w:eastAsia="宋体" w:cs="宋体"/>
          <w:b/>
          <w:bCs/>
          <w:color w:val="auto"/>
          <w:szCs w:val="21"/>
          <w:highlight w:val="none"/>
          <w:u w:val="none"/>
          <w:lang w:val="en-US" w:eastAsia="zh-CN"/>
        </w:rPr>
      </w:pPr>
      <w:r>
        <w:rPr>
          <w:rFonts w:hint="eastAsia" w:ascii="宋体" w:hAnsi="宋体" w:eastAsia="宋体" w:cs="宋体"/>
          <w:b/>
          <w:bCs/>
          <w:color w:val="auto"/>
          <w:szCs w:val="21"/>
          <w:highlight w:val="none"/>
          <w:u w:val="none"/>
          <w:lang w:val="en-US" w:eastAsia="zh-CN"/>
        </w:rPr>
        <w:t>十五、知识产权和保密约定</w:t>
      </w:r>
    </w:p>
    <w:p w14:paraId="36E91DBD">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15.1在履行本合同的过程中，一方向对方披露的知识产权归披露方所有；因各方独立的智力活动产生的知识产权归创造方所有；因双方共同创造的知识产权归双方共有，须双方同意方可使用；本条所及的知识产权包括但不限于基本租赁计划、销售策划、方案、数据、图表、分析、报告、租金回报的测算确认模式、相关的计算机程序和格式等可能产生的著作权、专利权。除按本合同要求乙方应向甲方提供的报告和资料，乙方在项目管理期间给予甲方的包含上述知识产权的纸质或电子资料</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在提交前明确须用完后归还的,在托管期限终止时应归还乙方。一方向对方披露的知识产权被视为向对方(包含其因工作关系而知晓相关内容的员工、管理人员)授予一份为履行本合同为目的、免费的、只能由被授权方使用的、在合同期内有效的、不能再许可的授权许可使用。</w:t>
      </w:r>
    </w:p>
    <w:p w14:paraId="647BC15B">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15.2未经另一方事先书面同意，任何一方不得擅自公开、出版、发表或以其他任何方式向任何第三人披露项目招商、运营管理托管内容或其任何部分或在本合同谈判或履行期间获得的对方具有商业秘密性质的信息(保密信息)。但以下情形除外</w:t>
      </w:r>
      <w:r>
        <w:rPr>
          <w:rFonts w:hint="eastAsia" w:ascii="宋体" w:hAnsi="宋体" w:cs="宋体"/>
          <w:color w:val="auto"/>
          <w:szCs w:val="21"/>
          <w:highlight w:val="none"/>
          <w:lang w:val="en-US" w:eastAsia="zh-CN"/>
        </w:rPr>
        <w:t>：</w:t>
      </w:r>
    </w:p>
    <w:p w14:paraId="21B46059">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在披露前已经被公开。</w:t>
      </w:r>
    </w:p>
    <w:p w14:paraId="0F7BD5AE">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接受方在披露前已经独立研究获得。</w:t>
      </w:r>
    </w:p>
    <w:p w14:paraId="31DDD394">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接受方在披露前通过第三方合法途径获得。</w:t>
      </w:r>
    </w:p>
    <w:p w14:paraId="65580D32">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接受方的披露是为履行本合同</w:t>
      </w:r>
      <w:r>
        <w:rPr>
          <w:rFonts w:hint="eastAsia" w:ascii="宋体" w:hAnsi="宋体" w:cs="宋体"/>
          <w:color w:val="auto"/>
          <w:szCs w:val="21"/>
          <w:highlight w:val="none"/>
          <w:lang w:val="en-US" w:eastAsia="zh-CN"/>
        </w:rPr>
        <w:t>已</w:t>
      </w:r>
      <w:r>
        <w:rPr>
          <w:rFonts w:hint="eastAsia" w:ascii="宋体" w:hAnsi="宋体" w:eastAsia="宋体" w:cs="宋体"/>
          <w:color w:val="auto"/>
          <w:szCs w:val="21"/>
          <w:highlight w:val="none"/>
          <w:lang w:val="en-US" w:eastAsia="zh-CN"/>
        </w:rPr>
        <w:t>获得披露方授权。</w:t>
      </w:r>
    </w:p>
    <w:p w14:paraId="7DFEDF29">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政府有关部门、法院、仲裁委员会或律师审阅或审查需要披露。</w:t>
      </w:r>
    </w:p>
    <w:p w14:paraId="7196CB76">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15.3本合同终止或解除后，双方在本条款下的保密义务应仍然保持有效并对双方具有约束力，直至本合同终止或解除满5年。</w:t>
      </w:r>
    </w:p>
    <w:p w14:paraId="669DD9D4">
      <w:pPr>
        <w:snapToGrid w:val="0"/>
        <w:spacing w:line="360" w:lineRule="auto"/>
        <w:rPr>
          <w:rFonts w:hint="eastAsia" w:ascii="宋体" w:hAnsi="宋体" w:eastAsia="宋体" w:cs="宋体"/>
          <w:b/>
          <w:bCs/>
          <w:color w:val="auto"/>
          <w:szCs w:val="21"/>
          <w:highlight w:val="none"/>
          <w:u w:val="none"/>
          <w:lang w:val="en-US" w:eastAsia="zh-CN"/>
        </w:rPr>
      </w:pPr>
      <w:r>
        <w:rPr>
          <w:rFonts w:hint="eastAsia" w:ascii="宋体" w:hAnsi="宋体" w:eastAsia="宋体" w:cs="宋体"/>
          <w:b/>
          <w:bCs/>
          <w:color w:val="auto"/>
          <w:szCs w:val="21"/>
          <w:highlight w:val="none"/>
          <w:u w:val="none"/>
          <w:lang w:val="en-US" w:eastAsia="zh-CN"/>
        </w:rPr>
        <w:t>十六、适用法律与争议解决</w:t>
      </w:r>
    </w:p>
    <w:p w14:paraId="25BE8877">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16.1本合同的订立、生效、履行、修改、解释和终止均适用中国法律。</w:t>
      </w:r>
    </w:p>
    <w:p w14:paraId="69F63329">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16.2本合同有关的争议、纠纷或索赔，双方应通过友好协商解决。如不能妥善解决，双方同意将其提交原告所在地的法院诉讼。</w:t>
      </w:r>
    </w:p>
    <w:p w14:paraId="44A7AE81">
      <w:pPr>
        <w:snapToGrid w:val="0"/>
        <w:spacing w:line="360" w:lineRule="auto"/>
        <w:rPr>
          <w:rFonts w:hint="eastAsia" w:ascii="宋体" w:hAnsi="宋体" w:eastAsia="宋体" w:cs="宋体"/>
          <w:b/>
          <w:bCs/>
          <w:color w:val="auto"/>
          <w:szCs w:val="21"/>
          <w:highlight w:val="none"/>
          <w:u w:val="none"/>
          <w:lang w:val="en-US" w:eastAsia="zh-CN"/>
        </w:rPr>
      </w:pPr>
      <w:r>
        <w:rPr>
          <w:rFonts w:hint="eastAsia" w:ascii="宋体" w:hAnsi="宋体" w:eastAsia="宋体" w:cs="宋体"/>
          <w:b/>
          <w:bCs/>
          <w:color w:val="auto"/>
          <w:szCs w:val="21"/>
          <w:highlight w:val="none"/>
          <w:u w:val="none"/>
          <w:lang w:val="en-US" w:eastAsia="zh-CN"/>
        </w:rPr>
        <w:t>十七、协议的继承</w:t>
      </w:r>
    </w:p>
    <w:p w14:paraId="25BAE1E5">
      <w:pPr>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若在本合同有效期间任何一方发生公司重组、更名、合并、分立等事项，该方应自该事项发生之日起七天内书面通知对方，在不影响对方根据本合同或法律应享有的权利的前提下，本合同对发生重组等事项一方的权利义务继承者仍具有约束力。</w:t>
      </w:r>
    </w:p>
    <w:p w14:paraId="5A3DF71F">
      <w:pPr>
        <w:snapToGrid w:val="0"/>
        <w:spacing w:line="360" w:lineRule="auto"/>
        <w:rPr>
          <w:rFonts w:hint="eastAsia" w:ascii="宋体" w:hAnsi="宋体" w:eastAsia="宋体" w:cs="宋体"/>
          <w:b/>
          <w:bCs/>
          <w:color w:val="auto"/>
          <w:szCs w:val="21"/>
          <w:highlight w:val="none"/>
          <w:u w:val="none"/>
          <w:lang w:val="en-US" w:eastAsia="zh-CN"/>
        </w:rPr>
      </w:pPr>
      <w:r>
        <w:rPr>
          <w:rFonts w:hint="eastAsia" w:ascii="宋体" w:hAnsi="宋体" w:eastAsia="宋体" w:cs="宋体"/>
          <w:b/>
          <w:bCs/>
          <w:color w:val="auto"/>
          <w:szCs w:val="21"/>
          <w:highlight w:val="none"/>
          <w:u w:val="none"/>
          <w:lang w:val="en-US" w:eastAsia="zh-CN"/>
        </w:rPr>
        <w:t>十八、非弃权</w:t>
      </w:r>
    </w:p>
    <w:p w14:paraId="50669937">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本合同任何一方放弃其在本合同下的部分权利，并不等于其放弃在本合同下的其他权利，任何一方暂时不行使其在本合同下的全部或部分权利，并不等于其放弃该等全部或部分权利。</w:t>
      </w:r>
    </w:p>
    <w:p w14:paraId="5F9CC847">
      <w:pPr>
        <w:snapToGrid w:val="0"/>
        <w:spacing w:line="360" w:lineRule="auto"/>
        <w:rPr>
          <w:rFonts w:hint="eastAsia" w:ascii="宋体" w:hAnsi="宋体" w:eastAsia="宋体" w:cs="宋体"/>
          <w:b/>
          <w:bCs/>
          <w:color w:val="auto"/>
          <w:szCs w:val="21"/>
          <w:highlight w:val="none"/>
          <w:u w:val="none"/>
          <w:lang w:val="en-US" w:eastAsia="zh-CN"/>
        </w:rPr>
      </w:pPr>
      <w:r>
        <w:rPr>
          <w:rFonts w:hint="eastAsia" w:ascii="宋体" w:hAnsi="宋体" w:eastAsia="宋体" w:cs="宋体"/>
          <w:b/>
          <w:bCs/>
          <w:color w:val="auto"/>
          <w:szCs w:val="21"/>
          <w:highlight w:val="none"/>
          <w:u w:val="none"/>
          <w:lang w:val="en-US" w:eastAsia="zh-CN"/>
        </w:rPr>
        <w:t>十九、可分割性，完整性</w:t>
      </w:r>
    </w:p>
    <w:p w14:paraId="0BD3CE54">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19.1如果本合同的任何条款被宣告无效，则本合同任何其他条款及本合同的整体效力不应受其影响。</w:t>
      </w:r>
    </w:p>
    <w:p w14:paraId="3BBE3F1E">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19.2本合同构成双方之间就本合同主题事宜的完整协议，并应替代先前双方就本合同主题事宜的一切书面或口头的通讯、意向、陈述或协议。</w:t>
      </w:r>
    </w:p>
    <w:p w14:paraId="64E8A274">
      <w:pPr>
        <w:snapToGrid w:val="0"/>
        <w:spacing w:line="360" w:lineRule="auto"/>
        <w:rPr>
          <w:rFonts w:hint="eastAsia" w:ascii="宋体" w:hAnsi="宋体" w:eastAsia="宋体" w:cs="宋体"/>
          <w:b/>
          <w:bCs/>
          <w:color w:val="auto"/>
          <w:szCs w:val="21"/>
          <w:highlight w:val="none"/>
          <w:u w:val="none"/>
          <w:lang w:val="en-US" w:eastAsia="zh-CN"/>
        </w:rPr>
      </w:pPr>
      <w:r>
        <w:rPr>
          <w:rFonts w:hint="eastAsia" w:ascii="宋体" w:hAnsi="宋体" w:eastAsia="宋体" w:cs="宋体"/>
          <w:b/>
          <w:bCs/>
          <w:color w:val="auto"/>
          <w:szCs w:val="21"/>
          <w:highlight w:val="none"/>
          <w:u w:val="none"/>
          <w:lang w:val="en-US" w:eastAsia="zh-CN"/>
        </w:rPr>
        <w:t>二十、不可抗力</w:t>
      </w:r>
    </w:p>
    <w:p w14:paraId="23B2104B">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20.1本合同内提及之“不可抗力”是指任何不可预见、不可避免及不能克服的，并对双方履行协议相关条款或补充条款和条件能产生实际影响或不良影响(包括阻止、妨碍或延误协议的履行)的任何条件或情况，包括但不限于</w:t>
      </w:r>
      <w:r>
        <w:rPr>
          <w:rFonts w:hint="eastAsia" w:ascii="宋体" w:hAnsi="宋体" w:cs="宋体"/>
          <w:color w:val="auto"/>
          <w:szCs w:val="21"/>
          <w:highlight w:val="none"/>
          <w:lang w:val="en-US" w:eastAsia="zh-CN"/>
        </w:rPr>
        <w:t>：</w:t>
      </w:r>
    </w:p>
    <w:p w14:paraId="4513BC4B">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任何政府的政策或法规、法令；</w:t>
      </w:r>
    </w:p>
    <w:p w14:paraId="6D1D877D">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影响或任何自然因素或其他天灾，如暴风、洪水、干旱、雷击、地震或其他自然灾祸；</w:t>
      </w:r>
    </w:p>
    <w:p w14:paraId="2F031451">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瘟疫、流行病疫或检疫隔离；</w:t>
      </w:r>
    </w:p>
    <w:p w14:paraId="6A20D5D0">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战争行为(不论是否宣战)，恶意破坏、恐怖活动或反政府行为，与国外敌对方交战状态、封锁、禁运、民众暴乱、政治革命、叛乱、平民起义、军阀统治及篡夺政治权利意图。</w:t>
      </w:r>
    </w:p>
    <w:p w14:paraId="73F92959">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20.2如因不可抗力原因，甲乙任何一方不能按照合同</w:t>
      </w:r>
      <w:r>
        <w:rPr>
          <w:rFonts w:hint="eastAsia" w:ascii="宋体" w:hAnsi="宋体" w:cs="宋体"/>
          <w:color w:val="auto"/>
          <w:szCs w:val="21"/>
          <w:highlight w:val="none"/>
          <w:lang w:val="en-US" w:eastAsia="zh-CN"/>
        </w:rPr>
        <w:t>履行</w:t>
      </w:r>
      <w:r>
        <w:rPr>
          <w:rFonts w:hint="eastAsia" w:ascii="宋体" w:hAnsi="宋体" w:eastAsia="宋体" w:cs="宋体"/>
          <w:color w:val="auto"/>
          <w:szCs w:val="21"/>
          <w:highlight w:val="none"/>
          <w:lang w:val="en-US" w:eastAsia="zh-CN"/>
        </w:rPr>
        <w:t>其义务，该方不负违约责任，但是一方应在事件发生后10个工作日内向另一方书面报告所发生的不可抗力，并提供有关的证明文件。任何相关的期限应根据该事件所影响的期限相应顺延。不可抗力事件消失时，无法履行义务的一方应继续履行其义务。如因不可抗力致使合同无法继续履行的，则本合同可以经双方协商后终止</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甲方并应于合同终止后30日内结清乙方已提交工作成果之对应的相关费用。</w:t>
      </w:r>
    </w:p>
    <w:p w14:paraId="431EC688">
      <w:pPr>
        <w:snapToGrid w:val="0"/>
        <w:spacing w:line="360" w:lineRule="auto"/>
        <w:rPr>
          <w:rFonts w:hint="eastAsia" w:ascii="宋体" w:hAnsi="宋体" w:eastAsia="宋体" w:cs="宋体"/>
          <w:b/>
          <w:bCs/>
          <w:color w:val="auto"/>
          <w:szCs w:val="21"/>
          <w:highlight w:val="none"/>
          <w:u w:val="none"/>
          <w:lang w:val="en-US" w:eastAsia="zh-CN"/>
        </w:rPr>
      </w:pPr>
      <w:r>
        <w:rPr>
          <w:rFonts w:hint="eastAsia" w:ascii="宋体" w:hAnsi="宋体" w:eastAsia="宋体" w:cs="宋体"/>
          <w:b/>
          <w:bCs/>
          <w:color w:val="auto"/>
          <w:szCs w:val="21"/>
          <w:highlight w:val="none"/>
          <w:u w:val="none"/>
          <w:lang w:val="en-US" w:eastAsia="zh-CN"/>
        </w:rPr>
        <w:t>二十一、其他</w:t>
      </w:r>
    </w:p>
    <w:p w14:paraId="027656B0">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21.1本合同一式四份，经双方授权代表签字盖章后生效，对双方具有法律约束力。本合同甲方执二份正本，乙方执二份正本，各份文本具有同等法律效力。</w:t>
      </w:r>
    </w:p>
    <w:p w14:paraId="3713DAFD">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21.2本合同的附件是本合同的必要组成部分，与本合同正文具有同等法律效力。</w:t>
      </w:r>
    </w:p>
    <w:p w14:paraId="34268049">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21.3未经双方书面同意，本合同项下任何一方不得将本合同项下的权利和/或义务转让给任何第三方或设定担保或者进行其他形式的处分。但双方同意，经事先书面通知对方，</w:t>
      </w:r>
      <w:r>
        <w:rPr>
          <w:rFonts w:hint="eastAsia" w:ascii="宋体" w:hAnsi="宋体" w:cs="宋体"/>
          <w:color w:val="auto"/>
          <w:szCs w:val="21"/>
          <w:highlight w:val="none"/>
          <w:lang w:val="en-US" w:eastAsia="zh-CN"/>
        </w:rPr>
        <w:t>经对方书面同意后，</w:t>
      </w:r>
      <w:r>
        <w:rPr>
          <w:rFonts w:hint="eastAsia" w:ascii="宋体" w:hAnsi="宋体" w:eastAsia="宋体" w:cs="宋体"/>
          <w:color w:val="auto"/>
          <w:szCs w:val="21"/>
          <w:highlight w:val="none"/>
          <w:lang w:val="en-US" w:eastAsia="zh-CN"/>
        </w:rPr>
        <w:t>甲乙双方有权将本合同项下的权利义务转让给其关联企业。</w:t>
      </w:r>
    </w:p>
    <w:p w14:paraId="5E1E0715">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21.4本合同的未尽事宜，或对本合同的任何变更，经双方协商同意后，可通过由双方授权代表签署并加盖公章的书面形式达成本合同的补充协议。补充协议与本合同具有同等效力，并应取代其所修订的合同条款。</w:t>
      </w:r>
    </w:p>
    <w:p w14:paraId="13343F7F">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21.5本合同条款的标题仅为方便参阅而设，不得用于解释协议条款。</w:t>
      </w:r>
    </w:p>
    <w:p w14:paraId="5DB38F2A">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21.6本合同条款业经双方充分协商和谈判而达成，不构成任何一方的格式条款。</w:t>
      </w:r>
    </w:p>
    <w:p w14:paraId="52944B52">
      <w:pPr>
        <w:snapToGrid w:val="0"/>
        <w:spacing w:line="360" w:lineRule="auto"/>
        <w:rPr>
          <w:rFonts w:hint="eastAsia" w:ascii="宋体" w:hAnsi="宋体" w:eastAsia="宋体" w:cs="宋体"/>
          <w:b/>
          <w:bCs/>
          <w:color w:val="auto"/>
          <w:szCs w:val="21"/>
          <w:highlight w:val="none"/>
          <w:u w:val="none"/>
          <w:lang w:val="en-US" w:eastAsia="zh-CN"/>
        </w:rPr>
      </w:pPr>
      <w:r>
        <w:rPr>
          <w:rFonts w:hint="eastAsia" w:ascii="宋体" w:hAnsi="宋体" w:eastAsia="宋体" w:cs="宋体"/>
          <w:b/>
          <w:bCs/>
          <w:color w:val="auto"/>
          <w:szCs w:val="21"/>
          <w:highlight w:val="none"/>
          <w:u w:val="none"/>
          <w:lang w:val="en-US" w:eastAsia="zh-CN"/>
        </w:rPr>
        <w:t>二十二、本合同的终止及解除</w:t>
      </w:r>
    </w:p>
    <w:p w14:paraId="7091E9A2">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22.1如果任何一方发生资不抵债，并启动了清算、接管、接收或其他类似的资不抵债申请程序或行动，对方有权解除本合同，并按照法律规定行使相关债权。</w:t>
      </w:r>
    </w:p>
    <w:p w14:paraId="2F99BC29">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22.2本合同的终止不得影响任何一方对其因本合同被违约而遭受损害所拥有的权利，也不得影响任何一方对其在终止日之前已累积的或因发生相关事件而引起的责任或权利主张所拥有的权利或承担的义务，所有该等权利或义务均应在终止后继续有效。</w:t>
      </w:r>
    </w:p>
    <w:p w14:paraId="1CF214F5">
      <w:pPr>
        <w:snapToGrid w:val="0"/>
        <w:spacing w:line="360" w:lineRule="auto"/>
        <w:ind w:firstLine="420" w:firstLineChars="200"/>
        <w:rPr>
          <w:rFonts w:hint="eastAsia" w:ascii="宋体" w:hAnsi="宋体" w:eastAsia="宋体" w:cs="宋体"/>
          <w:color w:val="auto"/>
          <w:szCs w:val="21"/>
          <w:highlight w:val="none"/>
          <w:lang w:val="en-US" w:eastAsia="zh-CN"/>
        </w:rPr>
      </w:pPr>
    </w:p>
    <w:p w14:paraId="59FE8B75">
      <w:pPr>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甲方(公章)</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 xml:space="preserve">                                   乙方(公章)</w:t>
      </w:r>
      <w:r>
        <w:rPr>
          <w:rFonts w:hint="eastAsia" w:ascii="宋体" w:hAnsi="宋体" w:cs="宋体"/>
          <w:color w:val="auto"/>
          <w:szCs w:val="21"/>
          <w:highlight w:val="none"/>
          <w:lang w:val="en-US" w:eastAsia="zh-CN"/>
        </w:rPr>
        <w:t>：</w:t>
      </w:r>
    </w:p>
    <w:p w14:paraId="51F2E80B">
      <w:pPr>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法定代表人或受委托人（签字或盖章）：          法定代表人或受委托人（签字或盖章）：</w:t>
      </w:r>
    </w:p>
    <w:p w14:paraId="0709D16C">
      <w:pPr>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地址</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 xml:space="preserve">                                         地址</w:t>
      </w:r>
      <w:r>
        <w:rPr>
          <w:rFonts w:hint="eastAsia" w:ascii="宋体" w:hAnsi="宋体" w:cs="宋体"/>
          <w:color w:val="auto"/>
          <w:szCs w:val="21"/>
          <w:highlight w:val="none"/>
          <w:lang w:val="en-US" w:eastAsia="zh-CN"/>
        </w:rPr>
        <w:t>：</w:t>
      </w:r>
    </w:p>
    <w:p w14:paraId="66C7CBDF">
      <w:pPr>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邮编</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 xml:space="preserve">                                         邮编</w:t>
      </w:r>
      <w:r>
        <w:rPr>
          <w:rFonts w:hint="eastAsia" w:ascii="宋体" w:hAnsi="宋体" w:cs="宋体"/>
          <w:color w:val="auto"/>
          <w:szCs w:val="21"/>
          <w:highlight w:val="none"/>
          <w:lang w:val="en-US" w:eastAsia="zh-CN"/>
        </w:rPr>
        <w:t>：</w:t>
      </w:r>
    </w:p>
    <w:p w14:paraId="389B9FB6">
      <w:pPr>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电话</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 xml:space="preserve">                                         电话</w:t>
      </w:r>
      <w:r>
        <w:rPr>
          <w:rFonts w:hint="eastAsia" w:ascii="宋体" w:hAnsi="宋体" w:cs="宋体"/>
          <w:color w:val="auto"/>
          <w:szCs w:val="21"/>
          <w:highlight w:val="none"/>
          <w:lang w:val="en-US" w:eastAsia="zh-CN"/>
        </w:rPr>
        <w:t>：</w:t>
      </w:r>
    </w:p>
    <w:p w14:paraId="74AFFAD9">
      <w:pPr>
        <w:snapToGrid w:val="0"/>
        <w:spacing w:line="360" w:lineRule="auto"/>
        <w:ind w:firstLine="420" w:firstLineChars="200"/>
        <w:rPr>
          <w:rFonts w:hint="eastAsia" w:ascii="宋体" w:hAnsi="宋体" w:eastAsia="宋体" w:cs="宋体"/>
          <w:color w:val="auto"/>
          <w:szCs w:val="21"/>
          <w:highlight w:val="none"/>
          <w:lang w:val="en-US" w:eastAsia="zh-CN"/>
        </w:rPr>
      </w:pPr>
    </w:p>
    <w:p w14:paraId="54662DE9">
      <w:pPr>
        <w:snapToGrid w:val="0"/>
        <w:spacing w:line="360" w:lineRule="auto"/>
        <w:ind w:firstLine="6090" w:firstLineChars="29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签约时间：   年   月    日</w:t>
      </w:r>
    </w:p>
    <w:p w14:paraId="1A406236">
      <w:pPr>
        <w:snapToGrid w:val="0"/>
        <w:spacing w:line="360" w:lineRule="auto"/>
        <w:ind w:firstLine="420" w:firstLineChars="200"/>
        <w:rPr>
          <w:rFonts w:hint="eastAsia" w:ascii="宋体" w:hAnsi="宋体" w:eastAsia="宋体" w:cs="宋体"/>
          <w:color w:val="auto"/>
          <w:szCs w:val="21"/>
          <w:highlight w:val="none"/>
          <w:lang w:val="en-US" w:eastAsia="zh-CN"/>
        </w:rPr>
      </w:pPr>
    </w:p>
    <w:p w14:paraId="021F29DD">
      <w:pPr>
        <w:snapToGrid w:val="0"/>
        <w:spacing w:line="360" w:lineRule="auto"/>
        <w:ind w:firstLine="420" w:firstLineChars="200"/>
        <w:rPr>
          <w:rFonts w:hint="eastAsia" w:ascii="宋体" w:hAnsi="宋体" w:eastAsia="宋体" w:cs="宋体"/>
          <w:color w:val="auto"/>
          <w:szCs w:val="21"/>
          <w:highlight w:val="none"/>
          <w:lang w:val="en-US" w:eastAsia="zh-CN"/>
        </w:rPr>
      </w:pPr>
    </w:p>
    <w:p w14:paraId="4322E7F9">
      <w:pPr>
        <w:snapToGrid w:val="0"/>
        <w:spacing w:line="360" w:lineRule="auto"/>
        <w:ind w:firstLine="420" w:firstLineChars="200"/>
        <w:rPr>
          <w:rFonts w:hint="eastAsia" w:ascii="宋体" w:hAnsi="宋体" w:eastAsia="宋体" w:cs="宋体"/>
          <w:color w:val="auto"/>
          <w:szCs w:val="21"/>
          <w:highlight w:val="none"/>
          <w:lang w:val="en-US" w:eastAsia="zh-CN"/>
        </w:rPr>
      </w:pPr>
    </w:p>
    <w:p w14:paraId="453C9D6B">
      <w:pPr>
        <w:snapToGrid w:val="0"/>
        <w:spacing w:line="360" w:lineRule="auto"/>
        <w:ind w:firstLine="420" w:firstLineChars="200"/>
        <w:rPr>
          <w:rFonts w:hint="eastAsia" w:ascii="宋体" w:hAnsi="宋体" w:eastAsia="宋体" w:cs="宋体"/>
          <w:color w:val="auto"/>
          <w:szCs w:val="21"/>
          <w:highlight w:val="none"/>
          <w:lang w:val="en-US" w:eastAsia="zh-CN"/>
        </w:rPr>
      </w:pPr>
    </w:p>
    <w:p w14:paraId="035ABC88">
      <w:pPr>
        <w:snapToGrid w:val="0"/>
        <w:spacing w:line="360" w:lineRule="auto"/>
        <w:ind w:firstLine="420" w:firstLineChars="200"/>
        <w:rPr>
          <w:rFonts w:hint="eastAsia" w:ascii="宋体" w:hAnsi="宋体" w:eastAsia="宋体" w:cs="宋体"/>
          <w:color w:val="auto"/>
          <w:szCs w:val="21"/>
          <w:highlight w:val="none"/>
          <w:lang w:val="en-US" w:eastAsia="zh-CN"/>
        </w:rPr>
      </w:pPr>
    </w:p>
    <w:p w14:paraId="0C85AD4D">
      <w:pPr>
        <w:snapToGrid w:val="0"/>
        <w:spacing w:line="360" w:lineRule="auto"/>
        <w:ind w:firstLine="420" w:firstLineChars="200"/>
        <w:rPr>
          <w:rFonts w:hint="eastAsia" w:ascii="宋体" w:hAnsi="宋体" w:eastAsia="宋体" w:cs="宋体"/>
          <w:color w:val="auto"/>
          <w:szCs w:val="21"/>
          <w:highlight w:val="none"/>
          <w:lang w:val="en-US" w:eastAsia="zh-CN"/>
        </w:rPr>
      </w:pPr>
    </w:p>
    <w:p w14:paraId="0E67BEBC">
      <w:pPr>
        <w:snapToGrid w:val="0"/>
        <w:spacing w:line="360" w:lineRule="auto"/>
        <w:ind w:firstLine="0" w:firstLineChars="0"/>
        <w:rPr>
          <w:rFonts w:hint="eastAsia" w:ascii="宋体" w:hAnsi="宋体" w:eastAsia="宋体" w:cs="宋体"/>
          <w:color w:val="auto"/>
          <w:szCs w:val="21"/>
          <w:highlight w:val="none"/>
          <w:lang w:val="en-US" w:eastAsia="zh-CN"/>
        </w:rPr>
      </w:pPr>
    </w:p>
    <w:p w14:paraId="69A9C1E8">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 xml:space="preserve">          </w:t>
      </w:r>
      <w:r>
        <w:rPr>
          <w:rFonts w:ascii="宋体" w:hAnsi="宋体" w:cs="宋体"/>
          <w:b/>
          <w:color w:val="auto"/>
          <w:sz w:val="24"/>
          <w:highlight w:val="none"/>
        </w:rPr>
        <w:br w:type="page"/>
      </w:r>
    </w:p>
    <w:p w14:paraId="4DCAF941">
      <w:pPr>
        <w:pStyle w:val="16"/>
        <w:shd w:val="clear" w:color="auto" w:fill="auto"/>
        <w:wordWrap w:val="0"/>
        <w:adjustRightInd w:val="0"/>
        <w:snapToGrid w:val="0"/>
        <w:spacing w:line="360" w:lineRule="auto"/>
        <w:jc w:val="center"/>
        <w:outlineLvl w:val="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第六部分 附件—投标文件格式</w:t>
      </w:r>
      <w:bookmarkEnd w:id="39"/>
    </w:p>
    <w:p w14:paraId="244EDF05">
      <w:pPr>
        <w:pStyle w:val="16"/>
        <w:shd w:val="clear" w:color="auto" w:fill="auto"/>
        <w:wordWrap w:val="0"/>
        <w:adjustRightInd w:val="0"/>
        <w:snapToGrid w:val="0"/>
        <w:spacing w:line="360" w:lineRule="auto"/>
        <w:rPr>
          <w:rFonts w:hint="eastAsia" w:ascii="宋体" w:hAnsi="宋体" w:eastAsia="宋体" w:cs="宋体"/>
          <w:color w:val="auto"/>
          <w:sz w:val="30"/>
          <w:highlight w:val="none"/>
        </w:rPr>
      </w:pPr>
    </w:p>
    <w:p w14:paraId="574E8FB6">
      <w:pPr>
        <w:shd w:val="clear" w:color="auto" w:fill="auto"/>
        <w:wordWrap w:val="0"/>
        <w:snapToGrid w:val="0"/>
        <w:spacing w:line="360" w:lineRule="auto"/>
        <w:jc w:val="center"/>
        <w:rPr>
          <w:rFonts w:hint="eastAsia" w:ascii="宋体" w:hAnsi="宋体" w:eastAsia="宋体" w:cs="宋体"/>
          <w:color w:val="auto"/>
          <w:sz w:val="36"/>
          <w:highlight w:val="none"/>
        </w:rPr>
      </w:pPr>
      <w:r>
        <w:rPr>
          <w:rFonts w:hint="eastAsia" w:ascii="宋体" w:hAnsi="宋体" w:eastAsia="宋体" w:cs="宋体"/>
          <w:color w:val="auto"/>
          <w:sz w:val="36"/>
          <w:highlight w:val="none"/>
        </w:rPr>
        <w:t>（未提供格式的由供应商自拟）</w:t>
      </w:r>
    </w:p>
    <w:p w14:paraId="7638A2B1">
      <w:pPr>
        <w:shd w:val="clear" w:color="auto" w:fill="auto"/>
        <w:wordWrap w:val="0"/>
        <w:spacing w:line="360" w:lineRule="auto"/>
        <w:ind w:firstLine="424" w:firstLineChars="151"/>
        <w:rPr>
          <w:rFonts w:hint="eastAsia" w:ascii="宋体" w:hAnsi="宋体" w:eastAsia="宋体" w:cs="宋体"/>
          <w:b/>
          <w:color w:val="auto"/>
          <w:sz w:val="28"/>
          <w:szCs w:val="22"/>
          <w:highlight w:val="none"/>
        </w:rPr>
      </w:pPr>
    </w:p>
    <w:p w14:paraId="70BD77BF">
      <w:pPr>
        <w:shd w:val="clear" w:color="auto" w:fill="auto"/>
        <w:wordWrap w:val="0"/>
        <w:spacing w:line="360" w:lineRule="auto"/>
        <w:ind w:firstLine="424" w:firstLineChars="151"/>
        <w:rPr>
          <w:rFonts w:hint="eastAsia" w:ascii="宋体" w:hAnsi="宋体" w:eastAsia="宋体" w:cs="宋体"/>
          <w:b/>
          <w:color w:val="auto"/>
          <w:sz w:val="28"/>
          <w:szCs w:val="22"/>
          <w:highlight w:val="none"/>
        </w:rPr>
      </w:pPr>
    </w:p>
    <w:p w14:paraId="04DACCF2">
      <w:pPr>
        <w:shd w:val="clear" w:color="auto" w:fill="auto"/>
        <w:wordWrap w:val="0"/>
        <w:spacing w:line="360" w:lineRule="auto"/>
        <w:ind w:firstLine="424" w:firstLineChars="151"/>
        <w:rPr>
          <w:rFonts w:hint="eastAsia" w:ascii="宋体" w:hAnsi="宋体" w:eastAsia="宋体" w:cs="宋体"/>
          <w:b/>
          <w:color w:val="auto"/>
          <w:sz w:val="28"/>
          <w:szCs w:val="22"/>
          <w:highlight w:val="none"/>
          <w:u w:val="single"/>
          <w:lang w:eastAsia="zh-CN"/>
        </w:rPr>
      </w:pPr>
      <w:r>
        <w:rPr>
          <w:rFonts w:hint="eastAsia" w:ascii="宋体" w:hAnsi="宋体" w:eastAsia="宋体" w:cs="宋体"/>
          <w:b/>
          <w:color w:val="auto"/>
          <w:sz w:val="28"/>
          <w:szCs w:val="22"/>
          <w:highlight w:val="none"/>
        </w:rPr>
        <w:t>重要提示</w:t>
      </w:r>
      <w:r>
        <w:rPr>
          <w:rFonts w:hint="eastAsia" w:ascii="宋体" w:hAnsi="宋体" w:eastAsia="宋体" w:cs="宋体"/>
          <w:b/>
          <w:color w:val="auto"/>
          <w:sz w:val="28"/>
          <w:szCs w:val="22"/>
          <w:highlight w:val="none"/>
          <w:lang w:eastAsia="zh-CN"/>
        </w:rPr>
        <w:t>：</w:t>
      </w:r>
    </w:p>
    <w:p w14:paraId="67B259A7">
      <w:pPr>
        <w:shd w:val="clear" w:color="auto" w:fill="auto"/>
        <w:wordWrap w:val="0"/>
        <w:spacing w:line="360" w:lineRule="auto"/>
        <w:ind w:firstLine="424" w:firstLineChars="151"/>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（1）</w:t>
      </w:r>
      <w:r>
        <w:rPr>
          <w:rFonts w:hint="eastAsia" w:ascii="宋体" w:hAnsi="宋体" w:eastAsia="宋体" w:cs="宋体"/>
          <w:b/>
          <w:color w:val="auto"/>
          <w:sz w:val="28"/>
          <w:szCs w:val="28"/>
          <w:highlight w:val="none"/>
          <w:u w:val="single"/>
        </w:rPr>
        <w:t>本章节中有提供格式的，供应商可参照本章节提供的格式进行编制（格式中要求提供相关证明材料的还需后附相关证明材料）。并按格式要求在指定位置根据要求进行电子签章，否则视为未提供；</w:t>
      </w:r>
    </w:p>
    <w:p w14:paraId="7FA9E9B4">
      <w:pPr>
        <w:shd w:val="clear" w:color="auto" w:fill="auto"/>
        <w:wordWrap w:val="0"/>
        <w:spacing w:line="360" w:lineRule="auto"/>
        <w:ind w:firstLine="424" w:firstLineChars="151"/>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u w:val="single"/>
        </w:rPr>
        <w:t>本章节未提供格式的，请各投标单位自行拟定格式，并加盖单位公章并由法定代表人或其授权代表签署（签字或签章），否则视为未提供；</w:t>
      </w:r>
    </w:p>
    <w:p w14:paraId="2CA12BCD">
      <w:pPr>
        <w:pStyle w:val="4"/>
        <w:shd w:val="clear" w:color="auto" w:fill="auto"/>
        <w:wordWrap w:val="0"/>
        <w:spacing w:before="0" w:after="0" w:line="360" w:lineRule="auto"/>
        <w:rPr>
          <w:rFonts w:hint="eastAsia" w:ascii="宋体" w:hAnsi="宋体" w:eastAsia="宋体" w:cs="宋体"/>
          <w:color w:val="auto"/>
          <w:highlight w:val="none"/>
        </w:rPr>
      </w:pPr>
      <w:bookmarkStart w:id="40" w:name="_Toc24550049"/>
      <w:bookmarkStart w:id="41" w:name="_Toc30408914"/>
    </w:p>
    <w:p w14:paraId="4C3C7222">
      <w:pPr>
        <w:pStyle w:val="4"/>
        <w:shd w:val="clear" w:color="auto" w:fill="auto"/>
        <w:wordWrap w:val="0"/>
        <w:spacing w:before="0" w:after="0" w:line="360" w:lineRule="auto"/>
        <w:rPr>
          <w:rFonts w:hint="eastAsia" w:ascii="宋体" w:hAnsi="宋体" w:eastAsia="宋体" w:cs="宋体"/>
          <w:color w:val="auto"/>
          <w:highlight w:val="none"/>
        </w:rPr>
      </w:pPr>
    </w:p>
    <w:p w14:paraId="038338B6">
      <w:pPr>
        <w:pStyle w:val="4"/>
        <w:shd w:val="clear" w:color="auto" w:fill="auto"/>
        <w:wordWrap w:val="0"/>
        <w:spacing w:before="0" w:after="0" w:line="360" w:lineRule="auto"/>
        <w:rPr>
          <w:rFonts w:hint="eastAsia" w:ascii="宋体" w:hAnsi="宋体" w:eastAsia="宋体" w:cs="宋体"/>
          <w:color w:val="auto"/>
          <w:highlight w:val="none"/>
        </w:rPr>
      </w:pPr>
    </w:p>
    <w:p w14:paraId="41E44163">
      <w:pPr>
        <w:pStyle w:val="4"/>
        <w:shd w:val="clear" w:color="auto" w:fill="auto"/>
        <w:wordWrap w:val="0"/>
        <w:spacing w:before="0" w:after="0" w:line="360" w:lineRule="auto"/>
        <w:rPr>
          <w:rFonts w:hint="eastAsia" w:ascii="宋体" w:hAnsi="宋体" w:eastAsia="宋体" w:cs="宋体"/>
          <w:color w:val="auto"/>
          <w:highlight w:val="none"/>
        </w:rPr>
      </w:pPr>
    </w:p>
    <w:p w14:paraId="6D587AE5">
      <w:pPr>
        <w:pStyle w:val="4"/>
        <w:shd w:val="clear" w:color="auto" w:fill="auto"/>
        <w:wordWrap w:val="0"/>
        <w:spacing w:before="0" w:after="0" w:line="360" w:lineRule="auto"/>
        <w:rPr>
          <w:rFonts w:hint="eastAsia" w:ascii="宋体" w:hAnsi="宋体" w:eastAsia="宋体" w:cs="宋体"/>
          <w:color w:val="auto"/>
          <w:highlight w:val="none"/>
        </w:rPr>
      </w:pPr>
    </w:p>
    <w:p w14:paraId="4917082A">
      <w:pPr>
        <w:shd w:val="clear" w:color="auto" w:fill="auto"/>
        <w:wordWrap w:val="0"/>
        <w:spacing w:line="360" w:lineRule="auto"/>
        <w:rPr>
          <w:rFonts w:hint="eastAsia" w:ascii="宋体" w:hAnsi="宋体" w:eastAsia="宋体" w:cs="宋体"/>
          <w:color w:val="auto"/>
          <w:highlight w:val="none"/>
        </w:rPr>
      </w:pPr>
    </w:p>
    <w:p w14:paraId="0391127F">
      <w:pPr>
        <w:pStyle w:val="48"/>
        <w:shd w:val="clear" w:color="auto" w:fill="auto"/>
        <w:wordWrap w:val="0"/>
        <w:spacing w:line="360" w:lineRule="auto"/>
        <w:rPr>
          <w:rFonts w:hint="eastAsia" w:ascii="宋体" w:hAnsi="宋体" w:eastAsia="宋体" w:cs="宋体"/>
          <w:color w:val="auto"/>
          <w:highlight w:val="none"/>
        </w:rPr>
      </w:pPr>
    </w:p>
    <w:p w14:paraId="45BE5206">
      <w:pPr>
        <w:pStyle w:val="10"/>
        <w:shd w:val="clear" w:color="auto" w:fill="auto"/>
        <w:wordWrap w:val="0"/>
        <w:spacing w:line="360" w:lineRule="auto"/>
        <w:rPr>
          <w:rFonts w:hint="eastAsia" w:ascii="宋体" w:hAnsi="宋体" w:eastAsia="宋体" w:cs="宋体"/>
          <w:color w:val="auto"/>
          <w:highlight w:val="none"/>
        </w:rPr>
      </w:pPr>
    </w:p>
    <w:p w14:paraId="1B417DD8">
      <w:pPr>
        <w:pStyle w:val="4"/>
        <w:shd w:val="clear" w:color="auto" w:fill="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2" w:name="_Toc26323"/>
      <w:bookmarkStart w:id="43" w:name="_Toc6691"/>
      <w:bookmarkStart w:id="44" w:name="_Toc27639"/>
      <w:r>
        <w:rPr>
          <w:rFonts w:hint="eastAsia" w:ascii="宋体" w:hAnsi="宋体" w:eastAsia="宋体" w:cs="宋体"/>
          <w:color w:val="auto"/>
          <w:highlight w:val="none"/>
        </w:rPr>
        <w:t>一、“资格文件”格式</w:t>
      </w:r>
      <w:bookmarkEnd w:id="40"/>
      <w:bookmarkEnd w:id="41"/>
      <w:bookmarkEnd w:id="42"/>
      <w:bookmarkEnd w:id="43"/>
      <w:bookmarkEnd w:id="44"/>
    </w:p>
    <w:p w14:paraId="2D9FDA71">
      <w:pPr>
        <w:pStyle w:val="5"/>
        <w:shd w:val="clear" w:color="auto" w:fill="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1.1 “资格文件”封面</w:t>
      </w:r>
    </w:p>
    <w:p w14:paraId="01E68F43">
      <w:pPr>
        <w:shd w:val="clear" w:color="auto" w:fill="auto"/>
        <w:wordWrap w:val="0"/>
        <w:spacing w:line="360" w:lineRule="auto"/>
        <w:jc w:val="right"/>
        <w:rPr>
          <w:rFonts w:hint="eastAsia" w:ascii="宋体" w:hAnsi="宋体" w:eastAsia="宋体" w:cs="宋体"/>
          <w:b/>
          <w:color w:val="auto"/>
          <w:sz w:val="32"/>
          <w:szCs w:val="22"/>
          <w:highlight w:val="none"/>
        </w:rPr>
      </w:pPr>
    </w:p>
    <w:p w14:paraId="4030A3A4">
      <w:pPr>
        <w:pStyle w:val="48"/>
        <w:shd w:val="clear" w:color="auto" w:fill="auto"/>
        <w:wordWrap w:val="0"/>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昆鳌协同区F-42地块商业综合体项目招商运营服务项目</w:t>
      </w:r>
    </w:p>
    <w:p w14:paraId="14934050">
      <w:pPr>
        <w:shd w:val="clear" w:color="auto" w:fill="auto"/>
        <w:wordWrap w:val="0"/>
        <w:spacing w:line="360" w:lineRule="auto"/>
        <w:jc w:val="center"/>
        <w:rPr>
          <w:rFonts w:hint="eastAsia" w:ascii="宋体" w:hAnsi="宋体" w:eastAsia="宋体" w:cs="宋体"/>
          <w:b/>
          <w:color w:val="auto"/>
          <w:sz w:val="52"/>
          <w:szCs w:val="22"/>
          <w:highlight w:val="none"/>
        </w:rPr>
      </w:pPr>
    </w:p>
    <w:p w14:paraId="148189A1">
      <w:pPr>
        <w:shd w:val="clear" w:color="auto" w:fill="auto"/>
        <w:wordWrap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25BB397A">
      <w:pPr>
        <w:shd w:val="clear" w:color="auto" w:fill="auto"/>
        <w:wordWrap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（资格文件）</w:t>
      </w:r>
    </w:p>
    <w:p w14:paraId="6D0936D1">
      <w:pPr>
        <w:shd w:val="clear" w:color="auto" w:fill="auto"/>
        <w:wordWrap w:val="0"/>
        <w:spacing w:line="360" w:lineRule="auto"/>
        <w:jc w:val="center"/>
        <w:rPr>
          <w:rFonts w:hint="eastAsia" w:ascii="宋体" w:hAnsi="宋体" w:eastAsia="宋体" w:cs="宋体"/>
          <w:b/>
          <w:color w:val="auto"/>
          <w:sz w:val="52"/>
          <w:szCs w:val="22"/>
          <w:highlight w:val="none"/>
        </w:rPr>
      </w:pPr>
    </w:p>
    <w:tbl>
      <w:tblPr>
        <w:tblStyle w:val="28"/>
        <w:tblW w:w="0" w:type="auto"/>
        <w:tblInd w:w="250" w:type="dxa"/>
        <w:tblLayout w:type="fixed"/>
        <w:tblCellMar>
          <w:top w:w="0" w:type="dxa"/>
          <w:left w:w="108" w:type="dxa"/>
          <w:bottom w:w="0" w:type="dxa"/>
          <w:right w:w="108" w:type="dxa"/>
        </w:tblCellMar>
      </w:tblPr>
      <w:tblGrid>
        <w:gridCol w:w="8789"/>
      </w:tblGrid>
      <w:tr w14:paraId="0351B22F">
        <w:tblPrEx>
          <w:tblCellMar>
            <w:top w:w="0" w:type="dxa"/>
            <w:left w:w="108" w:type="dxa"/>
            <w:bottom w:w="0" w:type="dxa"/>
            <w:right w:w="108" w:type="dxa"/>
          </w:tblCellMar>
        </w:tblPrEx>
        <w:trPr>
          <w:trHeight w:val="680" w:hRule="atLeast"/>
        </w:trPr>
        <w:tc>
          <w:tcPr>
            <w:tcW w:w="8789" w:type="dxa"/>
            <w:noWrap w:val="0"/>
            <w:vAlign w:val="center"/>
          </w:tcPr>
          <w:p w14:paraId="311DC5EC">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cs="宋体"/>
                <w:b/>
                <w:color w:val="auto"/>
                <w:sz w:val="28"/>
                <w:szCs w:val="28"/>
                <w:highlight w:val="none"/>
                <w:lang w:eastAsia="zh-CN"/>
              </w:rPr>
              <w:t>PYCG251021117</w:t>
            </w:r>
            <w:r>
              <w:rPr>
                <w:rFonts w:hint="eastAsia" w:ascii="宋体" w:hAnsi="宋体" w:eastAsia="宋体" w:cs="宋体"/>
                <w:b/>
                <w:color w:val="auto"/>
                <w:sz w:val="28"/>
                <w:szCs w:val="28"/>
                <w:highlight w:val="none"/>
              </w:rPr>
              <w:t xml:space="preserve">   </w:t>
            </w:r>
          </w:p>
        </w:tc>
      </w:tr>
      <w:tr w14:paraId="09CC8C6B">
        <w:tblPrEx>
          <w:tblCellMar>
            <w:top w:w="0" w:type="dxa"/>
            <w:left w:w="108" w:type="dxa"/>
            <w:bottom w:w="0" w:type="dxa"/>
            <w:right w:w="108" w:type="dxa"/>
          </w:tblCellMar>
        </w:tblPrEx>
        <w:trPr>
          <w:trHeight w:val="680" w:hRule="atLeast"/>
        </w:trPr>
        <w:tc>
          <w:tcPr>
            <w:tcW w:w="8789" w:type="dxa"/>
            <w:noWrap w:val="0"/>
            <w:vAlign w:val="center"/>
          </w:tcPr>
          <w:p w14:paraId="2C0431F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5D178E24">
        <w:tblPrEx>
          <w:tblCellMar>
            <w:top w:w="0" w:type="dxa"/>
            <w:left w:w="108" w:type="dxa"/>
            <w:bottom w:w="0" w:type="dxa"/>
            <w:right w:w="108" w:type="dxa"/>
          </w:tblCellMar>
        </w:tblPrEx>
        <w:trPr>
          <w:trHeight w:val="680" w:hRule="atLeast"/>
        </w:trPr>
        <w:tc>
          <w:tcPr>
            <w:tcW w:w="8789" w:type="dxa"/>
            <w:noWrap w:val="0"/>
            <w:vAlign w:val="center"/>
          </w:tcPr>
          <w:p w14:paraId="710570CD">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5644F68E">
        <w:tblPrEx>
          <w:tblCellMar>
            <w:top w:w="0" w:type="dxa"/>
            <w:left w:w="108" w:type="dxa"/>
            <w:bottom w:w="0" w:type="dxa"/>
            <w:right w:w="108" w:type="dxa"/>
          </w:tblCellMar>
        </w:tblPrEx>
        <w:trPr>
          <w:trHeight w:val="680" w:hRule="atLeast"/>
        </w:trPr>
        <w:tc>
          <w:tcPr>
            <w:tcW w:w="8789" w:type="dxa"/>
            <w:noWrap w:val="0"/>
            <w:vAlign w:val="center"/>
          </w:tcPr>
          <w:p w14:paraId="0DE24C89">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法定代表人或其授权代表（签字或签章）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42A2F5FA">
        <w:tblPrEx>
          <w:tblCellMar>
            <w:top w:w="0" w:type="dxa"/>
            <w:left w:w="108" w:type="dxa"/>
            <w:bottom w:w="0" w:type="dxa"/>
            <w:right w:w="108" w:type="dxa"/>
          </w:tblCellMar>
        </w:tblPrEx>
        <w:trPr>
          <w:trHeight w:val="680" w:hRule="atLeast"/>
        </w:trPr>
        <w:tc>
          <w:tcPr>
            <w:tcW w:w="8789" w:type="dxa"/>
            <w:noWrap w:val="0"/>
            <w:vAlign w:val="center"/>
          </w:tcPr>
          <w:p w14:paraId="1E390AA0">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bl>
    <w:p w14:paraId="06FD1C73">
      <w:pPr>
        <w:pStyle w:val="5"/>
        <w:shd w:val="clear" w:color="auto" w:fill="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1.2供应商资格审查声明函</w:t>
      </w:r>
    </w:p>
    <w:p w14:paraId="238E506E">
      <w:pPr>
        <w:shd w:val="clear" w:color="auto" w:fill="auto"/>
        <w:wordWrap w:val="0"/>
        <w:spacing w:line="360" w:lineRule="auto"/>
        <w:jc w:val="center"/>
        <w:rPr>
          <w:rFonts w:hint="eastAsia" w:ascii="宋体" w:hAnsi="宋体" w:eastAsia="宋体" w:cs="宋体"/>
          <w:b/>
          <w:color w:val="auto"/>
          <w:sz w:val="44"/>
          <w:szCs w:val="44"/>
          <w:highlight w:val="none"/>
        </w:rPr>
      </w:pPr>
    </w:p>
    <w:p w14:paraId="3410C992">
      <w:pPr>
        <w:shd w:val="clear" w:color="auto" w:fill="auto"/>
        <w:wordWrap w:val="0"/>
        <w:spacing w:line="360" w:lineRule="auto"/>
        <w:jc w:val="center"/>
        <w:rPr>
          <w:rFonts w:hint="eastAsia" w:ascii="宋体" w:hAnsi="宋体" w:eastAsia="宋体" w:cs="宋体"/>
          <w:color w:val="auto"/>
          <w:highlight w:val="none"/>
        </w:rPr>
      </w:pPr>
      <w:r>
        <w:rPr>
          <w:rFonts w:hint="eastAsia" w:ascii="宋体" w:hAnsi="宋体" w:eastAsia="宋体" w:cs="宋体"/>
          <w:b/>
          <w:color w:val="auto"/>
          <w:sz w:val="44"/>
          <w:szCs w:val="44"/>
          <w:highlight w:val="none"/>
        </w:rPr>
        <w:t>供应商资格审查声明函</w:t>
      </w:r>
    </w:p>
    <w:p w14:paraId="40BC0EF8">
      <w:pPr>
        <w:shd w:val="clear" w:color="auto" w:fill="auto"/>
        <w:wordWrap w:val="0"/>
        <w:spacing w:line="360" w:lineRule="auto"/>
        <w:rPr>
          <w:rFonts w:hint="eastAsia" w:ascii="宋体" w:hAnsi="宋体" w:eastAsia="宋体" w:cs="宋体"/>
          <w:color w:val="auto"/>
          <w:highlight w:val="none"/>
        </w:rPr>
      </w:pPr>
    </w:p>
    <w:p w14:paraId="4571C4F0">
      <w:pPr>
        <w:shd w:val="clear" w:color="auto" w:fill="auto"/>
        <w:wordWrap w:val="0"/>
        <w:spacing w:line="360" w:lineRule="auto"/>
        <w:rPr>
          <w:rFonts w:hint="eastAsia" w:ascii="宋体" w:hAnsi="宋体" w:eastAsia="宋体" w:cs="宋体"/>
          <w:b/>
          <w:color w:val="auto"/>
          <w:w w:val="90"/>
          <w:sz w:val="22"/>
          <w:szCs w:val="22"/>
          <w:highlight w:val="none"/>
          <w:u w:val="single"/>
        </w:rPr>
      </w:pPr>
    </w:p>
    <w:p w14:paraId="4B577DED">
      <w:pPr>
        <w:pStyle w:val="5"/>
        <w:shd w:val="clear" w:color="auto" w:fill="auto"/>
        <w:wordWrap w:val="0"/>
        <w:spacing w:before="0" w:after="0"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平阳县城发城市运营管理有限公司</w:t>
      </w:r>
      <w:r>
        <w:rPr>
          <w:rFonts w:hint="eastAsia" w:ascii="宋体" w:hAnsi="宋体" w:eastAsia="宋体" w:cs="宋体"/>
          <w:color w:val="auto"/>
          <w:sz w:val="22"/>
          <w:szCs w:val="22"/>
          <w:highlight w:val="none"/>
          <w:lang w:eastAsia="zh-CN"/>
        </w:rPr>
        <w:t>：</w:t>
      </w:r>
    </w:p>
    <w:p w14:paraId="42709EC3">
      <w:pPr>
        <w:shd w:val="clear" w:color="auto" w:fill="auto"/>
        <w:wordWrap w:val="0"/>
        <w:spacing w:line="360" w:lineRule="auto"/>
        <w:rPr>
          <w:rFonts w:hint="eastAsia" w:ascii="宋体" w:hAnsi="宋体" w:eastAsia="宋体" w:cs="宋体"/>
          <w:color w:val="auto"/>
          <w:sz w:val="22"/>
          <w:szCs w:val="22"/>
          <w:highlight w:val="none"/>
        </w:rPr>
      </w:pPr>
    </w:p>
    <w:p w14:paraId="03C62353">
      <w:pPr>
        <w:shd w:val="clear" w:color="auto" w:fill="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我公司郑重声明，我公司参加</w:t>
      </w:r>
      <w:r>
        <w:rPr>
          <w:rFonts w:hint="eastAsia" w:ascii="宋体" w:hAnsi="宋体" w:cs="宋体"/>
          <w:color w:val="auto"/>
          <w:sz w:val="22"/>
          <w:szCs w:val="22"/>
          <w:highlight w:val="none"/>
          <w:lang w:eastAsia="zh-CN"/>
        </w:rPr>
        <w:t>昆鳌协同区F-42地块商业综合体项目招商运营服务项目</w:t>
      </w:r>
      <w:r>
        <w:rPr>
          <w:rFonts w:hint="eastAsia" w:ascii="宋体" w:hAnsi="宋体" w:eastAsia="宋体" w:cs="宋体"/>
          <w:b/>
          <w:color w:val="auto"/>
          <w:sz w:val="22"/>
          <w:szCs w:val="22"/>
          <w:highlight w:val="none"/>
          <w:u w:val="single"/>
        </w:rPr>
        <w:t>（项目编号</w:t>
      </w:r>
      <w:r>
        <w:rPr>
          <w:rFonts w:hint="eastAsia" w:ascii="宋体" w:hAnsi="宋体" w:eastAsia="宋体" w:cs="宋体"/>
          <w:b/>
          <w:color w:val="auto"/>
          <w:sz w:val="22"/>
          <w:szCs w:val="22"/>
          <w:highlight w:val="none"/>
          <w:u w:val="single"/>
          <w:lang w:eastAsia="zh-CN"/>
        </w:rPr>
        <w:t>：</w:t>
      </w:r>
      <w:r>
        <w:rPr>
          <w:rFonts w:hint="eastAsia" w:ascii="宋体" w:hAnsi="宋体" w:cs="宋体"/>
          <w:b/>
          <w:color w:val="auto"/>
          <w:sz w:val="22"/>
          <w:szCs w:val="22"/>
          <w:highlight w:val="none"/>
          <w:u w:val="single"/>
          <w:lang w:eastAsia="zh-CN"/>
        </w:rPr>
        <w:t>PYCG251021117</w:t>
      </w:r>
      <w:r>
        <w:rPr>
          <w:rFonts w:hint="eastAsia" w:ascii="宋体" w:hAnsi="宋体" w:cs="宋体"/>
          <w:b/>
          <w:color w:val="auto"/>
          <w:sz w:val="22"/>
          <w:szCs w:val="22"/>
          <w:highlight w:val="none"/>
          <w:u w:val="single"/>
          <w:lang w:val="en-US" w:eastAsia="zh-CN"/>
        </w:rPr>
        <w:t xml:space="preserve">      </w:t>
      </w:r>
      <w:r>
        <w:rPr>
          <w:rFonts w:hint="eastAsia" w:ascii="宋体" w:hAnsi="宋体" w:eastAsia="宋体" w:cs="宋体"/>
          <w:b/>
          <w:color w:val="auto"/>
          <w:sz w:val="22"/>
          <w:szCs w:val="22"/>
          <w:highlight w:val="none"/>
          <w:u w:val="single"/>
        </w:rPr>
        <w:t>）</w:t>
      </w:r>
      <w:r>
        <w:rPr>
          <w:rFonts w:hint="eastAsia" w:ascii="宋体" w:hAnsi="宋体" w:eastAsia="宋体" w:cs="宋体"/>
          <w:color w:val="auto"/>
          <w:sz w:val="22"/>
          <w:szCs w:val="22"/>
          <w:highlight w:val="none"/>
        </w:rPr>
        <w:t>的国企采购活动中所提交的《资格文件》所有内容真实、有效，不存在提供虚假材料的行为。如有违反，愿承担一切责任。</w:t>
      </w:r>
    </w:p>
    <w:p w14:paraId="01BFDDF5">
      <w:pPr>
        <w:shd w:val="clear" w:color="auto" w:fill="auto"/>
        <w:wordWrap w:val="0"/>
        <w:spacing w:line="360" w:lineRule="auto"/>
        <w:ind w:firstLine="440" w:firstLineChars="200"/>
        <w:rPr>
          <w:rFonts w:hint="eastAsia" w:ascii="宋体" w:hAnsi="宋体" w:eastAsia="宋体" w:cs="宋体"/>
          <w:color w:val="auto"/>
          <w:sz w:val="22"/>
          <w:szCs w:val="22"/>
          <w:highlight w:val="none"/>
        </w:rPr>
      </w:pPr>
    </w:p>
    <w:p w14:paraId="5D0ECF28">
      <w:pPr>
        <w:shd w:val="clear" w:color="auto" w:fill="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特此声明！</w:t>
      </w:r>
    </w:p>
    <w:p w14:paraId="29A249EC">
      <w:pPr>
        <w:shd w:val="clear" w:color="auto" w:fill="auto"/>
        <w:wordWrap w:val="0"/>
        <w:spacing w:line="360" w:lineRule="auto"/>
        <w:ind w:firstLine="440" w:firstLineChars="200"/>
        <w:rPr>
          <w:rFonts w:hint="eastAsia" w:ascii="宋体" w:hAnsi="宋体" w:eastAsia="宋体" w:cs="宋体"/>
          <w:color w:val="auto"/>
          <w:sz w:val="22"/>
          <w:szCs w:val="22"/>
          <w:highlight w:val="none"/>
        </w:rPr>
      </w:pPr>
    </w:p>
    <w:p w14:paraId="7344CBF7">
      <w:pPr>
        <w:shd w:val="clear" w:color="auto" w:fill="auto"/>
        <w:wordWrap w:val="0"/>
        <w:spacing w:line="360" w:lineRule="auto"/>
        <w:ind w:firstLine="440" w:firstLineChars="200"/>
        <w:rPr>
          <w:rFonts w:hint="eastAsia" w:ascii="宋体" w:hAnsi="宋体" w:eastAsia="宋体" w:cs="宋体"/>
          <w:color w:val="auto"/>
          <w:sz w:val="22"/>
          <w:szCs w:val="22"/>
          <w:highlight w:val="none"/>
        </w:rPr>
      </w:pPr>
    </w:p>
    <w:p w14:paraId="2367BD88">
      <w:pPr>
        <w:shd w:val="clear" w:color="auto" w:fill="auto"/>
        <w:wordWrap w:val="0"/>
        <w:spacing w:line="360" w:lineRule="auto"/>
        <w:ind w:firstLine="440" w:firstLineChars="200"/>
        <w:rPr>
          <w:rFonts w:hint="eastAsia" w:ascii="宋体" w:hAnsi="宋体" w:eastAsia="宋体" w:cs="宋体"/>
          <w:color w:val="auto"/>
          <w:sz w:val="22"/>
          <w:szCs w:val="22"/>
          <w:highlight w:val="none"/>
        </w:rPr>
      </w:pPr>
    </w:p>
    <w:p w14:paraId="19C5C08C">
      <w:pPr>
        <w:shd w:val="clear" w:color="auto" w:fill="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r>
        <w:rPr>
          <w:rFonts w:hint="eastAsia" w:ascii="宋体" w:hAnsi="宋体" w:eastAsia="宋体" w:cs="宋体"/>
          <w:b/>
          <w:color w:val="auto"/>
          <w:sz w:val="22"/>
          <w:szCs w:val="22"/>
          <w:highlight w:val="none"/>
        </w:rPr>
        <w:t>（盖章）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w w:val="90"/>
          <w:sz w:val="22"/>
          <w:szCs w:val="22"/>
          <w:highlight w:val="none"/>
        </w:rPr>
        <w:t>_________________________________________</w:t>
      </w:r>
    </w:p>
    <w:p w14:paraId="0FA2A4B0">
      <w:pPr>
        <w:shd w:val="clear" w:color="auto" w:fill="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w:t>
      </w:r>
      <w:r>
        <w:rPr>
          <w:rFonts w:hint="eastAsia" w:ascii="宋体" w:hAnsi="宋体" w:eastAsia="宋体" w:cs="宋体"/>
          <w:b/>
          <w:color w:val="auto"/>
          <w:sz w:val="22"/>
          <w:szCs w:val="22"/>
          <w:highlight w:val="none"/>
        </w:rPr>
        <w:t>（签字或签章）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w w:val="90"/>
          <w:sz w:val="22"/>
          <w:szCs w:val="22"/>
          <w:highlight w:val="none"/>
        </w:rPr>
        <w:t>__________________________</w:t>
      </w:r>
    </w:p>
    <w:p w14:paraId="7C53F263">
      <w:pPr>
        <w:shd w:val="clear" w:color="auto" w:fill="auto"/>
        <w:wordWrap w:val="0"/>
        <w:spacing w:line="360" w:lineRule="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w w:val="90"/>
          <w:sz w:val="22"/>
          <w:szCs w:val="22"/>
          <w:highlight w:val="none"/>
        </w:rPr>
        <w:t>________年____月____日</w:t>
      </w:r>
    </w:p>
    <w:p w14:paraId="7FE52CB0">
      <w:pPr>
        <w:shd w:val="clear" w:color="auto" w:fill="auto"/>
        <w:wordWrap w:val="0"/>
        <w:spacing w:line="360" w:lineRule="auto"/>
        <w:rPr>
          <w:rFonts w:hint="eastAsia" w:ascii="宋体" w:hAnsi="宋体" w:eastAsia="宋体" w:cs="宋体"/>
          <w:color w:val="auto"/>
          <w:highlight w:val="none"/>
        </w:rPr>
      </w:pPr>
    </w:p>
    <w:p w14:paraId="16FCF0FC">
      <w:pPr>
        <w:pStyle w:val="5"/>
        <w:shd w:val="clear" w:color="auto" w:fill="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1.3具有独立承担民事责任能力的证明材料</w:t>
      </w:r>
    </w:p>
    <w:p w14:paraId="3E3E4927">
      <w:pPr>
        <w:shd w:val="clear" w:color="auto" w:fill="auto"/>
        <w:wordWrap w:val="0"/>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企业法人营业执照</w:t>
      </w:r>
    </w:p>
    <w:tbl>
      <w:tblPr>
        <w:tblStyle w:val="28"/>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6B160DB3">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145" w:type="dxa"/>
            <w:noWrap w:val="0"/>
            <w:vAlign w:val="center"/>
          </w:tcPr>
          <w:p w14:paraId="55A486A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资格要求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具有独立承担民事责任能力</w:t>
            </w:r>
          </w:p>
          <w:p w14:paraId="624F467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highlight w:val="none"/>
              </w:rPr>
            </w:pPr>
          </w:p>
          <w:p w14:paraId="1527A00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证明材料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企业营业执照（提供复</w:t>
            </w:r>
            <w:r>
              <w:rPr>
                <w:rFonts w:hint="eastAsia" w:ascii="宋体" w:hAnsi="宋体" w:cs="宋体"/>
                <w:color w:val="auto"/>
                <w:highlight w:val="none"/>
                <w:lang w:val="en-US" w:eastAsia="zh-CN"/>
              </w:rPr>
              <w:t>印</w:t>
            </w:r>
            <w:r>
              <w:rPr>
                <w:rFonts w:hint="eastAsia" w:ascii="宋体" w:hAnsi="宋体" w:eastAsia="宋体" w:cs="宋体"/>
                <w:color w:val="auto"/>
                <w:highlight w:val="none"/>
              </w:rPr>
              <w:t>件加盖供应商公章）或供应商为依法允许经营的事业单位的，应提交事业单位法人证书（提供复</w:t>
            </w:r>
            <w:r>
              <w:rPr>
                <w:rFonts w:hint="eastAsia" w:ascii="宋体" w:hAnsi="宋体" w:cs="宋体"/>
                <w:color w:val="auto"/>
                <w:highlight w:val="none"/>
                <w:lang w:val="en-US" w:eastAsia="zh-CN"/>
              </w:rPr>
              <w:t>印</w:t>
            </w:r>
            <w:r>
              <w:rPr>
                <w:rFonts w:hint="eastAsia" w:ascii="宋体" w:hAnsi="宋体" w:eastAsia="宋体" w:cs="宋体"/>
                <w:color w:val="auto"/>
                <w:highlight w:val="none"/>
              </w:rPr>
              <w:t>件加盖供应商公章）</w:t>
            </w:r>
          </w:p>
          <w:p w14:paraId="3F49099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highlight w:val="none"/>
              </w:rPr>
            </w:pPr>
          </w:p>
          <w:p w14:paraId="64CB86E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w:t>
            </w:r>
            <w:r>
              <w:rPr>
                <w:rFonts w:hint="eastAsia" w:ascii="宋体" w:hAnsi="宋体" w:cs="宋体"/>
                <w:color w:val="auto"/>
                <w:highlight w:val="none"/>
                <w:lang w:val="en-US" w:eastAsia="zh-CN"/>
              </w:rPr>
              <w:t>印</w:t>
            </w:r>
            <w:r>
              <w:rPr>
                <w:rFonts w:hint="eastAsia" w:ascii="宋体" w:hAnsi="宋体" w:eastAsia="宋体" w:cs="宋体"/>
                <w:color w:val="auto"/>
                <w:highlight w:val="none"/>
              </w:rPr>
              <w:t>件加盖供应商公章）。</w:t>
            </w:r>
          </w:p>
          <w:p w14:paraId="552D4281">
            <w:pPr>
              <w:pStyle w:val="12"/>
              <w:keepNext w:val="0"/>
              <w:keepLines w:val="0"/>
              <w:suppressLineNumbers w:val="0"/>
              <w:shd w:val="clear" w:color="auto" w:fill="auto"/>
              <w:wordWrap w:val="0"/>
              <w:spacing w:before="0" w:beforeAutospacing="0" w:after="0" w:afterAutospacing="0" w:line="360" w:lineRule="auto"/>
              <w:ind w:right="0"/>
              <w:rPr>
                <w:rFonts w:hint="eastAsia" w:ascii="宋体" w:hAnsi="宋体" w:eastAsia="宋体" w:cs="宋体"/>
                <w:color w:val="auto"/>
                <w:highlight w:val="none"/>
              </w:rPr>
            </w:pPr>
          </w:p>
        </w:tc>
      </w:tr>
    </w:tbl>
    <w:p w14:paraId="61291C4A">
      <w:pPr>
        <w:shd w:val="clear" w:color="auto" w:fill="auto"/>
        <w:wordWrap w:val="0"/>
        <w:spacing w:line="360" w:lineRule="auto"/>
        <w:rPr>
          <w:rFonts w:hint="eastAsia" w:ascii="宋体" w:hAnsi="宋体" w:eastAsia="宋体" w:cs="宋体"/>
          <w:i/>
          <w:color w:val="auto"/>
          <w:sz w:val="22"/>
          <w:szCs w:val="22"/>
          <w:highlight w:val="none"/>
        </w:rPr>
      </w:pPr>
    </w:p>
    <w:p w14:paraId="7D7B331F">
      <w:pPr>
        <w:pStyle w:val="5"/>
        <w:shd w:val="clear" w:color="auto" w:fill="auto"/>
        <w:spacing w:before="0" w:after="0"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br w:type="page"/>
      </w:r>
      <w:r>
        <w:rPr>
          <w:rFonts w:hint="eastAsia" w:ascii="宋体" w:hAnsi="宋体" w:eastAsia="宋体" w:cs="宋体"/>
          <w:color w:val="auto"/>
          <w:highlight w:val="none"/>
        </w:rPr>
        <w:t>1.4供应商符合参与国企采购活动资格条件的声明函</w:t>
      </w:r>
      <w:r>
        <w:rPr>
          <w:rFonts w:hint="eastAsia" w:ascii="宋体" w:hAnsi="宋体" w:eastAsia="宋体" w:cs="宋体"/>
          <w:color w:val="auto"/>
          <w:highlight w:val="none"/>
          <w:lang w:eastAsia="zh-CN"/>
        </w:rPr>
        <w:t>：</w:t>
      </w:r>
    </w:p>
    <w:p w14:paraId="66692B28">
      <w:pPr>
        <w:shd w:val="clear" w:color="auto" w:fill="auto"/>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声明函</w:t>
      </w:r>
    </w:p>
    <w:p w14:paraId="1D9A6A13">
      <w:pPr>
        <w:shd w:val="clear" w:color="auto" w:fill="auto"/>
        <w:spacing w:line="360" w:lineRule="auto"/>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u w:val="single"/>
        </w:rPr>
        <w:t>（采购人）</w:t>
      </w:r>
      <w:r>
        <w:rPr>
          <w:rFonts w:hint="eastAsia" w:ascii="宋体" w:hAnsi="宋体" w:eastAsia="宋体" w:cs="宋体"/>
          <w:color w:val="auto"/>
          <w:sz w:val="22"/>
          <w:szCs w:val="22"/>
          <w:highlight w:val="none"/>
          <w:u w:val="single"/>
          <w:lang w:eastAsia="zh-CN"/>
        </w:rPr>
        <w:t>：</w:t>
      </w:r>
    </w:p>
    <w:p w14:paraId="249F56F1">
      <w:pPr>
        <w:pStyle w:val="10"/>
        <w:shd w:val="clear" w:color="auto" w:fill="auto"/>
        <w:spacing w:line="360" w:lineRule="auto"/>
        <w:rPr>
          <w:rFonts w:hint="eastAsia" w:ascii="宋体" w:hAnsi="宋体" w:eastAsia="宋体" w:cs="宋体"/>
          <w:color w:val="auto"/>
          <w:sz w:val="22"/>
          <w:szCs w:val="22"/>
          <w:highlight w:val="none"/>
        </w:rPr>
      </w:pPr>
    </w:p>
    <w:p w14:paraId="4E5C41C7">
      <w:pPr>
        <w:pStyle w:val="26"/>
        <w:shd w:val="clear" w:color="auto" w:fill="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我方</w:t>
      </w:r>
      <w:r>
        <w:rPr>
          <w:rFonts w:hint="eastAsia" w:ascii="宋体" w:hAnsi="宋体" w:eastAsia="宋体" w:cs="宋体"/>
          <w:color w:val="auto"/>
          <w:sz w:val="22"/>
          <w:szCs w:val="22"/>
          <w:highlight w:val="none"/>
          <w:u w:val="single"/>
        </w:rPr>
        <w:t xml:space="preserve">    </w:t>
      </w:r>
      <w:r>
        <w:rPr>
          <w:rFonts w:hint="eastAsia" w:ascii="宋体" w:hAnsi="宋体" w:eastAsia="宋体" w:cs="宋体"/>
          <w:i/>
          <w:iCs/>
          <w:color w:val="auto"/>
          <w:sz w:val="22"/>
          <w:szCs w:val="22"/>
          <w:highlight w:val="none"/>
          <w:u w:val="single"/>
        </w:rPr>
        <w:t>（</w:t>
      </w:r>
      <w:r>
        <w:rPr>
          <w:rFonts w:hint="eastAsia" w:ascii="宋体" w:hAnsi="宋体" w:eastAsia="宋体" w:cs="宋体"/>
          <w:i/>
          <w:iCs/>
          <w:color w:val="auto"/>
          <w:sz w:val="22"/>
          <w:szCs w:val="22"/>
          <w:highlight w:val="none"/>
          <w:u w:val="single"/>
          <w:lang w:eastAsia="zh-CN"/>
        </w:rPr>
        <w:t>投标供应商</w:t>
      </w:r>
      <w:r>
        <w:rPr>
          <w:rFonts w:hint="eastAsia" w:ascii="宋体" w:hAnsi="宋体" w:eastAsia="宋体" w:cs="宋体"/>
          <w:i/>
          <w:iCs/>
          <w:color w:val="auto"/>
          <w:sz w:val="22"/>
          <w:szCs w:val="22"/>
          <w:highlight w:val="none"/>
          <w:u w:val="single"/>
        </w:rPr>
        <w:t>全称）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参与</w:t>
      </w:r>
      <w:r>
        <w:rPr>
          <w:rFonts w:hint="eastAsia" w:ascii="宋体" w:hAnsi="宋体" w:eastAsia="宋体" w:cs="宋体"/>
          <w:color w:val="auto"/>
          <w:sz w:val="22"/>
          <w:szCs w:val="22"/>
          <w:highlight w:val="none"/>
          <w:u w:val="single"/>
        </w:rPr>
        <w:t xml:space="preserve">    </w:t>
      </w:r>
      <w:r>
        <w:rPr>
          <w:rFonts w:hint="eastAsia" w:ascii="宋体" w:hAnsi="宋体" w:eastAsia="宋体" w:cs="宋体"/>
          <w:i/>
          <w:iCs/>
          <w:color w:val="auto"/>
          <w:sz w:val="22"/>
          <w:szCs w:val="22"/>
          <w:highlight w:val="none"/>
          <w:u w:val="single"/>
        </w:rPr>
        <w:t xml:space="preserve">  （项目名称）   </w:t>
      </w:r>
      <w:r>
        <w:rPr>
          <w:rFonts w:hint="eastAsia" w:ascii="宋体" w:hAnsi="宋体" w:eastAsia="宋体" w:cs="宋体"/>
          <w:color w:val="auto"/>
          <w:sz w:val="22"/>
          <w:szCs w:val="22"/>
          <w:highlight w:val="none"/>
        </w:rPr>
        <w:t>国企采购活动，针对《平阳县县属国有企业采购管理办法（试行）》第十四条所述条件做如下承诺</w:t>
      </w:r>
      <w:r>
        <w:rPr>
          <w:rFonts w:hint="eastAsia" w:ascii="宋体" w:hAnsi="宋体" w:eastAsia="宋体" w:cs="宋体"/>
          <w:color w:val="auto"/>
          <w:sz w:val="22"/>
          <w:szCs w:val="22"/>
          <w:highlight w:val="none"/>
          <w:lang w:eastAsia="zh-CN"/>
        </w:rPr>
        <w:t>：</w:t>
      </w:r>
    </w:p>
    <w:p w14:paraId="0AF2BF6D">
      <w:pPr>
        <w:pStyle w:val="26"/>
        <w:shd w:val="clear" w:color="auto" w:fill="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1.我方具有独立承担民事责任的能力；</w:t>
      </w:r>
    </w:p>
    <w:p w14:paraId="44F1741B">
      <w:pPr>
        <w:pStyle w:val="26"/>
        <w:shd w:val="clear" w:color="auto" w:fill="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2.我方具有良好的商业信誉和健全的财务会计制度；</w:t>
      </w:r>
    </w:p>
    <w:p w14:paraId="394BB1DC">
      <w:pPr>
        <w:pStyle w:val="26"/>
        <w:shd w:val="clear" w:color="auto" w:fill="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3.我方具有履行合同所必需的设备和专业技术、售后保障等能力；</w:t>
      </w:r>
    </w:p>
    <w:p w14:paraId="73140A53">
      <w:pPr>
        <w:pStyle w:val="26"/>
        <w:shd w:val="clear" w:color="auto" w:fill="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4.我方有依法缴纳税收和社会保障资金的良好记录；</w:t>
      </w:r>
    </w:p>
    <w:p w14:paraId="1418B02C">
      <w:pPr>
        <w:pStyle w:val="26"/>
        <w:shd w:val="clear" w:color="auto" w:fill="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1C46A37F">
      <w:pPr>
        <w:pStyle w:val="26"/>
        <w:shd w:val="clear" w:color="auto" w:fill="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6.我方与参加本次项目同一合同项下政府采购活动的其他供应商不存在单位负责人为同一人或者直接控股、管理关系。</w:t>
      </w:r>
    </w:p>
    <w:p w14:paraId="04C9BA81">
      <w:pPr>
        <w:pStyle w:val="26"/>
        <w:shd w:val="clear" w:color="auto" w:fill="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7.我方未被“信用中国”（www.creditchina.gov.cn）、中国政府采购网（www.ccgp.gov.cn）列入失信被执行人名单、重大税收违法案件当事人名单、政府采购严重违法失信行为记录名单</w:t>
      </w:r>
    </w:p>
    <w:p w14:paraId="1D87482C">
      <w:pPr>
        <w:pStyle w:val="26"/>
        <w:shd w:val="clear" w:color="auto" w:fill="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对上述承诺内容的真实性负责。我公司郑重声明，我公司参加本次政府采购活动中所提交的《资格文件》所有内容真实、有效，不存在提供虚假材料的行为。如有违反，愿承担一切责任。如有虚假，将依法承担相应责任。</w:t>
      </w:r>
    </w:p>
    <w:p w14:paraId="6325F1C1">
      <w:pPr>
        <w:pStyle w:val="26"/>
        <w:shd w:val="clear" w:color="auto" w:fill="auto"/>
        <w:spacing w:before="0" w:beforeAutospacing="0" w:after="0" w:afterAutospacing="0" w:line="360" w:lineRule="auto"/>
        <w:ind w:left="400" w:firstLine="440" w:firstLineChars="200"/>
        <w:rPr>
          <w:rFonts w:hint="eastAsia" w:ascii="宋体" w:hAnsi="宋体" w:eastAsia="宋体" w:cs="宋体"/>
          <w:bCs/>
          <w:color w:val="auto"/>
          <w:sz w:val="22"/>
          <w:szCs w:val="22"/>
          <w:highlight w:val="none"/>
        </w:rPr>
      </w:pPr>
    </w:p>
    <w:p w14:paraId="6C756DBD">
      <w:pPr>
        <w:pStyle w:val="26"/>
        <w:shd w:val="clear" w:color="auto" w:fill="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供应商名称（盖章）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5D55EA51">
      <w:pPr>
        <w:pStyle w:val="26"/>
        <w:shd w:val="clear" w:color="auto" w:fill="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364383CC">
      <w:pPr>
        <w:shd w:val="clear" w:color="auto" w:fill="auto"/>
        <w:spacing w:line="360" w:lineRule="auto"/>
        <w:ind w:firstLine="880" w:firstLineChars="400"/>
        <w:rPr>
          <w:rFonts w:hint="eastAsia" w:ascii="宋体" w:hAnsi="宋体" w:eastAsia="宋体" w:cs="宋体"/>
          <w:color w:val="auto"/>
          <w:w w:val="90"/>
          <w:sz w:val="22"/>
          <w:szCs w:val="2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年  月  日 </w:t>
      </w:r>
    </w:p>
    <w:p w14:paraId="0CF00E81">
      <w:pPr>
        <w:pStyle w:val="5"/>
        <w:shd w:val="clear" w:color="auto" w:fill="auto"/>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w:t>
      </w:r>
      <w:r>
        <w:rPr>
          <w:rFonts w:hint="eastAsia" w:ascii="宋体" w:hAnsi="宋体" w:cs="宋体"/>
          <w:color w:val="auto"/>
          <w:highlight w:val="none"/>
          <w:lang w:val="en-US" w:eastAsia="zh-CN"/>
        </w:rPr>
        <w:t>5特定资格要求</w:t>
      </w:r>
    </w:p>
    <w:tbl>
      <w:tblPr>
        <w:tblStyle w:val="28"/>
        <w:tblW w:w="9072" w:type="dxa"/>
        <w:tblInd w:w="25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072"/>
      </w:tblGrid>
      <w:tr w14:paraId="2FD66CCE">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1801" w:hRule="atLeast"/>
        </w:trPr>
        <w:tc>
          <w:tcPr>
            <w:tcW w:w="9072" w:type="dxa"/>
            <w:noWrap w:val="0"/>
            <w:vAlign w:val="center"/>
          </w:tcPr>
          <w:p w14:paraId="78B34470">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2"/>
                <w:szCs w:val="22"/>
                <w:lang w:eastAsia="zh-CN"/>
              </w:rPr>
            </w:pPr>
            <w:r>
              <w:rPr>
                <w:rFonts w:hint="eastAsia" w:ascii="宋体" w:hAnsi="宋体" w:eastAsia="宋体" w:cs="宋体"/>
                <w:bCs/>
                <w:color w:val="auto"/>
                <w:sz w:val="22"/>
                <w:szCs w:val="22"/>
              </w:rPr>
              <w:t>特定资格要求</w:t>
            </w:r>
            <w:r>
              <w:rPr>
                <w:rFonts w:hint="eastAsia" w:ascii="宋体" w:hAnsi="宋体" w:cs="宋体"/>
                <w:bCs/>
                <w:color w:val="auto"/>
                <w:sz w:val="22"/>
                <w:szCs w:val="22"/>
                <w:lang w:eastAsia="zh-CN"/>
              </w:rPr>
              <w:t>：</w:t>
            </w:r>
          </w:p>
          <w:p w14:paraId="461AC88D">
            <w:pPr>
              <w:pStyle w:val="7"/>
              <w:keepNext w:val="0"/>
              <w:keepLines w:val="0"/>
              <w:suppressLineNumbers w:val="0"/>
              <w:spacing w:before="0" w:beforeAutospacing="0" w:after="0" w:afterAutospacing="0"/>
              <w:ind w:left="0" w:right="0"/>
              <w:rPr>
                <w:rFonts w:hint="default"/>
                <w:color w:val="auto"/>
              </w:rPr>
            </w:pPr>
            <w:r>
              <w:rPr>
                <w:rFonts w:hint="eastAsia" w:ascii="宋体" w:hAnsi="宋体" w:cs="宋体"/>
                <w:b w:val="0"/>
                <w:bCs w:val="0"/>
                <w:color w:val="auto"/>
                <w:sz w:val="22"/>
                <w:szCs w:val="22"/>
                <w:highlight w:val="none"/>
                <w:lang w:val="en-US" w:eastAsia="zh-CN"/>
              </w:rPr>
              <w:t>业绩要求：投标人在管理的建筑面积不低于</w:t>
            </w:r>
            <w:r>
              <w:rPr>
                <w:rFonts w:hint="eastAsia" w:ascii="宋体" w:hAnsi="宋体" w:cs="宋体"/>
                <w:b/>
                <w:bCs/>
                <w:color w:val="auto"/>
                <w:sz w:val="22"/>
                <w:szCs w:val="22"/>
                <w:highlight w:val="none"/>
                <w:lang w:val="en-US" w:eastAsia="zh-CN"/>
              </w:rPr>
              <w:t>3.5万平方米</w:t>
            </w:r>
            <w:r>
              <w:rPr>
                <w:rFonts w:hint="eastAsia" w:ascii="宋体" w:hAnsi="宋体" w:cs="宋体"/>
                <w:b w:val="0"/>
                <w:bCs w:val="0"/>
                <w:color w:val="auto"/>
                <w:sz w:val="22"/>
                <w:szCs w:val="22"/>
                <w:highlight w:val="none"/>
                <w:lang w:val="en-US" w:eastAsia="zh-CN"/>
              </w:rPr>
              <w:t>的商业项目业绩不少于1个。（业绩为商业项目委托运营或自营均可。自营的提供产权证明或租赁登记备案证明，以及相应的商业项目营业执照复</w:t>
            </w:r>
            <w:r>
              <w:rPr>
                <w:rFonts w:hint="eastAsia" w:ascii="宋体" w:hAnsi="宋体" w:cs="宋体"/>
                <w:color w:val="auto"/>
                <w:highlight w:val="none"/>
                <w:lang w:val="en-US" w:eastAsia="zh-CN"/>
              </w:rPr>
              <w:t>印</w:t>
            </w:r>
            <w:r>
              <w:rPr>
                <w:rFonts w:hint="eastAsia" w:ascii="宋体" w:hAnsi="宋体" w:cs="宋体"/>
                <w:b w:val="0"/>
                <w:bCs w:val="0"/>
                <w:color w:val="auto"/>
                <w:sz w:val="22"/>
                <w:szCs w:val="22"/>
                <w:highlight w:val="none"/>
                <w:lang w:val="en-US" w:eastAsia="zh-CN"/>
              </w:rPr>
              <w:t>件并加盖公章；委托运营管理的提供投标人为被委托人的管理服务合同复</w:t>
            </w:r>
            <w:r>
              <w:rPr>
                <w:rFonts w:hint="eastAsia" w:ascii="宋体" w:hAnsi="宋体" w:cs="宋体"/>
                <w:color w:val="auto"/>
                <w:highlight w:val="none"/>
                <w:lang w:val="en-US" w:eastAsia="zh-CN"/>
              </w:rPr>
              <w:t>印</w:t>
            </w:r>
            <w:r>
              <w:rPr>
                <w:rFonts w:hint="eastAsia" w:ascii="宋体" w:hAnsi="宋体" w:cs="宋体"/>
                <w:b w:val="0"/>
                <w:bCs w:val="0"/>
                <w:color w:val="auto"/>
                <w:sz w:val="22"/>
                <w:szCs w:val="22"/>
                <w:highlight w:val="none"/>
                <w:lang w:val="en-US" w:eastAsia="zh-CN"/>
              </w:rPr>
              <w:t>件并加盖公章。）</w:t>
            </w:r>
          </w:p>
          <w:p w14:paraId="547EE940">
            <w:pPr>
              <w:pStyle w:val="48"/>
              <w:keepNext w:val="0"/>
              <w:keepLines w:val="0"/>
              <w:suppressLineNumbers w:val="0"/>
              <w:spacing w:before="0" w:beforeAutospacing="0" w:after="0" w:afterAutospacing="0"/>
              <w:ind w:left="0" w:right="0"/>
              <w:rPr>
                <w:rFonts w:hint="default"/>
                <w:color w:val="auto"/>
              </w:rPr>
            </w:pPr>
          </w:p>
        </w:tc>
      </w:tr>
    </w:tbl>
    <w:p w14:paraId="2B3A0E05">
      <w:pPr>
        <w:widowControl/>
        <w:shd w:val="clear" w:color="auto" w:fill="auto"/>
        <w:tabs>
          <w:tab w:val="left" w:pos="360"/>
        </w:tabs>
        <w:snapToGrid w:val="0"/>
        <w:spacing w:line="360" w:lineRule="auto"/>
        <w:ind w:left="360"/>
        <w:jc w:val="left"/>
        <w:rPr>
          <w:rFonts w:hint="eastAsia" w:ascii="宋体" w:hAnsi="宋体" w:eastAsia="宋体" w:cs="宋体"/>
          <w:b/>
          <w:color w:val="auto"/>
          <w:sz w:val="22"/>
          <w:szCs w:val="22"/>
          <w:highlight w:val="none"/>
        </w:rPr>
      </w:pPr>
    </w:p>
    <w:p w14:paraId="5B276C0C">
      <w:pPr>
        <w:pStyle w:val="7"/>
        <w:rPr>
          <w:rFonts w:hint="eastAsia" w:ascii="宋体" w:hAnsi="宋体" w:eastAsia="宋体" w:cs="宋体"/>
          <w:b/>
          <w:color w:val="auto"/>
          <w:sz w:val="22"/>
          <w:szCs w:val="22"/>
          <w:highlight w:val="none"/>
        </w:rPr>
      </w:pPr>
    </w:p>
    <w:p w14:paraId="308A3766">
      <w:pPr>
        <w:rPr>
          <w:rFonts w:hint="eastAsia" w:ascii="宋体" w:hAnsi="宋体" w:eastAsia="宋体" w:cs="宋体"/>
          <w:b/>
          <w:color w:val="auto"/>
          <w:sz w:val="22"/>
          <w:szCs w:val="22"/>
          <w:highlight w:val="none"/>
        </w:rPr>
      </w:pPr>
    </w:p>
    <w:p w14:paraId="3B0533BE">
      <w:pPr>
        <w:pStyle w:val="7"/>
        <w:rPr>
          <w:rFonts w:hint="eastAsia" w:ascii="宋体" w:hAnsi="宋体" w:eastAsia="宋体" w:cs="宋体"/>
          <w:b/>
          <w:color w:val="auto"/>
          <w:sz w:val="22"/>
          <w:szCs w:val="22"/>
          <w:highlight w:val="none"/>
        </w:rPr>
      </w:pPr>
    </w:p>
    <w:p w14:paraId="44DE0F52">
      <w:pPr>
        <w:pStyle w:val="5"/>
        <w:shd w:val="clear" w:color="auto" w:fill="auto"/>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6</w:t>
      </w:r>
      <w:r>
        <w:rPr>
          <w:rFonts w:hint="eastAsia" w:ascii="宋体" w:hAnsi="宋体" w:eastAsia="宋体" w:cs="宋体"/>
          <w:color w:val="auto"/>
          <w:highlight w:val="none"/>
        </w:rPr>
        <w:t>法定代表人授权书</w:t>
      </w:r>
    </w:p>
    <w:p w14:paraId="0B33572D">
      <w:pPr>
        <w:widowControl/>
        <w:shd w:val="clear" w:color="auto" w:fill="auto"/>
        <w:autoSpaceDE w:val="0"/>
        <w:autoSpaceDN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法定代表人授权书</w:t>
      </w:r>
    </w:p>
    <w:p w14:paraId="4C10FEBD">
      <w:pPr>
        <w:widowControl/>
        <w:shd w:val="clear" w:color="auto" w:fill="auto"/>
        <w:autoSpaceDE w:val="0"/>
        <w:autoSpaceDN w:val="0"/>
        <w:snapToGrid w:val="0"/>
        <w:spacing w:line="360" w:lineRule="auto"/>
        <w:jc w:val="left"/>
        <w:rPr>
          <w:rFonts w:hint="eastAsia" w:ascii="宋体" w:hAnsi="宋体" w:eastAsia="宋体" w:cs="宋体"/>
          <w:color w:val="auto"/>
          <w:sz w:val="24"/>
          <w:highlight w:val="none"/>
        </w:rPr>
      </w:pPr>
    </w:p>
    <w:p w14:paraId="466EADCB">
      <w:pPr>
        <w:widowControl/>
        <w:shd w:val="clear" w:color="auto" w:fill="auto"/>
        <w:snapToGrid w:val="0"/>
        <w:spacing w:line="360" w:lineRule="auto"/>
        <w:jc w:val="left"/>
        <w:rPr>
          <w:rFonts w:hint="eastAsia" w:ascii="宋体" w:hAnsi="宋体" w:eastAsia="宋体" w:cs="宋体"/>
          <w:color w:val="auto"/>
          <w:highlight w:val="none"/>
          <w:u w:val="single"/>
        </w:rPr>
      </w:pPr>
    </w:p>
    <w:p w14:paraId="0FBF993B">
      <w:pPr>
        <w:widowControl/>
        <w:shd w:val="clear" w:color="auto" w:fill="auto"/>
        <w:snapToGrid w:val="0"/>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平阳县城发城市运营管理有限公司：</w:t>
      </w:r>
    </w:p>
    <w:p w14:paraId="0213CC5B">
      <w:pPr>
        <w:widowControl/>
        <w:shd w:val="clear" w:color="auto" w:fill="auto"/>
        <w:snapToGrid w:val="0"/>
        <w:spacing w:line="360" w:lineRule="auto"/>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本授权委托书声明</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我</w:t>
      </w:r>
      <w:r>
        <w:rPr>
          <w:rFonts w:hint="eastAsia" w:ascii="宋体" w:hAnsi="宋体" w:eastAsia="宋体" w:cs="宋体"/>
          <w:color w:val="auto"/>
          <w:sz w:val="22"/>
          <w:szCs w:val="22"/>
          <w:highlight w:val="none"/>
          <w:u w:val="single"/>
        </w:rPr>
        <w:t xml:space="preserve">   （法定代表人姓名）   </w:t>
      </w:r>
      <w:r>
        <w:rPr>
          <w:rFonts w:hint="eastAsia" w:ascii="宋体" w:hAnsi="宋体" w:eastAsia="宋体" w:cs="宋体"/>
          <w:color w:val="auto"/>
          <w:sz w:val="22"/>
          <w:szCs w:val="22"/>
          <w:highlight w:val="none"/>
        </w:rPr>
        <w:t>系</w:t>
      </w:r>
      <w:r>
        <w:rPr>
          <w:rFonts w:hint="eastAsia" w:ascii="宋体" w:hAnsi="宋体" w:eastAsia="宋体" w:cs="宋体"/>
          <w:color w:val="auto"/>
          <w:sz w:val="22"/>
          <w:szCs w:val="22"/>
          <w:highlight w:val="none"/>
          <w:u w:val="single"/>
        </w:rPr>
        <w:t xml:space="preserve">   （供应商名称）  </w:t>
      </w:r>
      <w:r>
        <w:rPr>
          <w:rFonts w:hint="eastAsia" w:ascii="宋体" w:hAnsi="宋体" w:eastAsia="宋体" w:cs="宋体"/>
          <w:color w:val="auto"/>
          <w:sz w:val="22"/>
          <w:szCs w:val="22"/>
          <w:highlight w:val="none"/>
        </w:rPr>
        <w:t>的法定代表人，现授权委托</w:t>
      </w:r>
      <w:r>
        <w:rPr>
          <w:rFonts w:hint="eastAsia" w:ascii="宋体" w:hAnsi="宋体" w:eastAsia="宋体" w:cs="宋体"/>
          <w:color w:val="auto"/>
          <w:sz w:val="22"/>
          <w:szCs w:val="22"/>
          <w:highlight w:val="none"/>
          <w:u w:val="single"/>
        </w:rPr>
        <w:t xml:space="preserve">  （单 位 名 称）   </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 xml:space="preserve">  （授权代表姓名）  </w:t>
      </w:r>
      <w:r>
        <w:rPr>
          <w:rFonts w:hint="eastAsia" w:ascii="宋体" w:hAnsi="宋体" w:eastAsia="宋体" w:cs="宋体"/>
          <w:color w:val="auto"/>
          <w:sz w:val="22"/>
          <w:szCs w:val="22"/>
          <w:highlight w:val="none"/>
        </w:rPr>
        <w:t>为我公司法定代表人授权代表，参加贵处组织的</w:t>
      </w:r>
      <w:r>
        <w:rPr>
          <w:rFonts w:hint="eastAsia" w:ascii="宋体" w:hAnsi="宋体" w:eastAsia="宋体" w:cs="宋体"/>
          <w:color w:val="auto"/>
          <w:sz w:val="22"/>
          <w:szCs w:val="22"/>
          <w:highlight w:val="none"/>
          <w:u w:val="single"/>
        </w:rPr>
        <w:t xml:space="preserve"> 项目名称（括号中填写项目编号）   </w:t>
      </w:r>
      <w:r>
        <w:rPr>
          <w:rFonts w:hint="eastAsia" w:ascii="宋体" w:hAnsi="宋体" w:eastAsia="宋体" w:cs="宋体"/>
          <w:color w:val="auto"/>
          <w:sz w:val="22"/>
          <w:szCs w:val="22"/>
          <w:highlight w:val="none"/>
        </w:rPr>
        <w:t>项目投标，全权处理本次招投标活动中的一切事宜，我承认授权代表全权代表我所签署的本项目的投标文件的内容。</w:t>
      </w:r>
    </w:p>
    <w:p w14:paraId="3E04144B">
      <w:pPr>
        <w:widowControl/>
        <w:shd w:val="clear" w:color="auto" w:fill="auto"/>
        <w:snapToGrid w:val="0"/>
        <w:spacing w:line="360" w:lineRule="auto"/>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授权代表无转授权，特此授权</w:t>
      </w:r>
    </w:p>
    <w:p w14:paraId="48C93DC8">
      <w:pPr>
        <w:widowControl/>
        <w:shd w:val="clear" w:color="auto" w:fill="auto"/>
        <w:snapToGrid w:val="0"/>
        <w:spacing w:line="360" w:lineRule="auto"/>
        <w:ind w:left="1260"/>
        <w:jc w:val="left"/>
        <w:rPr>
          <w:rFonts w:hint="eastAsia" w:ascii="宋体" w:hAnsi="宋体" w:eastAsia="宋体" w:cs="宋体"/>
          <w:color w:val="auto"/>
          <w:sz w:val="22"/>
          <w:szCs w:val="22"/>
          <w:highlight w:val="none"/>
        </w:rPr>
      </w:pPr>
    </w:p>
    <w:p w14:paraId="291DD7D1">
      <w:pPr>
        <w:widowControl/>
        <w:shd w:val="clear" w:color="auto" w:fill="auto"/>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授权代表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性别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年龄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198CB7A3">
      <w:pPr>
        <w:widowControl/>
        <w:shd w:val="clear" w:color="auto" w:fill="auto"/>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身份证号码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职务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3774F22F">
      <w:pPr>
        <w:widowControl/>
        <w:shd w:val="clear" w:color="auto" w:fill="auto"/>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详细通讯地址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邮政编码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041EF36D">
      <w:pPr>
        <w:widowControl/>
        <w:shd w:val="clear" w:color="auto" w:fill="auto"/>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传真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21C391EF">
      <w:pPr>
        <w:widowControl/>
        <w:shd w:val="clear" w:color="auto" w:fill="auto"/>
        <w:snapToGrid w:val="0"/>
        <w:spacing w:line="360" w:lineRule="auto"/>
        <w:ind w:left="2098"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004B125E">
      <w:pPr>
        <w:widowControl/>
        <w:shd w:val="clear" w:color="auto" w:fill="auto"/>
        <w:snapToGrid w:val="0"/>
        <w:spacing w:line="360" w:lineRule="auto"/>
        <w:ind w:left="2098" w:right="440"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（盖章）</w:t>
      </w:r>
    </w:p>
    <w:p w14:paraId="0B3C9E61">
      <w:pPr>
        <w:widowControl/>
        <w:shd w:val="clear" w:color="auto" w:fill="auto"/>
        <w:snapToGrid w:val="0"/>
        <w:spacing w:line="360" w:lineRule="auto"/>
        <w:ind w:left="2098" w:right="440"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（签字或盖章）</w:t>
      </w:r>
    </w:p>
    <w:p w14:paraId="44B3FA4C">
      <w:pPr>
        <w:widowControl/>
        <w:shd w:val="clear" w:color="auto" w:fill="auto"/>
        <w:snapToGrid w:val="0"/>
        <w:spacing w:line="360" w:lineRule="auto"/>
        <w:jc w:val="left"/>
        <w:rPr>
          <w:rFonts w:hint="eastAsia" w:ascii="宋体" w:hAnsi="宋体" w:eastAsia="宋体" w:cs="宋体"/>
          <w:color w:val="auto"/>
          <w:sz w:val="22"/>
          <w:szCs w:val="22"/>
          <w:highlight w:val="none"/>
        </w:rPr>
      </w:pPr>
    </w:p>
    <w:p w14:paraId="25B2858B">
      <w:pPr>
        <w:widowControl/>
        <w:shd w:val="clear" w:color="auto" w:fill="auto"/>
        <w:snapToGrid w:val="0"/>
        <w:spacing w:line="360" w:lineRule="auto"/>
        <w:ind w:left="2098" w:right="440"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授权委托日期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年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bl>
      <w:tblPr>
        <w:tblStyle w:val="28"/>
        <w:tblW w:w="0" w:type="auto"/>
        <w:tblInd w:w="108" w:type="dxa"/>
        <w:tblLayout w:type="fixed"/>
        <w:tblCellMar>
          <w:top w:w="0" w:type="dxa"/>
          <w:left w:w="0" w:type="dxa"/>
          <w:bottom w:w="0" w:type="dxa"/>
          <w:right w:w="0" w:type="dxa"/>
        </w:tblCellMar>
      </w:tblPr>
      <w:tblGrid>
        <w:gridCol w:w="8657"/>
      </w:tblGrid>
      <w:tr w14:paraId="7BF7FE9A">
        <w:tblPrEx>
          <w:tblCellMar>
            <w:top w:w="0" w:type="dxa"/>
            <w:left w:w="0" w:type="dxa"/>
            <w:bottom w:w="0" w:type="dxa"/>
            <w:right w:w="0" w:type="dxa"/>
          </w:tblCellMar>
        </w:tblPrEx>
        <w:trPr>
          <w:trHeight w:val="2891" w:hRule="atLeast"/>
        </w:trPr>
        <w:tc>
          <w:tcPr>
            <w:tcW w:w="865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E81E6CF">
            <w:pPr>
              <w:keepNext w:val="0"/>
              <w:keepLines w:val="0"/>
              <w:widowControl/>
              <w:suppressLineNumbers w:val="0"/>
              <w:shd w:val="clear" w:color="auto" w:fill="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58E05C5F">
            <w:pPr>
              <w:keepNext w:val="0"/>
              <w:keepLines w:val="0"/>
              <w:widowControl/>
              <w:suppressLineNumbers w:val="0"/>
              <w:shd w:val="clear" w:color="auto" w:fill="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3AD51305">
            <w:pPr>
              <w:keepNext w:val="0"/>
              <w:keepLines w:val="0"/>
              <w:widowControl/>
              <w:suppressLineNumbers w:val="0"/>
              <w:shd w:val="clear" w:color="auto" w:fill="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授权代表身份证复印件与影印件粘贴处</w:t>
            </w:r>
          </w:p>
          <w:p w14:paraId="542EB4DF">
            <w:pPr>
              <w:keepNext w:val="0"/>
              <w:keepLines w:val="0"/>
              <w:widowControl/>
              <w:suppressLineNumbers w:val="0"/>
              <w:shd w:val="clear" w:color="auto" w:fill="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6BC74002">
            <w:pPr>
              <w:keepNext w:val="0"/>
              <w:keepLines w:val="0"/>
              <w:widowControl/>
              <w:suppressLineNumbers w:val="0"/>
              <w:shd w:val="clear" w:color="auto" w:fill="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78EC2B1D">
            <w:pPr>
              <w:keepNext w:val="0"/>
              <w:keepLines w:val="0"/>
              <w:widowControl/>
              <w:suppressLineNumbers w:val="0"/>
              <w:shd w:val="clear" w:color="auto" w:fill="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1722E4F6">
            <w:pPr>
              <w:keepNext w:val="0"/>
              <w:keepLines w:val="0"/>
              <w:widowControl/>
              <w:suppressLineNumbers w:val="0"/>
              <w:shd w:val="clear" w:color="auto" w:fill="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3234FC16">
            <w:pPr>
              <w:keepNext w:val="0"/>
              <w:keepLines w:val="0"/>
              <w:widowControl/>
              <w:suppressLineNumbers w:val="0"/>
              <w:shd w:val="clear" w:color="auto" w:fill="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29A845B4">
      <w:pPr>
        <w:widowControl/>
        <w:shd w:val="clear" w:color="auto" w:fill="auto"/>
        <w:tabs>
          <w:tab w:val="left" w:pos="360"/>
        </w:tabs>
        <w:snapToGrid w:val="0"/>
        <w:spacing w:line="360" w:lineRule="auto"/>
        <w:ind w:left="36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法定代表人必须签字或盖章，否则做无效标处理。如为法定代表人投标，则无需提供。</w:t>
      </w:r>
    </w:p>
    <w:p w14:paraId="60851B15">
      <w:pPr>
        <w:pStyle w:val="7"/>
        <w:ind w:left="0" w:leftChars="0" w:firstLine="0" w:firstLineChars="0"/>
        <w:rPr>
          <w:rFonts w:hint="eastAsia"/>
          <w:color w:val="auto"/>
        </w:rPr>
      </w:pPr>
    </w:p>
    <w:p w14:paraId="56516AC0">
      <w:pPr>
        <w:widowControl/>
        <w:shd w:val="clear" w:color="auto" w:fill="auto"/>
        <w:snapToGrid w:val="0"/>
        <w:spacing w:line="360" w:lineRule="auto"/>
        <w:jc w:val="left"/>
        <w:rPr>
          <w:rFonts w:hint="eastAsia" w:ascii="宋体" w:hAnsi="宋体" w:eastAsia="宋体" w:cs="宋体"/>
          <w:color w:val="auto"/>
          <w:sz w:val="22"/>
          <w:szCs w:val="22"/>
          <w:highlight w:val="none"/>
        </w:rPr>
      </w:pPr>
    </w:p>
    <w:p w14:paraId="4874DC47">
      <w:pPr>
        <w:rPr>
          <w:rFonts w:hint="eastAsia" w:ascii="宋体" w:hAnsi="宋体" w:eastAsia="宋体" w:cs="宋体"/>
          <w:color w:val="auto"/>
          <w:highlight w:val="none"/>
          <w:lang w:val="en-US" w:eastAsia="zh-CN"/>
        </w:rPr>
      </w:pPr>
      <w:bookmarkStart w:id="45" w:name="_Toc28966"/>
      <w:bookmarkStart w:id="46" w:name="_Toc817"/>
      <w:bookmarkStart w:id="47" w:name="_Toc13445"/>
      <w:r>
        <w:rPr>
          <w:rFonts w:hint="eastAsia" w:ascii="宋体" w:hAnsi="宋体" w:eastAsia="宋体" w:cs="宋体"/>
          <w:color w:val="auto"/>
          <w:sz w:val="22"/>
          <w:szCs w:val="22"/>
          <w:highlight w:val="none"/>
        </w:rPr>
        <w:br w:type="page"/>
      </w:r>
      <w:bookmarkEnd w:id="45"/>
      <w:bookmarkEnd w:id="46"/>
      <w:bookmarkEnd w:id="47"/>
      <w:bookmarkStart w:id="48" w:name="_Toc6047"/>
      <w:bookmarkStart w:id="49" w:name="_Toc28635"/>
      <w:bookmarkStart w:id="50" w:name="_Toc28157"/>
    </w:p>
    <w:p w14:paraId="40BCF7EE">
      <w:pPr>
        <w:pStyle w:val="4"/>
        <w:shd w:val="clear" w:color="auto" w:fill="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二、“报价文件”格式</w:t>
      </w:r>
      <w:bookmarkEnd w:id="48"/>
      <w:bookmarkEnd w:id="49"/>
      <w:bookmarkEnd w:id="50"/>
    </w:p>
    <w:p w14:paraId="63E62BF6">
      <w:pPr>
        <w:pStyle w:val="6"/>
        <w:shd w:val="clear" w:color="auto" w:fill="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2.1 “报价文件”封面</w:t>
      </w:r>
    </w:p>
    <w:p w14:paraId="069AA41B">
      <w:pPr>
        <w:rPr>
          <w:rFonts w:hint="eastAsia" w:ascii="宋体" w:hAnsi="宋体" w:eastAsia="宋体" w:cs="宋体"/>
          <w:color w:val="auto"/>
          <w:highlight w:val="none"/>
        </w:rPr>
      </w:pPr>
    </w:p>
    <w:p w14:paraId="49F13024">
      <w:pPr>
        <w:pStyle w:val="11"/>
        <w:rPr>
          <w:rFonts w:hint="eastAsia"/>
          <w:color w:val="auto"/>
        </w:rPr>
      </w:pPr>
    </w:p>
    <w:p w14:paraId="4D32A1E2">
      <w:pPr>
        <w:shd w:val="clear" w:color="auto" w:fill="auto"/>
        <w:wordWrap w:val="0"/>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昆鳌协同区F-42地块商业综合体项目招商运营服务项目</w:t>
      </w:r>
    </w:p>
    <w:p w14:paraId="56189C2C">
      <w:pPr>
        <w:pStyle w:val="62"/>
        <w:shd w:val="clear" w:color="auto" w:fill="auto"/>
        <w:wordWrap w:val="0"/>
        <w:spacing w:after="0" w:line="360" w:lineRule="auto"/>
        <w:rPr>
          <w:rFonts w:hint="eastAsia" w:ascii="宋体" w:hAnsi="宋体" w:eastAsia="宋体" w:cs="宋体"/>
          <w:color w:val="auto"/>
          <w:highlight w:val="none"/>
        </w:rPr>
      </w:pPr>
    </w:p>
    <w:p w14:paraId="743CFBC8">
      <w:pPr>
        <w:shd w:val="clear" w:color="auto" w:fill="auto"/>
        <w:wordWrap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4665F794">
      <w:pPr>
        <w:shd w:val="clear" w:color="auto" w:fill="auto"/>
        <w:wordWrap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（报价文件）</w:t>
      </w:r>
    </w:p>
    <w:p w14:paraId="3ECDA6F5">
      <w:pPr>
        <w:shd w:val="clear" w:color="auto" w:fill="auto"/>
        <w:wordWrap w:val="0"/>
        <w:spacing w:line="360" w:lineRule="auto"/>
        <w:jc w:val="center"/>
        <w:rPr>
          <w:rFonts w:hint="eastAsia" w:ascii="宋体" w:hAnsi="宋体" w:eastAsia="宋体" w:cs="宋体"/>
          <w:b/>
          <w:color w:val="auto"/>
          <w:sz w:val="52"/>
          <w:szCs w:val="22"/>
          <w:highlight w:val="none"/>
        </w:rPr>
      </w:pPr>
    </w:p>
    <w:tbl>
      <w:tblPr>
        <w:tblStyle w:val="28"/>
        <w:tblW w:w="0" w:type="auto"/>
        <w:tblInd w:w="250" w:type="dxa"/>
        <w:tblLayout w:type="fixed"/>
        <w:tblCellMar>
          <w:top w:w="0" w:type="dxa"/>
          <w:left w:w="108" w:type="dxa"/>
          <w:bottom w:w="0" w:type="dxa"/>
          <w:right w:w="108" w:type="dxa"/>
        </w:tblCellMar>
      </w:tblPr>
      <w:tblGrid>
        <w:gridCol w:w="8789"/>
      </w:tblGrid>
      <w:tr w14:paraId="0D781334">
        <w:tblPrEx>
          <w:tblCellMar>
            <w:top w:w="0" w:type="dxa"/>
            <w:left w:w="108" w:type="dxa"/>
            <w:bottom w:w="0" w:type="dxa"/>
            <w:right w:w="108" w:type="dxa"/>
          </w:tblCellMar>
        </w:tblPrEx>
        <w:trPr>
          <w:trHeight w:val="680" w:hRule="atLeast"/>
        </w:trPr>
        <w:tc>
          <w:tcPr>
            <w:tcW w:w="8789" w:type="dxa"/>
            <w:noWrap w:val="0"/>
            <w:vAlign w:val="center"/>
          </w:tcPr>
          <w:p w14:paraId="4EB6D52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 xml:space="preserve"> </w:t>
            </w:r>
            <w:r>
              <w:rPr>
                <w:rFonts w:hint="eastAsia" w:ascii="宋体" w:hAnsi="宋体" w:cs="宋体"/>
                <w:b/>
                <w:color w:val="auto"/>
                <w:sz w:val="28"/>
                <w:szCs w:val="28"/>
                <w:highlight w:val="none"/>
                <w:lang w:eastAsia="zh-CN"/>
              </w:rPr>
              <w:t>PYCG251021117</w:t>
            </w:r>
            <w:r>
              <w:rPr>
                <w:rFonts w:hint="eastAsia" w:ascii="宋体" w:hAnsi="宋体" w:eastAsia="宋体" w:cs="宋体"/>
                <w:b/>
                <w:color w:val="auto"/>
                <w:sz w:val="28"/>
                <w:szCs w:val="28"/>
                <w:highlight w:val="none"/>
              </w:rPr>
              <w:t xml:space="preserve">    </w:t>
            </w:r>
          </w:p>
        </w:tc>
      </w:tr>
      <w:tr w14:paraId="4C5E0892">
        <w:tblPrEx>
          <w:tblCellMar>
            <w:top w:w="0" w:type="dxa"/>
            <w:left w:w="108" w:type="dxa"/>
            <w:bottom w:w="0" w:type="dxa"/>
            <w:right w:w="108" w:type="dxa"/>
          </w:tblCellMar>
        </w:tblPrEx>
        <w:trPr>
          <w:trHeight w:val="680" w:hRule="atLeast"/>
        </w:trPr>
        <w:tc>
          <w:tcPr>
            <w:tcW w:w="8789" w:type="dxa"/>
            <w:noWrap w:val="0"/>
            <w:vAlign w:val="center"/>
          </w:tcPr>
          <w:p w14:paraId="7732096C">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33D698D7">
        <w:tblPrEx>
          <w:tblCellMar>
            <w:top w:w="0" w:type="dxa"/>
            <w:left w:w="108" w:type="dxa"/>
            <w:bottom w:w="0" w:type="dxa"/>
            <w:right w:w="108" w:type="dxa"/>
          </w:tblCellMar>
        </w:tblPrEx>
        <w:trPr>
          <w:trHeight w:val="680" w:hRule="atLeast"/>
        </w:trPr>
        <w:tc>
          <w:tcPr>
            <w:tcW w:w="8789" w:type="dxa"/>
            <w:noWrap w:val="0"/>
            <w:vAlign w:val="center"/>
          </w:tcPr>
          <w:p w14:paraId="29CD3875">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417B7E98">
        <w:tblPrEx>
          <w:tblCellMar>
            <w:top w:w="0" w:type="dxa"/>
            <w:left w:w="108" w:type="dxa"/>
            <w:bottom w:w="0" w:type="dxa"/>
            <w:right w:w="108" w:type="dxa"/>
          </w:tblCellMar>
        </w:tblPrEx>
        <w:trPr>
          <w:trHeight w:val="680" w:hRule="atLeast"/>
        </w:trPr>
        <w:tc>
          <w:tcPr>
            <w:tcW w:w="8789" w:type="dxa"/>
            <w:noWrap w:val="0"/>
            <w:vAlign w:val="center"/>
          </w:tcPr>
          <w:p w14:paraId="1E2A2B80">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法定代表人或其授权代表（签字或签章）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26B002D3">
        <w:tblPrEx>
          <w:tblCellMar>
            <w:top w:w="0" w:type="dxa"/>
            <w:left w:w="108" w:type="dxa"/>
            <w:bottom w:w="0" w:type="dxa"/>
            <w:right w:w="108" w:type="dxa"/>
          </w:tblCellMar>
        </w:tblPrEx>
        <w:trPr>
          <w:trHeight w:val="680" w:hRule="atLeast"/>
        </w:trPr>
        <w:tc>
          <w:tcPr>
            <w:tcW w:w="8789" w:type="dxa"/>
            <w:noWrap w:val="0"/>
            <w:vAlign w:val="center"/>
          </w:tcPr>
          <w:p w14:paraId="19180A8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r w14:paraId="38FCFAB6">
        <w:tblPrEx>
          <w:tblCellMar>
            <w:top w:w="0" w:type="dxa"/>
            <w:left w:w="108" w:type="dxa"/>
            <w:bottom w:w="0" w:type="dxa"/>
            <w:right w:w="108" w:type="dxa"/>
          </w:tblCellMar>
        </w:tblPrEx>
        <w:trPr>
          <w:trHeight w:val="335" w:hRule="atLeast"/>
        </w:trPr>
        <w:tc>
          <w:tcPr>
            <w:tcW w:w="8789" w:type="dxa"/>
            <w:noWrap w:val="0"/>
            <w:vAlign w:val="center"/>
          </w:tcPr>
          <w:p w14:paraId="199DCBF7">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8"/>
                <w:szCs w:val="28"/>
                <w:highlight w:val="none"/>
              </w:rPr>
            </w:pPr>
          </w:p>
        </w:tc>
      </w:tr>
      <w:tr w14:paraId="7D8720DA">
        <w:tblPrEx>
          <w:tblCellMar>
            <w:top w:w="0" w:type="dxa"/>
            <w:left w:w="108" w:type="dxa"/>
            <w:bottom w:w="0" w:type="dxa"/>
            <w:right w:w="108" w:type="dxa"/>
          </w:tblCellMar>
        </w:tblPrEx>
        <w:trPr>
          <w:trHeight w:val="680" w:hRule="atLeast"/>
        </w:trPr>
        <w:tc>
          <w:tcPr>
            <w:tcW w:w="8789" w:type="dxa"/>
            <w:noWrap w:val="0"/>
            <w:vAlign w:val="center"/>
          </w:tcPr>
          <w:p w14:paraId="2B19D8BD">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color w:val="auto"/>
                <w:sz w:val="28"/>
                <w:szCs w:val="28"/>
                <w:highlight w:val="none"/>
                <w:lang w:eastAsia="zh-CN"/>
              </w:rPr>
            </w:pPr>
          </w:p>
        </w:tc>
      </w:tr>
    </w:tbl>
    <w:p w14:paraId="1CF4825E">
      <w:pPr>
        <w:shd w:val="clear" w:color="auto" w:fill="auto"/>
        <w:wordWrap w:val="0"/>
        <w:autoSpaceDE w:val="0"/>
        <w:autoSpaceDN w:val="0"/>
        <w:adjustRightInd w:val="0"/>
        <w:snapToGrid w:val="0"/>
        <w:spacing w:line="360" w:lineRule="auto"/>
        <w:rPr>
          <w:rFonts w:hint="eastAsia" w:ascii="宋体" w:hAnsi="宋体" w:eastAsia="宋体" w:cs="宋体"/>
          <w:color w:val="auto"/>
          <w:highlight w:val="none"/>
        </w:rPr>
        <w:sectPr>
          <w:headerReference r:id="rId5" w:type="first"/>
          <w:footerReference r:id="rId7" w:type="first"/>
          <w:headerReference r:id="rId4" w:type="default"/>
          <w:footerReference r:id="rId6" w:type="default"/>
          <w:pgSz w:w="11906" w:h="16838"/>
          <w:pgMar w:top="1440" w:right="748" w:bottom="1440" w:left="1361" w:header="720" w:footer="720" w:gutter="0"/>
          <w:cols w:space="720" w:num="1"/>
          <w:titlePg/>
          <w:docGrid w:linePitch="286" w:charSpace="-3831"/>
        </w:sectPr>
      </w:pPr>
    </w:p>
    <w:p w14:paraId="107A0813">
      <w:pPr>
        <w:pStyle w:val="6"/>
        <w:shd w:val="clear" w:color="auto" w:fill="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2.2 开标一览表</w:t>
      </w:r>
    </w:p>
    <w:p w14:paraId="597187FB">
      <w:pPr>
        <w:pStyle w:val="16"/>
        <w:shd w:val="clear" w:color="auto" w:fill="auto"/>
        <w:wordWrap w:val="0"/>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开标一览表</w:t>
      </w:r>
    </w:p>
    <w:p w14:paraId="371AF644">
      <w:pPr>
        <w:pStyle w:val="16"/>
        <w:shd w:val="clear" w:color="auto" w:fill="auto"/>
        <w:wordWrap w:val="0"/>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项目编号</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tbl>
      <w:tblPr>
        <w:tblStyle w:val="28"/>
        <w:tblW w:w="9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685"/>
        <w:gridCol w:w="1243"/>
        <w:gridCol w:w="522"/>
        <w:gridCol w:w="603"/>
        <w:gridCol w:w="2639"/>
        <w:gridCol w:w="2619"/>
        <w:gridCol w:w="1644"/>
      </w:tblGrid>
      <w:tr w14:paraId="79B8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 w:hRule="atLeast"/>
          <w:jc w:val="center"/>
        </w:trPr>
        <w:tc>
          <w:tcPr>
            <w:tcW w:w="685" w:type="dxa"/>
            <w:shd w:val="clear" w:color="auto" w:fill="auto"/>
            <w:tcMar>
              <w:top w:w="0" w:type="dxa"/>
              <w:left w:w="105" w:type="dxa"/>
              <w:bottom w:w="0" w:type="dxa"/>
              <w:right w:w="105" w:type="dxa"/>
            </w:tcMar>
            <w:vAlign w:val="center"/>
          </w:tcPr>
          <w:p w14:paraId="2E78D4BA">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eastAsia" w:ascii="宋体" w:hAnsi="宋体" w:eastAsia="宋体" w:cs="宋体"/>
                <w:b/>
                <w:bCs/>
                <w:color w:val="auto"/>
                <w:sz w:val="21"/>
                <w:szCs w:val="21"/>
                <w:highlight w:val="none"/>
                <w:lang w:val="en-US" w:eastAsia="zh-CN" w:bidi="en-US"/>
              </w:rPr>
            </w:pPr>
            <w:r>
              <w:rPr>
                <w:rFonts w:hint="eastAsia" w:ascii="宋体" w:hAnsi="宋体" w:eastAsia="宋体" w:cs="宋体"/>
                <w:b/>
                <w:bCs/>
                <w:caps w:val="0"/>
                <w:color w:val="auto"/>
                <w:spacing w:val="0"/>
                <w:sz w:val="21"/>
                <w:szCs w:val="21"/>
                <w:highlight w:val="none"/>
                <w:lang w:val="en-US" w:eastAsia="zh-CN" w:bidi="en-US"/>
              </w:rPr>
              <w:t>序号</w:t>
            </w:r>
          </w:p>
        </w:tc>
        <w:tc>
          <w:tcPr>
            <w:tcW w:w="1243" w:type="dxa"/>
            <w:shd w:val="clear" w:color="auto" w:fill="auto"/>
            <w:tcMar>
              <w:top w:w="0" w:type="dxa"/>
              <w:left w:w="105" w:type="dxa"/>
              <w:bottom w:w="0" w:type="dxa"/>
              <w:right w:w="105" w:type="dxa"/>
            </w:tcMar>
            <w:vAlign w:val="center"/>
          </w:tcPr>
          <w:p w14:paraId="2B1EA013">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eastAsia" w:ascii="宋体" w:hAnsi="宋体" w:eastAsia="宋体" w:cs="宋体"/>
                <w:b/>
                <w:bCs/>
                <w:color w:val="auto"/>
                <w:sz w:val="21"/>
                <w:szCs w:val="21"/>
                <w:highlight w:val="none"/>
                <w:lang w:val="en-US" w:eastAsia="en-US" w:bidi="en-US"/>
              </w:rPr>
            </w:pPr>
            <w:r>
              <w:rPr>
                <w:rFonts w:hint="eastAsia" w:ascii="宋体" w:hAnsi="宋体" w:cs="宋体"/>
                <w:b/>
                <w:bCs/>
                <w:caps w:val="0"/>
                <w:color w:val="auto"/>
                <w:spacing w:val="0"/>
                <w:sz w:val="21"/>
                <w:szCs w:val="21"/>
                <w:highlight w:val="none"/>
                <w:lang w:val="en-US" w:eastAsia="zh-CN" w:bidi="en-US"/>
              </w:rPr>
              <w:t>项目</w:t>
            </w:r>
            <w:r>
              <w:rPr>
                <w:rFonts w:hint="eastAsia" w:ascii="宋体" w:hAnsi="宋体" w:eastAsia="宋体" w:cs="宋体"/>
                <w:b/>
                <w:bCs/>
                <w:caps w:val="0"/>
                <w:color w:val="auto"/>
                <w:spacing w:val="0"/>
                <w:sz w:val="21"/>
                <w:szCs w:val="21"/>
                <w:highlight w:val="none"/>
                <w:lang w:val="en-US" w:eastAsia="en-US" w:bidi="en-US"/>
              </w:rPr>
              <w:t>内容</w:t>
            </w:r>
          </w:p>
        </w:tc>
        <w:tc>
          <w:tcPr>
            <w:tcW w:w="522" w:type="dxa"/>
            <w:shd w:val="clear" w:color="auto" w:fill="auto"/>
            <w:tcMar>
              <w:top w:w="0" w:type="dxa"/>
              <w:left w:w="105" w:type="dxa"/>
              <w:bottom w:w="0" w:type="dxa"/>
              <w:right w:w="105" w:type="dxa"/>
            </w:tcMar>
            <w:vAlign w:val="center"/>
          </w:tcPr>
          <w:p w14:paraId="00FE1214">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eastAsia" w:ascii="宋体" w:hAnsi="宋体" w:eastAsia="宋体" w:cs="宋体"/>
                <w:b/>
                <w:bCs/>
                <w:color w:val="auto"/>
                <w:sz w:val="21"/>
                <w:szCs w:val="21"/>
                <w:highlight w:val="none"/>
                <w:lang w:val="en-US" w:eastAsia="en-US" w:bidi="en-US"/>
              </w:rPr>
            </w:pPr>
            <w:r>
              <w:rPr>
                <w:rFonts w:hint="eastAsia" w:ascii="宋体" w:hAnsi="宋体" w:eastAsia="宋体" w:cs="宋体"/>
                <w:b/>
                <w:bCs/>
                <w:caps w:val="0"/>
                <w:color w:val="auto"/>
                <w:spacing w:val="0"/>
                <w:sz w:val="21"/>
                <w:szCs w:val="21"/>
                <w:highlight w:val="none"/>
                <w:lang w:val="en-US" w:eastAsia="en-US" w:bidi="en-US"/>
              </w:rPr>
              <w:t>单位</w:t>
            </w:r>
          </w:p>
        </w:tc>
        <w:tc>
          <w:tcPr>
            <w:tcW w:w="603" w:type="dxa"/>
            <w:shd w:val="clear" w:color="auto" w:fill="auto"/>
            <w:tcMar>
              <w:top w:w="0" w:type="dxa"/>
              <w:left w:w="105" w:type="dxa"/>
              <w:bottom w:w="0" w:type="dxa"/>
              <w:right w:w="105" w:type="dxa"/>
            </w:tcMar>
            <w:vAlign w:val="center"/>
          </w:tcPr>
          <w:p w14:paraId="19095E87">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eastAsia" w:ascii="宋体" w:hAnsi="宋体" w:eastAsia="宋体" w:cs="宋体"/>
                <w:b/>
                <w:bCs/>
                <w:color w:val="auto"/>
                <w:sz w:val="21"/>
                <w:szCs w:val="21"/>
                <w:highlight w:val="none"/>
                <w:lang w:val="en-US" w:eastAsia="en-US" w:bidi="en-US"/>
              </w:rPr>
            </w:pPr>
            <w:r>
              <w:rPr>
                <w:rFonts w:hint="eastAsia" w:ascii="宋体" w:hAnsi="宋体" w:eastAsia="宋体" w:cs="宋体"/>
                <w:b/>
                <w:bCs/>
                <w:caps w:val="0"/>
                <w:color w:val="auto"/>
                <w:spacing w:val="0"/>
                <w:sz w:val="21"/>
                <w:szCs w:val="21"/>
                <w:highlight w:val="none"/>
                <w:lang w:val="en-US" w:eastAsia="en-US" w:bidi="en-US"/>
              </w:rPr>
              <w:t>数量</w:t>
            </w:r>
          </w:p>
        </w:tc>
        <w:tc>
          <w:tcPr>
            <w:tcW w:w="2639" w:type="dxa"/>
            <w:shd w:val="clear" w:color="auto" w:fill="auto"/>
            <w:tcMar>
              <w:top w:w="0" w:type="dxa"/>
              <w:left w:w="105" w:type="dxa"/>
              <w:bottom w:w="0" w:type="dxa"/>
              <w:right w:w="105" w:type="dxa"/>
            </w:tcMar>
            <w:vAlign w:val="center"/>
          </w:tcPr>
          <w:p w14:paraId="3404EFF9">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eastAsia" w:ascii="宋体" w:hAnsi="宋体" w:eastAsia="宋体" w:cs="宋体"/>
                <w:b/>
                <w:bCs/>
                <w:caps w:val="0"/>
                <w:color w:val="auto"/>
                <w:spacing w:val="0"/>
                <w:sz w:val="21"/>
                <w:szCs w:val="21"/>
                <w:highlight w:val="none"/>
                <w:lang w:val="en-US" w:eastAsia="zh-CN" w:bidi="en-US"/>
              </w:rPr>
            </w:pPr>
            <w:r>
              <w:rPr>
                <w:rFonts w:hint="eastAsia" w:ascii="宋体" w:hAnsi="宋体" w:eastAsia="宋体" w:cs="宋体"/>
                <w:b/>
                <w:bCs/>
                <w:caps w:val="0"/>
                <w:color w:val="auto"/>
                <w:spacing w:val="0"/>
                <w:sz w:val="21"/>
                <w:szCs w:val="21"/>
                <w:highlight w:val="none"/>
                <w:lang w:val="en-US" w:eastAsia="zh-CN" w:bidi="en-US"/>
              </w:rPr>
              <w:t>预算</w:t>
            </w:r>
            <w:r>
              <w:rPr>
                <w:rFonts w:hint="eastAsia" w:ascii="宋体" w:hAnsi="宋体" w:cs="宋体"/>
                <w:b/>
                <w:bCs/>
                <w:caps w:val="0"/>
                <w:color w:val="auto"/>
                <w:spacing w:val="0"/>
                <w:sz w:val="21"/>
                <w:szCs w:val="21"/>
                <w:highlight w:val="none"/>
                <w:lang w:val="en-US" w:eastAsia="zh-CN" w:bidi="en-US"/>
              </w:rPr>
              <w:t>金额</w:t>
            </w:r>
            <w:r>
              <w:rPr>
                <w:rFonts w:hint="eastAsia" w:ascii="宋体" w:hAnsi="宋体" w:eastAsia="宋体" w:cs="宋体"/>
                <w:b/>
                <w:bCs/>
                <w:caps w:val="0"/>
                <w:color w:val="auto"/>
                <w:spacing w:val="0"/>
                <w:sz w:val="21"/>
                <w:szCs w:val="21"/>
                <w:highlight w:val="none"/>
                <w:lang w:val="en-US" w:eastAsia="zh-CN" w:bidi="en-US"/>
              </w:rPr>
              <w:t>/最高限价</w:t>
            </w:r>
          </w:p>
        </w:tc>
        <w:tc>
          <w:tcPr>
            <w:tcW w:w="2619" w:type="dxa"/>
            <w:shd w:val="clear" w:color="auto" w:fill="auto"/>
            <w:tcMar>
              <w:top w:w="0" w:type="dxa"/>
              <w:left w:w="105" w:type="dxa"/>
              <w:bottom w:w="0" w:type="dxa"/>
              <w:right w:w="105" w:type="dxa"/>
            </w:tcMar>
            <w:vAlign w:val="center"/>
          </w:tcPr>
          <w:p w14:paraId="2745801E">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eastAsia" w:ascii="宋体" w:hAnsi="宋体" w:eastAsia="宋体" w:cs="宋体"/>
                <w:b/>
                <w:bCs/>
                <w:caps w:val="0"/>
                <w:color w:val="auto"/>
                <w:spacing w:val="0"/>
                <w:sz w:val="21"/>
                <w:szCs w:val="21"/>
                <w:highlight w:val="none"/>
                <w:lang w:val="en-US" w:eastAsia="zh-CN" w:bidi="en-US"/>
              </w:rPr>
            </w:pPr>
            <w:r>
              <w:rPr>
                <w:rFonts w:hint="eastAsia" w:ascii="宋体" w:hAnsi="宋体" w:eastAsia="宋体" w:cs="宋体"/>
                <w:b/>
                <w:bCs/>
                <w:caps w:val="0"/>
                <w:color w:val="auto"/>
                <w:spacing w:val="0"/>
                <w:sz w:val="21"/>
                <w:szCs w:val="21"/>
                <w:highlight w:val="none"/>
                <w:lang w:val="en-US" w:eastAsia="zh-CN" w:bidi="en-US"/>
              </w:rPr>
              <w:t>报价要求</w:t>
            </w:r>
          </w:p>
        </w:tc>
        <w:tc>
          <w:tcPr>
            <w:tcW w:w="1644" w:type="dxa"/>
            <w:shd w:val="clear" w:color="auto" w:fill="auto"/>
            <w:tcMar>
              <w:top w:w="0" w:type="dxa"/>
              <w:left w:w="105" w:type="dxa"/>
              <w:bottom w:w="0" w:type="dxa"/>
              <w:right w:w="105" w:type="dxa"/>
            </w:tcMar>
            <w:vAlign w:val="center"/>
          </w:tcPr>
          <w:p w14:paraId="2D3CDD22">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eastAsia" w:ascii="宋体" w:hAnsi="宋体" w:eastAsia="宋体" w:cs="宋体"/>
                <w:b/>
                <w:bCs/>
                <w:caps w:val="0"/>
                <w:color w:val="auto"/>
                <w:spacing w:val="0"/>
                <w:sz w:val="21"/>
                <w:szCs w:val="21"/>
                <w:highlight w:val="none"/>
                <w:lang w:val="en-US" w:eastAsia="zh-CN" w:bidi="en-US"/>
              </w:rPr>
            </w:pPr>
            <w:r>
              <w:rPr>
                <w:rFonts w:hint="eastAsia" w:ascii="宋体" w:hAnsi="宋体" w:eastAsia="宋体" w:cs="宋体"/>
                <w:b/>
                <w:bCs/>
                <w:caps w:val="0"/>
                <w:color w:val="auto"/>
                <w:spacing w:val="0"/>
                <w:sz w:val="21"/>
                <w:szCs w:val="21"/>
                <w:highlight w:val="none"/>
                <w:lang w:val="en-US" w:eastAsia="zh-CN" w:bidi="en-US"/>
              </w:rPr>
              <w:t>投标报价（投标折扣率）</w:t>
            </w:r>
          </w:p>
        </w:tc>
      </w:tr>
      <w:tr w14:paraId="45BF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9" w:hRule="atLeast"/>
          <w:jc w:val="center"/>
        </w:trPr>
        <w:tc>
          <w:tcPr>
            <w:tcW w:w="685" w:type="dxa"/>
            <w:tcBorders>
              <w:bottom w:val="single" w:color="auto" w:sz="4" w:space="0"/>
            </w:tcBorders>
            <w:shd w:val="clear" w:color="auto" w:fill="auto"/>
            <w:tcMar>
              <w:top w:w="0" w:type="dxa"/>
              <w:left w:w="105" w:type="dxa"/>
              <w:bottom w:w="0" w:type="dxa"/>
              <w:right w:w="105" w:type="dxa"/>
            </w:tcMar>
            <w:vAlign w:val="center"/>
          </w:tcPr>
          <w:p w14:paraId="6161CED9">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eastAsia" w:ascii="宋体" w:hAnsi="宋体" w:eastAsia="宋体" w:cs="宋体"/>
                <w:caps w:val="0"/>
                <w:color w:val="auto"/>
                <w:spacing w:val="0"/>
                <w:sz w:val="21"/>
                <w:szCs w:val="21"/>
                <w:highlight w:val="none"/>
                <w:lang w:val="en-US" w:eastAsia="zh-CN" w:bidi="en-US"/>
              </w:rPr>
            </w:pPr>
            <w:r>
              <w:rPr>
                <w:rFonts w:hint="eastAsia" w:ascii="宋体" w:hAnsi="宋体" w:eastAsia="宋体" w:cs="宋体"/>
                <w:caps w:val="0"/>
                <w:color w:val="auto"/>
                <w:spacing w:val="0"/>
                <w:sz w:val="21"/>
                <w:szCs w:val="21"/>
                <w:highlight w:val="none"/>
                <w:lang w:val="en-US" w:eastAsia="zh-CN" w:bidi="en-US"/>
              </w:rPr>
              <w:t>1</w:t>
            </w:r>
          </w:p>
        </w:tc>
        <w:tc>
          <w:tcPr>
            <w:tcW w:w="1243" w:type="dxa"/>
            <w:tcBorders>
              <w:bottom w:val="single" w:color="auto" w:sz="4" w:space="0"/>
            </w:tcBorders>
            <w:shd w:val="clear" w:color="auto" w:fill="auto"/>
            <w:tcMar>
              <w:top w:w="0" w:type="dxa"/>
              <w:left w:w="105" w:type="dxa"/>
              <w:bottom w:w="0" w:type="dxa"/>
              <w:right w:w="105" w:type="dxa"/>
            </w:tcMar>
            <w:vAlign w:val="center"/>
          </w:tcPr>
          <w:p w14:paraId="18E2E8F7">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default" w:ascii="宋体" w:hAnsi="宋体" w:eastAsia="宋体" w:cs="宋体"/>
                <w:caps w:val="0"/>
                <w:color w:val="auto"/>
                <w:spacing w:val="0"/>
                <w:sz w:val="21"/>
                <w:szCs w:val="21"/>
                <w:highlight w:val="none"/>
                <w:lang w:val="en-US" w:eastAsia="zh-CN" w:bidi="en-US"/>
              </w:rPr>
            </w:pPr>
            <w:r>
              <w:rPr>
                <w:rFonts w:hint="eastAsia" w:ascii="宋体" w:hAnsi="宋体" w:eastAsia="宋体" w:cs="宋体"/>
                <w:caps w:val="0"/>
                <w:color w:val="auto"/>
                <w:spacing w:val="0"/>
                <w:sz w:val="21"/>
                <w:szCs w:val="21"/>
                <w:highlight w:val="none"/>
                <w:lang w:val="en-US" w:eastAsia="zh-CN" w:bidi="en-US"/>
              </w:rPr>
              <w:t>策划服务</w:t>
            </w:r>
            <w:r>
              <w:rPr>
                <w:rFonts w:hint="eastAsia" w:ascii="宋体" w:hAnsi="宋体" w:cs="宋体"/>
                <w:caps w:val="0"/>
                <w:color w:val="auto"/>
                <w:spacing w:val="0"/>
                <w:sz w:val="21"/>
                <w:szCs w:val="21"/>
                <w:highlight w:val="none"/>
                <w:lang w:val="en-US" w:eastAsia="zh-CN" w:bidi="en-US"/>
              </w:rPr>
              <w:t>费</w:t>
            </w:r>
          </w:p>
        </w:tc>
        <w:tc>
          <w:tcPr>
            <w:tcW w:w="522" w:type="dxa"/>
            <w:tcBorders>
              <w:bottom w:val="single" w:color="auto" w:sz="4" w:space="0"/>
            </w:tcBorders>
            <w:shd w:val="clear" w:color="auto" w:fill="auto"/>
            <w:tcMar>
              <w:top w:w="0" w:type="dxa"/>
              <w:left w:w="105" w:type="dxa"/>
              <w:bottom w:w="0" w:type="dxa"/>
              <w:right w:w="105" w:type="dxa"/>
            </w:tcMar>
            <w:vAlign w:val="center"/>
          </w:tcPr>
          <w:p w14:paraId="3371F62C">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eastAsia" w:ascii="宋体" w:hAnsi="宋体" w:eastAsia="宋体" w:cs="宋体"/>
                <w:caps w:val="0"/>
                <w:color w:val="auto"/>
                <w:spacing w:val="0"/>
                <w:sz w:val="21"/>
                <w:szCs w:val="21"/>
                <w:highlight w:val="none"/>
                <w:lang w:val="en-US" w:eastAsia="en-US" w:bidi="en-US"/>
              </w:rPr>
            </w:pPr>
            <w:r>
              <w:rPr>
                <w:rFonts w:hint="eastAsia" w:ascii="宋体" w:hAnsi="宋体" w:eastAsia="宋体" w:cs="宋体"/>
                <w:caps w:val="0"/>
                <w:color w:val="auto"/>
                <w:spacing w:val="0"/>
                <w:sz w:val="21"/>
                <w:szCs w:val="21"/>
                <w:highlight w:val="none"/>
                <w:lang w:val="en-US" w:eastAsia="en-US" w:bidi="en-US"/>
              </w:rPr>
              <w:t>项</w:t>
            </w:r>
          </w:p>
        </w:tc>
        <w:tc>
          <w:tcPr>
            <w:tcW w:w="603" w:type="dxa"/>
            <w:tcBorders>
              <w:bottom w:val="single" w:color="auto" w:sz="4" w:space="0"/>
            </w:tcBorders>
            <w:shd w:val="clear" w:color="auto" w:fill="auto"/>
            <w:tcMar>
              <w:top w:w="0" w:type="dxa"/>
              <w:left w:w="105" w:type="dxa"/>
              <w:bottom w:w="0" w:type="dxa"/>
              <w:right w:w="105" w:type="dxa"/>
            </w:tcMar>
            <w:vAlign w:val="center"/>
          </w:tcPr>
          <w:p w14:paraId="70BB4F2E">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eastAsia" w:ascii="宋体" w:hAnsi="宋体" w:eastAsia="宋体" w:cs="宋体"/>
                <w:caps w:val="0"/>
                <w:color w:val="auto"/>
                <w:spacing w:val="0"/>
                <w:sz w:val="21"/>
                <w:szCs w:val="21"/>
                <w:highlight w:val="none"/>
                <w:lang w:val="en-US" w:eastAsia="en-US" w:bidi="en-US"/>
              </w:rPr>
            </w:pPr>
            <w:r>
              <w:rPr>
                <w:rFonts w:hint="eastAsia" w:ascii="宋体" w:hAnsi="宋体" w:eastAsia="宋体" w:cs="宋体"/>
                <w:caps w:val="0"/>
                <w:color w:val="auto"/>
                <w:spacing w:val="0"/>
                <w:sz w:val="21"/>
                <w:szCs w:val="21"/>
                <w:highlight w:val="none"/>
                <w:lang w:val="en-US" w:eastAsia="en-US" w:bidi="en-US"/>
              </w:rPr>
              <w:t>1</w:t>
            </w:r>
          </w:p>
        </w:tc>
        <w:tc>
          <w:tcPr>
            <w:tcW w:w="2639" w:type="dxa"/>
            <w:tcBorders>
              <w:bottom w:val="single" w:color="auto" w:sz="4" w:space="0"/>
            </w:tcBorders>
            <w:shd w:val="clear" w:color="auto" w:fill="auto"/>
            <w:tcMar>
              <w:top w:w="0" w:type="dxa"/>
              <w:left w:w="105" w:type="dxa"/>
              <w:bottom w:w="0" w:type="dxa"/>
              <w:right w:w="105" w:type="dxa"/>
            </w:tcMar>
            <w:vAlign w:val="center"/>
          </w:tcPr>
          <w:p w14:paraId="2F4DF190">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both"/>
              <w:textAlignment w:val="auto"/>
              <w:rPr>
                <w:rFonts w:hint="eastAsia" w:ascii="宋体" w:hAnsi="宋体" w:eastAsia="宋体" w:cs="宋体"/>
                <w:caps w:val="0"/>
                <w:color w:val="auto"/>
                <w:spacing w:val="0"/>
                <w:sz w:val="21"/>
                <w:szCs w:val="21"/>
                <w:highlight w:val="none"/>
                <w:lang w:val="en-US" w:eastAsia="zh-CN" w:bidi="en-US"/>
              </w:rPr>
            </w:pPr>
            <w:r>
              <w:rPr>
                <w:rFonts w:hint="eastAsia" w:ascii="宋体" w:hAnsi="宋体" w:cs="宋体"/>
                <w:caps w:val="0"/>
                <w:color w:val="auto"/>
                <w:spacing w:val="0"/>
                <w:sz w:val="21"/>
                <w:szCs w:val="21"/>
                <w:highlight w:val="none"/>
                <w:lang w:val="en-US" w:eastAsia="zh-CN" w:bidi="en-US"/>
              </w:rPr>
              <w:t>6</w:t>
            </w:r>
            <w:r>
              <w:rPr>
                <w:rFonts w:hint="eastAsia" w:ascii="宋体" w:hAnsi="宋体" w:eastAsia="宋体" w:cs="宋体"/>
                <w:caps w:val="0"/>
                <w:color w:val="auto"/>
                <w:spacing w:val="0"/>
                <w:sz w:val="21"/>
                <w:szCs w:val="21"/>
                <w:highlight w:val="none"/>
                <w:lang w:val="en-US" w:eastAsia="zh-CN" w:bidi="en-US"/>
              </w:rPr>
              <w:t>00万元</w:t>
            </w:r>
          </w:p>
        </w:tc>
        <w:tc>
          <w:tcPr>
            <w:tcW w:w="2619" w:type="dxa"/>
            <w:tcBorders>
              <w:bottom w:val="single" w:color="auto" w:sz="4" w:space="0"/>
            </w:tcBorders>
            <w:shd w:val="clear" w:color="auto" w:fill="auto"/>
            <w:tcMar>
              <w:top w:w="0" w:type="dxa"/>
              <w:left w:w="105" w:type="dxa"/>
              <w:bottom w:w="0" w:type="dxa"/>
              <w:right w:w="105" w:type="dxa"/>
            </w:tcMar>
            <w:vAlign w:val="center"/>
          </w:tcPr>
          <w:p w14:paraId="7EAAE00F">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en-US" w:eastAsia="zh-CN" w:bidi="ar-SA"/>
              </w:rPr>
              <w:t>策划服务</w:t>
            </w:r>
            <w:r>
              <w:rPr>
                <w:rFonts w:hint="eastAsia" w:ascii="宋体" w:hAnsi="宋体" w:cs="宋体"/>
                <w:color w:val="auto"/>
                <w:sz w:val="21"/>
                <w:szCs w:val="21"/>
                <w:highlight w:val="none"/>
                <w:lang w:val="en-US" w:eastAsia="zh-CN" w:bidi="ar-SA"/>
              </w:rPr>
              <w:t>费：</w:t>
            </w:r>
            <w:r>
              <w:rPr>
                <w:rFonts w:hint="eastAsia" w:ascii="宋体" w:hAnsi="宋体" w:eastAsia="宋体" w:cs="宋体"/>
                <w:color w:val="auto"/>
                <w:sz w:val="21"/>
                <w:szCs w:val="21"/>
                <w:highlight w:val="none"/>
                <w:lang w:val="en-US" w:eastAsia="zh-CN" w:bidi="ar-SA"/>
              </w:rPr>
              <w:t>投标报价时按策划服务进行测算填报投标报价，报价不得超过最高限价，否则投标无效；</w:t>
            </w:r>
          </w:p>
        </w:tc>
        <w:tc>
          <w:tcPr>
            <w:tcW w:w="1644" w:type="dxa"/>
            <w:tcBorders>
              <w:bottom w:val="single" w:color="auto" w:sz="4" w:space="0"/>
            </w:tcBorders>
            <w:shd w:val="clear" w:color="auto" w:fill="auto"/>
            <w:tcMar>
              <w:top w:w="0" w:type="dxa"/>
              <w:left w:w="105" w:type="dxa"/>
              <w:bottom w:w="0" w:type="dxa"/>
              <w:right w:w="105" w:type="dxa"/>
            </w:tcMar>
            <w:vAlign w:val="center"/>
          </w:tcPr>
          <w:p w14:paraId="3EC31FFD">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1"/>
                <w:szCs w:val="21"/>
                <w:highlight w:val="none"/>
                <w:lang w:val="en-US" w:eastAsia="zh-CN" w:bidi="ar-SA"/>
              </w:rPr>
              <w:t>元</w:t>
            </w:r>
          </w:p>
        </w:tc>
      </w:tr>
      <w:tr w14:paraId="31BD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64" w:hRule="atLeast"/>
          <w:jc w:val="center"/>
        </w:trPr>
        <w:tc>
          <w:tcPr>
            <w:tcW w:w="685" w:type="dxa"/>
            <w:tcBorders>
              <w:top w:val="single" w:color="auto" w:sz="4" w:space="0"/>
              <w:left w:val="single" w:color="auto" w:sz="4" w:space="0"/>
            </w:tcBorders>
            <w:shd w:val="clear" w:color="auto" w:fill="auto"/>
            <w:tcMar>
              <w:top w:w="0" w:type="dxa"/>
              <w:left w:w="105" w:type="dxa"/>
              <w:bottom w:w="0" w:type="dxa"/>
              <w:right w:w="105" w:type="dxa"/>
            </w:tcMar>
            <w:vAlign w:val="center"/>
          </w:tcPr>
          <w:p w14:paraId="0F2CCB25">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eastAsia" w:ascii="宋体" w:hAnsi="宋体" w:eastAsia="宋体" w:cs="宋体"/>
                <w:color w:val="auto"/>
                <w:sz w:val="21"/>
                <w:szCs w:val="21"/>
                <w:highlight w:val="none"/>
                <w:lang w:val="en-US" w:eastAsia="en-US" w:bidi="en-US"/>
              </w:rPr>
            </w:pPr>
            <w:r>
              <w:rPr>
                <w:rFonts w:hint="eastAsia" w:ascii="宋体" w:hAnsi="宋体" w:eastAsia="宋体" w:cs="宋体"/>
                <w:caps w:val="0"/>
                <w:color w:val="auto"/>
                <w:spacing w:val="0"/>
                <w:sz w:val="21"/>
                <w:szCs w:val="21"/>
                <w:highlight w:val="none"/>
                <w:lang w:val="en-US" w:eastAsia="en-US" w:bidi="en-US"/>
              </w:rPr>
              <w:t>2</w:t>
            </w:r>
          </w:p>
        </w:tc>
        <w:tc>
          <w:tcPr>
            <w:tcW w:w="1243" w:type="dxa"/>
            <w:tcBorders>
              <w:top w:val="single" w:color="auto" w:sz="4" w:space="0"/>
            </w:tcBorders>
            <w:shd w:val="clear" w:color="auto" w:fill="auto"/>
            <w:tcMar>
              <w:top w:w="0" w:type="dxa"/>
              <w:left w:w="105" w:type="dxa"/>
              <w:bottom w:w="0" w:type="dxa"/>
              <w:right w:w="105" w:type="dxa"/>
            </w:tcMar>
            <w:vAlign w:val="center"/>
          </w:tcPr>
          <w:p w14:paraId="414D9FDB">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eastAsia" w:ascii="宋体" w:hAnsi="宋体" w:eastAsia="宋体" w:cs="宋体"/>
                <w:color w:val="auto"/>
                <w:sz w:val="21"/>
                <w:szCs w:val="21"/>
                <w:highlight w:val="none"/>
                <w:lang w:val="en-US" w:eastAsia="en-US" w:bidi="en-US"/>
              </w:rPr>
            </w:pPr>
            <w:r>
              <w:rPr>
                <w:rFonts w:hint="eastAsia" w:ascii="宋体" w:hAnsi="宋体" w:eastAsia="宋体" w:cs="宋体"/>
                <w:caps w:val="0"/>
                <w:color w:val="auto"/>
                <w:spacing w:val="0"/>
                <w:sz w:val="21"/>
                <w:szCs w:val="21"/>
                <w:highlight w:val="none"/>
                <w:lang w:val="en-US" w:eastAsia="zh-CN" w:bidi="en-US"/>
              </w:rPr>
              <w:t>筹备期招商服务</w:t>
            </w:r>
            <w:r>
              <w:rPr>
                <w:rFonts w:hint="eastAsia" w:ascii="宋体" w:hAnsi="宋体" w:cs="宋体"/>
                <w:caps w:val="0"/>
                <w:color w:val="auto"/>
                <w:spacing w:val="0"/>
                <w:sz w:val="21"/>
                <w:szCs w:val="21"/>
                <w:highlight w:val="none"/>
                <w:lang w:val="en-US" w:eastAsia="zh-CN" w:bidi="en-US"/>
              </w:rPr>
              <w:t>费</w:t>
            </w:r>
          </w:p>
        </w:tc>
        <w:tc>
          <w:tcPr>
            <w:tcW w:w="522" w:type="dxa"/>
            <w:tcBorders>
              <w:top w:val="single" w:color="auto" w:sz="4" w:space="0"/>
            </w:tcBorders>
            <w:shd w:val="clear" w:color="auto" w:fill="auto"/>
            <w:tcMar>
              <w:top w:w="0" w:type="dxa"/>
              <w:left w:w="105" w:type="dxa"/>
              <w:bottom w:w="0" w:type="dxa"/>
              <w:right w:w="105" w:type="dxa"/>
            </w:tcMar>
            <w:vAlign w:val="center"/>
          </w:tcPr>
          <w:p w14:paraId="2A6A92E4">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eastAsia" w:ascii="宋体" w:hAnsi="宋体" w:eastAsia="宋体" w:cs="宋体"/>
                <w:color w:val="auto"/>
                <w:sz w:val="21"/>
                <w:szCs w:val="21"/>
                <w:highlight w:val="none"/>
                <w:lang w:val="en-US" w:eastAsia="en-US" w:bidi="en-US"/>
              </w:rPr>
            </w:pPr>
            <w:r>
              <w:rPr>
                <w:rFonts w:hint="eastAsia" w:ascii="宋体" w:hAnsi="宋体" w:eastAsia="宋体" w:cs="宋体"/>
                <w:caps w:val="0"/>
                <w:color w:val="auto"/>
                <w:spacing w:val="0"/>
                <w:sz w:val="21"/>
                <w:szCs w:val="21"/>
                <w:highlight w:val="none"/>
                <w:lang w:val="en-US" w:eastAsia="en-US" w:bidi="en-US"/>
              </w:rPr>
              <w:t>项</w:t>
            </w:r>
          </w:p>
        </w:tc>
        <w:tc>
          <w:tcPr>
            <w:tcW w:w="603" w:type="dxa"/>
            <w:tcBorders>
              <w:top w:val="single" w:color="auto" w:sz="4" w:space="0"/>
            </w:tcBorders>
            <w:shd w:val="clear" w:color="auto" w:fill="auto"/>
            <w:tcMar>
              <w:top w:w="0" w:type="dxa"/>
              <w:left w:w="105" w:type="dxa"/>
              <w:bottom w:w="0" w:type="dxa"/>
              <w:right w:w="105" w:type="dxa"/>
            </w:tcMar>
            <w:vAlign w:val="center"/>
          </w:tcPr>
          <w:p w14:paraId="58B2094E">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eastAsia" w:ascii="宋体" w:hAnsi="宋体" w:eastAsia="宋体" w:cs="宋体"/>
                <w:color w:val="auto"/>
                <w:sz w:val="21"/>
                <w:szCs w:val="21"/>
                <w:highlight w:val="none"/>
                <w:lang w:val="en-US" w:eastAsia="en-US" w:bidi="en-US"/>
              </w:rPr>
            </w:pPr>
            <w:r>
              <w:rPr>
                <w:rFonts w:hint="eastAsia" w:ascii="宋体" w:hAnsi="宋体" w:eastAsia="宋体" w:cs="宋体"/>
                <w:caps w:val="0"/>
                <w:color w:val="auto"/>
                <w:spacing w:val="0"/>
                <w:sz w:val="21"/>
                <w:szCs w:val="21"/>
                <w:highlight w:val="none"/>
                <w:lang w:val="en-US" w:eastAsia="en-US" w:bidi="en-US"/>
              </w:rPr>
              <w:t>1</w:t>
            </w:r>
          </w:p>
        </w:tc>
        <w:tc>
          <w:tcPr>
            <w:tcW w:w="2639" w:type="dxa"/>
            <w:tcBorders>
              <w:top w:val="single" w:color="auto" w:sz="4" w:space="0"/>
            </w:tcBorders>
            <w:shd w:val="clear" w:color="auto" w:fill="auto"/>
            <w:tcMar>
              <w:top w:w="0" w:type="dxa"/>
              <w:left w:w="105" w:type="dxa"/>
              <w:bottom w:w="0" w:type="dxa"/>
              <w:right w:w="105" w:type="dxa"/>
            </w:tcMar>
            <w:vAlign w:val="center"/>
          </w:tcPr>
          <w:p w14:paraId="071B4FD3">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auto"/>
              <w:adjustRightInd/>
              <w:snapToGrid/>
              <w:spacing w:before="0" w:beforeAutospacing="0" w:after="0" w:afterAutospacing="0" w:line="240" w:lineRule="auto"/>
              <w:ind w:left="0" w:right="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该服务费用以商业综合体项目截</w:t>
            </w:r>
            <w:r>
              <w:rPr>
                <w:rFonts w:hint="eastAsia" w:ascii="宋体" w:hAnsi="宋体" w:cs="宋体"/>
                <w:b w:val="0"/>
                <w:bCs w:val="0"/>
                <w:color w:val="auto"/>
                <w:sz w:val="21"/>
                <w:szCs w:val="21"/>
                <w:highlight w:val="none"/>
                <w:lang w:val="en-US" w:eastAsia="zh-CN"/>
              </w:rPr>
              <w:t>止</w:t>
            </w:r>
            <w:r>
              <w:rPr>
                <w:rFonts w:hint="eastAsia" w:ascii="宋体" w:hAnsi="宋体" w:eastAsia="宋体" w:cs="宋体"/>
                <w:b w:val="0"/>
                <w:bCs w:val="0"/>
                <w:color w:val="auto"/>
                <w:sz w:val="21"/>
                <w:szCs w:val="21"/>
                <w:highlight w:val="none"/>
                <w:lang w:val="en-US" w:eastAsia="zh-CN"/>
              </w:rPr>
              <w:t>至正式开业日所达到的招商签约率，以实际图纸商业可租赁面积计算为基准。</w:t>
            </w:r>
            <w:r>
              <w:rPr>
                <w:rFonts w:hint="eastAsia" w:ascii="宋体" w:hAnsi="宋体" w:eastAsia="宋体" w:cs="宋体"/>
                <w:color w:val="auto"/>
                <w:sz w:val="21"/>
                <w:szCs w:val="21"/>
                <w:highlight w:val="none"/>
                <w:lang w:val="en-US" w:eastAsia="zh-CN"/>
              </w:rPr>
              <w:t>筹备期招商服务</w:t>
            </w:r>
            <w:r>
              <w:rPr>
                <w:rFonts w:hint="eastAsia" w:ascii="宋体" w:hAnsi="宋体" w:cs="宋体"/>
                <w:color w:val="auto"/>
                <w:sz w:val="21"/>
                <w:szCs w:val="21"/>
                <w:highlight w:val="none"/>
                <w:lang w:val="en-US" w:eastAsia="zh-CN"/>
              </w:rPr>
              <w:t>费</w:t>
            </w:r>
            <w:r>
              <w:rPr>
                <w:rFonts w:hint="eastAsia" w:ascii="宋体" w:hAnsi="宋体" w:eastAsia="宋体" w:cs="宋体"/>
                <w:b w:val="0"/>
                <w:bCs w:val="0"/>
                <w:color w:val="auto"/>
                <w:sz w:val="21"/>
                <w:szCs w:val="21"/>
                <w:highlight w:val="none"/>
                <w:lang w:val="en-US" w:eastAsia="zh-CN"/>
              </w:rPr>
              <w:t>按照采购人收取的3个月</w:t>
            </w:r>
            <w:r>
              <w:rPr>
                <w:rFonts w:hint="eastAsia" w:ascii="宋体" w:hAnsi="宋体" w:cs="宋体"/>
                <w:b w:val="0"/>
                <w:bCs w:val="0"/>
                <w:color w:val="auto"/>
                <w:sz w:val="21"/>
                <w:szCs w:val="21"/>
                <w:highlight w:val="none"/>
                <w:lang w:val="en-US" w:eastAsia="zh-CN"/>
              </w:rPr>
              <w:t>含税</w:t>
            </w:r>
            <w:r>
              <w:rPr>
                <w:rFonts w:hint="eastAsia" w:ascii="宋体" w:hAnsi="宋体" w:eastAsia="宋体" w:cs="宋体"/>
                <w:b w:val="0"/>
                <w:bCs w:val="0"/>
                <w:color w:val="auto"/>
                <w:sz w:val="21"/>
                <w:szCs w:val="21"/>
                <w:highlight w:val="none"/>
                <w:lang w:val="en-US" w:eastAsia="zh-CN"/>
              </w:rPr>
              <w:t>租金为标准收取费用</w:t>
            </w:r>
            <w:r>
              <w:rPr>
                <w:rFonts w:hint="eastAsia" w:ascii="宋体" w:hAnsi="宋体" w:cs="宋体"/>
                <w:b w:val="0"/>
                <w:bCs w:val="0"/>
                <w:color w:val="auto"/>
                <w:sz w:val="21"/>
                <w:szCs w:val="21"/>
                <w:highlight w:val="none"/>
                <w:lang w:val="en-US" w:eastAsia="zh-CN"/>
              </w:rPr>
              <w:t>为</w:t>
            </w:r>
            <w:r>
              <w:rPr>
                <w:rFonts w:hint="eastAsia" w:ascii="宋体" w:hAnsi="宋体" w:eastAsia="宋体" w:cs="宋体"/>
                <w:b w:val="0"/>
                <w:bCs w:val="0"/>
                <w:color w:val="auto"/>
                <w:sz w:val="21"/>
                <w:szCs w:val="21"/>
                <w:highlight w:val="none"/>
                <w:lang w:val="en-US" w:eastAsia="zh-CN"/>
              </w:rPr>
              <w:t>最高限价。附考核条件（奖惩条件详见</w:t>
            </w:r>
            <w:r>
              <w:rPr>
                <w:rFonts w:hint="eastAsia" w:ascii="宋体" w:hAnsi="宋体" w:cs="宋体"/>
                <w:b w:val="0"/>
                <w:bCs w:val="0"/>
                <w:color w:val="auto"/>
                <w:sz w:val="21"/>
                <w:szCs w:val="21"/>
                <w:highlight w:val="none"/>
                <w:lang w:val="en-US" w:eastAsia="zh-CN"/>
              </w:rPr>
              <w:t>采购文件</w:t>
            </w:r>
            <w:r>
              <w:rPr>
                <w:rFonts w:hint="eastAsia" w:ascii="宋体" w:hAnsi="宋体" w:eastAsia="宋体" w:cs="宋体"/>
                <w:b w:val="0"/>
                <w:bCs w:val="0"/>
                <w:color w:val="auto"/>
                <w:sz w:val="21"/>
                <w:szCs w:val="21"/>
                <w:highlight w:val="none"/>
                <w:lang w:val="en-US" w:eastAsia="zh-CN"/>
              </w:rPr>
              <w:t>）</w:t>
            </w:r>
          </w:p>
        </w:tc>
        <w:tc>
          <w:tcPr>
            <w:tcW w:w="2619" w:type="dxa"/>
            <w:tcBorders>
              <w:top w:val="single" w:color="auto" w:sz="4" w:space="0"/>
            </w:tcBorders>
            <w:shd w:val="clear" w:color="auto" w:fill="auto"/>
            <w:tcMar>
              <w:top w:w="0" w:type="dxa"/>
              <w:left w:w="105" w:type="dxa"/>
              <w:bottom w:w="0" w:type="dxa"/>
              <w:right w:w="105" w:type="dxa"/>
            </w:tcMar>
            <w:vAlign w:val="center"/>
          </w:tcPr>
          <w:p w14:paraId="0CA36CF5">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筹备期招商服务</w:t>
            </w:r>
            <w:r>
              <w:rPr>
                <w:rFonts w:hint="eastAsia" w:ascii="宋体" w:hAnsi="宋体" w:cs="宋体"/>
                <w:color w:val="auto"/>
                <w:sz w:val="21"/>
                <w:szCs w:val="21"/>
                <w:highlight w:val="none"/>
                <w:lang w:val="en-US" w:eastAsia="zh-CN" w:bidi="ar-SA"/>
              </w:rPr>
              <w:t>费：</w:t>
            </w:r>
            <w:r>
              <w:rPr>
                <w:rFonts w:hint="eastAsia" w:ascii="宋体" w:hAnsi="宋体" w:eastAsia="宋体" w:cs="宋体"/>
                <w:color w:val="auto"/>
                <w:sz w:val="21"/>
                <w:szCs w:val="21"/>
                <w:highlight w:val="none"/>
                <w:lang w:val="en-US" w:eastAsia="zh-CN" w:bidi="ar-SA"/>
              </w:rPr>
              <w:t>投标报价时综合考虑后按</w:t>
            </w:r>
            <w:r>
              <w:rPr>
                <w:rFonts w:hint="eastAsia" w:ascii="宋体" w:hAnsi="宋体" w:eastAsia="宋体" w:cs="宋体"/>
                <w:caps w:val="0"/>
                <w:color w:val="auto"/>
                <w:spacing w:val="0"/>
                <w:sz w:val="21"/>
                <w:szCs w:val="21"/>
                <w:highlight w:val="none"/>
                <w:lang w:val="en-US" w:eastAsia="zh-CN" w:bidi="ar-SA"/>
              </w:rPr>
              <w:t>3个月含税租金为基础填报折扣</w:t>
            </w:r>
            <w:r>
              <w:rPr>
                <w:rFonts w:hint="eastAsia" w:ascii="宋体" w:hAnsi="宋体" w:cs="宋体"/>
                <w:caps w:val="0"/>
                <w:color w:val="auto"/>
                <w:spacing w:val="0"/>
                <w:sz w:val="21"/>
                <w:szCs w:val="21"/>
                <w:highlight w:val="none"/>
                <w:lang w:val="en-US" w:eastAsia="zh-CN" w:bidi="ar-SA"/>
              </w:rPr>
              <w:t>率</w:t>
            </w:r>
            <w:r>
              <w:rPr>
                <w:rFonts w:hint="eastAsia" w:ascii="宋体" w:hAnsi="宋体" w:eastAsia="宋体" w:cs="宋体"/>
                <w:caps w:val="0"/>
                <w:color w:val="auto"/>
                <w:spacing w:val="0"/>
                <w:sz w:val="21"/>
                <w:szCs w:val="21"/>
                <w:highlight w:val="none"/>
                <w:lang w:val="en-US" w:eastAsia="zh-CN" w:bidi="ar-SA"/>
              </w:rPr>
              <w:t>，最高折扣率报价为100%，</w:t>
            </w:r>
            <w:r>
              <w:rPr>
                <w:rFonts w:hint="eastAsia" w:ascii="宋体" w:hAnsi="宋体" w:eastAsia="宋体" w:cs="宋体"/>
                <w:color w:val="auto"/>
                <w:sz w:val="21"/>
                <w:szCs w:val="21"/>
                <w:highlight w:val="none"/>
                <w:lang w:val="en-US" w:eastAsia="zh-CN" w:bidi="ar-SA"/>
              </w:rPr>
              <w:t>不得超过最高限价折扣，否则投标无效。</w:t>
            </w:r>
          </w:p>
          <w:p w14:paraId="151CFE02">
            <w:pPr>
              <w:pStyle w:val="2"/>
              <w:ind w:left="0" w:leftChars="0" w:firstLine="0" w:firstLineChars="0"/>
              <w:rPr>
                <w:rFonts w:hint="eastAsia"/>
                <w:lang w:val="en-US" w:eastAsia="zh-CN"/>
              </w:rPr>
            </w:pPr>
            <w:r>
              <w:rPr>
                <w:rFonts w:hint="eastAsia" w:ascii="宋体" w:hAnsi="宋体" w:eastAsia="宋体" w:cs="宋体"/>
                <w:color w:val="auto"/>
                <w:sz w:val="21"/>
                <w:szCs w:val="21"/>
                <w:highlight w:val="none"/>
                <w:lang w:val="en-US" w:eastAsia="zh-CN" w:bidi="ar-SA"/>
              </w:rPr>
              <w:t>筹备期招商服务</w:t>
            </w:r>
            <w:r>
              <w:rPr>
                <w:rFonts w:hint="eastAsia" w:ascii="宋体" w:hAnsi="宋体" w:cs="宋体"/>
                <w:color w:val="auto"/>
                <w:sz w:val="21"/>
                <w:szCs w:val="21"/>
                <w:highlight w:val="none"/>
                <w:lang w:val="en-US" w:eastAsia="zh-CN" w:bidi="ar-SA"/>
              </w:rPr>
              <w:t>费=采购人收取的</w:t>
            </w:r>
            <w:r>
              <w:rPr>
                <w:rFonts w:hint="eastAsia" w:ascii="宋体" w:hAnsi="宋体" w:eastAsia="宋体" w:cs="宋体"/>
                <w:caps w:val="0"/>
                <w:color w:val="auto"/>
                <w:spacing w:val="0"/>
                <w:sz w:val="21"/>
                <w:szCs w:val="21"/>
                <w:highlight w:val="none"/>
                <w:lang w:val="en-US" w:eastAsia="zh-CN" w:bidi="ar-SA"/>
              </w:rPr>
              <w:t>3个月含税租金</w:t>
            </w:r>
            <w:r>
              <w:rPr>
                <w:rFonts w:hint="eastAsia" w:ascii="宋体" w:hAnsi="宋体" w:cs="宋体"/>
                <w:caps w:val="0"/>
                <w:color w:val="auto"/>
                <w:spacing w:val="0"/>
                <w:sz w:val="21"/>
                <w:szCs w:val="21"/>
                <w:highlight w:val="none"/>
                <w:lang w:val="en-US" w:eastAsia="zh-CN" w:bidi="ar-SA"/>
              </w:rPr>
              <w:t>*投标折扣率。</w:t>
            </w:r>
          </w:p>
        </w:tc>
        <w:tc>
          <w:tcPr>
            <w:tcW w:w="1644" w:type="dxa"/>
            <w:tcBorders>
              <w:top w:val="single" w:color="auto" w:sz="4" w:space="0"/>
              <w:right w:val="single" w:color="auto" w:sz="4" w:space="0"/>
            </w:tcBorders>
            <w:shd w:val="clear" w:color="auto" w:fill="auto"/>
            <w:tcMar>
              <w:top w:w="0" w:type="dxa"/>
              <w:left w:w="105" w:type="dxa"/>
              <w:bottom w:w="0" w:type="dxa"/>
              <w:right w:w="105" w:type="dxa"/>
            </w:tcMar>
            <w:vAlign w:val="center"/>
          </w:tcPr>
          <w:p w14:paraId="252A7692">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bidi="ar-SA"/>
              </w:rPr>
            </w:pPr>
          </w:p>
          <w:p w14:paraId="1053A602">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1"/>
                <w:szCs w:val="21"/>
                <w:highlight w:val="none"/>
                <w:lang w:val="en-US" w:eastAsia="zh-CN" w:bidi="ar-SA"/>
              </w:rPr>
              <w:t>%</w:t>
            </w:r>
          </w:p>
        </w:tc>
      </w:tr>
      <w:tr w14:paraId="3282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30" w:hRule="atLeast"/>
          <w:jc w:val="center"/>
        </w:trPr>
        <w:tc>
          <w:tcPr>
            <w:tcW w:w="685" w:type="dxa"/>
            <w:tcBorders>
              <w:left w:val="single" w:color="auto" w:sz="4" w:space="0"/>
            </w:tcBorders>
            <w:shd w:val="clear" w:color="auto" w:fill="auto"/>
            <w:tcMar>
              <w:top w:w="0" w:type="dxa"/>
              <w:left w:w="105" w:type="dxa"/>
              <w:bottom w:w="0" w:type="dxa"/>
              <w:right w:w="105" w:type="dxa"/>
            </w:tcMar>
            <w:vAlign w:val="center"/>
          </w:tcPr>
          <w:p w14:paraId="493E0A6F">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eastAsia" w:ascii="宋体" w:hAnsi="宋体" w:eastAsia="宋体" w:cs="宋体"/>
                <w:color w:val="auto"/>
                <w:sz w:val="21"/>
                <w:szCs w:val="21"/>
                <w:highlight w:val="none"/>
                <w:lang w:val="en-US" w:eastAsia="en-US" w:bidi="en-US"/>
              </w:rPr>
            </w:pPr>
            <w:r>
              <w:rPr>
                <w:rFonts w:hint="eastAsia" w:ascii="宋体" w:hAnsi="宋体" w:eastAsia="宋体" w:cs="宋体"/>
                <w:caps w:val="0"/>
                <w:color w:val="auto"/>
                <w:spacing w:val="0"/>
                <w:sz w:val="21"/>
                <w:szCs w:val="21"/>
                <w:highlight w:val="none"/>
                <w:lang w:val="en-US" w:eastAsia="en-US" w:bidi="en-US"/>
              </w:rPr>
              <w:t>3</w:t>
            </w:r>
          </w:p>
        </w:tc>
        <w:tc>
          <w:tcPr>
            <w:tcW w:w="1243" w:type="dxa"/>
            <w:shd w:val="clear" w:color="auto" w:fill="auto"/>
            <w:tcMar>
              <w:top w:w="0" w:type="dxa"/>
              <w:left w:w="105" w:type="dxa"/>
              <w:bottom w:w="0" w:type="dxa"/>
              <w:right w:w="105" w:type="dxa"/>
            </w:tcMar>
            <w:vAlign w:val="center"/>
          </w:tcPr>
          <w:p w14:paraId="69C01E7E">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eastAsia" w:ascii="宋体" w:hAnsi="宋体" w:eastAsia="宋体" w:cs="宋体"/>
                <w:color w:val="auto"/>
                <w:sz w:val="21"/>
                <w:szCs w:val="21"/>
                <w:highlight w:val="none"/>
                <w:lang w:val="en-US" w:eastAsia="en-US" w:bidi="en-US"/>
              </w:rPr>
            </w:pPr>
            <w:r>
              <w:rPr>
                <w:rFonts w:hint="eastAsia" w:ascii="宋体" w:hAnsi="宋体" w:eastAsia="宋体" w:cs="宋体"/>
                <w:caps w:val="0"/>
                <w:color w:val="auto"/>
                <w:spacing w:val="0"/>
                <w:sz w:val="21"/>
                <w:szCs w:val="21"/>
                <w:highlight w:val="none"/>
                <w:lang w:val="en-US" w:eastAsia="zh-CN" w:bidi="ar-SA"/>
              </w:rPr>
              <w:t>品牌授权使用服务</w:t>
            </w:r>
            <w:r>
              <w:rPr>
                <w:rFonts w:hint="eastAsia" w:ascii="宋体" w:hAnsi="宋体" w:cs="宋体"/>
                <w:caps w:val="0"/>
                <w:color w:val="auto"/>
                <w:spacing w:val="0"/>
                <w:sz w:val="21"/>
                <w:szCs w:val="21"/>
                <w:highlight w:val="none"/>
                <w:lang w:val="en-US" w:eastAsia="zh-CN" w:bidi="en-US"/>
              </w:rPr>
              <w:t>费</w:t>
            </w:r>
          </w:p>
        </w:tc>
        <w:tc>
          <w:tcPr>
            <w:tcW w:w="522" w:type="dxa"/>
            <w:shd w:val="clear" w:color="auto" w:fill="auto"/>
            <w:tcMar>
              <w:top w:w="0" w:type="dxa"/>
              <w:left w:w="105" w:type="dxa"/>
              <w:bottom w:w="0" w:type="dxa"/>
              <w:right w:w="105" w:type="dxa"/>
            </w:tcMar>
            <w:vAlign w:val="center"/>
          </w:tcPr>
          <w:p w14:paraId="7D6E674A">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eastAsia" w:ascii="宋体" w:hAnsi="宋体" w:eastAsia="宋体" w:cs="宋体"/>
                <w:color w:val="auto"/>
                <w:sz w:val="21"/>
                <w:szCs w:val="21"/>
                <w:highlight w:val="none"/>
                <w:lang w:val="en-US" w:eastAsia="en-US" w:bidi="en-US"/>
              </w:rPr>
            </w:pPr>
            <w:r>
              <w:rPr>
                <w:rFonts w:hint="eastAsia" w:ascii="宋体" w:hAnsi="宋体" w:eastAsia="宋体" w:cs="宋体"/>
                <w:caps w:val="0"/>
                <w:color w:val="auto"/>
                <w:spacing w:val="0"/>
                <w:sz w:val="21"/>
                <w:szCs w:val="21"/>
                <w:highlight w:val="none"/>
                <w:lang w:val="en-US" w:eastAsia="en-US" w:bidi="en-US"/>
              </w:rPr>
              <w:t>项</w:t>
            </w:r>
          </w:p>
        </w:tc>
        <w:tc>
          <w:tcPr>
            <w:tcW w:w="603" w:type="dxa"/>
            <w:shd w:val="clear" w:color="auto" w:fill="auto"/>
            <w:tcMar>
              <w:top w:w="0" w:type="dxa"/>
              <w:left w:w="105" w:type="dxa"/>
              <w:bottom w:w="0" w:type="dxa"/>
              <w:right w:w="105" w:type="dxa"/>
            </w:tcMar>
            <w:vAlign w:val="center"/>
          </w:tcPr>
          <w:p w14:paraId="019CAFD7">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eastAsia" w:ascii="宋体" w:hAnsi="宋体" w:eastAsia="宋体" w:cs="宋体"/>
                <w:color w:val="auto"/>
                <w:sz w:val="21"/>
                <w:szCs w:val="21"/>
                <w:highlight w:val="none"/>
                <w:lang w:val="en-US" w:eastAsia="zh-CN" w:bidi="en-US"/>
              </w:rPr>
            </w:pPr>
            <w:r>
              <w:rPr>
                <w:rFonts w:hint="eastAsia" w:ascii="宋体" w:hAnsi="宋体" w:cs="宋体"/>
                <w:color w:val="auto"/>
                <w:sz w:val="21"/>
                <w:szCs w:val="21"/>
                <w:highlight w:val="none"/>
                <w:lang w:val="en-US" w:eastAsia="zh-CN" w:bidi="en-US"/>
              </w:rPr>
              <w:t>1</w:t>
            </w:r>
          </w:p>
        </w:tc>
        <w:tc>
          <w:tcPr>
            <w:tcW w:w="2639" w:type="dxa"/>
            <w:shd w:val="clear" w:color="auto" w:fill="auto"/>
            <w:tcMar>
              <w:top w:w="0" w:type="dxa"/>
              <w:left w:w="105" w:type="dxa"/>
              <w:bottom w:w="0" w:type="dxa"/>
              <w:right w:w="105" w:type="dxa"/>
            </w:tcMar>
            <w:vAlign w:val="center"/>
          </w:tcPr>
          <w:p w14:paraId="0D5E57BB">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auto"/>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aps w:val="0"/>
                <w:color w:val="auto"/>
                <w:spacing w:val="0"/>
                <w:sz w:val="21"/>
                <w:szCs w:val="21"/>
                <w:highlight w:val="none"/>
                <w:lang w:val="en-US" w:eastAsia="en-US" w:bidi="en-US"/>
              </w:rPr>
            </w:pPr>
            <w:r>
              <w:rPr>
                <w:rFonts w:hint="eastAsia" w:ascii="宋体" w:hAnsi="宋体" w:eastAsia="宋体" w:cs="宋体"/>
                <w:caps w:val="0"/>
                <w:color w:val="auto"/>
                <w:spacing w:val="0"/>
                <w:sz w:val="21"/>
                <w:szCs w:val="21"/>
                <w:highlight w:val="none"/>
                <w:lang w:val="en-US" w:eastAsia="zh-CN" w:bidi="ar-SA"/>
              </w:rPr>
              <w:t>品牌授权使用服务费</w:t>
            </w:r>
            <w:r>
              <w:rPr>
                <w:rFonts w:hint="eastAsia" w:ascii="宋体" w:hAnsi="宋体" w:cs="宋体"/>
                <w:caps w:val="0"/>
                <w:color w:val="auto"/>
                <w:spacing w:val="0"/>
                <w:sz w:val="21"/>
                <w:szCs w:val="21"/>
                <w:highlight w:val="none"/>
                <w:lang w:val="en-US" w:eastAsia="zh-CN" w:bidi="ar-SA"/>
              </w:rPr>
              <w:t>每年</w:t>
            </w:r>
            <w:r>
              <w:rPr>
                <w:rFonts w:hint="eastAsia" w:ascii="宋体" w:hAnsi="宋体" w:eastAsia="宋体" w:cs="宋体"/>
                <w:caps w:val="0"/>
                <w:color w:val="auto"/>
                <w:spacing w:val="0"/>
                <w:sz w:val="21"/>
                <w:szCs w:val="21"/>
                <w:highlight w:val="none"/>
                <w:lang w:val="en-US" w:eastAsia="zh-CN" w:bidi="ar-SA"/>
              </w:rPr>
              <w:t>不高于</w:t>
            </w:r>
            <w:r>
              <w:rPr>
                <w:rFonts w:hint="eastAsia" w:ascii="宋体" w:hAnsi="宋体" w:cs="宋体"/>
                <w:caps w:val="0"/>
                <w:color w:val="auto"/>
                <w:spacing w:val="0"/>
                <w:sz w:val="21"/>
                <w:szCs w:val="21"/>
                <w:highlight w:val="none"/>
                <w:lang w:val="en-US" w:eastAsia="zh-CN" w:bidi="ar-SA"/>
              </w:rPr>
              <w:t>7</w:t>
            </w:r>
            <w:r>
              <w:rPr>
                <w:rFonts w:hint="eastAsia" w:ascii="宋体" w:hAnsi="宋体" w:eastAsia="宋体" w:cs="宋体"/>
                <w:caps w:val="0"/>
                <w:color w:val="auto"/>
                <w:spacing w:val="0"/>
                <w:sz w:val="21"/>
                <w:szCs w:val="21"/>
                <w:highlight w:val="none"/>
                <w:lang w:val="en-US" w:eastAsia="zh-CN" w:bidi="ar-SA"/>
              </w:rPr>
              <w:t>0万元。</w:t>
            </w:r>
          </w:p>
        </w:tc>
        <w:tc>
          <w:tcPr>
            <w:tcW w:w="2619" w:type="dxa"/>
            <w:shd w:val="clear" w:color="auto" w:fill="auto"/>
            <w:tcMar>
              <w:top w:w="0" w:type="dxa"/>
              <w:left w:w="105" w:type="dxa"/>
              <w:bottom w:w="0" w:type="dxa"/>
              <w:right w:w="105" w:type="dxa"/>
            </w:tcMar>
            <w:vAlign w:val="center"/>
          </w:tcPr>
          <w:p w14:paraId="67A14CB8">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eastAsia="宋体" w:cs="宋体"/>
                <w:color w:val="auto"/>
                <w:kern w:val="0"/>
                <w:sz w:val="21"/>
                <w:szCs w:val="21"/>
                <w:highlight w:val="none"/>
                <w:lang w:val="en-US" w:eastAsia="zh-CN" w:bidi="en-US"/>
              </w:rPr>
            </w:pPr>
            <w:r>
              <w:rPr>
                <w:rFonts w:hint="eastAsia" w:ascii="宋体" w:hAnsi="宋体" w:eastAsia="宋体" w:cs="宋体"/>
                <w:caps w:val="0"/>
                <w:color w:val="auto"/>
                <w:spacing w:val="0"/>
                <w:sz w:val="21"/>
                <w:szCs w:val="21"/>
                <w:highlight w:val="none"/>
                <w:lang w:val="en-US" w:eastAsia="zh-CN" w:bidi="ar-SA"/>
              </w:rPr>
              <w:t>品牌授权使用服务费</w:t>
            </w:r>
            <w:r>
              <w:rPr>
                <w:rFonts w:hint="eastAsia" w:ascii="宋体" w:hAnsi="宋体" w:cs="宋体"/>
                <w:caps w:val="0"/>
                <w:color w:val="auto"/>
                <w:spacing w:val="0"/>
                <w:sz w:val="21"/>
                <w:szCs w:val="21"/>
                <w:highlight w:val="none"/>
                <w:lang w:val="en-US" w:eastAsia="zh-CN" w:bidi="ar-SA"/>
              </w:rPr>
              <w:t>：投标报价时品牌授权使用服务费按年进行测算填报投标报价</w:t>
            </w:r>
            <w:r>
              <w:rPr>
                <w:rFonts w:hint="eastAsia" w:ascii="宋体" w:hAnsi="宋体" w:eastAsia="宋体" w:cs="宋体"/>
                <w:color w:val="auto"/>
                <w:kern w:val="0"/>
                <w:sz w:val="21"/>
                <w:szCs w:val="21"/>
                <w:highlight w:val="none"/>
                <w:lang w:val="en-US" w:eastAsia="zh-CN" w:bidi="en-US"/>
              </w:rPr>
              <w:t>，报价不得超过年度最高限价，否则投标无效；</w:t>
            </w:r>
          </w:p>
          <w:p w14:paraId="599DCDAE">
            <w:pPr>
              <w:pStyle w:val="2"/>
              <w:ind w:left="0" w:leftChars="0" w:firstLine="0" w:firstLineChars="0"/>
              <w:rPr>
                <w:rFonts w:hint="eastAsia"/>
                <w:lang w:val="zh-CN" w:eastAsia="en-US"/>
              </w:rPr>
            </w:pPr>
            <w:r>
              <w:rPr>
                <w:rFonts w:hint="eastAsia" w:ascii="宋体" w:hAnsi="宋体" w:eastAsia="宋体" w:cs="宋体"/>
                <w:b w:val="0"/>
                <w:bCs w:val="0"/>
                <w:color w:val="auto"/>
                <w:sz w:val="21"/>
                <w:szCs w:val="21"/>
                <w:highlight w:val="none"/>
                <w:lang w:val="en-US" w:eastAsia="zh-CN"/>
              </w:rPr>
              <w:t>最终结算金额=投标</w:t>
            </w:r>
            <w:r>
              <w:rPr>
                <w:rFonts w:hint="eastAsia" w:ascii="宋体" w:hAnsi="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w:t>
            </w:r>
          </w:p>
        </w:tc>
        <w:tc>
          <w:tcPr>
            <w:tcW w:w="1644" w:type="dxa"/>
            <w:tcBorders>
              <w:right w:val="single" w:color="auto" w:sz="4" w:space="0"/>
            </w:tcBorders>
            <w:shd w:val="clear" w:color="auto" w:fill="auto"/>
            <w:tcMar>
              <w:top w:w="0" w:type="dxa"/>
              <w:left w:w="105" w:type="dxa"/>
              <w:bottom w:w="0" w:type="dxa"/>
              <w:right w:w="105" w:type="dxa"/>
            </w:tcMar>
            <w:vAlign w:val="center"/>
          </w:tcPr>
          <w:p w14:paraId="08508871">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bidi="ar-SA"/>
              </w:rPr>
            </w:pPr>
          </w:p>
          <w:p w14:paraId="007ADE55">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kern w:val="0"/>
                <w:sz w:val="21"/>
                <w:szCs w:val="21"/>
                <w:highlight w:val="none"/>
                <w:lang w:val="en-US" w:eastAsia="zh-CN" w:bidi="en-US"/>
              </w:rPr>
            </w:pPr>
          </w:p>
          <w:p w14:paraId="48AD676C">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kern w:val="0"/>
                <w:sz w:val="21"/>
                <w:szCs w:val="21"/>
                <w:highlight w:val="none"/>
                <w:lang w:val="en-US" w:eastAsia="zh-CN" w:bidi="en-US"/>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kern w:val="0"/>
                <w:sz w:val="21"/>
                <w:szCs w:val="21"/>
                <w:highlight w:val="none"/>
                <w:lang w:val="en-US" w:eastAsia="zh-CN" w:bidi="en-US"/>
              </w:rPr>
              <w:t>元</w:t>
            </w:r>
          </w:p>
        </w:tc>
      </w:tr>
      <w:tr w14:paraId="5CB2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0" w:hRule="atLeast"/>
          <w:jc w:val="center"/>
        </w:trPr>
        <w:tc>
          <w:tcPr>
            <w:tcW w:w="685" w:type="dxa"/>
            <w:tcBorders>
              <w:left w:val="single" w:color="auto" w:sz="4" w:space="0"/>
            </w:tcBorders>
            <w:shd w:val="clear" w:color="auto" w:fill="auto"/>
            <w:tcMar>
              <w:top w:w="0" w:type="dxa"/>
              <w:left w:w="105" w:type="dxa"/>
              <w:bottom w:w="0" w:type="dxa"/>
              <w:right w:w="105" w:type="dxa"/>
            </w:tcMar>
            <w:vAlign w:val="center"/>
          </w:tcPr>
          <w:p w14:paraId="36C89CBD">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eastAsia" w:ascii="宋体" w:hAnsi="宋体" w:eastAsia="宋体" w:cs="宋体"/>
                <w:caps w:val="0"/>
                <w:color w:val="auto"/>
                <w:spacing w:val="0"/>
                <w:sz w:val="21"/>
                <w:szCs w:val="21"/>
                <w:highlight w:val="none"/>
                <w:lang w:val="en-US" w:eastAsia="zh-CN" w:bidi="en-US"/>
              </w:rPr>
            </w:pPr>
            <w:r>
              <w:rPr>
                <w:rFonts w:hint="eastAsia" w:ascii="宋体" w:hAnsi="宋体" w:cs="宋体"/>
                <w:caps w:val="0"/>
                <w:color w:val="auto"/>
                <w:spacing w:val="0"/>
                <w:sz w:val="21"/>
                <w:szCs w:val="21"/>
                <w:highlight w:val="none"/>
                <w:lang w:val="en-US" w:eastAsia="zh-CN" w:bidi="en-US"/>
              </w:rPr>
              <w:t>4</w:t>
            </w:r>
          </w:p>
        </w:tc>
        <w:tc>
          <w:tcPr>
            <w:tcW w:w="1243" w:type="dxa"/>
            <w:shd w:val="clear" w:color="auto" w:fill="auto"/>
            <w:tcMar>
              <w:top w:w="0" w:type="dxa"/>
              <w:left w:w="105" w:type="dxa"/>
              <w:bottom w:w="0" w:type="dxa"/>
              <w:right w:w="105" w:type="dxa"/>
            </w:tcMar>
            <w:vAlign w:val="center"/>
          </w:tcPr>
          <w:p w14:paraId="39E4846C">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eastAsia" w:ascii="宋体" w:hAnsi="宋体" w:eastAsia="宋体" w:cs="宋体"/>
                <w:caps w:val="0"/>
                <w:color w:val="auto"/>
                <w:spacing w:val="0"/>
                <w:sz w:val="21"/>
                <w:szCs w:val="21"/>
                <w:highlight w:val="none"/>
                <w:lang w:val="en-US" w:eastAsia="zh-CN" w:bidi="ar-SA"/>
              </w:rPr>
            </w:pPr>
            <w:r>
              <w:rPr>
                <w:rFonts w:hint="eastAsia" w:ascii="宋体" w:hAnsi="宋体" w:eastAsia="宋体" w:cs="宋体"/>
                <w:caps w:val="0"/>
                <w:color w:val="auto"/>
                <w:spacing w:val="0"/>
                <w:sz w:val="21"/>
                <w:szCs w:val="21"/>
                <w:highlight w:val="none"/>
                <w:lang w:val="en-US" w:eastAsia="zh-CN" w:bidi="ar-SA"/>
              </w:rPr>
              <w:t>招商团队固定费用</w:t>
            </w:r>
          </w:p>
        </w:tc>
        <w:tc>
          <w:tcPr>
            <w:tcW w:w="522" w:type="dxa"/>
            <w:shd w:val="clear" w:color="auto" w:fill="auto"/>
            <w:tcMar>
              <w:top w:w="0" w:type="dxa"/>
              <w:left w:w="105" w:type="dxa"/>
              <w:bottom w:w="0" w:type="dxa"/>
              <w:right w:w="105" w:type="dxa"/>
            </w:tcMar>
            <w:vAlign w:val="center"/>
          </w:tcPr>
          <w:p w14:paraId="33688590">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eastAsia" w:ascii="宋体" w:hAnsi="宋体" w:eastAsia="宋体" w:cs="宋体"/>
                <w:caps w:val="0"/>
                <w:color w:val="auto"/>
                <w:spacing w:val="0"/>
                <w:sz w:val="21"/>
                <w:szCs w:val="21"/>
                <w:highlight w:val="none"/>
                <w:lang w:val="en-US" w:eastAsia="en-US" w:bidi="en-US"/>
              </w:rPr>
            </w:pPr>
            <w:r>
              <w:rPr>
                <w:rFonts w:hint="eastAsia" w:ascii="宋体" w:hAnsi="宋体" w:eastAsia="宋体" w:cs="宋体"/>
                <w:caps w:val="0"/>
                <w:color w:val="auto"/>
                <w:spacing w:val="0"/>
                <w:sz w:val="21"/>
                <w:szCs w:val="21"/>
                <w:highlight w:val="none"/>
                <w:lang w:val="en-US" w:eastAsia="en-US" w:bidi="en-US"/>
              </w:rPr>
              <w:t>项</w:t>
            </w:r>
          </w:p>
        </w:tc>
        <w:tc>
          <w:tcPr>
            <w:tcW w:w="603" w:type="dxa"/>
            <w:shd w:val="clear" w:color="auto" w:fill="auto"/>
            <w:tcMar>
              <w:top w:w="0" w:type="dxa"/>
              <w:left w:w="105" w:type="dxa"/>
              <w:bottom w:w="0" w:type="dxa"/>
              <w:right w:w="105" w:type="dxa"/>
            </w:tcMar>
            <w:vAlign w:val="center"/>
          </w:tcPr>
          <w:p w14:paraId="425C09E4">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eastAsia" w:ascii="宋体" w:hAnsi="宋体" w:cs="宋体"/>
                <w:color w:val="auto"/>
                <w:sz w:val="21"/>
                <w:szCs w:val="21"/>
                <w:highlight w:val="none"/>
                <w:lang w:val="en-US" w:eastAsia="zh-CN" w:bidi="en-US"/>
              </w:rPr>
            </w:pPr>
            <w:r>
              <w:rPr>
                <w:rFonts w:hint="eastAsia" w:ascii="宋体" w:hAnsi="宋体" w:cs="宋体"/>
                <w:color w:val="auto"/>
                <w:sz w:val="21"/>
                <w:szCs w:val="21"/>
                <w:highlight w:val="none"/>
                <w:lang w:val="en-US" w:eastAsia="zh-CN" w:bidi="en-US"/>
              </w:rPr>
              <w:t>1</w:t>
            </w:r>
          </w:p>
        </w:tc>
        <w:tc>
          <w:tcPr>
            <w:tcW w:w="2639" w:type="dxa"/>
            <w:shd w:val="clear" w:color="auto" w:fill="auto"/>
            <w:tcMar>
              <w:top w:w="0" w:type="dxa"/>
              <w:left w:w="105" w:type="dxa"/>
              <w:bottom w:w="0" w:type="dxa"/>
              <w:right w:w="105" w:type="dxa"/>
            </w:tcMar>
            <w:vAlign w:val="center"/>
          </w:tcPr>
          <w:p w14:paraId="7C711181">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aps w:val="0"/>
                <w:color w:val="auto"/>
                <w:spacing w:val="0"/>
                <w:sz w:val="21"/>
                <w:szCs w:val="21"/>
                <w:highlight w:val="none"/>
                <w:lang w:val="en-US" w:eastAsia="zh-CN" w:bidi="ar-SA"/>
              </w:rPr>
            </w:pPr>
            <w:r>
              <w:rPr>
                <w:rFonts w:hint="eastAsia" w:ascii="宋体" w:hAnsi="宋体" w:eastAsia="宋体" w:cs="宋体"/>
                <w:caps w:val="0"/>
                <w:color w:val="auto"/>
                <w:spacing w:val="0"/>
                <w:sz w:val="21"/>
                <w:szCs w:val="21"/>
                <w:highlight w:val="none"/>
                <w:lang w:val="en-US" w:eastAsia="zh-CN" w:bidi="ar-SA"/>
              </w:rPr>
              <w:t>20万元/月</w:t>
            </w:r>
          </w:p>
        </w:tc>
        <w:tc>
          <w:tcPr>
            <w:tcW w:w="2619" w:type="dxa"/>
            <w:shd w:val="clear" w:color="auto" w:fill="auto"/>
            <w:tcMar>
              <w:top w:w="0" w:type="dxa"/>
              <w:left w:w="105" w:type="dxa"/>
              <w:bottom w:w="0" w:type="dxa"/>
              <w:right w:w="105" w:type="dxa"/>
            </w:tcMar>
            <w:vAlign w:val="center"/>
          </w:tcPr>
          <w:p w14:paraId="15457EB7">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default" w:ascii="宋体" w:hAnsi="宋体" w:eastAsia="宋体" w:cs="宋体"/>
                <w:caps w:val="0"/>
                <w:color w:val="auto"/>
                <w:spacing w:val="0"/>
                <w:sz w:val="21"/>
                <w:szCs w:val="21"/>
                <w:highlight w:val="none"/>
                <w:lang w:val="en-US" w:eastAsia="zh-CN" w:bidi="ar-SA"/>
              </w:rPr>
            </w:pPr>
            <w:r>
              <w:rPr>
                <w:rFonts w:hint="eastAsia" w:ascii="宋体" w:hAnsi="宋体" w:eastAsia="宋体" w:cs="宋体"/>
                <w:caps w:val="0"/>
                <w:color w:val="auto"/>
                <w:spacing w:val="0"/>
                <w:sz w:val="21"/>
                <w:szCs w:val="21"/>
                <w:highlight w:val="none"/>
                <w:lang w:val="en-US" w:eastAsia="zh-CN" w:bidi="ar-SA"/>
              </w:rPr>
              <w:t>固定</w:t>
            </w:r>
            <w:r>
              <w:rPr>
                <w:rFonts w:hint="eastAsia" w:ascii="宋体" w:hAnsi="宋体" w:cs="宋体"/>
                <w:caps w:val="0"/>
                <w:color w:val="auto"/>
                <w:spacing w:val="0"/>
                <w:sz w:val="21"/>
                <w:szCs w:val="21"/>
                <w:highlight w:val="none"/>
                <w:lang w:val="en-US" w:eastAsia="zh-CN" w:bidi="ar-SA"/>
              </w:rPr>
              <w:t>报价，不作竞争。</w:t>
            </w:r>
          </w:p>
        </w:tc>
        <w:tc>
          <w:tcPr>
            <w:tcW w:w="1644" w:type="dxa"/>
            <w:tcBorders>
              <w:right w:val="single" w:color="auto" w:sz="4" w:space="0"/>
            </w:tcBorders>
            <w:shd w:val="clear" w:color="auto" w:fill="auto"/>
            <w:tcMar>
              <w:top w:w="0" w:type="dxa"/>
              <w:left w:w="105" w:type="dxa"/>
              <w:bottom w:w="0" w:type="dxa"/>
              <w:right w:w="105" w:type="dxa"/>
            </w:tcMar>
            <w:vAlign w:val="center"/>
          </w:tcPr>
          <w:p w14:paraId="5DD23E6C">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20万元/月</w:t>
            </w:r>
          </w:p>
        </w:tc>
      </w:tr>
      <w:tr w14:paraId="1EC3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0" w:hRule="atLeast"/>
          <w:jc w:val="center"/>
        </w:trPr>
        <w:tc>
          <w:tcPr>
            <w:tcW w:w="685" w:type="dxa"/>
            <w:tcBorders>
              <w:left w:val="single" w:color="auto" w:sz="4" w:space="0"/>
              <w:bottom w:val="single" w:color="auto" w:sz="4" w:space="0"/>
            </w:tcBorders>
            <w:shd w:val="clear" w:color="auto" w:fill="auto"/>
            <w:tcMar>
              <w:top w:w="0" w:type="dxa"/>
              <w:left w:w="105" w:type="dxa"/>
              <w:bottom w:w="0" w:type="dxa"/>
              <w:right w:w="105" w:type="dxa"/>
            </w:tcMar>
            <w:vAlign w:val="center"/>
          </w:tcPr>
          <w:p w14:paraId="56DEFFCC">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default" w:ascii="宋体" w:hAnsi="宋体" w:cs="宋体"/>
                <w:caps w:val="0"/>
                <w:color w:val="auto"/>
                <w:spacing w:val="0"/>
                <w:sz w:val="21"/>
                <w:szCs w:val="21"/>
                <w:highlight w:val="none"/>
                <w:lang w:val="en-US" w:eastAsia="zh-CN" w:bidi="en-US"/>
              </w:rPr>
            </w:pPr>
            <w:r>
              <w:rPr>
                <w:rFonts w:hint="eastAsia" w:ascii="宋体" w:hAnsi="宋体" w:cs="宋体"/>
                <w:caps w:val="0"/>
                <w:color w:val="auto"/>
                <w:spacing w:val="0"/>
                <w:sz w:val="21"/>
                <w:szCs w:val="21"/>
                <w:highlight w:val="none"/>
                <w:lang w:val="en-US" w:eastAsia="zh-CN" w:bidi="en-US"/>
              </w:rPr>
              <w:t>5</w:t>
            </w:r>
          </w:p>
        </w:tc>
        <w:tc>
          <w:tcPr>
            <w:tcW w:w="1243" w:type="dxa"/>
            <w:tcBorders>
              <w:bottom w:val="single" w:color="auto" w:sz="4" w:space="0"/>
            </w:tcBorders>
            <w:shd w:val="clear" w:color="auto" w:fill="auto"/>
            <w:tcMar>
              <w:top w:w="0" w:type="dxa"/>
              <w:left w:w="105" w:type="dxa"/>
              <w:bottom w:w="0" w:type="dxa"/>
              <w:right w:w="105" w:type="dxa"/>
            </w:tcMar>
            <w:vAlign w:val="center"/>
          </w:tcPr>
          <w:p w14:paraId="7AF3ABA1">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eastAsia" w:ascii="宋体" w:hAnsi="宋体" w:eastAsia="宋体" w:cs="宋体"/>
                <w:caps w:val="0"/>
                <w:color w:val="auto"/>
                <w:spacing w:val="0"/>
                <w:sz w:val="21"/>
                <w:szCs w:val="21"/>
                <w:highlight w:val="none"/>
                <w:lang w:val="en-US" w:eastAsia="zh-CN" w:bidi="ar-SA"/>
              </w:rPr>
            </w:pPr>
            <w:r>
              <w:rPr>
                <w:rFonts w:hint="eastAsia" w:ascii="宋体" w:hAnsi="宋体" w:eastAsia="宋体" w:cs="宋体"/>
                <w:caps w:val="0"/>
                <w:color w:val="auto"/>
                <w:spacing w:val="0"/>
                <w:sz w:val="21"/>
                <w:szCs w:val="21"/>
                <w:highlight w:val="none"/>
                <w:lang w:val="en-US" w:eastAsia="zh-CN" w:bidi="ar-SA"/>
              </w:rPr>
              <w:t>运营团队固定费用</w:t>
            </w:r>
          </w:p>
        </w:tc>
        <w:tc>
          <w:tcPr>
            <w:tcW w:w="522" w:type="dxa"/>
            <w:shd w:val="clear" w:color="auto" w:fill="auto"/>
            <w:tcMar>
              <w:top w:w="0" w:type="dxa"/>
              <w:left w:w="105" w:type="dxa"/>
              <w:bottom w:w="0" w:type="dxa"/>
              <w:right w:w="105" w:type="dxa"/>
            </w:tcMar>
            <w:vAlign w:val="center"/>
          </w:tcPr>
          <w:p w14:paraId="3CF8A5EC">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eastAsia" w:ascii="宋体" w:hAnsi="宋体" w:eastAsia="宋体" w:cs="宋体"/>
                <w:caps w:val="0"/>
                <w:color w:val="auto"/>
                <w:spacing w:val="0"/>
                <w:sz w:val="21"/>
                <w:szCs w:val="21"/>
                <w:highlight w:val="none"/>
                <w:lang w:val="en-US" w:eastAsia="en-US" w:bidi="en-US"/>
              </w:rPr>
            </w:pPr>
            <w:r>
              <w:rPr>
                <w:rFonts w:hint="eastAsia" w:ascii="宋体" w:hAnsi="宋体" w:eastAsia="宋体" w:cs="宋体"/>
                <w:caps w:val="0"/>
                <w:color w:val="auto"/>
                <w:spacing w:val="0"/>
                <w:sz w:val="21"/>
                <w:szCs w:val="21"/>
                <w:highlight w:val="none"/>
                <w:lang w:val="en-US" w:eastAsia="en-US" w:bidi="en-US"/>
              </w:rPr>
              <w:t>项</w:t>
            </w:r>
          </w:p>
        </w:tc>
        <w:tc>
          <w:tcPr>
            <w:tcW w:w="603" w:type="dxa"/>
            <w:shd w:val="clear" w:color="auto" w:fill="auto"/>
            <w:tcMar>
              <w:top w:w="0" w:type="dxa"/>
              <w:left w:w="105" w:type="dxa"/>
              <w:bottom w:w="0" w:type="dxa"/>
              <w:right w:w="105" w:type="dxa"/>
            </w:tcMar>
            <w:vAlign w:val="center"/>
          </w:tcPr>
          <w:p w14:paraId="408A944E">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jc w:val="center"/>
              <w:textAlignment w:val="auto"/>
              <w:rPr>
                <w:rFonts w:hint="eastAsia" w:ascii="宋体" w:hAnsi="宋体" w:cs="宋体"/>
                <w:color w:val="auto"/>
                <w:sz w:val="21"/>
                <w:szCs w:val="21"/>
                <w:highlight w:val="none"/>
                <w:lang w:val="en-US" w:eastAsia="zh-CN" w:bidi="en-US"/>
              </w:rPr>
            </w:pPr>
            <w:r>
              <w:rPr>
                <w:rFonts w:hint="eastAsia" w:ascii="宋体" w:hAnsi="宋体" w:cs="宋体"/>
                <w:color w:val="auto"/>
                <w:sz w:val="21"/>
                <w:szCs w:val="21"/>
                <w:highlight w:val="none"/>
                <w:lang w:val="en-US" w:eastAsia="zh-CN" w:bidi="en-US"/>
              </w:rPr>
              <w:t>1</w:t>
            </w:r>
          </w:p>
        </w:tc>
        <w:tc>
          <w:tcPr>
            <w:tcW w:w="2639" w:type="dxa"/>
            <w:shd w:val="clear" w:color="auto" w:fill="auto"/>
            <w:tcMar>
              <w:top w:w="0" w:type="dxa"/>
              <w:left w:w="105" w:type="dxa"/>
              <w:bottom w:w="0" w:type="dxa"/>
              <w:right w:w="105" w:type="dxa"/>
            </w:tcMar>
            <w:vAlign w:val="center"/>
          </w:tcPr>
          <w:p w14:paraId="4BA5377F">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aps w:val="0"/>
                <w:color w:val="auto"/>
                <w:spacing w:val="0"/>
                <w:sz w:val="21"/>
                <w:szCs w:val="21"/>
                <w:highlight w:val="none"/>
                <w:lang w:val="en-US" w:eastAsia="zh-CN" w:bidi="ar-SA"/>
              </w:rPr>
            </w:pPr>
            <w:r>
              <w:rPr>
                <w:rFonts w:hint="eastAsia" w:ascii="宋体" w:hAnsi="宋体" w:eastAsia="宋体" w:cs="宋体"/>
                <w:caps w:val="0"/>
                <w:color w:val="auto"/>
                <w:spacing w:val="0"/>
                <w:sz w:val="21"/>
                <w:szCs w:val="21"/>
                <w:highlight w:val="none"/>
                <w:lang w:val="en-US" w:eastAsia="zh-CN" w:bidi="ar-SA"/>
              </w:rPr>
              <w:t>25万元/月</w:t>
            </w:r>
          </w:p>
        </w:tc>
        <w:tc>
          <w:tcPr>
            <w:tcW w:w="2619" w:type="dxa"/>
            <w:shd w:val="clear" w:color="auto" w:fill="auto"/>
            <w:tcMar>
              <w:top w:w="0" w:type="dxa"/>
              <w:left w:w="105" w:type="dxa"/>
              <w:bottom w:w="0" w:type="dxa"/>
              <w:right w:w="105" w:type="dxa"/>
            </w:tcMar>
            <w:vAlign w:val="center"/>
          </w:tcPr>
          <w:p w14:paraId="78AE165A">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eastAsia="宋体" w:cs="宋体"/>
                <w:caps w:val="0"/>
                <w:color w:val="auto"/>
                <w:spacing w:val="0"/>
                <w:sz w:val="21"/>
                <w:szCs w:val="21"/>
                <w:highlight w:val="none"/>
                <w:lang w:val="en-US" w:eastAsia="zh-CN" w:bidi="ar-SA"/>
              </w:rPr>
            </w:pPr>
            <w:r>
              <w:rPr>
                <w:rFonts w:hint="eastAsia" w:ascii="宋体" w:hAnsi="宋体" w:eastAsia="宋体" w:cs="宋体"/>
                <w:caps w:val="0"/>
                <w:color w:val="auto"/>
                <w:spacing w:val="0"/>
                <w:sz w:val="21"/>
                <w:szCs w:val="21"/>
                <w:highlight w:val="none"/>
                <w:lang w:val="en-US" w:eastAsia="zh-CN" w:bidi="ar-SA"/>
              </w:rPr>
              <w:t>固定</w:t>
            </w:r>
            <w:r>
              <w:rPr>
                <w:rFonts w:hint="eastAsia" w:ascii="宋体" w:hAnsi="宋体" w:cs="宋体"/>
                <w:caps w:val="0"/>
                <w:color w:val="auto"/>
                <w:spacing w:val="0"/>
                <w:sz w:val="21"/>
                <w:szCs w:val="21"/>
                <w:highlight w:val="none"/>
                <w:lang w:val="en-US" w:eastAsia="zh-CN" w:bidi="ar-SA"/>
              </w:rPr>
              <w:t>报价，不作竞争。</w:t>
            </w:r>
          </w:p>
        </w:tc>
        <w:tc>
          <w:tcPr>
            <w:tcW w:w="1644" w:type="dxa"/>
            <w:tcBorders>
              <w:right w:val="single" w:color="auto" w:sz="4" w:space="0"/>
            </w:tcBorders>
            <w:shd w:val="clear" w:color="auto" w:fill="auto"/>
            <w:tcMar>
              <w:top w:w="0" w:type="dxa"/>
              <w:left w:w="105" w:type="dxa"/>
              <w:bottom w:w="0" w:type="dxa"/>
              <w:right w:w="105" w:type="dxa"/>
            </w:tcMar>
            <w:vAlign w:val="center"/>
          </w:tcPr>
          <w:p w14:paraId="2BEEB062">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vertAlign w:val="baseline"/>
                <w:lang w:val="en-US" w:eastAsia="zh-CN"/>
              </w:rPr>
              <w:t>25万元/月</w:t>
            </w:r>
          </w:p>
        </w:tc>
      </w:tr>
    </w:tbl>
    <w:p w14:paraId="686D1690">
      <w:pPr>
        <w:pStyle w:val="16"/>
        <w:shd w:val="clear" w:color="auto" w:fill="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bidi="ar-SA"/>
        </w:rPr>
        <w:t>注：</w:t>
      </w:r>
      <w:r>
        <w:rPr>
          <w:rFonts w:hint="eastAsia" w:ascii="宋体" w:hAnsi="宋体" w:eastAsia="宋体" w:cs="宋体"/>
          <w:color w:val="auto"/>
          <w:sz w:val="22"/>
          <w:szCs w:val="22"/>
          <w:highlight w:val="none"/>
        </w:rPr>
        <w:t xml:space="preserve">      </w:t>
      </w:r>
    </w:p>
    <w:p w14:paraId="214CEDF4">
      <w:pPr>
        <w:pStyle w:val="16"/>
        <w:numPr>
          <w:ilvl w:val="0"/>
          <w:numId w:val="4"/>
        </w:numPr>
        <w:shd w:val="clear" w:color="auto" w:fill="auto"/>
        <w:wordWrap w:val="0"/>
        <w:adjustRightInd w:val="0"/>
        <w:snapToGrid w:val="0"/>
        <w:spacing w:line="360" w:lineRule="auto"/>
        <w:rPr>
          <w:rFonts w:hint="eastAsia"/>
          <w:color w:val="auto"/>
        </w:rPr>
      </w:pPr>
      <w:r>
        <w:rPr>
          <w:rFonts w:hint="eastAsia" w:ascii="宋体" w:hAnsi="宋体" w:eastAsia="宋体" w:cs="宋体"/>
          <w:color w:val="auto"/>
          <w:sz w:val="22"/>
          <w:szCs w:val="22"/>
          <w:highlight w:val="none"/>
        </w:rPr>
        <w:t>▲开标一览表中报价为符合采购文件要求的项目投标</w:t>
      </w:r>
      <w:r>
        <w:rPr>
          <w:rFonts w:hint="eastAsia" w:hAnsi="宋体" w:cs="宋体"/>
          <w:color w:val="auto"/>
          <w:sz w:val="22"/>
          <w:szCs w:val="22"/>
          <w:highlight w:val="none"/>
          <w:lang w:val="en-US" w:eastAsia="zh-CN"/>
        </w:rPr>
        <w:t>报</w:t>
      </w:r>
      <w:r>
        <w:rPr>
          <w:rFonts w:hint="eastAsia" w:ascii="宋体" w:hAnsi="宋体" w:eastAsia="宋体" w:cs="宋体"/>
          <w:color w:val="auto"/>
          <w:sz w:val="22"/>
          <w:szCs w:val="22"/>
          <w:highlight w:val="none"/>
        </w:rPr>
        <w:t>价（含税等费用），招标代理费及其它需要的费用。</w:t>
      </w:r>
    </w:p>
    <w:p w14:paraId="2C258224">
      <w:pPr>
        <w:pStyle w:val="17"/>
        <w:shd w:val="clear" w:color="auto" w:fill="auto"/>
        <w:wordWrap w:val="0"/>
        <w:spacing w:line="360" w:lineRule="auto"/>
        <w:ind w:left="0" w:leftChars="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、▲不提供此表格的将视为没有实质性响应采购文件。</w:t>
      </w:r>
    </w:p>
    <w:p w14:paraId="44E0C8E2">
      <w:pPr>
        <w:rPr>
          <w:rFonts w:hint="eastAsia"/>
          <w:color w:val="auto"/>
          <w:lang w:val="zh-CN"/>
        </w:rPr>
      </w:pPr>
    </w:p>
    <w:p w14:paraId="7175FDE5">
      <w:pPr>
        <w:shd w:val="clear" w:color="auto" w:fill="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14:paraId="625088D2">
      <w:pPr>
        <w:shd w:val="clear" w:color="auto" w:fill="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法定代表人或授权代表（签字或盖章）：</w:t>
      </w:r>
    </w:p>
    <w:p w14:paraId="10E95CD0">
      <w:pPr>
        <w:shd w:val="clear" w:color="auto" w:fill="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lang w:val="zh-CN"/>
        </w:rPr>
        <w:t>日期：</w:t>
      </w:r>
    </w:p>
    <w:p w14:paraId="6C1BE582">
      <w:pPr>
        <w:shd w:val="clear" w:color="auto" w:fill="auto"/>
        <w:wordWrap w:val="0"/>
        <w:autoSpaceDE w:val="0"/>
        <w:autoSpaceDN w:val="0"/>
        <w:adjustRightInd w:val="0"/>
        <w:spacing w:line="360" w:lineRule="auto"/>
        <w:rPr>
          <w:rFonts w:hint="eastAsia" w:ascii="宋体" w:hAnsi="宋体" w:eastAsia="宋体" w:cs="宋体"/>
          <w:b/>
          <w:color w:val="auto"/>
          <w:sz w:val="30"/>
          <w:highlight w:val="none"/>
          <w:lang w:val="zh-CN"/>
        </w:rPr>
      </w:pPr>
    </w:p>
    <w:p w14:paraId="7E1FA116">
      <w:pPr>
        <w:pStyle w:val="16"/>
        <w:shd w:val="clear" w:color="auto" w:fill="auto"/>
        <w:wordWrap w:val="0"/>
        <w:spacing w:line="360" w:lineRule="auto"/>
        <w:rPr>
          <w:rFonts w:hint="eastAsia" w:ascii="宋体" w:hAnsi="宋体" w:eastAsia="宋体" w:cs="宋体"/>
          <w:b/>
          <w:color w:val="auto"/>
          <w:sz w:val="30"/>
          <w:highlight w:val="none"/>
        </w:rPr>
        <w:sectPr>
          <w:pgSz w:w="11906" w:h="16838"/>
          <w:pgMar w:top="1440" w:right="1361" w:bottom="1440" w:left="1361" w:header="851" w:footer="992" w:gutter="0"/>
          <w:cols w:space="720" w:num="1"/>
          <w:docGrid w:linePitch="312" w:charSpace="0"/>
        </w:sectPr>
      </w:pPr>
    </w:p>
    <w:p w14:paraId="65E33B1B">
      <w:pPr>
        <w:shd w:val="clear" w:color="auto" w:fill="auto"/>
        <w:wordWrap w:val="0"/>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w:t>
      </w:r>
      <w:r>
        <w:rPr>
          <w:rFonts w:hint="eastAsia" w:ascii="宋体" w:hAnsi="宋体" w:cs="宋体"/>
          <w:b/>
          <w:bCs/>
          <w:color w:val="auto"/>
          <w:kern w:val="2"/>
          <w:sz w:val="24"/>
          <w:szCs w:val="24"/>
          <w:highlight w:val="none"/>
          <w:lang w:val="en-US" w:eastAsia="zh-CN" w:bidi="ar-SA"/>
        </w:rPr>
        <w:t>4</w:t>
      </w:r>
      <w:r>
        <w:rPr>
          <w:rFonts w:hint="eastAsia" w:ascii="宋体" w:hAnsi="宋体" w:eastAsia="宋体" w:cs="宋体"/>
          <w:b/>
          <w:bCs/>
          <w:color w:val="auto"/>
          <w:kern w:val="2"/>
          <w:sz w:val="24"/>
          <w:szCs w:val="24"/>
          <w:highlight w:val="none"/>
          <w:lang w:val="en-US" w:eastAsia="zh-CN" w:bidi="ar-SA"/>
        </w:rPr>
        <w:t>中小企业声明函、监狱企业、残疾人福利性单位及其他相关的充分的证明材料</w:t>
      </w:r>
    </w:p>
    <w:p w14:paraId="11BC959F">
      <w:pPr>
        <w:shd w:val="clear" w:color="auto" w:fill="auto"/>
        <w:wordWrap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中小企业声明函及其相关的充分的证明材料中小企业声明函</w:t>
      </w:r>
    </w:p>
    <w:p w14:paraId="12670B09">
      <w:pPr>
        <w:shd w:val="clear" w:color="auto" w:fill="auto"/>
        <w:wordWrap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【不属于中小企业的无需填写、递交】</w:t>
      </w:r>
    </w:p>
    <w:p w14:paraId="2CF74F01">
      <w:pPr>
        <w:shd w:val="clear" w:color="auto" w:fill="auto"/>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中小企业声明函（服务、工程）</w:t>
      </w:r>
    </w:p>
    <w:p w14:paraId="7BC5C7C3">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采购活动，工程的施工单位全部为符合政策要求的中小企业（或者</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服务全部由符合政策要求的中小企业承接）。相关企业（含联合体中的中小企业、签订分包意向协议的中小企业）的具体情况如下</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2306E82D">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cs="宋体"/>
          <w:color w:val="auto"/>
          <w:sz w:val="22"/>
          <w:szCs w:val="22"/>
          <w:highlight w:val="none"/>
          <w:u w:val="single"/>
          <w:lang w:val="en-US" w:eastAsia="zh-CN"/>
        </w:rPr>
        <w:t>租</w:t>
      </w:r>
      <w:r>
        <w:rPr>
          <w:rFonts w:hint="eastAsia" w:ascii="宋体" w:hAnsi="宋体" w:eastAsia="宋体" w:cs="宋体"/>
          <w:color w:val="auto"/>
          <w:sz w:val="22"/>
          <w:szCs w:val="22"/>
          <w:highlight w:val="none"/>
          <w:u w:val="single"/>
          <w:lang w:val="en-US" w:eastAsia="zh-CN"/>
        </w:rPr>
        <w:t>赁和商务服务业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万元（注1），属于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09D3D83B">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val="en-US" w:eastAsia="zh-CN"/>
        </w:rPr>
        <w:t>租赁和商务服务业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103545F3">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775DA331">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以上企业，不属于大企业的分支机构，不存在控股股东为大企业的情形，也不存在与大企业的负责人为同一人的情形。 </w:t>
      </w:r>
    </w:p>
    <w:p w14:paraId="0306D1C2">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bookmarkStart w:id="117" w:name="_GoBack"/>
      <w:bookmarkEnd w:id="117"/>
    </w:p>
    <w:p w14:paraId="0F1279BC">
      <w:pPr>
        <w:widowControl/>
        <w:shd w:val="clear" w:color="auto" w:fill="auto"/>
        <w:snapToGrid w:val="0"/>
        <w:spacing w:line="360" w:lineRule="auto"/>
        <w:ind w:firstLine="440" w:firstLineChars="20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2E76014A">
      <w:pPr>
        <w:shd w:val="clear" w:color="auto" w:fill="auto"/>
        <w:wordWrap w:val="0"/>
        <w:snapToGrid w:val="0"/>
        <w:spacing w:line="360" w:lineRule="auto"/>
        <w:ind w:firstLine="3740" w:firstLineChars="1700"/>
        <w:jc w:val="righ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p>
    <w:p w14:paraId="0563BCA8">
      <w:pPr>
        <w:pBdr>
          <w:bottom w:val="single" w:color="auto" w:sz="6" w:space="1"/>
        </w:pBdr>
        <w:shd w:val="clear" w:color="auto" w:fill="auto"/>
        <w:wordWrap w:val="0"/>
        <w:snapToGrid w:val="0"/>
        <w:spacing w:line="360" w:lineRule="auto"/>
        <w:ind w:firstLine="464"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（注1）从业人员、营业收入、资产总额填报上一年度数据，无上一年度数据的新成立企业可不填</w:t>
      </w:r>
      <w:r>
        <w:rPr>
          <w:rFonts w:hint="eastAsia" w:ascii="宋体" w:hAnsi="宋体" w:eastAsia="宋体" w:cs="宋体"/>
          <w:color w:val="auto"/>
          <w:sz w:val="22"/>
          <w:szCs w:val="22"/>
          <w:highlight w:val="none"/>
        </w:rPr>
        <w:t>报。 </w:t>
      </w:r>
    </w:p>
    <w:p w14:paraId="3540E76A">
      <w:pPr>
        <w:shd w:val="clear" w:color="auto" w:fill="auto"/>
        <w:wordWrap w:val="0"/>
        <w:snapToGrid w:val="0"/>
        <w:spacing w:line="360" w:lineRule="auto"/>
        <w:ind w:firstLine="400"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填写说明</w:t>
      </w:r>
      <w:r>
        <w:rPr>
          <w:rFonts w:hint="eastAsia" w:ascii="宋体" w:hAnsi="宋体" w:eastAsia="宋体" w:cs="宋体"/>
          <w:color w:val="auto"/>
          <w:sz w:val="20"/>
          <w:szCs w:val="20"/>
          <w:highlight w:val="none"/>
          <w:lang w:eastAsia="zh-CN"/>
        </w:rPr>
        <w:t>：</w:t>
      </w:r>
    </w:p>
    <w:p w14:paraId="4DFCDA39">
      <w:pPr>
        <w:shd w:val="clear" w:color="auto" w:fill="auto"/>
        <w:wordWrap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1）投标供应商为中型、小型、微型企业的提供此函；</w:t>
      </w:r>
    </w:p>
    <w:p w14:paraId="0B1B514F">
      <w:pPr>
        <w:shd w:val="clear" w:color="auto" w:fill="auto"/>
        <w:wordWrap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2）中型企业不享受价格扣除，小型、微型企业的行业类别由评审专家结合投标供应商出具的证明材料认定；经认定不符合小型、微型企业标准的，不享受价格扣除；</w:t>
      </w:r>
    </w:p>
    <w:p w14:paraId="41BBA314">
      <w:pPr>
        <w:shd w:val="clear" w:color="auto" w:fill="auto"/>
        <w:wordWrap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3）所投标项内的产品如由多个企业制造的，在填写企业类型时，按产品生产企业中规模最大的企业类型填写；</w:t>
      </w:r>
    </w:p>
    <w:p w14:paraId="7EB113D8">
      <w:pPr>
        <w:shd w:val="clear" w:color="auto" w:fill="auto"/>
        <w:wordWrap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4）投标产品制造商投标，提供投标供应商出具的《中小企业声明函》及其相关的充分的证明材料；代理商投标，提供投标供应商及产品制造商出具的《中小企业声明函》及其相关的充分的证明材料； </w:t>
      </w:r>
    </w:p>
    <w:p w14:paraId="46A39253">
      <w:pPr>
        <w:shd w:val="clear" w:color="auto" w:fill="auto"/>
        <w:wordWrap w:val="0"/>
        <w:snapToGrid w:val="0"/>
        <w:spacing w:line="360" w:lineRule="auto"/>
        <w:ind w:firstLine="400" w:firstLineChars="200"/>
        <w:rPr>
          <w:rFonts w:hint="eastAsia" w:ascii="宋体" w:hAnsi="宋体" w:eastAsia="宋体" w:cs="宋体"/>
          <w:b/>
          <w:color w:val="auto"/>
          <w:sz w:val="20"/>
          <w:szCs w:val="20"/>
          <w:highlight w:val="none"/>
        </w:rPr>
      </w:pPr>
      <w:r>
        <w:rPr>
          <w:rFonts w:hint="eastAsia" w:ascii="宋体" w:hAnsi="宋体" w:eastAsia="宋体" w:cs="宋体"/>
          <w:color w:val="auto"/>
          <w:sz w:val="20"/>
          <w:szCs w:val="20"/>
          <w:highlight w:val="none"/>
        </w:rPr>
        <w:t>5）注</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小型、微型企业参加采购活动时，应提供</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a）《中小企业声明函》；上述证明材料提供不齐全的，不能享受价格扣除。</w:t>
      </w:r>
    </w:p>
    <w:p w14:paraId="60D32075">
      <w:pPr>
        <w:shd w:val="clear" w:color="auto" w:fill="auto"/>
        <w:wordWrap w:val="0"/>
        <w:snapToGrid w:val="0"/>
        <w:spacing w:line="360" w:lineRule="auto"/>
        <w:ind w:firstLine="402" w:firstLineChars="200"/>
        <w:rPr>
          <w:rFonts w:hint="eastAsia" w:ascii="宋体" w:hAnsi="宋体" w:eastAsia="宋体" w:cs="宋体"/>
          <w:b/>
          <w:bCs/>
          <w:color w:val="auto"/>
          <w:highlight w:val="none"/>
        </w:rPr>
      </w:pPr>
      <w:r>
        <w:rPr>
          <w:rFonts w:hint="eastAsia" w:ascii="宋体" w:hAnsi="宋体" w:eastAsia="宋体" w:cs="宋体"/>
          <w:b/>
          <w:bCs/>
          <w:color w:val="auto"/>
          <w:sz w:val="20"/>
          <w:szCs w:val="22"/>
          <w:highlight w:val="none"/>
        </w:rPr>
        <w:t>▲投标供应商提供的中小企业声明函与实际情况不符的，视为投标供应商提供虚假材料投标的，投标无效。</w:t>
      </w:r>
    </w:p>
    <w:p w14:paraId="1A178C27">
      <w:pPr>
        <w:shd w:val="clear" w:color="auto" w:fill="auto"/>
        <w:wordWrap w:val="0"/>
        <w:snapToGrid w:val="0"/>
        <w:spacing w:line="360" w:lineRule="auto"/>
        <w:jc w:val="center"/>
        <w:rPr>
          <w:rFonts w:hint="eastAsia" w:ascii="宋体" w:hAnsi="宋体" w:eastAsia="宋体" w:cs="宋体"/>
          <w:b/>
          <w:color w:val="auto"/>
          <w:sz w:val="28"/>
          <w:szCs w:val="36"/>
          <w:highlight w:val="none"/>
        </w:rPr>
      </w:pPr>
      <w:r>
        <w:rPr>
          <w:rFonts w:hint="eastAsia" w:ascii="宋体" w:hAnsi="宋体" w:eastAsia="宋体" w:cs="宋体"/>
          <w:b/>
          <w:color w:val="auto"/>
          <w:sz w:val="28"/>
          <w:szCs w:val="36"/>
          <w:highlight w:val="none"/>
        </w:rPr>
        <w:t>监狱企业声明函</w:t>
      </w:r>
    </w:p>
    <w:p w14:paraId="661931D3">
      <w:pPr>
        <w:shd w:val="clear" w:color="auto" w:fill="auto"/>
        <w:wordWrap w:val="0"/>
        <w:snapToGrid w:val="0"/>
        <w:spacing w:line="360" w:lineRule="auto"/>
        <w:ind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【不属于监狱企业的无需填写、递交】</w:t>
      </w:r>
    </w:p>
    <w:p w14:paraId="1CE5B4D2">
      <w:pPr>
        <w:shd w:val="clear" w:color="auto" w:fill="auto"/>
        <w:wordWrap w:val="0"/>
        <w:snapToGrid w:val="0"/>
        <w:spacing w:line="360" w:lineRule="auto"/>
        <w:ind w:firstLine="420" w:firstLineChars="200"/>
        <w:rPr>
          <w:rFonts w:hint="eastAsia" w:ascii="宋体" w:hAnsi="宋体" w:eastAsia="宋体" w:cs="宋体"/>
          <w:color w:val="auto"/>
          <w:highlight w:val="none"/>
        </w:rPr>
      </w:pPr>
    </w:p>
    <w:p w14:paraId="11370392">
      <w:pPr>
        <w:shd w:val="clear" w:color="auto" w:fill="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本公司郑重声明，根据《关于政府采购支持监狱企业发展有关问题的通知》 （财库[2014]68 号）的规定，本公司为</w:t>
      </w:r>
      <w:r>
        <w:rPr>
          <w:rFonts w:hint="eastAsia" w:ascii="宋体" w:hAnsi="宋体" w:eastAsia="宋体" w:cs="宋体"/>
          <w:color w:val="auto"/>
          <w:highlight w:val="none"/>
          <w:u w:val="single"/>
        </w:rPr>
        <w:t>监狱企业</w:t>
      </w:r>
      <w:r>
        <w:rPr>
          <w:rFonts w:hint="eastAsia" w:ascii="宋体" w:hAnsi="宋体" w:eastAsia="宋体" w:cs="宋体"/>
          <w:color w:val="auto"/>
          <w:highlight w:val="none"/>
        </w:rPr>
        <w:t>。</w:t>
      </w:r>
    </w:p>
    <w:p w14:paraId="63AD491F">
      <w:pPr>
        <w:shd w:val="clear" w:color="auto" w:fill="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根据上述标准，我公司属于监狱企业的理由为</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B2EDBE7">
      <w:pPr>
        <w:shd w:val="clear" w:color="auto" w:fill="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本公司为参加（</w:t>
      </w:r>
      <w:r>
        <w:rPr>
          <w:rFonts w:hint="eastAsia" w:ascii="宋体" w:hAnsi="宋体" w:eastAsia="宋体" w:cs="宋体"/>
          <w:color w:val="auto"/>
          <w:highlight w:val="none"/>
          <w:u w:val="single"/>
        </w:rPr>
        <w:t xml:space="preserve">    项目名称    </w:t>
      </w:r>
      <w:r>
        <w:rPr>
          <w:rFonts w:hint="eastAsia" w:ascii="宋体" w:hAnsi="宋体" w:eastAsia="宋体" w:cs="宋体"/>
          <w:color w:val="auto"/>
          <w:highlight w:val="none"/>
        </w:rPr>
        <w:t>） （项目编号</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）采购活动提供本企业提供服务。</w:t>
      </w:r>
    </w:p>
    <w:p w14:paraId="48863E38">
      <w:pPr>
        <w:shd w:val="clear" w:color="auto" w:fill="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本公司对上述声明的真实性负责。如有虚假，将依法承担相应责任。</w:t>
      </w:r>
    </w:p>
    <w:p w14:paraId="242ABE2F">
      <w:pPr>
        <w:shd w:val="clear" w:color="auto" w:fill="auto"/>
        <w:wordWrap w:val="0"/>
        <w:snapToGrid w:val="0"/>
        <w:spacing w:line="360" w:lineRule="auto"/>
        <w:ind w:firstLine="420" w:firstLineChars="200"/>
        <w:rPr>
          <w:rFonts w:hint="eastAsia" w:ascii="宋体" w:hAnsi="宋体" w:eastAsia="宋体" w:cs="宋体"/>
          <w:color w:val="auto"/>
          <w:highlight w:val="none"/>
        </w:rPr>
      </w:pPr>
    </w:p>
    <w:p w14:paraId="432AEF0B">
      <w:pPr>
        <w:shd w:val="clear" w:color="auto" w:fill="auto"/>
        <w:wordWrap w:val="0"/>
        <w:snapToGrid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投标供应商名称（盖章）</w:t>
      </w:r>
      <w:r>
        <w:rPr>
          <w:rFonts w:hint="eastAsia" w:ascii="宋体" w:hAnsi="宋体" w:eastAsia="宋体" w:cs="宋体"/>
          <w:color w:val="auto"/>
          <w:highlight w:val="none"/>
          <w:lang w:eastAsia="zh-CN"/>
        </w:rPr>
        <w:t>：</w:t>
      </w:r>
    </w:p>
    <w:p w14:paraId="7F4D4073">
      <w:pPr>
        <w:shd w:val="clear" w:color="auto" w:fill="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年  月  日</w:t>
      </w:r>
    </w:p>
    <w:p w14:paraId="40C5BA09">
      <w:pPr>
        <w:shd w:val="clear" w:color="auto" w:fill="auto"/>
        <w:wordWrap w:val="0"/>
        <w:snapToGrid w:val="0"/>
        <w:spacing w:line="360" w:lineRule="auto"/>
        <w:ind w:firstLine="420" w:firstLineChars="200"/>
        <w:rPr>
          <w:rFonts w:hint="eastAsia" w:ascii="宋体" w:hAnsi="宋体" w:eastAsia="宋体" w:cs="宋体"/>
          <w:color w:val="auto"/>
          <w:highlight w:val="none"/>
        </w:rPr>
      </w:pPr>
    </w:p>
    <w:p w14:paraId="1CEDB9F4">
      <w:pPr>
        <w:shd w:val="clear" w:color="auto" w:fill="auto"/>
        <w:wordWrap w:val="0"/>
        <w:snapToGrid w:val="0"/>
        <w:spacing w:line="360" w:lineRule="auto"/>
        <w:ind w:firstLine="420" w:firstLineChars="200"/>
        <w:rPr>
          <w:rFonts w:hint="eastAsia" w:ascii="宋体" w:hAnsi="宋体" w:eastAsia="宋体" w:cs="宋体"/>
          <w:color w:val="auto"/>
          <w:highlight w:val="none"/>
        </w:rPr>
      </w:pPr>
    </w:p>
    <w:p w14:paraId="7734D8F6">
      <w:pPr>
        <w:shd w:val="clear" w:color="auto" w:fill="auto"/>
        <w:wordWrap w:val="0"/>
        <w:snapToGrid w:val="0"/>
        <w:spacing w:line="360" w:lineRule="auto"/>
        <w:ind w:firstLine="420" w:firstLineChars="200"/>
        <w:rPr>
          <w:rFonts w:hint="eastAsia" w:ascii="宋体" w:hAnsi="宋体" w:eastAsia="宋体" w:cs="宋体"/>
          <w:color w:val="auto"/>
          <w:highlight w:val="none"/>
        </w:rPr>
      </w:pPr>
    </w:p>
    <w:p w14:paraId="266C87FD">
      <w:pPr>
        <w:shd w:val="clear" w:color="auto" w:fill="auto"/>
        <w:wordWrap w:val="0"/>
        <w:snapToGrid w:val="0"/>
        <w:spacing w:line="360" w:lineRule="auto"/>
        <w:ind w:firstLine="420" w:firstLineChars="200"/>
        <w:rPr>
          <w:rFonts w:hint="eastAsia" w:ascii="宋体" w:hAnsi="宋体" w:eastAsia="宋体" w:cs="宋体"/>
          <w:color w:val="auto"/>
          <w:highlight w:val="none"/>
        </w:rPr>
      </w:pPr>
    </w:p>
    <w:p w14:paraId="49D13845">
      <w:pPr>
        <w:shd w:val="clear" w:color="auto" w:fill="auto"/>
        <w:wordWrap w:val="0"/>
        <w:snapToGrid w:val="0"/>
        <w:spacing w:line="360" w:lineRule="auto"/>
        <w:ind w:firstLine="420" w:firstLineChars="200"/>
        <w:rPr>
          <w:rFonts w:hint="eastAsia" w:ascii="宋体" w:hAnsi="宋体" w:eastAsia="宋体" w:cs="宋体"/>
          <w:color w:val="auto"/>
          <w:highlight w:val="none"/>
        </w:rPr>
      </w:pPr>
    </w:p>
    <w:p w14:paraId="76CFADF2">
      <w:pPr>
        <w:shd w:val="clear" w:color="auto" w:fill="auto"/>
        <w:wordWrap w:val="0"/>
        <w:snapToGrid w:val="0"/>
        <w:spacing w:line="360" w:lineRule="auto"/>
        <w:ind w:firstLine="420" w:firstLineChars="200"/>
        <w:rPr>
          <w:rFonts w:hint="eastAsia" w:ascii="宋体" w:hAnsi="宋体" w:eastAsia="宋体" w:cs="宋体"/>
          <w:color w:val="auto"/>
          <w:highlight w:val="none"/>
        </w:rPr>
      </w:pPr>
    </w:p>
    <w:p w14:paraId="4129D330">
      <w:pPr>
        <w:shd w:val="clear" w:color="auto" w:fill="auto"/>
        <w:wordWrap w:val="0"/>
        <w:snapToGrid w:val="0"/>
        <w:spacing w:line="360" w:lineRule="auto"/>
        <w:rPr>
          <w:rFonts w:hint="eastAsia" w:ascii="宋体" w:hAnsi="宋体" w:eastAsia="宋体" w:cs="宋体"/>
          <w:b/>
          <w:color w:val="auto"/>
          <w:spacing w:val="6"/>
          <w:highlight w:val="none"/>
        </w:rPr>
      </w:pPr>
    </w:p>
    <w:p w14:paraId="18069837">
      <w:pPr>
        <w:shd w:val="clear" w:color="auto" w:fill="auto"/>
        <w:wordWrap w:val="0"/>
        <w:snapToGrid w:val="0"/>
        <w:spacing w:line="360" w:lineRule="auto"/>
        <w:rPr>
          <w:rFonts w:hint="eastAsia" w:ascii="宋体" w:hAnsi="宋体" w:eastAsia="宋体" w:cs="宋体"/>
          <w:b/>
          <w:color w:val="auto"/>
          <w:spacing w:val="6"/>
          <w:highlight w:val="none"/>
        </w:rPr>
      </w:pPr>
    </w:p>
    <w:p w14:paraId="5C55781C">
      <w:pPr>
        <w:shd w:val="clear" w:color="auto" w:fill="auto"/>
        <w:wordWrap w:val="0"/>
        <w:snapToGrid w:val="0"/>
        <w:spacing w:line="360" w:lineRule="auto"/>
        <w:jc w:val="center"/>
        <w:rPr>
          <w:rFonts w:hint="eastAsia" w:ascii="宋体" w:hAnsi="宋体" w:eastAsia="宋体" w:cs="宋体"/>
          <w:b/>
          <w:color w:val="auto"/>
          <w:spacing w:val="6"/>
          <w:highlight w:val="none"/>
        </w:rPr>
      </w:pPr>
    </w:p>
    <w:p w14:paraId="4FF3F2C8">
      <w:pPr>
        <w:shd w:val="clear" w:color="auto" w:fill="auto"/>
        <w:wordWrap w:val="0"/>
        <w:snapToGrid w:val="0"/>
        <w:spacing w:line="360" w:lineRule="auto"/>
        <w:jc w:val="center"/>
        <w:rPr>
          <w:rFonts w:hint="eastAsia" w:ascii="宋体" w:hAnsi="宋体" w:eastAsia="宋体" w:cs="宋体"/>
          <w:b/>
          <w:color w:val="auto"/>
          <w:spacing w:val="6"/>
          <w:highlight w:val="none"/>
        </w:rPr>
      </w:pPr>
    </w:p>
    <w:p w14:paraId="704C6A1A">
      <w:pPr>
        <w:pageBreakBefore/>
        <w:shd w:val="clear" w:color="auto" w:fill="auto"/>
        <w:wordWrap w:val="0"/>
        <w:snapToGrid w:val="0"/>
        <w:spacing w:line="360" w:lineRule="auto"/>
        <w:jc w:val="center"/>
        <w:rPr>
          <w:rFonts w:hint="eastAsia" w:ascii="宋体" w:hAnsi="宋体" w:eastAsia="宋体" w:cs="宋体"/>
          <w:b/>
          <w:color w:val="auto"/>
          <w:spacing w:val="6"/>
          <w:sz w:val="28"/>
          <w:szCs w:val="36"/>
          <w:highlight w:val="none"/>
        </w:rPr>
      </w:pPr>
      <w:r>
        <w:rPr>
          <w:rFonts w:hint="eastAsia" w:ascii="宋体" w:hAnsi="宋体" w:eastAsia="宋体" w:cs="宋体"/>
          <w:b/>
          <w:color w:val="auto"/>
          <w:spacing w:val="6"/>
          <w:sz w:val="28"/>
          <w:szCs w:val="36"/>
          <w:highlight w:val="none"/>
        </w:rPr>
        <w:t>残疾人福利性单位声明函</w:t>
      </w:r>
    </w:p>
    <w:p w14:paraId="4487C193">
      <w:pPr>
        <w:shd w:val="clear" w:color="auto" w:fill="auto"/>
        <w:wordWrap w:val="0"/>
        <w:snapToGrid w:val="0"/>
        <w:spacing w:line="360" w:lineRule="auto"/>
        <w:ind w:firstLine="420" w:firstLineChars="200"/>
        <w:rPr>
          <w:rFonts w:hint="eastAsia" w:ascii="宋体" w:hAnsi="宋体" w:eastAsia="宋体" w:cs="宋体"/>
          <w:color w:val="auto"/>
          <w:highlight w:val="none"/>
        </w:rPr>
      </w:pPr>
    </w:p>
    <w:p w14:paraId="498F30F8">
      <w:pPr>
        <w:shd w:val="clear" w:color="auto" w:fill="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单位的</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项目采购活动提供本单位制造的货物（由本单位承担工程/提供服务），或者提供其他残疾人福利性单位制造的货物（不包括使用非残疾人福利性单位注册商标的货物）。</w:t>
      </w:r>
    </w:p>
    <w:p w14:paraId="36561F4C">
      <w:pPr>
        <w:shd w:val="clear" w:color="auto" w:fill="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本单位对上述声明的真实性负责。如有虚假，将依法承担相应责任。</w:t>
      </w:r>
    </w:p>
    <w:p w14:paraId="0585C528">
      <w:pPr>
        <w:shd w:val="clear" w:color="auto" w:fill="auto"/>
        <w:wordWrap w:val="0"/>
        <w:snapToGrid w:val="0"/>
        <w:spacing w:line="360" w:lineRule="auto"/>
        <w:ind w:firstLine="440" w:firstLineChars="200"/>
        <w:rPr>
          <w:rFonts w:hint="eastAsia" w:ascii="宋体" w:hAnsi="宋体" w:eastAsia="宋体" w:cs="宋体"/>
          <w:color w:val="auto"/>
          <w:sz w:val="22"/>
          <w:szCs w:val="22"/>
          <w:highlight w:val="none"/>
        </w:rPr>
      </w:pPr>
    </w:p>
    <w:p w14:paraId="2ED1F78F">
      <w:pPr>
        <w:shd w:val="clear" w:color="auto" w:fill="auto"/>
        <w:wordWrap w:val="0"/>
        <w:snapToGrid w:val="0"/>
        <w:spacing w:line="360" w:lineRule="auto"/>
        <w:ind w:firstLine="440" w:firstLineChars="200"/>
        <w:rPr>
          <w:rFonts w:hint="eastAsia" w:ascii="宋体" w:hAnsi="宋体" w:eastAsia="宋体" w:cs="宋体"/>
          <w:color w:val="auto"/>
          <w:sz w:val="22"/>
          <w:szCs w:val="22"/>
          <w:highlight w:val="none"/>
        </w:rPr>
      </w:pPr>
    </w:p>
    <w:p w14:paraId="28D4B426">
      <w:pPr>
        <w:shd w:val="clear" w:color="auto" w:fill="auto"/>
        <w:tabs>
          <w:tab w:val="left" w:pos="4860"/>
        </w:tabs>
        <w:wordWrap w:val="0"/>
        <w:snapToGrid w:val="0"/>
        <w:spacing w:line="360" w:lineRule="auto"/>
        <w:ind w:right="156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单位名称（盖章）</w:t>
      </w:r>
      <w:r>
        <w:rPr>
          <w:rFonts w:hint="eastAsia" w:ascii="宋体" w:hAnsi="宋体" w:eastAsia="宋体" w:cs="宋体"/>
          <w:color w:val="auto"/>
          <w:sz w:val="22"/>
          <w:szCs w:val="22"/>
          <w:highlight w:val="none"/>
          <w:lang w:eastAsia="zh-CN"/>
        </w:rPr>
        <w:t>：</w:t>
      </w:r>
    </w:p>
    <w:p w14:paraId="5A08C579">
      <w:pPr>
        <w:shd w:val="clear" w:color="auto" w:fill="auto"/>
        <w:tabs>
          <w:tab w:val="left" w:pos="4860"/>
        </w:tabs>
        <w:wordWrap w:val="0"/>
        <w:snapToGrid w:val="0"/>
        <w:spacing w:line="360" w:lineRule="auto"/>
        <w:ind w:right="156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日  期</w:t>
      </w:r>
      <w:r>
        <w:rPr>
          <w:rFonts w:hint="eastAsia" w:ascii="宋体" w:hAnsi="宋体" w:eastAsia="宋体" w:cs="宋体"/>
          <w:color w:val="auto"/>
          <w:sz w:val="22"/>
          <w:szCs w:val="22"/>
          <w:highlight w:val="none"/>
          <w:lang w:eastAsia="zh-CN"/>
        </w:rPr>
        <w:t>：</w:t>
      </w:r>
    </w:p>
    <w:p w14:paraId="2681C941">
      <w:pPr>
        <w:pStyle w:val="64"/>
        <w:shd w:val="clear" w:color="auto" w:fill="auto"/>
        <w:wordWrap w:val="0"/>
        <w:snapToGrid w:val="0"/>
        <w:spacing w:line="360" w:lineRule="auto"/>
        <w:ind w:left="360" w:firstLine="0" w:firstLineChars="0"/>
        <w:rPr>
          <w:rFonts w:hint="eastAsia" w:ascii="宋体" w:hAnsi="宋体" w:eastAsia="宋体" w:cs="宋体"/>
          <w:color w:val="auto"/>
          <w:sz w:val="22"/>
          <w:szCs w:val="22"/>
          <w:highlight w:val="none"/>
        </w:rPr>
      </w:pPr>
    </w:p>
    <w:p w14:paraId="0F3F126D">
      <w:pPr>
        <w:pStyle w:val="64"/>
        <w:shd w:val="clear" w:color="auto" w:fill="auto"/>
        <w:wordWrap w:val="0"/>
        <w:snapToGrid w:val="0"/>
        <w:spacing w:line="360" w:lineRule="auto"/>
        <w:ind w:left="360" w:firstLine="0" w:firstLineChars="0"/>
        <w:rPr>
          <w:rFonts w:hint="eastAsia" w:ascii="宋体" w:hAnsi="宋体" w:eastAsia="宋体" w:cs="宋体"/>
          <w:color w:val="auto"/>
          <w:sz w:val="22"/>
          <w:szCs w:val="22"/>
          <w:highlight w:val="none"/>
        </w:rPr>
      </w:pPr>
    </w:p>
    <w:p w14:paraId="3CC5D0D1">
      <w:pPr>
        <w:pStyle w:val="64"/>
        <w:shd w:val="clear" w:color="auto" w:fill="auto"/>
        <w:wordWrap w:val="0"/>
        <w:snapToGrid w:val="0"/>
        <w:spacing w:line="360" w:lineRule="auto"/>
        <w:ind w:firstLine="0" w:firstLineChars="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扶持政策说明</w:t>
      </w:r>
      <w:r>
        <w:rPr>
          <w:rFonts w:hint="eastAsia" w:ascii="宋体" w:hAnsi="宋体" w:eastAsia="宋体" w:cs="宋体"/>
          <w:b/>
          <w:bCs/>
          <w:color w:val="auto"/>
          <w:sz w:val="22"/>
          <w:szCs w:val="22"/>
          <w:highlight w:val="none"/>
          <w:lang w:eastAsia="zh-CN"/>
        </w:rPr>
        <w:t>：</w:t>
      </w:r>
    </w:p>
    <w:p w14:paraId="137AACCC">
      <w:pPr>
        <w:pStyle w:val="64"/>
        <w:shd w:val="clear" w:color="auto" w:fill="auto"/>
        <w:wordWrap w:val="0"/>
        <w:snapToGrid w:val="0"/>
        <w:spacing w:line="360" w:lineRule="auto"/>
        <w:ind w:firstLine="422"/>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根据财政部、工业和信息化部制定的《政府采购促进中小企业发展暂行办法》和转发财政部工业和信息化部关于印发《政府采购促进中小企业发展暂行办法》的通知（浙财采监[2012]11号），对小型或微型企业的投标报价给予</w:t>
      </w:r>
      <w:r>
        <w:rPr>
          <w:rFonts w:hint="eastAsia" w:ascii="宋体" w:hAnsi="宋体" w:eastAsia="宋体" w:cs="宋体"/>
          <w:b/>
          <w:bCs/>
          <w:color w:val="auto"/>
          <w:sz w:val="22"/>
          <w:szCs w:val="22"/>
          <w:highlight w:val="none"/>
          <w:u w:val="single"/>
        </w:rPr>
        <w:t>6%</w:t>
      </w:r>
      <w:r>
        <w:rPr>
          <w:rFonts w:hint="eastAsia" w:ascii="宋体" w:hAnsi="宋体" w:eastAsia="宋体" w:cs="宋体"/>
          <w:b/>
          <w:bCs/>
          <w:color w:val="auto"/>
          <w:sz w:val="22"/>
          <w:szCs w:val="22"/>
          <w:highlight w:val="none"/>
        </w:rPr>
        <w:t>的扣除，并用扣除后的价格计算价格评分。</w:t>
      </w:r>
    </w:p>
    <w:p w14:paraId="3ECA9DB2">
      <w:pPr>
        <w:shd w:val="clear" w:color="auto" w:fill="auto"/>
        <w:wordWrap w:val="0"/>
        <w:snapToGrid w:val="0"/>
        <w:spacing w:line="360" w:lineRule="auto"/>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2、监狱企业视同小微企业，参加本项目投标的，享受小微企业同等的价格扣除。【注</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提供《监狱企业声明函》及其相关的充分的证明材料】。</w:t>
      </w:r>
    </w:p>
    <w:p w14:paraId="5586A36E">
      <w:pPr>
        <w:pStyle w:val="64"/>
        <w:shd w:val="clear" w:color="auto" w:fill="auto"/>
        <w:wordWrap w:val="0"/>
        <w:snapToGrid w:val="0"/>
        <w:spacing w:line="360" w:lineRule="auto"/>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3、残疾人福利性单位参加投标【提供《残疾人福利性单位声明函》】，视为小型、微型企业，享受小微企业政策扶持。</w:t>
      </w:r>
    </w:p>
    <w:p w14:paraId="56A6F4AE">
      <w:pPr>
        <w:pStyle w:val="64"/>
        <w:shd w:val="clear" w:color="auto" w:fill="auto"/>
        <w:wordWrap w:val="0"/>
        <w:snapToGrid w:val="0"/>
        <w:spacing w:line="360" w:lineRule="auto"/>
        <w:ind w:firstLine="221" w:firstLineChars="100"/>
        <w:rPr>
          <w:rFonts w:hint="eastAsia" w:ascii="宋体" w:hAnsi="宋体" w:eastAsia="宋体" w:cs="宋体"/>
          <w:b/>
          <w:bCs/>
          <w:color w:val="auto"/>
          <w:sz w:val="22"/>
          <w:szCs w:val="22"/>
          <w:highlight w:val="none"/>
        </w:rPr>
      </w:pPr>
    </w:p>
    <w:p w14:paraId="0F90E152">
      <w:pPr>
        <w:pStyle w:val="16"/>
        <w:shd w:val="clear" w:color="auto" w:fill="auto"/>
        <w:wordWrap w:val="0"/>
        <w:adjustRightInd w:val="0"/>
        <w:snapToGrid w:val="0"/>
        <w:spacing w:line="360" w:lineRule="auto"/>
        <w:rPr>
          <w:rFonts w:hint="eastAsia" w:ascii="宋体" w:hAnsi="宋体" w:eastAsia="宋体" w:cs="宋体"/>
          <w:color w:val="auto"/>
          <w:sz w:val="22"/>
          <w:szCs w:val="22"/>
          <w:highlight w:val="none"/>
        </w:rPr>
      </w:pPr>
    </w:p>
    <w:p w14:paraId="7B099C5A">
      <w:pPr>
        <w:pStyle w:val="16"/>
        <w:shd w:val="clear" w:color="auto" w:fill="auto"/>
        <w:wordWrap w:val="0"/>
        <w:adjustRightInd w:val="0"/>
        <w:snapToGrid w:val="0"/>
        <w:spacing w:line="360" w:lineRule="auto"/>
        <w:rPr>
          <w:rFonts w:hint="eastAsia" w:ascii="宋体" w:hAnsi="宋体" w:eastAsia="宋体" w:cs="宋体"/>
          <w:color w:val="auto"/>
          <w:sz w:val="30"/>
          <w:highlight w:val="none"/>
        </w:rPr>
      </w:pPr>
    </w:p>
    <w:p w14:paraId="372AAEFD">
      <w:pPr>
        <w:pStyle w:val="16"/>
        <w:shd w:val="clear" w:color="auto" w:fill="auto"/>
        <w:wordWrap w:val="0"/>
        <w:adjustRightInd w:val="0"/>
        <w:snapToGrid w:val="0"/>
        <w:spacing w:line="360" w:lineRule="auto"/>
        <w:rPr>
          <w:rFonts w:hint="eastAsia" w:ascii="宋体" w:hAnsi="宋体" w:eastAsia="宋体" w:cs="宋体"/>
          <w:color w:val="auto"/>
          <w:sz w:val="30"/>
          <w:highlight w:val="none"/>
        </w:rPr>
      </w:pPr>
    </w:p>
    <w:p w14:paraId="1984FD0B">
      <w:pPr>
        <w:pStyle w:val="16"/>
        <w:shd w:val="clear" w:color="auto" w:fill="auto"/>
        <w:wordWrap w:val="0"/>
        <w:adjustRightInd w:val="0"/>
        <w:snapToGrid w:val="0"/>
        <w:spacing w:line="360" w:lineRule="auto"/>
        <w:rPr>
          <w:rFonts w:hint="eastAsia" w:ascii="宋体" w:hAnsi="宋体" w:eastAsia="宋体" w:cs="宋体"/>
          <w:color w:val="auto"/>
          <w:sz w:val="30"/>
          <w:highlight w:val="none"/>
        </w:rPr>
      </w:pPr>
    </w:p>
    <w:p w14:paraId="1BF98B20">
      <w:pPr>
        <w:pStyle w:val="16"/>
        <w:shd w:val="clear" w:color="auto" w:fill="auto"/>
        <w:wordWrap w:val="0"/>
        <w:adjustRightInd w:val="0"/>
        <w:snapToGrid w:val="0"/>
        <w:spacing w:line="360" w:lineRule="auto"/>
        <w:rPr>
          <w:rFonts w:hint="eastAsia" w:ascii="宋体" w:hAnsi="宋体" w:eastAsia="宋体" w:cs="宋体"/>
          <w:color w:val="auto"/>
          <w:sz w:val="30"/>
          <w:highlight w:val="none"/>
        </w:rPr>
      </w:pPr>
    </w:p>
    <w:p w14:paraId="02B24AB2">
      <w:pPr>
        <w:pStyle w:val="16"/>
        <w:shd w:val="clear" w:color="auto" w:fill="auto"/>
        <w:wordWrap w:val="0"/>
        <w:adjustRightInd w:val="0"/>
        <w:snapToGrid w:val="0"/>
        <w:spacing w:line="360" w:lineRule="auto"/>
        <w:rPr>
          <w:rFonts w:hint="eastAsia" w:ascii="宋体" w:hAnsi="宋体" w:eastAsia="宋体" w:cs="宋体"/>
          <w:color w:val="auto"/>
          <w:sz w:val="30"/>
          <w:highlight w:val="none"/>
        </w:rPr>
      </w:pPr>
    </w:p>
    <w:p w14:paraId="1CDBB7CD">
      <w:pPr>
        <w:pStyle w:val="4"/>
        <w:shd w:val="clear" w:color="auto" w:fill="auto"/>
        <w:wordWrap w:val="0"/>
        <w:spacing w:before="0" w:after="0" w:line="360" w:lineRule="auto"/>
        <w:rPr>
          <w:rFonts w:hint="eastAsia" w:ascii="宋体" w:hAnsi="宋体" w:eastAsia="宋体" w:cs="宋体"/>
          <w:color w:val="auto"/>
          <w:highlight w:val="none"/>
        </w:rPr>
      </w:pPr>
      <w:bookmarkStart w:id="51" w:name="_Toc8008423"/>
      <w:bookmarkStart w:id="52" w:name="_Toc7988414"/>
      <w:bookmarkStart w:id="53" w:name="_Toc24550050"/>
      <w:bookmarkStart w:id="54" w:name="_Toc11423"/>
      <w:bookmarkStart w:id="55" w:name="_Toc30408915"/>
      <w:bookmarkStart w:id="56" w:name="_Toc440162800"/>
      <w:bookmarkStart w:id="57" w:name="_Toc424164168"/>
      <w:bookmarkStart w:id="58" w:name="_Toc7988468"/>
      <w:bookmarkStart w:id="59" w:name="_Toc20870"/>
      <w:bookmarkStart w:id="60" w:name="_Toc13216"/>
      <w:r>
        <w:rPr>
          <w:rFonts w:hint="eastAsia" w:ascii="宋体" w:hAnsi="宋体" w:eastAsia="宋体" w:cs="宋体"/>
          <w:color w:val="auto"/>
          <w:highlight w:val="none"/>
        </w:rPr>
        <w:t>三、“商务技术文件”格式</w:t>
      </w:r>
      <w:bookmarkEnd w:id="51"/>
      <w:bookmarkEnd w:id="52"/>
      <w:bookmarkEnd w:id="53"/>
      <w:bookmarkEnd w:id="54"/>
      <w:bookmarkEnd w:id="55"/>
      <w:bookmarkEnd w:id="56"/>
      <w:bookmarkEnd w:id="57"/>
      <w:bookmarkEnd w:id="58"/>
      <w:bookmarkEnd w:id="59"/>
      <w:bookmarkEnd w:id="60"/>
    </w:p>
    <w:p w14:paraId="2063DE8F">
      <w:pPr>
        <w:pStyle w:val="5"/>
        <w:shd w:val="clear" w:color="auto" w:fill="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3.1 “商务技术文件”封面</w:t>
      </w:r>
    </w:p>
    <w:p w14:paraId="1DB16DFD">
      <w:pPr>
        <w:shd w:val="clear" w:color="auto" w:fill="auto"/>
        <w:wordWrap w:val="0"/>
        <w:spacing w:line="360" w:lineRule="auto"/>
        <w:jc w:val="right"/>
        <w:rPr>
          <w:rFonts w:hint="eastAsia" w:ascii="宋体" w:hAnsi="宋体" w:eastAsia="宋体" w:cs="宋体"/>
          <w:b/>
          <w:color w:val="auto"/>
          <w:sz w:val="32"/>
          <w:szCs w:val="22"/>
          <w:highlight w:val="none"/>
        </w:rPr>
      </w:pPr>
    </w:p>
    <w:p w14:paraId="07B43E82">
      <w:pPr>
        <w:shd w:val="clear" w:color="auto" w:fill="auto"/>
        <w:wordWrap w:val="0"/>
        <w:spacing w:line="360" w:lineRule="auto"/>
        <w:jc w:val="center"/>
        <w:rPr>
          <w:rFonts w:hint="eastAsia" w:ascii="宋体" w:hAnsi="宋体" w:eastAsia="宋体" w:cs="宋体"/>
          <w:b/>
          <w:color w:val="auto"/>
          <w:w w:val="90"/>
          <w:sz w:val="44"/>
          <w:szCs w:val="44"/>
          <w:highlight w:val="none"/>
        </w:rPr>
      </w:pPr>
      <w:r>
        <w:rPr>
          <w:rFonts w:hint="eastAsia" w:ascii="宋体" w:hAnsi="宋体" w:cs="宋体"/>
          <w:b/>
          <w:color w:val="auto"/>
          <w:w w:val="90"/>
          <w:sz w:val="44"/>
          <w:szCs w:val="44"/>
          <w:highlight w:val="none"/>
          <w:lang w:eastAsia="zh-CN"/>
        </w:rPr>
        <w:t>昆鳌协同区F-42地块商业综合体项目招商运营服务项目</w:t>
      </w:r>
    </w:p>
    <w:p w14:paraId="0343F0E7">
      <w:pPr>
        <w:shd w:val="clear" w:color="auto" w:fill="auto"/>
        <w:wordWrap w:val="0"/>
        <w:spacing w:line="360" w:lineRule="auto"/>
        <w:jc w:val="center"/>
        <w:rPr>
          <w:rFonts w:hint="eastAsia" w:ascii="宋体" w:hAnsi="宋体" w:eastAsia="宋体" w:cs="宋体"/>
          <w:b/>
          <w:color w:val="auto"/>
          <w:sz w:val="52"/>
          <w:szCs w:val="22"/>
          <w:highlight w:val="none"/>
        </w:rPr>
      </w:pPr>
    </w:p>
    <w:p w14:paraId="552F0D69">
      <w:pPr>
        <w:shd w:val="clear" w:color="auto" w:fill="auto"/>
        <w:wordWrap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2435851C">
      <w:pPr>
        <w:shd w:val="clear" w:color="auto" w:fill="auto"/>
        <w:wordWrap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（商务技术文件）</w:t>
      </w:r>
    </w:p>
    <w:p w14:paraId="31E30A00">
      <w:pPr>
        <w:shd w:val="clear" w:color="auto" w:fill="auto"/>
        <w:wordWrap w:val="0"/>
        <w:spacing w:line="360" w:lineRule="auto"/>
        <w:jc w:val="center"/>
        <w:rPr>
          <w:rFonts w:hint="eastAsia" w:ascii="宋体" w:hAnsi="宋体" w:eastAsia="宋体" w:cs="宋体"/>
          <w:b/>
          <w:color w:val="auto"/>
          <w:sz w:val="52"/>
          <w:szCs w:val="22"/>
          <w:highlight w:val="none"/>
        </w:rPr>
      </w:pPr>
    </w:p>
    <w:tbl>
      <w:tblPr>
        <w:tblStyle w:val="28"/>
        <w:tblW w:w="0" w:type="auto"/>
        <w:tblInd w:w="250" w:type="dxa"/>
        <w:tblLayout w:type="fixed"/>
        <w:tblCellMar>
          <w:top w:w="0" w:type="dxa"/>
          <w:left w:w="108" w:type="dxa"/>
          <w:bottom w:w="0" w:type="dxa"/>
          <w:right w:w="108" w:type="dxa"/>
        </w:tblCellMar>
      </w:tblPr>
      <w:tblGrid>
        <w:gridCol w:w="8789"/>
      </w:tblGrid>
      <w:tr w14:paraId="3AF418FC">
        <w:tblPrEx>
          <w:tblCellMar>
            <w:top w:w="0" w:type="dxa"/>
            <w:left w:w="108" w:type="dxa"/>
            <w:bottom w:w="0" w:type="dxa"/>
            <w:right w:w="108" w:type="dxa"/>
          </w:tblCellMar>
        </w:tblPrEx>
        <w:trPr>
          <w:trHeight w:val="680" w:hRule="atLeast"/>
        </w:trPr>
        <w:tc>
          <w:tcPr>
            <w:tcW w:w="8789" w:type="dxa"/>
            <w:noWrap w:val="0"/>
            <w:vAlign w:val="center"/>
          </w:tcPr>
          <w:p w14:paraId="0AB636D2">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cs="宋体"/>
                <w:b/>
                <w:color w:val="auto"/>
                <w:sz w:val="28"/>
                <w:szCs w:val="28"/>
                <w:highlight w:val="none"/>
                <w:lang w:eastAsia="zh-CN"/>
              </w:rPr>
              <w:t>PYCG251021117</w:t>
            </w:r>
            <w:r>
              <w:rPr>
                <w:rFonts w:hint="eastAsia" w:ascii="宋体" w:hAnsi="宋体" w:eastAsia="宋体" w:cs="宋体"/>
                <w:b/>
                <w:color w:val="auto"/>
                <w:sz w:val="28"/>
                <w:szCs w:val="28"/>
                <w:highlight w:val="none"/>
              </w:rPr>
              <w:t xml:space="preserve">   </w:t>
            </w:r>
          </w:p>
        </w:tc>
      </w:tr>
      <w:tr w14:paraId="1AC7D228">
        <w:tblPrEx>
          <w:tblCellMar>
            <w:top w:w="0" w:type="dxa"/>
            <w:left w:w="108" w:type="dxa"/>
            <w:bottom w:w="0" w:type="dxa"/>
            <w:right w:w="108" w:type="dxa"/>
          </w:tblCellMar>
        </w:tblPrEx>
        <w:trPr>
          <w:trHeight w:val="680" w:hRule="atLeast"/>
        </w:trPr>
        <w:tc>
          <w:tcPr>
            <w:tcW w:w="8789" w:type="dxa"/>
            <w:noWrap w:val="0"/>
            <w:vAlign w:val="center"/>
          </w:tcPr>
          <w:p w14:paraId="2F48377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4C99DCFC">
        <w:tblPrEx>
          <w:tblCellMar>
            <w:top w:w="0" w:type="dxa"/>
            <w:left w:w="108" w:type="dxa"/>
            <w:bottom w:w="0" w:type="dxa"/>
            <w:right w:w="108" w:type="dxa"/>
          </w:tblCellMar>
        </w:tblPrEx>
        <w:trPr>
          <w:trHeight w:val="680" w:hRule="atLeast"/>
        </w:trPr>
        <w:tc>
          <w:tcPr>
            <w:tcW w:w="8789" w:type="dxa"/>
            <w:noWrap w:val="0"/>
            <w:vAlign w:val="center"/>
          </w:tcPr>
          <w:p w14:paraId="7EC7353A">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665393BE">
        <w:tblPrEx>
          <w:tblCellMar>
            <w:top w:w="0" w:type="dxa"/>
            <w:left w:w="108" w:type="dxa"/>
            <w:bottom w:w="0" w:type="dxa"/>
            <w:right w:w="108" w:type="dxa"/>
          </w:tblCellMar>
        </w:tblPrEx>
        <w:trPr>
          <w:trHeight w:val="680" w:hRule="atLeast"/>
        </w:trPr>
        <w:tc>
          <w:tcPr>
            <w:tcW w:w="8789" w:type="dxa"/>
            <w:noWrap w:val="0"/>
            <w:vAlign w:val="center"/>
          </w:tcPr>
          <w:p w14:paraId="0CA35B1D">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7B77475A">
        <w:tblPrEx>
          <w:tblCellMar>
            <w:top w:w="0" w:type="dxa"/>
            <w:left w:w="108" w:type="dxa"/>
            <w:bottom w:w="0" w:type="dxa"/>
            <w:right w:w="108" w:type="dxa"/>
          </w:tblCellMar>
        </w:tblPrEx>
        <w:trPr>
          <w:trHeight w:val="680" w:hRule="atLeast"/>
        </w:trPr>
        <w:tc>
          <w:tcPr>
            <w:tcW w:w="8789" w:type="dxa"/>
            <w:noWrap w:val="0"/>
            <w:vAlign w:val="center"/>
          </w:tcPr>
          <w:p w14:paraId="773284B8">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r w14:paraId="3D1DBC19">
        <w:tblPrEx>
          <w:tblCellMar>
            <w:top w:w="0" w:type="dxa"/>
            <w:left w:w="108" w:type="dxa"/>
            <w:bottom w:w="0" w:type="dxa"/>
            <w:right w:w="108" w:type="dxa"/>
          </w:tblCellMar>
        </w:tblPrEx>
        <w:trPr>
          <w:trHeight w:val="335" w:hRule="atLeast"/>
        </w:trPr>
        <w:tc>
          <w:tcPr>
            <w:tcW w:w="8789" w:type="dxa"/>
            <w:noWrap w:val="0"/>
            <w:vAlign w:val="center"/>
          </w:tcPr>
          <w:p w14:paraId="7B0F8D6F">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8"/>
                <w:szCs w:val="28"/>
                <w:highlight w:val="none"/>
              </w:rPr>
            </w:pPr>
          </w:p>
        </w:tc>
      </w:tr>
    </w:tbl>
    <w:p w14:paraId="3C1EA542">
      <w:pPr>
        <w:shd w:val="clear" w:color="auto" w:fill="auto"/>
        <w:wordWrap w:val="0"/>
        <w:spacing w:line="360" w:lineRule="auto"/>
        <w:rPr>
          <w:rFonts w:hint="eastAsia" w:ascii="宋体" w:hAnsi="宋体" w:eastAsia="宋体" w:cs="宋体"/>
          <w:color w:val="auto"/>
          <w:highlight w:val="none"/>
        </w:rPr>
      </w:pPr>
    </w:p>
    <w:p w14:paraId="790E0D57">
      <w:pPr>
        <w:pStyle w:val="5"/>
        <w:shd w:val="clear" w:color="auto" w:fill="auto"/>
        <w:wordWrap w:val="0"/>
        <w:spacing w:before="0" w:after="0" w:line="360" w:lineRule="auto"/>
        <w:rPr>
          <w:rFonts w:hint="eastAsia" w:ascii="宋体" w:hAnsi="宋体" w:eastAsia="宋体" w:cs="宋体"/>
          <w:color w:val="auto"/>
          <w:highlight w:val="none"/>
        </w:rPr>
      </w:pPr>
    </w:p>
    <w:p w14:paraId="538D2B7C">
      <w:pPr>
        <w:pStyle w:val="5"/>
        <w:shd w:val="clear" w:color="auto" w:fill="auto"/>
        <w:wordWrap w:val="0"/>
        <w:spacing w:before="0" w:after="0" w:line="360" w:lineRule="auto"/>
        <w:rPr>
          <w:rFonts w:hint="eastAsia" w:ascii="宋体" w:hAnsi="宋体" w:eastAsia="宋体" w:cs="宋体"/>
          <w:color w:val="auto"/>
          <w:highlight w:val="none"/>
        </w:rPr>
      </w:pPr>
    </w:p>
    <w:p w14:paraId="616A8741">
      <w:pPr>
        <w:pStyle w:val="5"/>
        <w:shd w:val="clear" w:color="auto" w:fill="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3.2供应商自评分指引表</w:t>
      </w:r>
    </w:p>
    <w:tbl>
      <w:tblPr>
        <w:tblStyle w:val="28"/>
        <w:tblW w:w="0" w:type="auto"/>
        <w:tblInd w:w="0" w:type="dxa"/>
        <w:tblLayout w:type="fixed"/>
        <w:tblCellMar>
          <w:top w:w="0" w:type="dxa"/>
          <w:left w:w="0" w:type="dxa"/>
          <w:bottom w:w="0" w:type="dxa"/>
          <w:right w:w="0" w:type="dxa"/>
        </w:tblCellMar>
      </w:tblPr>
      <w:tblGrid>
        <w:gridCol w:w="1095"/>
        <w:gridCol w:w="7470"/>
        <w:gridCol w:w="1340"/>
      </w:tblGrid>
      <w:tr w14:paraId="7668AA90">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9965A3">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438BBA">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评分项目</w:t>
            </w: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7981CE">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投标文件索引（页码）</w:t>
            </w:r>
          </w:p>
        </w:tc>
      </w:tr>
      <w:tr w14:paraId="41F24757">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C4CA67">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741E0B">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387E0F">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173B37D9">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9F799F">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AA0A20">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8F1C28">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2E22ABC2">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0DF8D4">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3</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F6FA32">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69BC61">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63C6B983">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53DD7F">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4</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0B286D">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CFB858">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0C2B740F">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918E59">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5</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7432EF">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FBD5BD">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4FA384CC">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E82547">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6</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A9879F">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2ECC1A">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29E2B858">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0003B5">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7</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F1C4FE">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7CC122">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189CF70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C1DE1F">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8</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D4483D">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972216">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5678AD3D">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BEC535">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9</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16B122">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1BC3A6">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26C5107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619F98">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10</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62F23D">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6A4252">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7F579AF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D4E84F">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11</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CE6908">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6434E9">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3BD1308B">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293C87">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F6FB6D">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F3F015">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048B6F02">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514621">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8CA041">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BBD1D3">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bl>
    <w:p w14:paraId="404A95C5">
      <w:pPr>
        <w:shd w:val="clear" w:color="auto" w:fill="auto"/>
        <w:wordWrap w:val="0"/>
        <w:spacing w:line="360" w:lineRule="auto"/>
        <w:rPr>
          <w:rFonts w:hint="eastAsia" w:ascii="宋体" w:hAnsi="宋体" w:eastAsia="宋体" w:cs="宋体"/>
          <w:color w:val="auto"/>
          <w:highlight w:val="none"/>
        </w:rPr>
      </w:pPr>
    </w:p>
    <w:p w14:paraId="33A2EE29">
      <w:pPr>
        <w:shd w:val="clear" w:color="auto" w:fill="auto"/>
        <w:wordWrap w:val="0"/>
        <w:spacing w:line="360" w:lineRule="auto"/>
        <w:rPr>
          <w:rFonts w:hint="eastAsia" w:ascii="宋体" w:hAnsi="宋体" w:eastAsia="宋体" w:cs="宋体"/>
          <w:color w:val="auto"/>
          <w:sz w:val="32"/>
          <w:highlight w:val="none"/>
        </w:rPr>
      </w:pPr>
    </w:p>
    <w:p w14:paraId="053B6828">
      <w:pPr>
        <w:shd w:val="clear" w:color="auto" w:fill="auto"/>
        <w:wordWrap w:val="0"/>
        <w:spacing w:line="360" w:lineRule="auto"/>
        <w:rPr>
          <w:rFonts w:hint="eastAsia" w:ascii="宋体" w:hAnsi="宋体" w:eastAsia="宋体" w:cs="宋体"/>
          <w:color w:val="auto"/>
          <w:sz w:val="32"/>
          <w:highlight w:val="none"/>
        </w:rPr>
      </w:pPr>
    </w:p>
    <w:p w14:paraId="70BAC7C5">
      <w:pPr>
        <w:pStyle w:val="7"/>
        <w:rPr>
          <w:rFonts w:hint="eastAsia" w:ascii="宋体" w:hAnsi="宋体" w:eastAsia="宋体" w:cs="宋体"/>
          <w:color w:val="auto"/>
          <w:sz w:val="32"/>
          <w:highlight w:val="none"/>
        </w:rPr>
      </w:pPr>
    </w:p>
    <w:p w14:paraId="3D377CA4">
      <w:pPr>
        <w:rPr>
          <w:rFonts w:hint="eastAsia" w:ascii="宋体" w:hAnsi="宋体" w:eastAsia="宋体" w:cs="宋体"/>
          <w:color w:val="auto"/>
          <w:sz w:val="32"/>
          <w:highlight w:val="none"/>
        </w:rPr>
      </w:pPr>
    </w:p>
    <w:p w14:paraId="30257BD2">
      <w:pPr>
        <w:pStyle w:val="7"/>
        <w:rPr>
          <w:rFonts w:hint="eastAsia" w:ascii="宋体" w:hAnsi="宋体" w:eastAsia="宋体" w:cs="宋体"/>
          <w:color w:val="auto"/>
          <w:sz w:val="32"/>
          <w:highlight w:val="none"/>
        </w:rPr>
      </w:pPr>
    </w:p>
    <w:p w14:paraId="48F8915B">
      <w:pPr>
        <w:rPr>
          <w:rFonts w:hint="eastAsia"/>
          <w:color w:val="auto"/>
          <w:highlight w:val="none"/>
        </w:rPr>
      </w:pPr>
    </w:p>
    <w:p w14:paraId="157450FF">
      <w:pPr>
        <w:shd w:val="clear" w:color="auto" w:fill="auto"/>
        <w:wordWrap w:val="0"/>
        <w:spacing w:line="360" w:lineRule="auto"/>
        <w:rPr>
          <w:rFonts w:hint="eastAsia" w:ascii="宋体" w:hAnsi="宋体" w:eastAsia="宋体" w:cs="宋体"/>
          <w:color w:val="auto"/>
          <w:sz w:val="32"/>
          <w:highlight w:val="none"/>
        </w:rPr>
      </w:pPr>
      <w:r>
        <w:rPr>
          <w:rFonts w:hint="eastAsia" w:ascii="宋体" w:hAnsi="宋体" w:eastAsia="宋体" w:cs="宋体"/>
          <w:color w:val="auto"/>
          <w:sz w:val="32"/>
          <w:highlight w:val="none"/>
        </w:rPr>
        <w:t>3.3供应商参与政府采购活动投标资格声明函</w:t>
      </w:r>
    </w:p>
    <w:p w14:paraId="7ADAF50C">
      <w:pPr>
        <w:shd w:val="clear" w:color="auto" w:fill="auto"/>
        <w:wordWrap w:val="0"/>
        <w:snapToGrid w:val="0"/>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供应商参与政府采购活动投标资格声明函</w:t>
      </w:r>
    </w:p>
    <w:tbl>
      <w:tblPr>
        <w:tblStyle w:val="28"/>
        <w:tblW w:w="0" w:type="auto"/>
        <w:tblInd w:w="108" w:type="dxa"/>
        <w:tblLayout w:type="fixed"/>
        <w:tblCellMar>
          <w:top w:w="0" w:type="dxa"/>
          <w:left w:w="0" w:type="dxa"/>
          <w:bottom w:w="0" w:type="dxa"/>
          <w:right w:w="0" w:type="dxa"/>
        </w:tblCellMar>
      </w:tblPr>
      <w:tblGrid>
        <w:gridCol w:w="1620"/>
        <w:gridCol w:w="7992"/>
      </w:tblGrid>
      <w:tr w14:paraId="382EFB99">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E3D7B5">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C8A07C3">
            <w:pPr>
              <w:keepNext w:val="0"/>
              <w:keepLines w:val="0"/>
              <w:suppressLineNumbers w:val="0"/>
              <w:shd w:val="clear" w:color="auto" w:fill="auto"/>
              <w:wordWrap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rPr>
            </w:pPr>
          </w:p>
        </w:tc>
      </w:tr>
      <w:tr w14:paraId="0E862908">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F5182A">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项目采购编号</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82BAA93">
            <w:pPr>
              <w:keepNext w:val="0"/>
              <w:keepLines w:val="0"/>
              <w:suppressLineNumbers w:val="0"/>
              <w:shd w:val="clear" w:color="auto" w:fill="auto"/>
              <w:wordWrap w:val="0"/>
              <w:snapToGrid w:val="0"/>
              <w:spacing w:before="0" w:beforeAutospacing="0" w:after="0" w:afterAutospacing="0" w:line="360" w:lineRule="auto"/>
              <w:ind w:left="422" w:right="0" w:firstLine="361"/>
              <w:rPr>
                <w:rFonts w:hint="eastAsia" w:ascii="宋体" w:hAnsi="宋体" w:eastAsia="宋体" w:cs="宋体"/>
                <w:color w:val="auto"/>
                <w:sz w:val="22"/>
                <w:szCs w:val="22"/>
                <w:highlight w:val="none"/>
              </w:rPr>
            </w:pPr>
          </w:p>
        </w:tc>
      </w:tr>
      <w:tr w14:paraId="27BD55D3">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0D8EC5">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1394114">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p>
        </w:tc>
      </w:tr>
      <w:tr w14:paraId="55893889">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1988A21">
            <w:pPr>
              <w:keepNext w:val="0"/>
              <w:keepLines w:val="0"/>
              <w:suppressLineNumbers w:val="0"/>
              <w:shd w:val="clear" w:color="auto" w:fill="auto"/>
              <w:wordWrap w:val="0"/>
              <w:snapToGrid w:val="0"/>
              <w:spacing w:before="0" w:beforeAutospacing="0" w:after="0" w:afterAutospacing="0" w:line="360" w:lineRule="auto"/>
              <w:ind w:left="0" w:right="0" w:firstLine="45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1、根据平阳县县属国有企业采购管理办法（试行）第十四条规定，我单位满足以下条件</w:t>
            </w:r>
            <w:r>
              <w:rPr>
                <w:rFonts w:hint="eastAsia" w:ascii="宋体" w:hAnsi="宋体" w:eastAsia="宋体" w:cs="宋体"/>
                <w:color w:val="auto"/>
                <w:sz w:val="22"/>
                <w:szCs w:val="22"/>
                <w:highlight w:val="none"/>
                <w:lang w:eastAsia="zh-CN"/>
              </w:rPr>
              <w:t>：</w:t>
            </w:r>
          </w:p>
          <w:p w14:paraId="2A16C05A">
            <w:pPr>
              <w:keepNext w:val="0"/>
              <w:keepLines w:val="0"/>
              <w:suppressLineNumbers w:val="0"/>
              <w:shd w:val="clear" w:color="auto" w:fill="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（一）具有独立承担民事责任的能力； </w:t>
            </w:r>
          </w:p>
          <w:p w14:paraId="651BC72F">
            <w:pPr>
              <w:keepNext w:val="0"/>
              <w:keepLines w:val="0"/>
              <w:suppressLineNumbers w:val="0"/>
              <w:shd w:val="clear" w:color="auto" w:fill="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（二）具有良好的商业信誉和健全的财务会计制度； </w:t>
            </w:r>
          </w:p>
          <w:p w14:paraId="103FF4E6">
            <w:pPr>
              <w:keepNext w:val="0"/>
              <w:keepLines w:val="0"/>
              <w:suppressLineNumbers w:val="0"/>
              <w:shd w:val="clear" w:color="auto" w:fill="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（三）具有履行合同所必需的设备和专业技术能力； </w:t>
            </w:r>
          </w:p>
          <w:p w14:paraId="6C6AC011">
            <w:pPr>
              <w:keepNext w:val="0"/>
              <w:keepLines w:val="0"/>
              <w:suppressLineNumbers w:val="0"/>
              <w:shd w:val="clear" w:color="auto" w:fill="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（四）有依法缴纳税收和社会保障资金的良好记录； </w:t>
            </w:r>
          </w:p>
          <w:p w14:paraId="05E96CFB">
            <w:pPr>
              <w:keepNext w:val="0"/>
              <w:keepLines w:val="0"/>
              <w:suppressLineNumbers w:val="0"/>
              <w:shd w:val="clear" w:color="auto" w:fill="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（五）参加政府采购活动前三年内，在经营活动中没有重大违法记录； </w:t>
            </w:r>
          </w:p>
          <w:p w14:paraId="0CCF3626">
            <w:pPr>
              <w:keepNext w:val="0"/>
              <w:keepLines w:val="0"/>
              <w:suppressLineNumbers w:val="0"/>
              <w:shd w:val="clear" w:color="auto" w:fill="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（六）法律、行政法规规定的其他条件。 </w:t>
            </w:r>
          </w:p>
          <w:p w14:paraId="09EAEB6F">
            <w:pPr>
              <w:keepNext w:val="0"/>
              <w:keepLines w:val="0"/>
              <w:suppressLineNumbers w:val="0"/>
              <w:shd w:val="clear" w:color="auto" w:fill="auto"/>
              <w:wordWrap w:val="0"/>
              <w:snapToGrid w:val="0"/>
              <w:spacing w:before="0" w:beforeAutospacing="0" w:after="0" w:afterAutospacing="0" w:line="360" w:lineRule="auto"/>
              <w:ind w:left="0" w:right="0" w:firstLine="45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2、根据财政部与有关部门联合签署了《关于对重大税收违法案件当事人实施联合惩戒措施的合作备忘录》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发改财金〔2014〕3062号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、《失信企业协同监管和联合惩戒合作备忘录》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发改财金〔2015〕2045号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、《关于对违法失信上市公司相关责任主体实施联合惩戒的合作备忘录》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发改财金〔2015〕3062号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、《关于对失信被执行人实施联合惩戒的合作备忘录》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发改财金〔2016〕141号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、《关于对安全生产领域失信生产经营单位及其有关人员开展联合惩戒的合作备忘录》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发改财金〔2016〕1001号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，依法限制相关失信主体参与政府采购活动。</w:t>
            </w:r>
            <w:r>
              <w:rPr>
                <w:rFonts w:hint="eastAsia" w:ascii="宋体" w:hAnsi="宋体" w:eastAsia="宋体" w:cs="宋体"/>
                <w:b/>
                <w:color w:val="auto"/>
                <w:sz w:val="22"/>
                <w:szCs w:val="22"/>
                <w:highlight w:val="none"/>
              </w:rPr>
              <w:t>我单位承诺不存在上述文件规定依法限制参与政府采购的情况。</w:t>
            </w:r>
          </w:p>
          <w:p w14:paraId="2C477A97">
            <w:pPr>
              <w:keepNext w:val="0"/>
              <w:keepLines w:val="0"/>
              <w:suppressLineNumbers w:val="0"/>
              <w:shd w:val="clear" w:color="auto" w:fill="auto"/>
              <w:wordWrap w:val="0"/>
              <w:snapToGrid w:val="0"/>
              <w:spacing w:before="0" w:beforeAutospacing="0" w:after="0" w:afterAutospacing="0" w:line="360" w:lineRule="auto"/>
              <w:ind w:left="0" w:right="0" w:firstLine="4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3、我单位承诺没有被各地、各级财政部门限制参加政府采购活动。</w:t>
            </w:r>
          </w:p>
          <w:p w14:paraId="021963D9">
            <w:pPr>
              <w:keepNext w:val="0"/>
              <w:keepLines w:val="0"/>
              <w:suppressLineNumbers w:val="0"/>
              <w:shd w:val="clear" w:color="auto" w:fill="auto"/>
              <w:tabs>
                <w:tab w:val="center" w:pos="4483"/>
              </w:tabs>
              <w:wordWrap w:val="0"/>
              <w:snapToGrid w:val="0"/>
              <w:spacing w:before="0" w:beforeAutospacing="0" w:after="0" w:afterAutospacing="0" w:line="360" w:lineRule="auto"/>
              <w:ind w:left="0" w:right="0" w:firstLine="4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4、我单位承诺参与本项目政府采购活动3年内没有其它重大违法记录（重大违法记录，是指供应商因违法经营受到刑事处罚或者责令停产停业、吊销许可证或者执照、较大数额罚款等行政处罚）。</w:t>
            </w:r>
          </w:p>
          <w:p w14:paraId="39184585">
            <w:pPr>
              <w:keepNext w:val="0"/>
              <w:keepLines w:val="0"/>
              <w:suppressLineNumbers w:val="0"/>
              <w:shd w:val="clear" w:color="auto" w:fill="auto"/>
              <w:tabs>
                <w:tab w:val="center" w:pos="4483"/>
              </w:tabs>
              <w:wordWrap w:val="0"/>
              <w:snapToGrid w:val="0"/>
              <w:spacing w:before="0" w:beforeAutospacing="0" w:after="0" w:afterAutospacing="0" w:line="360" w:lineRule="auto"/>
              <w:ind w:left="0" w:right="0"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16B99981">
        <w:tblPrEx>
          <w:tblCellMar>
            <w:top w:w="0" w:type="dxa"/>
            <w:left w:w="0" w:type="dxa"/>
            <w:bottom w:w="0" w:type="dxa"/>
            <w:right w:w="0"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6154EE">
            <w:pPr>
              <w:keepNext w:val="0"/>
              <w:keepLines w:val="0"/>
              <w:suppressLineNumbers w:val="0"/>
              <w:shd w:val="clear" w:color="auto" w:fill="auto"/>
              <w:wordWrap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供应商名称（加盖</w:t>
            </w:r>
            <w:r>
              <w:rPr>
                <w:rFonts w:hint="eastAsia" w:ascii="宋体" w:hAnsi="宋体" w:cs="宋体"/>
                <w:color w:val="auto"/>
                <w:sz w:val="22"/>
                <w:szCs w:val="22"/>
                <w:highlight w:val="none"/>
                <w:lang w:val="en-US" w:eastAsia="zh-CN"/>
              </w:rPr>
              <w:t>公章</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p>
        </w:tc>
      </w:tr>
      <w:tr w14:paraId="74862E4E">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ECAF41">
            <w:pPr>
              <w:keepNext w:val="0"/>
              <w:keepLines w:val="0"/>
              <w:suppressLineNumbers w:val="0"/>
              <w:shd w:val="clear" w:color="auto" w:fill="auto"/>
              <w:wordWrap w:val="0"/>
              <w:snapToGrid w:val="0"/>
              <w:spacing w:before="0" w:beforeAutospacing="0" w:after="0" w:afterAutospacing="0" w:line="360" w:lineRule="auto"/>
              <w:ind w:left="422" w:right="0" w:firstLine="31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法定代表人或授权代表（签字或盖章）</w:t>
            </w:r>
            <w:r>
              <w:rPr>
                <w:rFonts w:hint="eastAsia" w:ascii="宋体" w:hAnsi="宋体" w:eastAsia="宋体" w:cs="宋体"/>
                <w:color w:val="auto"/>
                <w:sz w:val="22"/>
                <w:szCs w:val="22"/>
                <w:highlight w:val="none"/>
                <w:lang w:eastAsia="zh-CN"/>
              </w:rPr>
              <w:t>：</w:t>
            </w:r>
          </w:p>
        </w:tc>
      </w:tr>
      <w:tr w14:paraId="62662E8D">
        <w:tblPrEx>
          <w:tblCellMar>
            <w:top w:w="0" w:type="dxa"/>
            <w:left w:w="0" w:type="dxa"/>
            <w:bottom w:w="0" w:type="dxa"/>
            <w:right w:w="0"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E8221E">
            <w:pPr>
              <w:keepNext w:val="0"/>
              <w:keepLines w:val="0"/>
              <w:suppressLineNumbers w:val="0"/>
              <w:shd w:val="clear" w:color="auto" w:fill="auto"/>
              <w:wordWrap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签署日期</w:t>
            </w:r>
            <w:r>
              <w:rPr>
                <w:rFonts w:hint="eastAsia" w:ascii="宋体" w:hAnsi="宋体" w:eastAsia="宋体" w:cs="宋体"/>
                <w:color w:val="auto"/>
                <w:sz w:val="22"/>
                <w:szCs w:val="22"/>
                <w:highlight w:val="none"/>
                <w:lang w:eastAsia="zh-CN"/>
              </w:rPr>
              <w:t>：</w:t>
            </w:r>
          </w:p>
        </w:tc>
      </w:tr>
    </w:tbl>
    <w:p w14:paraId="7F0E90F2">
      <w:pPr>
        <w:shd w:val="clear" w:color="auto" w:fill="auto"/>
        <w:wordWrap w:val="0"/>
        <w:spacing w:line="360" w:lineRule="auto"/>
        <w:rPr>
          <w:rFonts w:hint="eastAsia" w:ascii="宋体" w:hAnsi="宋体" w:eastAsia="宋体" w:cs="宋体"/>
          <w:color w:val="auto"/>
          <w:sz w:val="36"/>
          <w:highlight w:val="none"/>
        </w:rPr>
      </w:pPr>
    </w:p>
    <w:p w14:paraId="0958577D">
      <w:pPr>
        <w:pStyle w:val="16"/>
        <w:shd w:val="clear" w:color="auto" w:fill="auto"/>
        <w:wordWrap w:val="0"/>
        <w:adjustRightInd w:val="0"/>
        <w:snapToGrid w:val="0"/>
        <w:spacing w:line="360" w:lineRule="auto"/>
        <w:rPr>
          <w:rFonts w:hint="eastAsia" w:ascii="宋体" w:hAnsi="宋体" w:eastAsia="宋体" w:cs="宋体"/>
          <w:color w:val="auto"/>
          <w:sz w:val="36"/>
          <w:highlight w:val="none"/>
        </w:rPr>
      </w:pPr>
      <w:r>
        <w:rPr>
          <w:rFonts w:hint="eastAsia" w:ascii="宋体" w:hAnsi="宋体" w:eastAsia="宋体" w:cs="宋体"/>
          <w:color w:val="auto"/>
          <w:kern w:val="0"/>
          <w:sz w:val="32"/>
          <w:szCs w:val="24"/>
          <w:highlight w:val="none"/>
        </w:rPr>
        <w:t>3.4投标函</w:t>
      </w:r>
      <w:r>
        <w:rPr>
          <w:rFonts w:hint="eastAsia" w:ascii="宋体" w:hAnsi="宋体" w:eastAsia="宋体" w:cs="宋体"/>
          <w:color w:val="auto"/>
          <w:kern w:val="0"/>
          <w:sz w:val="32"/>
          <w:szCs w:val="24"/>
          <w:highlight w:val="none"/>
        </w:rPr>
        <w:cr/>
      </w:r>
      <w:r>
        <w:rPr>
          <w:rFonts w:hint="eastAsia" w:ascii="宋体" w:hAnsi="宋体" w:eastAsia="宋体" w:cs="宋体"/>
          <w:color w:val="auto"/>
          <w:sz w:val="32"/>
          <w:highlight w:val="none"/>
        </w:rPr>
        <w:t xml:space="preserve">                      </w:t>
      </w:r>
      <w:r>
        <w:rPr>
          <w:rFonts w:hint="eastAsia" w:ascii="宋体" w:hAnsi="宋体" w:eastAsia="宋体" w:cs="宋体"/>
          <w:b/>
          <w:bCs/>
          <w:color w:val="auto"/>
          <w:sz w:val="32"/>
          <w:highlight w:val="none"/>
        </w:rPr>
        <w:t xml:space="preserve">   </w:t>
      </w:r>
      <w:r>
        <w:rPr>
          <w:rFonts w:hint="eastAsia" w:ascii="宋体" w:hAnsi="宋体" w:eastAsia="宋体" w:cs="宋体"/>
          <w:b/>
          <w:bCs/>
          <w:color w:val="auto"/>
          <w:sz w:val="36"/>
          <w:highlight w:val="none"/>
        </w:rPr>
        <w:t>投  标  函</w:t>
      </w:r>
    </w:p>
    <w:p w14:paraId="4816E256">
      <w:pPr>
        <w:pStyle w:val="16"/>
        <w:shd w:val="clear" w:color="auto" w:fill="auto"/>
        <w:wordWrap w:val="0"/>
        <w:adjustRightInd w:val="0"/>
        <w:snapToGrid w:val="0"/>
        <w:spacing w:line="360" w:lineRule="auto"/>
        <w:ind w:firstLine="450"/>
        <w:rPr>
          <w:rFonts w:hint="eastAsia" w:ascii="宋体" w:hAnsi="宋体" w:eastAsia="宋体" w:cs="宋体"/>
          <w:color w:val="auto"/>
          <w:sz w:val="22"/>
          <w:szCs w:val="22"/>
          <w:highlight w:val="none"/>
          <w:u w:val="single"/>
          <w:lang w:eastAsia="zh-CN"/>
        </w:rPr>
      </w:pPr>
      <w:r>
        <w:rPr>
          <w:rFonts w:hint="eastAsia" w:hAnsi="宋体" w:eastAsia="宋体" w:cs="宋体"/>
          <w:color w:val="auto"/>
          <w:sz w:val="22"/>
          <w:szCs w:val="22"/>
          <w:highlight w:val="none"/>
          <w:u w:val="single"/>
          <w:lang w:eastAsia="zh-CN"/>
        </w:rPr>
        <w:t>平阳县城发城市运营管理有限公司：</w:t>
      </w:r>
    </w:p>
    <w:p w14:paraId="2A8BD370">
      <w:pPr>
        <w:pStyle w:val="16"/>
        <w:shd w:val="clear" w:color="auto" w:fill="auto"/>
        <w:wordWrap w:val="0"/>
        <w:adjustRightInd w:val="0"/>
        <w:snapToGrid w:val="0"/>
        <w:spacing w:line="360" w:lineRule="auto"/>
        <w:ind w:firstLine="450"/>
        <w:rPr>
          <w:rFonts w:hint="eastAsia" w:ascii="宋体" w:hAnsi="宋体" w:eastAsia="宋体" w:cs="宋体"/>
          <w:color w:val="auto"/>
          <w:sz w:val="22"/>
          <w:szCs w:val="22"/>
          <w:highlight w:val="none"/>
        </w:rPr>
      </w:pPr>
    </w:p>
    <w:p w14:paraId="35EF1587">
      <w:pPr>
        <w:shd w:val="clear" w:color="auto" w:fill="auto"/>
        <w:wordWrap w:val="0"/>
        <w:autoSpaceDE w:val="0"/>
        <w:autoSpaceDN w:val="0"/>
        <w:adjustRightInd w:val="0"/>
        <w:snapToGri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zh-CN"/>
        </w:rPr>
        <w:t xml:space="preserve">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（供应商全称）授权</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 （授权代表名称）</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（职务、职称）为授权代表，参加贵方组织的</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（招标项目名称）（括号内填投标编号）招标的有关活动，为此：并对</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项目（采购项目名称）进行投标。   </w:t>
      </w:r>
    </w:p>
    <w:p w14:paraId="5BDB61C5">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1、提供供应商须知规定的全部投标文件。</w:t>
      </w:r>
    </w:p>
    <w:p w14:paraId="1D642C5C">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2、保证遵守采购文件中的有关规定和收费标准。</w:t>
      </w:r>
    </w:p>
    <w:p w14:paraId="34C66AC3">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3、保证忠实地执行采购人、中标供应商双方所签的合同， 并承担合同规定的责任义务。</w:t>
      </w:r>
    </w:p>
    <w:p w14:paraId="1BE35A23">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4、我方承诺在合同生效后</w:t>
      </w:r>
      <w:r>
        <w:rPr>
          <w:rFonts w:hint="eastAsia" w:ascii="宋体" w:hAnsi="宋体" w:eastAsia="宋体" w:cs="宋体"/>
          <w:b/>
          <w:color w:val="auto"/>
          <w:sz w:val="22"/>
          <w:szCs w:val="22"/>
          <w:highlight w:val="none"/>
          <w:u w:val="single"/>
          <w:lang w:val="zh-CN"/>
        </w:rPr>
        <w:t>按采购文件要求完成本项目</w:t>
      </w:r>
      <w:r>
        <w:rPr>
          <w:rFonts w:hint="eastAsia" w:ascii="宋体" w:hAnsi="宋体" w:eastAsia="宋体" w:cs="宋体"/>
          <w:color w:val="auto"/>
          <w:sz w:val="22"/>
          <w:szCs w:val="22"/>
          <w:highlight w:val="none"/>
          <w:lang w:val="zh-CN"/>
        </w:rPr>
        <w:t>。</w:t>
      </w:r>
    </w:p>
    <w:p w14:paraId="15DCD0C1">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5、供应商已详细审查全部采购文件，包括采购文件补充文件（如果有的话）。我方完全理解并同意放弃对这方面有不明及误解的权力。如果采购文件有相互矛盾之处，我方同意按采购人的理解处理。</w:t>
      </w:r>
    </w:p>
    <w:p w14:paraId="2AEC271A">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6、利益冲突：近三年内直至目前，我公司与本项目的采购人、采购机构没有任何的利害关系。</w:t>
      </w:r>
    </w:p>
    <w:p w14:paraId="0B749377">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7、我公司近三年内没有行贿受贿记录；我公司符合</w:t>
      </w:r>
      <w:r>
        <w:rPr>
          <w:rFonts w:hint="eastAsia" w:ascii="宋体" w:hAnsi="宋体" w:eastAsia="宋体" w:cs="宋体"/>
          <w:color w:val="auto"/>
          <w:sz w:val="22"/>
          <w:szCs w:val="22"/>
          <w:highlight w:val="none"/>
        </w:rPr>
        <w:t>《平阳县县属国有企业采购管理办法（试行）》第十四条对供应商的资格要求；</w:t>
      </w:r>
      <w:r>
        <w:rPr>
          <w:rFonts w:hint="eastAsia" w:ascii="宋体" w:hAnsi="宋体" w:eastAsia="宋体" w:cs="宋体"/>
          <w:color w:val="auto"/>
          <w:sz w:val="22"/>
          <w:szCs w:val="22"/>
          <w:highlight w:val="none"/>
          <w:lang w:val="zh-CN"/>
        </w:rPr>
        <w:t>我公司没有被政府采购管理部门限制参加投标。</w:t>
      </w:r>
    </w:p>
    <w:p w14:paraId="444A27DF">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8、愿意向贵方提供任何与该项投标有关的数据、情况和技术资料，完全理解贵方不一定接受最低价的投标或收到的任何投标。</w:t>
      </w:r>
    </w:p>
    <w:p w14:paraId="0E16BCC6">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9、本投标自开标之日起90天内有效。</w:t>
      </w:r>
    </w:p>
    <w:p w14:paraId="5EE2C3D7">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10、与本投标有关的一切往来通讯请寄：</w:t>
      </w:r>
    </w:p>
    <w:p w14:paraId="7177F7FE">
      <w:pPr>
        <w:shd w:val="clear" w:color="auto" w:fill="auto"/>
        <w:wordWrap w:val="0"/>
        <w:autoSpaceDE w:val="0"/>
        <w:autoSpaceDN w:val="0"/>
        <w:adjustRightInd w:val="0"/>
        <w:snapToGrid w:val="0"/>
        <w:spacing w:line="360" w:lineRule="auto"/>
        <w:ind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地址：</w:t>
      </w:r>
      <w:r>
        <w:rPr>
          <w:rFonts w:hint="eastAsia" w:ascii="宋体" w:hAnsi="宋体" w:eastAsia="宋体" w:cs="宋体"/>
          <w:color w:val="auto"/>
          <w:sz w:val="22"/>
          <w:szCs w:val="22"/>
          <w:highlight w:val="none"/>
          <w:u w:val="single"/>
          <w:lang w:val="zh-CN"/>
        </w:rPr>
        <w:t xml:space="preserve">                                 </w:t>
      </w:r>
    </w:p>
    <w:p w14:paraId="4B0A0850">
      <w:pPr>
        <w:shd w:val="clear" w:color="auto" w:fill="auto"/>
        <w:wordWrap w:val="0"/>
        <w:autoSpaceDE w:val="0"/>
        <w:autoSpaceDN w:val="0"/>
        <w:adjustRightInd w:val="0"/>
        <w:snapToGrid w:val="0"/>
        <w:spacing w:line="360" w:lineRule="auto"/>
        <w:ind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邮编：</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电话：</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传真：</w:t>
      </w:r>
      <w:r>
        <w:rPr>
          <w:rFonts w:hint="eastAsia" w:ascii="宋体" w:hAnsi="宋体" w:eastAsia="宋体" w:cs="宋体"/>
          <w:color w:val="auto"/>
          <w:sz w:val="22"/>
          <w:szCs w:val="22"/>
          <w:highlight w:val="none"/>
          <w:u w:val="single"/>
          <w:lang w:val="zh-CN"/>
        </w:rPr>
        <w:t xml:space="preserve">                 </w:t>
      </w:r>
    </w:p>
    <w:p w14:paraId="430ABC54">
      <w:pPr>
        <w:shd w:val="clear" w:color="auto" w:fill="auto"/>
        <w:wordWrap w:val="0"/>
        <w:autoSpaceDE w:val="0"/>
        <w:autoSpaceDN w:val="0"/>
        <w:adjustRightInd w:val="0"/>
        <w:snapToGrid w:val="0"/>
        <w:spacing w:line="360" w:lineRule="auto"/>
        <w:ind w:firstLine="26" w:firstLineChars="12"/>
        <w:rPr>
          <w:rFonts w:hint="eastAsia" w:ascii="宋体" w:hAnsi="宋体" w:eastAsia="宋体" w:cs="宋体"/>
          <w:color w:val="auto"/>
          <w:sz w:val="22"/>
          <w:szCs w:val="22"/>
          <w:highlight w:val="none"/>
          <w:lang w:val="zh-CN"/>
        </w:rPr>
      </w:pPr>
    </w:p>
    <w:p w14:paraId="3D93A645">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14:paraId="7ABA9E36">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法定代表人（负责人）或授权代表（签字或签章）：</w:t>
      </w:r>
    </w:p>
    <w:p w14:paraId="25A0C395">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14:paraId="547E9A8B">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p>
    <w:p w14:paraId="10F3C3BD">
      <w:pPr>
        <w:shd w:val="clear" w:color="auto" w:fill="auto"/>
        <w:wordWrap w:val="0"/>
        <w:autoSpaceDE w:val="0"/>
        <w:autoSpaceDN w:val="0"/>
        <w:adjustRightInd w:val="0"/>
        <w:snapToGrid w:val="0"/>
        <w:spacing w:line="360" w:lineRule="auto"/>
        <w:ind w:firstLine="629" w:firstLineChars="285"/>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sz w:val="22"/>
          <w:szCs w:val="22"/>
          <w:highlight w:val="none"/>
          <w:u w:val="single"/>
        </w:rPr>
        <w:t>不提供本函做无效投标处理。</w:t>
      </w:r>
    </w:p>
    <w:p w14:paraId="1C877555">
      <w:pPr>
        <w:pStyle w:val="16"/>
        <w:shd w:val="clear" w:color="auto" w:fill="auto"/>
        <w:wordWrap w:val="0"/>
        <w:spacing w:line="360" w:lineRule="auto"/>
        <w:rPr>
          <w:rFonts w:hint="eastAsia" w:ascii="宋体" w:hAnsi="宋体" w:eastAsia="宋体" w:cs="宋体"/>
          <w:b/>
          <w:color w:val="auto"/>
          <w:sz w:val="32"/>
          <w:szCs w:val="32"/>
          <w:highlight w:val="none"/>
        </w:rPr>
      </w:pPr>
    </w:p>
    <w:p w14:paraId="437750FF">
      <w:pPr>
        <w:pStyle w:val="16"/>
        <w:shd w:val="clear" w:color="auto" w:fill="auto"/>
        <w:wordWrap w:val="0"/>
        <w:adjustRightInd w:val="0"/>
        <w:snapToGrid w:val="0"/>
        <w:spacing w:line="360" w:lineRule="auto"/>
        <w:outlineLvl w:val="0"/>
        <w:rPr>
          <w:rFonts w:hint="eastAsia" w:ascii="宋体" w:hAnsi="宋体" w:eastAsia="宋体" w:cs="宋体"/>
          <w:color w:val="auto"/>
          <w:sz w:val="32"/>
          <w:highlight w:val="none"/>
        </w:rPr>
      </w:pPr>
      <w:r>
        <w:rPr>
          <w:rFonts w:hint="eastAsia" w:ascii="宋体" w:hAnsi="宋体" w:eastAsia="宋体" w:cs="宋体"/>
          <w:color w:val="auto"/>
          <w:kern w:val="0"/>
          <w:sz w:val="32"/>
          <w:szCs w:val="24"/>
          <w:highlight w:val="none"/>
        </w:rPr>
        <w:br w:type="page"/>
      </w:r>
      <w:bookmarkStart w:id="61" w:name="_Toc3313"/>
      <w:bookmarkStart w:id="62" w:name="_Toc29299"/>
      <w:bookmarkStart w:id="63" w:name="_Toc16564"/>
      <w:r>
        <w:rPr>
          <w:rFonts w:hint="eastAsia" w:ascii="宋体" w:hAnsi="宋体" w:eastAsia="宋体" w:cs="宋体"/>
          <w:color w:val="auto"/>
          <w:kern w:val="0"/>
          <w:sz w:val="32"/>
          <w:szCs w:val="24"/>
          <w:highlight w:val="none"/>
        </w:rPr>
        <w:t>3.</w:t>
      </w:r>
      <w:r>
        <w:rPr>
          <w:rFonts w:hint="eastAsia" w:ascii="宋体" w:hAnsi="宋体" w:eastAsia="宋体" w:cs="宋体"/>
          <w:color w:val="auto"/>
          <w:sz w:val="32"/>
          <w:highlight w:val="none"/>
        </w:rPr>
        <w:t>5投标供应商情况声明</w:t>
      </w:r>
      <w:bookmarkEnd w:id="61"/>
      <w:bookmarkEnd w:id="62"/>
      <w:bookmarkEnd w:id="63"/>
    </w:p>
    <w:p w14:paraId="1378D8FD">
      <w:pPr>
        <w:pStyle w:val="16"/>
        <w:shd w:val="clear" w:color="auto" w:fill="auto"/>
        <w:wordWrap w:val="0"/>
        <w:adjustRightInd w:val="0"/>
        <w:snapToGrid w:val="0"/>
        <w:spacing w:line="360" w:lineRule="auto"/>
        <w:jc w:val="center"/>
        <w:outlineLvl w:val="0"/>
        <w:rPr>
          <w:rFonts w:hint="eastAsia" w:ascii="宋体" w:hAnsi="宋体" w:eastAsia="宋体" w:cs="宋体"/>
          <w:b/>
          <w:color w:val="auto"/>
          <w:sz w:val="36"/>
          <w:highlight w:val="none"/>
        </w:rPr>
      </w:pPr>
      <w:bookmarkStart w:id="64" w:name="_Toc9797"/>
      <w:bookmarkStart w:id="65" w:name="_Toc28012"/>
      <w:bookmarkStart w:id="66" w:name="_Toc31506"/>
      <w:r>
        <w:rPr>
          <w:rFonts w:hint="eastAsia" w:ascii="宋体" w:hAnsi="宋体" w:eastAsia="宋体" w:cs="宋体"/>
          <w:b/>
          <w:color w:val="auto"/>
          <w:sz w:val="36"/>
          <w:highlight w:val="none"/>
        </w:rPr>
        <w:t>投标供应商情况声明</w:t>
      </w:r>
      <w:bookmarkEnd w:id="64"/>
      <w:bookmarkEnd w:id="65"/>
      <w:bookmarkEnd w:id="66"/>
    </w:p>
    <w:p w14:paraId="673D81D2">
      <w:pPr>
        <w:shd w:val="clear" w:color="auto" w:fill="auto"/>
        <w:wordWrap w:val="0"/>
        <w:spacing w:line="360" w:lineRule="auto"/>
        <w:outlineLvl w:val="0"/>
        <w:rPr>
          <w:rFonts w:hint="eastAsia" w:ascii="宋体" w:hAnsi="宋体" w:eastAsia="宋体" w:cs="宋体"/>
          <w:color w:val="auto"/>
          <w:sz w:val="22"/>
          <w:szCs w:val="22"/>
          <w:highlight w:val="none"/>
          <w:lang w:eastAsia="zh-CN"/>
        </w:rPr>
      </w:pPr>
      <w:bookmarkStart w:id="67" w:name="_Toc10096"/>
      <w:bookmarkStart w:id="68" w:name="_Toc16036"/>
      <w:bookmarkStart w:id="69" w:name="_Toc17869"/>
      <w:r>
        <w:rPr>
          <w:rFonts w:hint="eastAsia" w:ascii="宋体" w:hAnsi="宋体" w:eastAsia="宋体" w:cs="宋体"/>
          <w:color w:val="auto"/>
          <w:sz w:val="22"/>
          <w:szCs w:val="22"/>
          <w:highlight w:val="none"/>
        </w:rPr>
        <w:t>1. 名称及概况</w:t>
      </w:r>
      <w:bookmarkEnd w:id="67"/>
      <w:bookmarkEnd w:id="68"/>
      <w:bookmarkEnd w:id="69"/>
      <w:r>
        <w:rPr>
          <w:rFonts w:hint="eastAsia" w:ascii="宋体" w:hAnsi="宋体" w:eastAsia="宋体" w:cs="宋体"/>
          <w:color w:val="auto"/>
          <w:sz w:val="22"/>
          <w:szCs w:val="22"/>
          <w:highlight w:val="none"/>
          <w:lang w:eastAsia="zh-CN"/>
        </w:rPr>
        <w:t>：</w:t>
      </w:r>
    </w:p>
    <w:p w14:paraId="379A48DC">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（1）供应商名称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62D530D0">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（2）总部地址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1B022815">
      <w:pPr>
        <w:shd w:val="clear" w:color="auto" w:fill="auto"/>
        <w:wordWrap w:val="0"/>
        <w:spacing w:line="360" w:lineRule="auto"/>
        <w:ind w:firstLine="6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传真/电话号码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3A72F194">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（3）温州设立长期驻点办公地址（如有）</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50F9EC7B">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电话号码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618C2BC7">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（4）成立或注册日期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11552347">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（5）实收资本</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316FB616">
      <w:pPr>
        <w:shd w:val="clear" w:color="auto" w:fill="auto"/>
        <w:wordWrap w:val="0"/>
        <w:spacing w:line="360" w:lineRule="auto"/>
        <w:ind w:left="660" w:hanging="660" w:hangingChars="300"/>
        <w:outlineLvl w:val="0"/>
        <w:rPr>
          <w:rFonts w:hint="eastAsia" w:ascii="宋体" w:hAnsi="宋体" w:eastAsia="宋体" w:cs="宋体"/>
          <w:color w:val="auto"/>
          <w:sz w:val="22"/>
          <w:szCs w:val="22"/>
          <w:highlight w:val="none"/>
        </w:rPr>
      </w:pPr>
      <w:bookmarkStart w:id="70" w:name="_Toc22181"/>
      <w:bookmarkStart w:id="71" w:name="_Toc1185"/>
      <w:bookmarkStart w:id="72" w:name="_Toc22922"/>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 近三年的年营业总额</w:t>
      </w:r>
      <w:bookmarkEnd w:id="70"/>
      <w:bookmarkEnd w:id="71"/>
      <w:bookmarkEnd w:id="72"/>
      <w:r>
        <w:rPr>
          <w:rFonts w:hint="eastAsia" w:ascii="宋体" w:hAnsi="宋体" w:eastAsia="宋体" w:cs="宋体"/>
          <w:color w:val="auto"/>
          <w:sz w:val="22"/>
          <w:szCs w:val="22"/>
          <w:highlight w:val="none"/>
          <w:u w:val="single"/>
        </w:rPr>
        <w:t xml:space="preserve">                       </w:t>
      </w:r>
    </w:p>
    <w:p w14:paraId="41FC1196">
      <w:pPr>
        <w:shd w:val="clear" w:color="auto" w:fill="auto"/>
        <w:wordWrap w:val="0"/>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兹证明上述声明是真实、正确的、并提供了全部能提供的资料和数据，我们同意遵照贵方要求出示有关证明文件。</w:t>
      </w:r>
    </w:p>
    <w:p w14:paraId="3FB2DD9F">
      <w:pPr>
        <w:shd w:val="clear" w:color="auto" w:fill="auto"/>
        <w:wordWrap w:val="0"/>
        <w:spacing w:line="360" w:lineRule="auto"/>
        <w:rPr>
          <w:rFonts w:hint="eastAsia" w:ascii="宋体" w:hAnsi="宋体" w:eastAsia="宋体" w:cs="宋体"/>
          <w:color w:val="auto"/>
          <w:sz w:val="22"/>
          <w:szCs w:val="22"/>
          <w:highlight w:val="none"/>
        </w:rPr>
      </w:pPr>
    </w:p>
    <w:p w14:paraId="1CA2758E">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r>
        <w:rPr>
          <w:rFonts w:hint="eastAsia" w:ascii="宋体" w:hAnsi="宋体" w:eastAsia="宋体" w:cs="宋体"/>
          <w:color w:val="auto"/>
          <w:sz w:val="22"/>
          <w:szCs w:val="22"/>
          <w:highlight w:val="none"/>
          <w:u w:val="single"/>
        </w:rPr>
        <w:t xml:space="preserve">                               （盖章）</w:t>
      </w:r>
    </w:p>
    <w:p w14:paraId="481FE868">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法定代表人姓名和职务</w:t>
      </w:r>
      <w:r>
        <w:rPr>
          <w:rFonts w:hint="eastAsia" w:ascii="宋体" w:hAnsi="宋体" w:eastAsia="宋体" w:cs="宋体"/>
          <w:color w:val="auto"/>
          <w:sz w:val="22"/>
          <w:szCs w:val="22"/>
          <w:highlight w:val="none"/>
          <w:u w:val="single"/>
        </w:rPr>
        <w:t xml:space="preserve">                     </w:t>
      </w:r>
    </w:p>
    <w:p w14:paraId="272B2DEC">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法定代表人（负责人）或</w:t>
      </w:r>
      <w:r>
        <w:rPr>
          <w:rFonts w:hint="eastAsia" w:ascii="宋体" w:hAnsi="宋体" w:eastAsia="宋体" w:cs="宋体"/>
          <w:color w:val="auto"/>
          <w:sz w:val="22"/>
          <w:szCs w:val="22"/>
          <w:highlight w:val="none"/>
          <w:lang w:val="zh-CN"/>
        </w:rPr>
        <w:t>授权代表（签字或签章）</w:t>
      </w:r>
      <w:r>
        <w:rPr>
          <w:rFonts w:hint="eastAsia" w:ascii="宋体" w:hAnsi="宋体" w:eastAsia="宋体" w:cs="宋体"/>
          <w:color w:val="auto"/>
          <w:sz w:val="22"/>
          <w:szCs w:val="22"/>
          <w:highlight w:val="none"/>
          <w:u w:val="single"/>
        </w:rPr>
        <w:t xml:space="preserve">                           </w:t>
      </w:r>
    </w:p>
    <w:p w14:paraId="34D60FD4">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签字日期</w:t>
      </w:r>
      <w:r>
        <w:rPr>
          <w:rFonts w:hint="eastAsia" w:ascii="宋体" w:hAnsi="宋体" w:eastAsia="宋体" w:cs="宋体"/>
          <w:color w:val="auto"/>
          <w:sz w:val="22"/>
          <w:szCs w:val="22"/>
          <w:highlight w:val="none"/>
          <w:u w:val="single"/>
        </w:rPr>
        <w:t xml:space="preserve">                                 </w:t>
      </w:r>
    </w:p>
    <w:p w14:paraId="6638A25C">
      <w:pPr>
        <w:shd w:val="clear" w:color="auto" w:fill="auto"/>
        <w:wordWrap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电子邮件</w:t>
      </w:r>
      <w:r>
        <w:rPr>
          <w:rFonts w:hint="eastAsia" w:ascii="宋体" w:hAnsi="宋体" w:eastAsia="宋体" w:cs="宋体"/>
          <w:color w:val="auto"/>
          <w:sz w:val="22"/>
          <w:szCs w:val="22"/>
          <w:highlight w:val="none"/>
          <w:u w:val="single"/>
        </w:rPr>
        <w:t xml:space="preserve">                                 </w:t>
      </w:r>
    </w:p>
    <w:p w14:paraId="10063878">
      <w:pPr>
        <w:pStyle w:val="16"/>
        <w:shd w:val="clear" w:color="auto" w:fill="auto"/>
        <w:wordWrap w:val="0"/>
        <w:spacing w:line="360" w:lineRule="auto"/>
        <w:rPr>
          <w:rFonts w:hint="eastAsia" w:ascii="宋体" w:hAnsi="宋体" w:eastAsia="宋体" w:cs="宋体"/>
          <w:b/>
          <w:color w:val="auto"/>
          <w:sz w:val="22"/>
          <w:szCs w:val="22"/>
          <w:highlight w:val="none"/>
        </w:rPr>
      </w:pPr>
    </w:p>
    <w:p w14:paraId="0672D995">
      <w:pPr>
        <w:pStyle w:val="16"/>
        <w:shd w:val="clear" w:color="auto" w:fill="auto"/>
        <w:wordWrap w:val="0"/>
        <w:spacing w:line="360" w:lineRule="auto"/>
        <w:rPr>
          <w:rFonts w:hint="eastAsia" w:ascii="宋体" w:hAnsi="宋体" w:eastAsia="宋体" w:cs="宋体"/>
          <w:b/>
          <w:color w:val="auto"/>
          <w:sz w:val="32"/>
          <w:szCs w:val="32"/>
          <w:highlight w:val="none"/>
        </w:rPr>
      </w:pPr>
    </w:p>
    <w:p w14:paraId="71017978">
      <w:pPr>
        <w:pStyle w:val="16"/>
        <w:shd w:val="clear" w:color="auto" w:fill="auto"/>
        <w:wordWrap w:val="0"/>
        <w:spacing w:line="360" w:lineRule="auto"/>
        <w:rPr>
          <w:rFonts w:hint="eastAsia" w:ascii="宋体" w:hAnsi="宋体" w:eastAsia="宋体" w:cs="宋体"/>
          <w:b/>
          <w:color w:val="auto"/>
          <w:sz w:val="32"/>
          <w:szCs w:val="32"/>
          <w:highlight w:val="none"/>
        </w:rPr>
      </w:pPr>
    </w:p>
    <w:p w14:paraId="779796F5">
      <w:pPr>
        <w:shd w:val="clear" w:color="auto" w:fill="auto"/>
        <w:wordWrap w:val="0"/>
        <w:autoSpaceDE w:val="0"/>
        <w:autoSpaceDN w:val="0"/>
        <w:adjustRightInd w:val="0"/>
        <w:spacing w:line="360" w:lineRule="auto"/>
        <w:outlineLvl w:val="0"/>
        <w:rPr>
          <w:rFonts w:hint="eastAsia" w:ascii="宋体" w:hAnsi="宋体" w:eastAsia="宋体" w:cs="宋体"/>
          <w:b/>
          <w:color w:val="auto"/>
          <w:sz w:val="32"/>
          <w:highlight w:val="none"/>
          <w:lang w:val="zh-CN"/>
        </w:rPr>
      </w:pPr>
      <w:bookmarkStart w:id="73" w:name="_Toc12302"/>
      <w:bookmarkStart w:id="74" w:name="_Toc15806"/>
      <w:bookmarkStart w:id="75" w:name="_Toc7270"/>
    </w:p>
    <w:p w14:paraId="2ABF2DA1">
      <w:pPr>
        <w:shd w:val="clear" w:color="auto" w:fill="auto"/>
        <w:wordWrap w:val="0"/>
        <w:autoSpaceDE w:val="0"/>
        <w:autoSpaceDN w:val="0"/>
        <w:adjustRightInd w:val="0"/>
        <w:spacing w:line="360" w:lineRule="auto"/>
        <w:outlineLvl w:val="0"/>
        <w:rPr>
          <w:rFonts w:hint="eastAsia" w:ascii="宋体" w:hAnsi="宋体" w:eastAsia="宋体" w:cs="宋体"/>
          <w:b/>
          <w:color w:val="auto"/>
          <w:sz w:val="32"/>
          <w:highlight w:val="none"/>
          <w:lang w:val="zh-CN"/>
        </w:rPr>
      </w:pPr>
    </w:p>
    <w:p w14:paraId="59D1E2D5">
      <w:pPr>
        <w:shd w:val="clear" w:color="auto" w:fill="auto"/>
        <w:wordWrap w:val="0"/>
        <w:autoSpaceDE w:val="0"/>
        <w:autoSpaceDN w:val="0"/>
        <w:adjustRightInd w:val="0"/>
        <w:spacing w:line="360" w:lineRule="auto"/>
        <w:outlineLvl w:val="0"/>
        <w:rPr>
          <w:rFonts w:hint="eastAsia" w:ascii="宋体" w:hAnsi="宋体" w:eastAsia="宋体" w:cs="宋体"/>
          <w:b/>
          <w:color w:val="auto"/>
          <w:sz w:val="32"/>
          <w:highlight w:val="none"/>
          <w:lang w:val="zh-CN"/>
        </w:rPr>
      </w:pPr>
    </w:p>
    <w:p w14:paraId="739CB112">
      <w:pPr>
        <w:shd w:val="clear" w:color="auto" w:fill="auto"/>
        <w:wordWrap w:val="0"/>
        <w:autoSpaceDE w:val="0"/>
        <w:autoSpaceDN w:val="0"/>
        <w:adjustRightInd w:val="0"/>
        <w:spacing w:line="360" w:lineRule="auto"/>
        <w:outlineLvl w:val="0"/>
        <w:rPr>
          <w:rFonts w:hint="eastAsia" w:ascii="宋体" w:hAnsi="宋体" w:eastAsia="宋体" w:cs="宋体"/>
          <w:b/>
          <w:color w:val="auto"/>
          <w:sz w:val="32"/>
          <w:highlight w:val="none"/>
          <w:lang w:val="zh-CN"/>
        </w:rPr>
      </w:pPr>
    </w:p>
    <w:p w14:paraId="633575DE">
      <w:pPr>
        <w:shd w:val="clear" w:color="auto" w:fill="auto"/>
        <w:wordWrap w:val="0"/>
        <w:autoSpaceDE w:val="0"/>
        <w:autoSpaceDN w:val="0"/>
        <w:adjustRightInd w:val="0"/>
        <w:spacing w:line="360" w:lineRule="auto"/>
        <w:outlineLvl w:val="0"/>
        <w:rPr>
          <w:rFonts w:hint="eastAsia" w:ascii="宋体" w:hAnsi="宋体" w:eastAsia="宋体" w:cs="宋体"/>
          <w:b/>
          <w:color w:val="auto"/>
          <w:sz w:val="32"/>
          <w:highlight w:val="none"/>
          <w:lang w:val="zh-CN"/>
        </w:rPr>
      </w:pPr>
    </w:p>
    <w:p w14:paraId="4D237D18">
      <w:pPr>
        <w:shd w:val="clear" w:color="auto" w:fill="auto"/>
        <w:wordWrap w:val="0"/>
        <w:autoSpaceDE w:val="0"/>
        <w:autoSpaceDN w:val="0"/>
        <w:adjustRightInd w:val="0"/>
        <w:spacing w:line="360" w:lineRule="auto"/>
        <w:outlineLvl w:val="0"/>
        <w:rPr>
          <w:rFonts w:hint="eastAsia" w:ascii="宋体" w:hAnsi="宋体" w:eastAsia="宋体" w:cs="宋体"/>
          <w:b/>
          <w:color w:val="auto"/>
          <w:sz w:val="32"/>
          <w:highlight w:val="none"/>
          <w:lang w:val="zh-CN"/>
        </w:rPr>
      </w:pPr>
    </w:p>
    <w:p w14:paraId="53F117B2">
      <w:pPr>
        <w:shd w:val="clear" w:color="auto" w:fill="auto"/>
        <w:wordWrap w:val="0"/>
        <w:autoSpaceDE w:val="0"/>
        <w:autoSpaceDN w:val="0"/>
        <w:adjustRightInd w:val="0"/>
        <w:spacing w:line="360" w:lineRule="auto"/>
        <w:outlineLvl w:val="0"/>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rPr>
        <w:t>6</w:t>
      </w:r>
      <w:r>
        <w:rPr>
          <w:rFonts w:hint="eastAsia" w:ascii="宋体" w:hAnsi="宋体" w:eastAsia="宋体" w:cs="宋体"/>
          <w:b/>
          <w:color w:val="auto"/>
          <w:sz w:val="32"/>
          <w:highlight w:val="none"/>
          <w:lang w:val="zh-CN"/>
        </w:rPr>
        <w:t>商务偏离表、技术偏离表</w:t>
      </w:r>
      <w:bookmarkEnd w:id="73"/>
      <w:bookmarkEnd w:id="74"/>
      <w:bookmarkEnd w:id="75"/>
    </w:p>
    <w:p w14:paraId="4F89FB85">
      <w:pPr>
        <w:shd w:val="clear" w:color="auto" w:fill="auto"/>
        <w:wordWrap w:val="0"/>
        <w:autoSpaceDE w:val="0"/>
        <w:autoSpaceDN w:val="0"/>
        <w:adjustRightInd w:val="0"/>
        <w:spacing w:line="360" w:lineRule="auto"/>
        <w:ind w:firstLine="3413"/>
        <w:outlineLvl w:val="0"/>
        <w:rPr>
          <w:rFonts w:hint="eastAsia" w:ascii="宋体" w:hAnsi="宋体" w:eastAsia="宋体" w:cs="宋体"/>
          <w:b/>
          <w:color w:val="auto"/>
          <w:sz w:val="36"/>
          <w:highlight w:val="none"/>
          <w:lang w:val="zh-CN"/>
        </w:rPr>
      </w:pPr>
      <w:bookmarkStart w:id="76" w:name="_Toc14824"/>
      <w:bookmarkStart w:id="77" w:name="_Toc21941"/>
      <w:bookmarkStart w:id="78" w:name="_Toc18670"/>
      <w:r>
        <w:rPr>
          <w:rFonts w:hint="eastAsia" w:ascii="宋体" w:hAnsi="宋体" w:eastAsia="宋体" w:cs="宋体"/>
          <w:b/>
          <w:color w:val="auto"/>
          <w:sz w:val="36"/>
          <w:highlight w:val="none"/>
          <w:lang w:val="zh-CN"/>
        </w:rPr>
        <w:t>商 务 偏 离 表</w:t>
      </w:r>
      <w:bookmarkEnd w:id="76"/>
      <w:bookmarkEnd w:id="77"/>
      <w:bookmarkEnd w:id="78"/>
    </w:p>
    <w:p w14:paraId="01B80B99">
      <w:pPr>
        <w:shd w:val="clear" w:color="auto" w:fill="auto"/>
        <w:wordWrap w:val="0"/>
        <w:autoSpaceDE w:val="0"/>
        <w:autoSpaceDN w:val="0"/>
        <w:adjustRightInd w:val="0"/>
        <w:spacing w:line="360" w:lineRule="auto"/>
        <w:ind w:firstLine="3413"/>
        <w:rPr>
          <w:rFonts w:hint="eastAsia" w:ascii="宋体" w:hAnsi="宋体" w:eastAsia="宋体" w:cs="宋体"/>
          <w:b/>
          <w:color w:val="auto"/>
          <w:sz w:val="36"/>
          <w:highlight w:val="none"/>
          <w:lang w:val="zh-CN"/>
        </w:rPr>
      </w:pPr>
    </w:p>
    <w:tbl>
      <w:tblPr>
        <w:tblStyle w:val="28"/>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2B17DB63">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77111AA7">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635853B1">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内容</w:t>
            </w:r>
          </w:p>
        </w:tc>
        <w:tc>
          <w:tcPr>
            <w:tcW w:w="2664" w:type="dxa"/>
            <w:tcBorders>
              <w:top w:val="single" w:color="auto" w:sz="6" w:space="0"/>
              <w:left w:val="single" w:color="auto" w:sz="6" w:space="0"/>
              <w:bottom w:val="single" w:color="auto" w:sz="6" w:space="0"/>
              <w:right w:val="single" w:color="auto" w:sz="6" w:space="0"/>
            </w:tcBorders>
            <w:noWrap w:val="0"/>
            <w:vAlign w:val="center"/>
          </w:tcPr>
          <w:p w14:paraId="41DD57E7">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采购文件规范要求</w:t>
            </w:r>
          </w:p>
        </w:tc>
        <w:tc>
          <w:tcPr>
            <w:tcW w:w="2110" w:type="dxa"/>
            <w:tcBorders>
              <w:top w:val="single" w:color="auto" w:sz="6" w:space="0"/>
              <w:left w:val="single" w:color="auto" w:sz="6" w:space="0"/>
              <w:bottom w:val="single" w:color="auto" w:sz="6" w:space="0"/>
              <w:right w:val="single" w:color="auto" w:sz="6" w:space="0"/>
            </w:tcBorders>
            <w:noWrap w:val="0"/>
            <w:vAlign w:val="center"/>
          </w:tcPr>
          <w:p w14:paraId="6817BDC5">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投标文件</w:t>
            </w:r>
          </w:p>
          <w:p w14:paraId="7D310725">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对应规范</w:t>
            </w:r>
          </w:p>
        </w:tc>
        <w:tc>
          <w:tcPr>
            <w:tcW w:w="2126" w:type="dxa"/>
            <w:tcBorders>
              <w:top w:val="single" w:color="auto" w:sz="6" w:space="0"/>
              <w:left w:val="single" w:color="auto" w:sz="6" w:space="0"/>
              <w:bottom w:val="single" w:color="auto" w:sz="6" w:space="0"/>
              <w:right w:val="single" w:color="auto" w:sz="6" w:space="0"/>
            </w:tcBorders>
            <w:noWrap w:val="0"/>
            <w:vAlign w:val="center"/>
          </w:tcPr>
          <w:p w14:paraId="7AAD9CC9">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备 注</w:t>
            </w:r>
          </w:p>
        </w:tc>
      </w:tr>
      <w:tr w14:paraId="6A20F22E">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555FEA9B">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8936486">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7668842C">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7F56A34E">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209BE1EA">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3033664B">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2F7067CC">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4EAE725">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41DBA9F7">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57384106">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1A80391D">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19CF57AF">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194C6395">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7A47397">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4EB4126B">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3A4F7330">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32DD137A">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15D08563">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16E24453">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5549977">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2E970C8D">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3B8F9DCE">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7EC8DC76">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72D2F80D">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464C12EA">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78EDEEB">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01459BDE">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198EAFF8">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6622ECC3">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040B7516">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7E1D896B">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E594E13">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4D8FB1E5">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63287718">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6CE7D5A3">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bl>
    <w:p w14:paraId="19DF09F8">
      <w:pPr>
        <w:shd w:val="clear" w:color="auto" w:fill="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供应商盖章：</w:t>
      </w:r>
    </w:p>
    <w:p w14:paraId="38B2A787">
      <w:pPr>
        <w:shd w:val="clear" w:color="auto" w:fill="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p>
    <w:p w14:paraId="471E43B9">
      <w:pPr>
        <w:shd w:val="clear" w:color="auto" w:fill="auto"/>
        <w:wordWrap w:val="0"/>
        <w:autoSpaceDE w:val="0"/>
        <w:autoSpaceDN w:val="0"/>
        <w:adjustRightInd w:val="0"/>
        <w:spacing w:line="360" w:lineRule="auto"/>
        <w:rPr>
          <w:rFonts w:hint="eastAsia" w:ascii="宋体" w:hAnsi="宋体" w:eastAsia="宋体" w:cs="宋体"/>
          <w:b/>
          <w:color w:val="auto"/>
          <w:sz w:val="32"/>
          <w:highlight w:val="none"/>
          <w:lang w:val="zh-CN"/>
        </w:rPr>
      </w:pPr>
    </w:p>
    <w:p w14:paraId="4793DF48">
      <w:pPr>
        <w:shd w:val="clear" w:color="auto" w:fill="auto"/>
        <w:wordWrap w:val="0"/>
        <w:autoSpaceDE w:val="0"/>
        <w:autoSpaceDN w:val="0"/>
        <w:adjustRightInd w:val="0"/>
        <w:spacing w:line="360" w:lineRule="auto"/>
        <w:rPr>
          <w:rFonts w:hint="eastAsia" w:ascii="宋体" w:hAnsi="宋体" w:eastAsia="宋体" w:cs="宋体"/>
          <w:b/>
          <w:color w:val="auto"/>
          <w:sz w:val="32"/>
          <w:highlight w:val="none"/>
          <w:lang w:val="zh-CN"/>
        </w:rPr>
      </w:pPr>
    </w:p>
    <w:p w14:paraId="79BAF286">
      <w:pPr>
        <w:shd w:val="clear" w:color="auto" w:fill="auto"/>
        <w:wordWrap w:val="0"/>
        <w:autoSpaceDE w:val="0"/>
        <w:autoSpaceDN w:val="0"/>
        <w:adjustRightInd w:val="0"/>
        <w:spacing w:line="360" w:lineRule="auto"/>
        <w:ind w:firstLine="3614" w:firstLineChars="1000"/>
        <w:outlineLvl w:val="0"/>
        <w:rPr>
          <w:rFonts w:hint="eastAsia" w:ascii="宋体" w:hAnsi="宋体" w:eastAsia="宋体" w:cs="宋体"/>
          <w:b/>
          <w:color w:val="auto"/>
          <w:sz w:val="36"/>
          <w:highlight w:val="none"/>
          <w:lang w:val="zh-CN"/>
        </w:rPr>
      </w:pPr>
      <w:bookmarkStart w:id="79" w:name="_Toc18312"/>
      <w:bookmarkStart w:id="80" w:name="_Toc31864"/>
      <w:bookmarkStart w:id="81" w:name="_Toc27863"/>
      <w:r>
        <w:rPr>
          <w:rFonts w:hint="eastAsia" w:ascii="宋体" w:hAnsi="宋体" w:eastAsia="宋体" w:cs="宋体"/>
          <w:b/>
          <w:color w:val="auto"/>
          <w:sz w:val="36"/>
          <w:highlight w:val="none"/>
          <w:lang w:val="zh-CN"/>
        </w:rPr>
        <w:t>技术偏离表</w:t>
      </w:r>
      <w:bookmarkEnd w:id="79"/>
      <w:bookmarkEnd w:id="80"/>
      <w:bookmarkEnd w:id="81"/>
    </w:p>
    <w:tbl>
      <w:tblPr>
        <w:tblStyle w:val="28"/>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5A4DAADE">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3383989A">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1A78323A">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内容</w:t>
            </w:r>
          </w:p>
        </w:tc>
        <w:tc>
          <w:tcPr>
            <w:tcW w:w="2300" w:type="dxa"/>
            <w:tcBorders>
              <w:top w:val="single" w:color="auto" w:sz="6" w:space="0"/>
              <w:left w:val="single" w:color="auto" w:sz="6" w:space="0"/>
              <w:bottom w:val="single" w:color="auto" w:sz="6" w:space="0"/>
              <w:right w:val="single" w:color="auto" w:sz="6" w:space="0"/>
            </w:tcBorders>
            <w:noWrap w:val="0"/>
            <w:vAlign w:val="center"/>
          </w:tcPr>
          <w:p w14:paraId="0A02D1CB">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采购文件规范要求</w:t>
            </w:r>
          </w:p>
        </w:tc>
        <w:tc>
          <w:tcPr>
            <w:tcW w:w="2000" w:type="dxa"/>
            <w:tcBorders>
              <w:top w:val="single" w:color="auto" w:sz="6" w:space="0"/>
              <w:left w:val="single" w:color="auto" w:sz="6" w:space="0"/>
              <w:bottom w:val="single" w:color="auto" w:sz="6" w:space="0"/>
              <w:right w:val="single" w:color="auto" w:sz="6" w:space="0"/>
            </w:tcBorders>
            <w:noWrap w:val="0"/>
            <w:vAlign w:val="center"/>
          </w:tcPr>
          <w:p w14:paraId="7BCE9EB0">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投标文件</w:t>
            </w:r>
          </w:p>
          <w:p w14:paraId="7491E426">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对应规范</w:t>
            </w:r>
          </w:p>
        </w:tc>
        <w:tc>
          <w:tcPr>
            <w:tcW w:w="2800" w:type="dxa"/>
            <w:tcBorders>
              <w:top w:val="single" w:color="auto" w:sz="6" w:space="0"/>
              <w:left w:val="single" w:color="auto" w:sz="6" w:space="0"/>
              <w:bottom w:val="single" w:color="auto" w:sz="6" w:space="0"/>
              <w:right w:val="single" w:color="auto" w:sz="6" w:space="0"/>
            </w:tcBorders>
            <w:noWrap w:val="0"/>
            <w:vAlign w:val="center"/>
          </w:tcPr>
          <w:p w14:paraId="505006EF">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备 注</w:t>
            </w:r>
          </w:p>
        </w:tc>
      </w:tr>
      <w:tr w14:paraId="4BD1BCF5">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1CB0CF4B">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3B6DD0B">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2B25A04E">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66F9E55B">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66756C69">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6E61010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070ABCF7">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3A2CE3AC">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300C9BE4">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62D29EEA">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08026227">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5A0DAB5B">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10A4282A">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302A5FB0">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1AE1B730">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2026BA5A">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1078FAB5">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3ED5E6DE">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006F783B">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1C75024">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62A5417C">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22ECD82C">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625D16E4">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501967E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4EC877AA">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64FC428">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7AE24765">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6D64BC9B">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70AF7DFC">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33FFD947">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6D7167DD">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72C9DA1">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5353B248">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3E37AD6D">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73482574">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bl>
    <w:p w14:paraId="7A7AB6B2">
      <w:pPr>
        <w:shd w:val="clear" w:color="auto" w:fill="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供应商盖章：</w:t>
      </w:r>
    </w:p>
    <w:p w14:paraId="1A576A68">
      <w:pPr>
        <w:shd w:val="clear" w:color="auto" w:fill="auto"/>
        <w:wordWrap w:val="0"/>
        <w:autoSpaceDE w:val="0"/>
        <w:autoSpaceDN w:val="0"/>
        <w:adjustRightInd w:val="0"/>
        <w:spacing w:line="360" w:lineRule="auto"/>
        <w:rPr>
          <w:rFonts w:hint="eastAsia" w:ascii="宋体" w:hAnsi="宋体" w:eastAsia="宋体" w:cs="宋体"/>
          <w:b/>
          <w:color w:val="auto"/>
          <w:sz w:val="22"/>
          <w:szCs w:val="22"/>
          <w:highlight w:val="none"/>
        </w:rPr>
      </w:pPr>
    </w:p>
    <w:p w14:paraId="71126D98">
      <w:pPr>
        <w:shd w:val="clear" w:color="auto" w:fill="auto"/>
        <w:wordWrap w:val="0"/>
        <w:spacing w:line="360" w:lineRule="auto"/>
        <w:rPr>
          <w:rFonts w:hint="eastAsia" w:ascii="宋体" w:hAnsi="宋体" w:eastAsia="宋体" w:cs="宋体"/>
          <w:color w:val="auto"/>
          <w:highlight w:val="none"/>
        </w:rPr>
        <w:sectPr>
          <w:headerReference r:id="rId8" w:type="default"/>
          <w:footerReference r:id="rId9" w:type="default"/>
          <w:pgSz w:w="11906" w:h="16838"/>
          <w:pgMar w:top="1440" w:right="1361" w:bottom="1440" w:left="1361" w:header="851" w:footer="992" w:gutter="0"/>
          <w:cols w:space="720" w:num="1"/>
          <w:docGrid w:linePitch="312" w:charSpace="0"/>
        </w:sectPr>
      </w:pPr>
    </w:p>
    <w:p w14:paraId="5F85EC3A">
      <w:pPr>
        <w:shd w:val="clear" w:color="auto" w:fill="auto"/>
        <w:wordWrap w:val="0"/>
        <w:spacing w:line="360" w:lineRule="auto"/>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lang w:val="en-US" w:eastAsia="zh-CN"/>
        </w:rPr>
        <w:t>7</w:t>
      </w:r>
      <w:r>
        <w:rPr>
          <w:rFonts w:hint="eastAsia" w:ascii="宋体" w:hAnsi="宋体" w:eastAsia="宋体" w:cs="宋体"/>
          <w:b/>
          <w:color w:val="auto"/>
          <w:sz w:val="32"/>
          <w:highlight w:val="none"/>
          <w:lang w:val="zh-CN"/>
        </w:rPr>
        <w:t>针对本项目拟派人员名单</w:t>
      </w:r>
    </w:p>
    <w:p w14:paraId="10FD2216">
      <w:pPr>
        <w:pStyle w:val="27"/>
        <w:shd w:val="clear" w:color="auto" w:fill="auto"/>
        <w:wordWrap w:val="0"/>
        <w:spacing w:before="0" w:after="0" w:line="360" w:lineRule="auto"/>
        <w:ind w:firstLine="723"/>
        <w:rPr>
          <w:rFonts w:hint="eastAsia" w:ascii="宋体" w:hAnsi="宋体" w:eastAsia="宋体" w:cs="宋体"/>
          <w:b w:val="0"/>
          <w:color w:val="auto"/>
          <w:sz w:val="36"/>
          <w:highlight w:val="none"/>
        </w:rPr>
      </w:pPr>
      <w:bookmarkStart w:id="82" w:name="_Toc18995"/>
      <w:bookmarkStart w:id="83" w:name="_Toc24758"/>
      <w:bookmarkStart w:id="84" w:name="_Toc28398"/>
      <w:r>
        <w:rPr>
          <w:rFonts w:hint="eastAsia" w:ascii="宋体" w:hAnsi="宋体" w:eastAsia="宋体" w:cs="宋体"/>
          <w:b w:val="0"/>
          <w:color w:val="auto"/>
          <w:sz w:val="36"/>
          <w:szCs w:val="36"/>
          <w:highlight w:val="none"/>
        </w:rPr>
        <w:t>针对本项目拟派人员名单</w:t>
      </w:r>
      <w:bookmarkEnd w:id="82"/>
      <w:bookmarkEnd w:id="83"/>
      <w:bookmarkEnd w:id="84"/>
    </w:p>
    <w:tbl>
      <w:tblPr>
        <w:tblStyle w:val="28"/>
        <w:tblW w:w="0" w:type="auto"/>
        <w:tblInd w:w="9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87"/>
        <w:gridCol w:w="2205"/>
        <w:gridCol w:w="855"/>
        <w:gridCol w:w="840"/>
        <w:gridCol w:w="780"/>
        <w:gridCol w:w="1005"/>
        <w:gridCol w:w="1065"/>
        <w:gridCol w:w="1188"/>
      </w:tblGrid>
      <w:tr w14:paraId="558D0C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11B777C2">
            <w:pPr>
              <w:keepNext w:val="0"/>
              <w:keepLines w:val="0"/>
              <w:suppressLineNumbers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姓名</w:t>
            </w:r>
          </w:p>
        </w:tc>
        <w:tc>
          <w:tcPr>
            <w:tcW w:w="2205" w:type="dxa"/>
            <w:noWrap w:val="0"/>
            <w:vAlign w:val="center"/>
          </w:tcPr>
          <w:p w14:paraId="6788F67B">
            <w:pPr>
              <w:keepNext w:val="0"/>
              <w:keepLines w:val="0"/>
              <w:suppressLineNumbers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本项目主要工作</w:t>
            </w:r>
          </w:p>
        </w:tc>
        <w:tc>
          <w:tcPr>
            <w:tcW w:w="855" w:type="dxa"/>
            <w:noWrap w:val="0"/>
            <w:vAlign w:val="center"/>
          </w:tcPr>
          <w:p w14:paraId="5CE3DA5C">
            <w:pPr>
              <w:keepNext w:val="0"/>
              <w:keepLines w:val="0"/>
              <w:suppressLineNumbers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年龄</w:t>
            </w:r>
          </w:p>
        </w:tc>
        <w:tc>
          <w:tcPr>
            <w:tcW w:w="840" w:type="dxa"/>
            <w:noWrap w:val="0"/>
            <w:vAlign w:val="center"/>
          </w:tcPr>
          <w:p w14:paraId="3C08C689">
            <w:pPr>
              <w:keepNext w:val="0"/>
              <w:keepLines w:val="0"/>
              <w:suppressLineNumbers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性别</w:t>
            </w:r>
          </w:p>
        </w:tc>
        <w:tc>
          <w:tcPr>
            <w:tcW w:w="780" w:type="dxa"/>
            <w:noWrap w:val="0"/>
            <w:vAlign w:val="center"/>
          </w:tcPr>
          <w:p w14:paraId="2E5AF145">
            <w:pPr>
              <w:keepNext w:val="0"/>
              <w:keepLines w:val="0"/>
              <w:suppressLineNumbers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专业</w:t>
            </w:r>
          </w:p>
        </w:tc>
        <w:tc>
          <w:tcPr>
            <w:tcW w:w="1005" w:type="dxa"/>
            <w:noWrap w:val="0"/>
            <w:vAlign w:val="center"/>
          </w:tcPr>
          <w:p w14:paraId="78FA49ED">
            <w:pPr>
              <w:keepNext w:val="0"/>
              <w:keepLines w:val="0"/>
              <w:suppressLineNumbers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专业年限</w:t>
            </w:r>
          </w:p>
        </w:tc>
        <w:tc>
          <w:tcPr>
            <w:tcW w:w="1065" w:type="dxa"/>
            <w:noWrap w:val="0"/>
            <w:vAlign w:val="center"/>
          </w:tcPr>
          <w:p w14:paraId="7A2A6A28">
            <w:pPr>
              <w:keepNext w:val="0"/>
              <w:keepLines w:val="0"/>
              <w:suppressLineNumbers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职务和职称</w:t>
            </w:r>
          </w:p>
        </w:tc>
        <w:tc>
          <w:tcPr>
            <w:tcW w:w="1188" w:type="dxa"/>
            <w:noWrap w:val="0"/>
            <w:vAlign w:val="center"/>
          </w:tcPr>
          <w:p w14:paraId="7ED9F2AC">
            <w:pPr>
              <w:keepNext w:val="0"/>
              <w:keepLines w:val="0"/>
              <w:suppressLineNumbers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联系方式</w:t>
            </w:r>
          </w:p>
        </w:tc>
      </w:tr>
      <w:tr w14:paraId="3D818B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389BEF95">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205" w:type="dxa"/>
            <w:noWrap w:val="0"/>
            <w:vAlign w:val="center"/>
          </w:tcPr>
          <w:p w14:paraId="2ED19FB4">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6B634602">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40" w:type="dxa"/>
            <w:noWrap w:val="0"/>
            <w:vAlign w:val="center"/>
          </w:tcPr>
          <w:p w14:paraId="5DF980D2">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80" w:type="dxa"/>
            <w:noWrap w:val="0"/>
            <w:vAlign w:val="center"/>
          </w:tcPr>
          <w:p w14:paraId="6303474C">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05" w:type="dxa"/>
            <w:noWrap w:val="0"/>
            <w:vAlign w:val="center"/>
          </w:tcPr>
          <w:p w14:paraId="7498AF32">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65" w:type="dxa"/>
            <w:noWrap w:val="0"/>
            <w:vAlign w:val="center"/>
          </w:tcPr>
          <w:p w14:paraId="139F5C63">
            <w:pPr>
              <w:pStyle w:val="18"/>
              <w:keepNext w:val="0"/>
              <w:keepLines w:val="0"/>
              <w:suppressLineNumbers w:val="0"/>
              <w:shd w:val="clear" w:color="auto" w:fill="auto"/>
              <w:wordWrap w:val="0"/>
              <w:spacing w:before="0" w:beforeAutospacing="0" w:after="0" w:afterAutospacing="0" w:line="360" w:lineRule="auto"/>
              <w:ind w:left="5250" w:right="0"/>
              <w:jc w:val="center"/>
              <w:rPr>
                <w:rFonts w:hint="eastAsia" w:ascii="宋体" w:hAnsi="宋体" w:eastAsia="宋体" w:cs="宋体"/>
                <w:color w:val="auto"/>
                <w:sz w:val="22"/>
                <w:szCs w:val="22"/>
                <w:highlight w:val="none"/>
              </w:rPr>
            </w:pPr>
          </w:p>
        </w:tc>
        <w:tc>
          <w:tcPr>
            <w:tcW w:w="1188" w:type="dxa"/>
            <w:noWrap w:val="0"/>
            <w:vAlign w:val="center"/>
          </w:tcPr>
          <w:p w14:paraId="5E251223">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66F28C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4F2D384F">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0B2D4734">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35D1D5A7">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4149A07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58BD13D7">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197D18D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53078565">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242CDDCA">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549D95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11C1879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2CC80B22">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69DB4297">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5682DDD2">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0B25760A">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3859D58A">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23BAAC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CA5D03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342A4A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D022412">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47A050FA">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6515EE16">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7236BB9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43462DE9">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483346A9">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610A00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648263D">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47E563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561839B8">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1D2AC4FA">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1F74DED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0D4F27A8">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20044F49">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46DCBBB8">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375F984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2040566D">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0A1FE0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01B3F26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1A93B0C8">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46FDF238">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7EE81D59">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4732243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34EF969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A05EDBA">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054FA49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694FF3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4F28C0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08A87F77">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5CEFBFC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7C00B3C6">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76B9219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4B4650E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09062976">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7A0CBAAD">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15C909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4A932B4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53EF4FA7">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lang w:eastAsia="zh-CN"/>
              </w:rPr>
            </w:pPr>
          </w:p>
        </w:tc>
        <w:tc>
          <w:tcPr>
            <w:tcW w:w="855" w:type="dxa"/>
            <w:noWrap w:val="0"/>
            <w:vAlign w:val="center"/>
          </w:tcPr>
          <w:p w14:paraId="2C96E47A">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4EF9CF2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0D941C4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6D2D0A3D">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32CB8C47">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9C149F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3F88C5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7A9CDC26">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3206389A">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2A1D094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031B3F3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1DEA6F20">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6C610B6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35E79D1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569E3E57">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081973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4F94648D">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3DAEF21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0BD178D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7A2CC88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5975BA8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1531D83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0B7021A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0B71DE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22552C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52D60D7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1B013B90">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15A24B02">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353C3D30">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2311E14C">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09C068C6">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050F2429">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6E914AA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1B872F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6B39C6E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60D804A6">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7A25C717">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46A7CAC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77E61F2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6727DC4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0187CA2D">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203CC949">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569648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5CA1E22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6858B308">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5346CB90">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4FEDB157">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43A3F1B9">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2241D842">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DEDA2F0">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489BCF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617F09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18A414F">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2DF69215">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191B0C3F">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392721E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5DE60E0C">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0E5CD106">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1925C67A">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6C1EB9F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6AFF26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62CE535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3A9D456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19310399">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0479732F">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4753762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59EC5AA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75C91D89">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0804A54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4994E5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B3C5B1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4613587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7B5FD335">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13DE912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279ADA92">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46C1B55F">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4BE8728">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03A5D6D">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bl>
    <w:p w14:paraId="7F8D26DD">
      <w:pPr>
        <w:shd w:val="clear" w:color="auto" w:fill="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1、列入本表人员如要更换，需经采购人同意，擅自更换或不到位属违约行为。</w:t>
      </w:r>
    </w:p>
    <w:p w14:paraId="6F81A945">
      <w:pPr>
        <w:shd w:val="clear" w:color="auto" w:fill="auto"/>
        <w:wordWrap w:val="0"/>
        <w:adjustRightInd w:val="0"/>
        <w:snapToGrid w:val="0"/>
        <w:spacing w:line="360" w:lineRule="auto"/>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、表格可以延续。</w:t>
      </w:r>
    </w:p>
    <w:p w14:paraId="538BA6FA">
      <w:pPr>
        <w:shd w:val="clear" w:color="auto" w:fill="auto"/>
        <w:wordWrap w:val="0"/>
        <w:spacing w:line="360" w:lineRule="auto"/>
        <w:ind w:firstLine="480"/>
        <w:rPr>
          <w:rFonts w:hint="eastAsia" w:ascii="宋体" w:hAnsi="宋体" w:eastAsia="宋体" w:cs="宋体"/>
          <w:color w:val="auto"/>
          <w:spacing w:val="20"/>
          <w:sz w:val="22"/>
          <w:szCs w:val="22"/>
          <w:highlight w:val="none"/>
        </w:rPr>
      </w:pPr>
    </w:p>
    <w:p w14:paraId="1802CF5F">
      <w:pPr>
        <w:shd w:val="clear" w:color="auto" w:fill="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投标供应商盖章：</w:t>
      </w:r>
    </w:p>
    <w:p w14:paraId="0144DF6C">
      <w:pPr>
        <w:shd w:val="clear" w:color="auto" w:fill="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法定代表人（负责人）或授权代表（签字或盖章）：            </w:t>
      </w:r>
    </w:p>
    <w:p w14:paraId="567E7662">
      <w:pPr>
        <w:shd w:val="clear" w:color="auto" w:fill="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14:paraId="4028F2A8">
      <w:pPr>
        <w:shd w:val="clear" w:color="auto" w:fill="auto"/>
        <w:wordWrap w:val="0"/>
        <w:spacing w:line="360" w:lineRule="auto"/>
        <w:rPr>
          <w:rFonts w:hint="eastAsia" w:ascii="宋体" w:hAnsi="宋体" w:eastAsia="宋体" w:cs="宋体"/>
          <w:color w:val="auto"/>
          <w:sz w:val="36"/>
          <w:szCs w:val="36"/>
          <w:highlight w:val="none"/>
        </w:rPr>
      </w:pPr>
    </w:p>
    <w:p w14:paraId="31F22898">
      <w:pPr>
        <w:shd w:val="clear" w:color="auto" w:fill="auto"/>
        <w:wordWrap w:val="0"/>
        <w:spacing w:line="360" w:lineRule="auto"/>
        <w:rPr>
          <w:rFonts w:hint="eastAsia" w:ascii="宋体" w:hAnsi="宋体" w:eastAsia="宋体" w:cs="宋体"/>
          <w:color w:val="auto"/>
          <w:sz w:val="36"/>
          <w:szCs w:val="36"/>
          <w:highlight w:val="none"/>
        </w:rPr>
      </w:pPr>
    </w:p>
    <w:p w14:paraId="6B45AC14">
      <w:pPr>
        <w:shd w:val="clear" w:color="auto" w:fill="auto"/>
        <w:wordWrap w:val="0"/>
        <w:spacing w:line="360" w:lineRule="auto"/>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br w:type="page"/>
      </w:r>
      <w:r>
        <w:rPr>
          <w:rFonts w:hint="eastAsia" w:ascii="宋体" w:hAnsi="宋体" w:eastAsia="宋体" w:cs="宋体"/>
          <w:b/>
          <w:color w:val="auto"/>
          <w:sz w:val="32"/>
          <w:highlight w:val="none"/>
        </w:rPr>
        <w:t>3.</w:t>
      </w:r>
      <w:r>
        <w:rPr>
          <w:rFonts w:hint="eastAsia" w:ascii="宋体" w:hAnsi="宋体" w:eastAsia="宋体" w:cs="宋体"/>
          <w:b/>
          <w:color w:val="auto"/>
          <w:sz w:val="32"/>
          <w:highlight w:val="none"/>
          <w:lang w:val="en-US" w:eastAsia="zh-CN"/>
        </w:rPr>
        <w:t>8</w:t>
      </w:r>
      <w:r>
        <w:rPr>
          <w:rFonts w:hint="eastAsia" w:ascii="宋体" w:hAnsi="宋体" w:eastAsia="宋体" w:cs="宋体"/>
          <w:b/>
          <w:color w:val="auto"/>
          <w:sz w:val="32"/>
          <w:highlight w:val="none"/>
        </w:rPr>
        <w:t>项目组织实施方案（供应商根据评分细则自行自拟）</w:t>
      </w:r>
      <w:r>
        <w:rPr>
          <w:rFonts w:hint="eastAsia" w:ascii="宋体" w:hAnsi="宋体" w:eastAsia="宋体" w:cs="宋体"/>
          <w:b/>
          <w:color w:val="auto"/>
          <w:sz w:val="32"/>
          <w:highlight w:val="none"/>
          <w:lang w:val="zh-CN"/>
        </w:rPr>
        <w:br w:type="page"/>
      </w:r>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lang w:val="en-US" w:eastAsia="zh-CN"/>
        </w:rPr>
        <w:t>9</w:t>
      </w:r>
      <w:r>
        <w:rPr>
          <w:rFonts w:hint="eastAsia" w:ascii="宋体" w:hAnsi="宋体" w:eastAsia="宋体" w:cs="宋体"/>
          <w:b/>
          <w:color w:val="auto"/>
          <w:sz w:val="32"/>
          <w:highlight w:val="none"/>
          <w:lang w:val="zh-CN"/>
        </w:rPr>
        <w:t>供应商认为有必要提供的其他材料或说明（如有）</w:t>
      </w:r>
    </w:p>
    <w:p w14:paraId="2CB5ADE1">
      <w:pPr>
        <w:pStyle w:val="6"/>
        <w:shd w:val="clear" w:color="auto" w:fill="auto"/>
        <w:wordWrap w:val="0"/>
        <w:spacing w:before="0" w:after="0" w:line="360" w:lineRule="auto"/>
        <w:rPr>
          <w:rFonts w:hint="eastAsia" w:ascii="宋体" w:hAnsi="宋体" w:eastAsia="宋体" w:cs="宋体"/>
          <w:color w:val="auto"/>
          <w:highlight w:val="none"/>
        </w:rPr>
      </w:pPr>
    </w:p>
    <w:p w14:paraId="7D296DE7">
      <w:pPr>
        <w:shd w:val="clear" w:color="auto" w:fill="auto"/>
        <w:wordWrap w:val="0"/>
        <w:spacing w:line="360" w:lineRule="auto"/>
        <w:jc w:val="center"/>
        <w:outlineLvl w:val="1"/>
        <w:rPr>
          <w:rFonts w:hint="eastAsia" w:ascii="宋体" w:hAnsi="宋体" w:eastAsia="宋体" w:cs="宋体"/>
          <w:b/>
          <w:color w:val="auto"/>
          <w:sz w:val="40"/>
          <w:highlight w:val="none"/>
        </w:rPr>
      </w:pPr>
      <w:bookmarkStart w:id="85" w:name="_Toc3954"/>
      <w:bookmarkStart w:id="86" w:name="_Toc15594"/>
      <w:bookmarkStart w:id="87" w:name="_Toc5823"/>
      <w:r>
        <w:rPr>
          <w:rFonts w:hint="eastAsia" w:ascii="宋体" w:hAnsi="宋体" w:eastAsia="宋体" w:cs="宋体"/>
          <w:b/>
          <w:color w:val="auto"/>
          <w:sz w:val="40"/>
          <w:highlight w:val="none"/>
        </w:rPr>
        <w:t>供应商认为有必要提供的其他材料或说明</w:t>
      </w:r>
      <w:bookmarkEnd w:id="85"/>
      <w:bookmarkEnd w:id="86"/>
      <w:bookmarkEnd w:id="87"/>
    </w:p>
    <w:p w14:paraId="2F9ACEAA">
      <w:pPr>
        <w:shd w:val="clear" w:color="auto" w:fill="auto"/>
        <w:wordWrap w:val="0"/>
        <w:spacing w:line="360" w:lineRule="auto"/>
        <w:rPr>
          <w:rFonts w:hint="eastAsia" w:ascii="宋体" w:hAnsi="宋体" w:eastAsia="宋体" w:cs="宋体"/>
          <w:b/>
          <w:color w:val="auto"/>
          <w:sz w:val="22"/>
          <w:szCs w:val="22"/>
          <w:highlight w:val="none"/>
          <w:u w:val="single"/>
          <w:lang w:eastAsia="zh-CN"/>
        </w:rPr>
      </w:pPr>
      <w:r>
        <w:rPr>
          <w:rFonts w:hint="eastAsia" w:ascii="宋体" w:hAnsi="宋体" w:eastAsia="宋体" w:cs="宋体"/>
          <w:b/>
          <w:color w:val="auto"/>
          <w:sz w:val="22"/>
          <w:szCs w:val="22"/>
          <w:highlight w:val="none"/>
        </w:rPr>
        <w:t>项目名称</w:t>
      </w:r>
      <w:r>
        <w:rPr>
          <w:rFonts w:hint="eastAsia" w:ascii="宋体" w:hAnsi="宋体" w:eastAsia="宋体" w:cs="宋体"/>
          <w:b/>
          <w:color w:val="auto"/>
          <w:sz w:val="22"/>
          <w:szCs w:val="22"/>
          <w:highlight w:val="none"/>
          <w:lang w:eastAsia="zh-CN"/>
        </w:rPr>
        <w:t>：</w:t>
      </w:r>
      <w:r>
        <w:rPr>
          <w:rFonts w:hint="eastAsia" w:ascii="宋体" w:hAnsi="宋体" w:cs="宋体"/>
          <w:b/>
          <w:color w:val="auto"/>
          <w:sz w:val="22"/>
          <w:szCs w:val="22"/>
          <w:highlight w:val="none"/>
          <w:lang w:eastAsia="zh-CN"/>
        </w:rPr>
        <w:t>昆鳌协同区F-42地块商业综合体项目招商运营服务项目</w:t>
      </w:r>
    </w:p>
    <w:p w14:paraId="340AD109">
      <w:pPr>
        <w:shd w:val="clear" w:color="auto" w:fill="auto"/>
        <w:wordWrap w:val="0"/>
        <w:spacing w:line="360" w:lineRule="auto"/>
        <w:rPr>
          <w:rFonts w:hint="default" w:ascii="宋体" w:hAnsi="宋体" w:eastAsia="宋体" w:cs="宋体"/>
          <w:b/>
          <w:color w:val="auto"/>
          <w:sz w:val="22"/>
          <w:szCs w:val="22"/>
          <w:highlight w:val="none"/>
          <w:u w:val="single"/>
          <w:lang w:val="en-US" w:eastAsia="zh-CN"/>
        </w:rPr>
      </w:pPr>
      <w:r>
        <w:rPr>
          <w:rFonts w:hint="eastAsia" w:ascii="宋体" w:hAnsi="宋体" w:eastAsia="宋体" w:cs="宋体"/>
          <w:b/>
          <w:color w:val="auto"/>
          <w:sz w:val="22"/>
          <w:szCs w:val="22"/>
          <w:highlight w:val="none"/>
        </w:rPr>
        <w:t>项目编号</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u w:val="single"/>
        </w:rPr>
        <w:t xml:space="preserve"> </w:t>
      </w:r>
      <w:r>
        <w:rPr>
          <w:rFonts w:hint="eastAsia" w:ascii="宋体" w:hAnsi="宋体" w:cs="宋体"/>
          <w:b/>
          <w:color w:val="auto"/>
          <w:sz w:val="22"/>
          <w:szCs w:val="22"/>
          <w:highlight w:val="none"/>
          <w:u w:val="single"/>
          <w:lang w:eastAsia="zh-CN"/>
        </w:rPr>
        <w:t>PYCG251021117</w:t>
      </w:r>
      <w:r>
        <w:rPr>
          <w:rFonts w:hint="eastAsia" w:ascii="宋体" w:hAnsi="宋体" w:cs="宋体"/>
          <w:b/>
          <w:color w:val="auto"/>
          <w:sz w:val="22"/>
          <w:szCs w:val="22"/>
          <w:highlight w:val="none"/>
          <w:u w:val="single"/>
          <w:lang w:val="en-US" w:eastAsia="zh-CN"/>
        </w:rPr>
        <w:t xml:space="preserve"> </w:t>
      </w:r>
    </w:p>
    <w:tbl>
      <w:tblPr>
        <w:tblStyle w:val="28"/>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1233F372">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7655" w:hRule="atLeast"/>
        </w:trPr>
        <w:tc>
          <w:tcPr>
            <w:tcW w:w="9145" w:type="dxa"/>
            <w:noWrap w:val="0"/>
            <w:vAlign w:val="top"/>
          </w:tcPr>
          <w:p w14:paraId="26F2B067">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bl>
    <w:p w14:paraId="177145A8">
      <w:pPr>
        <w:shd w:val="clear" w:color="auto" w:fill="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____________________________________________</w:t>
      </w:r>
    </w:p>
    <w:p w14:paraId="1BF97481">
      <w:pPr>
        <w:shd w:val="clear" w:color="auto" w:fill="auto"/>
        <w:wordWrap w:val="0"/>
        <w:snapToGrid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法定代表人或其授权代表（签字或盖章）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____________________________</w:t>
      </w:r>
    </w:p>
    <w:p w14:paraId="549970AF">
      <w:pPr>
        <w:shd w:val="clear" w:color="auto" w:fill="auto"/>
        <w:wordWrap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________年____月____日</w:t>
      </w:r>
    </w:p>
    <w:p w14:paraId="3FB0EECA">
      <w:pPr>
        <w:shd w:val="clear" w:color="auto" w:fill="auto"/>
        <w:tabs>
          <w:tab w:val="left" w:pos="1575"/>
        </w:tabs>
        <w:wordWrap w:val="0"/>
        <w:adjustRightInd w:val="0"/>
        <w:snapToGrid w:val="0"/>
        <w:spacing w:line="360" w:lineRule="auto"/>
        <w:jc w:val="center"/>
        <w:rPr>
          <w:rFonts w:hint="eastAsia" w:ascii="宋体" w:hAnsi="宋体" w:eastAsia="宋体" w:cs="宋体"/>
          <w:b/>
          <w:color w:val="auto"/>
          <w:sz w:val="36"/>
          <w:szCs w:val="36"/>
          <w:highlight w:val="none"/>
        </w:rPr>
      </w:pPr>
    </w:p>
    <w:p w14:paraId="5AFC2C17">
      <w:pPr>
        <w:pStyle w:val="11"/>
        <w:shd w:val="clear" w:color="auto" w:fill="auto"/>
        <w:wordWrap w:val="0"/>
        <w:spacing w:after="0" w:line="360" w:lineRule="auto"/>
        <w:ind w:firstLine="361"/>
        <w:rPr>
          <w:rFonts w:hint="eastAsia" w:ascii="宋体" w:hAnsi="宋体" w:eastAsia="宋体" w:cs="宋体"/>
          <w:b/>
          <w:color w:val="auto"/>
          <w:sz w:val="36"/>
          <w:szCs w:val="36"/>
          <w:highlight w:val="none"/>
        </w:rPr>
      </w:pPr>
    </w:p>
    <w:p w14:paraId="0965B83B">
      <w:pPr>
        <w:pStyle w:val="12"/>
        <w:shd w:val="clear" w:color="auto" w:fill="auto"/>
        <w:wordWrap w:val="0"/>
        <w:spacing w:line="360" w:lineRule="auto"/>
        <w:rPr>
          <w:rFonts w:hint="eastAsia" w:ascii="宋体" w:hAnsi="宋体" w:eastAsia="宋体" w:cs="宋体"/>
          <w:color w:val="auto"/>
          <w:highlight w:val="none"/>
        </w:rPr>
      </w:pPr>
    </w:p>
    <w:p w14:paraId="793ACD56">
      <w:pPr>
        <w:shd w:val="clear" w:color="auto" w:fill="auto"/>
        <w:tabs>
          <w:tab w:val="left" w:pos="1575"/>
        </w:tabs>
        <w:wordWrap w:val="0"/>
        <w:adjustRightInd w:val="0"/>
        <w:snapToGri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5AF20236">
      <w:pPr>
        <w:shd w:val="clear" w:color="auto" w:fill="auto"/>
        <w:tabs>
          <w:tab w:val="left" w:pos="1575"/>
        </w:tabs>
        <w:wordWrap w:val="0"/>
        <w:adjustRightInd w:val="0"/>
        <w:snapToGri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质量服务承诺书</w:t>
      </w:r>
    </w:p>
    <w:p w14:paraId="50143626">
      <w:pPr>
        <w:shd w:val="clear" w:color="auto" w:fill="auto"/>
        <w:wordWrap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（采购人）</w:t>
      </w:r>
      <w:r>
        <w:rPr>
          <w:rFonts w:hint="eastAsia" w:ascii="宋体" w:hAnsi="宋体" w:cs="宋体"/>
          <w:color w:val="auto"/>
          <w:sz w:val="22"/>
          <w:szCs w:val="22"/>
          <w:highlight w:val="none"/>
          <w:lang w:eastAsia="zh-CN"/>
        </w:rPr>
        <w:t>：</w:t>
      </w:r>
    </w:p>
    <w:p w14:paraId="2DB4AB72">
      <w:pPr>
        <w:shd w:val="clear" w:color="auto" w:fill="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（供应商）对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（项目名称）项目做出如下承诺。</w:t>
      </w:r>
    </w:p>
    <w:p w14:paraId="7A3DE1EA">
      <w:pPr>
        <w:shd w:val="clear" w:color="auto" w:fill="auto"/>
        <w:wordWrap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如果我公司有幸成为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（项目名称）项目的中标人，将作出以下承诺</w:t>
      </w:r>
      <w:r>
        <w:rPr>
          <w:rFonts w:hint="eastAsia" w:ascii="宋体" w:hAnsi="宋体" w:eastAsia="宋体" w:cs="宋体"/>
          <w:color w:val="auto"/>
          <w:sz w:val="22"/>
          <w:szCs w:val="22"/>
          <w:highlight w:val="none"/>
          <w:lang w:eastAsia="zh-CN"/>
        </w:rPr>
        <w:t>：</w:t>
      </w:r>
    </w:p>
    <w:p w14:paraId="2871CC6C">
      <w:pPr>
        <w:shd w:val="clear" w:color="auto" w:fill="auto"/>
        <w:wordWrap w:val="0"/>
        <w:spacing w:line="360" w:lineRule="auto"/>
        <w:ind w:firstLine="440" w:firstLineChars="200"/>
        <w:rPr>
          <w:rFonts w:hint="eastAsia" w:ascii="宋体" w:hAnsi="宋体" w:eastAsia="宋体" w:cs="宋体"/>
          <w:color w:val="auto"/>
          <w:sz w:val="22"/>
          <w:szCs w:val="22"/>
          <w:highlight w:val="none"/>
        </w:rPr>
      </w:pPr>
    </w:p>
    <w:p w14:paraId="18AE3B82">
      <w:pPr>
        <w:shd w:val="clear" w:color="auto" w:fill="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一、本公司所提供的服务均符合法律法规以及行业相关质量标准；</w:t>
      </w:r>
    </w:p>
    <w:p w14:paraId="66084741">
      <w:pPr>
        <w:shd w:val="clear" w:color="auto" w:fill="auto"/>
        <w:wordWrap w:val="0"/>
        <w:spacing w:line="360" w:lineRule="auto"/>
        <w:rPr>
          <w:rFonts w:hint="eastAsia" w:ascii="宋体" w:hAnsi="宋体" w:eastAsia="宋体" w:cs="宋体"/>
          <w:color w:val="auto"/>
          <w:sz w:val="22"/>
          <w:szCs w:val="22"/>
          <w:highlight w:val="none"/>
        </w:rPr>
      </w:pPr>
    </w:p>
    <w:p w14:paraId="3752D883">
      <w:pPr>
        <w:shd w:val="clear" w:color="auto" w:fill="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二、在采购文件要求的质保期内，无条件服务直至满足使用方的项目使用需求；</w:t>
      </w:r>
    </w:p>
    <w:p w14:paraId="37D67B10">
      <w:pPr>
        <w:shd w:val="clear" w:color="auto" w:fill="auto"/>
        <w:wordWrap w:val="0"/>
        <w:spacing w:line="360" w:lineRule="auto"/>
        <w:rPr>
          <w:rFonts w:hint="eastAsia" w:ascii="宋体" w:hAnsi="宋体" w:eastAsia="宋体" w:cs="宋体"/>
          <w:color w:val="auto"/>
          <w:sz w:val="22"/>
          <w:szCs w:val="22"/>
          <w:highlight w:val="none"/>
        </w:rPr>
      </w:pPr>
    </w:p>
    <w:p w14:paraId="48406001">
      <w:pPr>
        <w:shd w:val="clear" w:color="auto" w:fill="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本承诺书自开标日起至招标方与中标方合同结束之日均有效。</w:t>
      </w:r>
    </w:p>
    <w:p w14:paraId="3E6A4892">
      <w:pPr>
        <w:shd w:val="clear" w:color="auto" w:fill="auto"/>
        <w:wordWrap w:val="0"/>
        <w:spacing w:line="360" w:lineRule="auto"/>
        <w:ind w:firstLine="440" w:firstLineChars="200"/>
        <w:rPr>
          <w:rFonts w:hint="eastAsia" w:ascii="宋体" w:hAnsi="宋体" w:eastAsia="宋体" w:cs="宋体"/>
          <w:color w:val="auto"/>
          <w:sz w:val="22"/>
          <w:szCs w:val="22"/>
          <w:highlight w:val="none"/>
        </w:rPr>
      </w:pPr>
    </w:p>
    <w:p w14:paraId="1253A811">
      <w:pPr>
        <w:shd w:val="clear" w:color="auto" w:fill="auto"/>
        <w:wordWrap w:val="0"/>
        <w:spacing w:line="360" w:lineRule="auto"/>
        <w:ind w:firstLine="440" w:firstLineChars="200"/>
        <w:rPr>
          <w:rFonts w:hint="eastAsia" w:ascii="宋体" w:hAnsi="宋体" w:eastAsia="宋体" w:cs="宋体"/>
          <w:color w:val="auto"/>
          <w:sz w:val="22"/>
          <w:szCs w:val="22"/>
          <w:highlight w:val="none"/>
        </w:rPr>
      </w:pPr>
    </w:p>
    <w:p w14:paraId="0F7D9392">
      <w:pPr>
        <w:shd w:val="clear" w:color="auto" w:fill="auto"/>
        <w:wordWrap w:val="0"/>
        <w:spacing w:line="360" w:lineRule="auto"/>
        <w:ind w:firstLine="440" w:firstLineChars="200"/>
        <w:rPr>
          <w:rFonts w:hint="eastAsia" w:ascii="宋体" w:hAnsi="宋体" w:eastAsia="宋体" w:cs="宋体"/>
          <w:color w:val="auto"/>
          <w:sz w:val="22"/>
          <w:szCs w:val="22"/>
          <w:highlight w:val="none"/>
        </w:rPr>
      </w:pPr>
    </w:p>
    <w:p w14:paraId="5211399D">
      <w:pPr>
        <w:shd w:val="clear" w:color="auto" w:fill="auto"/>
        <w:wordWrap w:val="0"/>
        <w:spacing w:line="360" w:lineRule="auto"/>
        <w:ind w:firstLine="440" w:firstLineChars="200"/>
        <w:rPr>
          <w:rFonts w:hint="eastAsia" w:ascii="宋体" w:hAnsi="宋体" w:eastAsia="宋体" w:cs="宋体"/>
          <w:color w:val="auto"/>
          <w:sz w:val="22"/>
          <w:szCs w:val="22"/>
          <w:highlight w:val="none"/>
        </w:rPr>
      </w:pPr>
    </w:p>
    <w:p w14:paraId="6AC29915">
      <w:pPr>
        <w:shd w:val="clear" w:color="auto" w:fill="auto"/>
        <w:wordWrap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邮编</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p>
    <w:p w14:paraId="678DB41A">
      <w:pPr>
        <w:shd w:val="clear" w:color="auto" w:fill="auto"/>
        <w:wordWrap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传真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w:t>
      </w:r>
    </w:p>
    <w:p w14:paraId="0F963679">
      <w:pPr>
        <w:shd w:val="clear" w:color="auto" w:fill="auto"/>
        <w:wordWrap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供应商授权代表姓名职务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w:t>
      </w:r>
    </w:p>
    <w:p w14:paraId="619BE05E">
      <w:pPr>
        <w:shd w:val="clear" w:color="auto" w:fill="auto"/>
        <w:tabs>
          <w:tab w:val="left" w:pos="1260"/>
        </w:tabs>
        <w:wordWrap w:val="0"/>
        <w:spacing w:line="360" w:lineRule="auto"/>
        <w:ind w:right="48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供应商名称（公章）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p>
    <w:p w14:paraId="26A6593E">
      <w:pPr>
        <w:shd w:val="clear" w:color="auto" w:fill="auto"/>
        <w:tabs>
          <w:tab w:val="left" w:pos="1260"/>
        </w:tabs>
        <w:wordWrap w:val="0"/>
        <w:spacing w:line="360" w:lineRule="auto"/>
        <w:ind w:right="48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法定代表人（负责人）或授权代表（签字或盖章）</w:t>
      </w:r>
      <w:r>
        <w:rPr>
          <w:rFonts w:hint="eastAsia" w:ascii="宋体" w:hAnsi="宋体" w:eastAsia="宋体" w:cs="宋体"/>
          <w:color w:val="auto"/>
          <w:sz w:val="22"/>
          <w:szCs w:val="22"/>
          <w:highlight w:val="none"/>
          <w:lang w:eastAsia="zh-CN"/>
        </w:rPr>
        <w:t>：</w:t>
      </w:r>
    </w:p>
    <w:p w14:paraId="69A08409">
      <w:pPr>
        <w:shd w:val="clear" w:color="auto" w:fill="auto"/>
        <w:wordWrap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诚信投标承诺书</w:t>
      </w:r>
    </w:p>
    <w:p w14:paraId="1A9983B2">
      <w:pPr>
        <w:shd w:val="clear" w:color="auto" w:fill="auto"/>
        <w:wordWrap w:val="0"/>
        <w:spacing w:line="360" w:lineRule="auto"/>
        <w:ind w:right="-153" w:rightChars="-73"/>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本企业郑重承诺</w:t>
      </w:r>
      <w:r>
        <w:rPr>
          <w:rFonts w:hint="eastAsia" w:ascii="宋体" w:hAnsi="宋体" w:eastAsia="宋体" w:cs="宋体"/>
          <w:color w:val="auto"/>
          <w:sz w:val="22"/>
          <w:szCs w:val="22"/>
          <w:highlight w:val="none"/>
          <w:lang w:eastAsia="zh-CN"/>
        </w:rPr>
        <w:t>：</w:t>
      </w:r>
    </w:p>
    <w:p w14:paraId="14A8BB8F">
      <w:pPr>
        <w:shd w:val="clear" w:color="auto" w:fill="auto"/>
        <w:wordWrap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为了积极配合采购人组织的</w:t>
      </w:r>
      <w:r>
        <w:rPr>
          <w:rFonts w:hint="eastAsia" w:ascii="宋体" w:hAnsi="宋体" w:eastAsia="宋体" w:cs="宋体"/>
          <w:color w:val="auto"/>
          <w:sz w:val="22"/>
          <w:szCs w:val="22"/>
          <w:highlight w:val="none"/>
          <w:u w:val="single"/>
        </w:rPr>
        <w:t xml:space="preserve"> （项目名称） </w:t>
      </w:r>
      <w:r>
        <w:rPr>
          <w:rFonts w:hint="eastAsia" w:ascii="宋体" w:hAnsi="宋体" w:eastAsia="宋体" w:cs="宋体"/>
          <w:color w:val="auto"/>
          <w:sz w:val="22"/>
          <w:szCs w:val="22"/>
          <w:highlight w:val="none"/>
        </w:rPr>
        <w:t>招标工作，有效遏制不公平竞争和违规违纪问题的发生，确保招标工作的公平、公正、公开，我们保证认真贯彻《平阳县县属国有企业采购管理办法（试行）》等法律及有关法规相关规定以及有关廉洁要求，特承诺如下事项</w:t>
      </w:r>
      <w:r>
        <w:rPr>
          <w:rFonts w:hint="eastAsia" w:ascii="宋体" w:hAnsi="宋体" w:eastAsia="宋体" w:cs="宋体"/>
          <w:color w:val="auto"/>
          <w:sz w:val="22"/>
          <w:szCs w:val="22"/>
          <w:highlight w:val="none"/>
          <w:lang w:eastAsia="zh-CN"/>
        </w:rPr>
        <w:t>：</w:t>
      </w:r>
    </w:p>
    <w:p w14:paraId="7EBF7F05">
      <w:pPr>
        <w:shd w:val="clear" w:color="auto" w:fill="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1、自觉遵守国家法律法规及有关廉政建设制度。</w:t>
      </w:r>
    </w:p>
    <w:p w14:paraId="58F37643">
      <w:pPr>
        <w:shd w:val="clear" w:color="auto" w:fill="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2、主动了解采购人招投标纪律，积极配合采购人执行招投标廉政建设的有关规定。</w:t>
      </w:r>
    </w:p>
    <w:p w14:paraId="27651034">
      <w:pPr>
        <w:shd w:val="clear" w:color="auto" w:fill="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3、不使用不正当手段妨碍、排挤其它供应商或串通投标。</w:t>
      </w:r>
    </w:p>
    <w:p w14:paraId="05DEF08E">
      <w:pPr>
        <w:shd w:val="clear" w:color="auto" w:fill="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4、按照本采购文件规定的方式进行投标，不隐瞒本单位投标资质的真实情况，投标资质符合规定。</w:t>
      </w:r>
    </w:p>
    <w:p w14:paraId="2CCA2539">
      <w:pPr>
        <w:shd w:val="clear" w:color="auto" w:fill="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60B70FB7">
      <w:pPr>
        <w:shd w:val="clear" w:color="auto" w:fill="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6、不向采购人及个人购置或提供通讯工具、交通工具和高档办公用品等。</w:t>
      </w:r>
    </w:p>
    <w:p w14:paraId="05468E75">
      <w:pPr>
        <w:shd w:val="clear" w:color="auto" w:fill="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7、不向采购人涉及招标的人员的配偶、子女分包此次招标项目。</w:t>
      </w:r>
    </w:p>
    <w:p w14:paraId="23BB4A23">
      <w:pPr>
        <w:shd w:val="clear" w:color="auto" w:fill="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8、不向采购人及个人支付好处费、介绍费。</w:t>
      </w:r>
    </w:p>
    <w:p w14:paraId="555A4746">
      <w:pPr>
        <w:shd w:val="clear" w:color="auto" w:fill="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9、一旦发现相关人员在招标过程中的索要财物等不廉洁行为，坚决予以抵制，并及时向有关纪检监察部门举报。</w:t>
      </w:r>
    </w:p>
    <w:p w14:paraId="4752066E">
      <w:pPr>
        <w:shd w:val="clear" w:color="auto" w:fill="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10、我们若违反上述承诺，愿接受取消供应商中标资格及其他任何形式的处理。</w:t>
      </w:r>
    </w:p>
    <w:p w14:paraId="14D8686C">
      <w:pPr>
        <w:shd w:val="clear" w:color="auto" w:fill="auto"/>
        <w:wordWrap w:val="0"/>
        <w:snapToGrid w:val="0"/>
        <w:spacing w:line="360" w:lineRule="auto"/>
        <w:ind w:firstLine="385" w:firstLineChars="175"/>
        <w:rPr>
          <w:rFonts w:hint="eastAsia" w:ascii="宋体" w:hAnsi="宋体" w:eastAsia="宋体" w:cs="宋体"/>
          <w:color w:val="auto"/>
          <w:sz w:val="22"/>
          <w:szCs w:val="22"/>
          <w:highlight w:val="none"/>
        </w:rPr>
      </w:pPr>
    </w:p>
    <w:p w14:paraId="1A37F5D6">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供应商全称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203C3520">
      <w:pPr>
        <w:shd w:val="clear" w:color="auto" w:fill="auto"/>
        <w:wordWrap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法定代表人（负责人）或授权代表（签字或签章）</w:t>
      </w:r>
      <w:r>
        <w:rPr>
          <w:rFonts w:hint="eastAsia" w:ascii="宋体" w:hAnsi="宋体" w:eastAsia="宋体" w:cs="宋体"/>
          <w:color w:val="auto"/>
          <w:sz w:val="22"/>
          <w:szCs w:val="22"/>
          <w:highlight w:val="none"/>
          <w:u w:val="single"/>
        </w:rPr>
        <w:t xml:space="preserve">          </w:t>
      </w:r>
    </w:p>
    <w:p w14:paraId="7512CFA4">
      <w:pPr>
        <w:shd w:val="clear" w:color="auto" w:fill="auto"/>
        <w:wordWrap w:val="0"/>
        <w:spacing w:line="360" w:lineRule="auto"/>
        <w:rPr>
          <w:rFonts w:hint="eastAsia" w:ascii="宋体" w:hAnsi="宋体" w:eastAsia="宋体" w:cs="宋体"/>
          <w:bCs/>
          <w:color w:val="auto"/>
          <w:sz w:val="22"/>
          <w:highlight w:val="none"/>
        </w:rPr>
      </w:pPr>
      <w:r>
        <w:rPr>
          <w:rFonts w:hint="eastAsia" w:ascii="宋体" w:hAnsi="宋体" w:eastAsia="宋体" w:cs="宋体"/>
          <w:color w:val="auto"/>
          <w:sz w:val="22"/>
          <w:szCs w:val="22"/>
          <w:highlight w:val="none"/>
        </w:rPr>
        <w:t>日 期</w:t>
      </w:r>
      <w:r>
        <w:rPr>
          <w:rFonts w:hint="eastAsia" w:ascii="宋体" w:hAnsi="宋体" w:eastAsia="宋体" w:cs="宋体"/>
          <w:color w:val="auto"/>
          <w:sz w:val="22"/>
          <w:szCs w:val="22"/>
          <w:highlight w:val="none"/>
          <w:u w:val="single"/>
        </w:rPr>
        <w:t xml:space="preserve">                               </w:t>
      </w:r>
    </w:p>
    <w:p w14:paraId="23257672">
      <w:pPr>
        <w:pStyle w:val="16"/>
        <w:shd w:val="clear" w:color="auto" w:fill="auto"/>
        <w:wordWrap w:val="0"/>
        <w:adjustRightInd w:val="0"/>
        <w:snapToGrid w:val="0"/>
        <w:spacing w:line="360" w:lineRule="auto"/>
        <w:rPr>
          <w:rFonts w:hint="eastAsia" w:ascii="宋体" w:hAnsi="宋体" w:eastAsia="宋体" w:cs="宋体"/>
          <w:color w:val="auto"/>
          <w:sz w:val="30"/>
          <w:highlight w:val="none"/>
        </w:rPr>
      </w:pPr>
    </w:p>
    <w:p w14:paraId="5CB3DD9C">
      <w:pPr>
        <w:pStyle w:val="16"/>
        <w:shd w:val="clear" w:color="auto" w:fill="auto"/>
        <w:wordWrap w:val="0"/>
        <w:adjustRightInd w:val="0"/>
        <w:snapToGrid w:val="0"/>
        <w:spacing w:line="360" w:lineRule="auto"/>
        <w:rPr>
          <w:rFonts w:hint="eastAsia" w:ascii="宋体" w:hAnsi="宋体" w:eastAsia="宋体" w:cs="宋体"/>
          <w:color w:val="auto"/>
          <w:sz w:val="30"/>
          <w:highlight w:val="none"/>
        </w:rPr>
      </w:pPr>
    </w:p>
    <w:p w14:paraId="54712F7B">
      <w:pPr>
        <w:shd w:val="clear" w:color="auto" w:fill="auto"/>
        <w:wordWrap w:val="0"/>
        <w:autoSpaceDE w:val="0"/>
        <w:autoSpaceDN w:val="0"/>
        <w:adjustRightInd w:val="0"/>
        <w:snapToGrid w:val="0"/>
        <w:spacing w:line="360" w:lineRule="auto"/>
        <w:jc w:val="center"/>
        <w:textAlignment w:val="bottom"/>
        <w:rPr>
          <w:rFonts w:hint="eastAsia" w:ascii="宋体" w:hAnsi="宋体" w:eastAsia="宋体" w:cs="宋体"/>
          <w:b/>
          <w:bCs/>
          <w:color w:val="auto"/>
          <w:sz w:val="36"/>
          <w:highlight w:val="none"/>
        </w:rPr>
      </w:pPr>
      <w:r>
        <w:rPr>
          <w:rFonts w:hint="eastAsia" w:ascii="宋体" w:hAnsi="宋体" w:eastAsia="宋体" w:cs="宋体"/>
          <w:color w:val="auto"/>
          <w:sz w:val="36"/>
          <w:highlight w:val="none"/>
        </w:rPr>
        <w:br w:type="page"/>
      </w:r>
      <w:bookmarkStart w:id="88" w:name="_Toc19137"/>
      <w:r>
        <w:rPr>
          <w:rFonts w:hint="eastAsia" w:ascii="宋体" w:hAnsi="宋体" w:eastAsia="宋体" w:cs="宋体"/>
          <w:b/>
          <w:bCs/>
          <w:color w:val="auto"/>
          <w:sz w:val="36"/>
          <w:highlight w:val="none"/>
        </w:rPr>
        <w:t>第七部分 评标办法</w:t>
      </w:r>
      <w:bookmarkEnd w:id="88"/>
    </w:p>
    <w:p w14:paraId="52E411A9">
      <w:pPr>
        <w:pStyle w:val="19"/>
        <w:shd w:val="clear" w:color="auto" w:fill="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根据《平阳县县属国有企业采购管理办法（试行）》等有关政府采购法规，结合本次采购的实际，按照公平、公正、科学、择优的原则选择中标供应商，特制定本评标办法。</w:t>
      </w:r>
    </w:p>
    <w:p w14:paraId="33A121A7">
      <w:pPr>
        <w:pStyle w:val="19"/>
        <w:shd w:val="clear" w:color="auto" w:fill="auto"/>
        <w:wordWrap w:val="0"/>
        <w:adjustRightInd w:val="0"/>
        <w:snapToGrid w:val="0"/>
        <w:spacing w:line="360" w:lineRule="auto"/>
        <w:ind w:left="0" w:leftChars="0" w:firstLine="0" w:firstLineChars="0"/>
        <w:jc w:val="center"/>
        <w:outlineLvl w:val="1"/>
        <w:rPr>
          <w:rFonts w:hint="eastAsia" w:ascii="宋体" w:hAnsi="宋体" w:eastAsia="宋体" w:cs="宋体"/>
          <w:color w:val="auto"/>
          <w:sz w:val="22"/>
          <w:szCs w:val="22"/>
          <w:highlight w:val="none"/>
        </w:rPr>
      </w:pPr>
      <w:bookmarkStart w:id="89" w:name="_Toc17848"/>
      <w:bookmarkStart w:id="90" w:name="_Toc22055"/>
      <w:bookmarkStart w:id="91" w:name="_Toc3069"/>
      <w:r>
        <w:rPr>
          <w:rFonts w:hint="eastAsia" w:ascii="宋体" w:hAnsi="宋体" w:eastAsia="宋体" w:cs="宋体"/>
          <w:color w:val="auto"/>
          <w:sz w:val="22"/>
          <w:szCs w:val="22"/>
          <w:highlight w:val="none"/>
        </w:rPr>
        <w:t>一、总则</w:t>
      </w:r>
      <w:bookmarkEnd w:id="89"/>
      <w:bookmarkEnd w:id="90"/>
      <w:bookmarkEnd w:id="91"/>
    </w:p>
    <w:p w14:paraId="3062DA2E">
      <w:pPr>
        <w:pStyle w:val="19"/>
        <w:shd w:val="clear" w:color="auto" w:fill="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5B3C095D">
      <w:pPr>
        <w:pStyle w:val="19"/>
        <w:shd w:val="clear" w:color="auto" w:fill="auto"/>
        <w:wordWrap w:val="0"/>
        <w:adjustRightInd w:val="0"/>
        <w:snapToGrid w:val="0"/>
        <w:spacing w:line="360" w:lineRule="auto"/>
        <w:ind w:left="0" w:leftChars="0" w:firstLine="0" w:firstLineChars="0"/>
        <w:jc w:val="center"/>
        <w:outlineLvl w:val="1"/>
        <w:rPr>
          <w:rFonts w:hint="eastAsia" w:ascii="宋体" w:hAnsi="宋体" w:eastAsia="宋体" w:cs="宋体"/>
          <w:color w:val="auto"/>
          <w:sz w:val="22"/>
          <w:szCs w:val="22"/>
          <w:highlight w:val="none"/>
        </w:rPr>
      </w:pPr>
      <w:bookmarkStart w:id="92" w:name="_Toc24880"/>
      <w:bookmarkStart w:id="93" w:name="_Toc11447"/>
      <w:bookmarkStart w:id="94" w:name="_Toc29171"/>
      <w:r>
        <w:rPr>
          <w:rFonts w:hint="eastAsia" w:ascii="宋体" w:hAnsi="宋体" w:eastAsia="宋体" w:cs="宋体"/>
          <w:color w:val="auto"/>
          <w:sz w:val="22"/>
          <w:szCs w:val="22"/>
          <w:highlight w:val="none"/>
        </w:rPr>
        <w:t>二</w:t>
      </w:r>
      <w:r>
        <w:rPr>
          <w:rFonts w:hint="eastAsia" w:hAnsi="宋体" w:cs="宋体"/>
          <w:color w:val="auto"/>
          <w:sz w:val="22"/>
          <w:szCs w:val="22"/>
          <w:highlight w:val="none"/>
          <w:lang w:eastAsia="zh-CN"/>
        </w:rPr>
        <w:t>、</w:t>
      </w:r>
      <w:r>
        <w:rPr>
          <w:rFonts w:hint="eastAsia" w:ascii="宋体" w:hAnsi="宋体" w:eastAsia="宋体" w:cs="宋体"/>
          <w:color w:val="auto"/>
          <w:sz w:val="22"/>
          <w:szCs w:val="22"/>
          <w:highlight w:val="none"/>
        </w:rPr>
        <w:t>评标组织</w:t>
      </w:r>
      <w:bookmarkEnd w:id="92"/>
      <w:bookmarkEnd w:id="93"/>
      <w:bookmarkEnd w:id="94"/>
    </w:p>
    <w:p w14:paraId="0E5214C4">
      <w:pPr>
        <w:pStyle w:val="19"/>
        <w:shd w:val="clear" w:color="auto" w:fill="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评标工作由采购机构依法组建的评标委员会负责，评标委员会由采购人依法组建，其中评审专家不得少于成员总数的三分之二；评审专家确定方式</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按相关规定从专家库中抽取。评标全过程由</w:t>
      </w:r>
      <w:r>
        <w:rPr>
          <w:rFonts w:hint="eastAsia" w:hAnsi="宋体" w:cs="宋体"/>
          <w:color w:val="auto"/>
          <w:sz w:val="22"/>
          <w:szCs w:val="22"/>
          <w:highlight w:val="none"/>
          <w:lang w:val="en-US" w:eastAsia="zh-CN"/>
        </w:rPr>
        <w:t>监管</w:t>
      </w:r>
      <w:r>
        <w:rPr>
          <w:rFonts w:hint="eastAsia" w:ascii="宋体" w:hAnsi="宋体" w:eastAsia="宋体" w:cs="宋体"/>
          <w:color w:val="auto"/>
          <w:sz w:val="22"/>
          <w:szCs w:val="22"/>
          <w:highlight w:val="none"/>
        </w:rPr>
        <w:t>部门</w:t>
      </w:r>
      <w:r>
        <w:rPr>
          <w:rFonts w:hint="eastAsia" w:hAnsi="宋体" w:cs="宋体"/>
          <w:color w:val="auto"/>
          <w:sz w:val="22"/>
          <w:szCs w:val="22"/>
          <w:highlight w:val="none"/>
          <w:lang w:val="en-US" w:eastAsia="zh-CN"/>
        </w:rPr>
        <w:t>全程</w:t>
      </w:r>
      <w:r>
        <w:rPr>
          <w:rFonts w:hint="eastAsia" w:ascii="宋体" w:hAnsi="宋体" w:eastAsia="宋体" w:cs="宋体"/>
          <w:color w:val="auto"/>
          <w:sz w:val="22"/>
          <w:szCs w:val="22"/>
          <w:highlight w:val="none"/>
        </w:rPr>
        <w:t>监督整个开标、评标和定标过程。</w:t>
      </w:r>
    </w:p>
    <w:p w14:paraId="600E40E4">
      <w:pPr>
        <w:pStyle w:val="56"/>
        <w:widowControl w:val="0"/>
        <w:pBdr>
          <w:left w:val="none" w:color="auto" w:sz="0" w:space="0"/>
          <w:bottom w:val="none" w:color="auto" w:sz="0" w:space="0"/>
          <w:right w:val="none" w:color="auto" w:sz="0" w:space="0"/>
        </w:pBdr>
        <w:shd w:val="clear" w:color="auto" w:fill="auto"/>
        <w:wordWrap w:val="0"/>
        <w:adjustRightInd w:val="0"/>
        <w:snapToGrid w:val="0"/>
        <w:spacing w:before="0" w:beforeAutospacing="0" w:after="0" w:afterAutospacing="0" w:line="360" w:lineRule="auto"/>
        <w:jc w:val="center"/>
        <w:textAlignment w:val="auto"/>
        <w:outlineLvl w:val="1"/>
        <w:rPr>
          <w:rFonts w:hint="eastAsia" w:ascii="宋体" w:hAnsi="宋体" w:eastAsia="宋体" w:cs="宋体"/>
          <w:b w:val="0"/>
          <w:color w:val="auto"/>
          <w:kern w:val="2"/>
          <w:sz w:val="22"/>
          <w:szCs w:val="22"/>
          <w:highlight w:val="none"/>
        </w:rPr>
      </w:pPr>
      <w:bookmarkStart w:id="95" w:name="_Toc5227"/>
      <w:bookmarkStart w:id="96" w:name="_Toc16062"/>
      <w:bookmarkStart w:id="97" w:name="_Toc5207"/>
      <w:r>
        <w:rPr>
          <w:rFonts w:hint="eastAsia" w:ascii="宋体" w:hAnsi="宋体" w:eastAsia="宋体" w:cs="宋体"/>
          <w:b w:val="0"/>
          <w:color w:val="auto"/>
          <w:kern w:val="2"/>
          <w:sz w:val="22"/>
          <w:szCs w:val="22"/>
          <w:highlight w:val="none"/>
        </w:rPr>
        <w:t>三、评标程序</w:t>
      </w:r>
      <w:bookmarkEnd w:id="95"/>
      <w:bookmarkEnd w:id="96"/>
      <w:bookmarkEnd w:id="97"/>
    </w:p>
    <w:p w14:paraId="4B4FE286">
      <w:pPr>
        <w:pStyle w:val="7"/>
        <w:shd w:val="clear" w:color="auto" w:fill="auto"/>
        <w:wordWrap w:val="0"/>
        <w:adjustRightInd w:val="0"/>
        <w:snapToGrid w:val="0"/>
        <w:spacing w:line="360" w:lineRule="auto"/>
        <w:ind w:firstLine="4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本次开标，资格审核部分、商务技术文件和报价文件分别开启。开标程序如下</w:t>
      </w:r>
      <w:r>
        <w:rPr>
          <w:rFonts w:hint="eastAsia" w:ascii="宋体" w:hAnsi="宋体" w:eastAsia="宋体" w:cs="宋体"/>
          <w:color w:val="auto"/>
          <w:sz w:val="22"/>
          <w:szCs w:val="22"/>
          <w:highlight w:val="none"/>
          <w:lang w:eastAsia="zh-CN"/>
        </w:rPr>
        <w:t>：</w:t>
      </w:r>
    </w:p>
    <w:p w14:paraId="10D8065F">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第一步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首先开启资格审核资料部分及商务技术文件投标文件，</w:t>
      </w:r>
      <w:r>
        <w:rPr>
          <w:rFonts w:hint="eastAsia" w:ascii="宋体" w:hAnsi="宋体" w:eastAsia="宋体" w:cs="宋体"/>
          <w:color w:val="auto"/>
          <w:sz w:val="22"/>
          <w:szCs w:val="22"/>
          <w:highlight w:val="none"/>
        </w:rPr>
        <w:t>采购人或采购代理机构根据投标资格要求对各投标供应商投标资格进行审核，资格审核未通过的供应商做无效标处理，不进入技术资信及商务标评审。评标委员会根据评审原则和评审办法，对资格审核通过的各供应商的资信、技术部分投标进行评审并打分，商务、技术标不合格的供应商做无效标处理，不进入商务标评审。</w:t>
      </w:r>
    </w:p>
    <w:p w14:paraId="7C63D1CB">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公布资格审核情况及商务、技术标得分</w:t>
      </w:r>
      <w:r>
        <w:rPr>
          <w:rFonts w:hint="eastAsia" w:ascii="宋体" w:hAnsi="宋体" w:eastAsia="宋体" w:cs="宋体"/>
          <w:color w:val="auto"/>
          <w:sz w:val="22"/>
          <w:szCs w:val="22"/>
          <w:highlight w:val="none"/>
        </w:rPr>
        <w:t>，开启合格供应商的报价文件。</w:t>
      </w:r>
    </w:p>
    <w:p w14:paraId="1904583A">
      <w:pPr>
        <w:pStyle w:val="24"/>
        <w:shd w:val="clear" w:color="auto" w:fill="auto"/>
        <w:wordWrap w:val="0"/>
        <w:snapToGrid w:val="0"/>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第三步</w:t>
      </w:r>
      <w:r>
        <w:rPr>
          <w:rFonts w:hint="eastAsia" w:ascii="宋体" w:hAnsi="宋体" w:eastAsia="宋体" w:cs="宋体"/>
          <w:color w:val="auto"/>
          <w:sz w:val="22"/>
          <w:szCs w:val="22"/>
          <w:highlight w:val="none"/>
          <w:lang w:eastAsia="zh-CN"/>
        </w:rPr>
        <w:t>：</w:t>
      </w:r>
      <w:r>
        <w:rPr>
          <w:rFonts w:hint="eastAsia" w:ascii="宋体" w:hAnsi="宋体" w:eastAsia="宋体" w:cs="宋体"/>
          <w:bCs/>
          <w:color w:val="auto"/>
          <w:sz w:val="22"/>
          <w:szCs w:val="22"/>
          <w:highlight w:val="none"/>
        </w:rPr>
        <w:t>评标委员会</w:t>
      </w:r>
      <w:r>
        <w:rPr>
          <w:rFonts w:hint="eastAsia" w:ascii="宋体" w:hAnsi="宋体" w:eastAsia="宋体" w:cs="宋体"/>
          <w:color w:val="auto"/>
          <w:sz w:val="22"/>
          <w:szCs w:val="22"/>
          <w:highlight w:val="none"/>
        </w:rPr>
        <w:t>以商务、技术标和报价标合计分值由高到低的顺序</w:t>
      </w:r>
      <w:r>
        <w:rPr>
          <w:rFonts w:hint="eastAsia" w:ascii="宋体" w:hAnsi="宋体" w:eastAsia="宋体" w:cs="宋体"/>
          <w:bCs/>
          <w:color w:val="auto"/>
          <w:sz w:val="22"/>
          <w:szCs w:val="22"/>
          <w:highlight w:val="none"/>
        </w:rPr>
        <w:t>推荐</w:t>
      </w:r>
      <w:r>
        <w:rPr>
          <w:rFonts w:hint="eastAsia" w:ascii="宋体" w:hAnsi="宋体" w:eastAsia="宋体" w:cs="宋体"/>
          <w:color w:val="auto"/>
          <w:sz w:val="22"/>
          <w:szCs w:val="22"/>
          <w:highlight w:val="none"/>
        </w:rPr>
        <w:t>供应商名单，并提交书面评审报告。</w:t>
      </w:r>
    </w:p>
    <w:p w14:paraId="56774C6C">
      <w:pPr>
        <w:pStyle w:val="24"/>
        <w:shd w:val="clear" w:color="auto" w:fill="auto"/>
        <w:wordWrap w:val="0"/>
        <w:snapToGrid w:val="0"/>
        <w:spacing w:line="360" w:lineRule="auto"/>
        <w:ind w:firstLine="44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第四步</w:t>
      </w:r>
      <w:r>
        <w:rPr>
          <w:rFonts w:hint="eastAsia" w:ascii="宋体" w:hAnsi="宋体" w:eastAsia="宋体" w:cs="宋体"/>
          <w:color w:val="auto"/>
          <w:sz w:val="22"/>
          <w:szCs w:val="22"/>
          <w:highlight w:val="none"/>
          <w:lang w:eastAsia="zh-CN"/>
        </w:rPr>
        <w:t>：采购人授权由评标委员会根据评审报告直接确定综合得分第一名的供应商为中标供应商。如果得分相同，以报价低的优先；报价也相同，以抽签决定。</w:t>
      </w:r>
    </w:p>
    <w:p w14:paraId="12CC994A">
      <w:pPr>
        <w:shd w:val="clear" w:color="auto" w:fill="auto"/>
        <w:wordWrap w:val="0"/>
        <w:adjustRightInd w:val="0"/>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中标供应商放弃中标，或者因不可抗力提出不能履行合同，采购机构可以取消其中标资格。本次采购失败，依法重新组织采购。</w:t>
      </w:r>
    </w:p>
    <w:p w14:paraId="0B6EA3A7">
      <w:pPr>
        <w:shd w:val="clear" w:color="auto" w:fill="auto"/>
        <w:wordWrap w:val="0"/>
        <w:adjustRightInd w:val="0"/>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其它参见本采购文件第三部分</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“供应商须知” 中的相关内容。</w:t>
      </w:r>
    </w:p>
    <w:p w14:paraId="4C452BB3">
      <w:pPr>
        <w:shd w:val="clear" w:color="auto" w:fill="auto"/>
        <w:wordWrap w:val="0"/>
        <w:adjustRightInd w:val="0"/>
        <w:snapToGrid w:val="0"/>
        <w:spacing w:line="360" w:lineRule="auto"/>
        <w:rPr>
          <w:rFonts w:hint="eastAsia" w:ascii="宋体" w:hAnsi="宋体" w:eastAsia="宋体" w:cs="宋体"/>
          <w:color w:val="auto"/>
          <w:sz w:val="24"/>
          <w:highlight w:val="none"/>
        </w:rPr>
        <w:sectPr>
          <w:headerReference r:id="rId10" w:type="default"/>
          <w:footerReference r:id="rId11" w:type="default"/>
          <w:pgSz w:w="11907" w:h="16840"/>
          <w:pgMar w:top="1440" w:right="1106" w:bottom="1440" w:left="1157" w:header="720" w:footer="720" w:gutter="0"/>
          <w:cols w:space="720" w:num="1"/>
          <w:docGrid w:linePitch="312" w:charSpace="0"/>
        </w:sectPr>
      </w:pPr>
    </w:p>
    <w:p w14:paraId="6F586B6A">
      <w:pPr>
        <w:pStyle w:val="16"/>
        <w:shd w:val="clear" w:color="auto" w:fill="auto"/>
        <w:wordWrap w:val="0"/>
        <w:adjustRightInd w:val="0"/>
        <w:snapToGrid w:val="0"/>
        <w:spacing w:line="360" w:lineRule="auto"/>
        <w:jc w:val="center"/>
        <w:outlineLvl w:val="0"/>
        <w:rPr>
          <w:rFonts w:hint="eastAsia" w:ascii="宋体" w:hAnsi="宋体" w:eastAsia="宋体" w:cs="宋体"/>
          <w:b/>
          <w:color w:val="auto"/>
          <w:sz w:val="36"/>
          <w:szCs w:val="36"/>
          <w:highlight w:val="none"/>
        </w:rPr>
      </w:pPr>
      <w:bookmarkStart w:id="98" w:name="_Toc10562"/>
      <w:bookmarkStart w:id="99" w:name="_Toc23951"/>
      <w:bookmarkStart w:id="100" w:name="_Toc22630"/>
      <w:r>
        <w:rPr>
          <w:rFonts w:hint="eastAsia" w:ascii="宋体" w:hAnsi="宋体" w:eastAsia="宋体" w:cs="宋体"/>
          <w:b/>
          <w:color w:val="auto"/>
          <w:sz w:val="36"/>
          <w:szCs w:val="36"/>
          <w:highlight w:val="none"/>
        </w:rPr>
        <w:t>评标细则</w:t>
      </w:r>
      <w:bookmarkEnd w:id="98"/>
      <w:bookmarkEnd w:id="99"/>
      <w:bookmarkEnd w:id="100"/>
    </w:p>
    <w:p w14:paraId="577023C3">
      <w:pPr>
        <w:pStyle w:val="16"/>
        <w:shd w:val="clear" w:color="auto" w:fill="auto"/>
        <w:tabs>
          <w:tab w:val="left" w:pos="5325"/>
        </w:tabs>
        <w:wordWrap w:val="0"/>
        <w:adjustRightInd w:val="0"/>
        <w:snapToGrid w:val="0"/>
        <w:spacing w:line="360" w:lineRule="auto"/>
        <w:outlineLvl w:val="1"/>
        <w:rPr>
          <w:rFonts w:hint="eastAsia" w:ascii="宋体" w:hAnsi="宋体" w:eastAsia="宋体" w:cs="宋体"/>
          <w:b/>
          <w:bCs/>
          <w:color w:val="auto"/>
          <w:sz w:val="22"/>
          <w:szCs w:val="22"/>
          <w:highlight w:val="none"/>
        </w:rPr>
      </w:pPr>
      <w:bookmarkStart w:id="101" w:name="_Toc16331"/>
      <w:bookmarkStart w:id="102" w:name="_Toc9058"/>
      <w:bookmarkStart w:id="103" w:name="_Toc20537"/>
      <w:r>
        <w:rPr>
          <w:rFonts w:hint="eastAsia" w:ascii="宋体" w:hAnsi="宋体" w:eastAsia="宋体" w:cs="宋体"/>
          <w:b/>
          <w:bCs/>
          <w:color w:val="auto"/>
          <w:sz w:val="22"/>
          <w:szCs w:val="22"/>
          <w:highlight w:val="none"/>
        </w:rPr>
        <w:t>一、</w:t>
      </w:r>
      <w:r>
        <w:rPr>
          <w:rFonts w:hint="eastAsia" w:hAnsi="宋体" w:cs="宋体"/>
          <w:b/>
          <w:bCs/>
          <w:color w:val="auto"/>
          <w:sz w:val="22"/>
          <w:szCs w:val="22"/>
          <w:highlight w:val="none"/>
          <w:u w:val="single"/>
          <w:lang w:val="en-US" w:eastAsia="zh-CN"/>
        </w:rPr>
        <w:t>商务</w:t>
      </w:r>
      <w:r>
        <w:rPr>
          <w:rFonts w:hint="eastAsia" w:ascii="宋体" w:hAnsi="宋体" w:eastAsia="宋体" w:cs="宋体"/>
          <w:b/>
          <w:bCs/>
          <w:color w:val="auto"/>
          <w:sz w:val="22"/>
          <w:szCs w:val="22"/>
          <w:highlight w:val="none"/>
          <w:u w:val="single"/>
        </w:rPr>
        <w:t>报价评分</w:t>
      </w:r>
      <w:r>
        <w:rPr>
          <w:rFonts w:hint="eastAsia" w:hAnsi="宋体" w:cs="宋体"/>
          <w:b/>
          <w:bCs/>
          <w:color w:val="auto"/>
          <w:sz w:val="22"/>
          <w:szCs w:val="22"/>
          <w:highlight w:val="none"/>
          <w:lang w:val="en-US" w:eastAsia="zh-CN"/>
        </w:rPr>
        <w:t>15</w:t>
      </w:r>
      <w:r>
        <w:rPr>
          <w:rFonts w:hint="eastAsia" w:ascii="宋体" w:hAnsi="宋体" w:eastAsia="宋体" w:cs="宋体"/>
          <w:b/>
          <w:bCs/>
          <w:color w:val="auto"/>
          <w:sz w:val="22"/>
          <w:szCs w:val="22"/>
          <w:highlight w:val="none"/>
        </w:rPr>
        <w:t>分</w:t>
      </w:r>
      <w:bookmarkEnd w:id="101"/>
      <w:bookmarkEnd w:id="102"/>
      <w:bookmarkEnd w:id="103"/>
      <w:r>
        <w:rPr>
          <w:rFonts w:hint="eastAsia" w:ascii="宋体" w:hAnsi="宋体" w:eastAsia="宋体" w:cs="宋体"/>
          <w:b/>
          <w:bCs/>
          <w:color w:val="auto"/>
          <w:sz w:val="22"/>
          <w:szCs w:val="22"/>
          <w:highlight w:val="none"/>
        </w:rPr>
        <w:t xml:space="preserve"> </w:t>
      </w:r>
    </w:p>
    <w:p w14:paraId="20733EF5">
      <w:pPr>
        <w:pStyle w:val="16"/>
        <w:shd w:val="clear" w:color="auto" w:fill="auto"/>
        <w:tabs>
          <w:tab w:val="left" w:pos="5325"/>
        </w:tabs>
        <w:wordWrap w:val="0"/>
        <w:adjustRightInd w:val="0"/>
        <w:snapToGrid w:val="0"/>
        <w:spacing w:line="360" w:lineRule="auto"/>
        <w:ind w:firstLine="440" w:firstLineChars="200"/>
        <w:outlineLvl w:val="1"/>
        <w:rPr>
          <w:rFonts w:hint="default" w:ascii="宋体" w:hAnsi="宋体" w:eastAsia="宋体" w:cs="宋体"/>
          <w:b w:val="0"/>
          <w:bCs w:val="0"/>
          <w:color w:val="auto"/>
          <w:sz w:val="22"/>
          <w:szCs w:val="22"/>
          <w:highlight w:val="none"/>
          <w:lang w:val="en-US"/>
        </w:rPr>
      </w:pPr>
      <w:r>
        <w:rPr>
          <w:rFonts w:hint="eastAsia" w:hAnsi="宋体" w:cs="宋体"/>
          <w:b w:val="0"/>
          <w:bCs w:val="0"/>
          <w:color w:val="auto"/>
          <w:sz w:val="22"/>
          <w:szCs w:val="22"/>
          <w:highlight w:val="none"/>
          <w:lang w:val="en-US" w:eastAsia="zh-CN"/>
        </w:rPr>
        <w:t>1、昆鳌协同区F-42地块商业综合体项目招商运营服务项目</w:t>
      </w:r>
      <w:r>
        <w:rPr>
          <w:rFonts w:hint="eastAsia" w:ascii="宋体" w:hAnsi="宋体" w:eastAsia="宋体" w:cs="宋体"/>
          <w:b w:val="0"/>
          <w:bCs w:val="0"/>
          <w:color w:val="auto"/>
          <w:sz w:val="22"/>
          <w:szCs w:val="22"/>
          <w:highlight w:val="none"/>
          <w:lang w:val="en-US" w:eastAsia="zh-CN"/>
        </w:rPr>
        <w:t>策划服务</w:t>
      </w:r>
      <w:r>
        <w:rPr>
          <w:rFonts w:hint="eastAsia" w:hAnsi="宋体" w:cs="宋体"/>
          <w:b w:val="0"/>
          <w:bCs w:val="0"/>
          <w:color w:val="auto"/>
          <w:sz w:val="22"/>
          <w:szCs w:val="22"/>
          <w:highlight w:val="none"/>
          <w:lang w:val="en-US" w:eastAsia="zh-CN"/>
        </w:rPr>
        <w:t>费：以供应商有效投标价中的最低价为评标基准价，得满分6分。商务报价评分结算公式为：投标报价得分=(评标基准价／投标报价)×6%×100；</w:t>
      </w:r>
    </w:p>
    <w:p w14:paraId="4EC3F7F8">
      <w:pPr>
        <w:pStyle w:val="16"/>
        <w:shd w:val="clear" w:color="auto" w:fill="auto"/>
        <w:tabs>
          <w:tab w:val="left" w:pos="5325"/>
        </w:tabs>
        <w:wordWrap w:val="0"/>
        <w:adjustRightInd w:val="0"/>
        <w:snapToGrid w:val="0"/>
        <w:spacing w:line="360" w:lineRule="auto"/>
        <w:ind w:firstLine="440" w:firstLineChars="200"/>
        <w:outlineLvl w:val="1"/>
        <w:rPr>
          <w:rFonts w:hint="eastAsia" w:hAnsi="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w:t>
      </w:r>
      <w:r>
        <w:rPr>
          <w:rFonts w:hint="eastAsia" w:hAnsi="宋体" w:cs="宋体"/>
          <w:b w:val="0"/>
          <w:bCs w:val="0"/>
          <w:color w:val="auto"/>
          <w:sz w:val="22"/>
          <w:szCs w:val="22"/>
          <w:highlight w:val="none"/>
          <w:lang w:val="en-US" w:eastAsia="zh-CN"/>
        </w:rPr>
        <w:t>昆鳌协同区F-42地块商业综合体项目招商运营服务项目</w:t>
      </w:r>
      <w:r>
        <w:rPr>
          <w:rFonts w:hint="eastAsia" w:ascii="宋体" w:hAnsi="宋体" w:eastAsia="宋体" w:cs="宋体"/>
          <w:caps w:val="0"/>
          <w:color w:val="auto"/>
          <w:spacing w:val="0"/>
          <w:sz w:val="22"/>
          <w:szCs w:val="22"/>
          <w:highlight w:val="none"/>
          <w:lang w:val="en-US" w:eastAsia="zh-CN" w:bidi="en-US"/>
        </w:rPr>
        <w:t>筹备期招商服务费</w:t>
      </w:r>
      <w:r>
        <w:rPr>
          <w:rFonts w:hint="eastAsia" w:hAnsi="宋体" w:cs="宋体"/>
          <w:b w:val="0"/>
          <w:bCs w:val="0"/>
          <w:color w:val="auto"/>
          <w:sz w:val="22"/>
          <w:szCs w:val="22"/>
          <w:highlight w:val="none"/>
          <w:lang w:val="en-US" w:eastAsia="zh-CN"/>
        </w:rPr>
        <w:t>：以供应商有效投标价（投标折扣率）中的最低价（最低折扣率）为评标基准价（评标基准折扣率），得满分6分。商务报价评分结算公式为：投标报价（投标折扣率）得分=(评标基准价（评标基准折扣率）／投标报价（投标折扣率）)×6%×100；</w:t>
      </w:r>
    </w:p>
    <w:p w14:paraId="1E6AB597">
      <w:pPr>
        <w:pStyle w:val="16"/>
        <w:shd w:val="clear" w:color="auto" w:fill="auto"/>
        <w:tabs>
          <w:tab w:val="left" w:pos="5325"/>
        </w:tabs>
        <w:wordWrap w:val="0"/>
        <w:adjustRightInd w:val="0"/>
        <w:snapToGrid w:val="0"/>
        <w:spacing w:line="360" w:lineRule="auto"/>
        <w:ind w:firstLine="440" w:firstLineChars="200"/>
        <w:outlineLvl w:val="1"/>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w:t>
      </w:r>
      <w:r>
        <w:rPr>
          <w:rFonts w:hint="eastAsia" w:hAnsi="宋体" w:cs="宋体"/>
          <w:b w:val="0"/>
          <w:bCs w:val="0"/>
          <w:color w:val="auto"/>
          <w:sz w:val="22"/>
          <w:szCs w:val="22"/>
          <w:highlight w:val="none"/>
          <w:lang w:val="en-US" w:eastAsia="zh-CN"/>
        </w:rPr>
        <w:t>昆鳌协同区F-42地块商业综合体项目招商运营服务项目</w:t>
      </w:r>
      <w:r>
        <w:rPr>
          <w:rFonts w:hint="eastAsia" w:ascii="宋体" w:hAnsi="宋体" w:eastAsia="宋体" w:cs="宋体"/>
          <w:b w:val="0"/>
          <w:bCs w:val="0"/>
          <w:color w:val="auto"/>
          <w:sz w:val="22"/>
          <w:szCs w:val="22"/>
          <w:highlight w:val="none"/>
          <w:lang w:val="en-US" w:eastAsia="zh-CN"/>
        </w:rPr>
        <w:t>品牌授权使用服务费：以供应商有效投标价中的最低价为评标基准价，得满分</w:t>
      </w:r>
      <w:r>
        <w:rPr>
          <w:rFonts w:hint="eastAsia" w:hAnsi="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lang w:val="en-US" w:eastAsia="zh-CN"/>
        </w:rPr>
        <w:t>分。商务报价评分结算公式为：投标报价得分=(评标基准价／投标报价)×</w:t>
      </w:r>
      <w:r>
        <w:rPr>
          <w:rFonts w:hint="eastAsia" w:hAnsi="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lang w:val="en-US" w:eastAsia="zh-CN"/>
        </w:rPr>
        <w:t>%×100；</w:t>
      </w:r>
    </w:p>
    <w:p w14:paraId="32BCF923">
      <w:pPr>
        <w:pStyle w:val="13"/>
        <w:shd w:val="clear" w:color="auto" w:fill="auto"/>
        <w:wordWrap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、如果某些（个）供应商投标报价超出该采购预算，该供应商投标按无效投标处理。</w:t>
      </w:r>
    </w:p>
    <w:p w14:paraId="79B691BE">
      <w:pPr>
        <w:pStyle w:val="13"/>
        <w:shd w:val="clear" w:color="auto" w:fill="auto"/>
        <w:wordWrap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、享受政策优惠的供应商按政策优惠后的参与评审。</w:t>
      </w:r>
    </w:p>
    <w:p w14:paraId="7632FF85">
      <w:pPr>
        <w:pStyle w:val="16"/>
        <w:shd w:val="clear" w:color="auto" w:fill="auto"/>
        <w:wordWrap w:val="0"/>
        <w:adjustRightInd w:val="0"/>
        <w:snapToGrid w:val="0"/>
        <w:spacing w:line="360" w:lineRule="auto"/>
        <w:outlineLvl w:val="1"/>
        <w:rPr>
          <w:rFonts w:hint="eastAsia" w:ascii="宋体" w:hAnsi="宋体" w:eastAsia="宋体" w:cs="宋体"/>
          <w:b/>
          <w:color w:val="auto"/>
          <w:sz w:val="22"/>
          <w:szCs w:val="22"/>
          <w:highlight w:val="none"/>
        </w:rPr>
      </w:pPr>
      <w:bookmarkStart w:id="104" w:name="_Toc25823"/>
      <w:bookmarkStart w:id="105" w:name="_Toc11731"/>
      <w:bookmarkStart w:id="106" w:name="_Toc23612"/>
      <w:r>
        <w:rPr>
          <w:rFonts w:hint="eastAsia" w:ascii="宋体" w:hAnsi="宋体" w:eastAsia="宋体" w:cs="宋体"/>
          <w:b/>
          <w:color w:val="auto"/>
          <w:sz w:val="22"/>
          <w:szCs w:val="22"/>
          <w:highlight w:val="none"/>
        </w:rPr>
        <w:t>二、技术资信部分</w:t>
      </w:r>
      <w:r>
        <w:rPr>
          <w:rFonts w:hint="eastAsia" w:hAnsi="宋体" w:cs="宋体"/>
          <w:b/>
          <w:color w:val="auto"/>
          <w:sz w:val="22"/>
          <w:szCs w:val="22"/>
          <w:highlight w:val="none"/>
          <w:lang w:val="en-US" w:eastAsia="zh-CN"/>
        </w:rPr>
        <w:t>85</w:t>
      </w:r>
      <w:r>
        <w:rPr>
          <w:rFonts w:hint="eastAsia" w:ascii="宋体" w:hAnsi="宋体" w:eastAsia="宋体" w:cs="宋体"/>
          <w:b/>
          <w:color w:val="auto"/>
          <w:sz w:val="22"/>
          <w:szCs w:val="22"/>
          <w:highlight w:val="none"/>
        </w:rPr>
        <w:t>分</w:t>
      </w:r>
      <w:bookmarkEnd w:id="104"/>
      <w:bookmarkEnd w:id="105"/>
      <w:bookmarkEnd w:id="106"/>
    </w:p>
    <w:tbl>
      <w:tblPr>
        <w:tblStyle w:val="28"/>
        <w:tblW w:w="10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25"/>
        <w:gridCol w:w="966"/>
        <w:gridCol w:w="5834"/>
        <w:gridCol w:w="909"/>
        <w:gridCol w:w="1075"/>
      </w:tblGrid>
      <w:tr w14:paraId="0B2E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right w:val="single" w:color="auto" w:sz="4" w:space="0"/>
            </w:tcBorders>
            <w:noWrap w:val="0"/>
            <w:vAlign w:val="center"/>
          </w:tcPr>
          <w:p w14:paraId="237F650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891" w:type="dxa"/>
            <w:gridSpan w:val="2"/>
            <w:tcBorders>
              <w:top w:val="single" w:color="auto" w:sz="4" w:space="0"/>
              <w:left w:val="single" w:color="auto" w:sz="4" w:space="0"/>
              <w:right w:val="single" w:color="auto" w:sz="4" w:space="0"/>
            </w:tcBorders>
            <w:noWrap w:val="0"/>
            <w:vAlign w:val="center"/>
          </w:tcPr>
          <w:p w14:paraId="40FA1EF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评分项目</w:t>
            </w:r>
          </w:p>
        </w:tc>
        <w:tc>
          <w:tcPr>
            <w:tcW w:w="5834" w:type="dxa"/>
            <w:tcBorders>
              <w:top w:val="single" w:color="auto" w:sz="4" w:space="0"/>
              <w:left w:val="single" w:color="auto" w:sz="4" w:space="0"/>
              <w:right w:val="single" w:color="auto" w:sz="4" w:space="0"/>
            </w:tcBorders>
            <w:noWrap w:val="0"/>
            <w:vAlign w:val="center"/>
          </w:tcPr>
          <w:p w14:paraId="01BF5F56">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909" w:type="dxa"/>
            <w:tcBorders>
              <w:top w:val="single" w:color="auto" w:sz="4" w:space="0"/>
              <w:left w:val="single" w:color="auto" w:sz="4" w:space="0"/>
              <w:right w:val="single" w:color="auto" w:sz="4" w:space="0"/>
            </w:tcBorders>
            <w:noWrap w:val="0"/>
            <w:vAlign w:val="center"/>
          </w:tcPr>
          <w:p w14:paraId="2523195A">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1075" w:type="dxa"/>
            <w:tcBorders>
              <w:top w:val="single" w:color="auto" w:sz="4" w:space="0"/>
              <w:left w:val="single" w:color="auto" w:sz="4" w:space="0"/>
              <w:right w:val="single" w:color="auto" w:sz="4" w:space="0"/>
            </w:tcBorders>
            <w:noWrap w:val="0"/>
            <w:vAlign w:val="center"/>
          </w:tcPr>
          <w:p w14:paraId="2B652C73">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评分方式</w:t>
            </w:r>
          </w:p>
        </w:tc>
      </w:tr>
      <w:tr w14:paraId="6D46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4" w:hRule="atLeast"/>
          <w:jc w:val="center"/>
        </w:trPr>
        <w:tc>
          <w:tcPr>
            <w:tcW w:w="675" w:type="dxa"/>
            <w:vMerge w:val="restart"/>
            <w:tcBorders>
              <w:left w:val="single" w:color="auto" w:sz="4" w:space="0"/>
              <w:right w:val="single" w:color="auto" w:sz="4" w:space="0"/>
            </w:tcBorders>
            <w:noWrap w:val="0"/>
            <w:vAlign w:val="center"/>
          </w:tcPr>
          <w:p w14:paraId="4AEF05E1">
            <w:pPr>
              <w:pStyle w:val="16"/>
              <w:keepNext w:val="0"/>
              <w:keepLines w:val="0"/>
              <w:suppressLineNumbers w:val="0"/>
              <w:snapToGrid w:val="0"/>
              <w:spacing w:before="0" w:beforeAutospacing="0" w:after="0" w:afterAutospacing="0" w:line="240" w:lineRule="auto"/>
              <w:ind w:left="0" w:right="0"/>
              <w:jc w:val="center"/>
              <w:rPr>
                <w:rFonts w:hint="default" w:hAnsi="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1</w:t>
            </w:r>
          </w:p>
        </w:tc>
        <w:tc>
          <w:tcPr>
            <w:tcW w:w="925" w:type="dxa"/>
            <w:vMerge w:val="restart"/>
            <w:tcBorders>
              <w:left w:val="single" w:color="auto" w:sz="4" w:space="0"/>
              <w:right w:val="single" w:color="auto" w:sz="4" w:space="0"/>
            </w:tcBorders>
            <w:noWrap w:val="0"/>
            <w:vAlign w:val="center"/>
          </w:tcPr>
          <w:p w14:paraId="2C84EE63">
            <w:pPr>
              <w:pStyle w:val="16"/>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一、综合能力</w:t>
            </w:r>
          </w:p>
        </w:tc>
        <w:tc>
          <w:tcPr>
            <w:tcW w:w="966" w:type="dxa"/>
            <w:tcBorders>
              <w:left w:val="single" w:color="auto" w:sz="4" w:space="0"/>
              <w:right w:val="single" w:color="auto" w:sz="4" w:space="0"/>
            </w:tcBorders>
            <w:noWrap w:val="0"/>
            <w:vAlign w:val="center"/>
          </w:tcPr>
          <w:p w14:paraId="7972D944">
            <w:pPr>
              <w:pStyle w:val="16"/>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1、运营经验</w:t>
            </w:r>
          </w:p>
        </w:tc>
        <w:tc>
          <w:tcPr>
            <w:tcW w:w="5834" w:type="dxa"/>
            <w:tcBorders>
              <w:top w:val="single" w:color="auto" w:sz="4" w:space="0"/>
              <w:left w:val="single" w:color="auto" w:sz="4" w:space="0"/>
              <w:right w:val="single" w:color="auto" w:sz="4" w:space="0"/>
            </w:tcBorders>
            <w:shd w:val="clear" w:color="auto" w:fill="auto"/>
            <w:noWrap w:val="0"/>
            <w:vAlign w:val="top"/>
          </w:tcPr>
          <w:p w14:paraId="209FEA39">
            <w:pPr>
              <w:pStyle w:val="13"/>
              <w:keepNext w:val="0"/>
              <w:keepLines w:val="0"/>
              <w:pageBreakBefore w:val="0"/>
              <w:widowControl w:val="0"/>
              <w:suppressLineNumbers w:val="0"/>
              <w:shd w:val="clear" w:color="auto" w:fill="auto"/>
              <w:kinsoku/>
              <w:wordWrap w:val="0"/>
              <w:overflowPunct/>
              <w:topLinePunct w:val="0"/>
              <w:autoSpaceDE/>
              <w:autoSpaceDN/>
              <w:bidi w:val="0"/>
              <w:adjustRightInd/>
              <w:snapToGrid/>
              <w:spacing w:before="0" w:beforeAutospacing="0" w:after="0" w:afterAutospacing="0" w:line="240" w:lineRule="auto"/>
              <w:ind w:left="0" w:leftChars="0" w:right="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1.投标人累计运营管理面积＞20万平方米的，得 15分；</w:t>
            </w:r>
          </w:p>
          <w:p w14:paraId="49384C3F">
            <w:pPr>
              <w:pStyle w:val="13"/>
              <w:keepNext w:val="0"/>
              <w:keepLines w:val="0"/>
              <w:pageBreakBefore w:val="0"/>
              <w:widowControl w:val="0"/>
              <w:suppressLineNumbers w:val="0"/>
              <w:shd w:val="clear" w:color="auto" w:fill="auto"/>
              <w:kinsoku/>
              <w:wordWrap w:val="0"/>
              <w:overflowPunct/>
              <w:topLinePunct w:val="0"/>
              <w:autoSpaceDE/>
              <w:autoSpaceDN/>
              <w:bidi w:val="0"/>
              <w:adjustRightInd/>
              <w:snapToGrid/>
              <w:spacing w:before="0" w:beforeAutospacing="0" w:after="0" w:afterAutospacing="0" w:line="240" w:lineRule="auto"/>
              <w:ind w:left="0" w:leftChars="0" w:right="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2.20万平方米的≥投标人累计运营管理面积＞10万平方米的，得 10分；</w:t>
            </w:r>
          </w:p>
          <w:p w14:paraId="1DFBFC7D">
            <w:pPr>
              <w:pStyle w:val="13"/>
              <w:keepNext w:val="0"/>
              <w:keepLines w:val="0"/>
              <w:pageBreakBefore w:val="0"/>
              <w:widowControl w:val="0"/>
              <w:suppressLineNumbers w:val="0"/>
              <w:shd w:val="clear" w:color="auto" w:fill="auto"/>
              <w:kinsoku/>
              <w:wordWrap w:val="0"/>
              <w:overflowPunct/>
              <w:topLinePunct w:val="0"/>
              <w:autoSpaceDE/>
              <w:autoSpaceDN/>
              <w:bidi w:val="0"/>
              <w:adjustRightInd/>
              <w:snapToGrid/>
              <w:spacing w:before="0" w:beforeAutospacing="0" w:after="0" w:afterAutospacing="0" w:line="240" w:lineRule="auto"/>
              <w:ind w:left="0" w:leftChars="0" w:right="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3.10万平方米的≥投标人累计运营管理面积＞1万平方米的，得 5分。</w:t>
            </w:r>
          </w:p>
          <w:p w14:paraId="17ECD6BC">
            <w:pPr>
              <w:pStyle w:val="13"/>
              <w:keepNext w:val="0"/>
              <w:keepLines w:val="0"/>
              <w:pageBreakBefore w:val="0"/>
              <w:widowControl w:val="0"/>
              <w:suppressLineNumbers w:val="0"/>
              <w:shd w:val="clear" w:color="auto" w:fill="auto"/>
              <w:kinsoku/>
              <w:wordWrap w:val="0"/>
              <w:overflowPunct/>
              <w:topLinePunct w:val="0"/>
              <w:autoSpaceDE/>
              <w:autoSpaceDN/>
              <w:bidi w:val="0"/>
              <w:adjustRightInd/>
              <w:snapToGrid/>
              <w:spacing w:before="0" w:beforeAutospacing="0" w:after="0" w:afterAutospacing="0" w:line="240" w:lineRule="auto"/>
              <w:ind w:left="0" w:leftChars="0" w:right="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注：商业项目委托运营或自营均可。自营的须提供产权证明或租赁登记备案证明，以及相应的商业项目营业执照；委托运营管理的须提供投标人为被委托人的管理服务合同。</w:t>
            </w:r>
          </w:p>
          <w:p w14:paraId="39ACCA82">
            <w:pPr>
              <w:pStyle w:val="13"/>
              <w:keepNext w:val="0"/>
              <w:keepLines w:val="0"/>
              <w:pageBreakBefore w:val="0"/>
              <w:widowControl w:val="0"/>
              <w:suppressLineNumbers w:val="0"/>
              <w:shd w:val="clear" w:color="auto" w:fill="auto"/>
              <w:kinsoku/>
              <w:wordWrap w:val="0"/>
              <w:overflowPunct/>
              <w:topLinePunct w:val="0"/>
              <w:autoSpaceDE/>
              <w:autoSpaceDN/>
              <w:bidi w:val="0"/>
              <w:adjustRightInd/>
              <w:snapToGrid/>
              <w:spacing w:before="0" w:beforeAutospacing="0" w:after="0" w:afterAutospacing="0" w:line="240" w:lineRule="auto"/>
              <w:ind w:left="0" w:leftChars="0" w:right="0" w:firstLine="420" w:firstLineChars="200"/>
              <w:textAlignment w:val="auto"/>
              <w:rPr>
                <w:rFonts w:hint="default" w:ascii="宋体" w:hAnsi="宋体" w:cs="宋体"/>
                <w:color w:val="auto"/>
                <w:sz w:val="21"/>
                <w:szCs w:val="21"/>
                <w:lang w:val="en-US" w:eastAsia="zh-CN"/>
              </w:rPr>
            </w:pPr>
            <w:r>
              <w:rPr>
                <w:rFonts w:hint="eastAsia" w:ascii="宋体" w:hAnsi="宋体" w:cs="宋体"/>
                <w:color w:val="auto"/>
                <w:sz w:val="21"/>
                <w:szCs w:val="21"/>
                <w:highlight w:val="none"/>
                <w:lang w:val="en-US" w:eastAsia="zh-CN"/>
              </w:rPr>
              <w:t>以上材料须提供复印件并加盖投标人公章。提供的材料中须体现在管理的商业项目建筑面积，否则不予认可。</w:t>
            </w:r>
          </w:p>
        </w:tc>
        <w:tc>
          <w:tcPr>
            <w:tcW w:w="909" w:type="dxa"/>
            <w:tcBorders>
              <w:top w:val="single" w:color="auto" w:sz="4" w:space="0"/>
              <w:left w:val="single" w:color="auto" w:sz="4" w:space="0"/>
              <w:right w:val="single" w:color="auto" w:sz="4" w:space="0"/>
            </w:tcBorders>
            <w:noWrap w:val="0"/>
            <w:vAlign w:val="center"/>
          </w:tcPr>
          <w:p w14:paraId="39ACD311">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0-15分</w:t>
            </w:r>
          </w:p>
        </w:tc>
        <w:tc>
          <w:tcPr>
            <w:tcW w:w="1075" w:type="dxa"/>
            <w:tcBorders>
              <w:top w:val="single" w:color="auto" w:sz="4" w:space="0"/>
              <w:left w:val="single" w:color="auto" w:sz="4" w:space="0"/>
              <w:right w:val="single" w:color="auto" w:sz="4" w:space="0"/>
            </w:tcBorders>
            <w:noWrap w:val="0"/>
            <w:vAlign w:val="center"/>
          </w:tcPr>
          <w:p w14:paraId="2A36993D">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r>
      <w:tr w14:paraId="1537B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675" w:type="dxa"/>
            <w:vMerge w:val="continue"/>
            <w:tcBorders>
              <w:left w:val="single" w:color="auto" w:sz="4" w:space="0"/>
              <w:right w:val="single" w:color="auto" w:sz="4" w:space="0"/>
            </w:tcBorders>
            <w:noWrap w:val="0"/>
            <w:vAlign w:val="center"/>
          </w:tcPr>
          <w:p w14:paraId="0042F260">
            <w:pPr>
              <w:pStyle w:val="16"/>
              <w:keepNext w:val="0"/>
              <w:keepLines w:val="0"/>
              <w:suppressLineNumbers w:val="0"/>
              <w:snapToGrid w:val="0"/>
              <w:spacing w:before="0" w:beforeAutospacing="0" w:after="0" w:afterAutospacing="0" w:line="240" w:lineRule="auto"/>
              <w:ind w:left="0" w:right="0"/>
              <w:jc w:val="center"/>
              <w:rPr>
                <w:rFonts w:hint="eastAsia" w:hAnsi="宋体" w:cs="宋体"/>
                <w:color w:val="auto"/>
                <w:sz w:val="21"/>
                <w:szCs w:val="21"/>
                <w:highlight w:val="none"/>
                <w:lang w:val="en-US" w:eastAsia="zh-CN" w:bidi="ar"/>
              </w:rPr>
            </w:pPr>
          </w:p>
        </w:tc>
        <w:tc>
          <w:tcPr>
            <w:tcW w:w="925" w:type="dxa"/>
            <w:vMerge w:val="continue"/>
            <w:tcBorders>
              <w:left w:val="single" w:color="auto" w:sz="4" w:space="0"/>
              <w:right w:val="single" w:color="auto" w:sz="4" w:space="0"/>
            </w:tcBorders>
            <w:noWrap w:val="0"/>
            <w:vAlign w:val="center"/>
          </w:tcPr>
          <w:p w14:paraId="252AEA39">
            <w:pPr>
              <w:pStyle w:val="16"/>
              <w:keepNext w:val="0"/>
              <w:keepLines w:val="0"/>
              <w:suppressLineNumbers w:val="0"/>
              <w:snapToGrid w:val="0"/>
              <w:spacing w:before="0" w:beforeAutospacing="0" w:after="0" w:afterAutospacing="0" w:line="240" w:lineRule="auto"/>
              <w:ind w:left="0" w:right="0"/>
              <w:jc w:val="center"/>
              <w:rPr>
                <w:rFonts w:hint="eastAsia" w:hAnsi="宋体" w:cs="宋体"/>
                <w:color w:val="auto"/>
                <w:sz w:val="21"/>
                <w:szCs w:val="21"/>
                <w:highlight w:val="none"/>
                <w:lang w:val="en-US" w:eastAsia="zh-CN" w:bidi="ar"/>
              </w:rPr>
            </w:pPr>
          </w:p>
        </w:tc>
        <w:tc>
          <w:tcPr>
            <w:tcW w:w="966" w:type="dxa"/>
            <w:tcBorders>
              <w:left w:val="single" w:color="auto" w:sz="4" w:space="0"/>
              <w:right w:val="single" w:color="auto" w:sz="4" w:space="0"/>
            </w:tcBorders>
            <w:noWrap w:val="0"/>
            <w:vAlign w:val="center"/>
          </w:tcPr>
          <w:p w14:paraId="54FF7989">
            <w:pPr>
              <w:pStyle w:val="16"/>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2、履约能力</w:t>
            </w:r>
          </w:p>
        </w:tc>
        <w:tc>
          <w:tcPr>
            <w:tcW w:w="5834" w:type="dxa"/>
            <w:tcBorders>
              <w:top w:val="single" w:color="auto" w:sz="4" w:space="0"/>
              <w:left w:val="single" w:color="auto" w:sz="4" w:space="0"/>
              <w:right w:val="single" w:color="auto" w:sz="4" w:space="0"/>
            </w:tcBorders>
            <w:shd w:val="clear" w:color="auto" w:fill="auto"/>
            <w:noWrap w:val="0"/>
            <w:vAlign w:val="top"/>
          </w:tcPr>
          <w:p w14:paraId="3CD3F0A9">
            <w:pPr>
              <w:pStyle w:val="13"/>
              <w:keepNext w:val="0"/>
              <w:keepLines w:val="0"/>
              <w:pageBreakBefore w:val="0"/>
              <w:widowControl w:val="0"/>
              <w:suppressLineNumbers w:val="0"/>
              <w:shd w:val="clear" w:color="auto" w:fill="auto"/>
              <w:kinsoku/>
              <w:wordWrap w:val="0"/>
              <w:overflowPunct/>
              <w:topLinePunct w:val="0"/>
              <w:autoSpaceDE/>
              <w:autoSpaceDN/>
              <w:bidi w:val="0"/>
              <w:adjustRightInd/>
              <w:snapToGrid/>
              <w:spacing w:before="0" w:beforeAutospacing="0" w:after="0" w:afterAutospacing="0" w:line="240" w:lineRule="auto"/>
              <w:ind w:left="0" w:leftChars="0" w:right="0" w:firstLine="420" w:firstLineChars="200"/>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投标人正在管理的单个商业运营项目在近五年度(2020年-2024 年)的任一年度的营业额达</w:t>
            </w:r>
            <w:r>
              <w:rPr>
                <w:rFonts w:hint="eastAsia" w:ascii="宋体" w:hAnsi="宋体" w:cs="宋体"/>
                <w:color w:val="auto"/>
                <w:sz w:val="21"/>
                <w:szCs w:val="21"/>
                <w:highlight w:val="none"/>
                <w:lang w:val="en-US" w:eastAsia="zh-CN"/>
              </w:rPr>
              <w:t>3</w:t>
            </w:r>
            <w:r>
              <w:rPr>
                <w:rFonts w:hint="default" w:ascii="宋体" w:hAnsi="宋体" w:cs="宋体"/>
                <w:color w:val="auto"/>
                <w:sz w:val="21"/>
                <w:szCs w:val="21"/>
                <w:highlight w:val="none"/>
                <w:lang w:val="en-US" w:eastAsia="zh-CN"/>
              </w:rPr>
              <w:t>亿</w:t>
            </w:r>
            <w:r>
              <w:rPr>
                <w:rFonts w:hint="eastAsia" w:ascii="宋体" w:hAnsi="宋体" w:cs="宋体"/>
                <w:color w:val="auto"/>
                <w:sz w:val="21"/>
                <w:szCs w:val="21"/>
                <w:highlight w:val="none"/>
                <w:lang w:val="en-US" w:eastAsia="zh-CN"/>
              </w:rPr>
              <w:t>元</w:t>
            </w:r>
            <w:r>
              <w:rPr>
                <w:rFonts w:hint="default" w:ascii="宋体" w:hAnsi="宋体" w:cs="宋体"/>
                <w:color w:val="auto"/>
                <w:sz w:val="21"/>
                <w:szCs w:val="21"/>
                <w:highlight w:val="none"/>
                <w:lang w:val="en-US" w:eastAsia="zh-CN"/>
              </w:rPr>
              <w:t>(含本数)以下的得1分，</w:t>
            </w:r>
            <w:r>
              <w:rPr>
                <w:rFonts w:hint="eastAsia" w:ascii="宋体" w:hAnsi="宋体" w:cs="宋体"/>
                <w:color w:val="auto"/>
                <w:sz w:val="21"/>
                <w:szCs w:val="21"/>
                <w:highlight w:val="none"/>
                <w:lang w:val="en-US" w:eastAsia="zh-CN"/>
              </w:rPr>
              <w:t>3</w:t>
            </w:r>
            <w:r>
              <w:rPr>
                <w:rFonts w:hint="default" w:ascii="宋体" w:hAnsi="宋体" w:cs="宋体"/>
                <w:color w:val="auto"/>
                <w:sz w:val="21"/>
                <w:szCs w:val="21"/>
                <w:highlight w:val="none"/>
                <w:lang w:val="en-US" w:eastAsia="zh-CN"/>
              </w:rPr>
              <w:t>亿</w:t>
            </w:r>
            <w:r>
              <w:rPr>
                <w:rFonts w:hint="eastAsia" w:ascii="宋体" w:hAnsi="宋体" w:cs="宋体"/>
                <w:color w:val="auto"/>
                <w:sz w:val="21"/>
                <w:szCs w:val="21"/>
                <w:highlight w:val="none"/>
                <w:lang w:val="en-US" w:eastAsia="zh-CN"/>
              </w:rPr>
              <w:t>元</w:t>
            </w:r>
            <w:r>
              <w:rPr>
                <w:rFonts w:hint="default" w:ascii="宋体" w:hAnsi="宋体" w:cs="宋体"/>
                <w:color w:val="auto"/>
                <w:sz w:val="21"/>
                <w:szCs w:val="21"/>
                <w:highlight w:val="none"/>
                <w:lang w:val="en-US" w:eastAsia="zh-CN"/>
              </w:rPr>
              <w:t>-5亿</w:t>
            </w:r>
            <w:r>
              <w:rPr>
                <w:rFonts w:hint="eastAsia" w:ascii="宋体" w:hAnsi="宋体" w:cs="宋体"/>
                <w:color w:val="auto"/>
                <w:sz w:val="21"/>
                <w:szCs w:val="21"/>
                <w:highlight w:val="none"/>
                <w:lang w:val="en-US" w:eastAsia="zh-CN"/>
              </w:rPr>
              <w:t>元</w:t>
            </w:r>
            <w:r>
              <w:rPr>
                <w:rFonts w:hint="default" w:ascii="宋体" w:hAnsi="宋体" w:cs="宋体"/>
                <w:color w:val="auto"/>
                <w:sz w:val="21"/>
                <w:szCs w:val="21"/>
                <w:highlight w:val="none"/>
                <w:lang w:val="en-US" w:eastAsia="zh-CN"/>
              </w:rPr>
              <w:t>(含本数)的得5分，5亿</w:t>
            </w:r>
            <w:r>
              <w:rPr>
                <w:rFonts w:hint="eastAsia" w:ascii="宋体" w:hAnsi="宋体" w:cs="宋体"/>
                <w:color w:val="auto"/>
                <w:sz w:val="21"/>
                <w:szCs w:val="21"/>
                <w:highlight w:val="none"/>
                <w:lang w:val="en-US" w:eastAsia="zh-CN"/>
              </w:rPr>
              <w:t>元</w:t>
            </w:r>
            <w:r>
              <w:rPr>
                <w:rFonts w:hint="default" w:ascii="宋体" w:hAnsi="宋体" w:cs="宋体"/>
                <w:color w:val="auto"/>
                <w:sz w:val="21"/>
                <w:szCs w:val="21"/>
                <w:highlight w:val="none"/>
                <w:lang w:val="en-US" w:eastAsia="zh-CN"/>
              </w:rPr>
              <w:t>-10亿</w:t>
            </w:r>
            <w:r>
              <w:rPr>
                <w:rFonts w:hint="eastAsia" w:ascii="宋体" w:hAnsi="宋体" w:cs="宋体"/>
                <w:color w:val="auto"/>
                <w:sz w:val="21"/>
                <w:szCs w:val="21"/>
                <w:highlight w:val="none"/>
                <w:lang w:val="en-US" w:eastAsia="zh-CN"/>
              </w:rPr>
              <w:t>元</w:t>
            </w:r>
            <w:r>
              <w:rPr>
                <w:rFonts w:hint="default" w:ascii="宋体" w:hAnsi="宋体" w:cs="宋体"/>
                <w:color w:val="auto"/>
                <w:sz w:val="21"/>
                <w:szCs w:val="21"/>
                <w:highlight w:val="none"/>
                <w:lang w:val="en-US" w:eastAsia="zh-CN"/>
              </w:rPr>
              <w:t>(含本数)的得8分，10亿</w:t>
            </w:r>
            <w:r>
              <w:rPr>
                <w:rFonts w:hint="eastAsia" w:ascii="宋体" w:hAnsi="宋体" w:cs="宋体"/>
                <w:color w:val="auto"/>
                <w:sz w:val="21"/>
                <w:szCs w:val="21"/>
                <w:highlight w:val="none"/>
                <w:lang w:val="en-US" w:eastAsia="zh-CN"/>
              </w:rPr>
              <w:t>元以上</w:t>
            </w:r>
            <w:r>
              <w:rPr>
                <w:rFonts w:hint="default" w:ascii="宋体" w:hAnsi="宋体" w:cs="宋体"/>
                <w:color w:val="auto"/>
                <w:sz w:val="21"/>
                <w:szCs w:val="21"/>
                <w:highlight w:val="none"/>
                <w:lang w:val="en-US" w:eastAsia="zh-CN"/>
              </w:rPr>
              <w:t>的得 10分，最多得10分。</w:t>
            </w:r>
          </w:p>
          <w:p w14:paraId="12C45EEA">
            <w:pPr>
              <w:pStyle w:val="13"/>
              <w:keepNext w:val="0"/>
              <w:keepLines w:val="0"/>
              <w:pageBreakBefore w:val="0"/>
              <w:widowControl w:val="0"/>
              <w:suppressLineNumbers w:val="0"/>
              <w:shd w:val="clear" w:color="auto" w:fill="auto"/>
              <w:kinsoku/>
              <w:wordWrap w:val="0"/>
              <w:overflowPunct/>
              <w:topLinePunct w:val="0"/>
              <w:autoSpaceDE/>
              <w:autoSpaceDN/>
              <w:bidi w:val="0"/>
              <w:adjustRightInd/>
              <w:snapToGrid/>
              <w:spacing w:before="0" w:beforeAutospacing="0" w:after="0" w:afterAutospacing="0" w:line="240" w:lineRule="auto"/>
              <w:ind w:left="0" w:leftChars="0" w:right="0" w:firstLine="420" w:firstLineChars="200"/>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注</w:t>
            </w:r>
            <w:r>
              <w:rPr>
                <w:rFonts w:hint="eastAsia" w:ascii="宋体" w:hAnsi="宋体" w:cs="宋体"/>
                <w:color w:val="auto"/>
                <w:sz w:val="21"/>
                <w:szCs w:val="21"/>
                <w:highlight w:val="none"/>
                <w:lang w:val="en-US" w:eastAsia="zh-CN"/>
              </w:rPr>
              <w:t>：</w:t>
            </w:r>
            <w:r>
              <w:rPr>
                <w:rFonts w:hint="default" w:ascii="宋体" w:hAnsi="宋体" w:cs="宋体"/>
                <w:color w:val="auto"/>
                <w:sz w:val="21"/>
                <w:szCs w:val="21"/>
                <w:highlight w:val="none"/>
                <w:lang w:val="en-US" w:eastAsia="zh-CN"/>
              </w:rPr>
              <w:t>商业项目委托运营或自营均可。自营的提供产权证明或租赁登记备案证明，以及相应的商业项目营业执照</w:t>
            </w:r>
            <w:r>
              <w:rPr>
                <w:rFonts w:hint="eastAsia" w:ascii="宋体" w:hAnsi="宋体" w:cs="宋体"/>
                <w:color w:val="auto"/>
                <w:sz w:val="21"/>
                <w:szCs w:val="21"/>
                <w:highlight w:val="none"/>
                <w:lang w:val="en-US" w:eastAsia="zh-CN"/>
              </w:rPr>
              <w:t>；</w:t>
            </w:r>
            <w:r>
              <w:rPr>
                <w:rFonts w:hint="default" w:ascii="宋体" w:hAnsi="宋体" w:cs="宋体"/>
                <w:color w:val="auto"/>
                <w:sz w:val="21"/>
                <w:szCs w:val="21"/>
                <w:highlight w:val="none"/>
                <w:lang w:val="en-US" w:eastAsia="zh-CN"/>
              </w:rPr>
              <w:t>委托运营管理的提供投标人为被委托人的管理服务合同。</w:t>
            </w:r>
          </w:p>
          <w:p w14:paraId="72E77FB7">
            <w:pPr>
              <w:pStyle w:val="13"/>
              <w:keepNext w:val="0"/>
              <w:keepLines w:val="0"/>
              <w:pageBreakBefore w:val="0"/>
              <w:widowControl w:val="0"/>
              <w:suppressLineNumbers w:val="0"/>
              <w:shd w:val="clear" w:color="auto" w:fill="auto"/>
              <w:kinsoku/>
              <w:wordWrap w:val="0"/>
              <w:overflowPunct/>
              <w:topLinePunct w:val="0"/>
              <w:autoSpaceDE/>
              <w:autoSpaceDN/>
              <w:bidi w:val="0"/>
              <w:adjustRightInd/>
              <w:snapToGrid/>
              <w:spacing w:before="0" w:beforeAutospacing="0" w:after="0" w:afterAutospacing="0" w:line="240" w:lineRule="auto"/>
              <w:ind w:left="0" w:leftChars="0" w:right="0" w:firstLine="420" w:firstLineChars="200"/>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另须提供审计师事务所出具的相应年度能显示营业额的审计报告或财务报表(若单个商业运营项目未在财报中体现的，提供业主情况说明)。</w:t>
            </w:r>
          </w:p>
          <w:p w14:paraId="42109D0C">
            <w:pPr>
              <w:pStyle w:val="13"/>
              <w:keepNext w:val="0"/>
              <w:keepLines w:val="0"/>
              <w:pageBreakBefore w:val="0"/>
              <w:widowControl w:val="0"/>
              <w:suppressLineNumbers w:val="0"/>
              <w:shd w:val="clear" w:color="auto" w:fill="auto"/>
              <w:kinsoku/>
              <w:wordWrap w:val="0"/>
              <w:overflowPunct/>
              <w:topLinePunct w:val="0"/>
              <w:autoSpaceDE/>
              <w:autoSpaceDN/>
              <w:bidi w:val="0"/>
              <w:adjustRightInd/>
              <w:snapToGrid/>
              <w:spacing w:before="0" w:beforeAutospacing="0" w:after="0" w:afterAutospacing="0" w:line="240" w:lineRule="auto"/>
              <w:ind w:left="0" w:leftChars="0" w:right="0" w:firstLine="420" w:firstLineChars="200"/>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财务报表可提供封面及相关的</w:t>
            </w:r>
            <w:r>
              <w:rPr>
                <w:rFonts w:hint="eastAsia" w:ascii="宋体" w:hAnsi="宋体" w:cs="宋体"/>
                <w:color w:val="auto"/>
                <w:sz w:val="21"/>
                <w:szCs w:val="21"/>
                <w:highlight w:val="none"/>
                <w:lang w:val="en-US" w:eastAsia="zh-CN"/>
              </w:rPr>
              <w:t>关键</w:t>
            </w:r>
            <w:r>
              <w:rPr>
                <w:rFonts w:hint="default" w:ascii="宋体" w:hAnsi="宋体" w:cs="宋体"/>
                <w:color w:val="auto"/>
                <w:sz w:val="21"/>
                <w:szCs w:val="21"/>
                <w:highlight w:val="none"/>
                <w:lang w:val="en-US" w:eastAsia="zh-CN"/>
              </w:rPr>
              <w:t>页面。</w:t>
            </w:r>
          </w:p>
          <w:p w14:paraId="3F24CC32">
            <w:pPr>
              <w:pStyle w:val="13"/>
              <w:keepNext w:val="0"/>
              <w:keepLines w:val="0"/>
              <w:pageBreakBefore w:val="0"/>
              <w:widowControl w:val="0"/>
              <w:suppressLineNumbers w:val="0"/>
              <w:shd w:val="clear" w:color="auto" w:fill="auto"/>
              <w:kinsoku/>
              <w:wordWrap w:val="0"/>
              <w:overflowPunct/>
              <w:topLinePunct w:val="0"/>
              <w:autoSpaceDE/>
              <w:autoSpaceDN/>
              <w:bidi w:val="0"/>
              <w:adjustRightInd/>
              <w:snapToGrid/>
              <w:spacing w:before="0" w:beforeAutospacing="0" w:after="0" w:afterAutospacing="0" w:line="240" w:lineRule="auto"/>
              <w:ind w:left="0" w:leftChars="0" w:right="0" w:firstLine="420" w:firstLineChars="200"/>
              <w:textAlignment w:val="auto"/>
              <w:rPr>
                <w:rFonts w:hint="default"/>
                <w:color w:val="auto"/>
                <w:lang w:val="en-US"/>
              </w:rPr>
            </w:pPr>
            <w:r>
              <w:rPr>
                <w:rFonts w:hint="default" w:ascii="宋体" w:hAnsi="宋体" w:cs="宋体"/>
                <w:color w:val="auto"/>
                <w:sz w:val="21"/>
                <w:szCs w:val="21"/>
                <w:highlight w:val="none"/>
                <w:lang w:val="en-US" w:eastAsia="zh-CN"/>
              </w:rPr>
              <w:t>以上材料须提供</w:t>
            </w:r>
            <w:r>
              <w:rPr>
                <w:rFonts w:hint="eastAsia" w:ascii="宋体" w:hAnsi="宋体" w:cs="宋体"/>
                <w:color w:val="auto"/>
                <w:sz w:val="21"/>
                <w:szCs w:val="21"/>
                <w:highlight w:val="none"/>
                <w:lang w:val="en-US" w:eastAsia="zh-CN"/>
              </w:rPr>
              <w:t>复印件</w:t>
            </w:r>
            <w:r>
              <w:rPr>
                <w:rFonts w:hint="default" w:ascii="宋体" w:hAnsi="宋体" w:cs="宋体"/>
                <w:color w:val="auto"/>
                <w:sz w:val="21"/>
                <w:szCs w:val="21"/>
                <w:highlight w:val="none"/>
                <w:lang w:val="en-US" w:eastAsia="zh-CN"/>
              </w:rPr>
              <w:t>并加盖</w:t>
            </w:r>
            <w:r>
              <w:rPr>
                <w:rFonts w:hint="eastAsia" w:ascii="宋体" w:hAnsi="宋体" w:cs="宋体"/>
                <w:color w:val="auto"/>
                <w:sz w:val="21"/>
                <w:szCs w:val="21"/>
                <w:highlight w:val="none"/>
                <w:lang w:val="en-US" w:eastAsia="zh-CN"/>
              </w:rPr>
              <w:t>投标人</w:t>
            </w:r>
            <w:r>
              <w:rPr>
                <w:rFonts w:hint="default" w:ascii="宋体" w:hAnsi="宋体" w:cs="宋体"/>
                <w:color w:val="auto"/>
                <w:sz w:val="21"/>
                <w:szCs w:val="21"/>
                <w:highlight w:val="none"/>
                <w:lang w:val="en-US" w:eastAsia="zh-CN"/>
              </w:rPr>
              <w:t>公章</w:t>
            </w:r>
            <w:r>
              <w:rPr>
                <w:rFonts w:hint="eastAsia" w:ascii="宋体" w:hAnsi="宋体" w:cs="宋体"/>
                <w:color w:val="auto"/>
                <w:sz w:val="21"/>
                <w:szCs w:val="21"/>
                <w:highlight w:val="none"/>
                <w:lang w:val="en-US" w:eastAsia="zh-CN"/>
              </w:rPr>
              <w:t>。</w:t>
            </w:r>
          </w:p>
        </w:tc>
        <w:tc>
          <w:tcPr>
            <w:tcW w:w="909" w:type="dxa"/>
            <w:tcBorders>
              <w:top w:val="single" w:color="auto" w:sz="4" w:space="0"/>
              <w:left w:val="single" w:color="auto" w:sz="4" w:space="0"/>
              <w:right w:val="single" w:color="auto" w:sz="4" w:space="0"/>
            </w:tcBorders>
            <w:noWrap w:val="0"/>
            <w:vAlign w:val="center"/>
          </w:tcPr>
          <w:p w14:paraId="7EB71BAD">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0-10分</w:t>
            </w:r>
          </w:p>
        </w:tc>
        <w:tc>
          <w:tcPr>
            <w:tcW w:w="1075" w:type="dxa"/>
            <w:tcBorders>
              <w:top w:val="single" w:color="auto" w:sz="4" w:space="0"/>
              <w:left w:val="single" w:color="auto" w:sz="4" w:space="0"/>
              <w:right w:val="single" w:color="auto" w:sz="4" w:space="0"/>
            </w:tcBorders>
            <w:noWrap w:val="0"/>
            <w:vAlign w:val="center"/>
          </w:tcPr>
          <w:p w14:paraId="4FC6B30A">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r>
      <w:tr w14:paraId="00A6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675" w:type="dxa"/>
            <w:vMerge w:val="continue"/>
            <w:tcBorders>
              <w:left w:val="single" w:color="auto" w:sz="4" w:space="0"/>
              <w:right w:val="single" w:color="auto" w:sz="4" w:space="0"/>
            </w:tcBorders>
            <w:noWrap w:val="0"/>
            <w:vAlign w:val="center"/>
          </w:tcPr>
          <w:p w14:paraId="223C8691">
            <w:pPr>
              <w:pStyle w:val="16"/>
              <w:keepNext w:val="0"/>
              <w:keepLines w:val="0"/>
              <w:suppressLineNumbers w:val="0"/>
              <w:snapToGrid w:val="0"/>
              <w:spacing w:before="0" w:beforeAutospacing="0" w:after="0" w:afterAutospacing="0" w:line="240" w:lineRule="auto"/>
              <w:ind w:left="0" w:right="0"/>
              <w:jc w:val="center"/>
              <w:rPr>
                <w:rFonts w:hint="eastAsia" w:hAnsi="宋体" w:cs="宋体"/>
                <w:color w:val="auto"/>
                <w:sz w:val="21"/>
                <w:szCs w:val="21"/>
                <w:highlight w:val="none"/>
                <w:lang w:val="en-US" w:eastAsia="zh-CN" w:bidi="ar"/>
              </w:rPr>
            </w:pPr>
          </w:p>
        </w:tc>
        <w:tc>
          <w:tcPr>
            <w:tcW w:w="925" w:type="dxa"/>
            <w:vMerge w:val="continue"/>
            <w:tcBorders>
              <w:left w:val="single" w:color="auto" w:sz="4" w:space="0"/>
              <w:right w:val="single" w:color="auto" w:sz="4" w:space="0"/>
            </w:tcBorders>
            <w:noWrap w:val="0"/>
            <w:vAlign w:val="center"/>
          </w:tcPr>
          <w:p w14:paraId="28278026">
            <w:pPr>
              <w:pStyle w:val="16"/>
              <w:keepNext w:val="0"/>
              <w:keepLines w:val="0"/>
              <w:suppressLineNumbers w:val="0"/>
              <w:snapToGrid w:val="0"/>
              <w:spacing w:before="0" w:beforeAutospacing="0" w:after="0" w:afterAutospacing="0" w:line="240" w:lineRule="auto"/>
              <w:ind w:left="0" w:right="0"/>
              <w:jc w:val="center"/>
              <w:rPr>
                <w:rFonts w:hint="eastAsia" w:hAnsi="宋体" w:cs="宋体"/>
                <w:color w:val="auto"/>
                <w:sz w:val="21"/>
                <w:szCs w:val="21"/>
                <w:highlight w:val="none"/>
                <w:lang w:val="en-US" w:eastAsia="zh-CN" w:bidi="ar"/>
              </w:rPr>
            </w:pPr>
          </w:p>
        </w:tc>
        <w:tc>
          <w:tcPr>
            <w:tcW w:w="966" w:type="dxa"/>
            <w:tcBorders>
              <w:left w:val="single" w:color="auto" w:sz="4" w:space="0"/>
              <w:right w:val="single" w:color="auto" w:sz="4" w:space="0"/>
            </w:tcBorders>
            <w:noWrap w:val="0"/>
            <w:vAlign w:val="center"/>
          </w:tcPr>
          <w:p w14:paraId="5DA0810A">
            <w:pPr>
              <w:pStyle w:val="16"/>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3、企业荣誉</w:t>
            </w:r>
          </w:p>
        </w:tc>
        <w:tc>
          <w:tcPr>
            <w:tcW w:w="5834" w:type="dxa"/>
            <w:tcBorders>
              <w:top w:val="single" w:color="auto" w:sz="4" w:space="0"/>
              <w:left w:val="single" w:color="auto" w:sz="4" w:space="0"/>
              <w:right w:val="single" w:color="auto" w:sz="4" w:space="0"/>
            </w:tcBorders>
            <w:shd w:val="clear" w:color="auto" w:fill="auto"/>
            <w:noWrap w:val="0"/>
            <w:vAlign w:val="top"/>
          </w:tcPr>
          <w:p w14:paraId="09EFEE3E">
            <w:pPr>
              <w:pStyle w:val="13"/>
              <w:keepNext w:val="0"/>
              <w:keepLines w:val="0"/>
              <w:pageBreakBefore w:val="0"/>
              <w:widowControl w:val="0"/>
              <w:suppressLineNumbers w:val="0"/>
              <w:shd w:val="clear" w:color="auto" w:fill="auto"/>
              <w:kinsoku/>
              <w:wordWrap w:val="0"/>
              <w:overflowPunct/>
              <w:topLinePunct w:val="0"/>
              <w:autoSpaceDE/>
              <w:autoSpaceDN/>
              <w:bidi w:val="0"/>
              <w:adjustRightInd/>
              <w:snapToGrid/>
              <w:spacing w:before="0" w:beforeAutospacing="0" w:after="0" w:afterAutospacing="0" w:line="240" w:lineRule="auto"/>
              <w:ind w:left="0" w:leftChars="0" w:right="0" w:firstLine="420" w:firstLineChars="200"/>
              <w:textAlignment w:val="auto"/>
              <w:rPr>
                <w:rFonts w:hint="eastAsia"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投标人自2020年01月01日</w:t>
            </w:r>
            <w:r>
              <w:rPr>
                <w:rFonts w:hint="eastAsia" w:ascii="宋体" w:hAnsi="宋体" w:cs="宋体"/>
                <w:color w:val="auto"/>
                <w:sz w:val="21"/>
                <w:szCs w:val="21"/>
                <w:highlight w:val="none"/>
                <w:lang w:val="en-US" w:eastAsia="zh-CN"/>
              </w:rPr>
              <w:t>（时间以证书或文件落款时间为准）</w:t>
            </w:r>
            <w:r>
              <w:rPr>
                <w:rFonts w:hint="default" w:ascii="宋体" w:hAnsi="宋体" w:cs="宋体"/>
                <w:color w:val="auto"/>
                <w:sz w:val="21"/>
                <w:szCs w:val="21"/>
                <w:highlight w:val="none"/>
                <w:lang w:val="en-US" w:eastAsia="zh-CN"/>
              </w:rPr>
              <w:t>以来</w:t>
            </w:r>
            <w:r>
              <w:rPr>
                <w:rFonts w:hint="eastAsia" w:ascii="宋体" w:hAnsi="宋体" w:cs="宋体"/>
                <w:color w:val="auto"/>
                <w:sz w:val="21"/>
                <w:szCs w:val="21"/>
                <w:highlight w:val="none"/>
                <w:lang w:val="en-US" w:eastAsia="zh-CN"/>
              </w:rPr>
              <w:t>：</w:t>
            </w:r>
            <w:r>
              <w:rPr>
                <w:rFonts w:hint="default" w:ascii="宋体" w:hAnsi="宋体" w:cs="宋体"/>
                <w:color w:val="auto"/>
                <w:sz w:val="21"/>
                <w:szCs w:val="21"/>
                <w:highlight w:val="none"/>
                <w:lang w:val="en-US" w:eastAsia="zh-CN"/>
              </w:rPr>
              <w:t>获得过国家级行政部门颁发荣誉或表彰的得</w:t>
            </w:r>
            <w:r>
              <w:rPr>
                <w:rFonts w:hint="eastAsia" w:ascii="宋体" w:hAnsi="宋体" w:cs="宋体"/>
                <w:color w:val="auto"/>
                <w:sz w:val="21"/>
                <w:szCs w:val="21"/>
                <w:highlight w:val="none"/>
                <w:lang w:val="en-US" w:eastAsia="zh-CN"/>
              </w:rPr>
              <w:t>10</w:t>
            </w:r>
            <w:r>
              <w:rPr>
                <w:rFonts w:hint="default" w:ascii="宋体" w:hAnsi="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；获得过省级行政部门颁发荣誉或表彰的得6分；获得过地市级行政部门颁发荣誉或表彰的得3分；未提供或达不到要求的，不得分。</w:t>
            </w:r>
          </w:p>
          <w:p w14:paraId="7DD1E8CF">
            <w:pPr>
              <w:pStyle w:val="13"/>
              <w:keepNext w:val="0"/>
              <w:keepLines w:val="0"/>
              <w:pageBreakBefore w:val="0"/>
              <w:widowControl w:val="0"/>
              <w:suppressLineNumbers w:val="0"/>
              <w:shd w:val="clear" w:color="auto" w:fill="auto"/>
              <w:kinsoku/>
              <w:wordWrap w:val="0"/>
              <w:overflowPunct/>
              <w:topLinePunct w:val="0"/>
              <w:autoSpaceDE/>
              <w:autoSpaceDN/>
              <w:bidi w:val="0"/>
              <w:adjustRightInd/>
              <w:snapToGrid/>
              <w:spacing w:before="0" w:beforeAutospacing="0" w:after="0" w:afterAutospacing="0" w:line="240" w:lineRule="auto"/>
              <w:ind w:left="0" w:leftChars="0" w:right="0" w:firstLine="420" w:firstLineChars="200"/>
              <w:textAlignment w:val="auto"/>
              <w:rPr>
                <w:rFonts w:hint="default"/>
                <w:color w:val="auto"/>
                <w:lang w:val="en-US" w:eastAsia="zh-CN"/>
              </w:rPr>
            </w:pPr>
            <w:r>
              <w:rPr>
                <w:rFonts w:hint="eastAsia" w:ascii="宋体" w:hAnsi="宋体" w:cs="宋体"/>
                <w:color w:val="auto"/>
                <w:sz w:val="21"/>
                <w:szCs w:val="21"/>
                <w:highlight w:val="none"/>
                <w:lang w:val="en-US" w:eastAsia="zh-CN"/>
              </w:rPr>
              <w:t>注：须提供行政主管部门颁发的证书或文件复印件并加盖投标人公章</w:t>
            </w:r>
            <w:r>
              <w:rPr>
                <w:rFonts w:hint="default" w:ascii="宋体" w:hAnsi="宋体" w:cs="宋体"/>
                <w:color w:val="auto"/>
                <w:sz w:val="21"/>
                <w:szCs w:val="21"/>
                <w:highlight w:val="none"/>
                <w:lang w:val="en-US" w:eastAsia="zh-CN"/>
              </w:rPr>
              <w:t>。</w:t>
            </w:r>
          </w:p>
        </w:tc>
        <w:tc>
          <w:tcPr>
            <w:tcW w:w="909" w:type="dxa"/>
            <w:tcBorders>
              <w:top w:val="single" w:color="auto" w:sz="4" w:space="0"/>
              <w:left w:val="single" w:color="auto" w:sz="4" w:space="0"/>
              <w:right w:val="single" w:color="auto" w:sz="4" w:space="0"/>
            </w:tcBorders>
            <w:noWrap w:val="0"/>
            <w:vAlign w:val="center"/>
          </w:tcPr>
          <w:p w14:paraId="3F04D346">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0-10分</w:t>
            </w:r>
          </w:p>
        </w:tc>
        <w:tc>
          <w:tcPr>
            <w:tcW w:w="1075" w:type="dxa"/>
            <w:tcBorders>
              <w:top w:val="single" w:color="auto" w:sz="4" w:space="0"/>
              <w:left w:val="single" w:color="auto" w:sz="4" w:space="0"/>
              <w:right w:val="single" w:color="auto" w:sz="4" w:space="0"/>
            </w:tcBorders>
            <w:noWrap w:val="0"/>
            <w:vAlign w:val="center"/>
          </w:tcPr>
          <w:p w14:paraId="592484AC">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r>
      <w:tr w14:paraId="1E7E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675" w:type="dxa"/>
            <w:tcBorders>
              <w:left w:val="single" w:color="auto" w:sz="4" w:space="0"/>
              <w:right w:val="single" w:color="auto" w:sz="4" w:space="0"/>
            </w:tcBorders>
            <w:noWrap w:val="0"/>
            <w:vAlign w:val="center"/>
          </w:tcPr>
          <w:p w14:paraId="42012998">
            <w:pPr>
              <w:pStyle w:val="16"/>
              <w:keepNext w:val="0"/>
              <w:keepLines w:val="0"/>
              <w:suppressLineNumbers w:val="0"/>
              <w:snapToGrid w:val="0"/>
              <w:spacing w:before="0" w:beforeAutospacing="0" w:after="0" w:afterAutospacing="0" w:line="240" w:lineRule="auto"/>
              <w:ind w:left="0" w:right="0"/>
              <w:jc w:val="center"/>
              <w:rPr>
                <w:rFonts w:hint="default" w:hAnsi="宋体" w:cs="宋体"/>
                <w:b w:val="0"/>
                <w:bCs w:val="0"/>
                <w:color w:val="auto"/>
                <w:sz w:val="21"/>
                <w:szCs w:val="21"/>
                <w:highlight w:val="none"/>
                <w:lang w:val="en-US" w:eastAsia="zh-CN" w:bidi="ar"/>
              </w:rPr>
            </w:pPr>
            <w:r>
              <w:rPr>
                <w:rFonts w:hint="eastAsia" w:hAnsi="宋体" w:cs="宋体"/>
                <w:b w:val="0"/>
                <w:bCs w:val="0"/>
                <w:color w:val="auto"/>
                <w:sz w:val="21"/>
                <w:szCs w:val="21"/>
                <w:highlight w:val="none"/>
                <w:lang w:val="en-US" w:eastAsia="zh-CN" w:bidi="ar"/>
              </w:rPr>
              <w:t>2</w:t>
            </w:r>
          </w:p>
        </w:tc>
        <w:tc>
          <w:tcPr>
            <w:tcW w:w="925" w:type="dxa"/>
            <w:tcBorders>
              <w:left w:val="single" w:color="auto" w:sz="4" w:space="0"/>
              <w:right w:val="single" w:color="auto" w:sz="4" w:space="0"/>
            </w:tcBorders>
            <w:noWrap w:val="0"/>
            <w:vAlign w:val="center"/>
          </w:tcPr>
          <w:p w14:paraId="6A6FB6D3">
            <w:pPr>
              <w:pStyle w:val="16"/>
              <w:keepNext w:val="0"/>
              <w:keepLines w:val="0"/>
              <w:suppressLineNumbers w:val="0"/>
              <w:snapToGrid w:val="0"/>
              <w:spacing w:before="0" w:beforeAutospacing="0" w:after="0" w:afterAutospacing="0" w:line="240" w:lineRule="auto"/>
              <w:ind w:left="0" w:right="0"/>
              <w:jc w:val="center"/>
              <w:rPr>
                <w:rFonts w:hint="default" w:hAnsi="宋体" w:eastAsia="宋体" w:cs="宋体"/>
                <w:b w:val="0"/>
                <w:bCs w:val="0"/>
                <w:color w:val="auto"/>
                <w:sz w:val="21"/>
                <w:szCs w:val="21"/>
                <w:lang w:val="en-US" w:eastAsia="zh-CN" w:bidi="ar"/>
              </w:rPr>
            </w:pPr>
            <w:r>
              <w:rPr>
                <w:rFonts w:hint="eastAsia" w:hAnsi="宋体" w:cs="宋体"/>
                <w:b w:val="0"/>
                <w:bCs w:val="0"/>
                <w:color w:val="auto"/>
                <w:sz w:val="21"/>
                <w:szCs w:val="21"/>
                <w:lang w:val="en-US" w:eastAsia="zh-CN" w:bidi="ar"/>
              </w:rPr>
              <w:t>二、团队综合实力</w:t>
            </w:r>
          </w:p>
        </w:tc>
        <w:tc>
          <w:tcPr>
            <w:tcW w:w="966" w:type="dxa"/>
            <w:tcBorders>
              <w:left w:val="single" w:color="auto" w:sz="4" w:space="0"/>
              <w:right w:val="single" w:color="auto" w:sz="4" w:space="0"/>
            </w:tcBorders>
            <w:noWrap w:val="0"/>
            <w:vAlign w:val="center"/>
          </w:tcPr>
          <w:p w14:paraId="1D41B56D">
            <w:pPr>
              <w:pStyle w:val="16"/>
              <w:keepNext w:val="0"/>
              <w:keepLines w:val="0"/>
              <w:suppressLineNumbers w:val="0"/>
              <w:snapToGrid w:val="0"/>
              <w:spacing w:before="0" w:beforeAutospacing="0" w:after="0" w:afterAutospacing="0" w:line="240" w:lineRule="auto"/>
              <w:ind w:left="0" w:right="0"/>
              <w:jc w:val="center"/>
              <w:rPr>
                <w:rFonts w:hint="default" w:hAnsi="宋体" w:eastAsia="宋体" w:cs="宋体"/>
                <w:b w:val="0"/>
                <w:bCs w:val="0"/>
                <w:color w:val="auto"/>
                <w:sz w:val="21"/>
                <w:szCs w:val="21"/>
                <w:lang w:val="en-US" w:eastAsia="zh-CN" w:bidi="ar"/>
              </w:rPr>
            </w:pPr>
            <w:r>
              <w:rPr>
                <w:rFonts w:hint="eastAsia" w:hAnsi="宋体" w:cs="宋体"/>
                <w:b w:val="0"/>
                <w:bCs w:val="0"/>
                <w:color w:val="auto"/>
                <w:sz w:val="21"/>
                <w:szCs w:val="21"/>
                <w:lang w:val="en-US" w:eastAsia="zh-CN" w:bidi="ar"/>
              </w:rPr>
              <w:t>4、服务团队建设及案例展示</w:t>
            </w:r>
          </w:p>
        </w:tc>
        <w:tc>
          <w:tcPr>
            <w:tcW w:w="58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8B64FE">
            <w:pPr>
              <w:pStyle w:val="13"/>
              <w:keepNext w:val="0"/>
              <w:keepLines w:val="0"/>
              <w:pageBreakBefore w:val="0"/>
              <w:widowControl w:val="0"/>
              <w:suppressLineNumbers w:val="0"/>
              <w:shd w:val="clear" w:color="auto" w:fill="auto"/>
              <w:kinsoku/>
              <w:wordWrap w:val="0"/>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投标方根据自身对项目的理解，提出项目服务团队的人员构成、组织架构、职能分工等，以期很好的达成项目愿景。同时阐述团队成员以往招商优秀案例。评标委员会就投标单位提供的团队建设方案是否完整、人员数量是否充足、团队分工是否明确及招商案例展示进行综合评分。</w:t>
            </w:r>
          </w:p>
          <w:p w14:paraId="12AB5B2F">
            <w:pPr>
              <w:pStyle w:val="13"/>
              <w:keepNext w:val="0"/>
              <w:keepLines w:val="0"/>
              <w:pageBreakBefore w:val="0"/>
              <w:widowControl w:val="0"/>
              <w:suppressLineNumbers w:val="0"/>
              <w:shd w:val="clear" w:color="auto" w:fill="auto"/>
              <w:kinsoku/>
              <w:wordWrap w:val="0"/>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color w:val="auto"/>
                <w:lang w:val="en-US" w:eastAsia="zh-CN"/>
              </w:rPr>
            </w:pPr>
            <w:r>
              <w:rPr>
                <w:rFonts w:hint="default" w:ascii="宋体" w:hAnsi="宋体" w:cs="宋体"/>
                <w:color w:val="auto"/>
                <w:sz w:val="21"/>
                <w:szCs w:val="21"/>
                <w:highlight w:val="none"/>
                <w:lang w:val="en-US" w:eastAsia="zh-CN"/>
              </w:rPr>
              <w:t>评分范围：</w:t>
            </w:r>
            <w:r>
              <w:rPr>
                <w:rFonts w:hint="eastAsia" w:ascii="宋体" w:hAnsi="宋体" w:cs="宋体"/>
                <w:color w:val="auto"/>
                <w:sz w:val="21"/>
                <w:szCs w:val="21"/>
                <w:highlight w:val="none"/>
                <w:lang w:val="en-US" w:eastAsia="zh-CN"/>
              </w:rPr>
              <w:t>10、8、6、4、2、0</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079B3DCE">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0-10分</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47B1570D">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2271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675" w:type="dxa"/>
            <w:vMerge w:val="restart"/>
            <w:tcBorders>
              <w:left w:val="single" w:color="auto" w:sz="4" w:space="0"/>
              <w:right w:val="single" w:color="auto" w:sz="4" w:space="0"/>
            </w:tcBorders>
            <w:noWrap w:val="0"/>
            <w:vAlign w:val="center"/>
          </w:tcPr>
          <w:p w14:paraId="3959E6AA">
            <w:pPr>
              <w:pStyle w:val="16"/>
              <w:keepNext w:val="0"/>
              <w:keepLines w:val="0"/>
              <w:suppressLineNumbers w:val="0"/>
              <w:snapToGrid w:val="0"/>
              <w:spacing w:before="0" w:beforeAutospacing="0" w:after="0" w:afterAutospacing="0" w:line="240" w:lineRule="auto"/>
              <w:ind w:left="0" w:right="0"/>
              <w:jc w:val="center"/>
              <w:rPr>
                <w:rFonts w:hint="default" w:hAnsi="宋体" w:cs="宋体"/>
                <w:b w:val="0"/>
                <w:bCs w:val="0"/>
                <w:color w:val="auto"/>
                <w:sz w:val="21"/>
                <w:szCs w:val="21"/>
                <w:highlight w:val="none"/>
                <w:lang w:val="en-US" w:eastAsia="zh-CN" w:bidi="ar"/>
              </w:rPr>
            </w:pPr>
            <w:r>
              <w:rPr>
                <w:rFonts w:hint="eastAsia" w:hAnsi="宋体" w:cs="宋体"/>
                <w:b w:val="0"/>
                <w:bCs w:val="0"/>
                <w:color w:val="auto"/>
                <w:sz w:val="21"/>
                <w:szCs w:val="21"/>
                <w:highlight w:val="none"/>
                <w:lang w:val="en-US" w:eastAsia="zh-CN" w:bidi="ar"/>
              </w:rPr>
              <w:t>3</w:t>
            </w:r>
          </w:p>
        </w:tc>
        <w:tc>
          <w:tcPr>
            <w:tcW w:w="925" w:type="dxa"/>
            <w:vMerge w:val="restart"/>
            <w:tcBorders>
              <w:left w:val="single" w:color="auto" w:sz="4" w:space="0"/>
              <w:right w:val="single" w:color="auto" w:sz="4" w:space="0"/>
            </w:tcBorders>
            <w:noWrap w:val="0"/>
            <w:vAlign w:val="center"/>
          </w:tcPr>
          <w:p w14:paraId="5237B4E5">
            <w:pPr>
              <w:pStyle w:val="16"/>
              <w:keepNext w:val="0"/>
              <w:keepLines w:val="0"/>
              <w:suppressLineNumbers w:val="0"/>
              <w:snapToGrid w:val="0"/>
              <w:spacing w:before="0" w:beforeAutospacing="0" w:after="0" w:afterAutospacing="0" w:line="240" w:lineRule="auto"/>
              <w:ind w:left="0" w:right="0"/>
              <w:jc w:val="center"/>
              <w:rPr>
                <w:rFonts w:hint="default" w:hAnsi="宋体" w:eastAsia="宋体" w:cs="宋体"/>
                <w:b w:val="0"/>
                <w:bCs w:val="0"/>
                <w:color w:val="auto"/>
                <w:sz w:val="21"/>
                <w:szCs w:val="21"/>
                <w:lang w:val="en-US" w:eastAsia="zh-CN" w:bidi="ar"/>
              </w:rPr>
            </w:pPr>
            <w:r>
              <w:rPr>
                <w:rFonts w:hint="eastAsia" w:hAnsi="宋体" w:cs="宋体"/>
                <w:b w:val="0"/>
                <w:bCs w:val="0"/>
                <w:color w:val="auto"/>
                <w:sz w:val="21"/>
                <w:szCs w:val="21"/>
                <w:lang w:val="en-US" w:eastAsia="zh-CN" w:bidi="ar"/>
              </w:rPr>
              <w:t>三、筹备及运营方案</w:t>
            </w:r>
          </w:p>
        </w:tc>
        <w:tc>
          <w:tcPr>
            <w:tcW w:w="966" w:type="dxa"/>
            <w:vMerge w:val="restart"/>
            <w:tcBorders>
              <w:left w:val="single" w:color="auto" w:sz="4" w:space="0"/>
              <w:right w:val="single" w:color="auto" w:sz="4" w:space="0"/>
            </w:tcBorders>
            <w:noWrap w:val="0"/>
            <w:vAlign w:val="center"/>
          </w:tcPr>
          <w:p w14:paraId="2C4DFF74">
            <w:pPr>
              <w:pStyle w:val="16"/>
              <w:keepNext w:val="0"/>
              <w:keepLines w:val="0"/>
              <w:suppressLineNumbers w:val="0"/>
              <w:snapToGrid w:val="0"/>
              <w:spacing w:before="0" w:beforeAutospacing="0" w:after="0" w:afterAutospacing="0" w:line="240" w:lineRule="auto"/>
              <w:ind w:left="0" w:right="0"/>
              <w:jc w:val="center"/>
              <w:rPr>
                <w:rFonts w:hint="default" w:hAnsi="宋体" w:eastAsia="宋体" w:cs="宋体"/>
                <w:b w:val="0"/>
                <w:bCs w:val="0"/>
                <w:color w:val="auto"/>
                <w:sz w:val="21"/>
                <w:szCs w:val="21"/>
                <w:lang w:val="en-US" w:eastAsia="zh-CN" w:bidi="ar"/>
              </w:rPr>
            </w:pPr>
            <w:r>
              <w:rPr>
                <w:rFonts w:hint="eastAsia" w:hAnsi="宋体" w:cs="宋体"/>
                <w:b w:val="0"/>
                <w:bCs w:val="0"/>
                <w:color w:val="auto"/>
                <w:sz w:val="21"/>
                <w:szCs w:val="21"/>
                <w:lang w:val="en-US" w:eastAsia="zh-CN" w:bidi="ar"/>
              </w:rPr>
              <w:t>5、项目调查及项目分析</w:t>
            </w:r>
          </w:p>
        </w:tc>
        <w:tc>
          <w:tcPr>
            <w:tcW w:w="58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A67071">
            <w:pPr>
              <w:pStyle w:val="13"/>
              <w:keepNext w:val="0"/>
              <w:keepLines w:val="0"/>
              <w:pageBreakBefore w:val="0"/>
              <w:widowControl w:val="0"/>
              <w:suppressLineNumbers w:val="0"/>
              <w:shd w:val="clear" w:color="auto" w:fill="auto"/>
              <w:kinsoku/>
              <w:wordWrap w:val="0"/>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1.对本项目所在城市进行底盘研究和市场调查，根据投标人对项目背景、现状及周边商业情况的调查是否详尽、到位、合理等进行综合评分。</w:t>
            </w:r>
          </w:p>
          <w:p w14:paraId="27EF90A8">
            <w:pPr>
              <w:pStyle w:val="13"/>
              <w:keepNext w:val="0"/>
              <w:keepLines w:val="0"/>
              <w:pageBreakBefore w:val="0"/>
              <w:widowControl w:val="0"/>
              <w:suppressLineNumbers w:val="0"/>
              <w:shd w:val="clear" w:color="auto" w:fill="auto"/>
              <w:kinsoku/>
              <w:wordWrap w:val="0"/>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b w:val="0"/>
                <w:bCs w:val="0"/>
                <w:color w:val="auto"/>
                <w:sz w:val="21"/>
                <w:szCs w:val="21"/>
                <w:lang w:val="en-US" w:eastAsia="zh-CN"/>
              </w:rPr>
            </w:pPr>
            <w:r>
              <w:rPr>
                <w:rFonts w:hint="default" w:ascii="宋体" w:hAnsi="宋体" w:cs="宋体"/>
                <w:color w:val="auto"/>
                <w:sz w:val="21"/>
                <w:szCs w:val="21"/>
                <w:highlight w:val="none"/>
                <w:lang w:val="en-US" w:eastAsia="zh-CN"/>
              </w:rPr>
              <w:t>评分范围：</w:t>
            </w:r>
            <w:r>
              <w:rPr>
                <w:rFonts w:hint="eastAsia" w:ascii="宋体" w:hAnsi="宋体" w:cs="宋体"/>
                <w:color w:val="auto"/>
                <w:sz w:val="21"/>
                <w:szCs w:val="21"/>
                <w:highlight w:val="none"/>
                <w:lang w:val="en-US" w:eastAsia="zh-CN"/>
              </w:rPr>
              <w:t>5、4、3、2、1、0</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06BB14DB">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0-5分</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70090DA4">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4E14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75" w:type="dxa"/>
            <w:vMerge w:val="continue"/>
            <w:tcBorders>
              <w:left w:val="single" w:color="auto" w:sz="4" w:space="0"/>
              <w:right w:val="single" w:color="auto" w:sz="4" w:space="0"/>
            </w:tcBorders>
            <w:noWrap w:val="0"/>
            <w:vAlign w:val="center"/>
          </w:tcPr>
          <w:p w14:paraId="04B2B122">
            <w:pPr>
              <w:pStyle w:val="16"/>
              <w:keepNext w:val="0"/>
              <w:keepLines w:val="0"/>
              <w:suppressLineNumbers w:val="0"/>
              <w:snapToGrid w:val="0"/>
              <w:spacing w:before="0" w:beforeAutospacing="0" w:after="0" w:afterAutospacing="0" w:line="240" w:lineRule="auto"/>
              <w:ind w:left="0" w:right="0"/>
              <w:jc w:val="center"/>
              <w:rPr>
                <w:rFonts w:hint="eastAsia" w:hAnsi="宋体" w:cs="宋体"/>
                <w:b w:val="0"/>
                <w:bCs w:val="0"/>
                <w:color w:val="auto"/>
                <w:sz w:val="21"/>
                <w:szCs w:val="21"/>
                <w:highlight w:val="none"/>
                <w:lang w:val="en-US" w:eastAsia="zh-CN" w:bidi="ar"/>
              </w:rPr>
            </w:pPr>
          </w:p>
        </w:tc>
        <w:tc>
          <w:tcPr>
            <w:tcW w:w="925" w:type="dxa"/>
            <w:vMerge w:val="continue"/>
            <w:tcBorders>
              <w:left w:val="single" w:color="auto" w:sz="4" w:space="0"/>
              <w:right w:val="single" w:color="auto" w:sz="4" w:space="0"/>
            </w:tcBorders>
            <w:noWrap w:val="0"/>
            <w:vAlign w:val="center"/>
          </w:tcPr>
          <w:p w14:paraId="0F102347">
            <w:pPr>
              <w:pStyle w:val="16"/>
              <w:keepNext w:val="0"/>
              <w:keepLines w:val="0"/>
              <w:suppressLineNumbers w:val="0"/>
              <w:snapToGrid w:val="0"/>
              <w:spacing w:before="0" w:beforeAutospacing="0" w:after="0" w:afterAutospacing="0" w:line="240" w:lineRule="auto"/>
              <w:ind w:left="0" w:right="0"/>
              <w:jc w:val="center"/>
              <w:rPr>
                <w:rFonts w:hint="eastAsia" w:hAnsi="宋体" w:cs="宋体"/>
                <w:b w:val="0"/>
                <w:bCs w:val="0"/>
                <w:color w:val="auto"/>
                <w:sz w:val="21"/>
                <w:szCs w:val="21"/>
                <w:lang w:val="en-US" w:eastAsia="zh-CN" w:bidi="ar"/>
              </w:rPr>
            </w:pPr>
          </w:p>
        </w:tc>
        <w:tc>
          <w:tcPr>
            <w:tcW w:w="966" w:type="dxa"/>
            <w:vMerge w:val="continue"/>
            <w:tcBorders>
              <w:left w:val="single" w:color="auto" w:sz="4" w:space="0"/>
              <w:right w:val="single" w:color="auto" w:sz="4" w:space="0"/>
            </w:tcBorders>
            <w:noWrap w:val="0"/>
            <w:vAlign w:val="center"/>
          </w:tcPr>
          <w:p w14:paraId="6D59D201">
            <w:pPr>
              <w:pStyle w:val="16"/>
              <w:keepNext w:val="0"/>
              <w:keepLines w:val="0"/>
              <w:suppressLineNumbers w:val="0"/>
              <w:snapToGrid w:val="0"/>
              <w:spacing w:before="0" w:beforeAutospacing="0" w:after="0" w:afterAutospacing="0" w:line="240" w:lineRule="auto"/>
              <w:ind w:left="0" w:right="0"/>
              <w:jc w:val="center"/>
              <w:rPr>
                <w:rFonts w:hint="eastAsia" w:hAnsi="宋体" w:cs="宋体"/>
                <w:b w:val="0"/>
                <w:bCs w:val="0"/>
                <w:color w:val="auto"/>
                <w:sz w:val="21"/>
                <w:szCs w:val="21"/>
                <w:lang w:val="en-US" w:eastAsia="zh-CN" w:bidi="ar"/>
              </w:rPr>
            </w:pPr>
          </w:p>
        </w:tc>
        <w:tc>
          <w:tcPr>
            <w:tcW w:w="58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5A38DC">
            <w:pPr>
              <w:pStyle w:val="13"/>
              <w:keepNext w:val="0"/>
              <w:keepLines w:val="0"/>
              <w:pageBreakBefore w:val="0"/>
              <w:widowControl w:val="0"/>
              <w:suppressLineNumbers w:val="0"/>
              <w:shd w:val="clear" w:color="auto" w:fill="auto"/>
              <w:kinsoku/>
              <w:wordWrap w:val="0"/>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2.根据投标人对本项目的本体、文化、客群以及对标案例的分析是否合理、到位、合理等进行综合评分。</w:t>
            </w:r>
          </w:p>
          <w:p w14:paraId="5971DD9E">
            <w:pPr>
              <w:pStyle w:val="13"/>
              <w:keepNext w:val="0"/>
              <w:keepLines w:val="0"/>
              <w:pageBreakBefore w:val="0"/>
              <w:widowControl w:val="0"/>
              <w:suppressLineNumbers w:val="0"/>
              <w:shd w:val="clear" w:color="auto" w:fill="auto"/>
              <w:kinsoku/>
              <w:wordWrap w:val="0"/>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b w:val="0"/>
                <w:bCs w:val="0"/>
                <w:color w:val="auto"/>
                <w:sz w:val="21"/>
                <w:szCs w:val="21"/>
                <w:lang w:val="en-US" w:eastAsia="zh-CN"/>
              </w:rPr>
            </w:pPr>
            <w:r>
              <w:rPr>
                <w:rFonts w:hint="default" w:ascii="宋体" w:hAnsi="宋体" w:cs="宋体"/>
                <w:color w:val="auto"/>
                <w:sz w:val="21"/>
                <w:szCs w:val="21"/>
                <w:highlight w:val="none"/>
                <w:lang w:val="en-US" w:eastAsia="zh-CN"/>
              </w:rPr>
              <w:t>评分范围：</w:t>
            </w:r>
            <w:r>
              <w:rPr>
                <w:rFonts w:hint="eastAsia" w:ascii="宋体" w:hAnsi="宋体" w:cs="宋体"/>
                <w:color w:val="auto"/>
                <w:sz w:val="21"/>
                <w:szCs w:val="21"/>
                <w:highlight w:val="none"/>
                <w:lang w:val="en-US" w:eastAsia="zh-CN"/>
              </w:rPr>
              <w:t>5、4、3、2、1、0</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4781582F">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0-5分</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5F7FB41C">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50F9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675" w:type="dxa"/>
            <w:vMerge w:val="continue"/>
            <w:tcBorders>
              <w:left w:val="single" w:color="auto" w:sz="4" w:space="0"/>
              <w:right w:val="single" w:color="auto" w:sz="4" w:space="0"/>
            </w:tcBorders>
            <w:noWrap w:val="0"/>
            <w:vAlign w:val="center"/>
          </w:tcPr>
          <w:p w14:paraId="0D3CFD2B">
            <w:pPr>
              <w:pStyle w:val="16"/>
              <w:keepNext w:val="0"/>
              <w:keepLines w:val="0"/>
              <w:suppressLineNumbers w:val="0"/>
              <w:snapToGrid w:val="0"/>
              <w:spacing w:before="0" w:beforeAutospacing="0" w:after="0" w:afterAutospacing="0" w:line="240" w:lineRule="auto"/>
              <w:ind w:left="0" w:right="0"/>
              <w:jc w:val="center"/>
              <w:rPr>
                <w:rFonts w:hint="eastAsia" w:hAnsi="宋体" w:cs="宋体"/>
                <w:b w:val="0"/>
                <w:bCs w:val="0"/>
                <w:color w:val="auto"/>
                <w:sz w:val="21"/>
                <w:szCs w:val="21"/>
                <w:highlight w:val="none"/>
                <w:lang w:val="en-US" w:eastAsia="zh-CN" w:bidi="ar"/>
              </w:rPr>
            </w:pPr>
          </w:p>
        </w:tc>
        <w:tc>
          <w:tcPr>
            <w:tcW w:w="925" w:type="dxa"/>
            <w:vMerge w:val="continue"/>
            <w:tcBorders>
              <w:left w:val="single" w:color="auto" w:sz="4" w:space="0"/>
              <w:right w:val="single" w:color="auto" w:sz="4" w:space="0"/>
            </w:tcBorders>
            <w:noWrap w:val="0"/>
            <w:vAlign w:val="center"/>
          </w:tcPr>
          <w:p w14:paraId="274E14CC">
            <w:pPr>
              <w:pStyle w:val="16"/>
              <w:keepNext w:val="0"/>
              <w:keepLines w:val="0"/>
              <w:suppressLineNumbers w:val="0"/>
              <w:snapToGrid w:val="0"/>
              <w:spacing w:before="0" w:beforeAutospacing="0" w:after="0" w:afterAutospacing="0" w:line="240" w:lineRule="auto"/>
              <w:ind w:left="0" w:right="0"/>
              <w:jc w:val="center"/>
              <w:rPr>
                <w:rFonts w:hint="eastAsia" w:hAnsi="宋体" w:cs="宋体"/>
                <w:b w:val="0"/>
                <w:bCs w:val="0"/>
                <w:color w:val="auto"/>
                <w:sz w:val="21"/>
                <w:szCs w:val="21"/>
                <w:lang w:val="en-US" w:eastAsia="zh-CN" w:bidi="ar"/>
              </w:rPr>
            </w:pPr>
          </w:p>
        </w:tc>
        <w:tc>
          <w:tcPr>
            <w:tcW w:w="966" w:type="dxa"/>
            <w:tcBorders>
              <w:left w:val="single" w:color="auto" w:sz="4" w:space="0"/>
              <w:right w:val="single" w:color="auto" w:sz="4" w:space="0"/>
            </w:tcBorders>
            <w:noWrap w:val="0"/>
            <w:vAlign w:val="center"/>
          </w:tcPr>
          <w:p w14:paraId="4D868711">
            <w:pPr>
              <w:pStyle w:val="16"/>
              <w:keepNext w:val="0"/>
              <w:keepLines w:val="0"/>
              <w:suppressLineNumbers w:val="0"/>
              <w:snapToGrid w:val="0"/>
              <w:spacing w:before="0" w:beforeAutospacing="0" w:after="0" w:afterAutospacing="0" w:line="240" w:lineRule="auto"/>
              <w:ind w:left="0" w:right="0"/>
              <w:jc w:val="center"/>
              <w:rPr>
                <w:rFonts w:hint="default" w:hAnsi="宋体" w:cs="宋体"/>
                <w:b w:val="0"/>
                <w:bCs w:val="0"/>
                <w:color w:val="auto"/>
                <w:sz w:val="21"/>
                <w:szCs w:val="21"/>
                <w:lang w:val="en-US" w:eastAsia="zh-CN" w:bidi="ar"/>
              </w:rPr>
            </w:pPr>
            <w:r>
              <w:rPr>
                <w:rFonts w:hint="eastAsia" w:hAnsi="宋体" w:cs="宋体"/>
                <w:b w:val="0"/>
                <w:bCs w:val="0"/>
                <w:color w:val="auto"/>
                <w:sz w:val="21"/>
                <w:szCs w:val="21"/>
                <w:lang w:val="en-US" w:eastAsia="zh-CN" w:bidi="ar"/>
              </w:rPr>
              <w:t>6、业态布局与招商方案</w:t>
            </w:r>
          </w:p>
        </w:tc>
        <w:tc>
          <w:tcPr>
            <w:tcW w:w="58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E438D6">
            <w:pPr>
              <w:pStyle w:val="13"/>
              <w:keepNext w:val="0"/>
              <w:keepLines w:val="0"/>
              <w:pageBreakBefore w:val="0"/>
              <w:widowControl w:val="0"/>
              <w:suppressLineNumbers w:val="0"/>
              <w:shd w:val="clear" w:color="auto" w:fill="auto"/>
              <w:kinsoku/>
              <w:wordWrap w:val="0"/>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投标人对项目进行全面解读，从整体目标定位、整体构思、整体业态策划、招商方案(方案中需明确拟入</w:t>
            </w:r>
            <w:r>
              <w:rPr>
                <w:rFonts w:hint="eastAsia" w:ascii="宋体" w:hAnsi="宋体" w:cs="宋体"/>
                <w:color w:val="auto"/>
                <w:sz w:val="21"/>
                <w:szCs w:val="21"/>
                <w:highlight w:val="none"/>
                <w:lang w:val="en-US" w:eastAsia="zh-CN"/>
              </w:rPr>
              <w:t>驻</w:t>
            </w:r>
            <w:r>
              <w:rPr>
                <w:rFonts w:hint="default" w:ascii="宋体" w:hAnsi="宋体" w:cs="宋体"/>
                <w:color w:val="auto"/>
                <w:sz w:val="21"/>
                <w:szCs w:val="21"/>
                <w:highlight w:val="none"/>
                <w:lang w:val="en-US" w:eastAsia="zh-CN"/>
              </w:rPr>
              <w:t>具体主力商家及其他业态分布等情况)、品牌落位、收益情况等方面进行综合评分。</w:t>
            </w:r>
          </w:p>
          <w:p w14:paraId="591879ED">
            <w:pPr>
              <w:pStyle w:val="13"/>
              <w:keepNext w:val="0"/>
              <w:keepLines w:val="0"/>
              <w:pageBreakBefore w:val="0"/>
              <w:widowControl w:val="0"/>
              <w:suppressLineNumbers w:val="0"/>
              <w:shd w:val="clear" w:color="auto" w:fill="auto"/>
              <w:kinsoku/>
              <w:wordWrap w:val="0"/>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color w:val="auto"/>
                <w:lang w:val="en-US" w:eastAsia="zh-CN"/>
              </w:rPr>
            </w:pPr>
            <w:r>
              <w:rPr>
                <w:rFonts w:hint="default" w:ascii="宋体" w:hAnsi="宋体" w:cs="宋体"/>
                <w:color w:val="auto"/>
                <w:sz w:val="21"/>
                <w:szCs w:val="21"/>
                <w:highlight w:val="none"/>
                <w:lang w:val="en-US" w:eastAsia="zh-CN"/>
              </w:rPr>
              <w:t>评分范围：</w:t>
            </w:r>
            <w:r>
              <w:rPr>
                <w:rFonts w:hint="eastAsia" w:ascii="宋体" w:hAnsi="宋体" w:cs="宋体"/>
                <w:color w:val="auto"/>
                <w:sz w:val="21"/>
                <w:szCs w:val="21"/>
                <w:highlight w:val="none"/>
                <w:lang w:val="en-US" w:eastAsia="zh-CN"/>
              </w:rPr>
              <w:t>15</w:t>
            </w:r>
            <w:r>
              <w:rPr>
                <w:rFonts w:hint="default" w:ascii="宋体" w:hAnsi="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12</w:t>
            </w:r>
            <w:r>
              <w:rPr>
                <w:rFonts w:hint="default" w:ascii="宋体" w:hAnsi="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9</w:t>
            </w:r>
            <w:r>
              <w:rPr>
                <w:rFonts w:hint="default" w:ascii="宋体" w:hAnsi="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default" w:ascii="宋体" w:hAnsi="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w:t>
            </w:r>
            <w:r>
              <w:rPr>
                <w:rFonts w:hint="default" w:ascii="宋体" w:hAnsi="宋体" w:cs="宋体"/>
                <w:color w:val="auto"/>
                <w:sz w:val="21"/>
                <w:szCs w:val="21"/>
                <w:highlight w:val="none"/>
                <w:lang w:val="en-US" w:eastAsia="zh-CN"/>
              </w:rPr>
              <w:t>、0</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53680FA0">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0-15分</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0102928E">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5331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675" w:type="dxa"/>
            <w:vMerge w:val="continue"/>
            <w:tcBorders>
              <w:left w:val="single" w:color="auto" w:sz="4" w:space="0"/>
              <w:right w:val="single" w:color="auto" w:sz="4" w:space="0"/>
            </w:tcBorders>
            <w:noWrap w:val="0"/>
            <w:vAlign w:val="center"/>
          </w:tcPr>
          <w:p w14:paraId="096A23D9">
            <w:pPr>
              <w:pStyle w:val="16"/>
              <w:keepNext w:val="0"/>
              <w:keepLines w:val="0"/>
              <w:suppressLineNumbers w:val="0"/>
              <w:snapToGrid w:val="0"/>
              <w:spacing w:before="0" w:beforeAutospacing="0" w:after="0" w:afterAutospacing="0" w:line="240" w:lineRule="auto"/>
              <w:ind w:left="0" w:right="0"/>
              <w:jc w:val="center"/>
              <w:rPr>
                <w:rFonts w:hint="eastAsia" w:hAnsi="宋体" w:cs="宋体"/>
                <w:b w:val="0"/>
                <w:bCs w:val="0"/>
                <w:color w:val="auto"/>
                <w:sz w:val="21"/>
                <w:szCs w:val="21"/>
                <w:highlight w:val="none"/>
                <w:lang w:val="en-US" w:eastAsia="zh-CN" w:bidi="ar"/>
              </w:rPr>
            </w:pPr>
          </w:p>
        </w:tc>
        <w:tc>
          <w:tcPr>
            <w:tcW w:w="925" w:type="dxa"/>
            <w:vMerge w:val="continue"/>
            <w:tcBorders>
              <w:left w:val="single" w:color="auto" w:sz="4" w:space="0"/>
              <w:right w:val="single" w:color="auto" w:sz="4" w:space="0"/>
            </w:tcBorders>
            <w:noWrap w:val="0"/>
            <w:vAlign w:val="center"/>
          </w:tcPr>
          <w:p w14:paraId="780A619E">
            <w:pPr>
              <w:pStyle w:val="16"/>
              <w:keepNext w:val="0"/>
              <w:keepLines w:val="0"/>
              <w:suppressLineNumbers w:val="0"/>
              <w:snapToGrid w:val="0"/>
              <w:spacing w:before="0" w:beforeAutospacing="0" w:after="0" w:afterAutospacing="0" w:line="240" w:lineRule="auto"/>
              <w:ind w:left="0" w:right="0"/>
              <w:jc w:val="center"/>
              <w:rPr>
                <w:rFonts w:hint="eastAsia" w:hAnsi="宋体" w:cs="宋体"/>
                <w:b w:val="0"/>
                <w:bCs w:val="0"/>
                <w:color w:val="auto"/>
                <w:sz w:val="21"/>
                <w:szCs w:val="21"/>
                <w:lang w:val="en-US" w:eastAsia="zh-CN" w:bidi="ar"/>
              </w:rPr>
            </w:pPr>
          </w:p>
        </w:tc>
        <w:tc>
          <w:tcPr>
            <w:tcW w:w="966" w:type="dxa"/>
            <w:tcBorders>
              <w:left w:val="single" w:color="auto" w:sz="4" w:space="0"/>
              <w:right w:val="single" w:color="auto" w:sz="4" w:space="0"/>
            </w:tcBorders>
            <w:noWrap w:val="0"/>
            <w:vAlign w:val="center"/>
          </w:tcPr>
          <w:p w14:paraId="28E9CA58">
            <w:pPr>
              <w:pStyle w:val="16"/>
              <w:keepNext w:val="0"/>
              <w:keepLines w:val="0"/>
              <w:suppressLineNumbers w:val="0"/>
              <w:snapToGrid w:val="0"/>
              <w:spacing w:before="0" w:beforeAutospacing="0" w:after="0" w:afterAutospacing="0" w:line="240" w:lineRule="auto"/>
              <w:ind w:left="0" w:right="0"/>
              <w:jc w:val="center"/>
              <w:rPr>
                <w:rFonts w:hint="default" w:hAnsi="宋体" w:cs="宋体"/>
                <w:b w:val="0"/>
                <w:bCs w:val="0"/>
                <w:color w:val="auto"/>
                <w:sz w:val="21"/>
                <w:szCs w:val="21"/>
                <w:lang w:val="en-US" w:eastAsia="zh-CN" w:bidi="ar"/>
              </w:rPr>
            </w:pPr>
            <w:r>
              <w:rPr>
                <w:rFonts w:hint="eastAsia" w:hAnsi="宋体" w:cs="宋体"/>
                <w:b w:val="0"/>
                <w:bCs w:val="0"/>
                <w:color w:val="auto"/>
                <w:sz w:val="21"/>
                <w:szCs w:val="21"/>
                <w:lang w:val="en-US" w:eastAsia="zh-CN" w:bidi="ar"/>
              </w:rPr>
              <w:t>7、开业筹备方案</w:t>
            </w:r>
          </w:p>
        </w:tc>
        <w:tc>
          <w:tcPr>
            <w:tcW w:w="58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A831AE">
            <w:pPr>
              <w:pStyle w:val="13"/>
              <w:keepNext w:val="0"/>
              <w:keepLines w:val="0"/>
              <w:pageBreakBefore w:val="0"/>
              <w:widowControl w:val="0"/>
              <w:suppressLineNumbers w:val="0"/>
              <w:shd w:val="clear" w:color="auto" w:fill="auto"/>
              <w:kinsoku/>
              <w:wordWrap w:val="0"/>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针对性</w:t>
            </w:r>
            <w:r>
              <w:rPr>
                <w:rFonts w:hint="eastAsia" w:ascii="宋体" w:hAnsi="宋体" w:cs="宋体"/>
                <w:color w:val="auto"/>
                <w:sz w:val="21"/>
                <w:szCs w:val="21"/>
                <w:highlight w:val="none"/>
                <w:lang w:val="en-US" w:eastAsia="zh-CN"/>
              </w:rPr>
              <w:t>地</w:t>
            </w:r>
            <w:r>
              <w:rPr>
                <w:rFonts w:hint="default" w:ascii="宋体" w:hAnsi="宋体" w:cs="宋体"/>
                <w:color w:val="auto"/>
                <w:sz w:val="21"/>
                <w:szCs w:val="21"/>
                <w:highlight w:val="none"/>
                <w:lang w:val="en-US" w:eastAsia="zh-CN"/>
              </w:rPr>
              <w:t>提出项目开业前倒排计划方案，提供内容包含开业前各项节点工作、工作内容、启动和完成时间，根据计划方案进行综合评分。</w:t>
            </w:r>
          </w:p>
          <w:p w14:paraId="23F87EDD">
            <w:pPr>
              <w:pStyle w:val="13"/>
              <w:keepNext w:val="0"/>
              <w:keepLines w:val="0"/>
              <w:pageBreakBefore w:val="0"/>
              <w:widowControl w:val="0"/>
              <w:suppressLineNumbers w:val="0"/>
              <w:shd w:val="clear" w:color="auto" w:fill="auto"/>
              <w:kinsoku/>
              <w:wordWrap w:val="0"/>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color w:val="auto"/>
                <w:lang w:val="en-US" w:eastAsia="zh-CN"/>
              </w:rPr>
            </w:pPr>
            <w:r>
              <w:rPr>
                <w:rFonts w:hint="default" w:ascii="宋体" w:hAnsi="宋体" w:cs="宋体"/>
                <w:color w:val="auto"/>
                <w:sz w:val="21"/>
                <w:szCs w:val="21"/>
                <w:highlight w:val="none"/>
                <w:lang w:val="en-US" w:eastAsia="zh-CN"/>
              </w:rPr>
              <w:t>评分范围：5、4、3、2、1、0</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614680CC">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0-5分</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70E32FF5">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57FD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675" w:type="dxa"/>
            <w:vMerge w:val="continue"/>
            <w:tcBorders>
              <w:left w:val="single" w:color="auto" w:sz="4" w:space="0"/>
              <w:right w:val="single" w:color="auto" w:sz="4" w:space="0"/>
            </w:tcBorders>
            <w:noWrap w:val="0"/>
            <w:vAlign w:val="center"/>
          </w:tcPr>
          <w:p w14:paraId="4A109FAA">
            <w:pPr>
              <w:pStyle w:val="16"/>
              <w:keepNext w:val="0"/>
              <w:keepLines w:val="0"/>
              <w:suppressLineNumbers w:val="0"/>
              <w:snapToGrid w:val="0"/>
              <w:spacing w:before="0" w:beforeAutospacing="0" w:after="0" w:afterAutospacing="0" w:line="240" w:lineRule="auto"/>
              <w:ind w:left="0" w:right="0"/>
              <w:jc w:val="center"/>
              <w:rPr>
                <w:rFonts w:hint="eastAsia" w:hAnsi="宋体" w:cs="宋体"/>
                <w:b w:val="0"/>
                <w:bCs w:val="0"/>
                <w:color w:val="auto"/>
                <w:sz w:val="21"/>
                <w:szCs w:val="21"/>
                <w:highlight w:val="none"/>
                <w:lang w:val="en-US" w:eastAsia="zh-CN" w:bidi="ar"/>
              </w:rPr>
            </w:pPr>
          </w:p>
        </w:tc>
        <w:tc>
          <w:tcPr>
            <w:tcW w:w="925" w:type="dxa"/>
            <w:vMerge w:val="continue"/>
            <w:tcBorders>
              <w:left w:val="single" w:color="auto" w:sz="4" w:space="0"/>
              <w:right w:val="single" w:color="auto" w:sz="4" w:space="0"/>
            </w:tcBorders>
            <w:noWrap w:val="0"/>
            <w:vAlign w:val="center"/>
          </w:tcPr>
          <w:p w14:paraId="62B3C097">
            <w:pPr>
              <w:pStyle w:val="16"/>
              <w:keepNext w:val="0"/>
              <w:keepLines w:val="0"/>
              <w:suppressLineNumbers w:val="0"/>
              <w:snapToGrid w:val="0"/>
              <w:spacing w:before="0" w:beforeAutospacing="0" w:after="0" w:afterAutospacing="0" w:line="240" w:lineRule="auto"/>
              <w:ind w:left="0" w:right="0"/>
              <w:jc w:val="center"/>
              <w:rPr>
                <w:rFonts w:hint="eastAsia" w:hAnsi="宋体" w:cs="宋体"/>
                <w:b w:val="0"/>
                <w:bCs w:val="0"/>
                <w:color w:val="auto"/>
                <w:sz w:val="21"/>
                <w:szCs w:val="21"/>
                <w:lang w:val="en-US" w:eastAsia="zh-CN" w:bidi="ar"/>
              </w:rPr>
            </w:pPr>
          </w:p>
        </w:tc>
        <w:tc>
          <w:tcPr>
            <w:tcW w:w="966" w:type="dxa"/>
            <w:tcBorders>
              <w:left w:val="single" w:color="auto" w:sz="4" w:space="0"/>
              <w:right w:val="single" w:color="auto" w:sz="4" w:space="0"/>
            </w:tcBorders>
            <w:noWrap w:val="0"/>
            <w:vAlign w:val="center"/>
          </w:tcPr>
          <w:p w14:paraId="55D73A21">
            <w:pPr>
              <w:pStyle w:val="16"/>
              <w:keepNext w:val="0"/>
              <w:keepLines w:val="0"/>
              <w:suppressLineNumbers w:val="0"/>
              <w:snapToGrid w:val="0"/>
              <w:spacing w:before="0" w:beforeAutospacing="0" w:after="0" w:afterAutospacing="0" w:line="240" w:lineRule="auto"/>
              <w:ind w:left="0" w:right="0"/>
              <w:jc w:val="center"/>
              <w:rPr>
                <w:rFonts w:hint="default" w:hAnsi="宋体" w:cs="宋体"/>
                <w:b w:val="0"/>
                <w:bCs w:val="0"/>
                <w:color w:val="auto"/>
                <w:sz w:val="21"/>
                <w:szCs w:val="21"/>
                <w:lang w:val="en-US" w:eastAsia="zh-CN" w:bidi="ar"/>
              </w:rPr>
            </w:pPr>
            <w:r>
              <w:rPr>
                <w:rFonts w:hint="eastAsia" w:hAnsi="宋体" w:cs="宋体"/>
                <w:b w:val="0"/>
                <w:bCs w:val="0"/>
                <w:color w:val="auto"/>
                <w:sz w:val="21"/>
                <w:szCs w:val="21"/>
                <w:lang w:val="en-US" w:eastAsia="zh-CN" w:bidi="ar"/>
              </w:rPr>
              <w:t>8、运营方案</w:t>
            </w:r>
          </w:p>
        </w:tc>
        <w:tc>
          <w:tcPr>
            <w:tcW w:w="5834" w:type="dxa"/>
            <w:tcBorders>
              <w:top w:val="single" w:color="auto" w:sz="4" w:space="0"/>
              <w:left w:val="single" w:color="auto" w:sz="4" w:space="0"/>
              <w:right w:val="single" w:color="auto" w:sz="4" w:space="0"/>
            </w:tcBorders>
            <w:shd w:val="clear" w:color="auto" w:fill="auto"/>
            <w:noWrap w:val="0"/>
            <w:vAlign w:val="center"/>
          </w:tcPr>
          <w:p w14:paraId="469FA5FD">
            <w:pPr>
              <w:pStyle w:val="13"/>
              <w:keepNext w:val="0"/>
              <w:keepLines w:val="0"/>
              <w:pageBreakBefore w:val="0"/>
              <w:widowControl w:val="0"/>
              <w:suppressLineNumbers w:val="0"/>
              <w:shd w:val="clear" w:color="auto" w:fill="auto"/>
              <w:kinsoku/>
              <w:wordWrap w:val="0"/>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针对性</w:t>
            </w:r>
            <w:r>
              <w:rPr>
                <w:rFonts w:hint="eastAsia" w:ascii="宋体" w:hAnsi="宋体" w:cs="宋体"/>
                <w:color w:val="auto"/>
                <w:sz w:val="21"/>
                <w:szCs w:val="21"/>
                <w:highlight w:val="none"/>
                <w:lang w:val="en-US" w:eastAsia="zh-CN"/>
              </w:rPr>
              <w:t>地</w:t>
            </w:r>
            <w:r>
              <w:rPr>
                <w:rFonts w:hint="default" w:ascii="宋体" w:hAnsi="宋体" w:cs="宋体"/>
                <w:color w:val="auto"/>
                <w:sz w:val="21"/>
                <w:szCs w:val="21"/>
                <w:highlight w:val="none"/>
                <w:lang w:val="en-US" w:eastAsia="zh-CN"/>
              </w:rPr>
              <w:t>提出项目运营方案，包括不限于对企划推广措施、美陈建议、运营保障措施等方面，阐述项目运营目标等进行综合评分</w:t>
            </w:r>
            <w:r>
              <w:rPr>
                <w:rFonts w:hint="eastAsia" w:ascii="宋体" w:hAnsi="宋体" w:cs="宋体"/>
                <w:color w:val="auto"/>
                <w:sz w:val="21"/>
                <w:szCs w:val="21"/>
                <w:highlight w:val="none"/>
                <w:lang w:val="en-US" w:eastAsia="zh-CN"/>
              </w:rPr>
              <w:t>。</w:t>
            </w:r>
          </w:p>
          <w:p w14:paraId="36ECE1AB">
            <w:pPr>
              <w:pStyle w:val="13"/>
              <w:keepNext w:val="0"/>
              <w:keepLines w:val="0"/>
              <w:pageBreakBefore w:val="0"/>
              <w:widowControl w:val="0"/>
              <w:suppressLineNumbers w:val="0"/>
              <w:shd w:val="clear" w:color="auto" w:fill="auto"/>
              <w:kinsoku/>
              <w:wordWrap w:val="0"/>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b w:val="0"/>
                <w:bCs w:val="0"/>
                <w:color w:val="auto"/>
                <w:sz w:val="21"/>
                <w:szCs w:val="21"/>
                <w:lang w:val="en-US" w:eastAsia="zh-CN"/>
              </w:rPr>
            </w:pPr>
            <w:r>
              <w:rPr>
                <w:rFonts w:hint="default" w:ascii="宋体" w:hAnsi="宋体" w:cs="宋体"/>
                <w:color w:val="auto"/>
                <w:sz w:val="21"/>
                <w:szCs w:val="21"/>
                <w:highlight w:val="none"/>
                <w:lang w:val="en-US" w:eastAsia="zh-CN"/>
              </w:rPr>
              <w:t>评分范围：</w:t>
            </w:r>
            <w:r>
              <w:rPr>
                <w:rFonts w:hint="eastAsia" w:ascii="宋体" w:hAnsi="宋体" w:cs="宋体"/>
                <w:color w:val="auto"/>
                <w:sz w:val="21"/>
                <w:szCs w:val="21"/>
                <w:highlight w:val="none"/>
                <w:lang w:val="en-US" w:eastAsia="zh-CN"/>
              </w:rPr>
              <w:t>10、8、6、4、2、0</w:t>
            </w:r>
          </w:p>
        </w:tc>
        <w:tc>
          <w:tcPr>
            <w:tcW w:w="909" w:type="dxa"/>
            <w:tcBorders>
              <w:top w:val="single" w:color="auto" w:sz="4" w:space="0"/>
              <w:left w:val="single" w:color="auto" w:sz="4" w:space="0"/>
              <w:right w:val="single" w:color="auto" w:sz="4" w:space="0"/>
            </w:tcBorders>
            <w:noWrap w:val="0"/>
            <w:vAlign w:val="center"/>
          </w:tcPr>
          <w:p w14:paraId="06641444">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0-10分</w:t>
            </w:r>
          </w:p>
        </w:tc>
        <w:tc>
          <w:tcPr>
            <w:tcW w:w="1075" w:type="dxa"/>
            <w:tcBorders>
              <w:top w:val="single" w:color="auto" w:sz="4" w:space="0"/>
              <w:left w:val="single" w:color="auto" w:sz="4" w:space="0"/>
              <w:right w:val="single" w:color="auto" w:sz="4" w:space="0"/>
            </w:tcBorders>
            <w:noWrap w:val="0"/>
            <w:vAlign w:val="center"/>
          </w:tcPr>
          <w:p w14:paraId="3AC0A11D">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bl>
    <w:p w14:paraId="323B6E04">
      <w:pPr>
        <w:pStyle w:val="17"/>
        <w:rPr>
          <w:rFonts w:hint="eastAsia" w:ascii="宋体" w:hAnsi="宋体" w:eastAsia="宋体" w:cs="宋体"/>
          <w:color w:val="auto"/>
          <w:highlight w:val="none"/>
        </w:rPr>
      </w:pPr>
    </w:p>
    <w:p w14:paraId="09D665CD">
      <w:pPr>
        <w:pStyle w:val="16"/>
        <w:shd w:val="clear" w:color="auto" w:fill="auto"/>
        <w:wordWrap w:val="0"/>
        <w:adjustRightInd w:val="0"/>
        <w:snapToGrid w:val="0"/>
        <w:spacing w:line="360" w:lineRule="auto"/>
        <w:outlineLvl w:val="1"/>
        <w:rPr>
          <w:rFonts w:hint="eastAsia" w:ascii="宋体" w:hAnsi="宋体" w:eastAsia="宋体" w:cs="宋体"/>
          <w:color w:val="auto"/>
          <w:sz w:val="22"/>
          <w:szCs w:val="22"/>
          <w:highlight w:val="none"/>
        </w:rPr>
      </w:pPr>
      <w:bookmarkStart w:id="107" w:name="_Toc16891"/>
      <w:bookmarkStart w:id="108" w:name="_Toc31681"/>
      <w:bookmarkStart w:id="109" w:name="_Toc22569"/>
      <w:r>
        <w:rPr>
          <w:rFonts w:hint="eastAsia" w:ascii="宋体" w:hAnsi="宋体" w:eastAsia="宋体" w:cs="宋体"/>
          <w:color w:val="auto"/>
          <w:sz w:val="22"/>
          <w:szCs w:val="22"/>
          <w:highlight w:val="none"/>
        </w:rPr>
        <w:t>三、说明</w:t>
      </w:r>
      <w:bookmarkEnd w:id="107"/>
      <w:bookmarkEnd w:id="108"/>
      <w:bookmarkEnd w:id="109"/>
    </w:p>
    <w:p w14:paraId="424011D4">
      <w:pPr>
        <w:pStyle w:val="19"/>
        <w:widowControl w:val="0"/>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1、每个供应商最终得分=商务、技术部分分值（所有评标委员会成员的算术平均值）＋报价部分分值。</w:t>
      </w:r>
    </w:p>
    <w:p w14:paraId="440E0500">
      <w:pPr>
        <w:pStyle w:val="19"/>
        <w:widowControl w:val="0"/>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2、所有分值计算保留小数点后两位，小数点</w:t>
      </w:r>
      <w:r>
        <w:rPr>
          <w:rFonts w:hint="eastAsia" w:hAnsi="宋体" w:cs="宋体"/>
          <w:color w:val="auto"/>
          <w:sz w:val="22"/>
          <w:szCs w:val="22"/>
          <w:highlight w:val="none"/>
          <w:lang w:val="en-US" w:eastAsia="zh-CN"/>
        </w:rPr>
        <w:t>第</w:t>
      </w:r>
      <w:r>
        <w:rPr>
          <w:rFonts w:hint="eastAsia" w:ascii="宋体" w:hAnsi="宋体" w:eastAsia="宋体" w:cs="宋体"/>
          <w:color w:val="auto"/>
          <w:sz w:val="22"/>
          <w:szCs w:val="22"/>
          <w:highlight w:val="none"/>
        </w:rPr>
        <w:t>三位四舍五入。</w:t>
      </w:r>
    </w:p>
    <w:p w14:paraId="1BD9BAB1">
      <w:pPr>
        <w:pStyle w:val="58"/>
        <w:widowControl w:val="0"/>
        <w:shd w:val="clear" w:color="auto" w:fill="auto"/>
        <w:wordWrap w:val="0"/>
        <w:snapToGrid w:val="0"/>
        <w:spacing w:line="360" w:lineRule="auto"/>
        <w:jc w:val="center"/>
        <w:outlineLvl w:val="0"/>
        <w:rPr>
          <w:rFonts w:hint="eastAsia" w:ascii="宋体" w:hAnsi="宋体" w:eastAsia="宋体" w:cs="宋体"/>
          <w:b/>
          <w:bCs/>
          <w:color w:val="auto"/>
          <w:sz w:val="32"/>
          <w:szCs w:val="32"/>
          <w:highlight w:val="none"/>
        </w:rPr>
      </w:pPr>
      <w:bookmarkStart w:id="110" w:name="_Toc23666"/>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国企采购活动现场确认声明书</w:t>
      </w:r>
      <w:bookmarkEnd w:id="110"/>
    </w:p>
    <w:p w14:paraId="6B6E88B3">
      <w:pPr>
        <w:pStyle w:val="58"/>
        <w:widowControl w:val="0"/>
        <w:shd w:val="clear" w:color="auto" w:fill="auto"/>
        <w:wordWrap w:val="0"/>
        <w:snapToGrid w:val="0"/>
        <w:spacing w:line="360" w:lineRule="auto"/>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u w:val="single"/>
          <w:lang w:val="en-US" w:eastAsia="zh-CN"/>
        </w:rPr>
        <w:t>浙江之信工程项目管理有限公司</w:t>
      </w:r>
      <w:r>
        <w:rPr>
          <w:rFonts w:hint="eastAsia" w:ascii="宋体" w:hAnsi="宋体" w:eastAsia="宋体" w:cs="宋体"/>
          <w:color w:val="auto"/>
          <w:kern w:val="0"/>
          <w:sz w:val="22"/>
          <w:szCs w:val="22"/>
          <w:highlight w:val="none"/>
          <w:u w:val="single"/>
        </w:rPr>
        <w:t>（采购组织机构名称）</w:t>
      </w:r>
      <w:r>
        <w:rPr>
          <w:rFonts w:hint="eastAsia" w:hAnsi="宋体" w:eastAsia="宋体" w:cs="宋体"/>
          <w:color w:val="auto"/>
          <w:kern w:val="0"/>
          <w:sz w:val="22"/>
          <w:szCs w:val="22"/>
          <w:highlight w:val="none"/>
          <w:lang w:eastAsia="zh-CN"/>
        </w:rPr>
        <w:t>：</w:t>
      </w:r>
    </w:p>
    <w:p w14:paraId="439179EC">
      <w:pPr>
        <w:pStyle w:val="58"/>
        <w:widowControl w:val="0"/>
        <w:shd w:val="clear" w:color="auto" w:fill="auto"/>
        <w:wordWrap w:val="0"/>
        <w:snapToGrid w:val="0"/>
        <w:spacing w:line="360" w:lineRule="auto"/>
        <w:ind w:firstLine="464" w:firstLineChars="200"/>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u w:val="single"/>
        </w:rPr>
        <w:t>本人经由                            （单位）负责人      （姓名）合法授权参加</w:t>
      </w:r>
      <w:r>
        <w:rPr>
          <w:rFonts w:hint="eastAsia" w:ascii="宋体" w:hAnsi="宋体" w:eastAsia="宋体" w:cs="宋体"/>
          <w:color w:val="auto"/>
          <w:spacing w:val="6"/>
          <w:sz w:val="22"/>
          <w:szCs w:val="22"/>
          <w:highlight w:val="none"/>
          <w:u w:val="single"/>
          <w:lang w:eastAsia="zh-CN"/>
        </w:rPr>
        <w:t>地块商业综合体项目商业部分招商运营服务项目</w:t>
      </w:r>
      <w:r>
        <w:rPr>
          <w:rFonts w:hint="eastAsia" w:ascii="宋体" w:hAnsi="宋体" w:eastAsia="宋体" w:cs="宋体"/>
          <w:color w:val="auto"/>
          <w:spacing w:val="6"/>
          <w:sz w:val="22"/>
          <w:szCs w:val="22"/>
          <w:highlight w:val="none"/>
          <w:u w:val="single"/>
        </w:rPr>
        <w:t>（采购编号</w:t>
      </w:r>
      <w:r>
        <w:rPr>
          <w:rFonts w:hint="eastAsia" w:hAnsi="宋体" w:eastAsia="宋体" w:cs="宋体"/>
          <w:color w:val="auto"/>
          <w:spacing w:val="6"/>
          <w:sz w:val="22"/>
          <w:szCs w:val="22"/>
          <w:highlight w:val="none"/>
          <w:u w:val="single"/>
          <w:lang w:eastAsia="zh-CN"/>
        </w:rPr>
        <w:t>：</w:t>
      </w:r>
      <w:r>
        <w:rPr>
          <w:rFonts w:hint="eastAsia" w:hAnsi="宋体" w:cs="宋体"/>
          <w:color w:val="auto"/>
          <w:spacing w:val="6"/>
          <w:sz w:val="22"/>
          <w:szCs w:val="22"/>
          <w:highlight w:val="none"/>
          <w:u w:val="single"/>
          <w:lang w:eastAsia="zh-CN"/>
        </w:rPr>
        <w:t>PYCG251021117</w:t>
      </w:r>
      <w:r>
        <w:rPr>
          <w:rFonts w:hint="eastAsia" w:hAnsi="宋体" w:cs="宋体"/>
          <w:color w:val="auto"/>
          <w:spacing w:val="6"/>
          <w:sz w:val="22"/>
          <w:szCs w:val="22"/>
          <w:highlight w:val="none"/>
          <w:u w:val="single"/>
          <w:lang w:val="en-US" w:eastAsia="zh-CN"/>
        </w:rPr>
        <w:t xml:space="preserve">    </w:t>
      </w:r>
      <w:r>
        <w:rPr>
          <w:rFonts w:hint="eastAsia" w:ascii="宋体" w:hAnsi="宋体" w:eastAsia="宋体" w:cs="宋体"/>
          <w:color w:val="auto"/>
          <w:spacing w:val="6"/>
          <w:sz w:val="22"/>
          <w:szCs w:val="22"/>
          <w:highlight w:val="none"/>
          <w:u w:val="single"/>
        </w:rPr>
        <w:t>）</w:t>
      </w:r>
      <w:r>
        <w:rPr>
          <w:rFonts w:hint="eastAsia" w:ascii="宋体" w:hAnsi="宋体" w:eastAsia="宋体" w:cs="宋体"/>
          <w:color w:val="auto"/>
          <w:spacing w:val="6"/>
          <w:sz w:val="22"/>
          <w:szCs w:val="22"/>
          <w:highlight w:val="none"/>
        </w:rPr>
        <w:t>国企采购活动，经与本单位法人代表（负责人）联系确认，现就有关公平竞争事项郑重声明如下</w:t>
      </w:r>
      <w:r>
        <w:rPr>
          <w:rFonts w:hint="eastAsia" w:hAnsi="宋体" w:eastAsia="宋体" w:cs="宋体"/>
          <w:color w:val="auto"/>
          <w:spacing w:val="6"/>
          <w:sz w:val="22"/>
          <w:szCs w:val="22"/>
          <w:highlight w:val="none"/>
          <w:lang w:eastAsia="zh-CN"/>
        </w:rPr>
        <w:t>：</w:t>
      </w:r>
      <w:r>
        <w:rPr>
          <w:rFonts w:hint="eastAsia" w:ascii="宋体" w:hAnsi="宋体" w:eastAsia="宋体" w:cs="宋体"/>
          <w:color w:val="auto"/>
          <w:spacing w:val="6"/>
          <w:sz w:val="22"/>
          <w:szCs w:val="22"/>
          <w:highlight w:val="none"/>
        </w:rPr>
        <w:t xml:space="preserve"> </w:t>
      </w:r>
    </w:p>
    <w:p w14:paraId="6704E2B0">
      <w:pPr>
        <w:pStyle w:val="66"/>
        <w:widowControl/>
        <w:numPr>
          <w:ilvl w:val="0"/>
          <w:numId w:val="0"/>
        </w:numPr>
        <w:shd w:val="clear" w:color="auto" w:fill="auto"/>
        <w:wordWrap w:val="0"/>
        <w:snapToGrid w:val="0"/>
        <w:spacing w:line="360" w:lineRule="auto"/>
        <w:ind w:firstLine="440" w:firstLineChars="200"/>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一、</w:t>
      </w:r>
      <w:r>
        <w:rPr>
          <w:rFonts w:hint="eastAsia" w:ascii="宋体" w:hAnsi="宋体" w:eastAsia="宋体" w:cs="宋体"/>
          <w:color w:val="auto"/>
          <w:kern w:val="0"/>
          <w:sz w:val="22"/>
          <w:szCs w:val="22"/>
          <w:highlight w:val="none"/>
        </w:rPr>
        <w:t xml:space="preserve">本单位与采购人之间 </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不存在利害关系 □存在下列利害关系</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lang w:eastAsia="zh-CN"/>
        </w:rPr>
        <w:t>：</w:t>
      </w:r>
    </w:p>
    <w:p w14:paraId="2E57A0A7">
      <w:pPr>
        <w:pStyle w:val="66"/>
        <w:widowControl/>
        <w:numPr>
          <w:ilvl w:val="0"/>
          <w:numId w:val="0"/>
        </w:numPr>
        <w:shd w:val="clear" w:color="auto" w:fill="auto"/>
        <w:wordWrap w:val="0"/>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A.投资关系    B.行政隶属关系    C.业务指导关系</w:t>
      </w:r>
    </w:p>
    <w:p w14:paraId="2778838D">
      <w:pPr>
        <w:pStyle w:val="66"/>
        <w:widowControl/>
        <w:shd w:val="clear" w:color="auto" w:fill="auto"/>
        <w:wordWrap w:val="0"/>
        <w:snapToGrid w:val="0"/>
        <w:spacing w:line="360" w:lineRule="auto"/>
        <w:ind w:left="0" w:leftChars="0"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D.其他可能</w:t>
      </w:r>
      <w:r>
        <w:rPr>
          <w:rFonts w:hint="eastAsia" w:ascii="宋体" w:hAnsi="宋体" w:eastAsia="宋体" w:cs="宋体"/>
          <w:color w:val="auto"/>
          <w:sz w:val="22"/>
          <w:szCs w:val="22"/>
          <w:highlight w:val="none"/>
        </w:rPr>
        <w:t>影响采购公正的</w:t>
      </w:r>
      <w:r>
        <w:rPr>
          <w:rFonts w:hint="eastAsia" w:ascii="宋体" w:hAnsi="宋体" w:eastAsia="宋体" w:cs="宋体"/>
          <w:color w:val="auto"/>
          <w:kern w:val="0"/>
          <w:sz w:val="22"/>
          <w:szCs w:val="22"/>
          <w:highlight w:val="none"/>
        </w:rPr>
        <w:t>利害关系</w:t>
      </w:r>
      <w:r>
        <w:rPr>
          <w:rFonts w:hint="eastAsia" w:ascii="宋体" w:hAnsi="宋体" w:eastAsia="宋体" w:cs="宋体"/>
          <w:color w:val="auto"/>
          <w:kern w:val="0"/>
          <w:sz w:val="22"/>
          <w:szCs w:val="22"/>
          <w:highlight w:val="none"/>
          <w:u w:val="single"/>
        </w:rPr>
        <w:t xml:space="preserve">（如有，请如实说明）                 </w:t>
      </w:r>
      <w:r>
        <w:rPr>
          <w:rFonts w:hint="eastAsia" w:ascii="宋体" w:hAnsi="宋体" w:eastAsia="宋体" w:cs="宋体"/>
          <w:color w:val="auto"/>
          <w:kern w:val="0"/>
          <w:sz w:val="22"/>
          <w:szCs w:val="22"/>
          <w:highlight w:val="none"/>
        </w:rPr>
        <w:t>。</w:t>
      </w:r>
    </w:p>
    <w:p w14:paraId="33A04575">
      <w:pPr>
        <w:pStyle w:val="66"/>
        <w:widowControl/>
        <w:shd w:val="clear" w:color="auto" w:fill="auto"/>
        <w:wordWrap w:val="0"/>
        <w:snapToGrid w:val="0"/>
        <w:spacing w:line="360" w:lineRule="auto"/>
        <w:ind w:left="0" w:leftChars="0" w:firstLine="464" w:firstLineChars="20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spacing w:val="6"/>
          <w:sz w:val="22"/>
          <w:szCs w:val="22"/>
          <w:highlight w:val="none"/>
        </w:rPr>
        <w:t>二、</w:t>
      </w:r>
      <w:r>
        <w:rPr>
          <w:rFonts w:hint="eastAsia" w:ascii="宋体" w:hAnsi="宋体" w:eastAsia="宋体" w:cs="宋体"/>
          <w:color w:val="auto"/>
          <w:kern w:val="0"/>
          <w:sz w:val="22"/>
          <w:szCs w:val="22"/>
          <w:highlight w:val="none"/>
        </w:rPr>
        <w:t xml:space="preserve">现已清楚知道参加本项目采购活动的其他所有供应商名称，本单位 </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与其他所有供应商之间均不存在利害关系 □与</w:t>
      </w:r>
      <w:r>
        <w:rPr>
          <w:rFonts w:hint="eastAsia" w:ascii="宋体" w:hAnsi="宋体" w:eastAsia="宋体" w:cs="宋体"/>
          <w:color w:val="auto"/>
          <w:kern w:val="0"/>
          <w:sz w:val="22"/>
          <w:szCs w:val="22"/>
          <w:highlight w:val="none"/>
          <w:u w:val="single"/>
        </w:rPr>
        <w:t xml:space="preserve">           （供应商名称）</w:t>
      </w:r>
      <w:r>
        <w:rPr>
          <w:rFonts w:hint="eastAsia" w:ascii="宋体" w:hAnsi="宋体" w:eastAsia="宋体" w:cs="宋体"/>
          <w:color w:val="auto"/>
          <w:kern w:val="0"/>
          <w:sz w:val="22"/>
          <w:szCs w:val="22"/>
          <w:highlight w:val="none"/>
        </w:rPr>
        <w:t>之间存在下列利害关系</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lang w:eastAsia="zh-CN"/>
        </w:rPr>
        <w:t>：</w:t>
      </w:r>
    </w:p>
    <w:p w14:paraId="05870583">
      <w:pPr>
        <w:pStyle w:val="66"/>
        <w:widowControl/>
        <w:numPr>
          <w:ilvl w:val="0"/>
          <w:numId w:val="0"/>
        </w:numPr>
        <w:shd w:val="clear" w:color="auto" w:fill="auto"/>
        <w:wordWrap w:val="0"/>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A.法定代表人或负责人或实际控制人是同一人</w:t>
      </w:r>
    </w:p>
    <w:p w14:paraId="56AFFAF3">
      <w:pPr>
        <w:pStyle w:val="66"/>
        <w:widowControl/>
        <w:numPr>
          <w:ilvl w:val="0"/>
          <w:numId w:val="0"/>
        </w:numPr>
        <w:shd w:val="clear" w:color="auto" w:fill="auto"/>
        <w:wordWrap w:val="0"/>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B.法定代表人或负责人或实际控制人是夫妻关系</w:t>
      </w:r>
    </w:p>
    <w:p w14:paraId="24BA004D">
      <w:pPr>
        <w:pStyle w:val="66"/>
        <w:widowControl/>
        <w:numPr>
          <w:ilvl w:val="0"/>
          <w:numId w:val="0"/>
        </w:numPr>
        <w:shd w:val="clear" w:color="auto" w:fill="auto"/>
        <w:wordWrap w:val="0"/>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C.法定代表人或负责人或实际控制人是直系血亲关系</w:t>
      </w:r>
    </w:p>
    <w:p w14:paraId="10E2F1FA">
      <w:pPr>
        <w:pStyle w:val="66"/>
        <w:widowControl/>
        <w:numPr>
          <w:ilvl w:val="0"/>
          <w:numId w:val="0"/>
        </w:numPr>
        <w:shd w:val="clear" w:color="auto" w:fill="auto"/>
        <w:wordWrap w:val="0"/>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D.法定代表人或负责人或实际控制人存在三代以内旁系血亲关系</w:t>
      </w:r>
    </w:p>
    <w:p w14:paraId="55E12118">
      <w:pPr>
        <w:pStyle w:val="66"/>
        <w:widowControl/>
        <w:numPr>
          <w:ilvl w:val="0"/>
          <w:numId w:val="0"/>
        </w:numPr>
        <w:shd w:val="clear" w:color="auto" w:fill="auto"/>
        <w:wordWrap w:val="0"/>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E.法定代表人或负责人或实际控制人存在近姻亲关系</w:t>
      </w:r>
    </w:p>
    <w:p w14:paraId="62239ECD">
      <w:pPr>
        <w:pStyle w:val="66"/>
        <w:widowControl/>
        <w:numPr>
          <w:ilvl w:val="0"/>
          <w:numId w:val="0"/>
        </w:numPr>
        <w:shd w:val="clear" w:color="auto" w:fill="auto"/>
        <w:wordWrap w:val="0"/>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F.法定代表人或负责人或实际控制人存在股份控制或实际控制关系</w:t>
      </w:r>
    </w:p>
    <w:p w14:paraId="37F3715F">
      <w:pPr>
        <w:pStyle w:val="66"/>
        <w:widowControl/>
        <w:numPr>
          <w:ilvl w:val="0"/>
          <w:numId w:val="0"/>
        </w:numPr>
        <w:shd w:val="clear" w:color="auto" w:fill="auto"/>
        <w:wordWrap w:val="0"/>
        <w:snapToGrid w:val="0"/>
        <w:spacing w:line="360" w:lineRule="auto"/>
        <w:ind w:firstLine="440" w:firstLineChars="200"/>
        <w:rPr>
          <w:rFonts w:hint="eastAsia" w:ascii="宋体" w:hAnsi="宋体" w:eastAsia="宋体" w:cs="宋体"/>
          <w:color w:val="auto"/>
          <w:kern w:val="0"/>
          <w:sz w:val="22"/>
          <w:szCs w:val="22"/>
          <w:highlight w:val="none"/>
        </w:rPr>
      </w:pPr>
      <w:bookmarkStart w:id="111" w:name="_Toc8771"/>
      <w:bookmarkStart w:id="112" w:name="_Toc26778"/>
      <w:bookmarkStart w:id="113" w:name="_Toc8088"/>
      <w:r>
        <w:rPr>
          <w:rFonts w:hint="eastAsia" w:ascii="宋体" w:hAnsi="宋体" w:eastAsia="宋体" w:cs="宋体"/>
          <w:color w:val="auto"/>
          <w:kern w:val="0"/>
          <w:sz w:val="22"/>
          <w:szCs w:val="22"/>
          <w:highlight w:val="none"/>
        </w:rPr>
        <w:t>G.存在共同直接或间接投资设立子公司、联营企业和合营企业情况</w:t>
      </w:r>
      <w:bookmarkEnd w:id="111"/>
      <w:bookmarkEnd w:id="112"/>
      <w:bookmarkEnd w:id="113"/>
    </w:p>
    <w:p w14:paraId="2F2164CC">
      <w:pPr>
        <w:pStyle w:val="66"/>
        <w:widowControl/>
        <w:numPr>
          <w:ilvl w:val="0"/>
          <w:numId w:val="0"/>
        </w:numPr>
        <w:shd w:val="clear" w:color="auto" w:fill="auto"/>
        <w:wordWrap w:val="0"/>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H.存在分级代理或代销关系、同一生产制造商关系、管理关系、重要业务（占主营业务收入50%以上）或重要财务往来关系（如融资）等其他实质性控制关系</w:t>
      </w:r>
    </w:p>
    <w:p w14:paraId="7C13426E">
      <w:pPr>
        <w:pStyle w:val="58"/>
        <w:widowControl w:val="0"/>
        <w:shd w:val="clear" w:color="auto" w:fill="auto"/>
        <w:wordWrap w:val="0"/>
        <w:snapToGrid w:val="0"/>
        <w:spacing w:line="360" w:lineRule="auto"/>
        <w:jc w:val="both"/>
        <w:outlineLvl w:val="0"/>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 xml:space="preserve">    </w:t>
      </w:r>
      <w:bookmarkStart w:id="114" w:name="_Toc32152"/>
      <w:bookmarkStart w:id="115" w:name="_Toc6717"/>
      <w:bookmarkStart w:id="116" w:name="_Toc31554"/>
      <w:r>
        <w:rPr>
          <w:rFonts w:hint="eastAsia" w:ascii="宋体" w:hAnsi="宋体" w:eastAsia="宋体" w:cs="宋体"/>
          <w:color w:val="auto"/>
          <w:sz w:val="22"/>
          <w:szCs w:val="22"/>
          <w:highlight w:val="none"/>
        </w:rPr>
        <w:t>I</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其他利害关系情况</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kern w:val="0"/>
          <w:sz w:val="22"/>
          <w:szCs w:val="22"/>
          <w:highlight w:val="none"/>
        </w:rPr>
        <w:t>。</w:t>
      </w:r>
      <w:bookmarkEnd w:id="114"/>
      <w:bookmarkEnd w:id="115"/>
      <w:bookmarkEnd w:id="116"/>
    </w:p>
    <w:p w14:paraId="4F08C1D5">
      <w:pPr>
        <w:pStyle w:val="66"/>
        <w:widowControl/>
        <w:numPr>
          <w:ilvl w:val="0"/>
          <w:numId w:val="0"/>
        </w:numPr>
        <w:shd w:val="clear" w:color="auto" w:fill="auto"/>
        <w:wordWrap w:val="0"/>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rPr>
        <w:t>现已清楚知道并</w:t>
      </w:r>
      <w:r>
        <w:rPr>
          <w:rFonts w:hint="eastAsia" w:ascii="宋体" w:hAnsi="宋体" w:eastAsia="宋体" w:cs="宋体"/>
          <w:color w:val="auto"/>
          <w:kern w:val="0"/>
          <w:sz w:val="22"/>
          <w:szCs w:val="22"/>
          <w:highlight w:val="none"/>
        </w:rPr>
        <w:t>严格遵守国企采购法律法规和现场纪律。</w:t>
      </w:r>
    </w:p>
    <w:p w14:paraId="658FE9C6">
      <w:pPr>
        <w:pStyle w:val="66"/>
        <w:widowControl/>
        <w:numPr>
          <w:ilvl w:val="0"/>
          <w:numId w:val="0"/>
        </w:numPr>
        <w:shd w:val="clear" w:color="auto" w:fill="auto"/>
        <w:wordWrap w:val="0"/>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四、</w:t>
      </w:r>
      <w:r>
        <w:rPr>
          <w:rFonts w:hint="eastAsia" w:ascii="宋体" w:hAnsi="宋体" w:eastAsia="宋体" w:cs="宋体"/>
          <w:color w:val="auto"/>
          <w:kern w:val="0"/>
          <w:sz w:val="22"/>
          <w:szCs w:val="22"/>
          <w:highlight w:val="none"/>
        </w:rPr>
        <w:t>我发现</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供应商之间存在或可能存在上述第二条第</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项利害关系</w:t>
      </w:r>
    </w:p>
    <w:p w14:paraId="4EF54669">
      <w:pPr>
        <w:pStyle w:val="58"/>
        <w:widowControl w:val="0"/>
        <w:shd w:val="clear" w:color="auto" w:fill="auto"/>
        <w:wordWrap w:val="0"/>
        <w:snapToGrid w:val="0"/>
        <w:spacing w:line="360" w:lineRule="auto"/>
        <w:ind w:firstLine="5280" w:firstLineChars="24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（供应商代表签名）</w:t>
      </w:r>
    </w:p>
    <w:p w14:paraId="3F4B680B">
      <w:pPr>
        <w:pStyle w:val="58"/>
        <w:widowControl w:val="0"/>
        <w:shd w:val="clear" w:color="auto" w:fill="auto"/>
        <w:wordWrap w:val="0"/>
        <w:snapToGrid w:val="0"/>
        <w:spacing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年  月   日</w:t>
      </w:r>
    </w:p>
    <w:p w14:paraId="315BA2F2">
      <w:pPr>
        <w:shd w:val="clear" w:color="auto" w:fill="auto"/>
        <w:wordWrap w:val="0"/>
        <w:snapToGrid w:val="0"/>
        <w:spacing w:line="360" w:lineRule="auto"/>
        <w:ind w:firstLine="442" w:firstLineChars="200"/>
        <w:rPr>
          <w:rFonts w:hint="eastAsia" w:ascii="宋体" w:hAnsi="宋体" w:eastAsia="宋体" w:cs="宋体"/>
          <w:b/>
          <w:bCs/>
          <w:color w:val="auto"/>
          <w:sz w:val="22"/>
          <w:szCs w:val="22"/>
          <w:highlight w:val="none"/>
        </w:rPr>
      </w:pPr>
    </w:p>
    <w:p w14:paraId="60E2B3A7">
      <w:pPr>
        <w:shd w:val="clear" w:color="auto" w:fill="auto"/>
        <w:wordWrap w:val="0"/>
        <w:snapToGrid w:val="0"/>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注</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投标文件解密结束后，各投标供应商签署《国企采购活动现场确认声明书》，并在15分钟内以扫描件方式发送至代理机构邮箱</w:t>
      </w:r>
      <w:r>
        <w:rPr>
          <w:rFonts w:hint="eastAsia" w:ascii="宋体" w:hAnsi="宋体" w:eastAsia="宋体" w:cs="宋体"/>
          <w:b/>
          <w:bCs/>
          <w:color w:val="auto"/>
          <w:sz w:val="22"/>
          <w:szCs w:val="22"/>
          <w:highlight w:val="none"/>
          <w:lang w:eastAsia="zh-CN"/>
        </w:rPr>
        <w:t>：</w:t>
      </w:r>
      <w:r>
        <w:rPr>
          <w:rFonts w:hint="eastAsia" w:ascii="宋体" w:hAnsi="宋体" w:cs="宋体"/>
          <w:b/>
          <w:bCs/>
          <w:color w:val="auto"/>
          <w:sz w:val="22"/>
          <w:szCs w:val="22"/>
          <w:highlight w:val="none"/>
          <w:lang w:eastAsia="zh-CN"/>
        </w:rPr>
        <w:t>522893988</w:t>
      </w:r>
      <w:r>
        <w:rPr>
          <w:rFonts w:hint="eastAsia" w:ascii="宋体" w:hAnsi="宋体" w:eastAsia="宋体" w:cs="宋体"/>
          <w:b/>
          <w:bCs/>
          <w:color w:val="auto"/>
          <w:sz w:val="22"/>
          <w:szCs w:val="22"/>
          <w:highlight w:val="none"/>
          <w:lang w:eastAsia="zh-CN"/>
        </w:rPr>
        <w:t>@qq.com</w:t>
      </w:r>
      <w:r>
        <w:rPr>
          <w:rFonts w:hint="eastAsia" w:ascii="宋体" w:hAnsi="宋体" w:eastAsia="宋体" w:cs="宋体"/>
          <w:b/>
          <w:bCs/>
          <w:color w:val="auto"/>
          <w:sz w:val="22"/>
          <w:szCs w:val="22"/>
          <w:highlight w:val="none"/>
        </w:rPr>
        <w:t>。</w:t>
      </w:r>
    </w:p>
    <w:p w14:paraId="4D6D8455">
      <w:pPr>
        <w:pStyle w:val="48"/>
        <w:shd w:val="clear" w:color="auto" w:fill="auto"/>
        <w:wordWrap w:val="0"/>
        <w:spacing w:line="360" w:lineRule="auto"/>
        <w:rPr>
          <w:rFonts w:hint="eastAsia" w:ascii="宋体" w:hAnsi="宋体" w:eastAsia="宋体" w:cs="宋体"/>
          <w:color w:val="auto"/>
          <w:sz w:val="22"/>
          <w:szCs w:val="22"/>
          <w:highlight w:val="none"/>
        </w:rPr>
      </w:pPr>
    </w:p>
    <w:p w14:paraId="3924CB51">
      <w:pPr>
        <w:pStyle w:val="14"/>
        <w:shd w:val="clear" w:color="auto" w:fill="auto"/>
        <w:wordWrap w:val="0"/>
        <w:spacing w:before="0" w:beforeLines="0" w:after="0" w:afterLines="0" w:line="360" w:lineRule="auto"/>
        <w:rPr>
          <w:rFonts w:hint="eastAsia" w:ascii="宋体" w:hAnsi="宋体" w:eastAsia="宋体" w:cs="宋体"/>
          <w:color w:val="auto"/>
          <w:highlight w:val="none"/>
        </w:rPr>
        <w:sectPr>
          <w:pgSz w:w="11907" w:h="16840"/>
          <w:pgMar w:top="1440" w:right="1106" w:bottom="1440" w:left="1157" w:header="720" w:footer="720" w:gutter="0"/>
          <w:cols w:space="720" w:num="1"/>
          <w:docGrid w:linePitch="312" w:charSpace="0"/>
        </w:sectPr>
      </w:pPr>
    </w:p>
    <w:p w14:paraId="7FF19667">
      <w:pPr>
        <w:shd w:val="clear" w:color="auto" w:fill="auto"/>
        <w:wordWrap w:val="0"/>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质疑函范本</w:t>
      </w:r>
    </w:p>
    <w:p w14:paraId="72D59AA3">
      <w:pPr>
        <w:shd w:val="clear" w:color="auto" w:fill="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一、质疑供应商基本信息</w:t>
      </w:r>
    </w:p>
    <w:p w14:paraId="77F8285B">
      <w:pPr>
        <w:shd w:val="clear" w:color="auto" w:fill="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质疑供应商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3AA23B80">
      <w:pPr>
        <w:shd w:val="clear" w:color="auto" w:fill="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4E0B6573">
      <w:pPr>
        <w:shd w:val="clear" w:color="auto" w:fill="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42E01E47">
      <w:pPr>
        <w:shd w:val="clear" w:color="auto" w:fill="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授权代表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4BB6D78C">
      <w:pPr>
        <w:shd w:val="clear" w:color="auto" w:fill="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 xml:space="preserve"> </w:t>
      </w:r>
    </w:p>
    <w:p w14:paraId="4F40C2FF">
      <w:pPr>
        <w:shd w:val="clear" w:color="auto" w:fill="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2368363D">
      <w:pPr>
        <w:shd w:val="clear" w:color="auto" w:fill="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二、质疑项目基本情况</w:t>
      </w:r>
    </w:p>
    <w:p w14:paraId="11BFAE20">
      <w:pPr>
        <w:shd w:val="clear" w:color="auto" w:fill="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1E0A07F4">
      <w:pPr>
        <w:shd w:val="clear" w:color="auto" w:fill="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质疑项目的编号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包号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676B31D0">
      <w:pPr>
        <w:shd w:val="clear" w:color="auto" w:fill="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采购人名称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5963391F">
      <w:pPr>
        <w:shd w:val="clear" w:color="auto" w:fill="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采购文件获取日期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3755AA95">
      <w:pPr>
        <w:shd w:val="clear" w:color="auto" w:fill="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三、质疑事项具体内容</w:t>
      </w:r>
    </w:p>
    <w:p w14:paraId="282140D8">
      <w:pPr>
        <w:shd w:val="clear" w:color="auto" w:fill="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010E2296">
      <w:pPr>
        <w:shd w:val="clear" w:color="auto" w:fill="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事实依据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730359CA">
      <w:pPr>
        <w:shd w:val="clear" w:color="auto" w:fill="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dotted"/>
        </w:rPr>
        <w:t xml:space="preserve">                                                       </w:t>
      </w:r>
    </w:p>
    <w:p w14:paraId="45AE2B08">
      <w:pPr>
        <w:shd w:val="clear" w:color="auto" w:fill="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法律依据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63BD4AD6">
      <w:pPr>
        <w:shd w:val="clear" w:color="auto" w:fill="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u w:val="dotted"/>
        </w:rPr>
        <w:t xml:space="preserve">                                                     </w:t>
      </w:r>
    </w:p>
    <w:p w14:paraId="7F50F55F">
      <w:pPr>
        <w:shd w:val="clear" w:color="auto" w:fill="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质疑事项2</w:t>
      </w:r>
    </w:p>
    <w:p w14:paraId="76A0359E">
      <w:pPr>
        <w:shd w:val="clear" w:color="auto" w:fill="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1DA5A6BC">
      <w:pPr>
        <w:shd w:val="clear" w:color="auto" w:fill="auto"/>
        <w:wordWrap w:val="0"/>
        <w:adjustRightInd w:val="0"/>
        <w:snapToGrid w:val="0"/>
        <w:spacing w:line="360" w:lineRule="auto"/>
        <w:rPr>
          <w:rFonts w:hint="eastAsia" w:ascii="宋体" w:hAnsi="宋体" w:eastAsia="宋体" w:cs="宋体"/>
          <w:color w:val="auto"/>
          <w:szCs w:val="21"/>
          <w:highlight w:val="none"/>
        </w:rPr>
      </w:pPr>
    </w:p>
    <w:p w14:paraId="6DC01BD2">
      <w:pPr>
        <w:shd w:val="clear" w:color="auto" w:fill="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四、与质疑事项相关的质疑请求</w:t>
      </w:r>
    </w:p>
    <w:p w14:paraId="1ABEB078">
      <w:pPr>
        <w:shd w:val="clear" w:color="auto" w:fill="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请求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2D58E3E8">
      <w:pPr>
        <w:shd w:val="clear" w:color="auto" w:fill="auto"/>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33F4FD75">
      <w:pPr>
        <w:shd w:val="clear" w:color="auto" w:fill="auto"/>
        <w:wordWrap w:val="0"/>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5ED99DCD">
      <w:pPr>
        <w:shd w:val="clear" w:color="auto" w:fill="auto"/>
        <w:wordWrap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质疑函制作说明</w:t>
      </w:r>
      <w:r>
        <w:rPr>
          <w:rFonts w:hint="eastAsia" w:ascii="宋体" w:hAnsi="宋体" w:eastAsia="宋体" w:cs="宋体"/>
          <w:b/>
          <w:color w:val="auto"/>
          <w:szCs w:val="21"/>
          <w:highlight w:val="none"/>
          <w:lang w:eastAsia="zh-CN"/>
        </w:rPr>
        <w:t>：</w:t>
      </w:r>
    </w:p>
    <w:p w14:paraId="4A5184AF">
      <w:pPr>
        <w:widowControl/>
        <w:shd w:val="clear" w:color="auto" w:fill="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1.供应商提出质疑时，应提交质疑函和必要的证明材料。</w:t>
      </w:r>
    </w:p>
    <w:p w14:paraId="3A7872CC">
      <w:pPr>
        <w:widowControl/>
        <w:shd w:val="clear" w:color="auto" w:fill="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Cs w:val="21"/>
          <w:highlight w:val="none"/>
        </w:rPr>
        <w:t>供应商签署的授权委托书。授权委托书应载明代理人的姓名或者名称、代理事项、具体权限、期限和相关事项。</w:t>
      </w:r>
    </w:p>
    <w:p w14:paraId="6BC8849F">
      <w:pPr>
        <w:widowControl/>
        <w:shd w:val="clear" w:color="auto" w:fill="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3.质疑供应商若对项目的某一分包进行质疑，质疑函中应列明具体分包号。</w:t>
      </w:r>
    </w:p>
    <w:p w14:paraId="29DB3B04">
      <w:pPr>
        <w:widowControl/>
        <w:shd w:val="clear" w:color="auto" w:fill="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4.质疑函的质疑事项应具体、明确，并有必要的事实依据和法律依据。</w:t>
      </w:r>
    </w:p>
    <w:p w14:paraId="67A64D1A">
      <w:pPr>
        <w:widowControl/>
        <w:shd w:val="clear" w:color="auto" w:fill="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5.质疑函的质疑请求应与质疑事项相关。</w:t>
      </w:r>
    </w:p>
    <w:p w14:paraId="7769255F">
      <w:pPr>
        <w:widowControl/>
        <w:shd w:val="clear" w:color="auto" w:fill="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5E68AB23">
      <w:pPr>
        <w:widowControl/>
        <w:shd w:val="clear" w:color="auto" w:fill="auto"/>
        <w:wordWrap w:val="0"/>
        <w:spacing w:line="360" w:lineRule="auto"/>
        <w:ind w:firstLine="420" w:firstLineChars="200"/>
        <w:jc w:val="left"/>
        <w:rPr>
          <w:rFonts w:hint="eastAsia" w:ascii="宋体" w:hAnsi="宋体" w:eastAsia="宋体" w:cs="宋体"/>
          <w:color w:val="auto"/>
          <w:szCs w:val="21"/>
          <w:highlight w:val="none"/>
        </w:rPr>
      </w:pPr>
    </w:p>
    <w:p w14:paraId="1A9E378C">
      <w:pPr>
        <w:widowControl/>
        <w:shd w:val="clear" w:color="auto" w:fill="auto"/>
        <w:wordWrap w:val="0"/>
        <w:spacing w:line="360" w:lineRule="auto"/>
        <w:ind w:firstLine="420" w:firstLineChars="200"/>
        <w:jc w:val="left"/>
        <w:rPr>
          <w:rFonts w:hint="eastAsia" w:ascii="宋体" w:hAnsi="宋体" w:eastAsia="宋体" w:cs="宋体"/>
          <w:color w:val="auto"/>
          <w:szCs w:val="21"/>
          <w:highlight w:val="none"/>
        </w:rPr>
      </w:pPr>
    </w:p>
    <w:p w14:paraId="3D86B3AE">
      <w:pPr>
        <w:widowControl/>
        <w:shd w:val="clear" w:color="auto" w:fill="auto"/>
        <w:wordWrap w:val="0"/>
        <w:spacing w:line="360" w:lineRule="auto"/>
        <w:ind w:firstLine="420" w:firstLineChars="200"/>
        <w:jc w:val="left"/>
        <w:rPr>
          <w:rFonts w:hint="eastAsia" w:ascii="宋体" w:hAnsi="宋体" w:eastAsia="宋体" w:cs="宋体"/>
          <w:color w:val="auto"/>
          <w:szCs w:val="21"/>
          <w:highlight w:val="none"/>
        </w:rPr>
      </w:pPr>
    </w:p>
    <w:p w14:paraId="1EFBC6CA">
      <w:pPr>
        <w:widowControl/>
        <w:shd w:val="clear" w:color="auto" w:fill="auto"/>
        <w:wordWrap w:val="0"/>
        <w:spacing w:line="360" w:lineRule="auto"/>
        <w:ind w:firstLine="420" w:firstLineChars="200"/>
        <w:jc w:val="left"/>
        <w:rPr>
          <w:rFonts w:hint="eastAsia" w:ascii="宋体" w:hAnsi="宋体" w:eastAsia="宋体" w:cs="宋体"/>
          <w:color w:val="auto"/>
          <w:szCs w:val="21"/>
          <w:highlight w:val="none"/>
        </w:rPr>
      </w:pPr>
    </w:p>
    <w:sectPr>
      <w:pgSz w:w="11907" w:h="16840"/>
      <w:pgMar w:top="1440" w:right="1106" w:bottom="1440" w:left="1157"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Arial (W1)">
    <w:altName w:val="Arial"/>
    <w:panose1 w:val="00000000000000000000"/>
    <w:charset w:val="00"/>
    <w:family w:val="auto"/>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11870">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72F829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JYcOB0QEAAKIDAAAOAAAAAAAAAAEAIAAAAB8BAABk&#10;cnMvZTJvRG9jLnhtbFBLBQYAAAAABgAGAFkBAABiBQAAAAA=&#10;">
              <v:fill on="f" focussize="0,0"/>
              <v:stroke on="f" weight="0.5pt"/>
              <v:imagedata o:title=""/>
              <o:lock v:ext="edit" aspectratio="f"/>
              <v:textbox inset="0mm,0mm,0mm,0mm" style="mso-fit-shape-to-text:t;">
                <w:txbxContent>
                  <w:p w14:paraId="672F829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AE076">
    <w:pPr>
      <w:pStyle w:val="21"/>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A786F7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t1UQLRAQAAogMAAA4AAABkcnMvZTJvRG9jLnhtbK1TzY7TMBC+I/EO&#10;lu802S6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ZfU+K4xYGff3w///x9/vWN&#10;XGd5+gANZt0HzEvDOz/g0sz3gJeZ9aCizV/kQzCO4p4u4sohEZEfrZarVY0hgbHZQfzq8XmIkN5L&#10;b0k2GI04vSIqP36ENKbOKbma83famDJB40jP6M3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LdVEC0QEAAKIDAAAOAAAAAAAAAAEAIAAAAB8BAABk&#10;cnMvZTJvRG9jLnhtbFBLBQYAAAAABgAGAFkBAABiBQAAAAA=&#10;">
              <v:fill on="f" focussize="0,0"/>
              <v:stroke on="f" weight="0.5pt"/>
              <v:imagedata o:title=""/>
              <o:lock v:ext="edit" aspectratio="f"/>
              <v:textbox inset="0mm,0mm,0mm,0mm" style="mso-fit-shape-to-text:t;">
                <w:txbxContent>
                  <w:p w14:paraId="3A786F7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v:textbox>
            </v:shape>
          </w:pict>
        </mc:Fallback>
      </mc:AlternateContent>
    </w:r>
    <w:r>
      <w:rPr>
        <w:rFonts w:hint="eastAsia"/>
        <w:shd w:val="pct10" w:color="auto" w:fill="FFFFFF"/>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4FAAF">
    <w:pPr>
      <w:pStyle w:val="21"/>
      <w:jc w:val="right"/>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918374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McFDRAQAAogMAAA4AAABkcnMvZTJvRG9jLnhtbK1TzY7TMBC+I/EO&#10;lu802cKu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3mR5+gANZt0HzEvDOz/g0sz3gJeZ9aCizV/kQzCO4p4u4sohEZEfrZarVY0hgbHZQfzq8XmIkN5L&#10;b0k2GI04vSIqP36ENKbOKbma83famDJB40jP6M3r6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GjHBQ0QEAAKIDAAAOAAAAAAAAAAEAIAAAAB8BAABk&#10;cnMvZTJvRG9jLnhtbFBLBQYAAAAABgAGAFkBAABiBQAAAAA=&#10;">
              <v:fill on="f" focussize="0,0"/>
              <v:stroke on="f" weight="0.5pt"/>
              <v:imagedata o:title=""/>
              <o:lock v:ext="edit" aspectratio="f"/>
              <v:textbox inset="0mm,0mm,0mm,0mm" style="mso-fit-shape-to-text:t;">
                <w:txbxContent>
                  <w:p w14:paraId="7918374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AC538">
    <w:pPr>
      <w:pStyle w:val="21"/>
      <w:jc w:val="right"/>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17FC95">
                          <w:pPr>
                            <w:pStyle w:val="21"/>
                            <w:rPr>
                              <w:rStyle w:val="32"/>
                            </w:rPr>
                          </w:pPr>
                          <w:r>
                            <w:fldChar w:fldCharType="begin"/>
                          </w:r>
                          <w:r>
                            <w:rPr>
                              <w:rStyle w:val="32"/>
                            </w:rPr>
                            <w:instrText xml:space="preserve">PAGE  </w:instrText>
                          </w:r>
                          <w:r>
                            <w:fldChar w:fldCharType="separate"/>
                          </w:r>
                          <w:r>
                            <w:rPr>
                              <w:rStyle w:val="32"/>
                            </w:rPr>
                            <w:t>98</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wdv5McBAACZ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ruWvqLEcYsDv3z/dvnx6/LzK6mz&#10;PEOABrPuA+al8Y0fcWkWP6Azsx5VtPmLfAjGUdzzVVw5JiLyo3pd1xWGBMaWC+Kzh+chQnorvSXZ&#10;aGnE6RVR+ek9pCl1ScnVnL/TxpQJGveXAzGzh+Xepx6zlcb9OBPa++6MfAYcfEsd7jkl5p1DXfOO&#10;LEZcjP1iHEPUh74sUa4H4fUxYROlt1xhgp0L48QKu3m78kr8eS9ZD3/U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ywdv5McBAACZAwAADgAAAAAAAAABACAAAAAeAQAAZHJzL2Uyb0RvYy54&#10;bWxQSwUGAAAAAAYABgBZAQAAVwUAAAAA&#10;">
              <v:fill on="f" focussize="0,0"/>
              <v:stroke on="f"/>
              <v:imagedata o:title=""/>
              <o:lock v:ext="edit" aspectratio="f"/>
              <v:textbox inset="0mm,0mm,0mm,0mm" style="mso-fit-shape-to-text:t;">
                <w:txbxContent>
                  <w:p w14:paraId="7417FC95">
                    <w:pPr>
                      <w:pStyle w:val="21"/>
                      <w:rPr>
                        <w:rStyle w:val="32"/>
                      </w:rPr>
                    </w:pPr>
                    <w:r>
                      <w:fldChar w:fldCharType="begin"/>
                    </w:r>
                    <w:r>
                      <w:rPr>
                        <w:rStyle w:val="32"/>
                      </w:rPr>
                      <w:instrText xml:space="preserve">PAGE  </w:instrText>
                    </w:r>
                    <w:r>
                      <w:fldChar w:fldCharType="separate"/>
                    </w:r>
                    <w:r>
                      <w:rPr>
                        <w:rStyle w:val="32"/>
                      </w:rPr>
                      <w:t>98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FA9E3">
    <w:pPr>
      <w:pStyle w:val="21"/>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373798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RSkTP0QEAAKIDAAAOAAAAAAAAAAEAIAAAAB8BAABk&#10;cnMvZTJvRG9jLnhtbFBLBQYAAAAABgAGAFkBAABiBQAAAAA=&#10;">
              <v:fill on="f" focussize="0,0"/>
              <v:stroke on="f" weight="0.5pt"/>
              <v:imagedata o:title=""/>
              <o:lock v:ext="edit" aspectratio="f"/>
              <v:textbox inset="0mm,0mm,0mm,0mm" style="mso-fit-shape-to-text:t;">
                <w:txbxContent>
                  <w:p w14:paraId="5373798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0AB49">
    <w:pPr>
      <w:pStyle w:val="2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38944">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8ED18">
    <w:pPr>
      <w:pStyle w:val="22"/>
      <w:pBdr>
        <w:bottom w:val="none" w:color="auto" w:sz="0" w:space="1"/>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D6E23">
    <w:pPr>
      <w:pStyle w:val="22"/>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6"/>
    <w:multiLevelType w:val="multilevel"/>
    <w:tmpl w:val="00000016"/>
    <w:lvl w:ilvl="0" w:tentative="0">
      <w:start w:val="1"/>
      <w:numFmt w:val="decimal"/>
      <w:lvlText w:val="%1."/>
      <w:lvlJc w:val="left"/>
      <w:pPr>
        <w:tabs>
          <w:tab w:val="left" w:pos="720"/>
        </w:tabs>
        <w:ind w:left="720" w:hanging="720"/>
      </w:pPr>
      <w:rPr>
        <w:rFonts w:hint="default"/>
      </w:rPr>
    </w:lvl>
    <w:lvl w:ilvl="1" w:tentative="0">
      <w:start w:val="1"/>
      <w:numFmt w:val="decimal"/>
      <w:lvlText w:val="%2."/>
      <w:lvlJc w:val="left"/>
      <w:pPr>
        <w:tabs>
          <w:tab w:val="left" w:pos="720"/>
        </w:tabs>
        <w:ind w:left="720" w:hanging="720"/>
      </w:pPr>
      <w:rPr>
        <w:rFonts w:hint="default" w:ascii="Arial (W1)" w:hAnsi="Arial (W1)"/>
        <w:b/>
        <w:i w:val="0"/>
        <w:sz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1">
    <w:nsid w:val="19DE2C87"/>
    <w:multiLevelType w:val="singleLevel"/>
    <w:tmpl w:val="19DE2C87"/>
    <w:lvl w:ilvl="0" w:tentative="0">
      <w:start w:val="1"/>
      <w:numFmt w:val="decimal"/>
      <w:suff w:val="nothing"/>
      <w:lvlText w:val="（%1）"/>
      <w:lvlJc w:val="left"/>
    </w:lvl>
  </w:abstractNum>
  <w:abstractNum w:abstractNumId="2">
    <w:nsid w:val="3F0F2FA1"/>
    <w:multiLevelType w:val="singleLevel"/>
    <w:tmpl w:val="3F0F2FA1"/>
    <w:lvl w:ilvl="0" w:tentative="0">
      <w:start w:val="2"/>
      <w:numFmt w:val="chineseCounting"/>
      <w:suff w:val="space"/>
      <w:lvlText w:val="第%1部分"/>
      <w:lvlJc w:val="left"/>
      <w:rPr>
        <w:rFonts w:hint="eastAsia"/>
      </w:rPr>
    </w:lvl>
  </w:abstractNum>
  <w:abstractNum w:abstractNumId="3">
    <w:nsid w:val="7A06B7A8"/>
    <w:multiLevelType w:val="singleLevel"/>
    <w:tmpl w:val="7A06B7A8"/>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0ZjdkMGU1YjRiMWNhYzM4NjYxOTViODZjN2ZhYjEifQ=="/>
  </w:docVars>
  <w:rsids>
    <w:rsidRoot w:val="00172A27"/>
    <w:rsid w:val="00044EF2"/>
    <w:rsid w:val="00075CCB"/>
    <w:rsid w:val="000971A9"/>
    <w:rsid w:val="000C7032"/>
    <w:rsid w:val="000D7AD0"/>
    <w:rsid w:val="000E55C5"/>
    <w:rsid w:val="00124C1B"/>
    <w:rsid w:val="0012649A"/>
    <w:rsid w:val="00160C88"/>
    <w:rsid w:val="001630AF"/>
    <w:rsid w:val="00186BF0"/>
    <w:rsid w:val="001B213F"/>
    <w:rsid w:val="001B223C"/>
    <w:rsid w:val="001B2F1F"/>
    <w:rsid w:val="001D032E"/>
    <w:rsid w:val="002353B5"/>
    <w:rsid w:val="00270BE1"/>
    <w:rsid w:val="00290B88"/>
    <w:rsid w:val="00297B12"/>
    <w:rsid w:val="002F74EF"/>
    <w:rsid w:val="0031094C"/>
    <w:rsid w:val="00332AAB"/>
    <w:rsid w:val="00344060"/>
    <w:rsid w:val="00353889"/>
    <w:rsid w:val="003B643A"/>
    <w:rsid w:val="003E1BBC"/>
    <w:rsid w:val="003F11C3"/>
    <w:rsid w:val="0040602D"/>
    <w:rsid w:val="00436C08"/>
    <w:rsid w:val="00471C79"/>
    <w:rsid w:val="0049354C"/>
    <w:rsid w:val="004A30DD"/>
    <w:rsid w:val="004D6A9B"/>
    <w:rsid w:val="004F14AE"/>
    <w:rsid w:val="00522102"/>
    <w:rsid w:val="005326E5"/>
    <w:rsid w:val="00534064"/>
    <w:rsid w:val="00586FEC"/>
    <w:rsid w:val="005A5126"/>
    <w:rsid w:val="005E1230"/>
    <w:rsid w:val="005E150A"/>
    <w:rsid w:val="005F0F67"/>
    <w:rsid w:val="005F4717"/>
    <w:rsid w:val="00606073"/>
    <w:rsid w:val="00613514"/>
    <w:rsid w:val="00676A0C"/>
    <w:rsid w:val="00690CD2"/>
    <w:rsid w:val="006969CA"/>
    <w:rsid w:val="006B7130"/>
    <w:rsid w:val="007141B4"/>
    <w:rsid w:val="00720EA0"/>
    <w:rsid w:val="00721AED"/>
    <w:rsid w:val="00726EFC"/>
    <w:rsid w:val="00732C93"/>
    <w:rsid w:val="0075194C"/>
    <w:rsid w:val="00754B4E"/>
    <w:rsid w:val="00757B9E"/>
    <w:rsid w:val="007732FE"/>
    <w:rsid w:val="00793009"/>
    <w:rsid w:val="007968C9"/>
    <w:rsid w:val="007A6F63"/>
    <w:rsid w:val="007B027C"/>
    <w:rsid w:val="00814FB9"/>
    <w:rsid w:val="00844285"/>
    <w:rsid w:val="00896687"/>
    <w:rsid w:val="008C3344"/>
    <w:rsid w:val="008C4D8F"/>
    <w:rsid w:val="008C7FF6"/>
    <w:rsid w:val="00915903"/>
    <w:rsid w:val="009278D3"/>
    <w:rsid w:val="009340FE"/>
    <w:rsid w:val="009600D9"/>
    <w:rsid w:val="009D0EA3"/>
    <w:rsid w:val="009E61C8"/>
    <w:rsid w:val="009F4C1B"/>
    <w:rsid w:val="00A01EDA"/>
    <w:rsid w:val="00A605DC"/>
    <w:rsid w:val="00A80681"/>
    <w:rsid w:val="00A95A9A"/>
    <w:rsid w:val="00AA3CEC"/>
    <w:rsid w:val="00AA55F0"/>
    <w:rsid w:val="00AC5B18"/>
    <w:rsid w:val="00AD511E"/>
    <w:rsid w:val="00B200B1"/>
    <w:rsid w:val="00B300D7"/>
    <w:rsid w:val="00B45994"/>
    <w:rsid w:val="00B55938"/>
    <w:rsid w:val="00B87B92"/>
    <w:rsid w:val="00BA352C"/>
    <w:rsid w:val="00BB6488"/>
    <w:rsid w:val="00BD67E5"/>
    <w:rsid w:val="00C02D79"/>
    <w:rsid w:val="00C25DB6"/>
    <w:rsid w:val="00C27CBA"/>
    <w:rsid w:val="00C823C4"/>
    <w:rsid w:val="00CA7EEA"/>
    <w:rsid w:val="00D526C3"/>
    <w:rsid w:val="00D5286B"/>
    <w:rsid w:val="00D63A4C"/>
    <w:rsid w:val="00E20CE5"/>
    <w:rsid w:val="00E36304"/>
    <w:rsid w:val="00E75A51"/>
    <w:rsid w:val="00E76B4D"/>
    <w:rsid w:val="00E8708B"/>
    <w:rsid w:val="00EA78A3"/>
    <w:rsid w:val="00EB1B3C"/>
    <w:rsid w:val="00ED1693"/>
    <w:rsid w:val="00ED6CBC"/>
    <w:rsid w:val="00EF08E4"/>
    <w:rsid w:val="00F451B8"/>
    <w:rsid w:val="00F871BC"/>
    <w:rsid w:val="010158D6"/>
    <w:rsid w:val="010F7FF3"/>
    <w:rsid w:val="011A5D63"/>
    <w:rsid w:val="011C2456"/>
    <w:rsid w:val="011D2710"/>
    <w:rsid w:val="012A0989"/>
    <w:rsid w:val="01302E15"/>
    <w:rsid w:val="01323C68"/>
    <w:rsid w:val="0132783D"/>
    <w:rsid w:val="01345E86"/>
    <w:rsid w:val="01423F24"/>
    <w:rsid w:val="014C3654"/>
    <w:rsid w:val="014D3873"/>
    <w:rsid w:val="014F1046"/>
    <w:rsid w:val="0160164B"/>
    <w:rsid w:val="01687703"/>
    <w:rsid w:val="016C2D4F"/>
    <w:rsid w:val="0170260A"/>
    <w:rsid w:val="01727438"/>
    <w:rsid w:val="017A36FD"/>
    <w:rsid w:val="018379C9"/>
    <w:rsid w:val="01895C07"/>
    <w:rsid w:val="01897A84"/>
    <w:rsid w:val="018E7169"/>
    <w:rsid w:val="01995F27"/>
    <w:rsid w:val="01A050EF"/>
    <w:rsid w:val="01A60743"/>
    <w:rsid w:val="01AC264C"/>
    <w:rsid w:val="01AC5842"/>
    <w:rsid w:val="01B57AA4"/>
    <w:rsid w:val="01B81CE2"/>
    <w:rsid w:val="01BD35AB"/>
    <w:rsid w:val="01C225F2"/>
    <w:rsid w:val="01C25065"/>
    <w:rsid w:val="01C761D7"/>
    <w:rsid w:val="01CA5CC8"/>
    <w:rsid w:val="01D14E0A"/>
    <w:rsid w:val="01D66AD2"/>
    <w:rsid w:val="01D83224"/>
    <w:rsid w:val="01DB1C83"/>
    <w:rsid w:val="01E22D7D"/>
    <w:rsid w:val="01EA0118"/>
    <w:rsid w:val="01F82AD7"/>
    <w:rsid w:val="01F86CD9"/>
    <w:rsid w:val="0213766F"/>
    <w:rsid w:val="02140D77"/>
    <w:rsid w:val="021A6C4F"/>
    <w:rsid w:val="022573A2"/>
    <w:rsid w:val="022E44A8"/>
    <w:rsid w:val="023A7B7C"/>
    <w:rsid w:val="02441F1E"/>
    <w:rsid w:val="02537C67"/>
    <w:rsid w:val="02544B87"/>
    <w:rsid w:val="025739FF"/>
    <w:rsid w:val="026362FC"/>
    <w:rsid w:val="026B74AB"/>
    <w:rsid w:val="02775BE8"/>
    <w:rsid w:val="02836E2C"/>
    <w:rsid w:val="02976F77"/>
    <w:rsid w:val="02985DC6"/>
    <w:rsid w:val="029C58B6"/>
    <w:rsid w:val="02AF1C72"/>
    <w:rsid w:val="02B01361"/>
    <w:rsid w:val="02B217FD"/>
    <w:rsid w:val="02BE3A7E"/>
    <w:rsid w:val="02C12630"/>
    <w:rsid w:val="02EA62D0"/>
    <w:rsid w:val="03077FCF"/>
    <w:rsid w:val="030F42DA"/>
    <w:rsid w:val="031B1345"/>
    <w:rsid w:val="0320479A"/>
    <w:rsid w:val="03214DA3"/>
    <w:rsid w:val="03261EB9"/>
    <w:rsid w:val="03292E3E"/>
    <w:rsid w:val="032F0DAD"/>
    <w:rsid w:val="035C6DF3"/>
    <w:rsid w:val="036120F0"/>
    <w:rsid w:val="036A079C"/>
    <w:rsid w:val="036D3220"/>
    <w:rsid w:val="03716D43"/>
    <w:rsid w:val="03730909"/>
    <w:rsid w:val="037A40C6"/>
    <w:rsid w:val="037C060C"/>
    <w:rsid w:val="038C1E2A"/>
    <w:rsid w:val="03936CB9"/>
    <w:rsid w:val="0398274B"/>
    <w:rsid w:val="039D4F10"/>
    <w:rsid w:val="03A6563A"/>
    <w:rsid w:val="03A81AA6"/>
    <w:rsid w:val="03AC7394"/>
    <w:rsid w:val="03B01365"/>
    <w:rsid w:val="03B1713F"/>
    <w:rsid w:val="03B6103B"/>
    <w:rsid w:val="03C661BF"/>
    <w:rsid w:val="03C837AB"/>
    <w:rsid w:val="03CA1FAF"/>
    <w:rsid w:val="03D33F30"/>
    <w:rsid w:val="03D41080"/>
    <w:rsid w:val="03D609D8"/>
    <w:rsid w:val="03FF434E"/>
    <w:rsid w:val="03FF5FEC"/>
    <w:rsid w:val="040556DD"/>
    <w:rsid w:val="04077C52"/>
    <w:rsid w:val="040A4AA1"/>
    <w:rsid w:val="040D4BBB"/>
    <w:rsid w:val="040F5AE1"/>
    <w:rsid w:val="04164273"/>
    <w:rsid w:val="04266270"/>
    <w:rsid w:val="042E69E2"/>
    <w:rsid w:val="043438CC"/>
    <w:rsid w:val="04354274"/>
    <w:rsid w:val="043D4F04"/>
    <w:rsid w:val="04436E0D"/>
    <w:rsid w:val="04480CE1"/>
    <w:rsid w:val="045301F6"/>
    <w:rsid w:val="04543412"/>
    <w:rsid w:val="04554875"/>
    <w:rsid w:val="04581CB1"/>
    <w:rsid w:val="047343F5"/>
    <w:rsid w:val="04826D2E"/>
    <w:rsid w:val="048358F9"/>
    <w:rsid w:val="04A9250C"/>
    <w:rsid w:val="04AB5538"/>
    <w:rsid w:val="04BC45FD"/>
    <w:rsid w:val="04BE31D4"/>
    <w:rsid w:val="04BF6221"/>
    <w:rsid w:val="04C44C50"/>
    <w:rsid w:val="04CD7F6B"/>
    <w:rsid w:val="04D01847"/>
    <w:rsid w:val="04D32E79"/>
    <w:rsid w:val="04D72BD5"/>
    <w:rsid w:val="04DD0B5F"/>
    <w:rsid w:val="04E3143E"/>
    <w:rsid w:val="04F135D7"/>
    <w:rsid w:val="0512295E"/>
    <w:rsid w:val="05164FAF"/>
    <w:rsid w:val="05191440"/>
    <w:rsid w:val="051F632A"/>
    <w:rsid w:val="05382B9E"/>
    <w:rsid w:val="053A13B6"/>
    <w:rsid w:val="054C7CD0"/>
    <w:rsid w:val="055A65D5"/>
    <w:rsid w:val="055C757F"/>
    <w:rsid w:val="056736ED"/>
    <w:rsid w:val="05771392"/>
    <w:rsid w:val="05856AD5"/>
    <w:rsid w:val="05864354"/>
    <w:rsid w:val="05875678"/>
    <w:rsid w:val="05900FD6"/>
    <w:rsid w:val="05922DEE"/>
    <w:rsid w:val="05962A91"/>
    <w:rsid w:val="05AE424C"/>
    <w:rsid w:val="05B01562"/>
    <w:rsid w:val="05B63C67"/>
    <w:rsid w:val="05B821F2"/>
    <w:rsid w:val="05BE46B8"/>
    <w:rsid w:val="05C8248C"/>
    <w:rsid w:val="05D71325"/>
    <w:rsid w:val="05EF21A1"/>
    <w:rsid w:val="05FE73D1"/>
    <w:rsid w:val="05FF16A9"/>
    <w:rsid w:val="06007F0A"/>
    <w:rsid w:val="06023C82"/>
    <w:rsid w:val="060317A8"/>
    <w:rsid w:val="06085010"/>
    <w:rsid w:val="060A6FDB"/>
    <w:rsid w:val="06144B58"/>
    <w:rsid w:val="061614DB"/>
    <w:rsid w:val="061B11E8"/>
    <w:rsid w:val="063D115E"/>
    <w:rsid w:val="063D41EF"/>
    <w:rsid w:val="06436049"/>
    <w:rsid w:val="064552D9"/>
    <w:rsid w:val="06493522"/>
    <w:rsid w:val="06544FAB"/>
    <w:rsid w:val="06645CA5"/>
    <w:rsid w:val="066D4490"/>
    <w:rsid w:val="0670611D"/>
    <w:rsid w:val="067803E8"/>
    <w:rsid w:val="06962173"/>
    <w:rsid w:val="069A7E12"/>
    <w:rsid w:val="069C40D7"/>
    <w:rsid w:val="06A42F8B"/>
    <w:rsid w:val="06A43411"/>
    <w:rsid w:val="06AC1035"/>
    <w:rsid w:val="06AC78C9"/>
    <w:rsid w:val="06B84C89"/>
    <w:rsid w:val="06C14C23"/>
    <w:rsid w:val="06D80E87"/>
    <w:rsid w:val="06E635A4"/>
    <w:rsid w:val="06F20789"/>
    <w:rsid w:val="071316CD"/>
    <w:rsid w:val="071A324D"/>
    <w:rsid w:val="071E0777"/>
    <w:rsid w:val="073257CD"/>
    <w:rsid w:val="073E7B8E"/>
    <w:rsid w:val="07404390"/>
    <w:rsid w:val="07455FA1"/>
    <w:rsid w:val="074A1A9F"/>
    <w:rsid w:val="074D717F"/>
    <w:rsid w:val="075C3866"/>
    <w:rsid w:val="075F2127"/>
    <w:rsid w:val="07713742"/>
    <w:rsid w:val="07716FC5"/>
    <w:rsid w:val="07995B53"/>
    <w:rsid w:val="07A019A5"/>
    <w:rsid w:val="07A11279"/>
    <w:rsid w:val="07A5520D"/>
    <w:rsid w:val="07A82FEA"/>
    <w:rsid w:val="07B7616C"/>
    <w:rsid w:val="07BB6C8C"/>
    <w:rsid w:val="07C85627"/>
    <w:rsid w:val="07DC6B08"/>
    <w:rsid w:val="07EA0E72"/>
    <w:rsid w:val="07EF46DA"/>
    <w:rsid w:val="07F06EA1"/>
    <w:rsid w:val="07F608D1"/>
    <w:rsid w:val="07FC6546"/>
    <w:rsid w:val="080116E4"/>
    <w:rsid w:val="08014519"/>
    <w:rsid w:val="08030185"/>
    <w:rsid w:val="08167BBE"/>
    <w:rsid w:val="08191757"/>
    <w:rsid w:val="081B28A5"/>
    <w:rsid w:val="081B727D"/>
    <w:rsid w:val="081D1247"/>
    <w:rsid w:val="081E0B1B"/>
    <w:rsid w:val="08236F6E"/>
    <w:rsid w:val="0825634E"/>
    <w:rsid w:val="08284C82"/>
    <w:rsid w:val="08302794"/>
    <w:rsid w:val="08346591"/>
    <w:rsid w:val="083D5414"/>
    <w:rsid w:val="083D5445"/>
    <w:rsid w:val="08406CE4"/>
    <w:rsid w:val="084B7A66"/>
    <w:rsid w:val="084C7C1B"/>
    <w:rsid w:val="0858227F"/>
    <w:rsid w:val="085C6BC2"/>
    <w:rsid w:val="085D6AAE"/>
    <w:rsid w:val="086168CD"/>
    <w:rsid w:val="08647852"/>
    <w:rsid w:val="08A07782"/>
    <w:rsid w:val="08A81C9B"/>
    <w:rsid w:val="08A92ADB"/>
    <w:rsid w:val="08A957EA"/>
    <w:rsid w:val="08AE16DC"/>
    <w:rsid w:val="08B31BA6"/>
    <w:rsid w:val="08B44F60"/>
    <w:rsid w:val="08B65FD7"/>
    <w:rsid w:val="08BE59DA"/>
    <w:rsid w:val="08C96D70"/>
    <w:rsid w:val="08E10FC2"/>
    <w:rsid w:val="08E2593F"/>
    <w:rsid w:val="08E25FED"/>
    <w:rsid w:val="08E7715F"/>
    <w:rsid w:val="08EB30F3"/>
    <w:rsid w:val="08ED6E6B"/>
    <w:rsid w:val="08F00C5F"/>
    <w:rsid w:val="08FA3336"/>
    <w:rsid w:val="09005B9E"/>
    <w:rsid w:val="090504BF"/>
    <w:rsid w:val="090F06A4"/>
    <w:rsid w:val="09175C96"/>
    <w:rsid w:val="09283A19"/>
    <w:rsid w:val="09295FE7"/>
    <w:rsid w:val="092A0515"/>
    <w:rsid w:val="093043D2"/>
    <w:rsid w:val="093F343F"/>
    <w:rsid w:val="093F6F9B"/>
    <w:rsid w:val="09496375"/>
    <w:rsid w:val="09562DBC"/>
    <w:rsid w:val="095830FB"/>
    <w:rsid w:val="095A48E7"/>
    <w:rsid w:val="09656115"/>
    <w:rsid w:val="09684744"/>
    <w:rsid w:val="0969226A"/>
    <w:rsid w:val="09693D0A"/>
    <w:rsid w:val="09827358"/>
    <w:rsid w:val="0983332C"/>
    <w:rsid w:val="0984370C"/>
    <w:rsid w:val="098705F9"/>
    <w:rsid w:val="098F14DD"/>
    <w:rsid w:val="09A06EDB"/>
    <w:rsid w:val="09AC226C"/>
    <w:rsid w:val="09AC306C"/>
    <w:rsid w:val="09B27C25"/>
    <w:rsid w:val="09BC4A90"/>
    <w:rsid w:val="09D20B4E"/>
    <w:rsid w:val="09D56068"/>
    <w:rsid w:val="09D9119E"/>
    <w:rsid w:val="09E35B78"/>
    <w:rsid w:val="09EB5E26"/>
    <w:rsid w:val="09FC30DE"/>
    <w:rsid w:val="09FF022D"/>
    <w:rsid w:val="0A04045B"/>
    <w:rsid w:val="0A0501E5"/>
    <w:rsid w:val="0A0C0525"/>
    <w:rsid w:val="0A1514CB"/>
    <w:rsid w:val="0A195A3E"/>
    <w:rsid w:val="0A271761"/>
    <w:rsid w:val="0A2C21B6"/>
    <w:rsid w:val="0A334D52"/>
    <w:rsid w:val="0A3B59B5"/>
    <w:rsid w:val="0A3D57A2"/>
    <w:rsid w:val="0A3D6B27"/>
    <w:rsid w:val="0A3E3CF5"/>
    <w:rsid w:val="0A3E54A5"/>
    <w:rsid w:val="0A4557E9"/>
    <w:rsid w:val="0A4725AB"/>
    <w:rsid w:val="0A542580"/>
    <w:rsid w:val="0A5842C4"/>
    <w:rsid w:val="0A6749FB"/>
    <w:rsid w:val="0A7074F3"/>
    <w:rsid w:val="0A7F7F97"/>
    <w:rsid w:val="0A805ABD"/>
    <w:rsid w:val="0A8452CE"/>
    <w:rsid w:val="0A8A2A5A"/>
    <w:rsid w:val="0A8D4C82"/>
    <w:rsid w:val="0A9357F1"/>
    <w:rsid w:val="0A9F522E"/>
    <w:rsid w:val="0AA76940"/>
    <w:rsid w:val="0AAE6112"/>
    <w:rsid w:val="0AAF1EFF"/>
    <w:rsid w:val="0AB15C77"/>
    <w:rsid w:val="0AB35E1D"/>
    <w:rsid w:val="0AC74ABE"/>
    <w:rsid w:val="0AC7549A"/>
    <w:rsid w:val="0ACF6099"/>
    <w:rsid w:val="0ADE4913"/>
    <w:rsid w:val="0AEC727C"/>
    <w:rsid w:val="0AEE5030"/>
    <w:rsid w:val="0AF83D3C"/>
    <w:rsid w:val="0AFA22DE"/>
    <w:rsid w:val="0B0C7351"/>
    <w:rsid w:val="0B114967"/>
    <w:rsid w:val="0B141172"/>
    <w:rsid w:val="0B1E057C"/>
    <w:rsid w:val="0B220922"/>
    <w:rsid w:val="0B3A2110"/>
    <w:rsid w:val="0B3C7C36"/>
    <w:rsid w:val="0B5115B8"/>
    <w:rsid w:val="0B541C00"/>
    <w:rsid w:val="0B5B1AAE"/>
    <w:rsid w:val="0B5B3E3A"/>
    <w:rsid w:val="0B6B594F"/>
    <w:rsid w:val="0B6F7B86"/>
    <w:rsid w:val="0B753148"/>
    <w:rsid w:val="0B7550AF"/>
    <w:rsid w:val="0B7735DC"/>
    <w:rsid w:val="0B7E11CA"/>
    <w:rsid w:val="0B813EEC"/>
    <w:rsid w:val="0B815649"/>
    <w:rsid w:val="0B8E7D66"/>
    <w:rsid w:val="0B982C8E"/>
    <w:rsid w:val="0B9F6417"/>
    <w:rsid w:val="0BA12222"/>
    <w:rsid w:val="0BA13F3D"/>
    <w:rsid w:val="0BA55558"/>
    <w:rsid w:val="0BA852CC"/>
    <w:rsid w:val="0BAD28E2"/>
    <w:rsid w:val="0BBE4AEF"/>
    <w:rsid w:val="0BC55E7E"/>
    <w:rsid w:val="0BCE4606"/>
    <w:rsid w:val="0BD06D33"/>
    <w:rsid w:val="0BEA7DE9"/>
    <w:rsid w:val="0BEC35D5"/>
    <w:rsid w:val="0BF942A5"/>
    <w:rsid w:val="0C01741F"/>
    <w:rsid w:val="0C08603B"/>
    <w:rsid w:val="0C091155"/>
    <w:rsid w:val="0C0E4028"/>
    <w:rsid w:val="0C0F058D"/>
    <w:rsid w:val="0C171433"/>
    <w:rsid w:val="0C1734E1"/>
    <w:rsid w:val="0C211085"/>
    <w:rsid w:val="0C2F32F7"/>
    <w:rsid w:val="0C3152C1"/>
    <w:rsid w:val="0C394176"/>
    <w:rsid w:val="0C395F24"/>
    <w:rsid w:val="0C3C06D6"/>
    <w:rsid w:val="0C3E33A6"/>
    <w:rsid w:val="0C3F3894"/>
    <w:rsid w:val="0C5919D1"/>
    <w:rsid w:val="0C5E3BDC"/>
    <w:rsid w:val="0C670E7C"/>
    <w:rsid w:val="0C6A432F"/>
    <w:rsid w:val="0C6A44A1"/>
    <w:rsid w:val="0C6C347A"/>
    <w:rsid w:val="0C6E21CE"/>
    <w:rsid w:val="0C716A06"/>
    <w:rsid w:val="0C747BE1"/>
    <w:rsid w:val="0C753BA5"/>
    <w:rsid w:val="0C7B02EA"/>
    <w:rsid w:val="0CBD4DA7"/>
    <w:rsid w:val="0CC06645"/>
    <w:rsid w:val="0CC67C0B"/>
    <w:rsid w:val="0CD646EF"/>
    <w:rsid w:val="0CD72A6E"/>
    <w:rsid w:val="0CDF2F6F"/>
    <w:rsid w:val="0CDF3D0D"/>
    <w:rsid w:val="0CE02843"/>
    <w:rsid w:val="0CE05439"/>
    <w:rsid w:val="0CE560AB"/>
    <w:rsid w:val="0CEE4F60"/>
    <w:rsid w:val="0CF62B54"/>
    <w:rsid w:val="0CFF2C96"/>
    <w:rsid w:val="0D0226E7"/>
    <w:rsid w:val="0D0227BA"/>
    <w:rsid w:val="0D134683"/>
    <w:rsid w:val="0D15459B"/>
    <w:rsid w:val="0D26294C"/>
    <w:rsid w:val="0D2F254B"/>
    <w:rsid w:val="0D3007D3"/>
    <w:rsid w:val="0D31309F"/>
    <w:rsid w:val="0D395DCD"/>
    <w:rsid w:val="0D3A1F53"/>
    <w:rsid w:val="0D404878"/>
    <w:rsid w:val="0D417786"/>
    <w:rsid w:val="0D49488C"/>
    <w:rsid w:val="0D4A144A"/>
    <w:rsid w:val="0D4A2C07"/>
    <w:rsid w:val="0D4D3563"/>
    <w:rsid w:val="0D5C629C"/>
    <w:rsid w:val="0D6214AA"/>
    <w:rsid w:val="0D743CCE"/>
    <w:rsid w:val="0DB32676"/>
    <w:rsid w:val="0DBA1C40"/>
    <w:rsid w:val="0DBF42FF"/>
    <w:rsid w:val="0DBF68FD"/>
    <w:rsid w:val="0DC14423"/>
    <w:rsid w:val="0DD2755A"/>
    <w:rsid w:val="0DDB664A"/>
    <w:rsid w:val="0DE87C01"/>
    <w:rsid w:val="0DEA1BCB"/>
    <w:rsid w:val="0DED6FC6"/>
    <w:rsid w:val="0E074511"/>
    <w:rsid w:val="0E095E94"/>
    <w:rsid w:val="0E121122"/>
    <w:rsid w:val="0E19600D"/>
    <w:rsid w:val="0E1C1499"/>
    <w:rsid w:val="0E247D43"/>
    <w:rsid w:val="0E2F5830"/>
    <w:rsid w:val="0E356BBF"/>
    <w:rsid w:val="0E3756DF"/>
    <w:rsid w:val="0E4D215A"/>
    <w:rsid w:val="0E52151F"/>
    <w:rsid w:val="0E576B35"/>
    <w:rsid w:val="0E5E02DE"/>
    <w:rsid w:val="0E63197E"/>
    <w:rsid w:val="0E641635"/>
    <w:rsid w:val="0E6A377C"/>
    <w:rsid w:val="0E77096C"/>
    <w:rsid w:val="0E7B6CC7"/>
    <w:rsid w:val="0E7C03D1"/>
    <w:rsid w:val="0E7D5E53"/>
    <w:rsid w:val="0E9B404F"/>
    <w:rsid w:val="0EA0228A"/>
    <w:rsid w:val="0EA0672E"/>
    <w:rsid w:val="0EA24565"/>
    <w:rsid w:val="0EA63619"/>
    <w:rsid w:val="0EB45D35"/>
    <w:rsid w:val="0EB648C8"/>
    <w:rsid w:val="0EBB5AE7"/>
    <w:rsid w:val="0EBE0AFF"/>
    <w:rsid w:val="0ECC12D1"/>
    <w:rsid w:val="0ECD4728"/>
    <w:rsid w:val="0ED20ACE"/>
    <w:rsid w:val="0EE35DB9"/>
    <w:rsid w:val="0EE553FE"/>
    <w:rsid w:val="0EE77A81"/>
    <w:rsid w:val="0EF8693D"/>
    <w:rsid w:val="0F046CBD"/>
    <w:rsid w:val="0F0C3DC3"/>
    <w:rsid w:val="0F1473FB"/>
    <w:rsid w:val="0F16254C"/>
    <w:rsid w:val="0F296723"/>
    <w:rsid w:val="0F2C6214"/>
    <w:rsid w:val="0F307AB2"/>
    <w:rsid w:val="0F3550C8"/>
    <w:rsid w:val="0F3A448D"/>
    <w:rsid w:val="0F5E7BAD"/>
    <w:rsid w:val="0F7726DF"/>
    <w:rsid w:val="0F773AEC"/>
    <w:rsid w:val="0F97226F"/>
    <w:rsid w:val="0F9A13CF"/>
    <w:rsid w:val="0F9B6046"/>
    <w:rsid w:val="0FB43F9D"/>
    <w:rsid w:val="0FB75ADD"/>
    <w:rsid w:val="0FBE50B0"/>
    <w:rsid w:val="0FBE65E3"/>
    <w:rsid w:val="0FC4644C"/>
    <w:rsid w:val="0FC95E75"/>
    <w:rsid w:val="0FCB1589"/>
    <w:rsid w:val="0FD146C5"/>
    <w:rsid w:val="0FFC5BE6"/>
    <w:rsid w:val="10030D22"/>
    <w:rsid w:val="10082EB6"/>
    <w:rsid w:val="100920B1"/>
    <w:rsid w:val="100F5919"/>
    <w:rsid w:val="10282537"/>
    <w:rsid w:val="1028629D"/>
    <w:rsid w:val="103A6CBA"/>
    <w:rsid w:val="104E26BF"/>
    <w:rsid w:val="104F3929"/>
    <w:rsid w:val="105D36FE"/>
    <w:rsid w:val="106612B1"/>
    <w:rsid w:val="1068327B"/>
    <w:rsid w:val="10692AC2"/>
    <w:rsid w:val="106A1357"/>
    <w:rsid w:val="106D4CA7"/>
    <w:rsid w:val="107A78DA"/>
    <w:rsid w:val="1084524A"/>
    <w:rsid w:val="10B332E3"/>
    <w:rsid w:val="10BB33AB"/>
    <w:rsid w:val="10C55FD8"/>
    <w:rsid w:val="10CF6E57"/>
    <w:rsid w:val="10DC3590"/>
    <w:rsid w:val="10E21D49"/>
    <w:rsid w:val="10EA39CE"/>
    <w:rsid w:val="10F16DCD"/>
    <w:rsid w:val="10F22B45"/>
    <w:rsid w:val="10FB387F"/>
    <w:rsid w:val="10FB74BF"/>
    <w:rsid w:val="11050D56"/>
    <w:rsid w:val="110A0A81"/>
    <w:rsid w:val="111156C1"/>
    <w:rsid w:val="111972EE"/>
    <w:rsid w:val="111D5E14"/>
    <w:rsid w:val="112C24FB"/>
    <w:rsid w:val="112F3D99"/>
    <w:rsid w:val="113849FC"/>
    <w:rsid w:val="113B4A52"/>
    <w:rsid w:val="11470A12"/>
    <w:rsid w:val="11567B18"/>
    <w:rsid w:val="11764849"/>
    <w:rsid w:val="11770942"/>
    <w:rsid w:val="1178129C"/>
    <w:rsid w:val="117B32BD"/>
    <w:rsid w:val="11845641"/>
    <w:rsid w:val="1189710D"/>
    <w:rsid w:val="118E6D12"/>
    <w:rsid w:val="11943E04"/>
    <w:rsid w:val="11B20C52"/>
    <w:rsid w:val="11B372FF"/>
    <w:rsid w:val="11CA303C"/>
    <w:rsid w:val="11D11799"/>
    <w:rsid w:val="11D72467"/>
    <w:rsid w:val="11DA10D8"/>
    <w:rsid w:val="11DC0AA5"/>
    <w:rsid w:val="11ED22F7"/>
    <w:rsid w:val="11F32E4C"/>
    <w:rsid w:val="11F56C74"/>
    <w:rsid w:val="120D382A"/>
    <w:rsid w:val="121865DB"/>
    <w:rsid w:val="12193AFD"/>
    <w:rsid w:val="121C60CC"/>
    <w:rsid w:val="12295E7D"/>
    <w:rsid w:val="12305661"/>
    <w:rsid w:val="123E0DFD"/>
    <w:rsid w:val="124A30E0"/>
    <w:rsid w:val="124F5D9C"/>
    <w:rsid w:val="1256746E"/>
    <w:rsid w:val="125A03CD"/>
    <w:rsid w:val="127B5531"/>
    <w:rsid w:val="12832EBF"/>
    <w:rsid w:val="12841571"/>
    <w:rsid w:val="129D1301"/>
    <w:rsid w:val="12A96320"/>
    <w:rsid w:val="12B01397"/>
    <w:rsid w:val="12B33D73"/>
    <w:rsid w:val="12BB3B36"/>
    <w:rsid w:val="12CC34C2"/>
    <w:rsid w:val="12CD4BAE"/>
    <w:rsid w:val="12D40754"/>
    <w:rsid w:val="12D71EE1"/>
    <w:rsid w:val="12E6735C"/>
    <w:rsid w:val="12E8131E"/>
    <w:rsid w:val="12FB03D7"/>
    <w:rsid w:val="12FC58B1"/>
    <w:rsid w:val="12FE1C75"/>
    <w:rsid w:val="130C3C2A"/>
    <w:rsid w:val="1321612F"/>
    <w:rsid w:val="13300A18"/>
    <w:rsid w:val="133441B3"/>
    <w:rsid w:val="133B4C77"/>
    <w:rsid w:val="1346072F"/>
    <w:rsid w:val="134B6026"/>
    <w:rsid w:val="13510A26"/>
    <w:rsid w:val="13577E6F"/>
    <w:rsid w:val="135875D7"/>
    <w:rsid w:val="135D699C"/>
    <w:rsid w:val="135E2714"/>
    <w:rsid w:val="13650603"/>
    <w:rsid w:val="136829FF"/>
    <w:rsid w:val="13684E9C"/>
    <w:rsid w:val="136917E4"/>
    <w:rsid w:val="136B5578"/>
    <w:rsid w:val="136C3083"/>
    <w:rsid w:val="136F1779"/>
    <w:rsid w:val="137B5074"/>
    <w:rsid w:val="13893636"/>
    <w:rsid w:val="13961EAE"/>
    <w:rsid w:val="13987DB4"/>
    <w:rsid w:val="13A117B4"/>
    <w:rsid w:val="13B10E5E"/>
    <w:rsid w:val="13B32A60"/>
    <w:rsid w:val="13B363E0"/>
    <w:rsid w:val="13BB7B66"/>
    <w:rsid w:val="13BE7271"/>
    <w:rsid w:val="13C44B8A"/>
    <w:rsid w:val="13C540FC"/>
    <w:rsid w:val="13D8547C"/>
    <w:rsid w:val="13DA2BB2"/>
    <w:rsid w:val="13DC75A4"/>
    <w:rsid w:val="13E33120"/>
    <w:rsid w:val="13E62E35"/>
    <w:rsid w:val="13EC34E5"/>
    <w:rsid w:val="13FD3CDB"/>
    <w:rsid w:val="14190AC4"/>
    <w:rsid w:val="14245587"/>
    <w:rsid w:val="143D6344"/>
    <w:rsid w:val="143F0636"/>
    <w:rsid w:val="144B713C"/>
    <w:rsid w:val="144C0FB4"/>
    <w:rsid w:val="14575AE1"/>
    <w:rsid w:val="146464BB"/>
    <w:rsid w:val="146855F8"/>
    <w:rsid w:val="146A2CD4"/>
    <w:rsid w:val="146C3610"/>
    <w:rsid w:val="14706BA3"/>
    <w:rsid w:val="14740441"/>
    <w:rsid w:val="14807650"/>
    <w:rsid w:val="149B08DC"/>
    <w:rsid w:val="149E54BE"/>
    <w:rsid w:val="14C46D22"/>
    <w:rsid w:val="14C64A14"/>
    <w:rsid w:val="14CE59EA"/>
    <w:rsid w:val="14E24C7A"/>
    <w:rsid w:val="14E34525"/>
    <w:rsid w:val="14EC1F13"/>
    <w:rsid w:val="15131A84"/>
    <w:rsid w:val="152A6D51"/>
    <w:rsid w:val="153579F9"/>
    <w:rsid w:val="15393438"/>
    <w:rsid w:val="153F6FA5"/>
    <w:rsid w:val="15415E49"/>
    <w:rsid w:val="15491CF9"/>
    <w:rsid w:val="156009C5"/>
    <w:rsid w:val="15602773"/>
    <w:rsid w:val="1562473D"/>
    <w:rsid w:val="15845472"/>
    <w:rsid w:val="158F35DD"/>
    <w:rsid w:val="15952E5E"/>
    <w:rsid w:val="159E329B"/>
    <w:rsid w:val="15B500A8"/>
    <w:rsid w:val="15BE749A"/>
    <w:rsid w:val="15C54CCC"/>
    <w:rsid w:val="15D17368"/>
    <w:rsid w:val="15D418DD"/>
    <w:rsid w:val="15DC256D"/>
    <w:rsid w:val="15E05662"/>
    <w:rsid w:val="15E96C0C"/>
    <w:rsid w:val="15EC04AB"/>
    <w:rsid w:val="15EE7D7F"/>
    <w:rsid w:val="15F35C13"/>
    <w:rsid w:val="15F8213A"/>
    <w:rsid w:val="15F9269F"/>
    <w:rsid w:val="15FD5E75"/>
    <w:rsid w:val="15FF01DE"/>
    <w:rsid w:val="1600268E"/>
    <w:rsid w:val="160E6E14"/>
    <w:rsid w:val="161C45BB"/>
    <w:rsid w:val="161F262E"/>
    <w:rsid w:val="16257997"/>
    <w:rsid w:val="1626613E"/>
    <w:rsid w:val="162E2871"/>
    <w:rsid w:val="16351E52"/>
    <w:rsid w:val="16383B80"/>
    <w:rsid w:val="163D2AB4"/>
    <w:rsid w:val="16450C97"/>
    <w:rsid w:val="164E4CC1"/>
    <w:rsid w:val="16526560"/>
    <w:rsid w:val="16563013"/>
    <w:rsid w:val="16651F56"/>
    <w:rsid w:val="166D59E0"/>
    <w:rsid w:val="1675224E"/>
    <w:rsid w:val="16822CFB"/>
    <w:rsid w:val="168D108C"/>
    <w:rsid w:val="16924BAE"/>
    <w:rsid w:val="16977926"/>
    <w:rsid w:val="169E17A5"/>
    <w:rsid w:val="16A3500D"/>
    <w:rsid w:val="16A448E1"/>
    <w:rsid w:val="16A67A37"/>
    <w:rsid w:val="16AA7D9E"/>
    <w:rsid w:val="16B929F1"/>
    <w:rsid w:val="16C90357"/>
    <w:rsid w:val="16C94348"/>
    <w:rsid w:val="16CD5BE6"/>
    <w:rsid w:val="16D271E6"/>
    <w:rsid w:val="16D326D7"/>
    <w:rsid w:val="16DC407B"/>
    <w:rsid w:val="16F13850"/>
    <w:rsid w:val="16F26832"/>
    <w:rsid w:val="17144E25"/>
    <w:rsid w:val="17224E02"/>
    <w:rsid w:val="172779EC"/>
    <w:rsid w:val="172A128B"/>
    <w:rsid w:val="17334DF1"/>
    <w:rsid w:val="174540BD"/>
    <w:rsid w:val="17494CC2"/>
    <w:rsid w:val="174F49CD"/>
    <w:rsid w:val="175B5F64"/>
    <w:rsid w:val="175E7186"/>
    <w:rsid w:val="17620A24"/>
    <w:rsid w:val="1767603B"/>
    <w:rsid w:val="17793FC0"/>
    <w:rsid w:val="178751D9"/>
    <w:rsid w:val="17A10651"/>
    <w:rsid w:val="17A66FF5"/>
    <w:rsid w:val="17B84AE8"/>
    <w:rsid w:val="17BF6E6B"/>
    <w:rsid w:val="17CB09B1"/>
    <w:rsid w:val="17D06220"/>
    <w:rsid w:val="17D102E2"/>
    <w:rsid w:val="17E85AC5"/>
    <w:rsid w:val="17E92EF4"/>
    <w:rsid w:val="18027B12"/>
    <w:rsid w:val="18077A2D"/>
    <w:rsid w:val="180C0F2C"/>
    <w:rsid w:val="180C273E"/>
    <w:rsid w:val="181124EE"/>
    <w:rsid w:val="18167A61"/>
    <w:rsid w:val="182061EA"/>
    <w:rsid w:val="18324C3F"/>
    <w:rsid w:val="18345F44"/>
    <w:rsid w:val="18357EE7"/>
    <w:rsid w:val="183D3240"/>
    <w:rsid w:val="18430CCB"/>
    <w:rsid w:val="18522F76"/>
    <w:rsid w:val="185C7A25"/>
    <w:rsid w:val="1862578F"/>
    <w:rsid w:val="18695DE3"/>
    <w:rsid w:val="186E51A7"/>
    <w:rsid w:val="18770500"/>
    <w:rsid w:val="188D6746"/>
    <w:rsid w:val="188E5E55"/>
    <w:rsid w:val="18930C11"/>
    <w:rsid w:val="18A44846"/>
    <w:rsid w:val="18BB5017"/>
    <w:rsid w:val="18BD5362"/>
    <w:rsid w:val="18CC5500"/>
    <w:rsid w:val="18D019BE"/>
    <w:rsid w:val="18DA0A8E"/>
    <w:rsid w:val="18DC3B60"/>
    <w:rsid w:val="18E27836"/>
    <w:rsid w:val="18E637EA"/>
    <w:rsid w:val="18ED2570"/>
    <w:rsid w:val="18EE1B86"/>
    <w:rsid w:val="18F45C46"/>
    <w:rsid w:val="18F47881"/>
    <w:rsid w:val="18F733EE"/>
    <w:rsid w:val="18FC27B3"/>
    <w:rsid w:val="18FC310E"/>
    <w:rsid w:val="18FE29CF"/>
    <w:rsid w:val="19063631"/>
    <w:rsid w:val="19112EC7"/>
    <w:rsid w:val="19193365"/>
    <w:rsid w:val="19225659"/>
    <w:rsid w:val="19260509"/>
    <w:rsid w:val="19263CD4"/>
    <w:rsid w:val="19285748"/>
    <w:rsid w:val="193A6740"/>
    <w:rsid w:val="19566985"/>
    <w:rsid w:val="195720DF"/>
    <w:rsid w:val="195F7C30"/>
    <w:rsid w:val="196056B2"/>
    <w:rsid w:val="19661D96"/>
    <w:rsid w:val="19680B28"/>
    <w:rsid w:val="196B01BF"/>
    <w:rsid w:val="197A4BF2"/>
    <w:rsid w:val="19921369"/>
    <w:rsid w:val="19992FDC"/>
    <w:rsid w:val="19BC1F42"/>
    <w:rsid w:val="19BD63E6"/>
    <w:rsid w:val="19CE05F3"/>
    <w:rsid w:val="19E31EED"/>
    <w:rsid w:val="19F17E3E"/>
    <w:rsid w:val="19F85670"/>
    <w:rsid w:val="19FA5603"/>
    <w:rsid w:val="19FD1DFB"/>
    <w:rsid w:val="1A0738C1"/>
    <w:rsid w:val="1A074196"/>
    <w:rsid w:val="1A0A60E9"/>
    <w:rsid w:val="1A0D57CA"/>
    <w:rsid w:val="1A1324AA"/>
    <w:rsid w:val="1A147FD0"/>
    <w:rsid w:val="1A220020"/>
    <w:rsid w:val="1A481FA6"/>
    <w:rsid w:val="1A4E5290"/>
    <w:rsid w:val="1A530AF8"/>
    <w:rsid w:val="1A5823C6"/>
    <w:rsid w:val="1A643C5B"/>
    <w:rsid w:val="1A690C8F"/>
    <w:rsid w:val="1A6F19DF"/>
    <w:rsid w:val="1A804D46"/>
    <w:rsid w:val="1A9C7638"/>
    <w:rsid w:val="1A9E0504"/>
    <w:rsid w:val="1AAC7AE0"/>
    <w:rsid w:val="1AB570BD"/>
    <w:rsid w:val="1ABA6BE8"/>
    <w:rsid w:val="1ACC4407"/>
    <w:rsid w:val="1AD25EC1"/>
    <w:rsid w:val="1AD46E53"/>
    <w:rsid w:val="1AD80FFE"/>
    <w:rsid w:val="1AD95F08"/>
    <w:rsid w:val="1AE31E7C"/>
    <w:rsid w:val="1AE73298"/>
    <w:rsid w:val="1AE94D58"/>
    <w:rsid w:val="1AEB0D31"/>
    <w:rsid w:val="1B0818E3"/>
    <w:rsid w:val="1B0F0EC3"/>
    <w:rsid w:val="1B187FA0"/>
    <w:rsid w:val="1B206AFF"/>
    <w:rsid w:val="1B340308"/>
    <w:rsid w:val="1B363FB3"/>
    <w:rsid w:val="1B575FC4"/>
    <w:rsid w:val="1B581858"/>
    <w:rsid w:val="1B59213E"/>
    <w:rsid w:val="1B5A129B"/>
    <w:rsid w:val="1B726396"/>
    <w:rsid w:val="1B7F1479"/>
    <w:rsid w:val="1B811695"/>
    <w:rsid w:val="1B826631"/>
    <w:rsid w:val="1B8E2FB5"/>
    <w:rsid w:val="1B972C67"/>
    <w:rsid w:val="1B991227"/>
    <w:rsid w:val="1BA86FE3"/>
    <w:rsid w:val="1BB004AD"/>
    <w:rsid w:val="1BC229A4"/>
    <w:rsid w:val="1BC3238D"/>
    <w:rsid w:val="1BC451FA"/>
    <w:rsid w:val="1BC72FED"/>
    <w:rsid w:val="1BCB46BE"/>
    <w:rsid w:val="1BD73B3C"/>
    <w:rsid w:val="1BD87507"/>
    <w:rsid w:val="1BE51C24"/>
    <w:rsid w:val="1BEB246A"/>
    <w:rsid w:val="1BF11741"/>
    <w:rsid w:val="1BF73705"/>
    <w:rsid w:val="1C0025BA"/>
    <w:rsid w:val="1C00530A"/>
    <w:rsid w:val="1C016EFF"/>
    <w:rsid w:val="1C0E2F29"/>
    <w:rsid w:val="1C16002F"/>
    <w:rsid w:val="1C346708"/>
    <w:rsid w:val="1C381D54"/>
    <w:rsid w:val="1C3D55BC"/>
    <w:rsid w:val="1C420E24"/>
    <w:rsid w:val="1C485D0F"/>
    <w:rsid w:val="1C504EAB"/>
    <w:rsid w:val="1C512E16"/>
    <w:rsid w:val="1C5C1105"/>
    <w:rsid w:val="1C5E064B"/>
    <w:rsid w:val="1C5F76CC"/>
    <w:rsid w:val="1C681DB6"/>
    <w:rsid w:val="1C6D4038"/>
    <w:rsid w:val="1C7A236C"/>
    <w:rsid w:val="1CA12143"/>
    <w:rsid w:val="1CA23671"/>
    <w:rsid w:val="1CAB3B5A"/>
    <w:rsid w:val="1CAC629E"/>
    <w:rsid w:val="1CB41C92"/>
    <w:rsid w:val="1CBA09BB"/>
    <w:rsid w:val="1CBB2985"/>
    <w:rsid w:val="1CC17F9B"/>
    <w:rsid w:val="1CC96E50"/>
    <w:rsid w:val="1CCE4466"/>
    <w:rsid w:val="1CD0325F"/>
    <w:rsid w:val="1CD34CD9"/>
    <w:rsid w:val="1CE27AFE"/>
    <w:rsid w:val="1CF2439F"/>
    <w:rsid w:val="1CF245F9"/>
    <w:rsid w:val="1D0205B4"/>
    <w:rsid w:val="1D053ADB"/>
    <w:rsid w:val="1D083E1C"/>
    <w:rsid w:val="1D085BCA"/>
    <w:rsid w:val="1D0F1968"/>
    <w:rsid w:val="1D122720"/>
    <w:rsid w:val="1D1F4309"/>
    <w:rsid w:val="1D24481E"/>
    <w:rsid w:val="1D301809"/>
    <w:rsid w:val="1D37200B"/>
    <w:rsid w:val="1D453D13"/>
    <w:rsid w:val="1D4B1F5B"/>
    <w:rsid w:val="1D4E0DCB"/>
    <w:rsid w:val="1D5030CD"/>
    <w:rsid w:val="1D554B87"/>
    <w:rsid w:val="1D5F5A06"/>
    <w:rsid w:val="1D6B2D1C"/>
    <w:rsid w:val="1D6D3C7F"/>
    <w:rsid w:val="1D87544D"/>
    <w:rsid w:val="1D8B67FB"/>
    <w:rsid w:val="1D8B76AD"/>
    <w:rsid w:val="1D9822C6"/>
    <w:rsid w:val="1DA86D22"/>
    <w:rsid w:val="1DAD1AB6"/>
    <w:rsid w:val="1DB21FDA"/>
    <w:rsid w:val="1DB84052"/>
    <w:rsid w:val="1DBE272D"/>
    <w:rsid w:val="1DEB104E"/>
    <w:rsid w:val="1DF0665E"/>
    <w:rsid w:val="1DF45021"/>
    <w:rsid w:val="1DF90653"/>
    <w:rsid w:val="1DFC5003"/>
    <w:rsid w:val="1E0E5043"/>
    <w:rsid w:val="1E0F41EC"/>
    <w:rsid w:val="1E122A78"/>
    <w:rsid w:val="1E205195"/>
    <w:rsid w:val="1E2B4A54"/>
    <w:rsid w:val="1E2F7187"/>
    <w:rsid w:val="1E3511F3"/>
    <w:rsid w:val="1E3A48B1"/>
    <w:rsid w:val="1E422931"/>
    <w:rsid w:val="1E451C37"/>
    <w:rsid w:val="1E4723F1"/>
    <w:rsid w:val="1E5310C7"/>
    <w:rsid w:val="1E5B61F8"/>
    <w:rsid w:val="1E5C30C8"/>
    <w:rsid w:val="1E621C8E"/>
    <w:rsid w:val="1E694C6D"/>
    <w:rsid w:val="1E6F3F54"/>
    <w:rsid w:val="1E847584"/>
    <w:rsid w:val="1E8703FF"/>
    <w:rsid w:val="1E9623BB"/>
    <w:rsid w:val="1E9D2CA9"/>
    <w:rsid w:val="1EA913DC"/>
    <w:rsid w:val="1EB23191"/>
    <w:rsid w:val="1EB61656"/>
    <w:rsid w:val="1EBF357F"/>
    <w:rsid w:val="1EDA0C11"/>
    <w:rsid w:val="1EEC6612"/>
    <w:rsid w:val="1EF15053"/>
    <w:rsid w:val="1EF53F2C"/>
    <w:rsid w:val="1EFA027C"/>
    <w:rsid w:val="1EFB0FB2"/>
    <w:rsid w:val="1F0B0800"/>
    <w:rsid w:val="1F1620F4"/>
    <w:rsid w:val="1F212F73"/>
    <w:rsid w:val="1F243D61"/>
    <w:rsid w:val="1F3C0119"/>
    <w:rsid w:val="1F486752"/>
    <w:rsid w:val="1F4A3163"/>
    <w:rsid w:val="1F4D40E8"/>
    <w:rsid w:val="1F4E1084"/>
    <w:rsid w:val="1F515AC7"/>
    <w:rsid w:val="1F5868BE"/>
    <w:rsid w:val="1F5E41C7"/>
    <w:rsid w:val="1F63408D"/>
    <w:rsid w:val="1F721A21"/>
    <w:rsid w:val="1F7532BF"/>
    <w:rsid w:val="1F775289"/>
    <w:rsid w:val="1F90436C"/>
    <w:rsid w:val="1F910080"/>
    <w:rsid w:val="1F953961"/>
    <w:rsid w:val="1F9C4CF0"/>
    <w:rsid w:val="1FA40CD6"/>
    <w:rsid w:val="1FBC0EEE"/>
    <w:rsid w:val="1FC3402A"/>
    <w:rsid w:val="1FC57184"/>
    <w:rsid w:val="1FD8134E"/>
    <w:rsid w:val="1FDE74F9"/>
    <w:rsid w:val="1FE16BA6"/>
    <w:rsid w:val="201C7BDE"/>
    <w:rsid w:val="201F2242"/>
    <w:rsid w:val="20216FA3"/>
    <w:rsid w:val="20242025"/>
    <w:rsid w:val="202A5E57"/>
    <w:rsid w:val="20337402"/>
    <w:rsid w:val="20386DA2"/>
    <w:rsid w:val="203E7EF9"/>
    <w:rsid w:val="20407429"/>
    <w:rsid w:val="20510A2A"/>
    <w:rsid w:val="20592BE1"/>
    <w:rsid w:val="205B24B5"/>
    <w:rsid w:val="206F4A2B"/>
    <w:rsid w:val="206F54C4"/>
    <w:rsid w:val="207143EB"/>
    <w:rsid w:val="207812B9"/>
    <w:rsid w:val="20793D13"/>
    <w:rsid w:val="207D47DA"/>
    <w:rsid w:val="20875058"/>
    <w:rsid w:val="20896A66"/>
    <w:rsid w:val="20907F89"/>
    <w:rsid w:val="209E23A2"/>
    <w:rsid w:val="20A01F11"/>
    <w:rsid w:val="20A5599E"/>
    <w:rsid w:val="20A70EA1"/>
    <w:rsid w:val="20AA51EA"/>
    <w:rsid w:val="20AE4A92"/>
    <w:rsid w:val="20BC55C4"/>
    <w:rsid w:val="20BE2A44"/>
    <w:rsid w:val="20CA501D"/>
    <w:rsid w:val="20CE6D68"/>
    <w:rsid w:val="20E67BE0"/>
    <w:rsid w:val="20FE3242"/>
    <w:rsid w:val="20FF01A8"/>
    <w:rsid w:val="210C1A01"/>
    <w:rsid w:val="211749D8"/>
    <w:rsid w:val="211865F8"/>
    <w:rsid w:val="211A411E"/>
    <w:rsid w:val="211D776A"/>
    <w:rsid w:val="212B3679"/>
    <w:rsid w:val="213665E0"/>
    <w:rsid w:val="21384B83"/>
    <w:rsid w:val="213B5E42"/>
    <w:rsid w:val="21483265"/>
    <w:rsid w:val="21572348"/>
    <w:rsid w:val="21597A44"/>
    <w:rsid w:val="21617F9F"/>
    <w:rsid w:val="21690C01"/>
    <w:rsid w:val="21703D3E"/>
    <w:rsid w:val="2173382E"/>
    <w:rsid w:val="21771B35"/>
    <w:rsid w:val="217B6E8F"/>
    <w:rsid w:val="21867A05"/>
    <w:rsid w:val="218B6F16"/>
    <w:rsid w:val="218D2B42"/>
    <w:rsid w:val="219F0AC7"/>
    <w:rsid w:val="21A400A0"/>
    <w:rsid w:val="21A97250"/>
    <w:rsid w:val="21AE2AB8"/>
    <w:rsid w:val="21B0012A"/>
    <w:rsid w:val="21B14BD7"/>
    <w:rsid w:val="21B77BBF"/>
    <w:rsid w:val="21BA320B"/>
    <w:rsid w:val="21BE7D8E"/>
    <w:rsid w:val="21BF60EB"/>
    <w:rsid w:val="21C84315"/>
    <w:rsid w:val="21D141AB"/>
    <w:rsid w:val="21D246A9"/>
    <w:rsid w:val="21E5239A"/>
    <w:rsid w:val="21EA1D42"/>
    <w:rsid w:val="21EB6575"/>
    <w:rsid w:val="21F66939"/>
    <w:rsid w:val="21FB192E"/>
    <w:rsid w:val="220172ED"/>
    <w:rsid w:val="2217240B"/>
    <w:rsid w:val="222D4521"/>
    <w:rsid w:val="2230725F"/>
    <w:rsid w:val="223554C5"/>
    <w:rsid w:val="223E208E"/>
    <w:rsid w:val="223E3E3C"/>
    <w:rsid w:val="224A614F"/>
    <w:rsid w:val="224D0523"/>
    <w:rsid w:val="225C1F1F"/>
    <w:rsid w:val="22625D7D"/>
    <w:rsid w:val="22651ECE"/>
    <w:rsid w:val="22710E72"/>
    <w:rsid w:val="22801147"/>
    <w:rsid w:val="22811D43"/>
    <w:rsid w:val="22A31EF1"/>
    <w:rsid w:val="22B440FE"/>
    <w:rsid w:val="22B569E9"/>
    <w:rsid w:val="22B61C24"/>
    <w:rsid w:val="22B934C3"/>
    <w:rsid w:val="22BC0BF3"/>
    <w:rsid w:val="22C01AA7"/>
    <w:rsid w:val="22CE3412"/>
    <w:rsid w:val="22CE4F8B"/>
    <w:rsid w:val="22CF362F"/>
    <w:rsid w:val="22D56430"/>
    <w:rsid w:val="22D8424D"/>
    <w:rsid w:val="22E61751"/>
    <w:rsid w:val="22F242F0"/>
    <w:rsid w:val="22F550CA"/>
    <w:rsid w:val="22F95B0A"/>
    <w:rsid w:val="2302130E"/>
    <w:rsid w:val="23052BAC"/>
    <w:rsid w:val="230706D2"/>
    <w:rsid w:val="23076924"/>
    <w:rsid w:val="230A068C"/>
    <w:rsid w:val="23160915"/>
    <w:rsid w:val="231F3C6E"/>
    <w:rsid w:val="2322375E"/>
    <w:rsid w:val="232242AD"/>
    <w:rsid w:val="2322550C"/>
    <w:rsid w:val="23320F26"/>
    <w:rsid w:val="23332B2C"/>
    <w:rsid w:val="23345F4F"/>
    <w:rsid w:val="23475B35"/>
    <w:rsid w:val="234A44CD"/>
    <w:rsid w:val="234D0922"/>
    <w:rsid w:val="235C6C70"/>
    <w:rsid w:val="23614286"/>
    <w:rsid w:val="23623360"/>
    <w:rsid w:val="23651C9F"/>
    <w:rsid w:val="2375712B"/>
    <w:rsid w:val="23777AB7"/>
    <w:rsid w:val="2378337E"/>
    <w:rsid w:val="238D507B"/>
    <w:rsid w:val="238F60D5"/>
    <w:rsid w:val="239C7197"/>
    <w:rsid w:val="239D391D"/>
    <w:rsid w:val="239D70CC"/>
    <w:rsid w:val="23BA4FAC"/>
    <w:rsid w:val="23C22608"/>
    <w:rsid w:val="23CB16FF"/>
    <w:rsid w:val="23E8649C"/>
    <w:rsid w:val="23EB0582"/>
    <w:rsid w:val="23F23130"/>
    <w:rsid w:val="23F241A5"/>
    <w:rsid w:val="23FA5A14"/>
    <w:rsid w:val="24000931"/>
    <w:rsid w:val="2406231C"/>
    <w:rsid w:val="241412F8"/>
    <w:rsid w:val="241B61C8"/>
    <w:rsid w:val="2423778D"/>
    <w:rsid w:val="244377C9"/>
    <w:rsid w:val="244B0A92"/>
    <w:rsid w:val="24547BF1"/>
    <w:rsid w:val="246A716A"/>
    <w:rsid w:val="2473241F"/>
    <w:rsid w:val="24746E9C"/>
    <w:rsid w:val="2477734D"/>
    <w:rsid w:val="2483022C"/>
    <w:rsid w:val="24865DB9"/>
    <w:rsid w:val="24A16B4E"/>
    <w:rsid w:val="24A51F50"/>
    <w:rsid w:val="24A85EE5"/>
    <w:rsid w:val="24C22B02"/>
    <w:rsid w:val="24CD1023"/>
    <w:rsid w:val="24DE36B4"/>
    <w:rsid w:val="24EB5AC4"/>
    <w:rsid w:val="24EE6FC3"/>
    <w:rsid w:val="24F37160"/>
    <w:rsid w:val="24F43A2F"/>
    <w:rsid w:val="24F5112A"/>
    <w:rsid w:val="24F55EFC"/>
    <w:rsid w:val="25053949"/>
    <w:rsid w:val="250F2123"/>
    <w:rsid w:val="25145328"/>
    <w:rsid w:val="251903EC"/>
    <w:rsid w:val="2533755C"/>
    <w:rsid w:val="253A38C1"/>
    <w:rsid w:val="25490842"/>
    <w:rsid w:val="255167BA"/>
    <w:rsid w:val="25565941"/>
    <w:rsid w:val="255676EF"/>
    <w:rsid w:val="255D282B"/>
    <w:rsid w:val="256718FC"/>
    <w:rsid w:val="256911D0"/>
    <w:rsid w:val="256A6EF1"/>
    <w:rsid w:val="25755DC7"/>
    <w:rsid w:val="25787665"/>
    <w:rsid w:val="25812C6B"/>
    <w:rsid w:val="25826536"/>
    <w:rsid w:val="2589043C"/>
    <w:rsid w:val="259C77F7"/>
    <w:rsid w:val="25A76CA1"/>
    <w:rsid w:val="25B85CA6"/>
    <w:rsid w:val="25B924F3"/>
    <w:rsid w:val="25D774E6"/>
    <w:rsid w:val="25DB557C"/>
    <w:rsid w:val="25E20F82"/>
    <w:rsid w:val="25FA451E"/>
    <w:rsid w:val="260B2287"/>
    <w:rsid w:val="260B672B"/>
    <w:rsid w:val="260E3B25"/>
    <w:rsid w:val="26170C2C"/>
    <w:rsid w:val="261750D0"/>
    <w:rsid w:val="26222264"/>
    <w:rsid w:val="26280DF4"/>
    <w:rsid w:val="262F59B5"/>
    <w:rsid w:val="263539EF"/>
    <w:rsid w:val="263A2B6C"/>
    <w:rsid w:val="26435EC5"/>
    <w:rsid w:val="264834DB"/>
    <w:rsid w:val="26593253"/>
    <w:rsid w:val="267E0CAB"/>
    <w:rsid w:val="267E5CB6"/>
    <w:rsid w:val="267E6EFD"/>
    <w:rsid w:val="268D2DA0"/>
    <w:rsid w:val="26955FF5"/>
    <w:rsid w:val="26977AEE"/>
    <w:rsid w:val="269E134D"/>
    <w:rsid w:val="26A24A66"/>
    <w:rsid w:val="26BE2301"/>
    <w:rsid w:val="26CC0ECA"/>
    <w:rsid w:val="26D332DC"/>
    <w:rsid w:val="26D46DA1"/>
    <w:rsid w:val="26D66D39"/>
    <w:rsid w:val="26E41910"/>
    <w:rsid w:val="27035654"/>
    <w:rsid w:val="270E58BE"/>
    <w:rsid w:val="270F5BCF"/>
    <w:rsid w:val="27125E21"/>
    <w:rsid w:val="272623F8"/>
    <w:rsid w:val="2728673D"/>
    <w:rsid w:val="272E0923"/>
    <w:rsid w:val="2751016E"/>
    <w:rsid w:val="27541A0C"/>
    <w:rsid w:val="276A1EBA"/>
    <w:rsid w:val="276E08C0"/>
    <w:rsid w:val="27763384"/>
    <w:rsid w:val="2779507C"/>
    <w:rsid w:val="277E2C49"/>
    <w:rsid w:val="278422F1"/>
    <w:rsid w:val="279010FF"/>
    <w:rsid w:val="27924C4A"/>
    <w:rsid w:val="27936A9B"/>
    <w:rsid w:val="279544FE"/>
    <w:rsid w:val="27983FEE"/>
    <w:rsid w:val="279C2917"/>
    <w:rsid w:val="279F519A"/>
    <w:rsid w:val="27A45517"/>
    <w:rsid w:val="27A527DE"/>
    <w:rsid w:val="27AA5AD0"/>
    <w:rsid w:val="27B01338"/>
    <w:rsid w:val="27B97A3A"/>
    <w:rsid w:val="27BF5A1F"/>
    <w:rsid w:val="27C22649"/>
    <w:rsid w:val="27C363FA"/>
    <w:rsid w:val="27C46B92"/>
    <w:rsid w:val="27C82E0F"/>
    <w:rsid w:val="27C923FA"/>
    <w:rsid w:val="27D50D9F"/>
    <w:rsid w:val="27DB34DA"/>
    <w:rsid w:val="27DC037F"/>
    <w:rsid w:val="27F42830"/>
    <w:rsid w:val="280129BA"/>
    <w:rsid w:val="280E29C8"/>
    <w:rsid w:val="28154197"/>
    <w:rsid w:val="282370EA"/>
    <w:rsid w:val="282910EA"/>
    <w:rsid w:val="282A31F1"/>
    <w:rsid w:val="28331903"/>
    <w:rsid w:val="283420B1"/>
    <w:rsid w:val="28412892"/>
    <w:rsid w:val="284506AF"/>
    <w:rsid w:val="28575C58"/>
    <w:rsid w:val="28637626"/>
    <w:rsid w:val="287C56BE"/>
    <w:rsid w:val="28922842"/>
    <w:rsid w:val="289522DC"/>
    <w:rsid w:val="289C7B0E"/>
    <w:rsid w:val="28AA5BC6"/>
    <w:rsid w:val="28B135BA"/>
    <w:rsid w:val="28B37BA6"/>
    <w:rsid w:val="28B81B5C"/>
    <w:rsid w:val="28C672A8"/>
    <w:rsid w:val="28CD286D"/>
    <w:rsid w:val="28D42E04"/>
    <w:rsid w:val="28D63020"/>
    <w:rsid w:val="28D92B11"/>
    <w:rsid w:val="28ED0D31"/>
    <w:rsid w:val="28F2772E"/>
    <w:rsid w:val="28F72945"/>
    <w:rsid w:val="28F90ABD"/>
    <w:rsid w:val="28FE4DEC"/>
    <w:rsid w:val="28FE60C3"/>
    <w:rsid w:val="29086F52"/>
    <w:rsid w:val="291104DB"/>
    <w:rsid w:val="29373393"/>
    <w:rsid w:val="2941433C"/>
    <w:rsid w:val="29423D72"/>
    <w:rsid w:val="295108F9"/>
    <w:rsid w:val="295E607F"/>
    <w:rsid w:val="296A19BB"/>
    <w:rsid w:val="29736AC1"/>
    <w:rsid w:val="29763EBB"/>
    <w:rsid w:val="298567F4"/>
    <w:rsid w:val="2987256D"/>
    <w:rsid w:val="29894181"/>
    <w:rsid w:val="298F4F7D"/>
    <w:rsid w:val="29915199"/>
    <w:rsid w:val="2996683F"/>
    <w:rsid w:val="29B2695E"/>
    <w:rsid w:val="29B9024C"/>
    <w:rsid w:val="29C7365C"/>
    <w:rsid w:val="29C966E1"/>
    <w:rsid w:val="29D55086"/>
    <w:rsid w:val="29E277A3"/>
    <w:rsid w:val="29F70D19"/>
    <w:rsid w:val="29F80D74"/>
    <w:rsid w:val="29F86FC6"/>
    <w:rsid w:val="2A026DDA"/>
    <w:rsid w:val="2A0C569A"/>
    <w:rsid w:val="2A207EBE"/>
    <w:rsid w:val="2A2403B3"/>
    <w:rsid w:val="2A24682F"/>
    <w:rsid w:val="2A2542B1"/>
    <w:rsid w:val="2A2803A2"/>
    <w:rsid w:val="2A282CB7"/>
    <w:rsid w:val="2A3B1CD8"/>
    <w:rsid w:val="2A4D1C04"/>
    <w:rsid w:val="2A505ABB"/>
    <w:rsid w:val="2A5A6D09"/>
    <w:rsid w:val="2A5C7555"/>
    <w:rsid w:val="2A5F7045"/>
    <w:rsid w:val="2A636B36"/>
    <w:rsid w:val="2A64640A"/>
    <w:rsid w:val="2A6C49E2"/>
    <w:rsid w:val="2A71013E"/>
    <w:rsid w:val="2A7F0300"/>
    <w:rsid w:val="2A7F518B"/>
    <w:rsid w:val="2A946CEF"/>
    <w:rsid w:val="2AA932E7"/>
    <w:rsid w:val="2AAB4039"/>
    <w:rsid w:val="2AAE7F81"/>
    <w:rsid w:val="2ABA24CE"/>
    <w:rsid w:val="2AC35845"/>
    <w:rsid w:val="2ACA2711"/>
    <w:rsid w:val="2AD92954"/>
    <w:rsid w:val="2ADB2B70"/>
    <w:rsid w:val="2ADB79D1"/>
    <w:rsid w:val="2ADC2444"/>
    <w:rsid w:val="2AEF03C9"/>
    <w:rsid w:val="2AF21C68"/>
    <w:rsid w:val="2B0F45B6"/>
    <w:rsid w:val="2B1402D6"/>
    <w:rsid w:val="2B2143CC"/>
    <w:rsid w:val="2B261911"/>
    <w:rsid w:val="2B262EC6"/>
    <w:rsid w:val="2B30453E"/>
    <w:rsid w:val="2B316DE0"/>
    <w:rsid w:val="2B4746D6"/>
    <w:rsid w:val="2B490A56"/>
    <w:rsid w:val="2B4B02A9"/>
    <w:rsid w:val="2B510E7D"/>
    <w:rsid w:val="2B5D7D13"/>
    <w:rsid w:val="2B66245D"/>
    <w:rsid w:val="2B6A1424"/>
    <w:rsid w:val="2B732DA8"/>
    <w:rsid w:val="2B746B21"/>
    <w:rsid w:val="2B75075B"/>
    <w:rsid w:val="2B880114"/>
    <w:rsid w:val="2B886323"/>
    <w:rsid w:val="2B8F74B6"/>
    <w:rsid w:val="2B9151BF"/>
    <w:rsid w:val="2B965EA7"/>
    <w:rsid w:val="2BA54F29"/>
    <w:rsid w:val="2BA63136"/>
    <w:rsid w:val="2BA96401"/>
    <w:rsid w:val="2BAB0E80"/>
    <w:rsid w:val="2BAC273D"/>
    <w:rsid w:val="2BAC62BA"/>
    <w:rsid w:val="2BAD07E2"/>
    <w:rsid w:val="2BBD5E0C"/>
    <w:rsid w:val="2BBF4052"/>
    <w:rsid w:val="2BC8409A"/>
    <w:rsid w:val="2BCE6231"/>
    <w:rsid w:val="2BD74490"/>
    <w:rsid w:val="2BD83508"/>
    <w:rsid w:val="2BE974B9"/>
    <w:rsid w:val="2BEE0864"/>
    <w:rsid w:val="2BFF463C"/>
    <w:rsid w:val="2C0E0D23"/>
    <w:rsid w:val="2C1C51EE"/>
    <w:rsid w:val="2C2C2488"/>
    <w:rsid w:val="2C302A48"/>
    <w:rsid w:val="2C336309"/>
    <w:rsid w:val="2C35005E"/>
    <w:rsid w:val="2C3818FC"/>
    <w:rsid w:val="2C3F712F"/>
    <w:rsid w:val="2C401DFA"/>
    <w:rsid w:val="2C5524AE"/>
    <w:rsid w:val="2C6B3A80"/>
    <w:rsid w:val="2C7063B4"/>
    <w:rsid w:val="2C7C5C8D"/>
    <w:rsid w:val="2C840854"/>
    <w:rsid w:val="2C8A4A20"/>
    <w:rsid w:val="2C8D1C48"/>
    <w:rsid w:val="2C92742C"/>
    <w:rsid w:val="2CA433CB"/>
    <w:rsid w:val="2CA70830"/>
    <w:rsid w:val="2CA90A4C"/>
    <w:rsid w:val="2CAA6706"/>
    <w:rsid w:val="2CAB0320"/>
    <w:rsid w:val="2CB96370"/>
    <w:rsid w:val="2CC66F08"/>
    <w:rsid w:val="2CC94C4A"/>
    <w:rsid w:val="2CCE2260"/>
    <w:rsid w:val="2CDA39A0"/>
    <w:rsid w:val="2CDC672B"/>
    <w:rsid w:val="2CDD2F33"/>
    <w:rsid w:val="2CDF621C"/>
    <w:rsid w:val="2CF03F85"/>
    <w:rsid w:val="2CF972DD"/>
    <w:rsid w:val="2CFC5020"/>
    <w:rsid w:val="2CFE66A2"/>
    <w:rsid w:val="2CFE69AB"/>
    <w:rsid w:val="2D0A3299"/>
    <w:rsid w:val="2D0A62AC"/>
    <w:rsid w:val="2D0D0FDB"/>
    <w:rsid w:val="2D121481"/>
    <w:rsid w:val="2D1660E1"/>
    <w:rsid w:val="2D1F6CCF"/>
    <w:rsid w:val="2D216218"/>
    <w:rsid w:val="2D261C60"/>
    <w:rsid w:val="2D377E06"/>
    <w:rsid w:val="2D3F3249"/>
    <w:rsid w:val="2D4228B3"/>
    <w:rsid w:val="2D546C0A"/>
    <w:rsid w:val="2D664D43"/>
    <w:rsid w:val="2D6F57F1"/>
    <w:rsid w:val="2D785FB9"/>
    <w:rsid w:val="2D78607F"/>
    <w:rsid w:val="2D7C300A"/>
    <w:rsid w:val="2D8D3ECA"/>
    <w:rsid w:val="2D8E33FB"/>
    <w:rsid w:val="2D8F379E"/>
    <w:rsid w:val="2D9D235F"/>
    <w:rsid w:val="2DAA05D8"/>
    <w:rsid w:val="2DAB617C"/>
    <w:rsid w:val="2DBB0A37"/>
    <w:rsid w:val="2DBF0527"/>
    <w:rsid w:val="2DC57199"/>
    <w:rsid w:val="2DCB62A3"/>
    <w:rsid w:val="2DD44439"/>
    <w:rsid w:val="2E083F3B"/>
    <w:rsid w:val="2E0F261D"/>
    <w:rsid w:val="2E183793"/>
    <w:rsid w:val="2E196C4A"/>
    <w:rsid w:val="2E3B4E0B"/>
    <w:rsid w:val="2E4E527B"/>
    <w:rsid w:val="2E5B4C9B"/>
    <w:rsid w:val="2E623499"/>
    <w:rsid w:val="2E6764C9"/>
    <w:rsid w:val="2E6855F6"/>
    <w:rsid w:val="2E6E7857"/>
    <w:rsid w:val="2E7528AB"/>
    <w:rsid w:val="2E7A2976"/>
    <w:rsid w:val="2E84707B"/>
    <w:rsid w:val="2E8E1454"/>
    <w:rsid w:val="2E8E4F7F"/>
    <w:rsid w:val="2E8F6794"/>
    <w:rsid w:val="2E996208"/>
    <w:rsid w:val="2E9D013C"/>
    <w:rsid w:val="2EA56411"/>
    <w:rsid w:val="2EA7199A"/>
    <w:rsid w:val="2EAA0E5A"/>
    <w:rsid w:val="2EAF13CF"/>
    <w:rsid w:val="2EB37960"/>
    <w:rsid w:val="2EB94E57"/>
    <w:rsid w:val="2EBD14BC"/>
    <w:rsid w:val="2EC02CA1"/>
    <w:rsid w:val="2EC45F7C"/>
    <w:rsid w:val="2EC61441"/>
    <w:rsid w:val="2EE57E42"/>
    <w:rsid w:val="2EE8112F"/>
    <w:rsid w:val="2EF75A9F"/>
    <w:rsid w:val="2EF835C5"/>
    <w:rsid w:val="2F025BDF"/>
    <w:rsid w:val="2F046C5A"/>
    <w:rsid w:val="2F06464D"/>
    <w:rsid w:val="2F0A3A24"/>
    <w:rsid w:val="2F171749"/>
    <w:rsid w:val="2F182CE6"/>
    <w:rsid w:val="2F27066E"/>
    <w:rsid w:val="2F2D624F"/>
    <w:rsid w:val="2F2F348A"/>
    <w:rsid w:val="2F3A3BDD"/>
    <w:rsid w:val="2F4A2072"/>
    <w:rsid w:val="2F566C69"/>
    <w:rsid w:val="2F5729E1"/>
    <w:rsid w:val="2F5A7DDB"/>
    <w:rsid w:val="2F601896"/>
    <w:rsid w:val="2F666935"/>
    <w:rsid w:val="2F752008"/>
    <w:rsid w:val="2F8337D6"/>
    <w:rsid w:val="2F893A0E"/>
    <w:rsid w:val="2F8B2EB9"/>
    <w:rsid w:val="2F9037FD"/>
    <w:rsid w:val="2F923A19"/>
    <w:rsid w:val="2FAA7CA3"/>
    <w:rsid w:val="2FAA7E40"/>
    <w:rsid w:val="2FAF6379"/>
    <w:rsid w:val="2FB248C3"/>
    <w:rsid w:val="2FB36551"/>
    <w:rsid w:val="2FB7522E"/>
    <w:rsid w:val="2FBC2844"/>
    <w:rsid w:val="2FBE65BC"/>
    <w:rsid w:val="2FD84CAE"/>
    <w:rsid w:val="2FF05A81"/>
    <w:rsid w:val="2FF344B8"/>
    <w:rsid w:val="2FF417D9"/>
    <w:rsid w:val="3002294D"/>
    <w:rsid w:val="300466C5"/>
    <w:rsid w:val="300701D9"/>
    <w:rsid w:val="301104EC"/>
    <w:rsid w:val="30133FEC"/>
    <w:rsid w:val="30153013"/>
    <w:rsid w:val="30153334"/>
    <w:rsid w:val="301949EE"/>
    <w:rsid w:val="301B57BD"/>
    <w:rsid w:val="30275F10"/>
    <w:rsid w:val="302C79CA"/>
    <w:rsid w:val="30360848"/>
    <w:rsid w:val="303A4B90"/>
    <w:rsid w:val="305112C3"/>
    <w:rsid w:val="30527354"/>
    <w:rsid w:val="30550CCF"/>
    <w:rsid w:val="30601421"/>
    <w:rsid w:val="306276FE"/>
    <w:rsid w:val="307003A6"/>
    <w:rsid w:val="30866529"/>
    <w:rsid w:val="308974AE"/>
    <w:rsid w:val="308B29B1"/>
    <w:rsid w:val="309410C2"/>
    <w:rsid w:val="30A25EDE"/>
    <w:rsid w:val="30B20672"/>
    <w:rsid w:val="30B27249"/>
    <w:rsid w:val="30B40AB9"/>
    <w:rsid w:val="30BA4FD6"/>
    <w:rsid w:val="30C36E5E"/>
    <w:rsid w:val="30CF42B4"/>
    <w:rsid w:val="30DF2C8E"/>
    <w:rsid w:val="30E107B4"/>
    <w:rsid w:val="30E51140"/>
    <w:rsid w:val="30EB0EA9"/>
    <w:rsid w:val="30EE1123"/>
    <w:rsid w:val="30F85C3B"/>
    <w:rsid w:val="30FD0AD3"/>
    <w:rsid w:val="31022D6A"/>
    <w:rsid w:val="310C0E96"/>
    <w:rsid w:val="311566B0"/>
    <w:rsid w:val="31171EC5"/>
    <w:rsid w:val="31283645"/>
    <w:rsid w:val="312A215B"/>
    <w:rsid w:val="312C253A"/>
    <w:rsid w:val="313409B9"/>
    <w:rsid w:val="31362BB3"/>
    <w:rsid w:val="314011DB"/>
    <w:rsid w:val="31456F95"/>
    <w:rsid w:val="314B0284"/>
    <w:rsid w:val="314E2C27"/>
    <w:rsid w:val="31533C64"/>
    <w:rsid w:val="31575186"/>
    <w:rsid w:val="315F3DDA"/>
    <w:rsid w:val="316030CA"/>
    <w:rsid w:val="31675F59"/>
    <w:rsid w:val="316D029A"/>
    <w:rsid w:val="316F26AD"/>
    <w:rsid w:val="317433D6"/>
    <w:rsid w:val="31754028"/>
    <w:rsid w:val="317C036E"/>
    <w:rsid w:val="317E4255"/>
    <w:rsid w:val="31A22367"/>
    <w:rsid w:val="31A23020"/>
    <w:rsid w:val="31A2473F"/>
    <w:rsid w:val="31A359FC"/>
    <w:rsid w:val="31AD4B3A"/>
    <w:rsid w:val="31AE65B8"/>
    <w:rsid w:val="31AF2249"/>
    <w:rsid w:val="31B732C3"/>
    <w:rsid w:val="31BA0EA5"/>
    <w:rsid w:val="31C0486E"/>
    <w:rsid w:val="31D40319"/>
    <w:rsid w:val="31D64821"/>
    <w:rsid w:val="31D64EC5"/>
    <w:rsid w:val="31D65E3F"/>
    <w:rsid w:val="31D71BB7"/>
    <w:rsid w:val="31DD5420"/>
    <w:rsid w:val="31EB0362"/>
    <w:rsid w:val="31FA1445"/>
    <w:rsid w:val="31FB3AF8"/>
    <w:rsid w:val="31FC04FB"/>
    <w:rsid w:val="31FE0EF2"/>
    <w:rsid w:val="32035938"/>
    <w:rsid w:val="32075108"/>
    <w:rsid w:val="320E382B"/>
    <w:rsid w:val="32137FDB"/>
    <w:rsid w:val="32142089"/>
    <w:rsid w:val="32186458"/>
    <w:rsid w:val="322748ED"/>
    <w:rsid w:val="32317ABF"/>
    <w:rsid w:val="32322078"/>
    <w:rsid w:val="3234700A"/>
    <w:rsid w:val="32353291"/>
    <w:rsid w:val="325D18AF"/>
    <w:rsid w:val="32655036"/>
    <w:rsid w:val="32697CF5"/>
    <w:rsid w:val="32737410"/>
    <w:rsid w:val="327D450D"/>
    <w:rsid w:val="32833F68"/>
    <w:rsid w:val="32885138"/>
    <w:rsid w:val="32902492"/>
    <w:rsid w:val="329448A6"/>
    <w:rsid w:val="32994503"/>
    <w:rsid w:val="329D4BAF"/>
    <w:rsid w:val="329F2634"/>
    <w:rsid w:val="32B85544"/>
    <w:rsid w:val="32C4309F"/>
    <w:rsid w:val="32D06BC0"/>
    <w:rsid w:val="32D6677D"/>
    <w:rsid w:val="32DA195F"/>
    <w:rsid w:val="32DB0F7C"/>
    <w:rsid w:val="32DB47FF"/>
    <w:rsid w:val="32DB4B37"/>
    <w:rsid w:val="32E54213"/>
    <w:rsid w:val="32EA3FE2"/>
    <w:rsid w:val="32EF7C1D"/>
    <w:rsid w:val="331658DE"/>
    <w:rsid w:val="331C3A9A"/>
    <w:rsid w:val="3321758E"/>
    <w:rsid w:val="33251FB9"/>
    <w:rsid w:val="33340FA4"/>
    <w:rsid w:val="33361C3D"/>
    <w:rsid w:val="33384CA1"/>
    <w:rsid w:val="33435756"/>
    <w:rsid w:val="33471930"/>
    <w:rsid w:val="33572FB0"/>
    <w:rsid w:val="335D1CC5"/>
    <w:rsid w:val="33661445"/>
    <w:rsid w:val="33751F41"/>
    <w:rsid w:val="337D5EB4"/>
    <w:rsid w:val="337D6587"/>
    <w:rsid w:val="337E7BF7"/>
    <w:rsid w:val="339139D3"/>
    <w:rsid w:val="339562DA"/>
    <w:rsid w:val="339B5B37"/>
    <w:rsid w:val="33BB606C"/>
    <w:rsid w:val="33C10429"/>
    <w:rsid w:val="33C5697B"/>
    <w:rsid w:val="33D56AE0"/>
    <w:rsid w:val="33D92F7A"/>
    <w:rsid w:val="33E32A95"/>
    <w:rsid w:val="33E800AC"/>
    <w:rsid w:val="33EA422B"/>
    <w:rsid w:val="33F407FF"/>
    <w:rsid w:val="340D366E"/>
    <w:rsid w:val="34121EC5"/>
    <w:rsid w:val="341449FD"/>
    <w:rsid w:val="34153282"/>
    <w:rsid w:val="3416543E"/>
    <w:rsid w:val="3417273F"/>
    <w:rsid w:val="341F3B92"/>
    <w:rsid w:val="342F3BA3"/>
    <w:rsid w:val="343313EF"/>
    <w:rsid w:val="343D21A6"/>
    <w:rsid w:val="34403A44"/>
    <w:rsid w:val="34592D57"/>
    <w:rsid w:val="34594B05"/>
    <w:rsid w:val="34651F7F"/>
    <w:rsid w:val="346F4329"/>
    <w:rsid w:val="347579EB"/>
    <w:rsid w:val="34802290"/>
    <w:rsid w:val="34907B91"/>
    <w:rsid w:val="34923F3A"/>
    <w:rsid w:val="349873DC"/>
    <w:rsid w:val="349F46E1"/>
    <w:rsid w:val="34A22009"/>
    <w:rsid w:val="34B03955"/>
    <w:rsid w:val="34C75F13"/>
    <w:rsid w:val="34CA77B1"/>
    <w:rsid w:val="34CF6B76"/>
    <w:rsid w:val="34D348B8"/>
    <w:rsid w:val="34E5114A"/>
    <w:rsid w:val="34E54854"/>
    <w:rsid w:val="34EB58BD"/>
    <w:rsid w:val="34EC3F9F"/>
    <w:rsid w:val="34FA62E8"/>
    <w:rsid w:val="34FF56AD"/>
    <w:rsid w:val="35105C34"/>
    <w:rsid w:val="351A72AD"/>
    <w:rsid w:val="352300E7"/>
    <w:rsid w:val="352E3D4F"/>
    <w:rsid w:val="354444AC"/>
    <w:rsid w:val="355F7EFA"/>
    <w:rsid w:val="356419B4"/>
    <w:rsid w:val="357B0781"/>
    <w:rsid w:val="357D01F7"/>
    <w:rsid w:val="35811B60"/>
    <w:rsid w:val="35824F96"/>
    <w:rsid w:val="35AE3564"/>
    <w:rsid w:val="35B73253"/>
    <w:rsid w:val="35BC36A0"/>
    <w:rsid w:val="35C366DA"/>
    <w:rsid w:val="35C651C7"/>
    <w:rsid w:val="35CC5FB4"/>
    <w:rsid w:val="35DF2CCC"/>
    <w:rsid w:val="35EF10B3"/>
    <w:rsid w:val="35F9034E"/>
    <w:rsid w:val="361F1786"/>
    <w:rsid w:val="36252EF1"/>
    <w:rsid w:val="362C191C"/>
    <w:rsid w:val="363650FE"/>
    <w:rsid w:val="363A3E94"/>
    <w:rsid w:val="363E4169"/>
    <w:rsid w:val="364C5817"/>
    <w:rsid w:val="364D069A"/>
    <w:rsid w:val="364F4412"/>
    <w:rsid w:val="36525CB0"/>
    <w:rsid w:val="36541F37"/>
    <w:rsid w:val="366205A6"/>
    <w:rsid w:val="366C3230"/>
    <w:rsid w:val="367871E9"/>
    <w:rsid w:val="36806379"/>
    <w:rsid w:val="368A1C5C"/>
    <w:rsid w:val="368C2F70"/>
    <w:rsid w:val="368E4C10"/>
    <w:rsid w:val="368F0CB2"/>
    <w:rsid w:val="369E4A52"/>
    <w:rsid w:val="36C070BE"/>
    <w:rsid w:val="36CC5A63"/>
    <w:rsid w:val="36D6705D"/>
    <w:rsid w:val="36D80507"/>
    <w:rsid w:val="36D95F89"/>
    <w:rsid w:val="36E3362D"/>
    <w:rsid w:val="36E83F1F"/>
    <w:rsid w:val="36EF34FF"/>
    <w:rsid w:val="36F5338D"/>
    <w:rsid w:val="36F626F5"/>
    <w:rsid w:val="36F67457"/>
    <w:rsid w:val="37005384"/>
    <w:rsid w:val="370116CC"/>
    <w:rsid w:val="370451FC"/>
    <w:rsid w:val="3707541C"/>
    <w:rsid w:val="37184804"/>
    <w:rsid w:val="371A057C"/>
    <w:rsid w:val="371F40D7"/>
    <w:rsid w:val="37272C99"/>
    <w:rsid w:val="372907BF"/>
    <w:rsid w:val="37357164"/>
    <w:rsid w:val="373C3BD5"/>
    <w:rsid w:val="37490E61"/>
    <w:rsid w:val="374A4272"/>
    <w:rsid w:val="37607F59"/>
    <w:rsid w:val="378E0F6A"/>
    <w:rsid w:val="379028BA"/>
    <w:rsid w:val="379A126C"/>
    <w:rsid w:val="379A346B"/>
    <w:rsid w:val="379D5206"/>
    <w:rsid w:val="37A4078E"/>
    <w:rsid w:val="37A8202C"/>
    <w:rsid w:val="37B620F4"/>
    <w:rsid w:val="37BC7885"/>
    <w:rsid w:val="37BF4F82"/>
    <w:rsid w:val="37D80A3B"/>
    <w:rsid w:val="37DF3574"/>
    <w:rsid w:val="37F85831"/>
    <w:rsid w:val="38066D52"/>
    <w:rsid w:val="380A0E63"/>
    <w:rsid w:val="38163139"/>
    <w:rsid w:val="381A4397"/>
    <w:rsid w:val="381F3945"/>
    <w:rsid w:val="38253A2D"/>
    <w:rsid w:val="38332099"/>
    <w:rsid w:val="383A3F02"/>
    <w:rsid w:val="383B234D"/>
    <w:rsid w:val="38402264"/>
    <w:rsid w:val="384956BC"/>
    <w:rsid w:val="384F06F9"/>
    <w:rsid w:val="38527D74"/>
    <w:rsid w:val="385E26EA"/>
    <w:rsid w:val="38697999"/>
    <w:rsid w:val="38730223"/>
    <w:rsid w:val="388572C9"/>
    <w:rsid w:val="38864D4B"/>
    <w:rsid w:val="388F1DD7"/>
    <w:rsid w:val="38912AC0"/>
    <w:rsid w:val="38A24CCD"/>
    <w:rsid w:val="38AE268C"/>
    <w:rsid w:val="38AE3672"/>
    <w:rsid w:val="38C84008"/>
    <w:rsid w:val="38CF183A"/>
    <w:rsid w:val="38DD7AB3"/>
    <w:rsid w:val="38E01351"/>
    <w:rsid w:val="38E27663"/>
    <w:rsid w:val="38F372D7"/>
    <w:rsid w:val="39161217"/>
    <w:rsid w:val="391B05DB"/>
    <w:rsid w:val="39285E1A"/>
    <w:rsid w:val="394538AA"/>
    <w:rsid w:val="39456083"/>
    <w:rsid w:val="39504729"/>
    <w:rsid w:val="39537885"/>
    <w:rsid w:val="3955411F"/>
    <w:rsid w:val="395B6028"/>
    <w:rsid w:val="39691347"/>
    <w:rsid w:val="396957EB"/>
    <w:rsid w:val="396E5985"/>
    <w:rsid w:val="396F3A7C"/>
    <w:rsid w:val="397F500E"/>
    <w:rsid w:val="39806B4E"/>
    <w:rsid w:val="39820A82"/>
    <w:rsid w:val="39934616"/>
    <w:rsid w:val="399E325D"/>
    <w:rsid w:val="399F0A89"/>
    <w:rsid w:val="399F4147"/>
    <w:rsid w:val="39AA790D"/>
    <w:rsid w:val="39B23486"/>
    <w:rsid w:val="39C3314D"/>
    <w:rsid w:val="39E9692C"/>
    <w:rsid w:val="3A03088E"/>
    <w:rsid w:val="3A124BCC"/>
    <w:rsid w:val="3A1741DD"/>
    <w:rsid w:val="3A1E4827"/>
    <w:rsid w:val="3A1F40FB"/>
    <w:rsid w:val="3A255BB6"/>
    <w:rsid w:val="3A2C1BA2"/>
    <w:rsid w:val="3A2F2590"/>
    <w:rsid w:val="3A355F37"/>
    <w:rsid w:val="3A3D12A3"/>
    <w:rsid w:val="3A3E5824"/>
    <w:rsid w:val="3A3F1B1E"/>
    <w:rsid w:val="3A414072"/>
    <w:rsid w:val="3A4A56FD"/>
    <w:rsid w:val="3A563FC1"/>
    <w:rsid w:val="3A5C766D"/>
    <w:rsid w:val="3A63048C"/>
    <w:rsid w:val="3A6730A3"/>
    <w:rsid w:val="3A6E340A"/>
    <w:rsid w:val="3A793EC2"/>
    <w:rsid w:val="3A802DEC"/>
    <w:rsid w:val="3A9A1B01"/>
    <w:rsid w:val="3AB5672F"/>
    <w:rsid w:val="3AC059F9"/>
    <w:rsid w:val="3AC16F61"/>
    <w:rsid w:val="3AD76784"/>
    <w:rsid w:val="3AE01ADD"/>
    <w:rsid w:val="3AE04600"/>
    <w:rsid w:val="3AEA64B7"/>
    <w:rsid w:val="3AF510BF"/>
    <w:rsid w:val="3AF61300"/>
    <w:rsid w:val="3B003F2D"/>
    <w:rsid w:val="3B0A6B5A"/>
    <w:rsid w:val="3B0F23C2"/>
    <w:rsid w:val="3B1479D8"/>
    <w:rsid w:val="3B181276"/>
    <w:rsid w:val="3B1A0C17"/>
    <w:rsid w:val="3B1B2B15"/>
    <w:rsid w:val="3B1F0857"/>
    <w:rsid w:val="3B344138"/>
    <w:rsid w:val="3B3B31B7"/>
    <w:rsid w:val="3B3F720A"/>
    <w:rsid w:val="3B4007CD"/>
    <w:rsid w:val="3B5B1163"/>
    <w:rsid w:val="3B6B3A9C"/>
    <w:rsid w:val="3B750477"/>
    <w:rsid w:val="3B7F01E6"/>
    <w:rsid w:val="3B96401F"/>
    <w:rsid w:val="3B9C7DED"/>
    <w:rsid w:val="3BA26D92"/>
    <w:rsid w:val="3BA62150"/>
    <w:rsid w:val="3BAC7AF6"/>
    <w:rsid w:val="3BB05953"/>
    <w:rsid w:val="3BB53149"/>
    <w:rsid w:val="3BBD597A"/>
    <w:rsid w:val="3BC05FBB"/>
    <w:rsid w:val="3BC44F5A"/>
    <w:rsid w:val="3BC907C3"/>
    <w:rsid w:val="3BCB0097"/>
    <w:rsid w:val="3BCB12A4"/>
    <w:rsid w:val="3BD07F9E"/>
    <w:rsid w:val="3BD3469A"/>
    <w:rsid w:val="3BDD426E"/>
    <w:rsid w:val="3BDE5D47"/>
    <w:rsid w:val="3BE178BA"/>
    <w:rsid w:val="3BE47C50"/>
    <w:rsid w:val="3BEC3774"/>
    <w:rsid w:val="3BED2703"/>
    <w:rsid w:val="3BF369DE"/>
    <w:rsid w:val="3BF70E6F"/>
    <w:rsid w:val="3BFD5C1E"/>
    <w:rsid w:val="3BFF5BFB"/>
    <w:rsid w:val="3C123C16"/>
    <w:rsid w:val="3C136F60"/>
    <w:rsid w:val="3C173922"/>
    <w:rsid w:val="3C1C7DAA"/>
    <w:rsid w:val="3C292943"/>
    <w:rsid w:val="3C294B9E"/>
    <w:rsid w:val="3C3A346E"/>
    <w:rsid w:val="3C3F1E27"/>
    <w:rsid w:val="3C504D81"/>
    <w:rsid w:val="3C5373A5"/>
    <w:rsid w:val="3C662E76"/>
    <w:rsid w:val="3C6B206F"/>
    <w:rsid w:val="3C6F7834"/>
    <w:rsid w:val="3C751E2D"/>
    <w:rsid w:val="3C774C40"/>
    <w:rsid w:val="3C7D43E9"/>
    <w:rsid w:val="3C810DD3"/>
    <w:rsid w:val="3C82472C"/>
    <w:rsid w:val="3C8342D6"/>
    <w:rsid w:val="3C9035EC"/>
    <w:rsid w:val="3C9167E0"/>
    <w:rsid w:val="3C926AEF"/>
    <w:rsid w:val="3CA442DF"/>
    <w:rsid w:val="3CB66F99"/>
    <w:rsid w:val="3CB90837"/>
    <w:rsid w:val="3CBD65EE"/>
    <w:rsid w:val="3CC83746"/>
    <w:rsid w:val="3CDE0EAF"/>
    <w:rsid w:val="3CED5F04"/>
    <w:rsid w:val="3CF05F53"/>
    <w:rsid w:val="3CF61143"/>
    <w:rsid w:val="3D015D3A"/>
    <w:rsid w:val="3D1D0DC6"/>
    <w:rsid w:val="3D1D5F62"/>
    <w:rsid w:val="3D233718"/>
    <w:rsid w:val="3D2757A1"/>
    <w:rsid w:val="3D2A34E3"/>
    <w:rsid w:val="3D2C1009"/>
    <w:rsid w:val="3D385C00"/>
    <w:rsid w:val="3D395934"/>
    <w:rsid w:val="3D440FC8"/>
    <w:rsid w:val="3D515BBF"/>
    <w:rsid w:val="3D5278E3"/>
    <w:rsid w:val="3D6C3AFB"/>
    <w:rsid w:val="3D72615D"/>
    <w:rsid w:val="3D805ADE"/>
    <w:rsid w:val="3D8449A1"/>
    <w:rsid w:val="3D87623F"/>
    <w:rsid w:val="3D8B431A"/>
    <w:rsid w:val="3D9372DA"/>
    <w:rsid w:val="3DA037A5"/>
    <w:rsid w:val="3DA46DF1"/>
    <w:rsid w:val="3DD2267A"/>
    <w:rsid w:val="3DD3167A"/>
    <w:rsid w:val="3DD55670"/>
    <w:rsid w:val="3DDA6CB7"/>
    <w:rsid w:val="3DE25B6C"/>
    <w:rsid w:val="3DE7087F"/>
    <w:rsid w:val="3DE970A0"/>
    <w:rsid w:val="3E2919ED"/>
    <w:rsid w:val="3E2B12C1"/>
    <w:rsid w:val="3E3229D7"/>
    <w:rsid w:val="3E3F09CE"/>
    <w:rsid w:val="3E4238B7"/>
    <w:rsid w:val="3E4464B5"/>
    <w:rsid w:val="3E4A1758"/>
    <w:rsid w:val="3E4B54BF"/>
    <w:rsid w:val="3E506F79"/>
    <w:rsid w:val="3E52548F"/>
    <w:rsid w:val="3E5A7DF8"/>
    <w:rsid w:val="3E75253C"/>
    <w:rsid w:val="3E78548D"/>
    <w:rsid w:val="3E7A2248"/>
    <w:rsid w:val="3E927592"/>
    <w:rsid w:val="3EA51073"/>
    <w:rsid w:val="3EB07A18"/>
    <w:rsid w:val="3EB66257"/>
    <w:rsid w:val="3EB966EC"/>
    <w:rsid w:val="3EBC4E7A"/>
    <w:rsid w:val="3EC11302"/>
    <w:rsid w:val="3ECA6F2F"/>
    <w:rsid w:val="3ED40DD5"/>
    <w:rsid w:val="3EE14075"/>
    <w:rsid w:val="3EE85802"/>
    <w:rsid w:val="3EEA1576"/>
    <w:rsid w:val="3EFA2761"/>
    <w:rsid w:val="3F072E26"/>
    <w:rsid w:val="3F1735F3"/>
    <w:rsid w:val="3F244EC9"/>
    <w:rsid w:val="3F402B4A"/>
    <w:rsid w:val="3F495D63"/>
    <w:rsid w:val="3F5605BF"/>
    <w:rsid w:val="3F56236D"/>
    <w:rsid w:val="3F6F78D3"/>
    <w:rsid w:val="3F762E29"/>
    <w:rsid w:val="3F7A2500"/>
    <w:rsid w:val="3F7F61DF"/>
    <w:rsid w:val="3F89361E"/>
    <w:rsid w:val="3F8E5FAB"/>
    <w:rsid w:val="3F8F44CC"/>
    <w:rsid w:val="3F9410E8"/>
    <w:rsid w:val="3FA23805"/>
    <w:rsid w:val="3FA318F5"/>
    <w:rsid w:val="3FAC6431"/>
    <w:rsid w:val="3FB3156E"/>
    <w:rsid w:val="3FB76397"/>
    <w:rsid w:val="3FBA151A"/>
    <w:rsid w:val="3FBF6165"/>
    <w:rsid w:val="3FCC1C54"/>
    <w:rsid w:val="3FCD5281"/>
    <w:rsid w:val="3FD63E0A"/>
    <w:rsid w:val="3FDF2363"/>
    <w:rsid w:val="3FE15E75"/>
    <w:rsid w:val="3FE557F4"/>
    <w:rsid w:val="3FE756BB"/>
    <w:rsid w:val="4007741B"/>
    <w:rsid w:val="400A0FAE"/>
    <w:rsid w:val="401044A7"/>
    <w:rsid w:val="40185875"/>
    <w:rsid w:val="401E017D"/>
    <w:rsid w:val="402D476A"/>
    <w:rsid w:val="403036C9"/>
    <w:rsid w:val="404B1562"/>
    <w:rsid w:val="404B7B20"/>
    <w:rsid w:val="404F4CAF"/>
    <w:rsid w:val="4050500F"/>
    <w:rsid w:val="405745EF"/>
    <w:rsid w:val="405D42B8"/>
    <w:rsid w:val="4065019B"/>
    <w:rsid w:val="406B713F"/>
    <w:rsid w:val="407231D7"/>
    <w:rsid w:val="40750F19"/>
    <w:rsid w:val="409B49AA"/>
    <w:rsid w:val="40A9471F"/>
    <w:rsid w:val="40AC51FF"/>
    <w:rsid w:val="40B029AF"/>
    <w:rsid w:val="40B75214"/>
    <w:rsid w:val="40B830C1"/>
    <w:rsid w:val="40CC4BF7"/>
    <w:rsid w:val="40CF3D4D"/>
    <w:rsid w:val="40D774DE"/>
    <w:rsid w:val="40D91E85"/>
    <w:rsid w:val="40DC2D46"/>
    <w:rsid w:val="40E1210B"/>
    <w:rsid w:val="40ED0AAF"/>
    <w:rsid w:val="40F94425"/>
    <w:rsid w:val="40F97454"/>
    <w:rsid w:val="40FA572A"/>
    <w:rsid w:val="40FC0CF2"/>
    <w:rsid w:val="41006A35"/>
    <w:rsid w:val="410E5DA8"/>
    <w:rsid w:val="411249BA"/>
    <w:rsid w:val="41140916"/>
    <w:rsid w:val="411424E0"/>
    <w:rsid w:val="41147F22"/>
    <w:rsid w:val="411C75E7"/>
    <w:rsid w:val="411E510F"/>
    <w:rsid w:val="411F4664"/>
    <w:rsid w:val="412805BB"/>
    <w:rsid w:val="412A3AB2"/>
    <w:rsid w:val="413F299B"/>
    <w:rsid w:val="41523BBA"/>
    <w:rsid w:val="41524DB6"/>
    <w:rsid w:val="415B010F"/>
    <w:rsid w:val="415B1EBD"/>
    <w:rsid w:val="4182744A"/>
    <w:rsid w:val="41860619"/>
    <w:rsid w:val="41864B51"/>
    <w:rsid w:val="41880811"/>
    <w:rsid w:val="419724D4"/>
    <w:rsid w:val="419F4E61"/>
    <w:rsid w:val="41A25D3E"/>
    <w:rsid w:val="41A35612"/>
    <w:rsid w:val="41B82E6B"/>
    <w:rsid w:val="41BE244C"/>
    <w:rsid w:val="41BF069E"/>
    <w:rsid w:val="41CA7043"/>
    <w:rsid w:val="41D100B9"/>
    <w:rsid w:val="41D42E8E"/>
    <w:rsid w:val="41D8350E"/>
    <w:rsid w:val="41DC1814"/>
    <w:rsid w:val="41F216BC"/>
    <w:rsid w:val="41F46AB0"/>
    <w:rsid w:val="4204365E"/>
    <w:rsid w:val="4214123F"/>
    <w:rsid w:val="42153698"/>
    <w:rsid w:val="421E75F3"/>
    <w:rsid w:val="421E75F9"/>
    <w:rsid w:val="423050F8"/>
    <w:rsid w:val="423170C2"/>
    <w:rsid w:val="423821FE"/>
    <w:rsid w:val="42397034"/>
    <w:rsid w:val="4242068F"/>
    <w:rsid w:val="42440BA3"/>
    <w:rsid w:val="424B3DD2"/>
    <w:rsid w:val="42530DE6"/>
    <w:rsid w:val="425A03C6"/>
    <w:rsid w:val="425D1AEE"/>
    <w:rsid w:val="425F3C2F"/>
    <w:rsid w:val="42705CC0"/>
    <w:rsid w:val="42750D5C"/>
    <w:rsid w:val="428042FE"/>
    <w:rsid w:val="428259BF"/>
    <w:rsid w:val="428B450A"/>
    <w:rsid w:val="428B4A24"/>
    <w:rsid w:val="4290203A"/>
    <w:rsid w:val="42910920"/>
    <w:rsid w:val="429C7524"/>
    <w:rsid w:val="429D007B"/>
    <w:rsid w:val="42A45AE6"/>
    <w:rsid w:val="42A561D4"/>
    <w:rsid w:val="42BA508F"/>
    <w:rsid w:val="42CB6BCE"/>
    <w:rsid w:val="42D33CD5"/>
    <w:rsid w:val="42D9578F"/>
    <w:rsid w:val="42DA493A"/>
    <w:rsid w:val="42DF4645"/>
    <w:rsid w:val="42F779C3"/>
    <w:rsid w:val="43036368"/>
    <w:rsid w:val="43114F2C"/>
    <w:rsid w:val="43192030"/>
    <w:rsid w:val="431C43A5"/>
    <w:rsid w:val="431E31A2"/>
    <w:rsid w:val="431F7F95"/>
    <w:rsid w:val="43254DBA"/>
    <w:rsid w:val="43404555"/>
    <w:rsid w:val="43412C0D"/>
    <w:rsid w:val="434A3F97"/>
    <w:rsid w:val="434B5F61"/>
    <w:rsid w:val="434D4C79"/>
    <w:rsid w:val="434D7F2B"/>
    <w:rsid w:val="435C1F1C"/>
    <w:rsid w:val="43624DF0"/>
    <w:rsid w:val="436C03B1"/>
    <w:rsid w:val="437544CD"/>
    <w:rsid w:val="437955A3"/>
    <w:rsid w:val="438501B2"/>
    <w:rsid w:val="43884ABF"/>
    <w:rsid w:val="439873F8"/>
    <w:rsid w:val="439B0C97"/>
    <w:rsid w:val="43A13550"/>
    <w:rsid w:val="43B03699"/>
    <w:rsid w:val="43B533A4"/>
    <w:rsid w:val="43BD25E0"/>
    <w:rsid w:val="43BD3224"/>
    <w:rsid w:val="43C0001A"/>
    <w:rsid w:val="43CE7E9D"/>
    <w:rsid w:val="43D441A9"/>
    <w:rsid w:val="43D922DF"/>
    <w:rsid w:val="43DB04EB"/>
    <w:rsid w:val="43DB3FAF"/>
    <w:rsid w:val="43DE2931"/>
    <w:rsid w:val="43EE0F7F"/>
    <w:rsid w:val="43F1380D"/>
    <w:rsid w:val="43F6182A"/>
    <w:rsid w:val="4400471D"/>
    <w:rsid w:val="44093E52"/>
    <w:rsid w:val="440B425E"/>
    <w:rsid w:val="44114AB5"/>
    <w:rsid w:val="441B20B5"/>
    <w:rsid w:val="442347E8"/>
    <w:rsid w:val="44256EDB"/>
    <w:rsid w:val="442742D8"/>
    <w:rsid w:val="44296355"/>
    <w:rsid w:val="442A3DC9"/>
    <w:rsid w:val="44336526"/>
    <w:rsid w:val="443A0603"/>
    <w:rsid w:val="44422136"/>
    <w:rsid w:val="445E272C"/>
    <w:rsid w:val="44650C44"/>
    <w:rsid w:val="44815866"/>
    <w:rsid w:val="448160DE"/>
    <w:rsid w:val="449A491B"/>
    <w:rsid w:val="449C2EB3"/>
    <w:rsid w:val="44A06825"/>
    <w:rsid w:val="44A973E3"/>
    <w:rsid w:val="44B738AE"/>
    <w:rsid w:val="44C71617"/>
    <w:rsid w:val="44CE29A6"/>
    <w:rsid w:val="44D21876"/>
    <w:rsid w:val="44E950E4"/>
    <w:rsid w:val="44EA3560"/>
    <w:rsid w:val="44FC5765"/>
    <w:rsid w:val="450F53C4"/>
    <w:rsid w:val="45153A1F"/>
    <w:rsid w:val="451A208F"/>
    <w:rsid w:val="45203E78"/>
    <w:rsid w:val="45274ABE"/>
    <w:rsid w:val="452B429C"/>
    <w:rsid w:val="4536479A"/>
    <w:rsid w:val="454163AE"/>
    <w:rsid w:val="45423128"/>
    <w:rsid w:val="454362A3"/>
    <w:rsid w:val="45467528"/>
    <w:rsid w:val="454864B0"/>
    <w:rsid w:val="454F1D39"/>
    <w:rsid w:val="455957D0"/>
    <w:rsid w:val="455B692F"/>
    <w:rsid w:val="4564607F"/>
    <w:rsid w:val="45746617"/>
    <w:rsid w:val="45793729"/>
    <w:rsid w:val="458319E2"/>
    <w:rsid w:val="458A0FC3"/>
    <w:rsid w:val="45A81449"/>
    <w:rsid w:val="45A94570"/>
    <w:rsid w:val="45AA3B09"/>
    <w:rsid w:val="45BA27F4"/>
    <w:rsid w:val="45BC6CA2"/>
    <w:rsid w:val="45BE1328"/>
    <w:rsid w:val="45C142B9"/>
    <w:rsid w:val="45C27766"/>
    <w:rsid w:val="45CB251C"/>
    <w:rsid w:val="45CF6F16"/>
    <w:rsid w:val="45D24718"/>
    <w:rsid w:val="45D43FEC"/>
    <w:rsid w:val="45E41201"/>
    <w:rsid w:val="45ED672C"/>
    <w:rsid w:val="45FA69EE"/>
    <w:rsid w:val="45FB3C6E"/>
    <w:rsid w:val="46006793"/>
    <w:rsid w:val="46054AED"/>
    <w:rsid w:val="46146386"/>
    <w:rsid w:val="461B1C1B"/>
    <w:rsid w:val="461D3BE5"/>
    <w:rsid w:val="462767CE"/>
    <w:rsid w:val="46423D53"/>
    <w:rsid w:val="46464590"/>
    <w:rsid w:val="4649335D"/>
    <w:rsid w:val="464D3FEA"/>
    <w:rsid w:val="465F5C69"/>
    <w:rsid w:val="46641988"/>
    <w:rsid w:val="466850F2"/>
    <w:rsid w:val="467662C6"/>
    <w:rsid w:val="467E7FB4"/>
    <w:rsid w:val="46810DC8"/>
    <w:rsid w:val="468406EE"/>
    <w:rsid w:val="46927EFF"/>
    <w:rsid w:val="46A165C4"/>
    <w:rsid w:val="46AA1A50"/>
    <w:rsid w:val="46AC31BB"/>
    <w:rsid w:val="46AF0E9C"/>
    <w:rsid w:val="46B50C90"/>
    <w:rsid w:val="46C027C2"/>
    <w:rsid w:val="46C422B2"/>
    <w:rsid w:val="46C91677"/>
    <w:rsid w:val="46D82C54"/>
    <w:rsid w:val="46DD1652"/>
    <w:rsid w:val="46DE494D"/>
    <w:rsid w:val="46E12E64"/>
    <w:rsid w:val="46E46DDB"/>
    <w:rsid w:val="46E95465"/>
    <w:rsid w:val="46EF37A1"/>
    <w:rsid w:val="46F102F3"/>
    <w:rsid w:val="46F81F5C"/>
    <w:rsid w:val="470F78A3"/>
    <w:rsid w:val="47134FE8"/>
    <w:rsid w:val="47240FA3"/>
    <w:rsid w:val="472A6618"/>
    <w:rsid w:val="472D0BDD"/>
    <w:rsid w:val="47310001"/>
    <w:rsid w:val="473A4323"/>
    <w:rsid w:val="4746716B"/>
    <w:rsid w:val="47504BE3"/>
    <w:rsid w:val="476218AB"/>
    <w:rsid w:val="47637D1D"/>
    <w:rsid w:val="47691236"/>
    <w:rsid w:val="476B783C"/>
    <w:rsid w:val="476D6A52"/>
    <w:rsid w:val="477159E0"/>
    <w:rsid w:val="4776054C"/>
    <w:rsid w:val="477E06B3"/>
    <w:rsid w:val="478B4B7E"/>
    <w:rsid w:val="479223B1"/>
    <w:rsid w:val="479972EB"/>
    <w:rsid w:val="47A65F99"/>
    <w:rsid w:val="47B2035D"/>
    <w:rsid w:val="47B73BC5"/>
    <w:rsid w:val="47BC567F"/>
    <w:rsid w:val="47C21363"/>
    <w:rsid w:val="47C94BC8"/>
    <w:rsid w:val="47E04C35"/>
    <w:rsid w:val="47ED1B1B"/>
    <w:rsid w:val="47F46BC7"/>
    <w:rsid w:val="47F93301"/>
    <w:rsid w:val="4803505C"/>
    <w:rsid w:val="48040BAD"/>
    <w:rsid w:val="480908C5"/>
    <w:rsid w:val="480E19C4"/>
    <w:rsid w:val="48116A32"/>
    <w:rsid w:val="48194880"/>
    <w:rsid w:val="481E7A60"/>
    <w:rsid w:val="48253225"/>
    <w:rsid w:val="48270370"/>
    <w:rsid w:val="48517B76"/>
    <w:rsid w:val="48562D80"/>
    <w:rsid w:val="48584FE2"/>
    <w:rsid w:val="487011F2"/>
    <w:rsid w:val="487321E2"/>
    <w:rsid w:val="487335D5"/>
    <w:rsid w:val="48760998"/>
    <w:rsid w:val="4880045B"/>
    <w:rsid w:val="488054E7"/>
    <w:rsid w:val="48853CC3"/>
    <w:rsid w:val="488A79AF"/>
    <w:rsid w:val="488B4811"/>
    <w:rsid w:val="489B34E7"/>
    <w:rsid w:val="489F1794"/>
    <w:rsid w:val="48A4239B"/>
    <w:rsid w:val="48A56114"/>
    <w:rsid w:val="48A979B2"/>
    <w:rsid w:val="48B85E47"/>
    <w:rsid w:val="48BF2D31"/>
    <w:rsid w:val="48C60564"/>
    <w:rsid w:val="48D81343"/>
    <w:rsid w:val="48D8656A"/>
    <w:rsid w:val="48F6071D"/>
    <w:rsid w:val="48F74BC1"/>
    <w:rsid w:val="490B75D5"/>
    <w:rsid w:val="4916491B"/>
    <w:rsid w:val="492846DE"/>
    <w:rsid w:val="492E6109"/>
    <w:rsid w:val="495C5AF9"/>
    <w:rsid w:val="49652CD0"/>
    <w:rsid w:val="496C0725"/>
    <w:rsid w:val="49787384"/>
    <w:rsid w:val="498D72D3"/>
    <w:rsid w:val="49901EC0"/>
    <w:rsid w:val="499248EA"/>
    <w:rsid w:val="49997A26"/>
    <w:rsid w:val="499C12C5"/>
    <w:rsid w:val="49A308A5"/>
    <w:rsid w:val="49A43854"/>
    <w:rsid w:val="49A50722"/>
    <w:rsid w:val="49AA71E7"/>
    <w:rsid w:val="49AF5204"/>
    <w:rsid w:val="49B06B1E"/>
    <w:rsid w:val="49C03205"/>
    <w:rsid w:val="49C83134"/>
    <w:rsid w:val="49CA7BE0"/>
    <w:rsid w:val="49CD3F23"/>
    <w:rsid w:val="49FB423D"/>
    <w:rsid w:val="4A084BAC"/>
    <w:rsid w:val="4A1A4B25"/>
    <w:rsid w:val="4A1A5506"/>
    <w:rsid w:val="4A1B28BA"/>
    <w:rsid w:val="4A25750C"/>
    <w:rsid w:val="4A2D4C51"/>
    <w:rsid w:val="4A2D52FC"/>
    <w:rsid w:val="4A301A0D"/>
    <w:rsid w:val="4A36793C"/>
    <w:rsid w:val="4A437992"/>
    <w:rsid w:val="4A5B700A"/>
    <w:rsid w:val="4A6358AB"/>
    <w:rsid w:val="4A6D6AAB"/>
    <w:rsid w:val="4A7668AA"/>
    <w:rsid w:val="4A897A9B"/>
    <w:rsid w:val="4A8E3680"/>
    <w:rsid w:val="4A9F62FD"/>
    <w:rsid w:val="4AA0365E"/>
    <w:rsid w:val="4AA04B97"/>
    <w:rsid w:val="4AA2290B"/>
    <w:rsid w:val="4AA8258C"/>
    <w:rsid w:val="4AB443EC"/>
    <w:rsid w:val="4ABA06A9"/>
    <w:rsid w:val="4ACB00B3"/>
    <w:rsid w:val="4AD0259E"/>
    <w:rsid w:val="4AD66A58"/>
    <w:rsid w:val="4AD8632C"/>
    <w:rsid w:val="4AE1490A"/>
    <w:rsid w:val="4AF45DC4"/>
    <w:rsid w:val="4AFD4615"/>
    <w:rsid w:val="4B0B04B0"/>
    <w:rsid w:val="4B0E61F2"/>
    <w:rsid w:val="4B187071"/>
    <w:rsid w:val="4B1E4B4A"/>
    <w:rsid w:val="4B26353C"/>
    <w:rsid w:val="4B2C6678"/>
    <w:rsid w:val="4B322921"/>
    <w:rsid w:val="4B39541F"/>
    <w:rsid w:val="4B3D524B"/>
    <w:rsid w:val="4B533C05"/>
    <w:rsid w:val="4B5633BD"/>
    <w:rsid w:val="4B5D6832"/>
    <w:rsid w:val="4B5F5C58"/>
    <w:rsid w:val="4B6B3E92"/>
    <w:rsid w:val="4B7C315C"/>
    <w:rsid w:val="4B7C7600"/>
    <w:rsid w:val="4B8169C4"/>
    <w:rsid w:val="4B973AEA"/>
    <w:rsid w:val="4BB4664D"/>
    <w:rsid w:val="4BC36FDC"/>
    <w:rsid w:val="4BC74E87"/>
    <w:rsid w:val="4BD17C96"/>
    <w:rsid w:val="4BD20FCE"/>
    <w:rsid w:val="4BE07B8E"/>
    <w:rsid w:val="4BE156B5"/>
    <w:rsid w:val="4BE46519"/>
    <w:rsid w:val="4BE551A5"/>
    <w:rsid w:val="4BE64A79"/>
    <w:rsid w:val="4BE9413D"/>
    <w:rsid w:val="4BEA4569"/>
    <w:rsid w:val="4BF56DAC"/>
    <w:rsid w:val="4BFC604B"/>
    <w:rsid w:val="4C043E95"/>
    <w:rsid w:val="4C094761"/>
    <w:rsid w:val="4C0E2493"/>
    <w:rsid w:val="4C123AC0"/>
    <w:rsid w:val="4C15165E"/>
    <w:rsid w:val="4C1A156A"/>
    <w:rsid w:val="4C1F06FA"/>
    <w:rsid w:val="4C20184E"/>
    <w:rsid w:val="4C215AB1"/>
    <w:rsid w:val="4C2757BD"/>
    <w:rsid w:val="4C515F9F"/>
    <w:rsid w:val="4C5A6005"/>
    <w:rsid w:val="4C5B5467"/>
    <w:rsid w:val="4C675BBA"/>
    <w:rsid w:val="4C711F79"/>
    <w:rsid w:val="4C7E4CB1"/>
    <w:rsid w:val="4C964EF2"/>
    <w:rsid w:val="4C980C50"/>
    <w:rsid w:val="4CA46E0E"/>
    <w:rsid w:val="4CBE2078"/>
    <w:rsid w:val="4CCC3C6F"/>
    <w:rsid w:val="4CCF357B"/>
    <w:rsid w:val="4CDA6125"/>
    <w:rsid w:val="4CE7444F"/>
    <w:rsid w:val="4CE74F4D"/>
    <w:rsid w:val="4CEA0599"/>
    <w:rsid w:val="4CEB3AC4"/>
    <w:rsid w:val="4CEB5ACC"/>
    <w:rsid w:val="4CF85A25"/>
    <w:rsid w:val="4CFD3EE8"/>
    <w:rsid w:val="4D027691"/>
    <w:rsid w:val="4D0553D3"/>
    <w:rsid w:val="4D063625"/>
    <w:rsid w:val="4D0C72CA"/>
    <w:rsid w:val="4D162733"/>
    <w:rsid w:val="4D1644BF"/>
    <w:rsid w:val="4D1965D0"/>
    <w:rsid w:val="4D236F66"/>
    <w:rsid w:val="4D2717ED"/>
    <w:rsid w:val="4D2E3F3F"/>
    <w:rsid w:val="4D312C5B"/>
    <w:rsid w:val="4D383F40"/>
    <w:rsid w:val="4D3F6FBF"/>
    <w:rsid w:val="4D6050E5"/>
    <w:rsid w:val="4D706CF0"/>
    <w:rsid w:val="4D7A36CB"/>
    <w:rsid w:val="4D83739D"/>
    <w:rsid w:val="4D861A21"/>
    <w:rsid w:val="4D9A1FBF"/>
    <w:rsid w:val="4D9C4108"/>
    <w:rsid w:val="4DA16ADE"/>
    <w:rsid w:val="4DB3336D"/>
    <w:rsid w:val="4DBE6397"/>
    <w:rsid w:val="4DD3727F"/>
    <w:rsid w:val="4DD827C4"/>
    <w:rsid w:val="4DE8619F"/>
    <w:rsid w:val="4DE90850"/>
    <w:rsid w:val="4DF51062"/>
    <w:rsid w:val="4E01203E"/>
    <w:rsid w:val="4E015F16"/>
    <w:rsid w:val="4E036E8C"/>
    <w:rsid w:val="4E08341B"/>
    <w:rsid w:val="4E135C1D"/>
    <w:rsid w:val="4E194024"/>
    <w:rsid w:val="4E362286"/>
    <w:rsid w:val="4E3973F3"/>
    <w:rsid w:val="4E3A32D0"/>
    <w:rsid w:val="4E437F61"/>
    <w:rsid w:val="4E4E3A88"/>
    <w:rsid w:val="4E555CA6"/>
    <w:rsid w:val="4E557C94"/>
    <w:rsid w:val="4E5B6B0D"/>
    <w:rsid w:val="4E5C508E"/>
    <w:rsid w:val="4E6C5709"/>
    <w:rsid w:val="4E726A98"/>
    <w:rsid w:val="4E7F4257"/>
    <w:rsid w:val="4E860383"/>
    <w:rsid w:val="4E880069"/>
    <w:rsid w:val="4E8D5680"/>
    <w:rsid w:val="4EA01857"/>
    <w:rsid w:val="4EB3158A"/>
    <w:rsid w:val="4EB47AF9"/>
    <w:rsid w:val="4EB600E0"/>
    <w:rsid w:val="4EBA3B62"/>
    <w:rsid w:val="4EBC78D4"/>
    <w:rsid w:val="4ECA68D4"/>
    <w:rsid w:val="4ECF3EEA"/>
    <w:rsid w:val="4EDB7C89"/>
    <w:rsid w:val="4EDF5575"/>
    <w:rsid w:val="4EE82601"/>
    <w:rsid w:val="4EF15C0F"/>
    <w:rsid w:val="4EFC7613"/>
    <w:rsid w:val="4F007BC3"/>
    <w:rsid w:val="4F02606E"/>
    <w:rsid w:val="4F0633C7"/>
    <w:rsid w:val="4F0A15BF"/>
    <w:rsid w:val="4F135B85"/>
    <w:rsid w:val="4F1638C7"/>
    <w:rsid w:val="4F1B67C9"/>
    <w:rsid w:val="4F2F1325"/>
    <w:rsid w:val="4F367AC5"/>
    <w:rsid w:val="4F4233B7"/>
    <w:rsid w:val="4F4246BC"/>
    <w:rsid w:val="4F457D08"/>
    <w:rsid w:val="4F5C03C2"/>
    <w:rsid w:val="4F60418D"/>
    <w:rsid w:val="4F6C7D95"/>
    <w:rsid w:val="4F74239C"/>
    <w:rsid w:val="4F7F321A"/>
    <w:rsid w:val="4F8151E4"/>
    <w:rsid w:val="4F8944AF"/>
    <w:rsid w:val="4F970D1C"/>
    <w:rsid w:val="4F9A62A6"/>
    <w:rsid w:val="4FC34047"/>
    <w:rsid w:val="4FCF3DBA"/>
    <w:rsid w:val="4FD212C0"/>
    <w:rsid w:val="4FD76F97"/>
    <w:rsid w:val="4FDD00E1"/>
    <w:rsid w:val="4FDF63AF"/>
    <w:rsid w:val="4FE92D8A"/>
    <w:rsid w:val="4FED5F2A"/>
    <w:rsid w:val="4FEE65F2"/>
    <w:rsid w:val="4FFC2ABD"/>
    <w:rsid w:val="50146059"/>
    <w:rsid w:val="50246BE6"/>
    <w:rsid w:val="50247B60"/>
    <w:rsid w:val="50281B04"/>
    <w:rsid w:val="503264DF"/>
    <w:rsid w:val="50380ABA"/>
    <w:rsid w:val="503A21F4"/>
    <w:rsid w:val="503C57AF"/>
    <w:rsid w:val="504B6141"/>
    <w:rsid w:val="504F0E3F"/>
    <w:rsid w:val="50521A79"/>
    <w:rsid w:val="505C7A00"/>
    <w:rsid w:val="50616DC4"/>
    <w:rsid w:val="50683D77"/>
    <w:rsid w:val="506B379F"/>
    <w:rsid w:val="506B7C43"/>
    <w:rsid w:val="50704A07"/>
    <w:rsid w:val="50722108"/>
    <w:rsid w:val="50770396"/>
    <w:rsid w:val="50836D3A"/>
    <w:rsid w:val="50980B6A"/>
    <w:rsid w:val="509F054C"/>
    <w:rsid w:val="50A61150"/>
    <w:rsid w:val="50A82C45"/>
    <w:rsid w:val="50AE0278"/>
    <w:rsid w:val="50B163AF"/>
    <w:rsid w:val="50B415EA"/>
    <w:rsid w:val="50B67110"/>
    <w:rsid w:val="50B67827"/>
    <w:rsid w:val="50B85D0D"/>
    <w:rsid w:val="50CE26AB"/>
    <w:rsid w:val="50D2381E"/>
    <w:rsid w:val="50D57231"/>
    <w:rsid w:val="50F45C7A"/>
    <w:rsid w:val="50F47C38"/>
    <w:rsid w:val="5106219A"/>
    <w:rsid w:val="51085E7F"/>
    <w:rsid w:val="510A0D9D"/>
    <w:rsid w:val="51217251"/>
    <w:rsid w:val="51254295"/>
    <w:rsid w:val="512914C1"/>
    <w:rsid w:val="512D020A"/>
    <w:rsid w:val="513475E8"/>
    <w:rsid w:val="51360251"/>
    <w:rsid w:val="513642E7"/>
    <w:rsid w:val="51380BCD"/>
    <w:rsid w:val="513F6978"/>
    <w:rsid w:val="514606C6"/>
    <w:rsid w:val="51524190"/>
    <w:rsid w:val="51527191"/>
    <w:rsid w:val="515D463D"/>
    <w:rsid w:val="515D758B"/>
    <w:rsid w:val="516052CE"/>
    <w:rsid w:val="51632D16"/>
    <w:rsid w:val="51724C3F"/>
    <w:rsid w:val="517D19DC"/>
    <w:rsid w:val="5180327A"/>
    <w:rsid w:val="5186674D"/>
    <w:rsid w:val="518B03C1"/>
    <w:rsid w:val="518C7E71"/>
    <w:rsid w:val="51972CF4"/>
    <w:rsid w:val="519D5BDA"/>
    <w:rsid w:val="519F7BA4"/>
    <w:rsid w:val="51A60C76"/>
    <w:rsid w:val="51A927D1"/>
    <w:rsid w:val="51AB39CE"/>
    <w:rsid w:val="51AC22C1"/>
    <w:rsid w:val="51C27D36"/>
    <w:rsid w:val="51C51AB5"/>
    <w:rsid w:val="51C6703A"/>
    <w:rsid w:val="51DC2BA6"/>
    <w:rsid w:val="51EE0B2B"/>
    <w:rsid w:val="51F966FC"/>
    <w:rsid w:val="51FA0C8B"/>
    <w:rsid w:val="5208399B"/>
    <w:rsid w:val="520F56F6"/>
    <w:rsid w:val="52134095"/>
    <w:rsid w:val="521D4F6D"/>
    <w:rsid w:val="522462FB"/>
    <w:rsid w:val="522608AF"/>
    <w:rsid w:val="522B3570"/>
    <w:rsid w:val="5245701D"/>
    <w:rsid w:val="52466EEA"/>
    <w:rsid w:val="524D6516"/>
    <w:rsid w:val="524E2262"/>
    <w:rsid w:val="52720E14"/>
    <w:rsid w:val="52826DAC"/>
    <w:rsid w:val="52860D64"/>
    <w:rsid w:val="528E6F4B"/>
    <w:rsid w:val="52990A97"/>
    <w:rsid w:val="529945F3"/>
    <w:rsid w:val="529F1E45"/>
    <w:rsid w:val="52AD0E8E"/>
    <w:rsid w:val="52B70F1D"/>
    <w:rsid w:val="52BA6868"/>
    <w:rsid w:val="52BC6534"/>
    <w:rsid w:val="52C25403"/>
    <w:rsid w:val="52C45947"/>
    <w:rsid w:val="52C8312A"/>
    <w:rsid w:val="52C9356C"/>
    <w:rsid w:val="52CD24EF"/>
    <w:rsid w:val="52D23FA9"/>
    <w:rsid w:val="52D407EB"/>
    <w:rsid w:val="52D62BF7"/>
    <w:rsid w:val="52E1554F"/>
    <w:rsid w:val="52E2243E"/>
    <w:rsid w:val="52E23108"/>
    <w:rsid w:val="52E511BE"/>
    <w:rsid w:val="52E573E7"/>
    <w:rsid w:val="52EE6FB6"/>
    <w:rsid w:val="52EF7482"/>
    <w:rsid w:val="52F07DFC"/>
    <w:rsid w:val="52F474CB"/>
    <w:rsid w:val="52F71FF5"/>
    <w:rsid w:val="52FD2A61"/>
    <w:rsid w:val="531254ED"/>
    <w:rsid w:val="53185E60"/>
    <w:rsid w:val="53197213"/>
    <w:rsid w:val="53311592"/>
    <w:rsid w:val="53316F22"/>
    <w:rsid w:val="533407C0"/>
    <w:rsid w:val="533F163E"/>
    <w:rsid w:val="533F6DA3"/>
    <w:rsid w:val="53513120"/>
    <w:rsid w:val="535E75EB"/>
    <w:rsid w:val="53605111"/>
    <w:rsid w:val="53656BCB"/>
    <w:rsid w:val="53794425"/>
    <w:rsid w:val="53874D93"/>
    <w:rsid w:val="53930B93"/>
    <w:rsid w:val="53A0483E"/>
    <w:rsid w:val="53B0035C"/>
    <w:rsid w:val="53B86CFB"/>
    <w:rsid w:val="53C658BC"/>
    <w:rsid w:val="53C733E2"/>
    <w:rsid w:val="53D004E8"/>
    <w:rsid w:val="53D14261"/>
    <w:rsid w:val="53D64112"/>
    <w:rsid w:val="53D8114B"/>
    <w:rsid w:val="53DC205C"/>
    <w:rsid w:val="53DC329D"/>
    <w:rsid w:val="53DF5E7C"/>
    <w:rsid w:val="53E930F7"/>
    <w:rsid w:val="54065D20"/>
    <w:rsid w:val="5415330F"/>
    <w:rsid w:val="541A6706"/>
    <w:rsid w:val="543C0BE9"/>
    <w:rsid w:val="543F566E"/>
    <w:rsid w:val="544F3B03"/>
    <w:rsid w:val="54505185"/>
    <w:rsid w:val="545D3CF8"/>
    <w:rsid w:val="5462237E"/>
    <w:rsid w:val="546C6511"/>
    <w:rsid w:val="5477485C"/>
    <w:rsid w:val="547905AA"/>
    <w:rsid w:val="548825BE"/>
    <w:rsid w:val="54931516"/>
    <w:rsid w:val="54AB5F5C"/>
    <w:rsid w:val="54B4727E"/>
    <w:rsid w:val="54B75DA2"/>
    <w:rsid w:val="54CF254E"/>
    <w:rsid w:val="54D44008"/>
    <w:rsid w:val="54E16A77"/>
    <w:rsid w:val="54E35FFA"/>
    <w:rsid w:val="54F63F7F"/>
    <w:rsid w:val="54FB4092"/>
    <w:rsid w:val="54FE72D7"/>
    <w:rsid w:val="55160030"/>
    <w:rsid w:val="551E7032"/>
    <w:rsid w:val="55243D26"/>
    <w:rsid w:val="5524472E"/>
    <w:rsid w:val="55322ADD"/>
    <w:rsid w:val="553304D8"/>
    <w:rsid w:val="553700F3"/>
    <w:rsid w:val="55424374"/>
    <w:rsid w:val="554C0043"/>
    <w:rsid w:val="554F368F"/>
    <w:rsid w:val="555516BB"/>
    <w:rsid w:val="55571991"/>
    <w:rsid w:val="555920AA"/>
    <w:rsid w:val="555B2034"/>
    <w:rsid w:val="55616C37"/>
    <w:rsid w:val="55640394"/>
    <w:rsid w:val="556829A3"/>
    <w:rsid w:val="556940EB"/>
    <w:rsid w:val="55924DCB"/>
    <w:rsid w:val="55956F28"/>
    <w:rsid w:val="559A7000"/>
    <w:rsid w:val="55AE2AAB"/>
    <w:rsid w:val="55BB3BD0"/>
    <w:rsid w:val="55BD4A9D"/>
    <w:rsid w:val="55C23E61"/>
    <w:rsid w:val="55C94E39"/>
    <w:rsid w:val="55CD5551"/>
    <w:rsid w:val="55D65AE8"/>
    <w:rsid w:val="55DB4F23"/>
    <w:rsid w:val="55E53FF3"/>
    <w:rsid w:val="55E71B19"/>
    <w:rsid w:val="55EA4047"/>
    <w:rsid w:val="55FD6125"/>
    <w:rsid w:val="56004A8C"/>
    <w:rsid w:val="5604752C"/>
    <w:rsid w:val="560662B2"/>
    <w:rsid w:val="56167762"/>
    <w:rsid w:val="561E5EF3"/>
    <w:rsid w:val="561F7505"/>
    <w:rsid w:val="562061AE"/>
    <w:rsid w:val="5621327D"/>
    <w:rsid w:val="562B4AD9"/>
    <w:rsid w:val="563A3B68"/>
    <w:rsid w:val="563D7C13"/>
    <w:rsid w:val="563E5F58"/>
    <w:rsid w:val="56582A17"/>
    <w:rsid w:val="565C59BC"/>
    <w:rsid w:val="56661B4F"/>
    <w:rsid w:val="567761E5"/>
    <w:rsid w:val="567945D6"/>
    <w:rsid w:val="569E667C"/>
    <w:rsid w:val="56A10441"/>
    <w:rsid w:val="56B55774"/>
    <w:rsid w:val="56BB1A3C"/>
    <w:rsid w:val="56BF0987"/>
    <w:rsid w:val="56D0295B"/>
    <w:rsid w:val="56DC53F6"/>
    <w:rsid w:val="56E018A9"/>
    <w:rsid w:val="56E0560F"/>
    <w:rsid w:val="56E10D7D"/>
    <w:rsid w:val="56F711D3"/>
    <w:rsid w:val="570109B9"/>
    <w:rsid w:val="57096C9D"/>
    <w:rsid w:val="570C0F09"/>
    <w:rsid w:val="57174680"/>
    <w:rsid w:val="571760EF"/>
    <w:rsid w:val="57284F8E"/>
    <w:rsid w:val="5729188C"/>
    <w:rsid w:val="57325016"/>
    <w:rsid w:val="573471D2"/>
    <w:rsid w:val="57365C7E"/>
    <w:rsid w:val="573E1C0D"/>
    <w:rsid w:val="574127B6"/>
    <w:rsid w:val="57497BC3"/>
    <w:rsid w:val="574D2267"/>
    <w:rsid w:val="5756729A"/>
    <w:rsid w:val="575F6B30"/>
    <w:rsid w:val="576128C3"/>
    <w:rsid w:val="576176AA"/>
    <w:rsid w:val="576202BF"/>
    <w:rsid w:val="576B22D6"/>
    <w:rsid w:val="57846852"/>
    <w:rsid w:val="579E08FE"/>
    <w:rsid w:val="57A85B5A"/>
    <w:rsid w:val="57B141AA"/>
    <w:rsid w:val="57B87882"/>
    <w:rsid w:val="57C049B1"/>
    <w:rsid w:val="57C540DC"/>
    <w:rsid w:val="57D52571"/>
    <w:rsid w:val="57D55747"/>
    <w:rsid w:val="57DD33CB"/>
    <w:rsid w:val="57E27D11"/>
    <w:rsid w:val="57E722A5"/>
    <w:rsid w:val="57ED4E4E"/>
    <w:rsid w:val="57F44ADD"/>
    <w:rsid w:val="57FA1FD8"/>
    <w:rsid w:val="57FB1BE5"/>
    <w:rsid w:val="57FC7666"/>
    <w:rsid w:val="58014E0A"/>
    <w:rsid w:val="580E5A83"/>
    <w:rsid w:val="58121BBD"/>
    <w:rsid w:val="5814471C"/>
    <w:rsid w:val="581D28B2"/>
    <w:rsid w:val="582278A6"/>
    <w:rsid w:val="582E1C82"/>
    <w:rsid w:val="583667C5"/>
    <w:rsid w:val="583A6878"/>
    <w:rsid w:val="585039A6"/>
    <w:rsid w:val="5856139C"/>
    <w:rsid w:val="58584F50"/>
    <w:rsid w:val="585B2F03"/>
    <w:rsid w:val="58621378"/>
    <w:rsid w:val="586B71BC"/>
    <w:rsid w:val="586D09FC"/>
    <w:rsid w:val="58733B38"/>
    <w:rsid w:val="58794897"/>
    <w:rsid w:val="58841C85"/>
    <w:rsid w:val="588440C7"/>
    <w:rsid w:val="58906498"/>
    <w:rsid w:val="58987048"/>
    <w:rsid w:val="589C4E3D"/>
    <w:rsid w:val="58A6364C"/>
    <w:rsid w:val="58A67A6A"/>
    <w:rsid w:val="58AB6E2E"/>
    <w:rsid w:val="58AF78C3"/>
    <w:rsid w:val="58BF734E"/>
    <w:rsid w:val="58C75F18"/>
    <w:rsid w:val="58C779E0"/>
    <w:rsid w:val="58C93758"/>
    <w:rsid w:val="58CC5BAC"/>
    <w:rsid w:val="58E453E6"/>
    <w:rsid w:val="591F133F"/>
    <w:rsid w:val="592106AE"/>
    <w:rsid w:val="592C090B"/>
    <w:rsid w:val="592D3CE7"/>
    <w:rsid w:val="592F7A5F"/>
    <w:rsid w:val="59301A29"/>
    <w:rsid w:val="593037D7"/>
    <w:rsid w:val="59401C6C"/>
    <w:rsid w:val="59457F9D"/>
    <w:rsid w:val="594613D7"/>
    <w:rsid w:val="594D4C89"/>
    <w:rsid w:val="59527BF2"/>
    <w:rsid w:val="59537C18"/>
    <w:rsid w:val="59554FEC"/>
    <w:rsid w:val="596508EF"/>
    <w:rsid w:val="59701E26"/>
    <w:rsid w:val="59814033"/>
    <w:rsid w:val="5988716F"/>
    <w:rsid w:val="598A738C"/>
    <w:rsid w:val="599E6993"/>
    <w:rsid w:val="59A61C20"/>
    <w:rsid w:val="59A85348"/>
    <w:rsid w:val="59B055ED"/>
    <w:rsid w:val="59B3425C"/>
    <w:rsid w:val="59BB7545"/>
    <w:rsid w:val="59C0604D"/>
    <w:rsid w:val="59C73975"/>
    <w:rsid w:val="59CC1752"/>
    <w:rsid w:val="59CF475B"/>
    <w:rsid w:val="59D2488F"/>
    <w:rsid w:val="59D32AE1"/>
    <w:rsid w:val="59DA0E48"/>
    <w:rsid w:val="59DC20FA"/>
    <w:rsid w:val="59E545C2"/>
    <w:rsid w:val="59E54F88"/>
    <w:rsid w:val="59E6628D"/>
    <w:rsid w:val="59F93C29"/>
    <w:rsid w:val="59F969E3"/>
    <w:rsid w:val="5A00764E"/>
    <w:rsid w:val="5A032094"/>
    <w:rsid w:val="5A054C64"/>
    <w:rsid w:val="5A0C4E48"/>
    <w:rsid w:val="5A1E1882"/>
    <w:rsid w:val="5A1E7A21"/>
    <w:rsid w:val="5A201A9E"/>
    <w:rsid w:val="5A2F6381"/>
    <w:rsid w:val="5A455061"/>
    <w:rsid w:val="5A461C11"/>
    <w:rsid w:val="5A4D705A"/>
    <w:rsid w:val="5A4E4387"/>
    <w:rsid w:val="5A5B5812"/>
    <w:rsid w:val="5A5D05FC"/>
    <w:rsid w:val="5A6E0A5B"/>
    <w:rsid w:val="5A6E2809"/>
    <w:rsid w:val="5A6F4AC9"/>
    <w:rsid w:val="5A76346C"/>
    <w:rsid w:val="5A7D2A4C"/>
    <w:rsid w:val="5A7E5C4F"/>
    <w:rsid w:val="5A81078E"/>
    <w:rsid w:val="5A845B89"/>
    <w:rsid w:val="5A96220A"/>
    <w:rsid w:val="5A964DAC"/>
    <w:rsid w:val="5A995D31"/>
    <w:rsid w:val="5A9B58EC"/>
    <w:rsid w:val="5AA02126"/>
    <w:rsid w:val="5AA75D1B"/>
    <w:rsid w:val="5AB3646E"/>
    <w:rsid w:val="5AB521E6"/>
    <w:rsid w:val="5AB75777"/>
    <w:rsid w:val="5ABB5323"/>
    <w:rsid w:val="5ABD236D"/>
    <w:rsid w:val="5AC323F8"/>
    <w:rsid w:val="5AC8016B"/>
    <w:rsid w:val="5AD20FEA"/>
    <w:rsid w:val="5AF56A87"/>
    <w:rsid w:val="5AFA5E4B"/>
    <w:rsid w:val="5B027490"/>
    <w:rsid w:val="5B0867BA"/>
    <w:rsid w:val="5B0E1A3C"/>
    <w:rsid w:val="5B16743A"/>
    <w:rsid w:val="5B1A6899"/>
    <w:rsid w:val="5B1E422F"/>
    <w:rsid w:val="5B264E92"/>
    <w:rsid w:val="5B4A138C"/>
    <w:rsid w:val="5B5154DF"/>
    <w:rsid w:val="5B5163B3"/>
    <w:rsid w:val="5B5E287E"/>
    <w:rsid w:val="5B624408"/>
    <w:rsid w:val="5B6661A9"/>
    <w:rsid w:val="5B6B0AF7"/>
    <w:rsid w:val="5B75441A"/>
    <w:rsid w:val="5B773066"/>
    <w:rsid w:val="5B7B6323"/>
    <w:rsid w:val="5B7D779A"/>
    <w:rsid w:val="5B833730"/>
    <w:rsid w:val="5B857E0A"/>
    <w:rsid w:val="5B865931"/>
    <w:rsid w:val="5B991157"/>
    <w:rsid w:val="5B9F2D78"/>
    <w:rsid w:val="5B9F6406"/>
    <w:rsid w:val="5BA072B7"/>
    <w:rsid w:val="5BA147B5"/>
    <w:rsid w:val="5BA67282"/>
    <w:rsid w:val="5BAA7871"/>
    <w:rsid w:val="5BC06890"/>
    <w:rsid w:val="5BCF61FE"/>
    <w:rsid w:val="5BDC060C"/>
    <w:rsid w:val="5BF60D08"/>
    <w:rsid w:val="5BFB1E7B"/>
    <w:rsid w:val="5BFB7DDE"/>
    <w:rsid w:val="5C013FFE"/>
    <w:rsid w:val="5C114298"/>
    <w:rsid w:val="5C225659"/>
    <w:rsid w:val="5C25339C"/>
    <w:rsid w:val="5C2C64D8"/>
    <w:rsid w:val="5C337866"/>
    <w:rsid w:val="5C36109E"/>
    <w:rsid w:val="5C452E6E"/>
    <w:rsid w:val="5C4D667C"/>
    <w:rsid w:val="5C4F21C6"/>
    <w:rsid w:val="5C642116"/>
    <w:rsid w:val="5C68052A"/>
    <w:rsid w:val="5C6C36AD"/>
    <w:rsid w:val="5C6D112F"/>
    <w:rsid w:val="5C7165E1"/>
    <w:rsid w:val="5C7346DF"/>
    <w:rsid w:val="5C735EC7"/>
    <w:rsid w:val="5C7D6D34"/>
    <w:rsid w:val="5C904575"/>
    <w:rsid w:val="5C91188E"/>
    <w:rsid w:val="5C911E6C"/>
    <w:rsid w:val="5C916A65"/>
    <w:rsid w:val="5CA02A22"/>
    <w:rsid w:val="5CA86694"/>
    <w:rsid w:val="5CAB54B0"/>
    <w:rsid w:val="5CB12E81"/>
    <w:rsid w:val="5CBD2B03"/>
    <w:rsid w:val="5CBE3035"/>
    <w:rsid w:val="5CC06D89"/>
    <w:rsid w:val="5CC40525"/>
    <w:rsid w:val="5CD01559"/>
    <w:rsid w:val="5CE22337"/>
    <w:rsid w:val="5CFB721B"/>
    <w:rsid w:val="5D012DAA"/>
    <w:rsid w:val="5D027239"/>
    <w:rsid w:val="5D1640AF"/>
    <w:rsid w:val="5D273DE0"/>
    <w:rsid w:val="5D340819"/>
    <w:rsid w:val="5D3430F6"/>
    <w:rsid w:val="5D38165A"/>
    <w:rsid w:val="5D3A4BD9"/>
    <w:rsid w:val="5D3A69D3"/>
    <w:rsid w:val="5D3D7C30"/>
    <w:rsid w:val="5D6B11D5"/>
    <w:rsid w:val="5D6E5737"/>
    <w:rsid w:val="5D7330E8"/>
    <w:rsid w:val="5D7E0FB5"/>
    <w:rsid w:val="5D8D744A"/>
    <w:rsid w:val="5D92012D"/>
    <w:rsid w:val="5D926ACE"/>
    <w:rsid w:val="5D9B1B67"/>
    <w:rsid w:val="5DA930B5"/>
    <w:rsid w:val="5DB2695F"/>
    <w:rsid w:val="5DBE13B2"/>
    <w:rsid w:val="5DC0137C"/>
    <w:rsid w:val="5DC310BE"/>
    <w:rsid w:val="5DCD3CEB"/>
    <w:rsid w:val="5DEA7758"/>
    <w:rsid w:val="5DF64FF0"/>
    <w:rsid w:val="5DF748C4"/>
    <w:rsid w:val="5DF76AAF"/>
    <w:rsid w:val="5E007C1C"/>
    <w:rsid w:val="5E0771FD"/>
    <w:rsid w:val="5E090AC7"/>
    <w:rsid w:val="5E0D204F"/>
    <w:rsid w:val="5E0F1C0D"/>
    <w:rsid w:val="5E220F75"/>
    <w:rsid w:val="5E230800"/>
    <w:rsid w:val="5E2C27BF"/>
    <w:rsid w:val="5E333019"/>
    <w:rsid w:val="5E370EEC"/>
    <w:rsid w:val="5E3866C8"/>
    <w:rsid w:val="5E3E6996"/>
    <w:rsid w:val="5E5166CA"/>
    <w:rsid w:val="5E5644D2"/>
    <w:rsid w:val="5E6B54CC"/>
    <w:rsid w:val="5E6B7D23"/>
    <w:rsid w:val="5E6C57A6"/>
    <w:rsid w:val="5E6E102A"/>
    <w:rsid w:val="5E71624F"/>
    <w:rsid w:val="5E717C83"/>
    <w:rsid w:val="5E724E4C"/>
    <w:rsid w:val="5E751504"/>
    <w:rsid w:val="5E7B3697"/>
    <w:rsid w:val="5E7D73A5"/>
    <w:rsid w:val="5E9465B6"/>
    <w:rsid w:val="5EA04BD7"/>
    <w:rsid w:val="5EAE2404"/>
    <w:rsid w:val="5EB5776A"/>
    <w:rsid w:val="5EB822A5"/>
    <w:rsid w:val="5EC32DFB"/>
    <w:rsid w:val="5EC455DD"/>
    <w:rsid w:val="5EC65BC6"/>
    <w:rsid w:val="5ED1433D"/>
    <w:rsid w:val="5EEC63F2"/>
    <w:rsid w:val="5EED5641"/>
    <w:rsid w:val="5EF16715"/>
    <w:rsid w:val="5F04373C"/>
    <w:rsid w:val="5F057675"/>
    <w:rsid w:val="5F2E2567"/>
    <w:rsid w:val="5F381638"/>
    <w:rsid w:val="5F3B384B"/>
    <w:rsid w:val="5F3C12FF"/>
    <w:rsid w:val="5F3F2125"/>
    <w:rsid w:val="5F630463"/>
    <w:rsid w:val="5F683CCB"/>
    <w:rsid w:val="5F6B5097"/>
    <w:rsid w:val="5F772160"/>
    <w:rsid w:val="5F7C7B38"/>
    <w:rsid w:val="5F7D4D16"/>
    <w:rsid w:val="5F831352"/>
    <w:rsid w:val="5F8D54E0"/>
    <w:rsid w:val="5F93686E"/>
    <w:rsid w:val="5FA93E7F"/>
    <w:rsid w:val="5FBE7704"/>
    <w:rsid w:val="5FCA1E36"/>
    <w:rsid w:val="5FD27B73"/>
    <w:rsid w:val="5FD44EBD"/>
    <w:rsid w:val="5FD56E87"/>
    <w:rsid w:val="5FE61094"/>
    <w:rsid w:val="5FF358A6"/>
    <w:rsid w:val="5FFC08B7"/>
    <w:rsid w:val="6009519E"/>
    <w:rsid w:val="600A4521"/>
    <w:rsid w:val="602045A6"/>
    <w:rsid w:val="6023312C"/>
    <w:rsid w:val="602C2F4B"/>
    <w:rsid w:val="602D19E1"/>
    <w:rsid w:val="603144C3"/>
    <w:rsid w:val="60363DC9"/>
    <w:rsid w:val="603D6F06"/>
    <w:rsid w:val="60624BBE"/>
    <w:rsid w:val="606D08D2"/>
    <w:rsid w:val="60705E47"/>
    <w:rsid w:val="60830691"/>
    <w:rsid w:val="60850BD1"/>
    <w:rsid w:val="60866C2D"/>
    <w:rsid w:val="60940AF0"/>
    <w:rsid w:val="60B22A8D"/>
    <w:rsid w:val="60C018E5"/>
    <w:rsid w:val="60D809DC"/>
    <w:rsid w:val="60DB486A"/>
    <w:rsid w:val="60F33C49"/>
    <w:rsid w:val="60F87FED"/>
    <w:rsid w:val="60FD6695"/>
    <w:rsid w:val="61044220"/>
    <w:rsid w:val="6105554A"/>
    <w:rsid w:val="610648A2"/>
    <w:rsid w:val="610F0176"/>
    <w:rsid w:val="612956DC"/>
    <w:rsid w:val="612B63A9"/>
    <w:rsid w:val="61306EDC"/>
    <w:rsid w:val="61330309"/>
    <w:rsid w:val="61406F72"/>
    <w:rsid w:val="61500F67"/>
    <w:rsid w:val="61587D6F"/>
    <w:rsid w:val="615F10FE"/>
    <w:rsid w:val="617950AB"/>
    <w:rsid w:val="617B36D1"/>
    <w:rsid w:val="617C580C"/>
    <w:rsid w:val="61803A85"/>
    <w:rsid w:val="61897F29"/>
    <w:rsid w:val="618F2A1B"/>
    <w:rsid w:val="61931421"/>
    <w:rsid w:val="619A4202"/>
    <w:rsid w:val="619A682E"/>
    <w:rsid w:val="61A60ADB"/>
    <w:rsid w:val="61A77850"/>
    <w:rsid w:val="61AB60F1"/>
    <w:rsid w:val="61AD1F23"/>
    <w:rsid w:val="61B52C5B"/>
    <w:rsid w:val="61BA4A46"/>
    <w:rsid w:val="61BF72C0"/>
    <w:rsid w:val="61C3168D"/>
    <w:rsid w:val="61CB22C1"/>
    <w:rsid w:val="61CE3B8D"/>
    <w:rsid w:val="61E44C18"/>
    <w:rsid w:val="61E544A6"/>
    <w:rsid w:val="61E6342A"/>
    <w:rsid w:val="61EA4E6B"/>
    <w:rsid w:val="61F57D74"/>
    <w:rsid w:val="61FC4B9F"/>
    <w:rsid w:val="620771B2"/>
    <w:rsid w:val="62080A1D"/>
    <w:rsid w:val="622D4D58"/>
    <w:rsid w:val="622E02E3"/>
    <w:rsid w:val="623A1223"/>
    <w:rsid w:val="623B7475"/>
    <w:rsid w:val="624E643B"/>
    <w:rsid w:val="625B2843"/>
    <w:rsid w:val="625E7A86"/>
    <w:rsid w:val="626F711E"/>
    <w:rsid w:val="62712821"/>
    <w:rsid w:val="62730F7B"/>
    <w:rsid w:val="62811549"/>
    <w:rsid w:val="62892E3B"/>
    <w:rsid w:val="628A03FC"/>
    <w:rsid w:val="62953005"/>
    <w:rsid w:val="62A27631"/>
    <w:rsid w:val="62A27C60"/>
    <w:rsid w:val="62A3501A"/>
    <w:rsid w:val="62AA45FB"/>
    <w:rsid w:val="62AE43D4"/>
    <w:rsid w:val="62AF0FEF"/>
    <w:rsid w:val="62B45479"/>
    <w:rsid w:val="62C17A7B"/>
    <w:rsid w:val="62CB49A1"/>
    <w:rsid w:val="62DE38C5"/>
    <w:rsid w:val="62E73159"/>
    <w:rsid w:val="62ED3E5A"/>
    <w:rsid w:val="62F10271"/>
    <w:rsid w:val="62FC3469"/>
    <w:rsid w:val="630C4460"/>
    <w:rsid w:val="63116428"/>
    <w:rsid w:val="631321A0"/>
    <w:rsid w:val="63141A74"/>
    <w:rsid w:val="631C34A7"/>
    <w:rsid w:val="63220635"/>
    <w:rsid w:val="632E6C44"/>
    <w:rsid w:val="63302D52"/>
    <w:rsid w:val="633059CA"/>
    <w:rsid w:val="633A26F8"/>
    <w:rsid w:val="633A3BD0"/>
    <w:rsid w:val="635A1B7D"/>
    <w:rsid w:val="6361115D"/>
    <w:rsid w:val="6364313A"/>
    <w:rsid w:val="63660521"/>
    <w:rsid w:val="636D1953"/>
    <w:rsid w:val="636F09B8"/>
    <w:rsid w:val="637D3ABD"/>
    <w:rsid w:val="6383116A"/>
    <w:rsid w:val="63916CE9"/>
    <w:rsid w:val="63927568"/>
    <w:rsid w:val="63B04B6E"/>
    <w:rsid w:val="63B219B9"/>
    <w:rsid w:val="63B75221"/>
    <w:rsid w:val="63B86E2C"/>
    <w:rsid w:val="63BA5D30"/>
    <w:rsid w:val="63CA40E4"/>
    <w:rsid w:val="63D74F7B"/>
    <w:rsid w:val="63D979B2"/>
    <w:rsid w:val="63DF10FC"/>
    <w:rsid w:val="63E14E13"/>
    <w:rsid w:val="63F56A0D"/>
    <w:rsid w:val="63F57AF7"/>
    <w:rsid w:val="63F773CC"/>
    <w:rsid w:val="63FC2C37"/>
    <w:rsid w:val="63FD189B"/>
    <w:rsid w:val="6420020E"/>
    <w:rsid w:val="64246DFF"/>
    <w:rsid w:val="64265F03"/>
    <w:rsid w:val="642A1AC8"/>
    <w:rsid w:val="642B10E5"/>
    <w:rsid w:val="642D7291"/>
    <w:rsid w:val="64310E2C"/>
    <w:rsid w:val="64316114"/>
    <w:rsid w:val="644267A7"/>
    <w:rsid w:val="64442D0F"/>
    <w:rsid w:val="64526DA7"/>
    <w:rsid w:val="6454481E"/>
    <w:rsid w:val="645760BC"/>
    <w:rsid w:val="6458033D"/>
    <w:rsid w:val="64592EAE"/>
    <w:rsid w:val="64A05CB5"/>
    <w:rsid w:val="64A81D2B"/>
    <w:rsid w:val="64AF7CA6"/>
    <w:rsid w:val="64C228DE"/>
    <w:rsid w:val="64C435D1"/>
    <w:rsid w:val="64C44DD0"/>
    <w:rsid w:val="64C76D65"/>
    <w:rsid w:val="64D002AE"/>
    <w:rsid w:val="64D70A5F"/>
    <w:rsid w:val="64F00CFA"/>
    <w:rsid w:val="64FD143E"/>
    <w:rsid w:val="64FF53F0"/>
    <w:rsid w:val="65031DA0"/>
    <w:rsid w:val="65053D6A"/>
    <w:rsid w:val="6513595F"/>
    <w:rsid w:val="6518584B"/>
    <w:rsid w:val="651A6E17"/>
    <w:rsid w:val="65214639"/>
    <w:rsid w:val="65220637"/>
    <w:rsid w:val="65401C24"/>
    <w:rsid w:val="65562818"/>
    <w:rsid w:val="65583E34"/>
    <w:rsid w:val="65614F85"/>
    <w:rsid w:val="65624D19"/>
    <w:rsid w:val="65640A91"/>
    <w:rsid w:val="6569254B"/>
    <w:rsid w:val="657038D9"/>
    <w:rsid w:val="65764C68"/>
    <w:rsid w:val="658E6020"/>
    <w:rsid w:val="659B0C70"/>
    <w:rsid w:val="65A417D5"/>
    <w:rsid w:val="65AD68DC"/>
    <w:rsid w:val="65AE61B0"/>
    <w:rsid w:val="65B91B2F"/>
    <w:rsid w:val="65C64706"/>
    <w:rsid w:val="65CB6D62"/>
    <w:rsid w:val="65DA0D53"/>
    <w:rsid w:val="65DB0A87"/>
    <w:rsid w:val="65DF280D"/>
    <w:rsid w:val="65E46075"/>
    <w:rsid w:val="65E62B17"/>
    <w:rsid w:val="65E63B9C"/>
    <w:rsid w:val="65EA5BC3"/>
    <w:rsid w:val="65F067C8"/>
    <w:rsid w:val="65F8567D"/>
    <w:rsid w:val="66063C56"/>
    <w:rsid w:val="66140709"/>
    <w:rsid w:val="661D24F4"/>
    <w:rsid w:val="661E7317"/>
    <w:rsid w:val="662B662D"/>
    <w:rsid w:val="66372649"/>
    <w:rsid w:val="664B39FF"/>
    <w:rsid w:val="66552ACF"/>
    <w:rsid w:val="665B634B"/>
    <w:rsid w:val="66652D12"/>
    <w:rsid w:val="666708AB"/>
    <w:rsid w:val="667747F4"/>
    <w:rsid w:val="66890422"/>
    <w:rsid w:val="668C53CC"/>
    <w:rsid w:val="66915D04"/>
    <w:rsid w:val="66937143"/>
    <w:rsid w:val="669E48A6"/>
    <w:rsid w:val="66A551F1"/>
    <w:rsid w:val="66A95111"/>
    <w:rsid w:val="66AB26EF"/>
    <w:rsid w:val="66B50FD2"/>
    <w:rsid w:val="66B64012"/>
    <w:rsid w:val="66C33EDD"/>
    <w:rsid w:val="66E005EB"/>
    <w:rsid w:val="66E14363"/>
    <w:rsid w:val="66EB147E"/>
    <w:rsid w:val="66ED0F5A"/>
    <w:rsid w:val="66F2031E"/>
    <w:rsid w:val="66F45E44"/>
    <w:rsid w:val="67001AC3"/>
    <w:rsid w:val="670375E7"/>
    <w:rsid w:val="670A3A9C"/>
    <w:rsid w:val="6712451C"/>
    <w:rsid w:val="671B4CC0"/>
    <w:rsid w:val="671F493B"/>
    <w:rsid w:val="672A7AB8"/>
    <w:rsid w:val="673E5F91"/>
    <w:rsid w:val="67472502"/>
    <w:rsid w:val="67523E04"/>
    <w:rsid w:val="675A6D1E"/>
    <w:rsid w:val="677A27ED"/>
    <w:rsid w:val="678371C8"/>
    <w:rsid w:val="67891DEC"/>
    <w:rsid w:val="67906760"/>
    <w:rsid w:val="67980EC5"/>
    <w:rsid w:val="679C0437"/>
    <w:rsid w:val="679D028A"/>
    <w:rsid w:val="67B13D35"/>
    <w:rsid w:val="67B247DD"/>
    <w:rsid w:val="67B7781B"/>
    <w:rsid w:val="67BC1058"/>
    <w:rsid w:val="67C23573"/>
    <w:rsid w:val="67C831A4"/>
    <w:rsid w:val="67C8720F"/>
    <w:rsid w:val="67C92BE3"/>
    <w:rsid w:val="67D21E42"/>
    <w:rsid w:val="67D510FF"/>
    <w:rsid w:val="67E31201"/>
    <w:rsid w:val="67E759A9"/>
    <w:rsid w:val="67F30523"/>
    <w:rsid w:val="67F65B74"/>
    <w:rsid w:val="67FF2CF3"/>
    <w:rsid w:val="68166636"/>
    <w:rsid w:val="68205AFC"/>
    <w:rsid w:val="68232E85"/>
    <w:rsid w:val="68330D7C"/>
    <w:rsid w:val="6835132F"/>
    <w:rsid w:val="68351F05"/>
    <w:rsid w:val="68541712"/>
    <w:rsid w:val="68815DFE"/>
    <w:rsid w:val="68860A0A"/>
    <w:rsid w:val="68880203"/>
    <w:rsid w:val="6888718C"/>
    <w:rsid w:val="68953223"/>
    <w:rsid w:val="689C6793"/>
    <w:rsid w:val="68AA7102"/>
    <w:rsid w:val="68B702B5"/>
    <w:rsid w:val="68C169C5"/>
    <w:rsid w:val="68E32614"/>
    <w:rsid w:val="68F11526"/>
    <w:rsid w:val="68F550AB"/>
    <w:rsid w:val="68FD3ECC"/>
    <w:rsid w:val="69064AB6"/>
    <w:rsid w:val="69074555"/>
    <w:rsid w:val="69083E29"/>
    <w:rsid w:val="691602F4"/>
    <w:rsid w:val="69187539"/>
    <w:rsid w:val="69231B8D"/>
    <w:rsid w:val="692A4234"/>
    <w:rsid w:val="692F13B6"/>
    <w:rsid w:val="69584819"/>
    <w:rsid w:val="695D5F23"/>
    <w:rsid w:val="69603C65"/>
    <w:rsid w:val="69605006"/>
    <w:rsid w:val="69643755"/>
    <w:rsid w:val="69670B4F"/>
    <w:rsid w:val="69763488"/>
    <w:rsid w:val="69840B6F"/>
    <w:rsid w:val="69852B2B"/>
    <w:rsid w:val="698D100B"/>
    <w:rsid w:val="69974C48"/>
    <w:rsid w:val="69A12B8F"/>
    <w:rsid w:val="69A47FF6"/>
    <w:rsid w:val="69C73CE4"/>
    <w:rsid w:val="69C74CBB"/>
    <w:rsid w:val="69CB5582"/>
    <w:rsid w:val="69D967D1"/>
    <w:rsid w:val="69E00902"/>
    <w:rsid w:val="69F61ED3"/>
    <w:rsid w:val="6A000ADF"/>
    <w:rsid w:val="6A0D5B9B"/>
    <w:rsid w:val="6A0D7E5B"/>
    <w:rsid w:val="6A0F382C"/>
    <w:rsid w:val="6A1876FA"/>
    <w:rsid w:val="6A2133F4"/>
    <w:rsid w:val="6A231730"/>
    <w:rsid w:val="6A2B6021"/>
    <w:rsid w:val="6A310775"/>
    <w:rsid w:val="6A3B5729"/>
    <w:rsid w:val="6A440E91"/>
    <w:rsid w:val="6A5527D2"/>
    <w:rsid w:val="6A596387"/>
    <w:rsid w:val="6A5A768C"/>
    <w:rsid w:val="6A61544A"/>
    <w:rsid w:val="6A61799A"/>
    <w:rsid w:val="6A6A42B6"/>
    <w:rsid w:val="6A7B241B"/>
    <w:rsid w:val="6A811ACA"/>
    <w:rsid w:val="6A867F63"/>
    <w:rsid w:val="6A883473"/>
    <w:rsid w:val="6A940797"/>
    <w:rsid w:val="6A995680"/>
    <w:rsid w:val="6A9C0CCD"/>
    <w:rsid w:val="6AAA5681"/>
    <w:rsid w:val="6AAE27AE"/>
    <w:rsid w:val="6AC50223"/>
    <w:rsid w:val="6ACA017A"/>
    <w:rsid w:val="6ACF301A"/>
    <w:rsid w:val="6ADC0A6B"/>
    <w:rsid w:val="6AE1319A"/>
    <w:rsid w:val="6AE663EC"/>
    <w:rsid w:val="6AE77D3C"/>
    <w:rsid w:val="6AED32D6"/>
    <w:rsid w:val="6AF02DC7"/>
    <w:rsid w:val="6AFA14FA"/>
    <w:rsid w:val="6B0718B5"/>
    <w:rsid w:val="6B0F76F1"/>
    <w:rsid w:val="6B154A35"/>
    <w:rsid w:val="6B212E61"/>
    <w:rsid w:val="6B33736F"/>
    <w:rsid w:val="6B37170B"/>
    <w:rsid w:val="6B3C7DBA"/>
    <w:rsid w:val="6B413622"/>
    <w:rsid w:val="6B421B88"/>
    <w:rsid w:val="6B433442"/>
    <w:rsid w:val="6B4B53FD"/>
    <w:rsid w:val="6B767361"/>
    <w:rsid w:val="6B822867"/>
    <w:rsid w:val="6B847065"/>
    <w:rsid w:val="6B9D4CFC"/>
    <w:rsid w:val="6BA06610"/>
    <w:rsid w:val="6BAF2C82"/>
    <w:rsid w:val="6BB32772"/>
    <w:rsid w:val="6BB655AF"/>
    <w:rsid w:val="6BB957B0"/>
    <w:rsid w:val="6BBD0EFB"/>
    <w:rsid w:val="6BBF3FBF"/>
    <w:rsid w:val="6BC64C3D"/>
    <w:rsid w:val="6BCD5068"/>
    <w:rsid w:val="6BD076FD"/>
    <w:rsid w:val="6BD55C8E"/>
    <w:rsid w:val="6BD97AFD"/>
    <w:rsid w:val="6BEB40A9"/>
    <w:rsid w:val="6BFA214F"/>
    <w:rsid w:val="6C021860"/>
    <w:rsid w:val="6C060F0D"/>
    <w:rsid w:val="6C092392"/>
    <w:rsid w:val="6C123FA9"/>
    <w:rsid w:val="6C2761F3"/>
    <w:rsid w:val="6C3867D3"/>
    <w:rsid w:val="6C39327C"/>
    <w:rsid w:val="6C3A079D"/>
    <w:rsid w:val="6C3E2AE1"/>
    <w:rsid w:val="6C435618"/>
    <w:rsid w:val="6C44786E"/>
    <w:rsid w:val="6C450EF0"/>
    <w:rsid w:val="6C4F3C3C"/>
    <w:rsid w:val="6C597B84"/>
    <w:rsid w:val="6C5D5657"/>
    <w:rsid w:val="6C68265A"/>
    <w:rsid w:val="6C6D0B73"/>
    <w:rsid w:val="6C700663"/>
    <w:rsid w:val="6C7222AE"/>
    <w:rsid w:val="6C783074"/>
    <w:rsid w:val="6C832144"/>
    <w:rsid w:val="6C90182A"/>
    <w:rsid w:val="6C944351"/>
    <w:rsid w:val="6C953C26"/>
    <w:rsid w:val="6CA64CF3"/>
    <w:rsid w:val="6CA963BE"/>
    <w:rsid w:val="6CB57E24"/>
    <w:rsid w:val="6CC570A5"/>
    <w:rsid w:val="6CC70228"/>
    <w:rsid w:val="6CD935A2"/>
    <w:rsid w:val="6CE12132"/>
    <w:rsid w:val="6CE125B1"/>
    <w:rsid w:val="6CEC3F75"/>
    <w:rsid w:val="6CEE5E4F"/>
    <w:rsid w:val="6CF7148A"/>
    <w:rsid w:val="6D0E5786"/>
    <w:rsid w:val="6D117F87"/>
    <w:rsid w:val="6D1E2ED5"/>
    <w:rsid w:val="6D262638"/>
    <w:rsid w:val="6D2F00AE"/>
    <w:rsid w:val="6D38593A"/>
    <w:rsid w:val="6D4B2536"/>
    <w:rsid w:val="6D4D2752"/>
    <w:rsid w:val="6D4D7584"/>
    <w:rsid w:val="6D627B71"/>
    <w:rsid w:val="6D6537A5"/>
    <w:rsid w:val="6D772E30"/>
    <w:rsid w:val="6D8057A7"/>
    <w:rsid w:val="6D8141AA"/>
    <w:rsid w:val="6D8360D1"/>
    <w:rsid w:val="6D836174"/>
    <w:rsid w:val="6D88378A"/>
    <w:rsid w:val="6D9F41F8"/>
    <w:rsid w:val="6DA91761"/>
    <w:rsid w:val="6DB027C7"/>
    <w:rsid w:val="6DB17A2E"/>
    <w:rsid w:val="6DB17CD1"/>
    <w:rsid w:val="6DB77BCC"/>
    <w:rsid w:val="6DB82591"/>
    <w:rsid w:val="6DC1541F"/>
    <w:rsid w:val="6DC5053A"/>
    <w:rsid w:val="6DCA5B51"/>
    <w:rsid w:val="6DCD73EF"/>
    <w:rsid w:val="6DD32C57"/>
    <w:rsid w:val="6DE5298B"/>
    <w:rsid w:val="6DEC1F6B"/>
    <w:rsid w:val="6DEE5CE3"/>
    <w:rsid w:val="6DF026EB"/>
    <w:rsid w:val="6DF27794"/>
    <w:rsid w:val="6DF36E56"/>
    <w:rsid w:val="6DFB42FF"/>
    <w:rsid w:val="6E0F64FE"/>
    <w:rsid w:val="6E1178BF"/>
    <w:rsid w:val="6E196FF3"/>
    <w:rsid w:val="6E21673D"/>
    <w:rsid w:val="6E217E67"/>
    <w:rsid w:val="6E284011"/>
    <w:rsid w:val="6E296D1B"/>
    <w:rsid w:val="6E2E47C2"/>
    <w:rsid w:val="6E315BD0"/>
    <w:rsid w:val="6E3851B0"/>
    <w:rsid w:val="6E436498"/>
    <w:rsid w:val="6E481EBF"/>
    <w:rsid w:val="6E49116B"/>
    <w:rsid w:val="6E4B39E7"/>
    <w:rsid w:val="6E51148A"/>
    <w:rsid w:val="6E55366C"/>
    <w:rsid w:val="6E5B561D"/>
    <w:rsid w:val="6E601AA5"/>
    <w:rsid w:val="6E612755"/>
    <w:rsid w:val="6E6C6B0E"/>
    <w:rsid w:val="6E6D3339"/>
    <w:rsid w:val="6E737441"/>
    <w:rsid w:val="6E82136D"/>
    <w:rsid w:val="6E823AE9"/>
    <w:rsid w:val="6E867CCA"/>
    <w:rsid w:val="6E881964"/>
    <w:rsid w:val="6E90735F"/>
    <w:rsid w:val="6EA44B97"/>
    <w:rsid w:val="6EA6036C"/>
    <w:rsid w:val="6EA60D2B"/>
    <w:rsid w:val="6EA765DB"/>
    <w:rsid w:val="6EA91C0A"/>
    <w:rsid w:val="6EAE7221"/>
    <w:rsid w:val="6EB26D11"/>
    <w:rsid w:val="6EB579F9"/>
    <w:rsid w:val="6EB611AF"/>
    <w:rsid w:val="6EC22EA4"/>
    <w:rsid w:val="6EC8494C"/>
    <w:rsid w:val="6EC85F8E"/>
    <w:rsid w:val="6ED053E9"/>
    <w:rsid w:val="6ED2571A"/>
    <w:rsid w:val="6ED34FB9"/>
    <w:rsid w:val="6EE449F0"/>
    <w:rsid w:val="6EEC1804"/>
    <w:rsid w:val="6EF508D8"/>
    <w:rsid w:val="6EFC4273"/>
    <w:rsid w:val="6F0230C8"/>
    <w:rsid w:val="6F026911"/>
    <w:rsid w:val="6F087ADA"/>
    <w:rsid w:val="6F116045"/>
    <w:rsid w:val="6F1277AF"/>
    <w:rsid w:val="6F26325B"/>
    <w:rsid w:val="6F2A6F6F"/>
    <w:rsid w:val="6F32398A"/>
    <w:rsid w:val="6F386628"/>
    <w:rsid w:val="6F3A279F"/>
    <w:rsid w:val="6F3C2A7E"/>
    <w:rsid w:val="6F3C65DA"/>
    <w:rsid w:val="6F410095"/>
    <w:rsid w:val="6F4E5EAA"/>
    <w:rsid w:val="6F54398D"/>
    <w:rsid w:val="6F635077"/>
    <w:rsid w:val="6F6F1FE3"/>
    <w:rsid w:val="6F71097A"/>
    <w:rsid w:val="6F781FC5"/>
    <w:rsid w:val="6F7B5355"/>
    <w:rsid w:val="6F873A86"/>
    <w:rsid w:val="6F8E6C94"/>
    <w:rsid w:val="6F9025A2"/>
    <w:rsid w:val="6F90518A"/>
    <w:rsid w:val="6F91484E"/>
    <w:rsid w:val="6F9540A0"/>
    <w:rsid w:val="6F973996"/>
    <w:rsid w:val="6FBB0A5D"/>
    <w:rsid w:val="6FC04EE4"/>
    <w:rsid w:val="6FC86F1A"/>
    <w:rsid w:val="6FCF036A"/>
    <w:rsid w:val="6FED6CAD"/>
    <w:rsid w:val="6FF1788D"/>
    <w:rsid w:val="6FFB70C8"/>
    <w:rsid w:val="6FFE1AE2"/>
    <w:rsid w:val="700417EE"/>
    <w:rsid w:val="700532A9"/>
    <w:rsid w:val="70074022"/>
    <w:rsid w:val="700D7F77"/>
    <w:rsid w:val="70111815"/>
    <w:rsid w:val="701B2694"/>
    <w:rsid w:val="70266CAE"/>
    <w:rsid w:val="7026716E"/>
    <w:rsid w:val="703674CE"/>
    <w:rsid w:val="7038033E"/>
    <w:rsid w:val="703E0D95"/>
    <w:rsid w:val="704240C4"/>
    <w:rsid w:val="70454E8C"/>
    <w:rsid w:val="70533B97"/>
    <w:rsid w:val="70576BAA"/>
    <w:rsid w:val="70637F71"/>
    <w:rsid w:val="70645DE9"/>
    <w:rsid w:val="706978A3"/>
    <w:rsid w:val="70743B98"/>
    <w:rsid w:val="707617CA"/>
    <w:rsid w:val="707D334E"/>
    <w:rsid w:val="70866F8A"/>
    <w:rsid w:val="708B5A6B"/>
    <w:rsid w:val="70B2124A"/>
    <w:rsid w:val="70B30B1E"/>
    <w:rsid w:val="70B54896"/>
    <w:rsid w:val="70BF74C3"/>
    <w:rsid w:val="70CA394F"/>
    <w:rsid w:val="70D72EA9"/>
    <w:rsid w:val="70DA0EB4"/>
    <w:rsid w:val="70DE78BA"/>
    <w:rsid w:val="70EB6BD0"/>
    <w:rsid w:val="7104744D"/>
    <w:rsid w:val="71066EA0"/>
    <w:rsid w:val="71094BE2"/>
    <w:rsid w:val="711D243B"/>
    <w:rsid w:val="71263CB9"/>
    <w:rsid w:val="71284FD1"/>
    <w:rsid w:val="713B111A"/>
    <w:rsid w:val="71431EA2"/>
    <w:rsid w:val="714F6400"/>
    <w:rsid w:val="714F65DC"/>
    <w:rsid w:val="714F68F5"/>
    <w:rsid w:val="7150636D"/>
    <w:rsid w:val="71511DF8"/>
    <w:rsid w:val="7168457C"/>
    <w:rsid w:val="716A3158"/>
    <w:rsid w:val="716E3926"/>
    <w:rsid w:val="716F7776"/>
    <w:rsid w:val="717520BB"/>
    <w:rsid w:val="71797686"/>
    <w:rsid w:val="717B788E"/>
    <w:rsid w:val="718154E4"/>
    <w:rsid w:val="718167B7"/>
    <w:rsid w:val="71816E6E"/>
    <w:rsid w:val="71835E4A"/>
    <w:rsid w:val="71950F82"/>
    <w:rsid w:val="71A24560"/>
    <w:rsid w:val="71AA3CCF"/>
    <w:rsid w:val="71AB7DE0"/>
    <w:rsid w:val="71B30B97"/>
    <w:rsid w:val="71CA4371"/>
    <w:rsid w:val="71CA611F"/>
    <w:rsid w:val="71CE71C3"/>
    <w:rsid w:val="71D451F0"/>
    <w:rsid w:val="71DC30DE"/>
    <w:rsid w:val="71DE7E1D"/>
    <w:rsid w:val="71E04502"/>
    <w:rsid w:val="71E52F59"/>
    <w:rsid w:val="71EC42E8"/>
    <w:rsid w:val="72181581"/>
    <w:rsid w:val="7218332F"/>
    <w:rsid w:val="7220357F"/>
    <w:rsid w:val="722078C9"/>
    <w:rsid w:val="72314556"/>
    <w:rsid w:val="72407E3E"/>
    <w:rsid w:val="72444124"/>
    <w:rsid w:val="7248490E"/>
    <w:rsid w:val="725B76BF"/>
    <w:rsid w:val="726A6011"/>
    <w:rsid w:val="727B1B10"/>
    <w:rsid w:val="729130E1"/>
    <w:rsid w:val="729460FE"/>
    <w:rsid w:val="72A03324"/>
    <w:rsid w:val="72A262A2"/>
    <w:rsid w:val="72AA090C"/>
    <w:rsid w:val="72AE3C93"/>
    <w:rsid w:val="72B164B1"/>
    <w:rsid w:val="72B56DCF"/>
    <w:rsid w:val="72BB13CA"/>
    <w:rsid w:val="72C009E2"/>
    <w:rsid w:val="72D32376"/>
    <w:rsid w:val="72D4375A"/>
    <w:rsid w:val="72D43F44"/>
    <w:rsid w:val="72D75477"/>
    <w:rsid w:val="72DC7380"/>
    <w:rsid w:val="72DD6326"/>
    <w:rsid w:val="72DE6CDA"/>
    <w:rsid w:val="72E37945"/>
    <w:rsid w:val="73084A11"/>
    <w:rsid w:val="730B69EF"/>
    <w:rsid w:val="73104006"/>
    <w:rsid w:val="73131D48"/>
    <w:rsid w:val="73150AD9"/>
    <w:rsid w:val="73163983"/>
    <w:rsid w:val="7325594C"/>
    <w:rsid w:val="732950C8"/>
    <w:rsid w:val="732D105C"/>
    <w:rsid w:val="73375A36"/>
    <w:rsid w:val="734F5B66"/>
    <w:rsid w:val="73504D4A"/>
    <w:rsid w:val="73532145"/>
    <w:rsid w:val="73655FDF"/>
    <w:rsid w:val="73691968"/>
    <w:rsid w:val="73746B0E"/>
    <w:rsid w:val="73762935"/>
    <w:rsid w:val="739764D5"/>
    <w:rsid w:val="7398640D"/>
    <w:rsid w:val="739E1612"/>
    <w:rsid w:val="73A41347"/>
    <w:rsid w:val="73AA3251"/>
    <w:rsid w:val="73AD7903"/>
    <w:rsid w:val="73B02BDC"/>
    <w:rsid w:val="73B41D9C"/>
    <w:rsid w:val="73C64398"/>
    <w:rsid w:val="73CA1A40"/>
    <w:rsid w:val="73CD35DF"/>
    <w:rsid w:val="73D26CC6"/>
    <w:rsid w:val="73DA6563"/>
    <w:rsid w:val="73DE2A18"/>
    <w:rsid w:val="73E8752C"/>
    <w:rsid w:val="73E9403A"/>
    <w:rsid w:val="73ED6AAC"/>
    <w:rsid w:val="73F456D6"/>
    <w:rsid w:val="74281823"/>
    <w:rsid w:val="742C2C2D"/>
    <w:rsid w:val="743432D6"/>
    <w:rsid w:val="743E0056"/>
    <w:rsid w:val="744D04DB"/>
    <w:rsid w:val="744D4796"/>
    <w:rsid w:val="74516EE2"/>
    <w:rsid w:val="7457037A"/>
    <w:rsid w:val="7461749A"/>
    <w:rsid w:val="7463285B"/>
    <w:rsid w:val="746C1582"/>
    <w:rsid w:val="748527D2"/>
    <w:rsid w:val="748A603A"/>
    <w:rsid w:val="748E78D8"/>
    <w:rsid w:val="74934EEE"/>
    <w:rsid w:val="749E626A"/>
    <w:rsid w:val="749F7D37"/>
    <w:rsid w:val="74B82BA7"/>
    <w:rsid w:val="74B86703"/>
    <w:rsid w:val="74BF6BC1"/>
    <w:rsid w:val="74C87E25"/>
    <w:rsid w:val="74CC6652"/>
    <w:rsid w:val="74D7496A"/>
    <w:rsid w:val="74DA6E76"/>
    <w:rsid w:val="74F01713"/>
    <w:rsid w:val="74F76776"/>
    <w:rsid w:val="74FD3B6F"/>
    <w:rsid w:val="750B72C2"/>
    <w:rsid w:val="75185176"/>
    <w:rsid w:val="7519017E"/>
    <w:rsid w:val="75263FB5"/>
    <w:rsid w:val="752B5127"/>
    <w:rsid w:val="75465AB3"/>
    <w:rsid w:val="754B57C9"/>
    <w:rsid w:val="754E563E"/>
    <w:rsid w:val="757A34CC"/>
    <w:rsid w:val="757A60AE"/>
    <w:rsid w:val="757E49D6"/>
    <w:rsid w:val="758614DD"/>
    <w:rsid w:val="759F3CEA"/>
    <w:rsid w:val="75A367D3"/>
    <w:rsid w:val="75A629FF"/>
    <w:rsid w:val="75AB5501"/>
    <w:rsid w:val="75BA77D6"/>
    <w:rsid w:val="75BB2F61"/>
    <w:rsid w:val="75D67789"/>
    <w:rsid w:val="75DD25A5"/>
    <w:rsid w:val="75E22227"/>
    <w:rsid w:val="75EC5087"/>
    <w:rsid w:val="75F25C45"/>
    <w:rsid w:val="75F37912"/>
    <w:rsid w:val="76164725"/>
    <w:rsid w:val="76190ABD"/>
    <w:rsid w:val="76210E5A"/>
    <w:rsid w:val="76280C11"/>
    <w:rsid w:val="762F50EB"/>
    <w:rsid w:val="763C5A77"/>
    <w:rsid w:val="76450616"/>
    <w:rsid w:val="76587637"/>
    <w:rsid w:val="76637BC6"/>
    <w:rsid w:val="767174B1"/>
    <w:rsid w:val="7677439C"/>
    <w:rsid w:val="767825EE"/>
    <w:rsid w:val="767D7C04"/>
    <w:rsid w:val="76852F5D"/>
    <w:rsid w:val="76876CD5"/>
    <w:rsid w:val="768F1EE1"/>
    <w:rsid w:val="769164A0"/>
    <w:rsid w:val="769535F7"/>
    <w:rsid w:val="76AA3BBE"/>
    <w:rsid w:val="76BB7D9C"/>
    <w:rsid w:val="76C30454"/>
    <w:rsid w:val="76CB0718"/>
    <w:rsid w:val="76D13DEC"/>
    <w:rsid w:val="76F65C09"/>
    <w:rsid w:val="76FB5312"/>
    <w:rsid w:val="7706409E"/>
    <w:rsid w:val="771334B6"/>
    <w:rsid w:val="772A798F"/>
    <w:rsid w:val="7731279D"/>
    <w:rsid w:val="77416BDC"/>
    <w:rsid w:val="77492442"/>
    <w:rsid w:val="774B7D02"/>
    <w:rsid w:val="77514BED"/>
    <w:rsid w:val="7751784F"/>
    <w:rsid w:val="77532D52"/>
    <w:rsid w:val="7759197B"/>
    <w:rsid w:val="776E0CF0"/>
    <w:rsid w:val="77707769"/>
    <w:rsid w:val="77727D83"/>
    <w:rsid w:val="77792F92"/>
    <w:rsid w:val="777C5FCF"/>
    <w:rsid w:val="778B24EF"/>
    <w:rsid w:val="778D031B"/>
    <w:rsid w:val="77903967"/>
    <w:rsid w:val="779141AF"/>
    <w:rsid w:val="77996CC0"/>
    <w:rsid w:val="77A17922"/>
    <w:rsid w:val="77A92C7B"/>
    <w:rsid w:val="77B520BF"/>
    <w:rsid w:val="77B533CE"/>
    <w:rsid w:val="77C33470"/>
    <w:rsid w:val="77CB0E43"/>
    <w:rsid w:val="77D01E45"/>
    <w:rsid w:val="77D870BC"/>
    <w:rsid w:val="77D94FF5"/>
    <w:rsid w:val="77DA6802"/>
    <w:rsid w:val="77EE09D2"/>
    <w:rsid w:val="77EF50EB"/>
    <w:rsid w:val="77F73860"/>
    <w:rsid w:val="77F86BCB"/>
    <w:rsid w:val="77F959B0"/>
    <w:rsid w:val="780305DD"/>
    <w:rsid w:val="7808174F"/>
    <w:rsid w:val="78141A18"/>
    <w:rsid w:val="782C2A35"/>
    <w:rsid w:val="78527978"/>
    <w:rsid w:val="785C1A9B"/>
    <w:rsid w:val="786C5A1D"/>
    <w:rsid w:val="787D3C56"/>
    <w:rsid w:val="787E7C64"/>
    <w:rsid w:val="7883527A"/>
    <w:rsid w:val="7888534D"/>
    <w:rsid w:val="78946528"/>
    <w:rsid w:val="78A3591C"/>
    <w:rsid w:val="78A551F0"/>
    <w:rsid w:val="78A771BA"/>
    <w:rsid w:val="78AC5F5A"/>
    <w:rsid w:val="78AE246B"/>
    <w:rsid w:val="78B33C13"/>
    <w:rsid w:val="78B874E6"/>
    <w:rsid w:val="78B905F3"/>
    <w:rsid w:val="78B93018"/>
    <w:rsid w:val="78BA0DB9"/>
    <w:rsid w:val="78CD2160"/>
    <w:rsid w:val="78E34762"/>
    <w:rsid w:val="78E35D19"/>
    <w:rsid w:val="78EA52F9"/>
    <w:rsid w:val="78EF0B61"/>
    <w:rsid w:val="78F148D9"/>
    <w:rsid w:val="78FB12B4"/>
    <w:rsid w:val="78FF0DA4"/>
    <w:rsid w:val="7902302B"/>
    <w:rsid w:val="79077C59"/>
    <w:rsid w:val="790A49DD"/>
    <w:rsid w:val="790B5EDC"/>
    <w:rsid w:val="79165A2F"/>
    <w:rsid w:val="79222870"/>
    <w:rsid w:val="79246A5D"/>
    <w:rsid w:val="793876EF"/>
    <w:rsid w:val="793D18CD"/>
    <w:rsid w:val="79405463"/>
    <w:rsid w:val="7942728A"/>
    <w:rsid w:val="79492020"/>
    <w:rsid w:val="795723C3"/>
    <w:rsid w:val="795E4C8C"/>
    <w:rsid w:val="79642735"/>
    <w:rsid w:val="79646E59"/>
    <w:rsid w:val="796B643A"/>
    <w:rsid w:val="79773031"/>
    <w:rsid w:val="797F3C93"/>
    <w:rsid w:val="79894B12"/>
    <w:rsid w:val="799B0853"/>
    <w:rsid w:val="79A56152"/>
    <w:rsid w:val="79A764C4"/>
    <w:rsid w:val="79AF3739"/>
    <w:rsid w:val="79B370AD"/>
    <w:rsid w:val="79BF22E2"/>
    <w:rsid w:val="79D00993"/>
    <w:rsid w:val="79D51B05"/>
    <w:rsid w:val="79D54511"/>
    <w:rsid w:val="79DF4732"/>
    <w:rsid w:val="79E41D86"/>
    <w:rsid w:val="79EE2BC7"/>
    <w:rsid w:val="79EF399B"/>
    <w:rsid w:val="79FE105C"/>
    <w:rsid w:val="7A0149B0"/>
    <w:rsid w:val="7A036672"/>
    <w:rsid w:val="7A102B3D"/>
    <w:rsid w:val="7A14797D"/>
    <w:rsid w:val="7A1E34AC"/>
    <w:rsid w:val="7A20416A"/>
    <w:rsid w:val="7A2A0ED3"/>
    <w:rsid w:val="7A2B7977"/>
    <w:rsid w:val="7A2D36EF"/>
    <w:rsid w:val="7A4261B7"/>
    <w:rsid w:val="7A5C2227"/>
    <w:rsid w:val="7A6115EB"/>
    <w:rsid w:val="7A653295"/>
    <w:rsid w:val="7A772BBC"/>
    <w:rsid w:val="7A7872D8"/>
    <w:rsid w:val="7A935779"/>
    <w:rsid w:val="7A951295"/>
    <w:rsid w:val="7A9B2D4F"/>
    <w:rsid w:val="7A9D2951"/>
    <w:rsid w:val="7A9E0310"/>
    <w:rsid w:val="7A9E2EB4"/>
    <w:rsid w:val="7AA37E55"/>
    <w:rsid w:val="7AAE1CA3"/>
    <w:rsid w:val="7AB411C2"/>
    <w:rsid w:val="7AC22512"/>
    <w:rsid w:val="7AC426F9"/>
    <w:rsid w:val="7AC51B7A"/>
    <w:rsid w:val="7AC62985"/>
    <w:rsid w:val="7AC758F2"/>
    <w:rsid w:val="7AD3427A"/>
    <w:rsid w:val="7ADC1122"/>
    <w:rsid w:val="7ADD5115"/>
    <w:rsid w:val="7ADF1481"/>
    <w:rsid w:val="7AE244DA"/>
    <w:rsid w:val="7AE53A4B"/>
    <w:rsid w:val="7AEA338E"/>
    <w:rsid w:val="7AF1471D"/>
    <w:rsid w:val="7B007056"/>
    <w:rsid w:val="7B0C08EF"/>
    <w:rsid w:val="7B116F75"/>
    <w:rsid w:val="7B1563EB"/>
    <w:rsid w:val="7B1D5512"/>
    <w:rsid w:val="7B1D660B"/>
    <w:rsid w:val="7B2D7082"/>
    <w:rsid w:val="7B3438A9"/>
    <w:rsid w:val="7B446F42"/>
    <w:rsid w:val="7B481AF4"/>
    <w:rsid w:val="7B4C1F4E"/>
    <w:rsid w:val="7B551150"/>
    <w:rsid w:val="7B5B603A"/>
    <w:rsid w:val="7B5C65E2"/>
    <w:rsid w:val="7B5E2627"/>
    <w:rsid w:val="7B6E1C39"/>
    <w:rsid w:val="7B6F4C09"/>
    <w:rsid w:val="7B823FE2"/>
    <w:rsid w:val="7B861193"/>
    <w:rsid w:val="7B98728E"/>
    <w:rsid w:val="7B9939D6"/>
    <w:rsid w:val="7BA07EF1"/>
    <w:rsid w:val="7BA41D67"/>
    <w:rsid w:val="7BAD120F"/>
    <w:rsid w:val="7BB37C24"/>
    <w:rsid w:val="7BB7737D"/>
    <w:rsid w:val="7BB92417"/>
    <w:rsid w:val="7BC21475"/>
    <w:rsid w:val="7BC3285F"/>
    <w:rsid w:val="7BC65C84"/>
    <w:rsid w:val="7BC938EC"/>
    <w:rsid w:val="7BE74215"/>
    <w:rsid w:val="7BEE3984"/>
    <w:rsid w:val="7C1022A4"/>
    <w:rsid w:val="7C14789E"/>
    <w:rsid w:val="7C19668C"/>
    <w:rsid w:val="7C2C56D5"/>
    <w:rsid w:val="7C2E374F"/>
    <w:rsid w:val="7C367925"/>
    <w:rsid w:val="7C374CF9"/>
    <w:rsid w:val="7C3A20F4"/>
    <w:rsid w:val="7C4902F7"/>
    <w:rsid w:val="7C594C70"/>
    <w:rsid w:val="7C6B3426"/>
    <w:rsid w:val="7C6F2E58"/>
    <w:rsid w:val="7C743857"/>
    <w:rsid w:val="7C7E6484"/>
    <w:rsid w:val="7C9032AE"/>
    <w:rsid w:val="7C920181"/>
    <w:rsid w:val="7C9C3669"/>
    <w:rsid w:val="7C9C5AF5"/>
    <w:rsid w:val="7CBA4FE2"/>
    <w:rsid w:val="7CC70442"/>
    <w:rsid w:val="7CCD11BA"/>
    <w:rsid w:val="7CD662C0"/>
    <w:rsid w:val="7CD7047A"/>
    <w:rsid w:val="7CE06B8B"/>
    <w:rsid w:val="7CE15122"/>
    <w:rsid w:val="7CE7227B"/>
    <w:rsid w:val="7CE81B50"/>
    <w:rsid w:val="7CF77FE5"/>
    <w:rsid w:val="7CFB6BAC"/>
    <w:rsid w:val="7D132363"/>
    <w:rsid w:val="7D1A12A4"/>
    <w:rsid w:val="7D2E0E92"/>
    <w:rsid w:val="7D38050F"/>
    <w:rsid w:val="7D3F68A1"/>
    <w:rsid w:val="7D4012A2"/>
    <w:rsid w:val="7D4071CA"/>
    <w:rsid w:val="7D603342"/>
    <w:rsid w:val="7D612E2E"/>
    <w:rsid w:val="7D6C09D3"/>
    <w:rsid w:val="7D715FE9"/>
    <w:rsid w:val="7D756F1F"/>
    <w:rsid w:val="7D875780"/>
    <w:rsid w:val="7D8F5235"/>
    <w:rsid w:val="7D8F5794"/>
    <w:rsid w:val="7DA261A2"/>
    <w:rsid w:val="7DA35C21"/>
    <w:rsid w:val="7DA8331F"/>
    <w:rsid w:val="7DB008BF"/>
    <w:rsid w:val="7DB54128"/>
    <w:rsid w:val="7DBB1AC4"/>
    <w:rsid w:val="7DC07CF6"/>
    <w:rsid w:val="7DC73E5B"/>
    <w:rsid w:val="7DF06F0E"/>
    <w:rsid w:val="7E074257"/>
    <w:rsid w:val="7E1352F2"/>
    <w:rsid w:val="7E140867"/>
    <w:rsid w:val="7E1B0C31"/>
    <w:rsid w:val="7E215319"/>
    <w:rsid w:val="7E22407F"/>
    <w:rsid w:val="7E2E35BF"/>
    <w:rsid w:val="7E307B8D"/>
    <w:rsid w:val="7E327526"/>
    <w:rsid w:val="7E3F1C43"/>
    <w:rsid w:val="7E490D14"/>
    <w:rsid w:val="7E4B7B7D"/>
    <w:rsid w:val="7E544334"/>
    <w:rsid w:val="7E755665"/>
    <w:rsid w:val="7E7A4D36"/>
    <w:rsid w:val="7E856124"/>
    <w:rsid w:val="7E9A1DC5"/>
    <w:rsid w:val="7E9B57CD"/>
    <w:rsid w:val="7EA1710A"/>
    <w:rsid w:val="7EA32343"/>
    <w:rsid w:val="7EB81375"/>
    <w:rsid w:val="7EBA6DD6"/>
    <w:rsid w:val="7ED00AED"/>
    <w:rsid w:val="7ED22AB7"/>
    <w:rsid w:val="7ED938D3"/>
    <w:rsid w:val="7EDC4875"/>
    <w:rsid w:val="7EDF40D3"/>
    <w:rsid w:val="7EE54599"/>
    <w:rsid w:val="7EF173E1"/>
    <w:rsid w:val="7EF649F8"/>
    <w:rsid w:val="7F01339C"/>
    <w:rsid w:val="7F142ECB"/>
    <w:rsid w:val="7F1A038D"/>
    <w:rsid w:val="7F262EA9"/>
    <w:rsid w:val="7F3E5CFA"/>
    <w:rsid w:val="7F4A6F63"/>
    <w:rsid w:val="7F51026F"/>
    <w:rsid w:val="7F5476B9"/>
    <w:rsid w:val="7F5D4A77"/>
    <w:rsid w:val="7F5E5203"/>
    <w:rsid w:val="7F64728F"/>
    <w:rsid w:val="7F6D458E"/>
    <w:rsid w:val="7F713C2F"/>
    <w:rsid w:val="7F741DC0"/>
    <w:rsid w:val="7F743CA6"/>
    <w:rsid w:val="7F81449B"/>
    <w:rsid w:val="7F8503AD"/>
    <w:rsid w:val="7F9F508F"/>
    <w:rsid w:val="7FA1423F"/>
    <w:rsid w:val="7FAB5EC3"/>
    <w:rsid w:val="7FB23114"/>
    <w:rsid w:val="7FB36445"/>
    <w:rsid w:val="7FB87EFF"/>
    <w:rsid w:val="7FC20D7E"/>
    <w:rsid w:val="7FD74590"/>
    <w:rsid w:val="7FDD7966"/>
    <w:rsid w:val="7FDE2466"/>
    <w:rsid w:val="7FDF6BD9"/>
    <w:rsid w:val="7FF30F37"/>
    <w:rsid w:val="7FF76C79"/>
    <w:rsid w:val="7FFA0518"/>
    <w:rsid w:val="7FFA7E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jc w:val="left"/>
      <w:outlineLvl w:val="0"/>
    </w:pPr>
    <w:rPr>
      <w:rFonts w:ascii="Calibri" w:hAnsi="Calibri"/>
      <w:b/>
      <w:sz w:val="2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rFonts w:ascii="Calibri" w:hAnsi="Calibri"/>
      <w:b/>
      <w:bCs/>
      <w:sz w:val="32"/>
      <w:szCs w:val="32"/>
    </w:rPr>
  </w:style>
  <w:style w:type="paragraph" w:styleId="6">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30">
    <w:name w:val="Default Paragraph Font"/>
    <w:unhideWhenUsed/>
    <w:qFormat/>
    <w:uiPriority w:val="1"/>
  </w:style>
  <w:style w:type="table" w:default="1" w:styleId="2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段"/>
    <w:qFormat/>
    <w:uiPriority w:val="0"/>
    <w:pPr>
      <w:autoSpaceDE w:val="0"/>
      <w:autoSpaceDN w:val="0"/>
      <w:ind w:firstLine="200" w:firstLineChars="200"/>
      <w:jc w:val="both"/>
    </w:pPr>
    <w:rPr>
      <w:rFonts w:ascii="Arial" w:hAnsi="Arial" w:eastAsia="宋体" w:cs="Times New Roman"/>
      <w:kern w:val="2"/>
      <w:sz w:val="21"/>
      <w:lang w:val="en-US" w:eastAsia="zh-CN" w:bidi="ar-SA"/>
    </w:rPr>
  </w:style>
  <w:style w:type="paragraph" w:styleId="7">
    <w:name w:val="Normal Indent"/>
    <w:basedOn w:val="1"/>
    <w:next w:val="1"/>
    <w:link w:val="45"/>
    <w:qFormat/>
    <w:uiPriority w:val="0"/>
    <w:pPr>
      <w:ind w:firstLine="420" w:firstLineChars="200"/>
    </w:pPr>
  </w:style>
  <w:style w:type="paragraph" w:styleId="8">
    <w:name w:val="toa heading"/>
    <w:basedOn w:val="1"/>
    <w:next w:val="1"/>
    <w:qFormat/>
    <w:uiPriority w:val="0"/>
    <w:pPr>
      <w:spacing w:before="120" w:line="360" w:lineRule="auto"/>
      <w:ind w:firstLine="480" w:firstLineChars="200"/>
    </w:pPr>
    <w:rPr>
      <w:rFonts w:ascii="Cambria" w:hAnsi="Cambria" w:eastAsia="宋体" w:cs="Times New Roman"/>
      <w:szCs w:val="24"/>
    </w:rPr>
  </w:style>
  <w:style w:type="paragraph" w:styleId="9">
    <w:name w:val="annotation text"/>
    <w:basedOn w:val="1"/>
    <w:qFormat/>
    <w:uiPriority w:val="0"/>
    <w:pPr>
      <w:jc w:val="left"/>
    </w:pPr>
  </w:style>
  <w:style w:type="paragraph" w:styleId="10">
    <w:name w:val="Body Text"/>
    <w:basedOn w:val="1"/>
    <w:next w:val="11"/>
    <w:qFormat/>
    <w:uiPriority w:val="0"/>
    <w:rPr>
      <w:rFonts w:ascii="Arial" w:hAnsi="Arial"/>
      <w:bCs/>
      <w:sz w:val="24"/>
    </w:rPr>
  </w:style>
  <w:style w:type="paragraph" w:styleId="11">
    <w:name w:val="Body Text First Indent"/>
    <w:basedOn w:val="10"/>
    <w:next w:val="12"/>
    <w:link w:val="46"/>
    <w:unhideWhenUsed/>
    <w:qFormat/>
    <w:uiPriority w:val="0"/>
    <w:pPr>
      <w:spacing w:after="120"/>
      <w:ind w:firstLine="420" w:firstLineChars="100"/>
    </w:pPr>
    <w:rPr>
      <w:rFonts w:ascii="Calibri" w:hAnsi="Calibri"/>
      <w:sz w:val="21"/>
      <w:szCs w:val="22"/>
    </w:rPr>
  </w:style>
  <w:style w:type="paragraph" w:styleId="12">
    <w:name w:val="toc 6"/>
    <w:basedOn w:val="1"/>
    <w:next w:val="1"/>
    <w:qFormat/>
    <w:uiPriority w:val="0"/>
    <w:pPr>
      <w:ind w:left="1400"/>
    </w:pPr>
    <w:rPr>
      <w:rFonts w:ascii="Calibri"/>
      <w:sz w:val="18"/>
      <w:szCs w:val="18"/>
    </w:rPr>
  </w:style>
  <w:style w:type="paragraph" w:styleId="13">
    <w:name w:val="Body Text Indent"/>
    <w:basedOn w:val="1"/>
    <w:next w:val="1"/>
    <w:qFormat/>
    <w:uiPriority w:val="0"/>
    <w:pPr>
      <w:spacing w:after="120"/>
      <w:ind w:left="420" w:leftChars="200"/>
    </w:pPr>
  </w:style>
  <w:style w:type="paragraph" w:styleId="14">
    <w:name w:val="Block Text"/>
    <w:basedOn w:val="1"/>
    <w:qFormat/>
    <w:uiPriority w:val="0"/>
    <w:pPr>
      <w:spacing w:before="156" w:beforeLines="50" w:after="156" w:afterLines="50"/>
      <w:ind w:left="426" w:right="-11" w:hanging="426" w:hangingChars="203"/>
    </w:pPr>
    <w:rPr>
      <w:rFonts w:eastAsia="楷体_GB2312"/>
    </w:rPr>
  </w:style>
  <w:style w:type="paragraph" w:styleId="15">
    <w:name w:val="toc 3"/>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57"/>
      <w:ind w:left="567"/>
    </w:pPr>
    <w:rPr>
      <w:rFonts w:ascii="Times New Roman" w:hAnsi="Times New Roman" w:eastAsia="宋体" w:cs="Times New Roman"/>
      <w:szCs w:val="22"/>
      <w:lang w:val="en-US" w:eastAsia="en-US" w:bidi="en-US"/>
    </w:rPr>
  </w:style>
  <w:style w:type="paragraph" w:styleId="16">
    <w:name w:val="Plain Text"/>
    <w:basedOn w:val="1"/>
    <w:next w:val="17"/>
    <w:qFormat/>
    <w:uiPriority w:val="0"/>
    <w:rPr>
      <w:rFonts w:ascii="宋体" w:hAnsi="Courier New"/>
      <w:szCs w:val="20"/>
    </w:rPr>
  </w:style>
  <w:style w:type="paragraph" w:styleId="17">
    <w:name w:val="toc 2"/>
    <w:basedOn w:val="1"/>
    <w:next w:val="1"/>
    <w:qFormat/>
    <w:uiPriority w:val="0"/>
    <w:pPr>
      <w:ind w:left="420" w:leftChars="200"/>
    </w:pPr>
    <w:rPr>
      <w:szCs w:val="20"/>
    </w:rPr>
  </w:style>
  <w:style w:type="paragraph" w:styleId="18">
    <w:name w:val="Date"/>
    <w:basedOn w:val="1"/>
    <w:next w:val="1"/>
    <w:qFormat/>
    <w:uiPriority w:val="0"/>
    <w:pPr>
      <w:ind w:left="100" w:leftChars="2500"/>
    </w:pPr>
    <w:rPr>
      <w:color w:val="000000"/>
      <w:sz w:val="24"/>
    </w:rPr>
  </w:style>
  <w:style w:type="paragraph" w:styleId="19">
    <w:name w:val="Body Text Indent 2"/>
    <w:basedOn w:val="1"/>
    <w:qFormat/>
    <w:uiPriority w:val="0"/>
    <w:pPr>
      <w:widowControl/>
      <w:spacing w:line="480" w:lineRule="atLeast"/>
      <w:ind w:firstLine="480"/>
    </w:pPr>
    <w:rPr>
      <w:rFonts w:ascii="宋体"/>
      <w:kern w:val="0"/>
      <w:sz w:val="24"/>
      <w:szCs w:val="20"/>
    </w:rPr>
  </w:style>
  <w:style w:type="paragraph" w:styleId="20">
    <w:name w:val="Balloon Text"/>
    <w:basedOn w:val="1"/>
    <w:link w:val="47"/>
    <w:qFormat/>
    <w:uiPriority w:val="0"/>
    <w:rPr>
      <w:sz w:val="18"/>
      <w:szCs w:val="18"/>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rPr>
      <w:szCs w:val="20"/>
    </w:rPr>
  </w:style>
  <w:style w:type="paragraph" w:styleId="24">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25">
    <w:name w:val="Body Text 2"/>
    <w:basedOn w:val="1"/>
    <w:next w:val="10"/>
    <w:qFormat/>
    <w:uiPriority w:val="0"/>
  </w:style>
  <w:style w:type="paragraph" w:styleId="26">
    <w:name w:val="Normal (Web)"/>
    <w:basedOn w:val="1"/>
    <w:qFormat/>
    <w:uiPriority w:val="99"/>
    <w:pPr>
      <w:widowControl/>
      <w:spacing w:before="100" w:beforeAutospacing="1" w:after="100" w:afterAutospacing="1"/>
      <w:jc w:val="left"/>
    </w:pPr>
    <w:rPr>
      <w:rFonts w:ascii="Arial" w:hAnsi="Arial" w:cs="Arial"/>
      <w:color w:val="000000"/>
      <w:kern w:val="0"/>
      <w:sz w:val="18"/>
      <w:szCs w:val="18"/>
    </w:rPr>
  </w:style>
  <w:style w:type="paragraph" w:styleId="27">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page number"/>
    <w:qFormat/>
    <w:uiPriority w:val="0"/>
  </w:style>
  <w:style w:type="character" w:styleId="33">
    <w:name w:val="FollowedHyperlink"/>
    <w:qFormat/>
    <w:uiPriority w:val="0"/>
    <w:rPr>
      <w:color w:val="4A4A4A"/>
      <w:u w:val="none"/>
    </w:rPr>
  </w:style>
  <w:style w:type="character" w:styleId="34">
    <w:name w:val="Emphasis"/>
    <w:qFormat/>
    <w:uiPriority w:val="0"/>
  </w:style>
  <w:style w:type="character" w:styleId="35">
    <w:name w:val="HTML Definition"/>
    <w:qFormat/>
    <w:uiPriority w:val="0"/>
  </w:style>
  <w:style w:type="character" w:styleId="36">
    <w:name w:val="HTML Typewriter"/>
    <w:qFormat/>
    <w:uiPriority w:val="0"/>
    <w:rPr>
      <w:rFonts w:hint="default" w:ascii="monospace" w:hAnsi="monospace" w:eastAsia="monospace" w:cs="monospace"/>
      <w:sz w:val="20"/>
    </w:rPr>
  </w:style>
  <w:style w:type="character" w:styleId="37">
    <w:name w:val="HTML Acronym"/>
    <w:qFormat/>
    <w:uiPriority w:val="0"/>
  </w:style>
  <w:style w:type="character" w:styleId="38">
    <w:name w:val="HTML Variable"/>
    <w:qFormat/>
    <w:uiPriority w:val="0"/>
  </w:style>
  <w:style w:type="character" w:styleId="39">
    <w:name w:val="Hyperlink"/>
    <w:qFormat/>
    <w:uiPriority w:val="0"/>
    <w:rPr>
      <w:color w:val="0000FF"/>
      <w:u w:val="single"/>
    </w:rPr>
  </w:style>
  <w:style w:type="character" w:styleId="40">
    <w:name w:val="HTML Code"/>
    <w:qFormat/>
    <w:uiPriority w:val="0"/>
    <w:rPr>
      <w:rFonts w:hint="default" w:ascii="monospace" w:hAnsi="monospace" w:eastAsia="monospace" w:cs="monospace"/>
      <w:sz w:val="20"/>
    </w:rPr>
  </w:style>
  <w:style w:type="character" w:styleId="41">
    <w:name w:val="annotation reference"/>
    <w:qFormat/>
    <w:uiPriority w:val="0"/>
    <w:rPr>
      <w:sz w:val="21"/>
      <w:szCs w:val="21"/>
    </w:rPr>
  </w:style>
  <w:style w:type="character" w:styleId="42">
    <w:name w:val="HTML Cite"/>
    <w:qFormat/>
    <w:uiPriority w:val="0"/>
  </w:style>
  <w:style w:type="character" w:styleId="43">
    <w:name w:val="HTML Keyboard"/>
    <w:qFormat/>
    <w:uiPriority w:val="0"/>
    <w:rPr>
      <w:rFonts w:ascii="monospace" w:hAnsi="monospace" w:eastAsia="monospace" w:cs="monospace"/>
      <w:sz w:val="20"/>
    </w:rPr>
  </w:style>
  <w:style w:type="character" w:styleId="44">
    <w:name w:val="HTML Sample"/>
    <w:qFormat/>
    <w:uiPriority w:val="0"/>
    <w:rPr>
      <w:rFonts w:hint="default" w:ascii="monospace" w:hAnsi="monospace" w:eastAsia="monospace" w:cs="monospace"/>
    </w:rPr>
  </w:style>
  <w:style w:type="character" w:customStyle="1" w:styleId="45">
    <w:name w:val="正文缩进 Char"/>
    <w:link w:val="7"/>
    <w:qFormat/>
    <w:uiPriority w:val="0"/>
    <w:rPr>
      <w:kern w:val="2"/>
      <w:sz w:val="21"/>
      <w:szCs w:val="24"/>
    </w:rPr>
  </w:style>
  <w:style w:type="character" w:customStyle="1" w:styleId="46">
    <w:name w:val="正文首行缩进 Char"/>
    <w:link w:val="11"/>
    <w:qFormat/>
    <w:uiPriority w:val="0"/>
    <w:rPr>
      <w:rFonts w:ascii="Calibri" w:hAnsi="Calibri"/>
      <w:bCs/>
      <w:kern w:val="2"/>
      <w:sz w:val="21"/>
      <w:szCs w:val="22"/>
    </w:rPr>
  </w:style>
  <w:style w:type="character" w:customStyle="1" w:styleId="47">
    <w:name w:val="批注框文本 Char"/>
    <w:link w:val="20"/>
    <w:qFormat/>
    <w:uiPriority w:val="0"/>
    <w:rPr>
      <w:kern w:val="2"/>
      <w:sz w:val="18"/>
      <w:szCs w:val="18"/>
    </w:rPr>
  </w:style>
  <w:style w:type="paragraph" w:customStyle="1" w:styleId="48">
    <w:name w:val="表格文字"/>
    <w:basedOn w:val="49"/>
    <w:qFormat/>
    <w:uiPriority w:val="0"/>
    <w:pPr>
      <w:adjustRightInd w:val="0"/>
      <w:spacing w:line="420" w:lineRule="atLeast"/>
      <w:jc w:val="left"/>
      <w:textAlignment w:val="baseline"/>
    </w:pPr>
    <w:rPr>
      <w:rFonts w:ascii="Times New Roman" w:hAnsi="Times New Roman"/>
      <w:kern w:val="0"/>
      <w:szCs w:val="24"/>
    </w:rPr>
  </w:style>
  <w:style w:type="paragraph" w:customStyle="1" w:styleId="49">
    <w:name w:val="表格文字（两侧对齐）"/>
    <w:basedOn w:val="1"/>
    <w:qFormat/>
    <w:uiPriority w:val="0"/>
    <w:pPr>
      <w:widowControl w:val="0"/>
      <w:snapToGrid w:val="0"/>
    </w:pPr>
    <w:rPr>
      <w:rFonts w:ascii="Times New Roman" w:hAnsi="Times New Roman" w:cs="Times New Roman"/>
      <w:sz w:val="20"/>
      <w:szCs w:val="20"/>
    </w:rPr>
  </w:style>
  <w:style w:type="character" w:customStyle="1" w:styleId="50">
    <w:name w:val="font41"/>
    <w:qFormat/>
    <w:uiPriority w:val="0"/>
    <w:rPr>
      <w:rFonts w:hint="eastAsia" w:ascii="宋体" w:hAnsi="宋体" w:eastAsia="宋体" w:cs="宋体"/>
      <w:color w:val="000000"/>
      <w:sz w:val="22"/>
      <w:szCs w:val="22"/>
      <w:u w:val="none"/>
    </w:rPr>
  </w:style>
  <w:style w:type="character" w:customStyle="1" w:styleId="51">
    <w:name w:val="font11"/>
    <w:qFormat/>
    <w:uiPriority w:val="0"/>
    <w:rPr>
      <w:rFonts w:ascii="Calibri" w:hAnsi="Calibri" w:cs="Calibri"/>
      <w:color w:val="000000"/>
      <w:sz w:val="21"/>
      <w:szCs w:val="21"/>
      <w:u w:val="none"/>
    </w:rPr>
  </w:style>
  <w:style w:type="character" w:customStyle="1" w:styleId="52">
    <w:name w:val="font01"/>
    <w:qFormat/>
    <w:uiPriority w:val="0"/>
    <w:rPr>
      <w:rFonts w:hint="eastAsia" w:ascii="宋体" w:hAnsi="宋体" w:eastAsia="宋体" w:cs="宋体"/>
      <w:color w:val="000000"/>
      <w:sz w:val="21"/>
      <w:szCs w:val="21"/>
      <w:u w:val="none"/>
    </w:rPr>
  </w:style>
  <w:style w:type="character" w:customStyle="1" w:styleId="53">
    <w:name w:val="font21"/>
    <w:qFormat/>
    <w:uiPriority w:val="0"/>
    <w:rPr>
      <w:rFonts w:ascii="Calibri" w:hAnsi="Calibri" w:cs="Calibri"/>
      <w:color w:val="000000"/>
      <w:sz w:val="22"/>
      <w:szCs w:val="22"/>
      <w:u w:val="none"/>
    </w:rPr>
  </w:style>
  <w:style w:type="paragraph" w:customStyle="1" w:styleId="54">
    <w:name w:val="BodyTextIndent"/>
    <w:basedOn w:val="1"/>
    <w:qFormat/>
    <w:uiPriority w:val="0"/>
    <w:pPr>
      <w:spacing w:after="120"/>
      <w:ind w:left="420" w:leftChars="200"/>
      <w:textAlignment w:val="baseline"/>
    </w:pPr>
    <w:rPr>
      <w:color w:val="000000"/>
    </w:rPr>
  </w:style>
  <w:style w:type="paragraph" w:styleId="55">
    <w:name w:val="List Paragraph"/>
    <w:basedOn w:val="1"/>
    <w:qFormat/>
    <w:uiPriority w:val="0"/>
    <w:pPr>
      <w:ind w:firstLine="420" w:firstLineChars="200"/>
    </w:pPr>
    <w:rPr>
      <w:rFonts w:ascii="Calibri" w:hAnsi="Calibri"/>
      <w:szCs w:val="22"/>
    </w:rPr>
  </w:style>
  <w:style w:type="paragraph" w:customStyle="1" w:styleId="56">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57">
    <w:name w:val="Table Paragraph"/>
    <w:basedOn w:val="1"/>
    <w:qFormat/>
    <w:uiPriority w:val="1"/>
    <w:rPr>
      <w:rFonts w:ascii="宋体" w:hAnsi="宋体" w:cs="宋体"/>
      <w:lang w:val="zh-CN" w:bidi="zh-CN"/>
    </w:rPr>
  </w:style>
  <w:style w:type="paragraph" w:customStyle="1" w:styleId="58">
    <w:name w:val="纯文本1"/>
    <w:qFormat/>
    <w:uiPriority w:val="0"/>
    <w:rPr>
      <w:rFonts w:hint="eastAsia" w:ascii="宋体" w:hAnsi="Courier New" w:eastAsia="宋体" w:cs="Times New Roman"/>
      <w:kern w:val="2"/>
      <w:sz w:val="21"/>
      <w:lang w:val="en-US" w:eastAsia="zh-CN" w:bidi="ar-SA"/>
    </w:rPr>
  </w:style>
  <w:style w:type="paragraph" w:customStyle="1" w:styleId="59">
    <w:name w:val="zw1"/>
    <w:basedOn w:val="1"/>
    <w:qFormat/>
    <w:uiPriority w:val="0"/>
    <w:pPr>
      <w:spacing w:line="360" w:lineRule="auto"/>
      <w:ind w:firstLine="560" w:firstLineChars="200"/>
    </w:pPr>
    <w:rPr>
      <w:sz w:val="28"/>
      <w:szCs w:val="20"/>
    </w:rPr>
  </w:style>
  <w:style w:type="paragraph" w:customStyle="1" w:styleId="60">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61">
    <w:name w:val="正文缩进2"/>
    <w:basedOn w:val="1"/>
    <w:next w:val="1"/>
    <w:qFormat/>
    <w:uiPriority w:val="0"/>
    <w:pPr>
      <w:spacing w:line="500" w:lineRule="exact"/>
      <w:ind w:firstLine="567"/>
    </w:pPr>
    <w:rPr>
      <w:sz w:val="24"/>
      <w:szCs w:val="20"/>
    </w:rPr>
  </w:style>
  <w:style w:type="paragraph" w:customStyle="1" w:styleId="62">
    <w:name w:val="BodyText1I2"/>
    <w:basedOn w:val="54"/>
    <w:qFormat/>
    <w:uiPriority w:val="0"/>
    <w:pPr>
      <w:ind w:firstLine="420" w:firstLineChars="200"/>
    </w:pPr>
  </w:style>
  <w:style w:type="paragraph" w:customStyle="1" w:styleId="63">
    <w:name w:val="正文首行缩进 21"/>
    <w:basedOn w:val="1"/>
    <w:qFormat/>
    <w:uiPriority w:val="0"/>
    <w:pPr>
      <w:spacing w:after="120"/>
      <w:ind w:left="420" w:leftChars="200" w:firstLine="420"/>
    </w:pPr>
    <w:rPr>
      <w:rFonts w:cs="宋体"/>
      <w:color w:val="000000"/>
      <w:sz w:val="21"/>
      <w:szCs w:val="21"/>
    </w:rPr>
  </w:style>
  <w:style w:type="paragraph" w:customStyle="1" w:styleId="64">
    <w:name w:val="列出段落1"/>
    <w:basedOn w:val="1"/>
    <w:qFormat/>
    <w:uiPriority w:val="0"/>
    <w:pPr>
      <w:ind w:firstLine="420" w:firstLineChars="200"/>
    </w:pPr>
    <w:rPr>
      <w:rFonts w:cs="Arial"/>
    </w:rPr>
  </w:style>
  <w:style w:type="paragraph" w:customStyle="1" w:styleId="65">
    <w:name w:val="表内文字"/>
    <w:basedOn w:val="1"/>
    <w:qFormat/>
    <w:uiPriority w:val="0"/>
    <w:pPr>
      <w:spacing w:line="500" w:lineRule="atLeast"/>
      <w:jc w:val="center"/>
    </w:pPr>
    <w:rPr>
      <w:rFonts w:ascii="Arial" w:hAnsi="Arial" w:eastAsia="楷体_GB2312" w:cs="Arial"/>
      <w:sz w:val="28"/>
    </w:rPr>
  </w:style>
  <w:style w:type="paragraph" w:customStyle="1" w:styleId="66">
    <w:name w:val="正文1"/>
    <w:basedOn w:val="15"/>
    <w:next w:val="67"/>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67">
    <w:name w:val="标题 21"/>
    <w:basedOn w:val="66"/>
    <w:next w:val="68"/>
    <w:qFormat/>
    <w:uiPriority w:val="0"/>
    <w:pPr>
      <w:keepNext/>
      <w:keepLines/>
      <w:spacing w:before="260" w:after="260" w:line="413" w:lineRule="auto"/>
      <w:outlineLvl w:val="1"/>
    </w:pPr>
    <w:rPr>
      <w:rFonts w:ascii="Cambria" w:hAnsi="Cambria"/>
      <w:b/>
      <w:bCs/>
      <w:sz w:val="32"/>
      <w:szCs w:val="32"/>
    </w:rPr>
  </w:style>
  <w:style w:type="paragraph" w:customStyle="1" w:styleId="68">
    <w:name w:val="正文 A"/>
    <w:next w:val="67"/>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69">
    <w:name w:val="Default"/>
    <w:basedOn w:val="1"/>
    <w:qFormat/>
    <w:uiPriority w:val="0"/>
    <w:pPr>
      <w:autoSpaceDE w:val="0"/>
      <w:autoSpaceDN w:val="0"/>
      <w:adjustRightInd w:val="0"/>
      <w:jc w:val="left"/>
    </w:pPr>
    <w:rPr>
      <w:rFonts w:ascii="宋体" w:hAnsi="宋体" w:cs="宋体"/>
      <w:color w:val="000000"/>
      <w:kern w:val="0"/>
      <w:sz w:val="24"/>
      <w:szCs w:val="24"/>
    </w:rPr>
  </w:style>
  <w:style w:type="paragraph" w:customStyle="1" w:styleId="70">
    <w:name w:val="Body text|1"/>
    <w:basedOn w:val="1"/>
    <w:qFormat/>
    <w:uiPriority w:val="0"/>
    <w:pPr>
      <w:widowControl w:val="0"/>
      <w:shd w:val="clear" w:color="auto" w:fill="auto"/>
      <w:spacing w:after="100"/>
    </w:pPr>
    <w:rPr>
      <w:rFonts w:ascii="宋体" w:hAnsi="宋体" w:eastAsia="宋体" w:cs="宋体"/>
      <w:sz w:val="22"/>
      <w:szCs w:val="22"/>
      <w:u w:val="none"/>
      <w:shd w:val="clear" w:color="auto" w:fill="auto"/>
      <w:lang w:val="zh-TW" w:eastAsia="zh-TW" w:bidi="zh-TW"/>
    </w:rPr>
  </w:style>
  <w:style w:type="paragraph" w:customStyle="1" w:styleId="71">
    <w:name w:val="1"/>
    <w:basedOn w:val="1"/>
    <w:next w:val="11"/>
    <w:qFormat/>
    <w:uiPriority w:val="0"/>
    <w:rPr>
      <w:szCs w:val="24"/>
    </w:rPr>
  </w:style>
  <w:style w:type="paragraph" w:customStyle="1" w:styleId="72">
    <w:name w:val="BodyText1I"/>
    <w:basedOn w:val="73"/>
    <w:qFormat/>
    <w:uiPriority w:val="0"/>
    <w:pPr>
      <w:ind w:firstLine="420" w:firstLineChars="100"/>
      <w:jc w:val="left"/>
    </w:pPr>
    <w:rPr>
      <w:kern w:val="0"/>
      <w:sz w:val="20"/>
      <w:szCs w:val="20"/>
    </w:rPr>
  </w:style>
  <w:style w:type="paragraph" w:customStyle="1" w:styleId="73">
    <w:name w:val="BodyText"/>
    <w:basedOn w:val="1"/>
    <w:next w:val="72"/>
    <w:qFormat/>
    <w:uiPriority w:val="0"/>
    <w:pPr>
      <w:spacing w:after="120"/>
    </w:pPr>
  </w:style>
  <w:style w:type="character" w:customStyle="1" w:styleId="74">
    <w:name w:val="NormalCharacter"/>
    <w:qFormat/>
    <w:uiPriority w:val="0"/>
  </w:style>
  <w:style w:type="paragraph" w:customStyle="1" w:styleId="75">
    <w:name w:val="WPSOffice手动目录 1"/>
    <w:qFormat/>
    <w:uiPriority w:val="0"/>
    <w:rPr>
      <w:rFonts w:ascii="Times New Roman" w:hAnsi="Times New Roman" w:eastAsia="宋体" w:cs="Times New Roman"/>
      <w:lang w:val="en-US" w:eastAsia="zh-CN" w:bidi="ar-SA"/>
    </w:rPr>
  </w:style>
  <w:style w:type="paragraph" w:customStyle="1" w:styleId="76">
    <w:name w:val="WPSOffice手动目录 2"/>
    <w:qFormat/>
    <w:uiPriority w:val="0"/>
    <w:pPr>
      <w:ind w:leftChars="200"/>
    </w:pPr>
    <w:rPr>
      <w:rFonts w:ascii="Times New Roman" w:hAnsi="Times New Roman" w:eastAsia="宋体" w:cs="Times New Roman"/>
      <w:lang w:val="en-US" w:eastAsia="zh-CN" w:bidi="ar-SA"/>
    </w:rPr>
  </w:style>
  <w:style w:type="character" w:customStyle="1" w:styleId="77">
    <w:name w:val="font31"/>
    <w:basedOn w:val="30"/>
    <w:qFormat/>
    <w:uiPriority w:val="0"/>
    <w:rPr>
      <w:rFonts w:hint="eastAsia" w:ascii="等线" w:hAnsi="等线" w:eastAsia="等线" w:cs="等线"/>
      <w:color w:val="000000"/>
      <w:sz w:val="22"/>
      <w:szCs w:val="22"/>
      <w:u w:val="none"/>
    </w:rPr>
  </w:style>
  <w:style w:type="paragraph" w:customStyle="1" w:styleId="78">
    <w:name w:val="Table Text"/>
    <w:basedOn w:val="1"/>
    <w:semiHidden/>
    <w:qFormat/>
    <w:uiPriority w:val="0"/>
    <w:rPr>
      <w:rFonts w:ascii="宋体" w:hAnsi="宋体" w:eastAsia="宋体" w:cs="宋体"/>
      <w:sz w:val="24"/>
      <w:szCs w:val="24"/>
    </w:rPr>
  </w:style>
  <w:style w:type="table" w:customStyle="1" w:styleId="79">
    <w:name w:val="Table Normal"/>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80">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81">
    <w:name w:val="[Normal]"/>
    <w:qFormat/>
    <w:uiPriority w:val="0"/>
    <w:rPr>
      <w:rFonts w:ascii="宋体" w:hAnsi="宋体" w:eastAsia="宋体" w:cs="Times New Roman"/>
      <w:sz w:val="24"/>
      <w:szCs w:val="22"/>
      <w:lang w:val="zh-CN" w:eastAsia="zh-CN" w:bidi="ar-SA"/>
    </w:rPr>
  </w:style>
  <w:style w:type="paragraph" w:customStyle="1" w:styleId="82">
    <w:name w:val="样式 正文文本"/>
    <w:basedOn w:val="1"/>
    <w:qFormat/>
    <w:uiPriority w:val="0"/>
    <w:pPr>
      <w:autoSpaceDE w:val="0"/>
      <w:autoSpaceDN w:val="0"/>
      <w:adjustRightInd w:val="0"/>
      <w:snapToGrid w:val="0"/>
      <w:spacing w:line="400" w:lineRule="exact"/>
      <w:ind w:firstLine="200" w:firstLineChars="200"/>
      <w:jc w:val="left"/>
    </w:pPr>
    <w:rPr>
      <w:rFonts w:ascii="Arial" w:hAnsi="Arial" w:cs="宋体"/>
      <w:color w:val="000000"/>
      <w:kern w:val="0"/>
      <w:sz w:val="24"/>
      <w:szCs w:val="20"/>
    </w:rPr>
  </w:style>
  <w:style w:type="paragraph" w:customStyle="1" w:styleId="83">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4">
    <w:name w:val="正文2"/>
    <w:basedOn w:val="1"/>
    <w:qFormat/>
    <w:uiPriority w:val="0"/>
    <w:pPr>
      <w:widowControl/>
      <w:autoSpaceDE w:val="0"/>
      <w:autoSpaceDN w:val="0"/>
      <w:adjustRightInd w:val="0"/>
      <w:spacing w:after="160" w:line="360" w:lineRule="auto"/>
      <w:ind w:firstLine="200" w:firstLineChars="200"/>
      <w:jc w:val="left"/>
    </w:pPr>
    <w:rPr>
      <w:rFonts w:ascii="Verdana" w:hAnsi="Verdana" w:eastAsia="黑体" w:cs="宋体"/>
      <w:kern w:val="0"/>
      <w:sz w:val="24"/>
      <w:lang w:eastAsia="en-US"/>
    </w:rPr>
  </w:style>
  <w:style w:type="paragraph" w:customStyle="1" w:styleId="85">
    <w:name w:val="列表段落2"/>
    <w:basedOn w:val="1"/>
    <w:unhideWhenUsed/>
    <w:qFormat/>
    <w:uiPriority w:val="99"/>
    <w:pPr>
      <w:ind w:firstLine="420" w:firstLineChars="200"/>
    </w:pPr>
  </w:style>
  <w:style w:type="paragraph" w:customStyle="1" w:styleId="86">
    <w:name w:val="正文11"/>
    <w:next w:val="67"/>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76</Pages>
  <Words>2661</Words>
  <Characters>3048</Characters>
  <Lines>593</Lines>
  <Paragraphs>167</Paragraphs>
  <TotalTime>3</TotalTime>
  <ScaleCrop>false</ScaleCrop>
  <LinksUpToDate>false</LinksUpToDate>
  <CharactersWithSpaces>3083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2020-06-11T01:16:00Z</dcterms:created>
  <dc:creator>Arthur</dc:creator>
  <cp:lastModifiedBy>嚒咻</cp:lastModifiedBy>
  <cp:lastPrinted>2025-10-13T03:08:00Z</cp:lastPrinted>
  <dcterms:modified xsi:type="dcterms:W3CDTF">2025-10-21T07:14:02Z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D38D6B942CFE425B93F0DDC71B18C84B_13</vt:lpwstr>
  </property>
  <property fmtid="{D5CDD505-2E9C-101B-9397-08002B2CF9AE}" pid="4" name="KSOTemplateDocerSaveRecord">
    <vt:lpwstr>eyJoZGlkIjoiMzI3MDY1NTNhMTFjYTE5MGY0ZjU3MmNjNjUzOWZiNDAiLCJ1c2VySWQiOiI2Mzc1NDg1NjIifQ==</vt:lpwstr>
  </property>
</Properties>
</file>