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 w:cs="黑体"/>
          <w:sz w:val="36"/>
          <w:szCs w:val="36"/>
          <w:lang w:val="en-US" w:eastAsia="zh-CN"/>
        </w:rPr>
      </w:pPr>
      <w:r>
        <w:rPr>
          <w:rFonts w:hint="eastAsia" w:ascii="黑体" w:eastAsia="黑体" w:cs="黑体"/>
          <w:sz w:val="36"/>
          <w:szCs w:val="36"/>
          <w:lang w:val="en-US" w:eastAsia="zh-CN"/>
        </w:rPr>
        <w:t>关于</w:t>
      </w:r>
      <w:r>
        <w:rPr>
          <w:rFonts w:hint="eastAsia" w:ascii="黑体" w:eastAsia="黑体" w:cs="黑体"/>
          <w:sz w:val="36"/>
          <w:szCs w:val="36"/>
          <w:lang w:eastAsia="zh-CN"/>
        </w:rPr>
        <w:t>大雅山房项目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补充文件1</w:t>
      </w:r>
    </w:p>
    <w:p>
      <w:pPr>
        <w:jc w:val="both"/>
        <w:rPr>
          <w:rFonts w:hint="eastAsia" w:ascii="黑体" w:eastAsia="黑体" w:cs="黑体"/>
          <w:sz w:val="24"/>
          <w:szCs w:val="24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致各投标单位：</w:t>
      </w:r>
    </w:p>
    <w:p>
      <w:pPr>
        <w:ind w:firstLine="48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本次补充对招标文件作如下调整：</w:t>
      </w:r>
    </w:p>
    <w:p>
      <w:pPr>
        <w:ind w:firstLine="48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bookmarkStart w:id="0" w:name="_Toc22828078"/>
      <w:bookmarkStart w:id="1" w:name="_Toc20529"/>
      <w:bookmarkStart w:id="2" w:name="_Toc19767"/>
      <w:bookmarkStart w:id="3" w:name="_Toc4569724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原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招标文件-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第三章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评标办法</w:t>
      </w:r>
      <w:bookmarkEnd w:id="0"/>
      <w:bookmarkEnd w:id="1"/>
      <w:bookmarkEnd w:id="2"/>
      <w:bookmarkEnd w:id="3"/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-条款号及内容-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）商务标（投标报价）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评分计算：</w:t>
      </w:r>
    </w:p>
    <w:tbl>
      <w:tblPr>
        <w:tblStyle w:val="7"/>
        <w:tblW w:w="819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627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92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偏差率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spacing w:val="-4"/>
                <w:szCs w:val="21"/>
              </w:rPr>
              <w:t>＝</w:t>
            </w:r>
            <w:r>
              <w:rPr>
                <w:rFonts w:ascii="Arial" w:hAnsi="Arial" w:cs="Arial"/>
                <w:color w:val="000000"/>
                <w:spacing w:val="-4"/>
                <w:szCs w:val="21"/>
              </w:rPr>
              <w:t>0</w:t>
            </w:r>
          </w:p>
        </w:tc>
        <w:tc>
          <w:tcPr>
            <w:tcW w:w="62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投标报价评分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spacing w:val="-4"/>
                <w:szCs w:val="21"/>
              </w:rPr>
              <w:t>＝</w:t>
            </w:r>
            <w:r>
              <w:rPr>
                <w:rFonts w:hint="eastAsia" w:ascii="Arial" w:hAnsi="Arial" w:cs="Arial"/>
                <w:color w:val="000000"/>
                <w:szCs w:val="21"/>
              </w:rPr>
              <w:t>E</w:t>
            </w:r>
          </w:p>
          <w:p>
            <w:pPr>
              <w:tabs>
                <w:tab w:val="left" w:pos="482"/>
                <w:tab w:val="left" w:pos="2183"/>
                <w:tab w:val="left" w:pos="3884"/>
                <w:tab w:val="left" w:pos="5585"/>
              </w:tabs>
              <w:snapToGrid w:val="0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其中：E1=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0.8</w:t>
            </w:r>
            <w:r>
              <w:rPr>
                <w:rFonts w:ascii="Arial" w:hAnsi="Arial" w:cs="Arial"/>
                <w:color w:val="000000"/>
                <w:szCs w:val="21"/>
              </w:rPr>
              <w:t>，E2=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0.5</w:t>
            </w:r>
            <w:r>
              <w:rPr>
                <w:rFonts w:ascii="Arial" w:hAnsi="Arial" w:cs="Arial"/>
                <w:color w:val="000000"/>
                <w:szCs w:val="21"/>
              </w:rPr>
              <w:t>,E=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60</w:t>
            </w:r>
            <w:r>
              <w:rPr>
                <w:rFonts w:ascii="Arial" w:hAnsi="Arial" w:cs="Arial"/>
                <w:color w:val="000000"/>
                <w:szCs w:val="21"/>
              </w:rPr>
              <w:t>。</w:t>
            </w:r>
          </w:p>
          <w:p>
            <w:pPr>
              <w:tabs>
                <w:tab w:val="left" w:pos="482"/>
                <w:tab w:val="left" w:pos="2183"/>
                <w:tab w:val="left" w:pos="3884"/>
                <w:tab w:val="left" w:pos="5585"/>
              </w:tabs>
              <w:snapToGrid w:val="0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（</w:t>
            </w:r>
            <w:r>
              <w:rPr>
                <w:rFonts w:ascii="Arial" w:hAnsi="Arial" w:cs="Arial"/>
                <w:color w:val="000000"/>
                <w:szCs w:val="21"/>
              </w:rPr>
              <w:t>E</w:t>
            </w:r>
            <w:r>
              <w:rPr>
                <w:rFonts w:hint="eastAsia" w:ascii="Arial" w:hAnsi="Arial" w:cs="Arial"/>
                <w:color w:val="000000"/>
                <w:szCs w:val="21"/>
              </w:rPr>
              <w:t>值是投标报价所占的分值；</w:t>
            </w:r>
            <w:r>
              <w:rPr>
                <w:rFonts w:ascii="Arial" w:hAnsi="Arial" w:cs="Arial"/>
                <w:color w:val="000000"/>
                <w:szCs w:val="21"/>
              </w:rPr>
              <w:t>E1</w:t>
            </w:r>
            <w:r>
              <w:rPr>
                <w:rFonts w:hint="eastAsia" w:ascii="Arial" w:hAnsi="Arial" w:cs="Arial"/>
                <w:color w:val="000000"/>
                <w:szCs w:val="21"/>
              </w:rPr>
              <w:t>是投标报价每高于评标基准价一个百分点的扣分值；</w:t>
            </w:r>
            <w:r>
              <w:rPr>
                <w:rFonts w:ascii="Arial" w:hAnsi="Arial" w:cs="Arial"/>
                <w:color w:val="000000"/>
                <w:szCs w:val="21"/>
              </w:rPr>
              <w:t>E2</w:t>
            </w:r>
            <w:r>
              <w:rPr>
                <w:rFonts w:hint="eastAsia" w:ascii="Arial" w:hAnsi="Arial" w:cs="Arial"/>
                <w:color w:val="000000"/>
                <w:szCs w:val="21"/>
              </w:rPr>
              <w:t>是投标报价每低于评标基准价一个百分点的扣分值，下同）</w:t>
            </w:r>
          </w:p>
        </w:tc>
      </w:tr>
    </w:tbl>
    <w:p>
      <w:pPr>
        <w:ind w:firstLine="48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调整为：</w:t>
      </w:r>
    </w:p>
    <w:tbl>
      <w:tblPr>
        <w:tblStyle w:val="7"/>
        <w:tblW w:w="821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629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92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extAlignment w:val="baseline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偏差率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spacing w:val="-4"/>
                <w:szCs w:val="21"/>
              </w:rPr>
              <w:t>＝</w:t>
            </w:r>
            <w:r>
              <w:rPr>
                <w:rFonts w:ascii="Arial" w:hAnsi="Arial" w:cs="Arial"/>
                <w:color w:val="000000"/>
                <w:spacing w:val="-4"/>
                <w:szCs w:val="21"/>
              </w:rPr>
              <w:t>0</w:t>
            </w:r>
          </w:p>
        </w:tc>
        <w:tc>
          <w:tcPr>
            <w:tcW w:w="62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投标报价评分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spacing w:val="-4"/>
                <w:szCs w:val="21"/>
              </w:rPr>
              <w:t>＝</w:t>
            </w:r>
            <w:r>
              <w:rPr>
                <w:rFonts w:hint="eastAsia" w:ascii="Arial" w:hAnsi="Arial" w:cs="Arial"/>
                <w:color w:val="000000"/>
                <w:szCs w:val="21"/>
              </w:rPr>
              <w:t>E</w:t>
            </w:r>
          </w:p>
          <w:p>
            <w:pPr>
              <w:tabs>
                <w:tab w:val="left" w:pos="482"/>
                <w:tab w:val="left" w:pos="2183"/>
                <w:tab w:val="left" w:pos="3884"/>
                <w:tab w:val="left" w:pos="5585"/>
              </w:tabs>
              <w:snapToGrid w:val="0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其中：E1=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0.8</w:t>
            </w:r>
            <w:r>
              <w:rPr>
                <w:rFonts w:ascii="Arial" w:hAnsi="Arial" w:cs="Arial"/>
                <w:color w:val="000000"/>
                <w:szCs w:val="21"/>
              </w:rPr>
              <w:t>，E2=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0.5</w:t>
            </w:r>
            <w:r>
              <w:rPr>
                <w:rFonts w:ascii="Arial" w:hAnsi="Arial" w:cs="Arial"/>
                <w:color w:val="000000"/>
                <w:szCs w:val="21"/>
              </w:rPr>
              <w:t>,E=</w:t>
            </w:r>
            <w:r>
              <w:rPr>
                <w:rFonts w:hint="eastAsia" w:ascii="Arial" w:hAnsi="Arial" w:cs="Arial"/>
                <w:color w:val="000000"/>
                <w:szCs w:val="21"/>
                <w:u w:val="single"/>
                <w:lang w:val="en-US" w:eastAsia="zh-CN"/>
              </w:rPr>
              <w:t>90</w:t>
            </w:r>
            <w:r>
              <w:rPr>
                <w:rFonts w:ascii="Arial" w:hAnsi="Arial" w:cs="Arial"/>
                <w:color w:val="000000"/>
                <w:szCs w:val="21"/>
              </w:rPr>
              <w:t>。</w:t>
            </w:r>
          </w:p>
          <w:p>
            <w:pPr>
              <w:tabs>
                <w:tab w:val="left" w:pos="482"/>
                <w:tab w:val="left" w:pos="2183"/>
                <w:tab w:val="left" w:pos="3884"/>
                <w:tab w:val="left" w:pos="5585"/>
              </w:tabs>
              <w:snapToGrid w:val="0"/>
              <w:textAlignment w:val="center"/>
              <w:rPr>
                <w:color w:val="000000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（</w:t>
            </w:r>
            <w:r>
              <w:rPr>
                <w:rFonts w:ascii="Arial" w:hAnsi="Arial" w:cs="Arial"/>
                <w:color w:val="000000"/>
                <w:szCs w:val="21"/>
              </w:rPr>
              <w:t>E</w:t>
            </w:r>
            <w:r>
              <w:rPr>
                <w:rFonts w:hint="eastAsia" w:ascii="Arial" w:hAnsi="Arial" w:cs="Arial"/>
                <w:color w:val="000000"/>
                <w:szCs w:val="21"/>
              </w:rPr>
              <w:t>值是投标报价所占的分值；</w:t>
            </w:r>
            <w:r>
              <w:rPr>
                <w:rFonts w:ascii="Arial" w:hAnsi="Arial" w:cs="Arial"/>
                <w:color w:val="000000"/>
                <w:szCs w:val="21"/>
              </w:rPr>
              <w:t>E1</w:t>
            </w:r>
            <w:r>
              <w:rPr>
                <w:rFonts w:hint="eastAsia" w:ascii="Arial" w:hAnsi="Arial" w:cs="Arial"/>
                <w:color w:val="000000"/>
                <w:szCs w:val="21"/>
              </w:rPr>
              <w:t>是投标报价每高于评标基准价一个百分点的扣分值；</w:t>
            </w:r>
            <w:r>
              <w:rPr>
                <w:rFonts w:ascii="Arial" w:hAnsi="Arial" w:cs="Arial"/>
                <w:color w:val="000000"/>
                <w:szCs w:val="21"/>
              </w:rPr>
              <w:t>E2</w:t>
            </w:r>
            <w:r>
              <w:rPr>
                <w:rFonts w:hint="eastAsia" w:ascii="Arial" w:hAnsi="Arial" w:cs="Arial"/>
                <w:color w:val="000000"/>
                <w:szCs w:val="21"/>
              </w:rPr>
              <w:t>是投标报价每低于评标基准价一个百分点的扣分值，下同）</w:t>
            </w:r>
          </w:p>
        </w:tc>
      </w:tr>
    </w:tbl>
    <w:p>
      <w:pPr>
        <w:pStyle w:val="9"/>
        <w:spacing w:before="0" w:line="360" w:lineRule="auto"/>
        <w:textAlignment w:val="center"/>
        <w:outlineLvl w:val="2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 xml:space="preserve">  二、原招标文件</w:t>
      </w:r>
      <w:bookmarkStart w:id="4" w:name="_Toc22828079"/>
      <w:bookmarkStart w:id="5" w:name="_Toc25289"/>
      <w:bookmarkStart w:id="6" w:name="_Toc6084"/>
      <w:bookmarkStart w:id="7" w:name="_Toc45697243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-第四章 合同条款及格式</w:t>
      </w:r>
      <w:bookmarkEnd w:id="4"/>
      <w:bookmarkEnd w:id="5"/>
      <w:bookmarkEnd w:id="6"/>
      <w:bookmarkEnd w:id="7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-</w:t>
      </w:r>
      <w:bookmarkStart w:id="8" w:name="_Toc21703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12.合同价格、计量与支付</w:t>
      </w:r>
      <w:bookmarkEnd w:id="8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-2、总价合同：</w:t>
      </w:r>
    </w:p>
    <w:p>
      <w:pPr>
        <w:spacing w:line="400" w:lineRule="exact"/>
        <w:ind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总价包含的风险范围：除设计变更、</w:t>
      </w:r>
      <w:r>
        <w:rPr>
          <w:rFonts w:hint="eastAsia" w:ascii="仿宋" w:hAnsi="仿宋" w:eastAsia="仿宋" w:cs="仿宋"/>
          <w:kern w:val="2"/>
          <w:sz w:val="28"/>
          <w:szCs w:val="28"/>
          <w:lang w:val="zh-CN" w:eastAsia="zh-CN" w:bidi="ar-SA"/>
        </w:rPr>
        <w:t>工程联系单、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材料、人工动态调整外，合同价格均不再调整 。</w:t>
      </w:r>
    </w:p>
    <w:p>
      <w:pPr>
        <w:spacing w:line="400" w:lineRule="exact"/>
        <w:ind w:firstLine="560" w:firstLineChars="200"/>
        <w:jc w:val="left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调整为：</w:t>
      </w:r>
    </w:p>
    <w:p>
      <w:pPr>
        <w:spacing w:line="400" w:lineRule="exact"/>
        <w:ind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总价包含的风险范围：除设计变更、</w:t>
      </w:r>
      <w:r>
        <w:rPr>
          <w:rFonts w:hint="eastAsia" w:ascii="仿宋" w:hAnsi="仿宋" w:eastAsia="仿宋" w:cs="仿宋"/>
          <w:kern w:val="2"/>
          <w:sz w:val="28"/>
          <w:szCs w:val="28"/>
          <w:lang w:val="zh-CN" w:eastAsia="zh-CN" w:bidi="ar-SA"/>
        </w:rPr>
        <w:t>工程联系单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，合同价格均不再调整 。</w:t>
      </w:r>
    </w:p>
    <w:p>
      <w:pPr>
        <w:spacing w:line="400" w:lineRule="exact"/>
        <w:ind w:firstLine="560" w:firstLineChars="200"/>
        <w:jc w:val="left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bookmarkStart w:id="9" w:name="_GoBack"/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平阳县横阳市政园林建设有限公司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温州嘉宇工程造价咨询有限公司</w:t>
      </w:r>
    </w:p>
    <w:p>
      <w:pPr>
        <w:pStyle w:val="2"/>
        <w:jc w:val="righ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2022年3月10日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default"/>
          <w:lang w:val="en-US" w:eastAsia="zh-CN"/>
        </w:rPr>
      </w:pP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Times New Roman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476B2"/>
    <w:rsid w:val="3BB4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qFormat/>
    <w:uiPriority w:val="0"/>
    <w:pPr>
      <w:ind w:left="3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styleId="3">
    <w:name w:val="Body Text"/>
    <w:basedOn w:val="1"/>
    <w:next w:val="4"/>
    <w:qFormat/>
    <w:uiPriority w:val="0"/>
    <w:pPr>
      <w:ind w:left="520"/>
    </w:pPr>
    <w:rPr>
      <w:rFonts w:ascii="Times New Roman" w:hAnsi="Times New Roman"/>
    </w:rPr>
  </w:style>
  <w:style w:type="paragraph" w:styleId="4">
    <w:name w:val="Body Text First Indent"/>
    <w:basedOn w:val="3"/>
    <w:next w:val="5"/>
    <w:qFormat/>
    <w:uiPriority w:val="0"/>
    <w:pPr>
      <w:tabs>
        <w:tab w:val="left" w:pos="9360"/>
      </w:tabs>
      <w:adjustRightInd/>
      <w:ind w:firstLine="420" w:firstLineChars="100"/>
    </w:pPr>
    <w:rPr>
      <w:sz w:val="21"/>
    </w:rPr>
  </w:style>
  <w:style w:type="paragraph" w:styleId="5">
    <w:name w:val="toc 6"/>
    <w:basedOn w:val="1"/>
    <w:next w:val="1"/>
    <w:qFormat/>
    <w:uiPriority w:val="0"/>
    <w:pPr>
      <w:autoSpaceDE/>
      <w:autoSpaceDN/>
      <w:adjustRightInd/>
      <w:ind w:left="2100" w:leftChars="1000"/>
      <w:jc w:val="both"/>
    </w:pPr>
    <w:rPr>
      <w:kern w:val="2"/>
      <w:sz w:val="21"/>
      <w:szCs w:val="22"/>
    </w:rPr>
  </w:style>
  <w:style w:type="paragraph" w:customStyle="1" w:styleId="9">
    <w:name w:val="样式 标题 2 + Times New Roman 四号 非加粗 段前: 5 磅 段后: 0 磅 行距: 固定值 20..."/>
    <w:basedOn w:val="6"/>
    <w:qFormat/>
    <w:uiPriority w:val="0"/>
    <w:pPr>
      <w:keepNext/>
      <w:keepLines/>
      <w:autoSpaceDE/>
      <w:autoSpaceDN/>
      <w:adjustRightInd/>
      <w:spacing w:before="100" w:line="400" w:lineRule="exact"/>
      <w:ind w:left="0"/>
      <w:jc w:val="both"/>
    </w:pPr>
    <w:rPr>
      <w:rFonts w:ascii="Times New Roman" w:eastAsia="黑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Office_11.1.0.11551_F1E327BC-269C-435d-A152-05C5408002CA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2022-03-10T01:21:00Z</dcterms:created>
  <dc:creator>化</dc:creator>
  <cp:lastModifiedBy>化</cp:lastModifiedBy>
  <dcterms:modified xsi:type="dcterms:W3CDTF">2022-03-10T01:35:22Z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2052-11.1.0.11551</vt:lpwstr>
  </property>
  <property fmtid="{D5CDD505-2E9C-101B-9397-08002B2CF9AE}" pid="3" name="ICV">
    <vt:lpwstr>CF373413A359432B8DA408581BAE0A14</vt:lpwstr>
  </property>
</Properties>
</file>