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66" w:hRule="atLeast"/>
        </w:trPr>
        <w:tc>
          <w:tcPr>
            <w:tcW w:w="9025" w:type="dxa"/>
            <w:vAlign w:val="top"/>
          </w:tcPr>
          <w:p>
            <w:pPr>
              <w:tabs>
                <w:tab w:val="left" w:pos="6477"/>
              </w:tabs>
              <w:jc w:val="center"/>
              <w:rPr>
                <w:rFonts w:ascii="宋体" w:hAnsi="宋体"/>
                <w:b/>
                <w:color w:val="auto"/>
                <w:sz w:val="36"/>
                <w:highlight w:val="none"/>
              </w:rPr>
            </w:pPr>
          </w:p>
          <w:p>
            <w:pPr>
              <w:jc w:val="center"/>
              <w:rPr>
                <w:rFonts w:hint="eastAsia" w:ascii="宋体" w:hAnsi="宋体"/>
                <w:color w:val="auto"/>
                <w:sz w:val="84"/>
                <w:szCs w:val="84"/>
                <w:highlight w:val="none"/>
              </w:rPr>
            </w:pPr>
            <w:r>
              <w:rPr>
                <w:rFonts w:hint="eastAsia" w:ascii="宋体" w:hAnsi="宋体"/>
                <w:color w:val="auto"/>
                <w:sz w:val="84"/>
                <w:szCs w:val="84"/>
                <w:highlight w:val="none"/>
              </w:rPr>
              <w:t>平  阳  县</w:t>
            </w:r>
          </w:p>
          <w:p>
            <w:pPr>
              <w:jc w:val="center"/>
              <w:rPr>
                <w:rFonts w:hint="eastAsia" w:ascii="宋体" w:hAnsi="宋体"/>
                <w:color w:val="auto"/>
                <w:sz w:val="84"/>
                <w:szCs w:val="84"/>
                <w:highlight w:val="none"/>
              </w:rPr>
            </w:pPr>
            <w:r>
              <w:rPr>
                <w:rFonts w:hint="eastAsia" w:ascii="宋体" w:hAnsi="宋体"/>
                <w:color w:val="auto"/>
                <w:sz w:val="84"/>
                <w:szCs w:val="84"/>
                <w:highlight w:val="none"/>
              </w:rPr>
              <w:t>国有企业采购招标文件</w:t>
            </w:r>
          </w:p>
          <w:p>
            <w:pPr>
              <w:spacing w:line="440" w:lineRule="exact"/>
              <w:ind w:left="1148" w:firstLine="1968" w:firstLineChars="700"/>
              <w:rPr>
                <w:rFonts w:hint="eastAsia" w:ascii="宋体" w:hAnsi="宋体"/>
                <w:b/>
                <w:bCs/>
                <w:color w:val="auto"/>
                <w:sz w:val="28"/>
                <w:highlight w:val="none"/>
              </w:rPr>
            </w:pPr>
            <w:r>
              <w:rPr>
                <w:rFonts w:hint="eastAsia" w:ascii="宋体" w:hAnsi="宋体"/>
                <w:b/>
                <w:bCs/>
                <w:color w:val="auto"/>
                <w:sz w:val="28"/>
                <w:highlight w:val="none"/>
              </w:rPr>
              <w:t>（线上电子招投标）</w:t>
            </w:r>
          </w:p>
          <w:p>
            <w:pPr>
              <w:widowControl/>
              <w:tabs>
                <w:tab w:val="left" w:pos="2019"/>
              </w:tabs>
              <w:rPr>
                <w:rFonts w:hint="eastAsia" w:ascii="宋体" w:hAnsi="宋体"/>
                <w:b/>
                <w:bCs/>
                <w:color w:val="auto"/>
                <w:sz w:val="28"/>
                <w:highlight w:val="none"/>
              </w:rPr>
            </w:pPr>
          </w:p>
          <w:p>
            <w:pPr>
              <w:wordWrap w:val="0"/>
              <w:jc w:val="center"/>
              <w:rPr>
                <w:rFonts w:hint="eastAsia" w:ascii="宋体" w:hAnsi="宋体"/>
                <w:b/>
                <w:color w:val="auto"/>
                <w:sz w:val="30"/>
                <w:szCs w:val="30"/>
                <w:highlight w:val="none"/>
                <w:lang w:val="en-US" w:eastAsia="zh-CN"/>
              </w:rPr>
            </w:pPr>
            <w:r>
              <w:rPr>
                <w:rFonts w:hint="eastAsia" w:ascii="宋体" w:hAnsi="宋体"/>
                <w:b/>
                <w:color w:val="auto"/>
                <w:sz w:val="30"/>
                <w:szCs w:val="30"/>
                <w:highlight w:val="none"/>
                <w:lang w:val="en-US" w:eastAsia="zh-CN"/>
              </w:rPr>
              <w:t xml:space="preserve">             </w:t>
            </w:r>
            <w:r>
              <w:rPr>
                <w:rFonts w:hint="eastAsia" w:ascii="宋体" w:hAnsi="宋体"/>
                <w:b/>
                <w:color w:val="auto"/>
                <w:sz w:val="30"/>
                <w:szCs w:val="30"/>
                <w:highlight w:val="none"/>
              </w:rPr>
              <w:t>项目名称：</w:t>
            </w:r>
            <w:r>
              <w:rPr>
                <w:rFonts w:hint="eastAsia" w:ascii="宋体" w:hAnsi="宋体"/>
                <w:b/>
                <w:color w:val="auto"/>
                <w:sz w:val="30"/>
                <w:szCs w:val="30"/>
                <w:highlight w:val="none"/>
                <w:lang w:eastAsia="zh-CN"/>
              </w:rPr>
              <w:t>平阳县瑞苍高速公路平阳段工程萧江镇</w:t>
            </w:r>
            <w:r>
              <w:rPr>
                <w:rFonts w:hint="eastAsia" w:ascii="宋体" w:hAnsi="宋体"/>
                <w:b/>
                <w:color w:val="auto"/>
                <w:sz w:val="30"/>
                <w:szCs w:val="30"/>
                <w:highlight w:val="none"/>
                <w:lang w:val="en-US" w:eastAsia="zh-CN"/>
              </w:rPr>
              <w:t xml:space="preserve">              </w:t>
            </w:r>
            <w:r>
              <w:rPr>
                <w:rFonts w:hint="eastAsia" w:ascii="宋体" w:hAnsi="宋体"/>
                <w:b/>
                <w:color w:val="auto"/>
                <w:sz w:val="30"/>
                <w:szCs w:val="30"/>
                <w:highlight w:val="none"/>
                <w:lang w:eastAsia="zh-CN"/>
              </w:rPr>
              <w:t>淡浦安置地块（凤头B-15、凤头B-25）全过程咨询服务</w:t>
            </w:r>
          </w:p>
          <w:p>
            <w:pPr>
              <w:wordWrap w:val="0"/>
              <w:ind w:firstLine="2108" w:firstLineChars="700"/>
              <w:jc w:val="both"/>
              <w:rPr>
                <w:rFonts w:hint="eastAsia" w:ascii="宋体" w:hAnsi="宋体"/>
                <w:b/>
                <w:color w:val="auto"/>
                <w:sz w:val="30"/>
                <w:szCs w:val="30"/>
                <w:highlight w:val="none"/>
              </w:rPr>
            </w:pPr>
            <w:r>
              <w:rPr>
                <w:rFonts w:hint="eastAsia" w:ascii="宋体" w:hAnsi="宋体"/>
                <w:b/>
                <w:color w:val="auto"/>
                <w:sz w:val="30"/>
                <w:szCs w:val="30"/>
                <w:highlight w:val="none"/>
              </w:rPr>
              <w:t>招标编号：</w:t>
            </w:r>
            <w:r>
              <w:rPr>
                <w:rFonts w:hint="eastAsia" w:ascii="宋体" w:hAnsi="宋体"/>
                <w:b/>
                <w:color w:val="auto"/>
                <w:sz w:val="30"/>
                <w:szCs w:val="30"/>
                <w:highlight w:val="none"/>
                <w:lang w:eastAsia="zh-CN"/>
              </w:rPr>
              <w:t xml:space="preserve">PYCG230926092 </w:t>
            </w:r>
          </w:p>
          <w:p>
            <w:pPr>
              <w:widowControl/>
              <w:tabs>
                <w:tab w:val="left" w:pos="2019"/>
              </w:tabs>
              <w:rPr>
                <w:rFonts w:hint="eastAsia" w:ascii="宋体" w:hAnsi="宋体"/>
                <w:b/>
                <w:color w:val="auto"/>
                <w:sz w:val="30"/>
                <w:szCs w:val="30"/>
                <w:highlight w:val="none"/>
              </w:rPr>
            </w:pPr>
          </w:p>
          <w:p>
            <w:pPr>
              <w:spacing w:line="440" w:lineRule="exact"/>
              <w:rPr>
                <w:rFonts w:hint="eastAsia" w:ascii="宋体" w:hAnsi="宋体"/>
                <w:b/>
                <w:color w:val="auto"/>
                <w:sz w:val="30"/>
                <w:szCs w:val="30"/>
                <w:highlight w:val="none"/>
              </w:rPr>
            </w:pPr>
          </w:p>
          <w:p>
            <w:pPr>
              <w:spacing w:line="440" w:lineRule="exact"/>
              <w:rPr>
                <w:rFonts w:ascii="宋体" w:hAnsi="宋体"/>
                <w:b/>
                <w:color w:val="auto"/>
                <w:sz w:val="30"/>
                <w:szCs w:val="30"/>
                <w:highlight w:val="none"/>
              </w:rPr>
            </w:pPr>
          </w:p>
          <w:p>
            <w:pPr>
              <w:spacing w:line="440" w:lineRule="exact"/>
              <w:ind w:firstLine="2117" w:firstLineChars="703"/>
              <w:rPr>
                <w:rFonts w:hint="eastAsia" w:ascii="宋体" w:hAnsi="宋体" w:eastAsia="宋体"/>
                <w:b/>
                <w:color w:val="auto"/>
                <w:sz w:val="30"/>
                <w:szCs w:val="30"/>
                <w:highlight w:val="none"/>
              </w:rPr>
            </w:pPr>
            <w:r>
              <w:rPr>
                <w:rFonts w:hint="eastAsia" w:ascii="宋体" w:hAnsi="宋体" w:eastAsia="宋体"/>
                <w:b/>
                <w:color w:val="auto"/>
                <w:sz w:val="30"/>
                <w:szCs w:val="30"/>
                <w:highlight w:val="none"/>
              </w:rPr>
              <w:t>采 购 人：</w:t>
            </w:r>
            <w:r>
              <w:rPr>
                <w:rFonts w:hint="eastAsia" w:ascii="宋体" w:hAnsi="宋体" w:eastAsia="宋体"/>
                <w:b/>
                <w:color w:val="auto"/>
                <w:sz w:val="30"/>
                <w:szCs w:val="30"/>
                <w:highlight w:val="none"/>
                <w:lang w:eastAsia="zh-CN"/>
              </w:rPr>
              <w:t>平阳县萧江新农村建设投资有限公司</w:t>
            </w:r>
          </w:p>
          <w:p>
            <w:pPr>
              <w:spacing w:line="440" w:lineRule="exact"/>
              <w:ind w:firstLine="2117" w:firstLineChars="703"/>
              <w:rPr>
                <w:rFonts w:hint="default" w:ascii="宋体" w:hAnsi="宋体"/>
                <w:b/>
                <w:color w:val="auto"/>
                <w:sz w:val="30"/>
                <w:szCs w:val="30"/>
                <w:highlight w:val="none"/>
                <w:lang w:val="en-US" w:eastAsia="zh-CN"/>
              </w:rPr>
            </w:pPr>
            <w:r>
              <w:rPr>
                <w:rFonts w:hint="eastAsia" w:ascii="宋体" w:hAnsi="宋体"/>
                <w:b/>
                <w:color w:val="auto"/>
                <w:sz w:val="30"/>
                <w:szCs w:val="30"/>
                <w:highlight w:val="none"/>
              </w:rPr>
              <w:t>联 系 人：</w:t>
            </w:r>
            <w:r>
              <w:rPr>
                <w:rFonts w:hint="eastAsia" w:ascii="宋体" w:hAnsi="宋体"/>
                <w:b/>
                <w:color w:val="auto"/>
                <w:sz w:val="30"/>
                <w:szCs w:val="30"/>
                <w:highlight w:val="none"/>
                <w:lang w:val="en-US" w:eastAsia="zh-CN"/>
              </w:rPr>
              <w:t>章先生</w:t>
            </w:r>
          </w:p>
          <w:p>
            <w:pPr>
              <w:spacing w:line="440" w:lineRule="exact"/>
              <w:ind w:firstLine="2117" w:firstLineChars="703"/>
              <w:rPr>
                <w:rFonts w:hint="eastAsia" w:ascii="宋体" w:hAnsi="宋体"/>
                <w:b/>
                <w:color w:val="auto"/>
                <w:sz w:val="30"/>
                <w:szCs w:val="30"/>
                <w:highlight w:val="none"/>
              </w:rPr>
            </w:pPr>
            <w:r>
              <w:rPr>
                <w:rFonts w:hint="eastAsia" w:ascii="宋体" w:hAnsi="宋体"/>
                <w:b/>
                <w:color w:val="auto"/>
                <w:sz w:val="30"/>
                <w:szCs w:val="30"/>
                <w:highlight w:val="none"/>
              </w:rPr>
              <w:t>联系电话：0577</w:t>
            </w:r>
            <w:r>
              <w:rPr>
                <w:rFonts w:hint="eastAsia" w:ascii="宋体" w:hAnsi="宋体"/>
                <w:b/>
                <w:color w:val="auto"/>
                <w:sz w:val="30"/>
                <w:szCs w:val="30"/>
                <w:highlight w:val="none"/>
                <w:lang w:val="en-US" w:eastAsia="zh-CN"/>
              </w:rPr>
              <w:t>-</w:t>
            </w:r>
            <w:r>
              <w:rPr>
                <w:rFonts w:hint="eastAsia" w:ascii="宋体" w:hAnsi="宋体"/>
                <w:b/>
                <w:color w:val="auto"/>
                <w:sz w:val="30"/>
                <w:szCs w:val="30"/>
                <w:highlight w:val="none"/>
              </w:rPr>
              <w:t>58127051</w:t>
            </w:r>
          </w:p>
          <w:p>
            <w:pPr>
              <w:spacing w:line="440" w:lineRule="exact"/>
              <w:rPr>
                <w:rFonts w:hint="eastAsia" w:ascii="宋体" w:hAnsi="宋体"/>
                <w:b/>
                <w:color w:val="auto"/>
                <w:sz w:val="30"/>
                <w:szCs w:val="30"/>
                <w:highlight w:val="none"/>
              </w:rPr>
            </w:pPr>
          </w:p>
          <w:p>
            <w:pPr>
              <w:pStyle w:val="55"/>
              <w:rPr>
                <w:color w:val="auto"/>
                <w:highlight w:val="none"/>
              </w:rPr>
            </w:pPr>
          </w:p>
          <w:p>
            <w:pPr>
              <w:widowControl/>
              <w:snapToGrid w:val="0"/>
              <w:spacing w:line="360" w:lineRule="auto"/>
              <w:ind w:firstLine="2117"/>
              <w:jc w:val="left"/>
              <w:rPr>
                <w:rFonts w:hint="eastAsia" w:ascii="宋体" w:hAnsi="宋体"/>
                <w:b/>
                <w:color w:val="auto"/>
                <w:sz w:val="30"/>
                <w:szCs w:val="30"/>
                <w:highlight w:val="none"/>
              </w:rPr>
            </w:pPr>
            <w:r>
              <w:rPr>
                <w:rFonts w:hint="eastAsia" w:ascii="宋体" w:hAnsi="宋体"/>
                <w:b/>
                <w:color w:val="auto"/>
                <w:sz w:val="30"/>
                <w:szCs w:val="30"/>
                <w:highlight w:val="none"/>
              </w:rPr>
              <w:t>采购机构：</w:t>
            </w:r>
            <w:r>
              <w:rPr>
                <w:rFonts w:hint="eastAsia"/>
                <w:b/>
                <w:color w:val="auto"/>
                <w:sz w:val="30"/>
                <w:highlight w:val="none"/>
              </w:rPr>
              <w:t>浙江品信工程项目管理有限公司</w:t>
            </w:r>
          </w:p>
          <w:p>
            <w:pPr>
              <w:widowControl/>
              <w:snapToGrid w:val="0"/>
              <w:spacing w:line="360" w:lineRule="auto"/>
              <w:ind w:firstLine="2117"/>
              <w:jc w:val="left"/>
              <w:rPr>
                <w:b/>
                <w:color w:val="auto"/>
                <w:sz w:val="30"/>
                <w:highlight w:val="none"/>
              </w:rPr>
            </w:pPr>
            <w:r>
              <w:rPr>
                <w:b/>
                <w:color w:val="auto"/>
                <w:sz w:val="30"/>
                <w:highlight w:val="none"/>
              </w:rPr>
              <w:t>联 系 人：</w:t>
            </w:r>
            <w:r>
              <w:rPr>
                <w:rFonts w:hint="eastAsia" w:ascii="宋体" w:hAnsi="宋体"/>
                <w:b/>
                <w:color w:val="auto"/>
                <w:sz w:val="30"/>
                <w:szCs w:val="30"/>
                <w:highlight w:val="none"/>
              </w:rPr>
              <w:t>吴女士</w:t>
            </w:r>
          </w:p>
          <w:p>
            <w:pPr>
              <w:widowControl/>
              <w:snapToGrid w:val="0"/>
              <w:spacing w:line="360" w:lineRule="auto"/>
              <w:ind w:firstLine="2117"/>
              <w:jc w:val="left"/>
              <w:rPr>
                <w:b/>
                <w:color w:val="auto"/>
                <w:sz w:val="30"/>
                <w:highlight w:val="none"/>
              </w:rPr>
            </w:pPr>
            <w:r>
              <w:rPr>
                <w:b/>
                <w:color w:val="auto"/>
                <w:sz w:val="30"/>
                <w:highlight w:val="none"/>
              </w:rPr>
              <w:t>联系电话：</w:t>
            </w:r>
            <w:r>
              <w:rPr>
                <w:rFonts w:hint="eastAsia" w:ascii="宋体" w:hAnsi="宋体"/>
                <w:b/>
                <w:color w:val="auto"/>
                <w:sz w:val="30"/>
                <w:szCs w:val="30"/>
                <w:highlight w:val="none"/>
              </w:rPr>
              <w:t>0577-63682718、15669781333</w:t>
            </w:r>
          </w:p>
          <w:p>
            <w:pPr>
              <w:spacing w:line="440" w:lineRule="exact"/>
              <w:rPr>
                <w:rFonts w:ascii="宋体" w:hAnsi="宋体"/>
                <w:b/>
                <w:color w:val="auto"/>
                <w:sz w:val="30"/>
                <w:szCs w:val="30"/>
                <w:highlight w:val="none"/>
              </w:rPr>
            </w:pPr>
          </w:p>
          <w:p>
            <w:pPr>
              <w:pStyle w:val="26"/>
              <w:ind w:left="0" w:leftChars="0"/>
              <w:jc w:val="center"/>
              <w:rPr>
                <w:rFonts w:hint="eastAsia" w:ascii="宋体" w:hAnsi="宋体"/>
                <w:b/>
                <w:color w:val="auto"/>
                <w:sz w:val="30"/>
                <w:szCs w:val="30"/>
                <w:highlight w:val="none"/>
              </w:rPr>
            </w:pPr>
            <w:r>
              <w:rPr>
                <w:rFonts w:hint="eastAsia" w:ascii="宋体" w:hAnsi="宋体"/>
                <w:b/>
                <w:color w:val="auto"/>
                <w:sz w:val="30"/>
                <w:szCs w:val="30"/>
                <w:highlight w:val="none"/>
              </w:rPr>
              <w:t xml:space="preserve">    </w:t>
            </w:r>
          </w:p>
          <w:p>
            <w:pPr>
              <w:spacing w:line="440" w:lineRule="exact"/>
              <w:jc w:val="center"/>
              <w:rPr>
                <w:rFonts w:hint="eastAsia" w:ascii="宋体" w:hAnsi="宋体"/>
                <w:b/>
                <w:color w:val="auto"/>
                <w:sz w:val="30"/>
                <w:szCs w:val="30"/>
                <w:highlight w:val="none"/>
              </w:rPr>
            </w:pPr>
            <w:r>
              <w:rPr>
                <w:rFonts w:hint="eastAsia" w:ascii="宋体" w:hAnsi="宋体"/>
                <w:b/>
                <w:color w:val="auto"/>
                <w:sz w:val="30"/>
                <w:szCs w:val="30"/>
                <w:highlight w:val="none"/>
              </w:rPr>
              <w:t>二○二</w:t>
            </w:r>
            <w:r>
              <w:rPr>
                <w:rFonts w:hint="eastAsia" w:ascii="宋体" w:hAnsi="宋体"/>
                <w:b/>
                <w:color w:val="auto"/>
                <w:sz w:val="30"/>
                <w:szCs w:val="30"/>
                <w:highlight w:val="none"/>
                <w:lang w:val="en-US" w:eastAsia="zh-CN"/>
              </w:rPr>
              <w:t>三</w:t>
            </w:r>
            <w:r>
              <w:rPr>
                <w:rFonts w:hint="eastAsia" w:ascii="宋体" w:hAnsi="宋体"/>
                <w:b/>
                <w:color w:val="auto"/>
                <w:sz w:val="30"/>
                <w:szCs w:val="30"/>
                <w:highlight w:val="none"/>
              </w:rPr>
              <w:t>年</w:t>
            </w:r>
            <w:r>
              <w:rPr>
                <w:rFonts w:hint="eastAsia" w:ascii="宋体" w:hAnsi="宋体"/>
                <w:b/>
                <w:color w:val="auto"/>
                <w:sz w:val="30"/>
                <w:szCs w:val="30"/>
                <w:highlight w:val="none"/>
                <w:lang w:val="en-US" w:eastAsia="zh-CN"/>
              </w:rPr>
              <w:t>九</w:t>
            </w:r>
            <w:r>
              <w:rPr>
                <w:rFonts w:hint="eastAsia" w:ascii="宋体" w:hAnsi="宋体"/>
                <w:b/>
                <w:color w:val="auto"/>
                <w:sz w:val="30"/>
                <w:szCs w:val="30"/>
                <w:highlight w:val="none"/>
              </w:rPr>
              <w:t>月</w:t>
            </w:r>
          </w:p>
          <w:p>
            <w:pPr>
              <w:spacing w:line="440" w:lineRule="exact"/>
              <w:jc w:val="center"/>
              <w:rPr>
                <w:rFonts w:ascii="宋体" w:hAnsi="宋体"/>
                <w:b/>
                <w:color w:val="auto"/>
                <w:sz w:val="84"/>
                <w:highlight w:val="none"/>
              </w:rPr>
            </w:pPr>
          </w:p>
        </w:tc>
      </w:tr>
    </w:tbl>
    <w:p>
      <w:pPr>
        <w:rPr>
          <w:rFonts w:ascii="宋体" w:hAnsi="宋体"/>
          <w:color w:val="auto"/>
          <w:highlight w:val="none"/>
        </w:rPr>
        <w:sectPr>
          <w:pgSz w:w="11906" w:h="16838"/>
          <w:pgMar w:top="1440" w:right="1622" w:bottom="1440" w:left="1287" w:header="851" w:footer="992" w:gutter="0"/>
          <w:cols w:space="720" w:num="1"/>
          <w:docGrid w:linePitch="312" w:charSpace="0"/>
        </w:sectPr>
      </w:pPr>
    </w:p>
    <w:p>
      <w:pPr>
        <w:widowControl/>
        <w:tabs>
          <w:tab w:val="left" w:pos="2019"/>
        </w:tabs>
        <w:jc w:val="center"/>
        <w:rPr>
          <w:rFonts w:hint="eastAsia" w:ascii="宋体" w:hAnsi="宋体"/>
          <w:b/>
          <w:bCs/>
          <w:color w:val="auto"/>
          <w:kern w:val="0"/>
          <w:sz w:val="24"/>
          <w:szCs w:val="24"/>
          <w:highlight w:val="none"/>
        </w:rPr>
      </w:pPr>
      <w:r>
        <w:rPr>
          <w:rFonts w:hint="eastAsia" w:ascii="宋体" w:hAnsi="宋体"/>
          <w:b/>
          <w:bCs/>
          <w:color w:val="auto"/>
          <w:kern w:val="0"/>
          <w:sz w:val="24"/>
          <w:szCs w:val="24"/>
          <w:highlight w:val="none"/>
        </w:rPr>
        <w:t>浙江品信工程项目管理有限公司关于</w:t>
      </w:r>
      <w:r>
        <w:rPr>
          <w:rFonts w:hint="eastAsia" w:ascii="宋体" w:hAnsi="宋体"/>
          <w:b/>
          <w:bCs/>
          <w:color w:val="auto"/>
          <w:kern w:val="0"/>
          <w:sz w:val="24"/>
          <w:szCs w:val="24"/>
          <w:highlight w:val="none"/>
          <w:lang w:eastAsia="zh-CN"/>
        </w:rPr>
        <w:t>平阳县瑞苍高速公路平阳段工程萧江镇淡浦安置地块（凤头B-15、凤头B-25）全过程咨询服务</w:t>
      </w:r>
      <w:r>
        <w:rPr>
          <w:rFonts w:hint="eastAsia" w:ascii="宋体" w:hAnsi="宋体"/>
          <w:b/>
          <w:bCs/>
          <w:color w:val="auto"/>
          <w:kern w:val="0"/>
          <w:sz w:val="24"/>
          <w:szCs w:val="24"/>
          <w:highlight w:val="none"/>
        </w:rPr>
        <w:t>的公开招标公告</w:t>
      </w:r>
    </w:p>
    <w:p>
      <w:pPr>
        <w:tabs>
          <w:tab w:val="left" w:pos="0"/>
        </w:tabs>
        <w:spacing w:line="460" w:lineRule="exact"/>
        <w:ind w:left="2" w:firstLine="2"/>
        <w:jc w:val="center"/>
        <w:rPr>
          <w:rFonts w:hint="eastAsia"/>
          <w:b/>
          <w:bCs/>
          <w:color w:val="auto"/>
          <w:sz w:val="24"/>
          <w:szCs w:val="24"/>
          <w:highlight w:val="none"/>
        </w:rPr>
      </w:pPr>
      <w:r>
        <w:rPr>
          <w:rFonts w:hint="eastAsia"/>
          <w:b/>
          <w:bCs/>
          <w:color w:val="auto"/>
          <w:sz w:val="24"/>
          <w:szCs w:val="24"/>
          <w:highlight w:val="none"/>
        </w:rPr>
        <w:t>（线上电子招投标）</w:t>
      </w:r>
    </w:p>
    <w:p>
      <w:pPr>
        <w:widowControl/>
        <w:tabs>
          <w:tab w:val="left" w:pos="2019"/>
        </w:tabs>
        <w:spacing w:line="420" w:lineRule="exact"/>
        <w:ind w:left="2546" w:leftChars="1" w:hanging="2544" w:hangingChars="1152"/>
        <w:jc w:val="center"/>
        <w:rPr>
          <w:rFonts w:hint="eastAsia" w:ascii="宋体" w:hAnsi="宋体"/>
          <w:b/>
          <w:color w:val="auto"/>
          <w:sz w:val="22"/>
          <w:szCs w:val="22"/>
          <w:highlight w:val="none"/>
        </w:rPr>
      </w:pPr>
      <w:r>
        <w:rPr>
          <w:rFonts w:hint="eastAsia" w:ascii="宋体" w:hAnsi="宋体"/>
          <w:b/>
          <w:color w:val="auto"/>
          <w:sz w:val="22"/>
          <w:szCs w:val="22"/>
          <w:highlight w:val="none"/>
        </w:rPr>
        <w:t>公告日期：</w:t>
      </w:r>
      <w:r>
        <w:rPr>
          <w:rFonts w:hint="eastAsia" w:ascii="宋体" w:hAnsi="宋体"/>
          <w:b/>
          <w:color w:val="auto"/>
          <w:sz w:val="22"/>
          <w:szCs w:val="22"/>
          <w:highlight w:val="none"/>
          <w:lang w:eastAsia="zh-CN"/>
        </w:rPr>
        <w:t>2023年</w:t>
      </w:r>
      <w:r>
        <w:rPr>
          <w:rFonts w:hint="eastAsia" w:ascii="宋体" w:hAnsi="宋体"/>
          <w:b/>
          <w:color w:val="auto"/>
          <w:sz w:val="22"/>
          <w:szCs w:val="22"/>
          <w:highlight w:val="none"/>
          <w:lang w:val="en-US" w:eastAsia="zh-CN"/>
        </w:rPr>
        <w:t>09</w:t>
      </w:r>
      <w:r>
        <w:rPr>
          <w:rFonts w:hint="eastAsia" w:ascii="宋体" w:hAnsi="宋体"/>
          <w:b/>
          <w:color w:val="auto"/>
          <w:sz w:val="22"/>
          <w:szCs w:val="22"/>
          <w:highlight w:val="none"/>
          <w:lang w:eastAsia="zh-CN"/>
        </w:rPr>
        <w:t>月</w:t>
      </w:r>
      <w:r>
        <w:rPr>
          <w:rFonts w:hint="eastAsia" w:ascii="宋体" w:hAnsi="宋体"/>
          <w:b/>
          <w:color w:val="auto"/>
          <w:sz w:val="22"/>
          <w:szCs w:val="22"/>
          <w:highlight w:val="none"/>
          <w:lang w:val="en-US" w:eastAsia="zh-CN"/>
        </w:rPr>
        <w:t>27</w:t>
      </w:r>
      <w:r>
        <w:rPr>
          <w:rFonts w:hint="eastAsia" w:ascii="宋体" w:hAnsi="宋体"/>
          <w:b/>
          <w:color w:val="auto"/>
          <w:sz w:val="22"/>
          <w:szCs w:val="22"/>
          <w:highlight w:val="none"/>
          <w:lang w:eastAsia="zh-CN"/>
        </w:rPr>
        <w:t>日</w:t>
      </w:r>
    </w:p>
    <w:p>
      <w:pPr>
        <w:pStyle w:val="37"/>
        <w:shd w:val="clear" w:color="auto" w:fill="FFFFFF"/>
        <w:spacing w:before="0" w:beforeAutospacing="0" w:after="0" w:afterAutospacing="0" w:line="460" w:lineRule="atLeast"/>
        <w:jc w:val="both"/>
        <w:rPr>
          <w:rFonts w:hint="eastAsia" w:ascii="宋体" w:hAnsi="宋体"/>
          <w:b/>
          <w:color w:val="auto"/>
          <w:sz w:val="22"/>
          <w:szCs w:val="22"/>
          <w:highlight w:val="none"/>
          <w:shd w:val="clear" w:color="auto" w:fill="FFFFFF"/>
        </w:rPr>
      </w:pPr>
      <w:r>
        <w:rPr>
          <w:rFonts w:hint="eastAsia" w:ascii="宋体" w:hAnsi="宋体"/>
          <w:b/>
          <w:color w:val="auto"/>
          <w:sz w:val="22"/>
          <w:szCs w:val="22"/>
          <w:highlight w:val="none"/>
          <w:shd w:val="clear" w:color="auto" w:fill="FFFFFF"/>
        </w:rPr>
        <w:t>项目概况</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lang w:eastAsia="zh-CN"/>
        </w:rPr>
      </w:pPr>
      <w:r>
        <w:rPr>
          <w:rFonts w:hint="eastAsia" w:ascii="宋体" w:hAnsi="宋体"/>
          <w:color w:val="auto"/>
          <w:sz w:val="22"/>
          <w:szCs w:val="22"/>
          <w:highlight w:val="none"/>
          <w:shd w:val="clear" w:color="auto" w:fill="FFFFFF"/>
          <w:lang w:eastAsia="zh-CN"/>
        </w:rPr>
        <w:t>平阳县瑞苍高速公路平阳段工程萧江镇淡浦安置地块（凤头B-15、凤头B-25）全过程咨询服务</w:t>
      </w:r>
      <w:r>
        <w:rPr>
          <w:rFonts w:hint="eastAsia" w:ascii="宋体" w:hAnsi="宋体"/>
          <w:color w:val="auto"/>
          <w:sz w:val="22"/>
          <w:szCs w:val="22"/>
          <w:highlight w:val="none"/>
          <w:shd w:val="clear" w:color="auto" w:fill="FFFFFF"/>
        </w:rPr>
        <w:t>招标项目的潜在投标人应在供应商登录政采云平台https://www.zcygov.cn/在线申请获取采购文件（进入“项目采购”应用，在获取采购文件菜单中选择项目，申请获取采购文件）获取招标文件，并于</w:t>
      </w:r>
      <w:r>
        <w:rPr>
          <w:rFonts w:hint="eastAsia" w:ascii="宋体" w:hAnsi="宋体"/>
          <w:color w:val="auto"/>
          <w:sz w:val="22"/>
          <w:szCs w:val="22"/>
          <w:highlight w:val="none"/>
          <w:shd w:val="clear" w:color="auto" w:fill="FFFFFF"/>
          <w:lang w:eastAsia="zh-CN"/>
        </w:rPr>
        <w:t>2023年</w:t>
      </w:r>
      <w:r>
        <w:rPr>
          <w:rFonts w:hint="eastAsia" w:ascii="宋体" w:hAnsi="宋体"/>
          <w:color w:val="auto"/>
          <w:sz w:val="22"/>
          <w:szCs w:val="22"/>
          <w:highlight w:val="none"/>
          <w:shd w:val="clear" w:color="auto" w:fill="FFFFFF"/>
          <w:lang w:val="en-US" w:eastAsia="zh-CN"/>
        </w:rPr>
        <w:t>10</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rPr>
        <w:t>:30（北京时间）前递交投标文件。</w:t>
      </w:r>
    </w:p>
    <w:p>
      <w:pPr>
        <w:pStyle w:val="37"/>
        <w:shd w:val="clear" w:color="auto" w:fill="FFFFFF"/>
        <w:spacing w:before="0" w:beforeAutospacing="0" w:after="0" w:afterAutospacing="0" w:line="420" w:lineRule="atLeast"/>
        <w:rPr>
          <w:rFonts w:hint="eastAsia" w:ascii="宋体" w:hAnsi="宋体"/>
          <w:b/>
          <w:color w:val="auto"/>
          <w:sz w:val="22"/>
          <w:szCs w:val="22"/>
          <w:highlight w:val="none"/>
          <w:shd w:val="clear" w:color="auto" w:fill="FFFFFF"/>
        </w:rPr>
      </w:pPr>
      <w:r>
        <w:rPr>
          <w:rFonts w:hint="eastAsia" w:ascii="宋体" w:hAnsi="宋体"/>
          <w:b/>
          <w:color w:val="auto"/>
          <w:sz w:val="22"/>
          <w:szCs w:val="22"/>
          <w:highlight w:val="none"/>
          <w:shd w:val="clear" w:color="auto" w:fill="FFFFFF"/>
        </w:rPr>
        <w:t>一、项目基本情况</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项目编号：</w:t>
      </w:r>
      <w:r>
        <w:rPr>
          <w:rFonts w:hint="eastAsia" w:ascii="宋体" w:hAnsi="宋体"/>
          <w:color w:val="auto"/>
          <w:sz w:val="22"/>
          <w:szCs w:val="22"/>
          <w:highlight w:val="none"/>
          <w:shd w:val="clear" w:color="auto" w:fill="FFFFFF"/>
          <w:lang w:eastAsia="zh-CN"/>
        </w:rPr>
        <w:t xml:space="preserve">PYCG230926092  </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项目名称：</w:t>
      </w:r>
      <w:r>
        <w:rPr>
          <w:rFonts w:hint="eastAsia" w:ascii="宋体" w:hAnsi="宋体"/>
          <w:color w:val="auto"/>
          <w:sz w:val="22"/>
          <w:szCs w:val="22"/>
          <w:highlight w:val="none"/>
          <w:shd w:val="clear" w:color="auto" w:fill="FFFFFF"/>
          <w:lang w:eastAsia="zh-CN"/>
        </w:rPr>
        <w:t>平阳县瑞苍高速公路平阳段工程萧江镇淡浦安置地块（凤头B-15、凤头B-25）全过程咨询服务</w:t>
      </w:r>
    </w:p>
    <w:p>
      <w:pPr>
        <w:pStyle w:val="37"/>
        <w:shd w:val="clear" w:color="auto" w:fill="FFFFFF"/>
        <w:spacing w:before="0" w:beforeAutospacing="0" w:after="0" w:afterAutospacing="0" w:line="420" w:lineRule="atLeast"/>
        <w:ind w:firstLine="440"/>
        <w:rPr>
          <w:rFonts w:hint="eastAsia" w:ascii="宋体" w:hAnsi="宋体" w:eastAsia="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lang w:eastAsia="zh-CN"/>
        </w:rPr>
        <w:t>预算金额（元）：</w:t>
      </w:r>
      <w:r>
        <w:rPr>
          <w:rFonts w:hint="eastAsia" w:ascii="宋体" w:hAnsi="宋体"/>
          <w:color w:val="auto"/>
          <w:sz w:val="22"/>
          <w:szCs w:val="22"/>
          <w:highlight w:val="none"/>
          <w:shd w:val="clear" w:color="auto" w:fill="FFFFFF"/>
          <w:lang w:eastAsia="zh-CN"/>
        </w:rPr>
        <w:t>5814100</w:t>
      </w:r>
    </w:p>
    <w:p>
      <w:pPr>
        <w:pStyle w:val="37"/>
        <w:shd w:val="clear" w:color="auto" w:fill="FFFFFF"/>
        <w:spacing w:before="0" w:beforeAutospacing="0" w:after="0" w:afterAutospacing="0" w:line="420" w:lineRule="atLeast"/>
        <w:ind w:firstLine="440"/>
        <w:rPr>
          <w:rFonts w:hint="eastAsia" w:ascii="宋体" w:hAnsi="宋体" w:eastAsia="宋体"/>
          <w:color w:val="auto"/>
          <w:sz w:val="22"/>
          <w:szCs w:val="22"/>
          <w:highlight w:val="none"/>
          <w:shd w:val="clear" w:color="auto" w:fill="FFFFFF"/>
          <w:lang w:eastAsia="zh-CN"/>
        </w:rPr>
      </w:pPr>
      <w:r>
        <w:rPr>
          <w:rFonts w:hint="eastAsia" w:ascii="宋体" w:hAnsi="宋体" w:eastAsia="宋体"/>
          <w:color w:val="auto"/>
          <w:sz w:val="22"/>
          <w:szCs w:val="22"/>
          <w:highlight w:val="none"/>
          <w:shd w:val="clear" w:color="auto" w:fill="FFFFFF"/>
          <w:lang w:eastAsia="zh-CN"/>
        </w:rPr>
        <w:t>最高限价（元）：</w:t>
      </w:r>
      <w:r>
        <w:rPr>
          <w:rFonts w:hint="eastAsia" w:ascii="宋体" w:hAnsi="宋体"/>
          <w:color w:val="auto"/>
          <w:sz w:val="22"/>
          <w:szCs w:val="22"/>
          <w:highlight w:val="none"/>
          <w:shd w:val="clear" w:color="auto" w:fill="FFFFFF"/>
          <w:lang w:val="en-US" w:eastAsia="zh-CN"/>
        </w:rPr>
        <w:t>5814100</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采购需求：</w:t>
      </w:r>
      <w:r>
        <w:rPr>
          <w:rFonts w:hint="eastAsia" w:ascii="宋体" w:hAnsi="宋体"/>
          <w:color w:val="auto"/>
          <w:sz w:val="22"/>
          <w:szCs w:val="22"/>
          <w:highlight w:val="none"/>
          <w:shd w:val="clear" w:color="auto" w:fill="FFFFFF"/>
          <w:lang w:val="en-US" w:eastAsia="zh-CN"/>
        </w:rPr>
        <w:t>详见招标文件</w:t>
      </w:r>
    </w:p>
    <w:p>
      <w:pPr>
        <w:pStyle w:val="37"/>
        <w:shd w:val="clear" w:color="auto" w:fill="FFFFFF"/>
        <w:spacing w:before="0" w:beforeAutospacing="0" w:after="0" w:afterAutospacing="0" w:line="420" w:lineRule="atLeast"/>
        <w:ind w:left="1541" w:leftChars="210" w:hanging="1100" w:hangingChars="500"/>
        <w:rPr>
          <w:rFonts w:ascii="宋体" w:hAnsi="宋体"/>
          <w:color w:val="auto"/>
          <w:sz w:val="22"/>
          <w:szCs w:val="22"/>
          <w:highlight w:val="none"/>
          <w:shd w:val="clear" w:color="auto" w:fill="FFFFFF"/>
        </w:rPr>
      </w:pPr>
      <w:r>
        <w:rPr>
          <w:rFonts w:ascii="宋体" w:hAnsi="宋体"/>
          <w:color w:val="auto"/>
          <w:sz w:val="22"/>
          <w:szCs w:val="22"/>
          <w:highlight w:val="none"/>
          <w:shd w:val="clear" w:color="auto" w:fill="FFFFFF"/>
        </w:rPr>
        <w:t xml:space="preserve">标项名称: </w:t>
      </w:r>
      <w:r>
        <w:rPr>
          <w:rFonts w:hint="eastAsia" w:ascii="宋体" w:hAnsi="宋体"/>
          <w:color w:val="auto"/>
          <w:sz w:val="22"/>
          <w:szCs w:val="22"/>
          <w:highlight w:val="none"/>
          <w:shd w:val="clear" w:color="auto" w:fill="FFFFFF"/>
          <w:lang w:eastAsia="zh-CN"/>
        </w:rPr>
        <w:t>平阳县瑞苍高速公路平阳段工程萧江镇淡浦安置地块（凤头B-15、凤头B-25）全过程咨询服务</w:t>
      </w:r>
      <w:r>
        <w:rPr>
          <w:rFonts w:ascii="宋体" w:hAnsi="宋体"/>
          <w:color w:val="auto"/>
          <w:sz w:val="22"/>
          <w:szCs w:val="22"/>
          <w:highlight w:val="none"/>
          <w:shd w:val="clear" w:color="auto" w:fill="FFFFFF"/>
        </w:rPr>
        <w:t xml:space="preserve"> </w:t>
      </w:r>
    </w:p>
    <w:p>
      <w:pPr>
        <w:pStyle w:val="37"/>
        <w:shd w:val="clear" w:color="auto" w:fill="FFFFFF"/>
        <w:spacing w:before="0" w:beforeAutospacing="0" w:after="0" w:afterAutospacing="0" w:line="420" w:lineRule="atLeast"/>
        <w:ind w:firstLine="440"/>
        <w:rPr>
          <w:rFonts w:ascii="宋体" w:hAnsi="宋体"/>
          <w:color w:val="auto"/>
          <w:sz w:val="22"/>
          <w:szCs w:val="22"/>
          <w:highlight w:val="none"/>
          <w:shd w:val="clear" w:color="auto" w:fill="FFFFFF"/>
        </w:rPr>
      </w:pPr>
      <w:r>
        <w:rPr>
          <w:rFonts w:ascii="宋体" w:hAnsi="宋体"/>
          <w:color w:val="auto"/>
          <w:sz w:val="22"/>
          <w:szCs w:val="22"/>
          <w:highlight w:val="none"/>
          <w:shd w:val="clear" w:color="auto" w:fill="FFFFFF"/>
        </w:rPr>
        <w:t xml:space="preserve">数量: 不限   </w:t>
      </w:r>
    </w:p>
    <w:p>
      <w:pPr>
        <w:pStyle w:val="37"/>
        <w:shd w:val="clear" w:color="auto" w:fill="FFFFFF"/>
        <w:spacing w:before="0" w:beforeAutospacing="0" w:after="0" w:afterAutospacing="0" w:line="420" w:lineRule="atLeast"/>
        <w:ind w:firstLine="440"/>
        <w:rPr>
          <w:rFonts w:ascii="宋体" w:hAnsi="宋体"/>
          <w:color w:val="auto"/>
          <w:sz w:val="22"/>
          <w:szCs w:val="22"/>
          <w:highlight w:val="none"/>
          <w:shd w:val="clear" w:color="auto" w:fill="FFFFFF"/>
        </w:rPr>
      </w:pPr>
      <w:r>
        <w:rPr>
          <w:rFonts w:ascii="宋体" w:hAnsi="宋体"/>
          <w:color w:val="auto"/>
          <w:sz w:val="22"/>
          <w:szCs w:val="22"/>
          <w:highlight w:val="none"/>
          <w:shd w:val="clear" w:color="auto" w:fill="FFFFFF"/>
        </w:rPr>
        <w:t>预</w:t>
      </w:r>
      <w:r>
        <w:rPr>
          <w:rFonts w:ascii="宋体" w:hAnsi="宋体" w:eastAsia="宋体"/>
          <w:color w:val="auto"/>
          <w:sz w:val="22"/>
          <w:szCs w:val="22"/>
          <w:highlight w:val="none"/>
          <w:shd w:val="clear" w:color="auto" w:fill="FFFFFF"/>
        </w:rPr>
        <w:t>算金额（元）:</w:t>
      </w:r>
      <w:r>
        <w:rPr>
          <w:rFonts w:hint="eastAsia" w:ascii="宋体" w:hAnsi="宋体"/>
          <w:color w:val="auto"/>
          <w:sz w:val="22"/>
          <w:szCs w:val="22"/>
          <w:highlight w:val="none"/>
          <w:shd w:val="clear" w:color="auto" w:fill="FFFFFF"/>
          <w:lang w:eastAsia="zh-CN"/>
        </w:rPr>
        <w:t>5814100</w:t>
      </w:r>
    </w:p>
    <w:p>
      <w:pPr>
        <w:pStyle w:val="37"/>
        <w:shd w:val="clear" w:color="auto" w:fill="FFFFFF"/>
        <w:spacing w:before="0" w:beforeAutospacing="0" w:after="0" w:afterAutospacing="0" w:line="420" w:lineRule="atLeast"/>
        <w:ind w:firstLine="440"/>
        <w:rPr>
          <w:rFonts w:ascii="宋体" w:hAnsi="宋体"/>
          <w:color w:val="auto"/>
          <w:sz w:val="22"/>
          <w:szCs w:val="22"/>
          <w:highlight w:val="none"/>
          <w:shd w:val="clear" w:color="auto" w:fill="FFFFFF"/>
        </w:rPr>
      </w:pPr>
      <w:r>
        <w:rPr>
          <w:rFonts w:ascii="宋体" w:hAnsi="宋体"/>
          <w:color w:val="auto"/>
          <w:sz w:val="22"/>
          <w:szCs w:val="22"/>
          <w:highlight w:val="none"/>
          <w:shd w:val="clear" w:color="auto" w:fill="FFFFFF"/>
        </w:rPr>
        <w:t xml:space="preserve">简要规格描述或项目基本概况介绍、用途：详见招标文件 </w:t>
      </w:r>
    </w:p>
    <w:p>
      <w:pPr>
        <w:pStyle w:val="37"/>
        <w:shd w:val="clear" w:color="auto" w:fill="FFFFFF"/>
        <w:spacing w:before="0" w:beforeAutospacing="0" w:after="0" w:afterAutospacing="0" w:line="420" w:lineRule="atLeast"/>
        <w:ind w:firstLine="440"/>
        <w:rPr>
          <w:rFonts w:ascii="宋体" w:hAnsi="宋体" w:eastAsia="宋体"/>
          <w:color w:val="auto"/>
          <w:sz w:val="22"/>
          <w:szCs w:val="22"/>
          <w:highlight w:val="none"/>
          <w:shd w:val="clear" w:color="auto" w:fill="FFFFFF"/>
        </w:rPr>
      </w:pPr>
      <w:r>
        <w:rPr>
          <w:rFonts w:ascii="宋体" w:hAnsi="宋体"/>
          <w:color w:val="auto"/>
          <w:sz w:val="22"/>
          <w:szCs w:val="22"/>
          <w:highlight w:val="none"/>
          <w:shd w:val="clear" w:color="auto" w:fill="FFFFFF"/>
        </w:rPr>
        <w:t>备</w:t>
      </w:r>
      <w:r>
        <w:rPr>
          <w:rFonts w:ascii="宋体" w:hAnsi="宋体" w:eastAsia="宋体"/>
          <w:color w:val="auto"/>
          <w:sz w:val="22"/>
          <w:szCs w:val="22"/>
          <w:highlight w:val="none"/>
          <w:shd w:val="clear" w:color="auto" w:fill="FFFFFF"/>
        </w:rPr>
        <w:t>注：</w:t>
      </w:r>
      <w:r>
        <w:rPr>
          <w:rFonts w:hint="eastAsia" w:ascii="宋体" w:hAnsi="宋体" w:eastAsia="宋体"/>
          <w:color w:val="auto"/>
          <w:sz w:val="22"/>
          <w:szCs w:val="22"/>
          <w:highlight w:val="none"/>
          <w:shd w:val="clear" w:color="auto" w:fill="FFFFFF"/>
        </w:rPr>
        <w:t>本项目按实结算，采用单价统一折扣率报价方式。</w:t>
      </w:r>
    </w:p>
    <w:p>
      <w:pPr>
        <w:pStyle w:val="37"/>
        <w:shd w:val="clear" w:color="auto" w:fill="FFFFFF"/>
        <w:spacing w:before="0" w:beforeAutospacing="0" w:after="0" w:afterAutospacing="0" w:line="420" w:lineRule="atLeast"/>
        <w:ind w:firstLine="440"/>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合同履约期限：标项 1，详见招标文件</w:t>
      </w:r>
    </w:p>
    <w:p>
      <w:pPr>
        <w:pStyle w:val="37"/>
        <w:shd w:val="clear" w:color="auto" w:fill="FFFFFF"/>
        <w:spacing w:before="0" w:beforeAutospacing="0" w:after="0" w:afterAutospacing="0" w:line="420" w:lineRule="atLeast"/>
        <w:ind w:firstLine="440"/>
        <w:rPr>
          <w:rFonts w:hint="eastAsia" w:ascii="宋体" w:hAnsi="宋体" w:eastAsia="宋体"/>
          <w:color w:val="auto"/>
          <w:sz w:val="22"/>
          <w:szCs w:val="22"/>
          <w:highlight w:val="none"/>
          <w:shd w:val="clear" w:color="auto" w:fill="FFFFFF"/>
        </w:rPr>
      </w:pPr>
      <w:r>
        <w:rPr>
          <w:rFonts w:hint="eastAsia" w:ascii="宋体" w:hAnsi="宋体" w:eastAsia="宋体"/>
          <w:color w:val="auto"/>
          <w:sz w:val="22"/>
          <w:szCs w:val="22"/>
          <w:highlight w:val="none"/>
          <w:shd w:val="clear" w:color="auto" w:fill="FFFFFF"/>
        </w:rPr>
        <w:t>本项目（否）接受联合体投标。</w:t>
      </w:r>
    </w:p>
    <w:p>
      <w:pPr>
        <w:pStyle w:val="37"/>
        <w:shd w:val="clear" w:color="auto" w:fill="FFFFFF"/>
        <w:spacing w:before="0" w:beforeAutospacing="0" w:after="0" w:afterAutospacing="0" w:line="420" w:lineRule="atLeast"/>
        <w:rPr>
          <w:rFonts w:hint="eastAsia" w:ascii="宋体" w:hAnsi="宋体"/>
          <w:b/>
          <w:color w:val="auto"/>
          <w:sz w:val="22"/>
          <w:szCs w:val="22"/>
          <w:highlight w:val="none"/>
          <w:shd w:val="clear" w:color="auto" w:fill="FFFFFF"/>
        </w:rPr>
      </w:pPr>
      <w:r>
        <w:rPr>
          <w:rFonts w:hint="eastAsia" w:ascii="宋体" w:hAnsi="宋体"/>
          <w:b/>
          <w:color w:val="auto"/>
          <w:sz w:val="22"/>
          <w:szCs w:val="22"/>
          <w:highlight w:val="none"/>
          <w:shd w:val="clear" w:color="auto" w:fill="FFFFFF"/>
        </w:rPr>
        <w:t>二、申请人的资格要求</w:t>
      </w:r>
    </w:p>
    <w:p>
      <w:pPr>
        <w:spacing w:line="400" w:lineRule="exact"/>
        <w:ind w:firstLine="220" w:firstLineChars="100"/>
        <w:rPr>
          <w:rFonts w:hint="eastAsia" w:ascii="宋体" w:hAnsi="宋体"/>
          <w:color w:val="auto"/>
          <w:sz w:val="22"/>
          <w:szCs w:val="22"/>
          <w:highlight w:val="none"/>
        </w:rPr>
      </w:pPr>
      <w:r>
        <w:rPr>
          <w:rFonts w:hint="eastAsia" w:ascii="宋体" w:hAnsi="宋体"/>
          <w:color w:val="auto"/>
          <w:sz w:val="22"/>
          <w:szCs w:val="22"/>
          <w:highlight w:val="none"/>
        </w:rPr>
        <w:t xml:space="preserve">  1.满足《平阳县县属国有企业采购管理办法（试行）》第十四条规定；未被“信用中国”（www.creditchina.gov.cn)、中国政府采购网（www.ccgp.gov.cn）列入失信被执行人、重大税收违法案件当事</w:t>
      </w:r>
      <w:r>
        <w:rPr>
          <w:rFonts w:hint="eastAsia" w:ascii="宋体" w:hAnsi="宋体" w:eastAsia="宋体"/>
          <w:color w:val="auto"/>
          <w:sz w:val="22"/>
          <w:szCs w:val="22"/>
          <w:highlight w:val="none"/>
        </w:rPr>
        <w:t>人名单、政府采购严重违法失信行为记录名单。</w:t>
      </w:r>
    </w:p>
    <w:p>
      <w:pPr>
        <w:spacing w:line="40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2.落实政府采购政策需满足的资格要求：</w:t>
      </w:r>
      <w:r>
        <w:rPr>
          <w:rFonts w:hint="eastAsia" w:ascii="宋体" w:hAnsi="宋体" w:eastAsia="宋体"/>
          <w:color w:val="auto"/>
          <w:sz w:val="22"/>
          <w:szCs w:val="22"/>
          <w:highlight w:val="none"/>
          <w:lang w:val="en-US" w:eastAsia="zh-CN"/>
        </w:rPr>
        <w:t>无。</w:t>
      </w:r>
    </w:p>
    <w:p>
      <w:pPr>
        <w:spacing w:line="400" w:lineRule="exact"/>
        <w:ind w:firstLine="440" w:firstLineChars="20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3.特定资格要求：无</w:t>
      </w:r>
    </w:p>
    <w:p>
      <w:pPr>
        <w:pStyle w:val="37"/>
        <w:shd w:val="clear" w:color="auto" w:fill="FFFFFF"/>
        <w:spacing w:before="0" w:beforeAutospacing="0" w:after="0" w:afterAutospacing="0" w:line="420" w:lineRule="atLeast"/>
        <w:rPr>
          <w:rFonts w:hint="eastAsia" w:ascii="宋体" w:hAnsi="宋体"/>
          <w:b/>
          <w:color w:val="auto"/>
          <w:sz w:val="22"/>
          <w:szCs w:val="22"/>
          <w:highlight w:val="none"/>
          <w:shd w:val="clear" w:color="auto" w:fill="FFFFFF"/>
        </w:rPr>
      </w:pPr>
      <w:r>
        <w:rPr>
          <w:rFonts w:hint="eastAsia" w:ascii="宋体" w:hAnsi="宋体"/>
          <w:b/>
          <w:color w:val="auto"/>
          <w:sz w:val="22"/>
          <w:szCs w:val="22"/>
          <w:highlight w:val="none"/>
          <w:shd w:val="clear" w:color="auto" w:fill="FFFFFF"/>
        </w:rPr>
        <w:t>三、获取招标文件</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时间：</w:t>
      </w:r>
      <w:r>
        <w:rPr>
          <w:rFonts w:hint="eastAsia" w:ascii="宋体" w:hAnsi="宋体"/>
          <w:color w:val="auto"/>
          <w:sz w:val="22"/>
          <w:szCs w:val="22"/>
          <w:highlight w:val="none"/>
          <w:shd w:val="clear" w:color="auto" w:fill="FFFFFF"/>
          <w:lang w:eastAsia="zh-CN"/>
        </w:rPr>
        <w:t>2023年</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27</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shd w:val="clear" w:color="auto" w:fill="FFFFFF"/>
        </w:rPr>
        <w:t>至</w:t>
      </w:r>
      <w:r>
        <w:rPr>
          <w:rFonts w:hint="eastAsia" w:ascii="宋体" w:hAnsi="宋体"/>
          <w:color w:val="auto"/>
          <w:sz w:val="22"/>
          <w:szCs w:val="22"/>
          <w:highlight w:val="none"/>
          <w:shd w:val="clear" w:color="auto" w:fill="FFFFFF"/>
          <w:lang w:eastAsia="zh-CN"/>
        </w:rPr>
        <w:t>2023年</w:t>
      </w:r>
      <w:r>
        <w:rPr>
          <w:rFonts w:hint="eastAsia" w:ascii="宋体" w:hAnsi="宋体"/>
          <w:color w:val="auto"/>
          <w:sz w:val="22"/>
          <w:szCs w:val="22"/>
          <w:highlight w:val="none"/>
          <w:shd w:val="clear" w:color="auto" w:fill="FFFFFF"/>
          <w:lang w:val="en-US" w:eastAsia="zh-CN"/>
        </w:rPr>
        <w:t>10</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shd w:val="clear" w:color="auto" w:fill="FFFFFF"/>
        </w:rPr>
        <w:t>，每天上午00:00至12:00，下午12:00至23:59（北京时间，线上获取法定节假日均可，线下获取文件法定节假日除外）</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地点（网址）：政采云平台（www.zcygov.cn）；</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方式：供应商登录政采云平台https://www.zcygov.cn/在线申请获取采购文件（进入“项目采购”应用，在获取采购文件菜单中选择项目，申请获取采购文件）；</w:t>
      </w:r>
    </w:p>
    <w:p>
      <w:pPr>
        <w:pStyle w:val="37"/>
        <w:shd w:val="clear" w:color="auto" w:fill="FFFFFF"/>
        <w:spacing w:before="0" w:beforeAutospacing="0" w:after="0" w:afterAutospacing="0" w:line="420" w:lineRule="atLeast"/>
        <w:rPr>
          <w:rFonts w:hint="eastAsia" w:ascii="宋体" w:hAnsi="宋体"/>
          <w:b/>
          <w:color w:val="auto"/>
          <w:sz w:val="22"/>
          <w:szCs w:val="22"/>
          <w:highlight w:val="none"/>
          <w:shd w:val="clear" w:color="auto" w:fill="FFFFFF"/>
        </w:rPr>
      </w:pPr>
      <w:r>
        <w:rPr>
          <w:rFonts w:hint="eastAsia" w:ascii="宋体" w:hAnsi="宋体"/>
          <w:b/>
          <w:color w:val="auto"/>
          <w:sz w:val="22"/>
          <w:szCs w:val="22"/>
          <w:highlight w:val="none"/>
          <w:shd w:val="clear" w:color="auto" w:fill="FFFFFF"/>
        </w:rPr>
        <w:t>四、提交投标文件截止时间、开标时间和地点</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提交投标文件截止时间：</w:t>
      </w:r>
      <w:r>
        <w:rPr>
          <w:rFonts w:hint="eastAsia" w:ascii="宋体" w:hAnsi="宋体"/>
          <w:color w:val="auto"/>
          <w:sz w:val="22"/>
          <w:szCs w:val="22"/>
          <w:highlight w:val="none"/>
          <w:shd w:val="clear" w:color="auto" w:fill="FFFFFF"/>
          <w:lang w:eastAsia="zh-CN"/>
        </w:rPr>
        <w:t>2023年</w:t>
      </w:r>
      <w:r>
        <w:rPr>
          <w:rFonts w:hint="eastAsia" w:ascii="宋体" w:hAnsi="宋体"/>
          <w:color w:val="auto"/>
          <w:sz w:val="22"/>
          <w:szCs w:val="22"/>
          <w:highlight w:val="none"/>
          <w:shd w:val="clear" w:color="auto" w:fill="FFFFFF"/>
          <w:lang w:val="en-US" w:eastAsia="zh-CN"/>
        </w:rPr>
        <w:t>10</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rPr>
        <w:t>:30（北京时间）</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 xml:space="preserve">投标地点（网址）：政府采购云平台在线投标 </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开标时间：</w:t>
      </w:r>
      <w:r>
        <w:rPr>
          <w:rFonts w:hint="eastAsia" w:ascii="宋体" w:hAnsi="宋体"/>
          <w:color w:val="auto"/>
          <w:sz w:val="22"/>
          <w:szCs w:val="22"/>
          <w:highlight w:val="none"/>
          <w:shd w:val="clear" w:color="auto" w:fill="FFFFFF"/>
          <w:lang w:eastAsia="zh-CN"/>
        </w:rPr>
        <w:t>2023年</w:t>
      </w:r>
      <w:r>
        <w:rPr>
          <w:rFonts w:hint="eastAsia" w:ascii="宋体" w:hAnsi="宋体"/>
          <w:color w:val="auto"/>
          <w:sz w:val="22"/>
          <w:szCs w:val="22"/>
          <w:highlight w:val="none"/>
          <w:shd w:val="clear" w:color="auto" w:fill="FFFFFF"/>
          <w:lang w:val="en-US" w:eastAsia="zh-CN"/>
        </w:rPr>
        <w:t>10</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shd w:val="clear" w:color="auto" w:fill="FFFFFF"/>
          <w:lang w:val="en-US" w:eastAsia="zh-CN"/>
        </w:rPr>
        <w:t>09</w:t>
      </w:r>
      <w:r>
        <w:rPr>
          <w:rFonts w:hint="eastAsia" w:ascii="宋体" w:hAnsi="宋体"/>
          <w:color w:val="auto"/>
          <w:sz w:val="22"/>
          <w:szCs w:val="22"/>
          <w:highlight w:val="none"/>
          <w:shd w:val="clear" w:color="auto" w:fill="FFFFFF"/>
        </w:rPr>
        <w:t>:30 （北京时间）</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shd w:val="clear" w:color="auto" w:fill="FFFFFF"/>
        </w:rPr>
      </w:pPr>
      <w:r>
        <w:rPr>
          <w:rFonts w:hint="eastAsia" w:ascii="宋体" w:hAnsi="宋体"/>
          <w:color w:val="auto"/>
          <w:sz w:val="22"/>
          <w:szCs w:val="22"/>
          <w:highlight w:val="none"/>
          <w:shd w:val="clear" w:color="auto" w:fill="FFFFFF"/>
        </w:rPr>
        <w:t>开标地点（网址）：政府采购云平台在线投标</w:t>
      </w:r>
    </w:p>
    <w:p>
      <w:pPr>
        <w:pStyle w:val="37"/>
        <w:shd w:val="clear" w:color="auto" w:fill="FFFFFF"/>
        <w:spacing w:before="0" w:beforeAutospacing="0" w:after="0" w:afterAutospacing="0" w:line="420" w:lineRule="atLeas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五、公告期限:自本公告发布之日起5个工作日</w:t>
      </w:r>
    </w:p>
    <w:p>
      <w:pPr>
        <w:pStyle w:val="37"/>
        <w:shd w:val="clear" w:color="auto" w:fill="FFFFFF"/>
        <w:spacing w:before="0" w:beforeAutospacing="0" w:after="0" w:afterAutospacing="0" w:line="420" w:lineRule="atLeas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六、投标保证金：</w:t>
      </w:r>
      <w:r>
        <w:rPr>
          <w:rFonts w:hint="eastAsia" w:ascii="宋体" w:hAnsi="宋体" w:eastAsia="宋体"/>
          <w:b/>
          <w:color w:val="auto"/>
          <w:sz w:val="22"/>
          <w:szCs w:val="22"/>
          <w:highlight w:val="none"/>
          <w:shd w:val="clear" w:color="auto" w:fill="FFFFFF"/>
          <w:lang w:val="en-US" w:eastAsia="zh-CN"/>
        </w:rPr>
        <w:t>无需缴纳投标保证金。</w:t>
      </w:r>
    </w:p>
    <w:p>
      <w:pPr>
        <w:pStyle w:val="37"/>
        <w:shd w:val="clear" w:color="auto" w:fill="FFFFFF"/>
        <w:spacing w:before="0" w:beforeAutospacing="0" w:after="0" w:afterAutospacing="0" w:line="420" w:lineRule="atLeast"/>
        <w:rPr>
          <w:rFonts w:hint="eastAsia" w:ascii="宋体" w:hAnsi="宋体" w:eastAsia="宋体"/>
          <w:b/>
          <w:color w:val="auto"/>
          <w:sz w:val="22"/>
          <w:szCs w:val="22"/>
          <w:highlight w:val="none"/>
          <w:shd w:val="clear" w:color="auto" w:fill="FFFFFF"/>
        </w:rPr>
      </w:pPr>
      <w:r>
        <w:rPr>
          <w:rFonts w:hint="eastAsia" w:ascii="宋体" w:hAnsi="宋体" w:eastAsia="宋体"/>
          <w:b/>
          <w:color w:val="auto"/>
          <w:sz w:val="22"/>
          <w:szCs w:val="22"/>
          <w:highlight w:val="none"/>
          <w:shd w:val="clear" w:color="auto" w:fill="FFFFFF"/>
        </w:rPr>
        <w:t>七、其他补充事宜</w:t>
      </w:r>
    </w:p>
    <w:p>
      <w:pPr>
        <w:spacing w:line="40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 xml:space="preserve"> 2、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向监管部门投诉。</w:t>
      </w:r>
    </w:p>
    <w:p>
      <w:pPr>
        <w:pStyle w:val="37"/>
        <w:shd w:val="clear" w:color="auto" w:fill="FFFFFF"/>
        <w:spacing w:before="0" w:beforeAutospacing="0" w:after="0" w:afterAutospacing="0" w:line="420" w:lineRule="atLeast"/>
        <w:ind w:firstLine="440"/>
        <w:rPr>
          <w:rFonts w:hint="eastAsia" w:ascii="宋体" w:hAnsi="宋体"/>
          <w:color w:val="auto"/>
          <w:sz w:val="22"/>
          <w:szCs w:val="22"/>
          <w:highlight w:val="none"/>
        </w:rPr>
      </w:pPr>
      <w:r>
        <w:rPr>
          <w:rFonts w:hint="eastAsia" w:ascii="宋体" w:hAnsi="宋体"/>
          <w:color w:val="auto"/>
          <w:sz w:val="22"/>
          <w:szCs w:val="22"/>
          <w:highlight w:val="none"/>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37"/>
        <w:shd w:val="clear" w:color="auto" w:fill="FFFFFF"/>
        <w:spacing w:before="0" w:beforeAutospacing="0" w:after="0" w:afterAutospacing="0" w:line="420" w:lineRule="atLeast"/>
        <w:rPr>
          <w:rFonts w:hint="eastAsia" w:ascii="宋体" w:hAnsi="宋体"/>
          <w:b/>
          <w:color w:val="auto"/>
          <w:sz w:val="22"/>
          <w:szCs w:val="22"/>
          <w:highlight w:val="none"/>
          <w:shd w:val="clear" w:color="auto" w:fill="FFFFFF"/>
        </w:rPr>
      </w:pPr>
      <w:r>
        <w:rPr>
          <w:rFonts w:hint="eastAsia" w:ascii="宋体" w:hAnsi="宋体"/>
          <w:b/>
          <w:color w:val="auto"/>
          <w:sz w:val="22"/>
          <w:szCs w:val="22"/>
          <w:highlight w:val="none"/>
          <w:shd w:val="clear" w:color="auto" w:fill="FFFFFF"/>
        </w:rPr>
        <w:t>八、对本次采购提出询问、质疑、投诉，请按以下方式联系：</w:t>
      </w:r>
    </w:p>
    <w:p>
      <w:pPr>
        <w:widowControl/>
        <w:snapToGrid w:val="0"/>
        <w:spacing w:line="480" w:lineRule="exact"/>
        <w:ind w:firstLine="431" w:firstLineChars="196"/>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1、采购人：</w:t>
      </w:r>
      <w:r>
        <w:rPr>
          <w:rFonts w:hint="eastAsia" w:ascii="宋体" w:hAnsi="宋体" w:eastAsia="宋体"/>
          <w:color w:val="auto"/>
          <w:kern w:val="0"/>
          <w:sz w:val="22"/>
          <w:szCs w:val="22"/>
          <w:highlight w:val="none"/>
          <w:lang w:eastAsia="zh-CN"/>
        </w:rPr>
        <w:t>平阳县萧江新农村建设投资有限公司</w:t>
      </w:r>
    </w:p>
    <w:p>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rPr>
        <w:t>采购人</w:t>
      </w:r>
      <w:r>
        <w:rPr>
          <w:rFonts w:hint="eastAsia" w:ascii="宋体" w:hAnsi="宋体" w:eastAsia="宋体"/>
          <w:color w:val="auto"/>
          <w:kern w:val="0"/>
          <w:sz w:val="22"/>
          <w:szCs w:val="22"/>
          <w:highlight w:val="none"/>
          <w:lang w:eastAsia="zh-CN"/>
        </w:rPr>
        <w:t>地址：温州市平阳县渡西路与永乐路交叉路口往西约50米</w:t>
      </w:r>
    </w:p>
    <w:p>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 系 人：</w:t>
      </w:r>
      <w:r>
        <w:rPr>
          <w:rFonts w:hint="eastAsia" w:ascii="宋体" w:hAnsi="宋体" w:eastAsia="宋体"/>
          <w:color w:val="auto"/>
          <w:kern w:val="0"/>
          <w:sz w:val="22"/>
          <w:szCs w:val="22"/>
          <w:highlight w:val="none"/>
          <w:lang w:val="en-US" w:eastAsia="zh-CN"/>
        </w:rPr>
        <w:t>章先生</w:t>
      </w:r>
      <w:r>
        <w:rPr>
          <w:rFonts w:hint="eastAsia" w:ascii="宋体" w:hAnsi="宋体" w:eastAsia="宋体"/>
          <w:color w:val="auto"/>
          <w:kern w:val="0"/>
          <w:sz w:val="22"/>
          <w:szCs w:val="22"/>
          <w:highlight w:val="none"/>
          <w:lang w:eastAsia="zh-CN"/>
        </w:rPr>
        <w:t xml:space="preserve"> </w:t>
      </w:r>
    </w:p>
    <w:p>
      <w:pPr>
        <w:widowControl/>
        <w:snapToGrid w:val="0"/>
        <w:spacing w:line="480" w:lineRule="exact"/>
        <w:ind w:firstLine="431" w:firstLineChars="196"/>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联系电话：0577</w:t>
      </w:r>
      <w:r>
        <w:rPr>
          <w:rFonts w:hint="eastAsia" w:ascii="宋体" w:hAnsi="宋体" w:eastAsia="宋体"/>
          <w:color w:val="auto"/>
          <w:kern w:val="0"/>
          <w:sz w:val="22"/>
          <w:szCs w:val="22"/>
          <w:highlight w:val="none"/>
          <w:lang w:val="en-US" w:eastAsia="zh-CN"/>
        </w:rPr>
        <w:t>-</w:t>
      </w:r>
      <w:r>
        <w:rPr>
          <w:rFonts w:hint="eastAsia" w:ascii="宋体" w:hAnsi="宋体" w:eastAsia="宋体"/>
          <w:color w:val="auto"/>
          <w:kern w:val="0"/>
          <w:sz w:val="22"/>
          <w:szCs w:val="22"/>
          <w:highlight w:val="none"/>
          <w:lang w:eastAsia="zh-CN"/>
        </w:rPr>
        <w:t>58127051</w:t>
      </w:r>
    </w:p>
    <w:p>
      <w:pPr>
        <w:widowControl/>
        <w:snapToGrid w:val="0"/>
        <w:spacing w:line="440" w:lineRule="exact"/>
        <w:ind w:left="430" w:leftChars="205"/>
        <w:jc w:val="left"/>
        <w:rPr>
          <w:rFonts w:hint="eastAsia" w:ascii="宋体" w:hAnsi="宋体"/>
          <w:color w:val="auto"/>
          <w:kern w:val="0"/>
          <w:sz w:val="22"/>
          <w:szCs w:val="22"/>
          <w:highlight w:val="none"/>
        </w:rPr>
      </w:pPr>
      <w:r>
        <w:rPr>
          <w:rFonts w:hint="eastAsia" w:ascii="宋体" w:hAnsi="宋体"/>
          <w:color w:val="auto"/>
          <w:kern w:val="0"/>
          <w:sz w:val="22"/>
          <w:szCs w:val="22"/>
          <w:highlight w:val="none"/>
        </w:rPr>
        <w:t>2、采购代理机构名称：浙江品信工程项目管理有限公司</w:t>
      </w:r>
    </w:p>
    <w:p>
      <w:pPr>
        <w:widowControl/>
        <w:snapToGrid w:val="0"/>
        <w:spacing w:line="440" w:lineRule="exact"/>
        <w:ind w:left="430" w:leftChars="205"/>
        <w:jc w:val="left"/>
        <w:rPr>
          <w:rFonts w:hint="eastAsia" w:ascii="宋体" w:hAnsi="宋体"/>
          <w:color w:val="auto"/>
          <w:kern w:val="0"/>
          <w:sz w:val="22"/>
          <w:szCs w:val="22"/>
          <w:highlight w:val="none"/>
        </w:rPr>
      </w:pPr>
      <w:r>
        <w:rPr>
          <w:rFonts w:hint="eastAsia" w:ascii="宋体" w:hAnsi="宋体"/>
          <w:color w:val="auto"/>
          <w:kern w:val="0"/>
          <w:sz w:val="22"/>
          <w:szCs w:val="22"/>
          <w:highlight w:val="none"/>
        </w:rPr>
        <w:t>机构地点：温州市平阳县鳌江镇玉莲村鞋业园区A区10幢新厂房二楼</w:t>
      </w:r>
    </w:p>
    <w:p>
      <w:pPr>
        <w:widowControl/>
        <w:snapToGrid w:val="0"/>
        <w:spacing w:line="440" w:lineRule="exact"/>
        <w:ind w:left="430" w:leftChars="205"/>
        <w:jc w:val="left"/>
        <w:rPr>
          <w:rFonts w:hint="eastAsia" w:ascii="宋体" w:hAnsi="宋体"/>
          <w:color w:val="auto"/>
          <w:kern w:val="0"/>
          <w:sz w:val="22"/>
          <w:szCs w:val="22"/>
          <w:highlight w:val="none"/>
        </w:rPr>
      </w:pPr>
      <w:bookmarkStart w:id="0" w:name="B38_联系人"/>
      <w:bookmarkEnd w:id="0"/>
      <w:r>
        <w:rPr>
          <w:rFonts w:hint="eastAsia" w:ascii="宋体" w:hAnsi="宋体"/>
          <w:color w:val="auto"/>
          <w:kern w:val="0"/>
          <w:sz w:val="22"/>
          <w:szCs w:val="22"/>
          <w:highlight w:val="none"/>
        </w:rPr>
        <w:t>联系人：吴女士</w:t>
      </w:r>
    </w:p>
    <w:p>
      <w:pPr>
        <w:widowControl/>
        <w:snapToGrid w:val="0"/>
        <w:spacing w:line="440" w:lineRule="exact"/>
        <w:ind w:left="430" w:leftChars="205"/>
        <w:jc w:val="left"/>
        <w:rPr>
          <w:rFonts w:hint="eastAsia" w:ascii="宋体" w:hAnsi="宋体"/>
          <w:color w:val="auto"/>
          <w:kern w:val="0"/>
          <w:sz w:val="22"/>
          <w:szCs w:val="22"/>
          <w:highlight w:val="none"/>
        </w:rPr>
      </w:pPr>
      <w:r>
        <w:rPr>
          <w:rFonts w:hint="eastAsia" w:ascii="宋体" w:hAnsi="宋体"/>
          <w:color w:val="auto"/>
          <w:kern w:val="0"/>
          <w:sz w:val="22"/>
          <w:szCs w:val="22"/>
          <w:highlight w:val="none"/>
        </w:rPr>
        <w:t>联系电话：0577-63682718、15669781333</w:t>
      </w:r>
    </w:p>
    <w:p>
      <w:pPr>
        <w:widowControl/>
        <w:snapToGrid w:val="0"/>
        <w:spacing w:line="440" w:lineRule="exact"/>
        <w:ind w:left="430" w:leftChars="205"/>
        <w:jc w:val="left"/>
        <w:rPr>
          <w:rFonts w:hint="eastAsia" w:ascii="宋体" w:hAnsi="宋体"/>
          <w:color w:val="auto"/>
          <w:kern w:val="0"/>
          <w:sz w:val="22"/>
          <w:szCs w:val="22"/>
          <w:highlight w:val="none"/>
        </w:rPr>
      </w:pPr>
      <w:r>
        <w:rPr>
          <w:rFonts w:hint="eastAsia" w:ascii="宋体" w:hAnsi="宋体"/>
          <w:color w:val="auto"/>
          <w:kern w:val="0"/>
          <w:sz w:val="22"/>
          <w:szCs w:val="22"/>
          <w:highlight w:val="none"/>
        </w:rPr>
        <w:t>传真：0577-63682718</w:t>
      </w:r>
    </w:p>
    <w:p>
      <w:pPr>
        <w:widowControl/>
        <w:snapToGrid w:val="0"/>
        <w:spacing w:line="440" w:lineRule="exact"/>
        <w:ind w:left="430" w:leftChars="205"/>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3、同级采购监督管理部门名称：</w:t>
      </w:r>
      <w:r>
        <w:rPr>
          <w:rFonts w:hint="eastAsia" w:ascii="宋体" w:hAnsi="宋体" w:eastAsia="宋体"/>
          <w:color w:val="auto"/>
          <w:kern w:val="0"/>
          <w:sz w:val="22"/>
          <w:szCs w:val="22"/>
          <w:highlight w:val="none"/>
          <w:lang w:eastAsia="zh-CN"/>
        </w:rPr>
        <w:t>平阳县萧江新农村建设投资有限公司</w:t>
      </w:r>
    </w:p>
    <w:p>
      <w:pPr>
        <w:widowControl/>
        <w:snapToGrid w:val="0"/>
        <w:spacing w:line="440" w:lineRule="exact"/>
        <w:ind w:left="430" w:leftChars="205"/>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联系人：</w:t>
      </w:r>
      <w:r>
        <w:rPr>
          <w:rFonts w:hint="eastAsia" w:ascii="宋体" w:hAnsi="宋体" w:eastAsia="宋体"/>
          <w:color w:val="auto"/>
          <w:kern w:val="0"/>
          <w:sz w:val="22"/>
          <w:szCs w:val="22"/>
          <w:highlight w:val="none"/>
          <w:lang w:eastAsia="zh-CN"/>
        </w:rPr>
        <w:t>金先生</w:t>
      </w:r>
    </w:p>
    <w:p>
      <w:pPr>
        <w:widowControl/>
        <w:snapToGrid w:val="0"/>
        <w:spacing w:line="440" w:lineRule="exact"/>
        <w:ind w:left="430" w:leftChars="205"/>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监督投诉电话： 13868335187</w:t>
      </w:r>
    </w:p>
    <w:p>
      <w:pPr>
        <w:widowControl/>
        <w:snapToGrid w:val="0"/>
        <w:spacing w:line="440" w:lineRule="exact"/>
        <w:ind w:left="430" w:leftChars="205"/>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传真：/</w:t>
      </w:r>
    </w:p>
    <w:p>
      <w:pPr>
        <w:widowControl/>
        <w:snapToGrid w:val="0"/>
        <w:spacing w:line="440" w:lineRule="exact"/>
        <w:ind w:left="430" w:leftChars="205"/>
        <w:jc w:val="left"/>
        <w:rPr>
          <w:rFonts w:hint="eastAsia" w:ascii="宋体" w:hAnsi="宋体" w:eastAsia="宋体"/>
          <w:color w:val="auto"/>
          <w:kern w:val="0"/>
          <w:sz w:val="22"/>
          <w:szCs w:val="22"/>
          <w:highlight w:val="none"/>
        </w:rPr>
      </w:pPr>
      <w:r>
        <w:rPr>
          <w:rFonts w:hint="eastAsia" w:ascii="宋体" w:hAnsi="宋体" w:eastAsia="宋体"/>
          <w:color w:val="auto"/>
          <w:kern w:val="0"/>
          <w:sz w:val="22"/>
          <w:szCs w:val="22"/>
          <w:highlight w:val="none"/>
        </w:rPr>
        <w:t>地址:</w:t>
      </w:r>
      <w:r>
        <w:rPr>
          <w:rFonts w:hint="eastAsia" w:ascii="宋体" w:hAnsi="宋体" w:eastAsia="宋体"/>
          <w:color w:val="auto"/>
          <w:kern w:val="0"/>
          <w:sz w:val="22"/>
          <w:szCs w:val="22"/>
          <w:highlight w:val="none"/>
          <w:lang w:eastAsia="zh-CN"/>
        </w:rPr>
        <w:t>温州市平阳县渡西路与永乐路交叉路口往西约50米</w:t>
      </w:r>
    </w:p>
    <w:p>
      <w:pPr>
        <w:pStyle w:val="23"/>
        <w:spacing w:before="120" w:after="120" w:line="420" w:lineRule="exact"/>
        <w:ind w:left="447" w:hanging="447"/>
        <w:rPr>
          <w:rFonts w:ascii="宋体" w:hAnsi="宋体"/>
          <w:color w:val="auto"/>
          <w:sz w:val="22"/>
          <w:szCs w:val="22"/>
          <w:highlight w:val="none"/>
        </w:rPr>
      </w:pPr>
    </w:p>
    <w:p>
      <w:pPr>
        <w:spacing w:line="360" w:lineRule="auto"/>
        <w:jc w:val="center"/>
        <w:rPr>
          <w:rFonts w:hint="eastAsia" w:ascii="宋体" w:hAnsi="宋体"/>
          <w:b/>
          <w:bCs/>
          <w:color w:val="auto"/>
          <w:sz w:val="36"/>
          <w:szCs w:val="36"/>
          <w:highlight w:val="none"/>
        </w:rPr>
      </w:pPr>
      <w:r>
        <w:rPr>
          <w:rFonts w:hint="eastAsia" w:ascii="宋体" w:hAnsi="宋体"/>
          <w:b/>
          <w:bCs/>
          <w:color w:val="auto"/>
          <w:sz w:val="36"/>
          <w:szCs w:val="36"/>
          <w:highlight w:val="none"/>
        </w:rPr>
        <w:br w:type="page"/>
      </w:r>
      <w:r>
        <w:rPr>
          <w:rFonts w:hint="eastAsia" w:ascii="宋体" w:hAnsi="宋体"/>
          <w:b/>
          <w:bCs/>
          <w:color w:val="auto"/>
          <w:sz w:val="36"/>
          <w:szCs w:val="36"/>
          <w:highlight w:val="none"/>
        </w:rPr>
        <w:t>投 标 通 知 (邀 请) 书</w:t>
      </w:r>
    </w:p>
    <w:p>
      <w:pPr>
        <w:snapToGrid w:val="0"/>
        <w:spacing w:line="360" w:lineRule="auto"/>
        <w:ind w:firstLine="440" w:firstLineChars="200"/>
        <w:rPr>
          <w:rFonts w:hint="eastAsia" w:ascii="宋体" w:hAnsi="宋体"/>
          <w:color w:val="auto"/>
          <w:kern w:val="0"/>
          <w:sz w:val="22"/>
          <w:szCs w:val="22"/>
          <w:highlight w:val="none"/>
        </w:rPr>
      </w:pPr>
      <w:r>
        <w:rPr>
          <w:rFonts w:hint="eastAsia" w:ascii="宋体" w:hAnsi="宋体"/>
          <w:color w:val="auto"/>
          <w:kern w:val="0"/>
          <w:sz w:val="22"/>
          <w:szCs w:val="22"/>
          <w:highlight w:val="none"/>
        </w:rPr>
        <w:t>浙江品信工程项目管理有限公司对</w:t>
      </w:r>
      <w:r>
        <w:rPr>
          <w:rFonts w:hint="eastAsia" w:ascii="宋体" w:hAnsi="宋体"/>
          <w:color w:val="auto"/>
          <w:kern w:val="0"/>
          <w:sz w:val="22"/>
          <w:szCs w:val="22"/>
          <w:highlight w:val="none"/>
          <w:lang w:eastAsia="zh-CN"/>
        </w:rPr>
        <w:t>平阳县瑞苍高速公路平阳段工程萧江镇淡浦安置地块（凤头B-15、凤头B-25）全过程咨询服务</w:t>
      </w:r>
      <w:r>
        <w:rPr>
          <w:rFonts w:hint="eastAsia" w:ascii="宋体" w:hAnsi="宋体"/>
          <w:color w:val="auto"/>
          <w:kern w:val="0"/>
          <w:sz w:val="22"/>
          <w:szCs w:val="22"/>
          <w:highlight w:val="none"/>
        </w:rPr>
        <w:t>进行公开招标，特通知贵公司（企业）前来投标。并请按招标文件的要求认真准备好投标文件，按时前来投标。</w:t>
      </w:r>
    </w:p>
    <w:tbl>
      <w:tblPr>
        <w:tblStyle w:val="8"/>
        <w:tblW w:w="0" w:type="auto"/>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57" w:type="dxa"/>
          <w:left w:w="108" w:type="dxa"/>
          <w:bottom w:w="57" w:type="dxa"/>
          <w:right w:w="108" w:type="dxa"/>
        </w:tblCellMar>
      </w:tblPr>
      <w:tblGrid>
        <w:gridCol w:w="842"/>
        <w:gridCol w:w="1553"/>
        <w:gridCol w:w="7776"/>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序号</w:t>
            </w: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内容</w:t>
            </w:r>
          </w:p>
        </w:tc>
        <w:tc>
          <w:tcPr>
            <w:tcW w:w="7776"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说明与要求</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项目名称</w:t>
            </w:r>
          </w:p>
        </w:tc>
        <w:tc>
          <w:tcPr>
            <w:tcW w:w="7776" w:type="dxa"/>
            <w:vAlign w:val="center"/>
          </w:tcPr>
          <w:p>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平阳县瑞苍高速公路平阳段工程萧江镇淡浦安置地块（凤头B-15、凤头B-25）全过程咨询服务</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项目编号</w:t>
            </w:r>
          </w:p>
        </w:tc>
        <w:tc>
          <w:tcPr>
            <w:tcW w:w="7776" w:type="dxa"/>
            <w:vAlign w:val="center"/>
          </w:tcPr>
          <w:p>
            <w:pPr>
              <w:spacing w:line="360" w:lineRule="auto"/>
              <w:rPr>
                <w:rFonts w:hint="eastAsia"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 xml:space="preserve">PYCG230926092 </w:t>
            </w:r>
            <w:r>
              <w:rPr>
                <w:rFonts w:hint="eastAsia" w:ascii="宋体" w:hAnsi="宋体" w:eastAsia="宋体"/>
                <w:color w:val="auto"/>
                <w:sz w:val="22"/>
                <w:szCs w:val="22"/>
                <w:highlight w:val="none"/>
                <w:lang w:val="en-US" w:eastAsia="zh-CN"/>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ind w:firstLine="220" w:firstLineChars="100"/>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资金来源</w:t>
            </w:r>
          </w:p>
        </w:tc>
        <w:tc>
          <w:tcPr>
            <w:tcW w:w="7776" w:type="dxa"/>
            <w:vAlign w:val="center"/>
          </w:tcPr>
          <w:p>
            <w:pPr>
              <w:spacing w:line="360" w:lineRule="auto"/>
              <w:rPr>
                <w:rFonts w:hint="eastAsia" w:ascii="宋体" w:hAnsi="宋体" w:eastAsia="宋体"/>
                <w:color w:val="auto"/>
                <w:sz w:val="22"/>
                <w:szCs w:val="22"/>
                <w:highlight w:val="none"/>
                <w:lang w:eastAsia="zh-CN"/>
              </w:rPr>
            </w:pPr>
            <w:r>
              <w:rPr>
                <w:rFonts w:hint="eastAsia" w:ascii="宋体" w:hAnsi="宋体" w:eastAsia="宋体"/>
                <w:color w:val="auto"/>
                <w:sz w:val="22"/>
                <w:szCs w:val="22"/>
                <w:highlight w:val="none"/>
                <w:lang w:eastAsia="zh-CN"/>
              </w:rPr>
              <w:t>其他资金</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5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采购预算</w:t>
            </w:r>
          </w:p>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（最高限价）</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具体见招标公告</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采购方式</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公开招标</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采购人</w:t>
            </w:r>
          </w:p>
        </w:tc>
        <w:tc>
          <w:tcPr>
            <w:tcW w:w="7776" w:type="dxa"/>
            <w:vAlign w:val="center"/>
          </w:tcPr>
          <w:p>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采购人：平阳县萧江新农村建设投资有限公司</w:t>
            </w:r>
          </w:p>
          <w:p>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采购人地址：温州市平阳县渡西路与永乐路交叉路口往西约50米</w:t>
            </w:r>
          </w:p>
          <w:p>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联 系 人：</w:t>
            </w:r>
            <w:r>
              <w:rPr>
                <w:rFonts w:hint="eastAsia" w:ascii="宋体" w:hAnsi="宋体"/>
                <w:color w:val="auto"/>
                <w:sz w:val="22"/>
                <w:szCs w:val="22"/>
                <w:highlight w:val="none"/>
                <w:lang w:val="en-US" w:eastAsia="zh-CN"/>
              </w:rPr>
              <w:t>章先生</w:t>
            </w:r>
            <w:r>
              <w:rPr>
                <w:rFonts w:hint="eastAsia" w:ascii="宋体" w:hAnsi="宋体"/>
                <w:color w:val="auto"/>
                <w:sz w:val="22"/>
                <w:szCs w:val="22"/>
                <w:highlight w:val="none"/>
                <w:lang w:eastAsia="zh-CN"/>
              </w:rPr>
              <w:t xml:space="preserve"> </w:t>
            </w:r>
          </w:p>
          <w:p>
            <w:pPr>
              <w:spacing w:line="360" w:lineRule="auto"/>
              <w:rPr>
                <w:rFonts w:hint="eastAsia" w:ascii="宋体" w:hAnsi="宋体" w:eastAsia="宋体"/>
                <w:color w:val="auto"/>
                <w:sz w:val="22"/>
                <w:szCs w:val="22"/>
                <w:highlight w:val="none"/>
                <w:lang w:val="en-US" w:eastAsia="zh-CN"/>
              </w:rPr>
            </w:pPr>
            <w:r>
              <w:rPr>
                <w:rFonts w:hint="eastAsia" w:ascii="宋体" w:hAnsi="宋体"/>
                <w:color w:val="auto"/>
                <w:sz w:val="22"/>
                <w:szCs w:val="22"/>
                <w:highlight w:val="none"/>
                <w:lang w:eastAsia="zh-CN"/>
              </w:rPr>
              <w:t>联系电话：0577</w:t>
            </w:r>
            <w:r>
              <w:rPr>
                <w:rFonts w:hint="eastAsia" w:ascii="宋体" w:hAnsi="宋体"/>
                <w:color w:val="auto"/>
                <w:sz w:val="22"/>
                <w:szCs w:val="22"/>
                <w:highlight w:val="none"/>
                <w:lang w:val="en-US" w:eastAsia="zh-CN"/>
              </w:rPr>
              <w:t>-</w:t>
            </w:r>
            <w:r>
              <w:rPr>
                <w:rFonts w:hint="eastAsia" w:ascii="宋体" w:hAnsi="宋体"/>
                <w:color w:val="auto"/>
                <w:sz w:val="22"/>
                <w:szCs w:val="22"/>
                <w:highlight w:val="none"/>
                <w:lang w:eastAsia="zh-CN"/>
              </w:rPr>
              <w:t>58127051</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采购代理机构</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代理机构名称：浙江品信工程项目管理有限公司</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机构地址：</w:t>
            </w:r>
            <w:r>
              <w:rPr>
                <w:rFonts w:hint="eastAsia" w:ascii="宋体" w:hAnsi="宋体"/>
                <w:color w:val="auto"/>
                <w:kern w:val="0"/>
                <w:sz w:val="22"/>
                <w:szCs w:val="22"/>
                <w:highlight w:val="none"/>
              </w:rPr>
              <w:t>温州市平阳县鳌江镇玉莲村鞋业园区A区10幢新厂房二楼</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 系 人：</w:t>
            </w:r>
            <w:r>
              <w:rPr>
                <w:rFonts w:hint="eastAsia" w:ascii="宋体" w:hAnsi="宋体"/>
                <w:color w:val="auto"/>
                <w:kern w:val="0"/>
                <w:sz w:val="22"/>
                <w:szCs w:val="22"/>
                <w:highlight w:val="none"/>
              </w:rPr>
              <w:t>吴女士</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联系电话：0577-63682718、15669781333</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传真：0577-63682718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评标办法</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综合评分法</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招标内容</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具体内容见招标文件</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投标供应商</w:t>
            </w:r>
          </w:p>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资格要求</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详见招标公告</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是否接受联合体投标</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不接受</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踏勘现场</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position w:val="2"/>
                <w:sz w:val="22"/>
                <w:szCs w:val="22"/>
                <w:highlight w:val="none"/>
              </w:rPr>
              <w:instrText xml:space="preserve">√</w:instrText>
            </w:r>
            <w:r>
              <w:rPr>
                <w:rFonts w:hint="eastAsia" w:ascii="宋体" w:hAnsi="宋体"/>
                <w:color w:val="auto"/>
                <w:sz w:val="22"/>
                <w:szCs w:val="22"/>
                <w:highlight w:val="none"/>
              </w:rPr>
              <w:instrText xml:space="preserve">)</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不组织</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是否允许递交备选投标方案</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position w:val="2"/>
                <w:sz w:val="22"/>
                <w:szCs w:val="22"/>
                <w:highlight w:val="none"/>
              </w:rPr>
              <w:instrText xml:space="preserve">√</w:instrText>
            </w:r>
            <w:r>
              <w:rPr>
                <w:rFonts w:hint="eastAsia" w:ascii="宋体" w:hAnsi="宋体"/>
                <w:color w:val="auto"/>
                <w:sz w:val="22"/>
                <w:szCs w:val="22"/>
                <w:highlight w:val="none"/>
              </w:rPr>
              <w:instrText xml:space="preserve">)</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不允许</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投标货币</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人民币</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投标语言</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中文</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投标文件的组成</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完整的《投标文件》由“资格文件”、“报价文件”和“商务技术文件”三个部分组成。</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投标文件的编制</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供应商应先安装“政采云电子交易客户端”，并按照本招标文件和“政府采购云平台”的要求，通过“政采云电子交易客户端”编制并加密投标文件。</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签字或盖章要求</w:t>
            </w:r>
          </w:p>
        </w:tc>
        <w:tc>
          <w:tcPr>
            <w:tcW w:w="7776" w:type="dxa"/>
            <w:vAlign w:val="center"/>
          </w:tcPr>
          <w:p>
            <w:pPr>
              <w:snapToGrid w:val="0"/>
              <w:spacing w:line="360" w:lineRule="auto"/>
              <w:rPr>
                <w:rFonts w:hint="eastAsia" w:ascii="宋体" w:hAnsi="宋体"/>
                <w:b/>
                <w:color w:val="auto"/>
                <w:sz w:val="22"/>
                <w:szCs w:val="22"/>
                <w:highlight w:val="none"/>
                <w:lang w:bidi="ar"/>
              </w:rPr>
            </w:pPr>
            <w:r>
              <w:rPr>
                <w:rFonts w:hint="eastAsia" w:ascii="宋体" w:hAnsi="宋体"/>
                <w:b/>
                <w:color w:val="auto"/>
                <w:sz w:val="22"/>
                <w:szCs w:val="22"/>
                <w:highlight w:val="none"/>
                <w:lang w:bidi="ar"/>
              </w:rPr>
              <w:t>电子签章。</w:t>
            </w:r>
            <w:r>
              <w:rPr>
                <w:rFonts w:hint="eastAsia" w:ascii="宋体" w:hAnsi="宋体"/>
                <w:color w:val="auto"/>
                <w:sz w:val="22"/>
                <w:szCs w:val="22"/>
                <w:highlight w:val="none"/>
              </w:rPr>
              <w:t>采购文件所指的加盖单位公章为电子签章。</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投标文件须按采购文件格式要求，由供应商加盖单位公章和法定代表人或其授权代表印章（或签字）。</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投标文件的形式</w:t>
            </w:r>
          </w:p>
        </w:tc>
        <w:tc>
          <w:tcPr>
            <w:tcW w:w="7776" w:type="dxa"/>
            <w:vAlign w:val="center"/>
          </w:tcPr>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电子投标文件（包括“电子加密投标文件”和“备份投标文件”，在投标文件编制完成后同时生成）；</w:t>
            </w:r>
          </w:p>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（1）“电子加密投标文件”是指通过“政采云电子交易客户端”完成投标文件编制后生成并加密的数据电文形式的投标文件。</w:t>
            </w:r>
          </w:p>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（2）“备份投标文件”是指与“电子加密投标文件”同时生成的数据电文形式的电子文件（备份标书），</w:t>
            </w:r>
            <w:r>
              <w:rPr>
                <w:rFonts w:hint="eastAsia" w:ascii="宋体" w:hAnsi="宋体"/>
                <w:b/>
                <w:bCs/>
                <w:color w:val="auto"/>
                <w:sz w:val="22"/>
                <w:szCs w:val="22"/>
                <w:highlight w:val="none"/>
              </w:rPr>
              <w:t>其他方式编制的备份投标文件视为无效备份投标文件。</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投标文件份数</w:t>
            </w:r>
          </w:p>
        </w:tc>
        <w:tc>
          <w:tcPr>
            <w:tcW w:w="7776" w:type="dxa"/>
            <w:vAlign w:val="center"/>
          </w:tcPr>
          <w:p>
            <w:pPr>
              <w:pStyle w:val="32"/>
              <w:tabs>
                <w:tab w:val="right" w:leader="dot" w:pos="9118"/>
              </w:tabs>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（1）“电子加密投标文件”：在线上传递交、一份。（2）“备份投标文件”：密封包装后（邮寄形式投标截止时间前递交、一份</w:t>
            </w:r>
            <w:r>
              <w:rPr>
                <w:rFonts w:hint="eastAsia" w:ascii="宋体" w:hAnsi="宋体" w:eastAsia="宋体"/>
                <w:color w:val="auto"/>
                <w:sz w:val="22"/>
                <w:szCs w:val="22"/>
                <w:highlight w:val="none"/>
              </w:rPr>
              <w:t>（邮寄地址：</w:t>
            </w:r>
            <w:r>
              <w:rPr>
                <w:rFonts w:hint="eastAsia" w:ascii="宋体" w:hAnsi="宋体" w:eastAsia="宋体"/>
                <w:color w:val="auto"/>
                <w:sz w:val="22"/>
                <w:szCs w:val="22"/>
                <w:highlight w:val="none"/>
                <w:lang w:eastAsia="zh-CN"/>
              </w:rPr>
              <w:t>温州市平阳县鳌江镇玉莲村鞋业园区A区10幢新厂房二楼（浙江品信工程项目管理有限公司）</w:t>
            </w:r>
            <w:r>
              <w:rPr>
                <w:rFonts w:hint="eastAsia" w:ascii="宋体" w:hAnsi="宋体" w:eastAsia="宋体"/>
                <w:color w:val="auto"/>
                <w:sz w:val="22"/>
                <w:szCs w:val="22"/>
                <w:highlight w:val="none"/>
              </w:rPr>
              <w:t>吴女士收 0577-63682718、15669781333））。</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投标文件的上传和递交</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（1）“电子加密投标文件”的上传、递交：</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a.投标供应商应在投标截止时间前将“电子加密投标文件”成功上传递交至“政府采购云平台”，否则投标无效。</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b.“电子加密投标文件”成功上传递交后，供应商可自行打印投标文件接收回执。</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（2）“备份投标文件”的密封包装、递交：</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a.投标供应商在“政府采购云平台”完成“电子加密投标文件”的上传递交后，还可以（邮寄形式）在投标截止时间前递交以介质（U盘）存储的 “备份投标文件”（一份）；</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电子加密投标文件的解密和异常情况处理</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（3）投标截止时间前，投标供应商仅递交了“备份投标文件”而未将电子加密投标文件上传至“政府采购云平台”的，投标无效。</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投标有效期</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提交投标文件截止日起90天内</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投标样品</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需要</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不需要</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履约担保</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position w:val="2"/>
                <w:sz w:val="15"/>
                <w:szCs w:val="22"/>
                <w:highlight w:val="none"/>
              </w:rPr>
              <w:instrText xml:space="preserve">√</w:instrText>
            </w:r>
            <w:r>
              <w:rPr>
                <w:rFonts w:hint="eastAsia" w:ascii="宋体" w:hAnsi="宋体"/>
                <w:color w:val="auto"/>
                <w:sz w:val="22"/>
                <w:szCs w:val="22"/>
                <w:highlight w:val="none"/>
              </w:rPr>
              <w:instrText xml:space="preserve">)</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需要</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不需要</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投标保证金</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eq \o\ac(□)</w:instrText>
            </w:r>
            <w:r>
              <w:rPr>
                <w:rFonts w:hint="eastAsia" w:ascii="宋体" w:hAnsi="宋体"/>
                <w:color w:val="auto"/>
                <w:sz w:val="22"/>
                <w:szCs w:val="22"/>
                <w:highlight w:val="none"/>
              </w:rPr>
              <w:fldChar w:fldCharType="end"/>
            </w:r>
            <w:r>
              <w:rPr>
                <w:rFonts w:hint="eastAsia" w:ascii="宋体" w:hAnsi="宋体"/>
                <w:color w:val="auto"/>
                <w:sz w:val="22"/>
                <w:szCs w:val="22"/>
                <w:highlight w:val="none"/>
              </w:rPr>
              <w:t>需要</w:t>
            </w:r>
          </w:p>
          <w:p>
            <w:pPr>
              <w:spacing w:line="360" w:lineRule="auto"/>
              <w:rPr>
                <w:rFonts w:hint="eastAsia" w:ascii="宋体" w:hAnsi="宋体"/>
                <w:b/>
                <w:color w:val="auto"/>
                <w:sz w:val="22"/>
                <w:szCs w:val="22"/>
                <w:highlight w:val="none"/>
              </w:rPr>
            </w:pPr>
            <w:r>
              <w:rPr>
                <w:rFonts w:hint="eastAsia" w:ascii="宋体" w:hAnsi="宋体"/>
                <w:b/>
                <w:color w:val="auto"/>
                <w:sz w:val="22"/>
                <w:szCs w:val="22"/>
                <w:highlight w:val="none"/>
              </w:rPr>
              <w:fldChar w:fldCharType="begin"/>
            </w:r>
            <w:r>
              <w:rPr>
                <w:rFonts w:hint="eastAsia" w:ascii="宋体" w:hAnsi="宋体"/>
                <w:b/>
                <w:color w:val="auto"/>
                <w:sz w:val="22"/>
                <w:szCs w:val="22"/>
                <w:highlight w:val="none"/>
              </w:rPr>
              <w:instrText xml:space="preserve"> eq \o\ac(□</w:instrText>
            </w:r>
            <w:r>
              <w:rPr>
                <w:rFonts w:hint="eastAsia" w:ascii="宋体" w:hAnsi="宋体"/>
                <w:b/>
                <w:color w:val="auto"/>
                <w:sz w:val="22"/>
                <w:szCs w:val="22"/>
                <w:highlight w:val="none"/>
                <w:lang w:eastAsia="zh-CN"/>
              </w:rPr>
              <w:instrText xml:space="preserve">,</w:instrText>
            </w:r>
            <w:r>
              <w:rPr>
                <w:rFonts w:hint="eastAsia" w:ascii="宋体" w:hAnsi="宋体"/>
                <w:b/>
                <w:color w:val="auto"/>
                <w:position w:val="2"/>
                <w:sz w:val="15"/>
                <w:szCs w:val="22"/>
                <w:highlight w:val="none"/>
                <w:lang w:eastAsia="zh-CN"/>
              </w:rPr>
              <w:instrText xml:space="preserve">√</w:instrText>
            </w:r>
            <w:r>
              <w:rPr>
                <w:rFonts w:hint="eastAsia" w:ascii="宋体" w:hAnsi="宋体"/>
                <w:b/>
                <w:color w:val="auto"/>
                <w:sz w:val="22"/>
                <w:szCs w:val="22"/>
                <w:highlight w:val="none"/>
              </w:rPr>
              <w:instrText xml:space="preserve">)</w:instrText>
            </w:r>
            <w:r>
              <w:rPr>
                <w:rFonts w:hint="eastAsia" w:ascii="宋体" w:hAnsi="宋体"/>
                <w:b/>
                <w:color w:val="auto"/>
                <w:sz w:val="22"/>
                <w:szCs w:val="22"/>
                <w:highlight w:val="none"/>
              </w:rPr>
              <w:fldChar w:fldCharType="end"/>
            </w:r>
            <w:r>
              <w:rPr>
                <w:rFonts w:hint="eastAsia" w:ascii="宋体" w:hAnsi="宋体"/>
                <w:b/>
                <w:color w:val="auto"/>
                <w:sz w:val="22"/>
                <w:szCs w:val="22"/>
                <w:highlight w:val="none"/>
              </w:rPr>
              <w:t>不需要</w:t>
            </w:r>
            <w:r>
              <w:rPr>
                <w:rFonts w:hint="eastAsia" w:ascii="宋体" w:hAnsi="宋体"/>
                <w:color w:val="auto"/>
                <w:sz w:val="22"/>
                <w:szCs w:val="22"/>
                <w:highlight w:val="none"/>
              </w:rPr>
              <w:t>，详见招标公告</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485"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napToGrid w:val="0"/>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质疑受理联系方式</w:t>
            </w:r>
          </w:p>
        </w:tc>
        <w:tc>
          <w:tcPr>
            <w:tcW w:w="7776" w:type="dxa"/>
            <w:vAlign w:val="center"/>
          </w:tcPr>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代理机构名称：浙江品信工程项目管理有限公司</w:t>
            </w:r>
          </w:p>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机构地址：温州市平阳县鳌江镇玉莲村鞋业园区A区10幢新厂房二楼</w:t>
            </w:r>
          </w:p>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 系 人：吴女士</w:t>
            </w:r>
          </w:p>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联系电话：0577-63682718、15669781333</w:t>
            </w:r>
          </w:p>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传真：0577-63682718</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napToGrid w:val="0"/>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投诉</w:t>
            </w:r>
          </w:p>
        </w:tc>
        <w:tc>
          <w:tcPr>
            <w:tcW w:w="7776" w:type="dxa"/>
            <w:vAlign w:val="center"/>
          </w:tcPr>
          <w:p>
            <w:pPr>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根据《平阳县县属国有企业采购管理办法（试行）》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napToGrid w:val="0"/>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投诉受理联系方式</w:t>
            </w:r>
          </w:p>
        </w:tc>
        <w:tc>
          <w:tcPr>
            <w:tcW w:w="7776" w:type="dxa"/>
            <w:vAlign w:val="center"/>
          </w:tcPr>
          <w:p>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同级采购监督管理部门名称：平阳县萧江新农村建设投资有限公司</w:t>
            </w:r>
          </w:p>
          <w:p>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联系人：金先生</w:t>
            </w:r>
          </w:p>
          <w:p>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监督投诉电话：13868335187</w:t>
            </w:r>
          </w:p>
          <w:p>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传真：/</w:t>
            </w:r>
          </w:p>
          <w:p>
            <w:pPr>
              <w:widowControl/>
              <w:snapToGrid w:val="0"/>
              <w:spacing w:line="480" w:lineRule="exact"/>
              <w:jc w:val="left"/>
              <w:rPr>
                <w:rFonts w:hint="eastAsia" w:ascii="宋体" w:hAnsi="宋体" w:eastAsia="宋体"/>
                <w:color w:val="auto"/>
                <w:kern w:val="0"/>
                <w:sz w:val="22"/>
                <w:szCs w:val="22"/>
                <w:highlight w:val="none"/>
                <w:lang w:eastAsia="zh-CN"/>
              </w:rPr>
            </w:pPr>
            <w:r>
              <w:rPr>
                <w:rFonts w:hint="eastAsia" w:ascii="宋体" w:hAnsi="宋体" w:eastAsia="宋体"/>
                <w:color w:val="auto"/>
                <w:kern w:val="0"/>
                <w:sz w:val="22"/>
                <w:szCs w:val="22"/>
                <w:highlight w:val="none"/>
                <w:lang w:eastAsia="zh-CN"/>
              </w:rPr>
              <w:t>地址:温州市平阳县渡西路与永乐路交叉路口往西约50米</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投标截止时间</w:t>
            </w:r>
          </w:p>
        </w:tc>
        <w:tc>
          <w:tcPr>
            <w:tcW w:w="7776" w:type="dxa"/>
            <w:vAlign w:val="center"/>
          </w:tcPr>
          <w:p>
            <w:pPr>
              <w:spacing w:line="360" w:lineRule="auto"/>
              <w:rPr>
                <w:rFonts w:hint="eastAsia" w:ascii="宋体" w:hAnsi="宋体"/>
                <w:color w:val="auto"/>
                <w:sz w:val="22"/>
                <w:szCs w:val="22"/>
                <w:highlight w:val="none"/>
                <w:lang w:eastAsia="zh-CN"/>
              </w:rPr>
            </w:pPr>
            <w:r>
              <w:rPr>
                <w:rFonts w:hint="eastAsia" w:ascii="宋体" w:hAnsi="宋体"/>
                <w:color w:val="auto"/>
                <w:sz w:val="22"/>
                <w:szCs w:val="22"/>
                <w:highlight w:val="none"/>
                <w:shd w:val="clear" w:color="auto" w:fill="FFFFFF"/>
                <w:lang w:eastAsia="zh-CN"/>
              </w:rPr>
              <w:t>2023年</w:t>
            </w:r>
            <w:r>
              <w:rPr>
                <w:rFonts w:hint="eastAsia" w:ascii="宋体" w:hAnsi="宋体"/>
                <w:color w:val="auto"/>
                <w:sz w:val="22"/>
                <w:szCs w:val="22"/>
                <w:highlight w:val="none"/>
                <w:shd w:val="clear" w:color="auto" w:fill="FFFFFF"/>
                <w:lang w:val="en-US" w:eastAsia="zh-CN"/>
              </w:rPr>
              <w:t>10</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lang w:val="en-US" w:eastAsia="zh-CN"/>
              </w:rPr>
              <w:t>上午09</w:t>
            </w:r>
            <w:r>
              <w:rPr>
                <w:rFonts w:hint="eastAsia" w:ascii="宋体" w:hAnsi="宋体"/>
                <w:color w:val="auto"/>
                <w:sz w:val="22"/>
                <w:szCs w:val="22"/>
                <w:highlight w:val="none"/>
              </w:rPr>
              <w:t>：30截止(北京时间)。</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开标时间</w:t>
            </w:r>
          </w:p>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评审地点</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开标时间：</w:t>
            </w:r>
            <w:r>
              <w:rPr>
                <w:rFonts w:hint="eastAsia" w:ascii="宋体" w:hAnsi="宋体"/>
                <w:color w:val="auto"/>
                <w:sz w:val="22"/>
                <w:szCs w:val="22"/>
                <w:highlight w:val="none"/>
                <w:shd w:val="clear" w:color="auto" w:fill="FFFFFF"/>
                <w:lang w:eastAsia="zh-CN"/>
              </w:rPr>
              <w:t>2023年</w:t>
            </w:r>
            <w:r>
              <w:rPr>
                <w:rFonts w:hint="eastAsia" w:ascii="宋体" w:hAnsi="宋体"/>
                <w:color w:val="auto"/>
                <w:sz w:val="22"/>
                <w:szCs w:val="22"/>
                <w:highlight w:val="none"/>
                <w:shd w:val="clear" w:color="auto" w:fill="FFFFFF"/>
                <w:lang w:val="en-US" w:eastAsia="zh-CN"/>
              </w:rPr>
              <w:t>10</w:t>
            </w:r>
            <w:r>
              <w:rPr>
                <w:rFonts w:hint="eastAsia" w:ascii="宋体" w:hAnsi="宋体"/>
                <w:color w:val="auto"/>
                <w:sz w:val="22"/>
                <w:szCs w:val="22"/>
                <w:highlight w:val="none"/>
                <w:shd w:val="clear" w:color="auto" w:fill="FFFFFF"/>
                <w:lang w:eastAsia="zh-CN"/>
              </w:rPr>
              <w:t>月</w:t>
            </w:r>
            <w:r>
              <w:rPr>
                <w:rFonts w:hint="eastAsia" w:ascii="宋体" w:hAnsi="宋体"/>
                <w:color w:val="auto"/>
                <w:sz w:val="22"/>
                <w:szCs w:val="22"/>
                <w:highlight w:val="none"/>
                <w:shd w:val="clear" w:color="auto" w:fill="FFFFFF"/>
                <w:lang w:val="en-US" w:eastAsia="zh-CN"/>
              </w:rPr>
              <w:t>25</w:t>
            </w:r>
            <w:r>
              <w:rPr>
                <w:rFonts w:hint="eastAsia" w:ascii="宋体" w:hAnsi="宋体"/>
                <w:color w:val="auto"/>
                <w:sz w:val="22"/>
                <w:szCs w:val="22"/>
                <w:highlight w:val="none"/>
                <w:shd w:val="clear" w:color="auto" w:fill="FFFFFF"/>
                <w:lang w:eastAsia="zh-CN"/>
              </w:rPr>
              <w:t>日</w:t>
            </w:r>
            <w:r>
              <w:rPr>
                <w:rFonts w:hint="eastAsia" w:ascii="宋体" w:hAnsi="宋体"/>
                <w:color w:val="auto"/>
                <w:sz w:val="22"/>
                <w:szCs w:val="22"/>
                <w:highlight w:val="none"/>
                <w:lang w:val="en-US" w:eastAsia="zh-CN"/>
              </w:rPr>
              <w:t>上午09</w:t>
            </w:r>
            <w:r>
              <w:rPr>
                <w:rFonts w:hint="eastAsia" w:ascii="宋体" w:hAnsi="宋体"/>
                <w:color w:val="auto"/>
                <w:sz w:val="22"/>
                <w:szCs w:val="22"/>
                <w:highlight w:val="none"/>
              </w:rPr>
              <w:t>：30</w:t>
            </w:r>
            <w:r>
              <w:rPr>
                <w:rFonts w:hint="eastAsia" w:ascii="宋体" w:hAnsi="宋体"/>
                <w:i/>
                <w:color w:val="auto"/>
                <w:sz w:val="22"/>
                <w:szCs w:val="22"/>
                <w:highlight w:val="none"/>
              </w:rPr>
              <w:t xml:space="preserve">正 </w:t>
            </w:r>
            <w:r>
              <w:rPr>
                <w:rFonts w:hint="eastAsia" w:ascii="宋体" w:hAnsi="宋体"/>
                <w:color w:val="auto"/>
                <w:sz w:val="22"/>
                <w:szCs w:val="22"/>
                <w:highlight w:val="none"/>
              </w:rPr>
              <w:t>(北京时间)</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开标地点：平阳县公共资源交易中心三楼评标室（平阳县鳌江镇火车站大道和谐家园三楼）。</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评审委员会的</w:t>
            </w:r>
          </w:p>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组建</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评标委员会构成：采购人依法组建，成员人数应当为</w:t>
            </w: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人及以上单数，其中评审专家不得少于成员总数的三分之二；评审专家确定方式：按相关规定从专家库中抽取。</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政府采购</w:t>
            </w:r>
          </w:p>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扶持政策</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1、对符合财政扶持政策的小微企业（或监狱企业、残疾人福利性单位）给予评标价格优惠。</w:t>
            </w:r>
            <w:bookmarkStart w:id="599" w:name="_GoBack"/>
            <w:bookmarkEnd w:id="599"/>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供应商信用查询</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1、投标供应商信用信息查询的查询渠道：“信用中国”(</w:t>
            </w: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HYPERLINK "http://www.creditchina.gov.cn" </w:instrText>
            </w:r>
            <w:r>
              <w:rPr>
                <w:rFonts w:hint="eastAsia" w:ascii="宋体" w:hAnsi="宋体"/>
                <w:color w:val="auto"/>
                <w:sz w:val="22"/>
                <w:szCs w:val="22"/>
                <w:highlight w:val="none"/>
              </w:rPr>
              <w:fldChar w:fldCharType="separate"/>
            </w:r>
            <w:r>
              <w:rPr>
                <w:rFonts w:hint="eastAsia" w:ascii="宋体" w:hAnsi="宋体"/>
                <w:color w:val="auto"/>
                <w:sz w:val="22"/>
                <w:szCs w:val="22"/>
                <w:highlight w:val="none"/>
              </w:rPr>
              <w:t>www.creditchina.gov.cn</w:t>
            </w:r>
            <w:r>
              <w:rPr>
                <w:rFonts w:hint="eastAsia" w:ascii="宋体" w:hAnsi="宋体"/>
                <w:color w:val="auto"/>
                <w:sz w:val="22"/>
                <w:szCs w:val="22"/>
                <w:highlight w:val="none"/>
              </w:rPr>
              <w:fldChar w:fldCharType="end"/>
            </w:r>
            <w:r>
              <w:rPr>
                <w:rFonts w:hint="eastAsia" w:ascii="宋体" w:hAnsi="宋体"/>
                <w:color w:val="auto"/>
                <w:sz w:val="22"/>
                <w:szCs w:val="22"/>
                <w:highlight w:val="none"/>
              </w:rPr>
              <w:t>)；“中国政府采购网”（http://www.ccgp.gov.cn/）；</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2、投标供应商信用信息查询截止时点：至本项目投标截止时间前均可。</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3、投标供应商信用信息查询记录和证据留存的具体方式：网页截图打印；</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4、信用信息的使用规则：截止评标当日，经查询“信用中国”等网站，存在列入失信被执行人、重大税收违法案件当事人名单、政府采购严重违法失信行为记录名单及其他不符合《平阳县县属国有企业采购管理办法（试行）》第十四条规定条件的供应商，其投标做无效投标处理。</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合同备案</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1、中标供应商须在中标通知书发出之日起30日内与采购人签订合同。</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2、中标供应商与采购人签订合同后，2日历天内将合同扫描件电子版发给浙江品信工程项目管理有限公司：邮箱：</w:t>
            </w:r>
            <w:r>
              <w:rPr>
                <w:rStyle w:val="49"/>
                <w:rFonts w:hint="eastAsia" w:ascii="宋体" w:hAnsi="宋体"/>
                <w:color w:val="auto"/>
                <w:sz w:val="22"/>
                <w:szCs w:val="22"/>
                <w:highlight w:val="none"/>
                <w:lang w:eastAsia="zh-CN"/>
              </w:rPr>
              <w:t>976229703@qq.com</w:t>
            </w:r>
            <w:r>
              <w:rPr>
                <w:rFonts w:hint="eastAsia" w:ascii="宋体" w:hAnsi="宋体"/>
                <w:color w:val="auto"/>
                <w:sz w:val="22"/>
                <w:szCs w:val="22"/>
                <w:highlight w:val="none"/>
              </w:rPr>
              <w:t>；</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3、本项目国企采购合同按规定在浙江政府采购网（</w:t>
            </w:r>
            <w:r>
              <w:rPr>
                <w:rFonts w:hint="eastAsia" w:ascii="宋体" w:hAnsi="宋体"/>
                <w:color w:val="auto"/>
                <w:sz w:val="22"/>
                <w:szCs w:val="22"/>
                <w:highlight w:val="none"/>
              </w:rPr>
              <w:fldChar w:fldCharType="begin"/>
            </w:r>
            <w:r>
              <w:rPr>
                <w:rFonts w:hint="eastAsia" w:ascii="宋体" w:hAnsi="宋体"/>
                <w:color w:val="auto"/>
                <w:sz w:val="22"/>
                <w:szCs w:val="22"/>
                <w:highlight w:val="none"/>
              </w:rPr>
              <w:instrText xml:space="preserve"> HYPERLINK "http://www.zjzfcg.gov.cn" </w:instrText>
            </w:r>
            <w:r>
              <w:rPr>
                <w:rFonts w:hint="eastAsia" w:ascii="宋体" w:hAnsi="宋体"/>
                <w:color w:val="auto"/>
                <w:sz w:val="22"/>
                <w:szCs w:val="22"/>
                <w:highlight w:val="none"/>
              </w:rPr>
              <w:fldChar w:fldCharType="separate"/>
            </w:r>
            <w:r>
              <w:rPr>
                <w:rFonts w:hint="eastAsia" w:ascii="宋体" w:hAnsi="宋体"/>
                <w:color w:val="auto"/>
                <w:sz w:val="22"/>
                <w:szCs w:val="22"/>
                <w:highlight w:val="none"/>
              </w:rPr>
              <w:t>http://www.zjzfcg.gov.cn</w:t>
            </w:r>
            <w:r>
              <w:rPr>
                <w:rFonts w:hint="eastAsia" w:ascii="宋体" w:hAnsi="宋体"/>
                <w:color w:val="auto"/>
                <w:sz w:val="22"/>
                <w:szCs w:val="22"/>
                <w:highlight w:val="none"/>
              </w:rPr>
              <w:fldChar w:fldCharType="end"/>
            </w:r>
            <w:r>
              <w:rPr>
                <w:rFonts w:hint="eastAsia" w:ascii="宋体" w:hAnsi="宋体"/>
                <w:color w:val="auto"/>
                <w:sz w:val="22"/>
                <w:szCs w:val="22"/>
                <w:highlight w:val="none"/>
              </w:rPr>
              <w:t>）予以公告。</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合同履约管理</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免则声明</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解释权</w:t>
            </w:r>
          </w:p>
        </w:tc>
        <w:tc>
          <w:tcPr>
            <w:tcW w:w="7776" w:type="dxa"/>
            <w:vAlign w:val="center"/>
          </w:tcPr>
          <w:p>
            <w:pPr>
              <w:spacing w:line="360" w:lineRule="auto"/>
              <w:rPr>
                <w:rFonts w:hint="eastAsia" w:ascii="宋体" w:hAnsi="宋体"/>
                <w:color w:val="auto"/>
                <w:sz w:val="22"/>
                <w:szCs w:val="22"/>
                <w:highlight w:val="none"/>
              </w:rPr>
            </w:pPr>
            <w:r>
              <w:rPr>
                <w:rFonts w:hint="eastAsia" w:ascii="宋体" w:hAnsi="宋体"/>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clear" w:pos="720"/>
              </w:tabs>
              <w:spacing w:line="360" w:lineRule="auto"/>
              <w:ind w:left="420" w:hanging="420"/>
              <w:jc w:val="right"/>
              <w:rPr>
                <w:rFonts w:hint="eastAsia" w:ascii="宋体" w:hAnsi="宋体"/>
                <w:color w:val="auto"/>
                <w:sz w:val="22"/>
                <w:szCs w:val="22"/>
                <w:highlight w:val="none"/>
              </w:rPr>
            </w:pPr>
          </w:p>
        </w:tc>
        <w:tc>
          <w:tcPr>
            <w:tcW w:w="1553" w:type="dxa"/>
            <w:vAlign w:val="center"/>
          </w:tcPr>
          <w:p>
            <w:pPr>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特别说明</w:t>
            </w:r>
          </w:p>
        </w:tc>
        <w:tc>
          <w:tcPr>
            <w:tcW w:w="7776" w:type="dxa"/>
            <w:vAlign w:val="center"/>
          </w:tcPr>
          <w:p>
            <w:pPr>
              <w:snapToGrid w:val="0"/>
              <w:spacing w:line="360" w:lineRule="auto"/>
              <w:rPr>
                <w:rFonts w:hint="eastAsia" w:ascii="宋体" w:hAnsi="宋体"/>
                <w:b/>
                <w:color w:val="auto"/>
                <w:sz w:val="22"/>
                <w:szCs w:val="22"/>
                <w:highlight w:val="none"/>
              </w:rPr>
            </w:pPr>
            <w:r>
              <w:rPr>
                <w:rFonts w:hint="eastAsia" w:ascii="宋体" w:hAnsi="宋体"/>
                <w:b/>
                <w:color w:val="auto"/>
                <w:sz w:val="22"/>
                <w:szCs w:val="22"/>
                <w:highlight w:val="none"/>
              </w:rPr>
              <w:t>▲</w:t>
            </w:r>
            <w:r>
              <w:rPr>
                <w:rFonts w:hint="eastAsia" w:ascii="宋体" w:hAnsi="宋体"/>
                <w:b/>
                <w:color w:val="auto"/>
                <w:sz w:val="22"/>
                <w:szCs w:val="22"/>
                <w:highlight w:val="none"/>
                <w:lang w:val="en-US" w:eastAsia="zh-CN"/>
              </w:rPr>
              <w:t>1、</w:t>
            </w:r>
            <w:r>
              <w:rPr>
                <w:rFonts w:hint="eastAsia" w:ascii="宋体" w:hAnsi="宋体"/>
                <w:b/>
                <w:color w:val="auto"/>
                <w:sz w:val="22"/>
                <w:szCs w:val="22"/>
                <w:highlight w:val="none"/>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p>
            <w:pPr>
              <w:snapToGrid w:val="0"/>
              <w:spacing w:line="360" w:lineRule="auto"/>
              <w:rPr>
                <w:rFonts w:hint="default" w:ascii="宋体" w:hAnsi="宋体" w:eastAsia="宋体"/>
                <w:b/>
                <w:color w:val="auto"/>
                <w:sz w:val="22"/>
                <w:szCs w:val="22"/>
                <w:highlight w:val="none"/>
                <w:lang w:val="en-US" w:eastAsia="zh-CN"/>
              </w:rPr>
            </w:pPr>
            <w:r>
              <w:rPr>
                <w:rFonts w:hint="eastAsia" w:ascii="宋体" w:hAnsi="宋体"/>
                <w:b/>
                <w:color w:val="auto"/>
                <w:sz w:val="22"/>
                <w:szCs w:val="22"/>
                <w:highlight w:val="none"/>
              </w:rPr>
              <w:t>▲</w:t>
            </w:r>
            <w:r>
              <w:rPr>
                <w:rFonts w:hint="eastAsia" w:ascii="宋体" w:hAnsi="宋体"/>
                <w:b/>
                <w:color w:val="auto"/>
                <w:sz w:val="22"/>
                <w:szCs w:val="22"/>
                <w:highlight w:val="none"/>
                <w:lang w:val="en-US" w:eastAsia="zh-CN"/>
              </w:rPr>
              <w:t>2、在合同履行过程中，若某项服务因实际需求导致无须执行的，采购人将不予支付该项费用（如项目管理（至施工代建进场并完成交接前）因实际需求的未履约的，采购人将不予支付该部分合同金额），供应商应自行考虑报价风险。</w:t>
            </w:r>
          </w:p>
        </w:tc>
      </w:tr>
    </w:tbl>
    <w:p>
      <w:pPr>
        <w:pStyle w:val="21"/>
        <w:rPr>
          <w:color w:val="auto"/>
          <w:highlight w:val="none"/>
        </w:rPr>
        <w:sectPr>
          <w:footerReference r:id="rId3" w:type="default"/>
          <w:pgSz w:w="11906" w:h="16838"/>
          <w:pgMar w:top="1440" w:right="1622" w:bottom="1440" w:left="1287" w:header="851" w:footer="992" w:gutter="0"/>
          <w:cols w:space="720" w:num="1"/>
          <w:docGrid w:linePitch="312" w:charSpace="0"/>
        </w:sectPr>
      </w:pPr>
    </w:p>
    <w:p>
      <w:pPr>
        <w:autoSpaceDE w:val="0"/>
        <w:autoSpaceDN w:val="0"/>
        <w:spacing w:line="440" w:lineRule="atLeast"/>
        <w:jc w:val="center"/>
        <w:rPr>
          <w:rFonts w:hint="eastAsia" w:ascii="宋体" w:hAnsi="宋体"/>
          <w:color w:val="auto"/>
          <w:sz w:val="36"/>
          <w:highlight w:val="none"/>
        </w:rPr>
      </w:pPr>
      <w:r>
        <w:rPr>
          <w:rFonts w:hint="eastAsia" w:ascii="宋体" w:hAnsi="宋体"/>
          <w:color w:val="auto"/>
          <w:sz w:val="36"/>
          <w:highlight w:val="none"/>
        </w:rPr>
        <w:t>招标文件目录</w:t>
      </w:r>
    </w:p>
    <w:p>
      <w:pPr>
        <w:autoSpaceDE w:val="0"/>
        <w:autoSpaceDN w:val="0"/>
        <w:spacing w:line="360" w:lineRule="auto"/>
        <w:ind w:firstLine="323" w:firstLineChars="147"/>
        <w:rPr>
          <w:rFonts w:hint="eastAsia" w:ascii="宋体" w:hAnsi="宋体"/>
          <w:color w:val="auto"/>
          <w:sz w:val="22"/>
          <w:szCs w:val="22"/>
          <w:highlight w:val="none"/>
        </w:rPr>
      </w:pPr>
    </w:p>
    <w:p>
      <w:pPr>
        <w:autoSpaceDE w:val="0"/>
        <w:autoSpaceDN w:val="0"/>
        <w:spacing w:line="360" w:lineRule="auto"/>
        <w:ind w:firstLine="323" w:firstLineChars="147"/>
        <w:rPr>
          <w:rFonts w:hint="eastAsia" w:ascii="宋体" w:hAnsi="宋体"/>
          <w:color w:val="auto"/>
          <w:sz w:val="22"/>
          <w:szCs w:val="22"/>
          <w:highlight w:val="none"/>
        </w:rPr>
      </w:pPr>
      <w:r>
        <w:rPr>
          <w:rFonts w:hint="eastAsia" w:ascii="宋体" w:hAnsi="宋体"/>
          <w:color w:val="auto"/>
          <w:sz w:val="22"/>
          <w:szCs w:val="22"/>
          <w:highlight w:val="none"/>
        </w:rPr>
        <w:t>第一部分、项目简介</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第二部分、招标内容及要求</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第三部分、供应商须知</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一、说明</w:t>
      </w:r>
    </w:p>
    <w:p>
      <w:pPr>
        <w:autoSpaceDE w:val="0"/>
        <w:autoSpaceDN w:val="0"/>
        <w:snapToGrid w:val="0"/>
        <w:spacing w:line="360" w:lineRule="auto"/>
        <w:ind w:firstLine="1419" w:firstLineChars="645"/>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三、招标文件</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四、投标文件</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五、投标文件的递交</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六、开标和评标</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七、授予合同</w:t>
      </w:r>
    </w:p>
    <w:p>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第四部分、政府采购政策功能相关说明</w:t>
      </w:r>
    </w:p>
    <w:p>
      <w:pPr>
        <w:tabs>
          <w:tab w:val="left" w:pos="560"/>
        </w:tabs>
        <w:autoSpaceDE w:val="0"/>
        <w:autoSpaceDN w:val="0"/>
        <w:snapToGrid w:val="0"/>
        <w:spacing w:line="360" w:lineRule="auto"/>
        <w:ind w:firstLine="330" w:firstLineChars="150"/>
        <w:rPr>
          <w:rFonts w:hint="eastAsia" w:ascii="宋体" w:hAnsi="宋体"/>
          <w:color w:val="auto"/>
          <w:sz w:val="22"/>
          <w:szCs w:val="22"/>
          <w:highlight w:val="none"/>
        </w:rPr>
      </w:pPr>
      <w:r>
        <w:rPr>
          <w:rFonts w:hint="eastAsia" w:ascii="宋体" w:hAnsi="宋体"/>
          <w:color w:val="auto"/>
          <w:sz w:val="22"/>
          <w:szCs w:val="22"/>
          <w:highlight w:val="none"/>
        </w:rPr>
        <w:t>第五部分、合同格式</w:t>
      </w:r>
    </w:p>
    <w:p>
      <w:pPr>
        <w:tabs>
          <w:tab w:val="left" w:pos="560"/>
        </w:tabs>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第六部分、附件：投标文件格式</w:t>
      </w:r>
    </w:p>
    <w:p>
      <w:pPr>
        <w:autoSpaceDE w:val="0"/>
        <w:autoSpaceDN w:val="0"/>
        <w:snapToGrid w:val="0"/>
        <w:spacing w:line="360" w:lineRule="auto"/>
        <w:rPr>
          <w:rFonts w:hint="eastAsia" w:ascii="宋体" w:hAnsi="宋体"/>
          <w:color w:val="auto"/>
          <w:sz w:val="22"/>
          <w:szCs w:val="22"/>
          <w:highlight w:val="none"/>
        </w:rPr>
      </w:pPr>
      <w:r>
        <w:rPr>
          <w:rFonts w:hint="eastAsia" w:ascii="宋体" w:hAnsi="宋体"/>
          <w:color w:val="auto"/>
          <w:sz w:val="22"/>
          <w:szCs w:val="22"/>
          <w:highlight w:val="none"/>
        </w:rPr>
        <w:t xml:space="preserve">   第七部分、评标办法</w:t>
      </w: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pPr>
    </w:p>
    <w:p>
      <w:pPr>
        <w:pStyle w:val="23"/>
        <w:spacing w:before="120" w:after="120"/>
        <w:ind w:left="0" w:firstLine="0" w:firstLineChars="0"/>
        <w:rPr>
          <w:color w:val="auto"/>
          <w:highlight w:val="none"/>
        </w:rPr>
        <w:sectPr>
          <w:pgSz w:w="11906" w:h="16838"/>
          <w:pgMar w:top="1440" w:right="1622" w:bottom="1440" w:left="1287" w:header="851" w:footer="992" w:gutter="0"/>
          <w:cols w:space="720" w:num="1"/>
          <w:docGrid w:linePitch="312" w:charSpace="0"/>
        </w:sectPr>
      </w:pPr>
    </w:p>
    <w:p>
      <w:pPr>
        <w:pStyle w:val="38"/>
        <w:spacing w:before="0" w:after="0" w:line="420" w:lineRule="exact"/>
        <w:rPr>
          <w:rFonts w:hint="eastAsia" w:ascii="宋体" w:hAnsi="宋体"/>
          <w:color w:val="auto"/>
          <w:highlight w:val="none"/>
          <w:lang w:val="zh-CN"/>
        </w:rPr>
      </w:pPr>
      <w:r>
        <w:rPr>
          <w:rFonts w:hint="eastAsia" w:ascii="宋体" w:hAnsi="宋体"/>
          <w:color w:val="auto"/>
          <w:highlight w:val="none"/>
          <w:lang w:val="zh-CN"/>
        </w:rPr>
        <w:t>第一部分     项目简介</w:t>
      </w:r>
    </w:p>
    <w:p>
      <w:pPr>
        <w:pStyle w:val="38"/>
        <w:spacing w:before="0" w:after="0" w:line="420" w:lineRule="exact"/>
        <w:jc w:val="both"/>
        <w:rPr>
          <w:rFonts w:hint="eastAsia" w:ascii="宋体" w:hAnsi="宋体"/>
          <w:color w:val="auto"/>
          <w:sz w:val="22"/>
          <w:szCs w:val="22"/>
          <w:highlight w:val="none"/>
        </w:rPr>
      </w:pPr>
      <w:bookmarkStart w:id="1" w:name="_Toc300252050"/>
      <w:bookmarkEnd w:id="1"/>
      <w:r>
        <w:rPr>
          <w:rFonts w:hint="eastAsia" w:ascii="宋体" w:hAnsi="宋体"/>
          <w:color w:val="auto"/>
          <w:sz w:val="22"/>
          <w:szCs w:val="22"/>
          <w:highlight w:val="none"/>
        </w:rPr>
        <w:t>一、项目简介</w:t>
      </w:r>
    </w:p>
    <w:p>
      <w:pPr>
        <w:snapToGrid w:val="0"/>
        <w:spacing w:line="420" w:lineRule="exact"/>
        <w:rPr>
          <w:rFonts w:hint="eastAsia" w:ascii="宋体" w:hAnsi="宋体"/>
          <w:color w:val="auto"/>
          <w:szCs w:val="22"/>
          <w:highlight w:val="none"/>
        </w:rPr>
      </w:pPr>
      <w:r>
        <w:rPr>
          <w:rFonts w:hint="eastAsia" w:ascii="宋体" w:hAnsi="宋体"/>
          <w:color w:val="auto"/>
          <w:szCs w:val="22"/>
          <w:highlight w:val="none"/>
        </w:rPr>
        <w:t xml:space="preserve">    浙江品信工程项目管理有限公司受</w:t>
      </w:r>
      <w:r>
        <w:rPr>
          <w:rFonts w:hint="eastAsia" w:ascii="宋体" w:hAnsi="宋体"/>
          <w:color w:val="auto"/>
          <w:szCs w:val="22"/>
          <w:highlight w:val="none"/>
          <w:lang w:eastAsia="zh-CN"/>
        </w:rPr>
        <w:t>平阳县萧江新农村建设投资有限公司</w:t>
      </w:r>
      <w:r>
        <w:rPr>
          <w:rFonts w:hint="eastAsia" w:ascii="宋体" w:hAnsi="宋体"/>
          <w:bCs/>
          <w:color w:val="auto"/>
          <w:szCs w:val="22"/>
          <w:highlight w:val="none"/>
        </w:rPr>
        <w:t>委托，</w:t>
      </w:r>
      <w:r>
        <w:rPr>
          <w:rFonts w:hint="eastAsia" w:ascii="宋体" w:hAnsi="宋体"/>
          <w:color w:val="auto"/>
          <w:szCs w:val="22"/>
          <w:highlight w:val="none"/>
        </w:rPr>
        <w:t>以公开招标方式采购</w:t>
      </w:r>
      <w:r>
        <w:rPr>
          <w:rFonts w:hint="eastAsia" w:ascii="宋体" w:hAnsi="宋体"/>
          <w:color w:val="auto"/>
          <w:kern w:val="0"/>
          <w:szCs w:val="22"/>
          <w:highlight w:val="none"/>
          <w:lang w:eastAsia="zh-CN"/>
        </w:rPr>
        <w:t>平阳县瑞苍高速公路平阳段工程萧江镇淡浦安置地块（凤头B-15、凤头B-25）全过程咨询服务</w:t>
      </w:r>
      <w:r>
        <w:rPr>
          <w:rFonts w:hint="eastAsia" w:ascii="宋体" w:hAnsi="宋体"/>
          <w:color w:val="auto"/>
          <w:szCs w:val="22"/>
          <w:highlight w:val="none"/>
        </w:rPr>
        <w:t>，本次招标资金已经落实。</w:t>
      </w:r>
    </w:p>
    <w:p>
      <w:pPr>
        <w:snapToGrid w:val="0"/>
        <w:spacing w:line="420" w:lineRule="exact"/>
        <w:rPr>
          <w:rFonts w:hint="eastAsia" w:ascii="宋体" w:hAnsi="宋体"/>
          <w:color w:val="auto"/>
          <w:szCs w:val="22"/>
          <w:highlight w:val="none"/>
        </w:rPr>
      </w:pPr>
      <w:r>
        <w:rPr>
          <w:rFonts w:hint="eastAsia" w:ascii="宋体" w:hAnsi="宋体"/>
          <w:color w:val="auto"/>
          <w:szCs w:val="22"/>
          <w:highlight w:val="none"/>
        </w:rPr>
        <w:t xml:space="preserve">     我们热忱欢迎有关公司（企业）前来进行投标。  </w:t>
      </w:r>
    </w:p>
    <w:p>
      <w:pPr>
        <w:snapToGrid w:val="0"/>
        <w:spacing w:line="420" w:lineRule="exact"/>
        <w:ind w:firstLine="516" w:firstLineChars="246"/>
        <w:rPr>
          <w:rFonts w:hint="eastAsia" w:ascii="宋体" w:hAnsi="宋体"/>
          <w:color w:val="auto"/>
          <w:szCs w:val="22"/>
          <w:highlight w:val="none"/>
        </w:rPr>
      </w:pPr>
    </w:p>
    <w:p>
      <w:pPr>
        <w:pStyle w:val="38"/>
        <w:numPr>
          <w:ilvl w:val="0"/>
          <w:numId w:val="3"/>
        </w:numPr>
        <w:spacing w:before="0" w:after="0" w:line="420" w:lineRule="exact"/>
        <w:rPr>
          <w:rFonts w:hint="eastAsia" w:ascii="宋体" w:hAnsi="宋体"/>
          <w:color w:val="auto"/>
          <w:highlight w:val="none"/>
          <w:lang w:val="zh-CN"/>
        </w:rPr>
      </w:pPr>
      <w:r>
        <w:rPr>
          <w:rFonts w:hint="eastAsia" w:ascii="宋体" w:hAnsi="宋体"/>
          <w:color w:val="auto"/>
          <w:highlight w:val="none"/>
          <w:lang w:val="zh-CN"/>
        </w:rPr>
        <w:t>采购内容及要求</w:t>
      </w:r>
    </w:p>
    <w:p>
      <w:pPr>
        <w:autoSpaceDE w:val="0"/>
        <w:autoSpaceDN w:val="0"/>
        <w:snapToGrid w:val="0"/>
        <w:jc w:val="center"/>
        <w:rPr>
          <w:rFonts w:hint="eastAsia" w:ascii="宋体" w:hAnsi="宋体"/>
          <w:b/>
          <w:color w:val="auto"/>
          <w:szCs w:val="22"/>
          <w:highlight w:val="none"/>
        </w:rPr>
      </w:pPr>
    </w:p>
    <w:p>
      <w:pPr>
        <w:snapToGrid w:val="0"/>
        <w:spacing w:line="454" w:lineRule="atLeast"/>
        <w:rPr>
          <w:rFonts w:hint="eastAsia" w:ascii="宋体" w:hAnsi="宋体" w:eastAsia="宋体"/>
          <w:b/>
          <w:bCs/>
          <w:color w:val="auto"/>
          <w:sz w:val="22"/>
          <w:szCs w:val="22"/>
          <w:highlight w:val="none"/>
        </w:rPr>
      </w:pPr>
      <w:r>
        <w:rPr>
          <w:rFonts w:hint="eastAsia" w:ascii="宋体" w:hAnsi="宋体" w:eastAsia="宋体"/>
          <w:b/>
          <w:bCs/>
          <w:color w:val="auto"/>
          <w:sz w:val="22"/>
          <w:szCs w:val="22"/>
          <w:highlight w:val="none"/>
        </w:rPr>
        <w:t>一、采购总说明</w:t>
      </w:r>
    </w:p>
    <w:p>
      <w:pPr>
        <w:snapToGrid w:val="0"/>
        <w:spacing w:line="460" w:lineRule="exact"/>
        <w:ind w:firstLine="48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1、本技术规范要求提出的是最低限度的基本技术要求，并未对所有技术细节作出规定，供应商应提供符合本技术要求和国家标准、行业标准的优质设备。</w:t>
      </w:r>
    </w:p>
    <w:p>
      <w:pPr>
        <w:snapToGrid w:val="0"/>
        <w:spacing w:line="460" w:lineRule="exact"/>
        <w:ind w:firstLine="48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供应商设备与本技术要求不一致时，供应商应在投标文件中予以说明，并由评标委员会鉴定供应商设备能否达到要求。如供应商没有在投标文件中提出异议，则视为供应商提供的设备完全按照本招标文件要求。</w:t>
      </w:r>
    </w:p>
    <w:p>
      <w:pPr>
        <w:snapToGrid w:val="0"/>
        <w:spacing w:line="460" w:lineRule="exact"/>
        <w:ind w:firstLine="48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3、技术要求及标准的执行</w:t>
      </w:r>
    </w:p>
    <w:p>
      <w:pPr>
        <w:autoSpaceDE w:val="0"/>
        <w:autoSpaceDN w:val="0"/>
        <w:snapToGrid w:val="0"/>
        <w:spacing w:line="460" w:lineRule="exact"/>
        <w:ind w:firstLine="440" w:firstLineChars="200"/>
        <w:outlineLvl w:val="1"/>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供应商提供的设备应标明所执行的质量标准，若同一标准已颁发新标准，则按最新标准执行。若同一设备同时有几个标准（国际标准、国家标准、行业标准、企业标准等），则按最高层次的标准执行。</w:t>
      </w:r>
    </w:p>
    <w:p>
      <w:pPr>
        <w:autoSpaceDE w:val="0"/>
        <w:autoSpaceDN w:val="0"/>
        <w:snapToGrid w:val="0"/>
        <w:spacing w:line="460" w:lineRule="exact"/>
        <w:rPr>
          <w:rFonts w:hint="eastAsia" w:ascii="宋体" w:hAnsi="宋体" w:eastAsia="宋体"/>
          <w:b/>
          <w:bCs/>
          <w:color w:val="auto"/>
          <w:sz w:val="22"/>
          <w:szCs w:val="22"/>
          <w:highlight w:val="none"/>
        </w:rPr>
      </w:pPr>
      <w:r>
        <w:rPr>
          <w:rFonts w:hint="eastAsia" w:ascii="宋体" w:hAnsi="宋体" w:eastAsia="宋体"/>
          <w:b/>
          <w:bCs/>
          <w:color w:val="auto"/>
          <w:sz w:val="22"/>
          <w:szCs w:val="22"/>
          <w:highlight w:val="none"/>
        </w:rPr>
        <w:t>二、采购内容及具体要求</w:t>
      </w:r>
    </w:p>
    <w:p>
      <w:pPr>
        <w:pStyle w:val="72"/>
        <w:spacing w:beforeAutospacing="0" w:afterAutospacing="0" w:line="360" w:lineRule="auto"/>
        <w:ind w:firstLine="440" w:firstLineChars="200"/>
        <w:rPr>
          <w:rFonts w:hint="eastAsia" w:ascii="宋体" w:hAnsi="宋体" w:eastAsia="宋体"/>
          <w:i w:val="0"/>
          <w:iCs w:val="0"/>
          <w:color w:val="auto"/>
          <w:spacing w:val="0"/>
          <w:sz w:val="22"/>
          <w:szCs w:val="22"/>
          <w:highlight w:val="none"/>
          <w:shd w:val="clear" w:color="auto" w:fill="FFFFFF"/>
          <w:lang w:val="en-US" w:eastAsia="zh-CN"/>
        </w:rPr>
      </w:pPr>
      <w:r>
        <w:rPr>
          <w:rFonts w:hint="eastAsia" w:ascii="宋体" w:hAnsi="宋体" w:eastAsia="宋体"/>
          <w:i w:val="0"/>
          <w:iCs w:val="0"/>
          <w:color w:val="auto"/>
          <w:spacing w:val="0"/>
          <w:sz w:val="22"/>
          <w:szCs w:val="22"/>
          <w:highlight w:val="none"/>
          <w:shd w:val="clear" w:color="auto" w:fill="FFFFFF"/>
          <w:lang w:val="en-US" w:eastAsia="zh-CN"/>
        </w:rPr>
        <w:t>1、项目地址：本项目包括平阳县瑞苍高速公路平阳段工程萧江镇淡浦安置地块（凤头B-15、凤头B-25）建设项目。本项目总用地面积约50980.18平方米（约76.38亩），总建筑面积约为171741.88平方米。地上建筑总面积约为142744.5平方米，地下总建筑面积约为28997.38平方米。共分为B-15、凤头B-25</w:t>
      </w:r>
      <w:r>
        <w:rPr>
          <w:rFonts w:hint="eastAsia" w:hAnsi="宋体"/>
          <w:i w:val="0"/>
          <w:iCs w:val="0"/>
          <w:color w:val="auto"/>
          <w:spacing w:val="0"/>
          <w:sz w:val="22"/>
          <w:szCs w:val="22"/>
          <w:highlight w:val="none"/>
          <w:shd w:val="clear" w:color="auto" w:fill="FFFFFF"/>
          <w:lang w:val="en-US" w:eastAsia="zh-CN"/>
        </w:rPr>
        <w:t>两</w:t>
      </w:r>
      <w:r>
        <w:rPr>
          <w:rFonts w:hint="eastAsia" w:ascii="宋体" w:hAnsi="宋体" w:eastAsia="宋体"/>
          <w:i w:val="0"/>
          <w:iCs w:val="0"/>
          <w:color w:val="auto"/>
          <w:spacing w:val="0"/>
          <w:sz w:val="22"/>
          <w:szCs w:val="22"/>
          <w:highlight w:val="none"/>
          <w:shd w:val="clear" w:color="auto" w:fill="FFFFFF"/>
          <w:lang w:val="en-US" w:eastAsia="zh-CN"/>
        </w:rPr>
        <w:t>个地块如下：凤头B25地块：总用地面积约为37978.25平方米（约56.9亩），总建筑面积约为127989.25平方米。地上建筑面积约为106339.10平方米，地下建筑面积约为21650.15平方米；凤头B15地块：总用地面积约为13001.93平方米（约19.48亩），总建筑面积约为43752.63平方米。地上建筑面积约为36405.4平方米，地下建筑面积约为7347.23平方米。主要建设内容包括住宅、配套用房及配套设施。总投资约为113656万元（B25地块为84735万元</w:t>
      </w:r>
      <w:r>
        <w:rPr>
          <w:rFonts w:hint="eastAsia" w:hAnsi="宋体"/>
          <w:i w:val="0"/>
          <w:iCs w:val="0"/>
          <w:color w:val="auto"/>
          <w:spacing w:val="0"/>
          <w:sz w:val="22"/>
          <w:szCs w:val="22"/>
          <w:highlight w:val="none"/>
          <w:shd w:val="clear" w:color="auto" w:fill="FFFFFF"/>
          <w:lang w:val="en-US" w:eastAsia="zh-CN"/>
        </w:rPr>
        <w:t>，</w:t>
      </w:r>
      <w:r>
        <w:rPr>
          <w:rFonts w:hint="eastAsia" w:ascii="宋体" w:hAnsi="宋体" w:eastAsia="宋体"/>
          <w:i w:val="0"/>
          <w:iCs w:val="0"/>
          <w:color w:val="auto"/>
          <w:spacing w:val="0"/>
          <w:sz w:val="22"/>
          <w:szCs w:val="22"/>
          <w:highlight w:val="none"/>
          <w:shd w:val="clear" w:color="auto" w:fill="FFFFFF"/>
          <w:lang w:val="en-US" w:eastAsia="zh-CN"/>
        </w:rPr>
        <w:t>B15地块为28921万元），其中建安费用约为63731万元（B25地块为47501.8万元</w:t>
      </w:r>
      <w:r>
        <w:rPr>
          <w:rFonts w:hint="eastAsia" w:hAnsi="宋体"/>
          <w:i w:val="0"/>
          <w:iCs w:val="0"/>
          <w:color w:val="auto"/>
          <w:spacing w:val="0"/>
          <w:sz w:val="22"/>
          <w:szCs w:val="22"/>
          <w:highlight w:val="none"/>
          <w:shd w:val="clear" w:color="auto" w:fill="FFFFFF"/>
          <w:lang w:val="en-US" w:eastAsia="zh-CN"/>
        </w:rPr>
        <w:t>，</w:t>
      </w:r>
      <w:r>
        <w:rPr>
          <w:rFonts w:hint="eastAsia" w:ascii="宋体" w:hAnsi="宋体" w:eastAsia="宋体"/>
          <w:i w:val="0"/>
          <w:iCs w:val="0"/>
          <w:color w:val="auto"/>
          <w:spacing w:val="0"/>
          <w:sz w:val="22"/>
          <w:szCs w:val="22"/>
          <w:highlight w:val="none"/>
          <w:shd w:val="clear" w:color="auto" w:fill="FFFFFF"/>
          <w:lang w:val="en-US" w:eastAsia="zh-CN"/>
        </w:rPr>
        <w:t>B15地块为16229.2万元，）。</w:t>
      </w:r>
    </w:p>
    <w:p>
      <w:pPr>
        <w:pStyle w:val="25"/>
        <w:jc w:val="center"/>
        <w:rPr>
          <w:rFonts w:hint="eastAsia" w:hAnsi="宋体" w:eastAsia="宋体"/>
          <w:b/>
          <w:bCs/>
          <w:color w:val="auto"/>
          <w:sz w:val="22"/>
          <w:szCs w:val="22"/>
          <w:highlight w:val="none"/>
          <w:lang w:val="en-US" w:eastAsia="zh-CN"/>
        </w:rPr>
      </w:pPr>
      <w:r>
        <w:rPr>
          <w:rFonts w:hint="eastAsia" w:hAnsi="宋体" w:eastAsia="宋体"/>
          <w:b/>
          <w:bCs/>
          <w:color w:val="auto"/>
          <w:sz w:val="22"/>
          <w:szCs w:val="22"/>
          <w:highlight w:val="none"/>
          <w:lang w:val="en-US" w:eastAsia="zh-CN"/>
        </w:rPr>
        <w:t>全过程工程咨询服务采购最高限价清单</w:t>
      </w:r>
    </w:p>
    <w:tbl>
      <w:tblPr>
        <w:tblStyle w:val="8"/>
        <w:tblW w:w="9914" w:type="dxa"/>
        <w:tblInd w:w="9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82"/>
        <w:gridCol w:w="2390"/>
        <w:gridCol w:w="1629"/>
        <w:gridCol w:w="19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3" w:hRule="atLeast"/>
        </w:trPr>
        <w:tc>
          <w:tcPr>
            <w:tcW w:w="3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内容</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B15地块</w:t>
            </w: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B25地块</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3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建筑面积（m2）</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42328.9</w:t>
            </w: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131991.1</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174320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3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工程费（万元）</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18103.62918</w:t>
            </w: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56451.21726</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74554.84644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3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全过程造价咨询服务最高限价（万元）</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139.52</w:t>
            </w: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375.95</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515.47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3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项目竣工财务决算最高限价（万元）</w:t>
            </w:r>
          </w:p>
        </w:tc>
        <w:tc>
          <w:tcPr>
            <w:tcW w:w="2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6.05</w:t>
            </w: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9.89</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15.94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 w:hRule="atLeast"/>
        </w:trPr>
        <w:tc>
          <w:tcPr>
            <w:tcW w:w="3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项目管理-至施工代建进场并完成交接前最高限价（万元）</w:t>
            </w:r>
          </w:p>
        </w:tc>
        <w:tc>
          <w:tcPr>
            <w:tcW w:w="40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3" w:hRule="atLeast"/>
        </w:trPr>
        <w:tc>
          <w:tcPr>
            <w:tcW w:w="39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合计（万元）</w:t>
            </w:r>
          </w:p>
        </w:tc>
        <w:tc>
          <w:tcPr>
            <w:tcW w:w="40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2"/>
                <w:szCs w:val="22"/>
                <w:highlight w:val="none"/>
                <w:u w:val="none"/>
              </w:rPr>
            </w:pPr>
            <w:r>
              <w:rPr>
                <w:rFonts w:hint="eastAsia" w:ascii="宋体" w:hAnsi="宋体" w:eastAsia="宋体" w:cs="宋体"/>
                <w:b/>
                <w:bCs/>
                <w:i w:val="0"/>
                <w:iCs w:val="0"/>
                <w:color w:val="auto"/>
                <w:kern w:val="0"/>
                <w:sz w:val="22"/>
                <w:szCs w:val="22"/>
                <w:highlight w:val="none"/>
                <w:u w:val="none"/>
                <w:lang w:val="en-US" w:eastAsia="zh-CN" w:bidi="ar"/>
              </w:rPr>
              <w:t>/</w:t>
            </w:r>
          </w:p>
        </w:tc>
        <w:tc>
          <w:tcPr>
            <w:tcW w:w="19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581.41</w:t>
            </w:r>
          </w:p>
        </w:tc>
      </w:tr>
    </w:tbl>
    <w:p>
      <w:pPr>
        <w:numPr>
          <w:ilvl w:val="0"/>
          <w:numId w:val="0"/>
        </w:numPr>
        <w:spacing w:line="360" w:lineRule="auto"/>
        <w:ind w:firstLine="442" w:firstLineChars="200"/>
        <w:jc w:val="left"/>
        <w:rPr>
          <w:rFonts w:hint="default" w:ascii="宋体" w:hAnsi="宋体" w:eastAsia="宋体" w:cs="宋体"/>
          <w:b/>
          <w:bCs w:val="0"/>
          <w:color w:val="auto"/>
          <w:sz w:val="22"/>
          <w:szCs w:val="22"/>
          <w:highlight w:val="none"/>
          <w:lang w:val="en-US" w:eastAsia="zh-CN"/>
        </w:rPr>
      </w:pPr>
      <w:r>
        <w:rPr>
          <w:rFonts w:hint="eastAsia" w:ascii="宋体" w:hAnsi="宋体" w:eastAsia="宋体" w:cs="宋体"/>
          <w:b/>
          <w:bCs w:val="0"/>
          <w:color w:val="auto"/>
          <w:sz w:val="22"/>
          <w:szCs w:val="22"/>
          <w:highlight w:val="none"/>
          <w:lang w:val="en-US" w:eastAsia="zh-CN"/>
        </w:rPr>
        <w:t>注明：各分项结算服务费为</w:t>
      </w:r>
      <w:r>
        <w:rPr>
          <w:rFonts w:hint="eastAsia" w:ascii="宋体" w:hAnsi="宋体" w:eastAsia="宋体" w:cs="宋体"/>
          <w:b/>
          <w:bCs w:val="0"/>
          <w:color w:val="auto"/>
          <w:sz w:val="22"/>
          <w:szCs w:val="22"/>
          <w:highlight w:val="none"/>
        </w:rPr>
        <w:t>其所对应</w:t>
      </w:r>
      <w:r>
        <w:rPr>
          <w:rFonts w:hint="eastAsia" w:ascii="宋体" w:hAnsi="宋体" w:eastAsia="宋体" w:cs="宋体"/>
          <w:b/>
          <w:bCs w:val="0"/>
          <w:color w:val="auto"/>
          <w:sz w:val="22"/>
          <w:szCs w:val="22"/>
          <w:highlight w:val="none"/>
          <w:lang w:val="en-US" w:eastAsia="zh-CN"/>
        </w:rPr>
        <w:t>的最高限价*</w:t>
      </w:r>
      <w:r>
        <w:rPr>
          <w:rFonts w:hint="eastAsia" w:ascii="宋体" w:hAnsi="宋体" w:eastAsia="宋体" w:cs="宋体"/>
          <w:b/>
          <w:bCs w:val="0"/>
          <w:color w:val="auto"/>
          <w:sz w:val="22"/>
          <w:szCs w:val="22"/>
          <w:highlight w:val="none"/>
        </w:rPr>
        <w:t>中标</w:t>
      </w:r>
      <w:r>
        <w:rPr>
          <w:rFonts w:hint="eastAsia" w:ascii="宋体" w:hAnsi="宋体" w:eastAsia="宋体" w:cs="宋体"/>
          <w:b/>
          <w:bCs w:val="0"/>
          <w:color w:val="auto"/>
          <w:sz w:val="22"/>
          <w:szCs w:val="22"/>
          <w:highlight w:val="none"/>
          <w:lang w:eastAsia="zh-CN"/>
        </w:rPr>
        <w:t>折扣率，</w:t>
      </w:r>
      <w:r>
        <w:rPr>
          <w:rFonts w:hint="eastAsia" w:ascii="宋体" w:hAnsi="宋体" w:eastAsia="宋体" w:cs="宋体"/>
          <w:b/>
          <w:bCs w:val="0"/>
          <w:color w:val="auto"/>
          <w:sz w:val="22"/>
          <w:szCs w:val="22"/>
          <w:highlight w:val="none"/>
          <w:lang w:val="en-US" w:eastAsia="zh-CN"/>
        </w:rPr>
        <w:t>在分项报价中各供应商需将各个地块的各项内容单独填报（项目管理-至施工代建进场并完成交接前须在分项报价中，按地块进行报价）。</w:t>
      </w:r>
    </w:p>
    <w:p>
      <w:pPr>
        <w:numPr>
          <w:ilvl w:val="0"/>
          <w:numId w:val="0"/>
        </w:numPr>
        <w:spacing w:line="360" w:lineRule="auto"/>
        <w:ind w:firstLine="440" w:firstLineChars="200"/>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2、招标内容、范围：</w:t>
      </w:r>
    </w:p>
    <w:p>
      <w:pPr>
        <w:spacing w:beforeAutospacing="0" w:afterAutospacing="0" w:line="360" w:lineRule="auto"/>
        <w:ind w:firstLine="420"/>
        <w:rPr>
          <w:rFonts w:hint="eastAsia" w:ascii="宋体" w:hAnsi="宋体"/>
          <w:color w:val="auto"/>
          <w:sz w:val="22"/>
          <w:szCs w:val="22"/>
          <w:highlight w:val="none"/>
          <w:lang w:eastAsia="zh-CN"/>
        </w:rPr>
      </w:pPr>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1</w:t>
      </w:r>
      <w:r>
        <w:rPr>
          <w:rFonts w:hint="eastAsia" w:ascii="宋体" w:hAnsi="宋体"/>
          <w:color w:val="auto"/>
          <w:sz w:val="22"/>
          <w:szCs w:val="22"/>
          <w:highlight w:val="none"/>
          <w:lang w:eastAsia="zh-CN"/>
        </w:rPr>
        <w:t>）</w:t>
      </w:r>
      <w:r>
        <w:rPr>
          <w:rFonts w:hint="eastAsia" w:ascii="宋体" w:hAnsi="宋体"/>
          <w:color w:val="auto"/>
          <w:sz w:val="22"/>
          <w:szCs w:val="22"/>
          <w:highlight w:val="none"/>
        </w:rPr>
        <w:t>项目建设管理</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工作内容：</w:t>
      </w:r>
      <w:r>
        <w:rPr>
          <w:rFonts w:hint="eastAsia" w:ascii="宋体" w:hAnsi="宋体"/>
          <w:bCs/>
          <w:color w:val="auto"/>
          <w:sz w:val="22"/>
          <w:szCs w:val="22"/>
          <w:highlight w:val="none"/>
        </w:rPr>
        <w:t>对本项目</w:t>
      </w:r>
      <w:r>
        <w:rPr>
          <w:rFonts w:hint="eastAsia" w:ascii="宋体" w:hAnsi="宋体" w:eastAsia="宋体"/>
          <w:bCs/>
          <w:color w:val="auto"/>
          <w:sz w:val="22"/>
          <w:szCs w:val="22"/>
          <w:highlight w:val="none"/>
        </w:rPr>
        <w:t>进行</w:t>
      </w:r>
      <w:r>
        <w:rPr>
          <w:rFonts w:hint="eastAsia" w:ascii="宋体" w:hAnsi="宋体" w:eastAsia="宋体"/>
          <w:bCs/>
          <w:color w:val="auto"/>
          <w:sz w:val="22"/>
          <w:szCs w:val="22"/>
          <w:highlight w:val="none"/>
          <w:lang w:val="en-US" w:eastAsia="zh-CN"/>
        </w:rPr>
        <w:t>项目管理（至施工代建进场并完成交接前）、</w:t>
      </w:r>
      <w:r>
        <w:rPr>
          <w:rFonts w:hint="eastAsia" w:ascii="宋体" w:hAnsi="宋体" w:eastAsia="宋体"/>
          <w:bCs/>
          <w:color w:val="auto"/>
          <w:sz w:val="22"/>
          <w:szCs w:val="22"/>
          <w:highlight w:val="none"/>
        </w:rPr>
        <w:t>投资控制管理、工程进度管理、工程安全管理、合同管理、设计管理（施工图设计优化、设计过程的设计管理、专项管理、设计进度计划并确保设计满足项目实施、提出设计优化意见、协助建设单位收集</w:t>
      </w:r>
      <w:r>
        <w:rPr>
          <w:rFonts w:hint="eastAsia" w:ascii="宋体" w:hAnsi="宋体"/>
          <w:color w:val="auto"/>
          <w:sz w:val="22"/>
          <w:szCs w:val="22"/>
          <w:highlight w:val="none"/>
        </w:rPr>
        <w:t>并整理设计相关资料。</w:t>
      </w:r>
      <w:r>
        <w:rPr>
          <w:rFonts w:hint="eastAsia" w:ascii="宋体" w:hAnsi="宋体"/>
          <w:color w:val="auto"/>
          <w:sz w:val="22"/>
          <w:szCs w:val="22"/>
          <w:highlight w:val="none"/>
          <w:u w:val="none"/>
        </w:rPr>
        <w:t>投资</w:t>
      </w:r>
      <w:r>
        <w:rPr>
          <w:rFonts w:hint="eastAsia" w:ascii="宋体" w:hAnsi="宋体"/>
          <w:color w:val="auto"/>
          <w:sz w:val="22"/>
          <w:szCs w:val="22"/>
          <w:highlight w:val="none"/>
        </w:rPr>
        <w:t>管理、信息管理、全过</w:t>
      </w:r>
      <w:r>
        <w:rPr>
          <w:rFonts w:hint="eastAsia" w:ascii="宋体" w:hAnsi="宋体"/>
          <w:color w:val="auto"/>
          <w:sz w:val="22"/>
          <w:szCs w:val="22"/>
          <w:highlight w:val="none"/>
          <w:u w:val="none"/>
        </w:rPr>
        <w:t>程跟踪</w:t>
      </w:r>
      <w:r>
        <w:rPr>
          <w:rFonts w:hint="eastAsia" w:ascii="宋体" w:hAnsi="宋体"/>
          <w:bCs/>
          <w:color w:val="auto"/>
          <w:sz w:val="22"/>
          <w:szCs w:val="22"/>
          <w:highlight w:val="none"/>
        </w:rPr>
        <w:t>咨询服务，协助建设单位办理项目建设的相关报建手续及收集整理资料等</w:t>
      </w:r>
      <w:r>
        <w:rPr>
          <w:rFonts w:hint="eastAsia" w:ascii="宋体" w:hAnsi="宋体"/>
          <w:color w:val="auto"/>
          <w:sz w:val="22"/>
          <w:szCs w:val="22"/>
          <w:highlight w:val="none"/>
        </w:rPr>
        <w:t>。</w:t>
      </w:r>
    </w:p>
    <w:p>
      <w:pPr>
        <w:spacing w:beforeAutospacing="0" w:afterAutospacing="0" w:line="360" w:lineRule="auto"/>
        <w:ind w:firstLine="42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color w:val="auto"/>
          <w:sz w:val="22"/>
          <w:szCs w:val="22"/>
          <w:highlight w:val="none"/>
          <w:u w:val="single"/>
        </w:rPr>
        <w:t>工程造价咨询</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工作内容：</w:t>
      </w:r>
      <w:r>
        <w:rPr>
          <w:rFonts w:hint="eastAsia" w:ascii="宋体" w:hAnsi="宋体"/>
          <w:bCs/>
          <w:color w:val="auto"/>
          <w:sz w:val="22"/>
          <w:szCs w:val="22"/>
          <w:highlight w:val="none"/>
          <w:u w:val="single"/>
        </w:rPr>
        <w:t>本项目全过程工程造价控制服务，包括（但不限于）制定造价控制、资金使用计划的实施方案，合同价款咨询（包括合同分析、合同交底、合同变更管理工作），施工阶段造价风险分析，编制工程量清单及招标控制价，负责工程量及进度款计量、签证和审核，施工合同范围内的材料和设备的询价、核价，为</w:t>
      </w:r>
      <w:r>
        <w:rPr>
          <w:rFonts w:hint="eastAsia" w:ascii="宋体" w:hAnsi="宋体"/>
          <w:bCs/>
          <w:color w:val="auto"/>
          <w:sz w:val="22"/>
          <w:szCs w:val="22"/>
          <w:highlight w:val="none"/>
          <w:u w:val="single"/>
          <w:lang w:eastAsia="zh-CN"/>
        </w:rPr>
        <w:t>采购人</w:t>
      </w:r>
      <w:r>
        <w:rPr>
          <w:rFonts w:hint="eastAsia" w:ascii="宋体" w:hAnsi="宋体"/>
          <w:bCs/>
          <w:color w:val="auto"/>
          <w:sz w:val="22"/>
          <w:szCs w:val="22"/>
          <w:highlight w:val="none"/>
          <w:u w:val="single"/>
        </w:rPr>
        <w:t>提供有关法律、法规的咨询意见，协助</w:t>
      </w:r>
      <w:r>
        <w:rPr>
          <w:rFonts w:hint="eastAsia" w:ascii="宋体" w:hAnsi="宋体"/>
          <w:bCs/>
          <w:color w:val="auto"/>
          <w:sz w:val="22"/>
          <w:szCs w:val="22"/>
          <w:highlight w:val="none"/>
          <w:u w:val="single"/>
          <w:lang w:eastAsia="zh-CN"/>
        </w:rPr>
        <w:t>采购人</w:t>
      </w:r>
      <w:r>
        <w:rPr>
          <w:rFonts w:hint="eastAsia" w:ascii="宋体" w:hAnsi="宋体"/>
          <w:bCs/>
          <w:color w:val="auto"/>
          <w:sz w:val="22"/>
          <w:szCs w:val="22"/>
          <w:highlight w:val="none"/>
          <w:u w:val="single"/>
        </w:rPr>
        <w:t>审核设计变更、现场签证及索赔管理，向</w:t>
      </w:r>
      <w:r>
        <w:rPr>
          <w:rFonts w:hint="eastAsia" w:ascii="宋体" w:hAnsi="宋体"/>
          <w:bCs/>
          <w:color w:val="auto"/>
          <w:sz w:val="22"/>
          <w:szCs w:val="22"/>
          <w:highlight w:val="none"/>
          <w:u w:val="single"/>
          <w:lang w:eastAsia="zh-CN"/>
        </w:rPr>
        <w:t>采购人</w:t>
      </w:r>
      <w:r>
        <w:rPr>
          <w:rFonts w:hint="eastAsia" w:ascii="宋体" w:hAnsi="宋体"/>
          <w:bCs/>
          <w:color w:val="auto"/>
          <w:sz w:val="22"/>
          <w:szCs w:val="22"/>
          <w:highlight w:val="none"/>
          <w:u w:val="single"/>
        </w:rPr>
        <w:t>提供造价控制动态分析报告，提供核价建议，工程造价动态管理，</w:t>
      </w:r>
      <w:r>
        <w:rPr>
          <w:rFonts w:hint="eastAsia" w:ascii="宋体" w:hAnsi="宋体" w:eastAsia="宋体"/>
          <w:i w:val="0"/>
          <w:iCs w:val="0"/>
          <w:color w:val="auto"/>
          <w:kern w:val="0"/>
          <w:sz w:val="22"/>
          <w:szCs w:val="22"/>
          <w:highlight w:val="none"/>
          <w:u w:val="single"/>
          <w:lang w:val="en-US" w:eastAsia="zh-CN" w:bidi="ar"/>
        </w:rPr>
        <w:t>项目竣工财务决算，</w:t>
      </w:r>
      <w:r>
        <w:rPr>
          <w:rFonts w:hint="eastAsia" w:ascii="宋体" w:hAnsi="宋体"/>
          <w:bCs/>
          <w:color w:val="auto"/>
          <w:sz w:val="22"/>
          <w:szCs w:val="22"/>
          <w:highlight w:val="none"/>
          <w:u w:val="single"/>
        </w:rPr>
        <w:t>审核施工过程</w:t>
      </w:r>
      <w:r>
        <w:rPr>
          <w:rFonts w:hint="eastAsia" w:ascii="宋体" w:hAnsi="宋体"/>
          <w:bCs/>
          <w:color w:val="auto"/>
          <w:sz w:val="22"/>
          <w:szCs w:val="22"/>
          <w:highlight w:val="none"/>
          <w:u w:val="single"/>
          <w:lang w:eastAsia="zh-CN"/>
        </w:rPr>
        <w:t>的</w:t>
      </w:r>
      <w:r>
        <w:rPr>
          <w:rFonts w:hint="eastAsia" w:ascii="宋体" w:hAnsi="宋体"/>
          <w:bCs/>
          <w:color w:val="auto"/>
          <w:sz w:val="22"/>
          <w:szCs w:val="22"/>
          <w:highlight w:val="none"/>
          <w:u w:val="single"/>
        </w:rPr>
        <w:t>结算及竣工结算，配合完成竣工结算的第三方审</w:t>
      </w:r>
      <w:r>
        <w:rPr>
          <w:rFonts w:hint="eastAsia" w:ascii="宋体" w:hAnsi="宋体"/>
          <w:bCs/>
          <w:color w:val="auto"/>
          <w:sz w:val="22"/>
          <w:szCs w:val="22"/>
          <w:highlight w:val="none"/>
          <w:u w:val="single"/>
          <w:lang w:val="en-US" w:eastAsia="zh-CN"/>
        </w:rPr>
        <w:t>价</w:t>
      </w:r>
      <w:r>
        <w:rPr>
          <w:rFonts w:hint="eastAsia" w:ascii="宋体" w:hAnsi="宋体"/>
          <w:bCs/>
          <w:color w:val="auto"/>
          <w:sz w:val="22"/>
          <w:szCs w:val="22"/>
          <w:highlight w:val="none"/>
          <w:u w:val="single"/>
        </w:rPr>
        <w:t>工作，工程技术经济指标分析等施工阶段的全过程工程造价服务。</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成果文件：</w:t>
      </w:r>
      <w:r>
        <w:rPr>
          <w:rFonts w:hint="eastAsia" w:ascii="宋体" w:hAnsi="宋体"/>
          <w:color w:val="auto"/>
          <w:sz w:val="22"/>
          <w:szCs w:val="22"/>
          <w:highlight w:val="none"/>
          <w:u w:val="single"/>
        </w:rPr>
        <w:t>根据服务内容按照《工程造价咨询企业服务清单》（CCEA/GC11-2019）、各管理部门及委托人要求提供各类咨询成果文件</w:t>
      </w:r>
      <w:r>
        <w:rPr>
          <w:rFonts w:hint="eastAsia" w:ascii="宋体" w:hAnsi="宋体"/>
          <w:color w:val="auto"/>
          <w:sz w:val="22"/>
          <w:szCs w:val="22"/>
          <w:highlight w:val="none"/>
        </w:rPr>
        <w:t>；</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标准和要求：</w:t>
      </w:r>
      <w:r>
        <w:rPr>
          <w:rFonts w:hint="eastAsia" w:ascii="宋体" w:hAnsi="宋体"/>
          <w:color w:val="auto"/>
          <w:sz w:val="22"/>
          <w:szCs w:val="22"/>
          <w:highlight w:val="none"/>
          <w:u w:val="single"/>
        </w:rPr>
        <w:t>《建设工程造价咨询规范》GB/T51095-2015、《工程造价咨询企业服务清单》CCEA/GC11-2019、《浙江省建设工程造价管理办法》 、《全过程工程咨询服务标准》DB33/T1202 -2020</w:t>
      </w:r>
      <w:r>
        <w:rPr>
          <w:rFonts w:hint="eastAsia" w:ascii="宋体" w:hAnsi="宋体"/>
          <w:bCs/>
          <w:color w:val="auto"/>
          <w:sz w:val="22"/>
          <w:szCs w:val="22"/>
          <w:highlight w:val="none"/>
          <w:u w:val="single"/>
        </w:rPr>
        <w:t>以及现行造价咨询和全过程造价咨询服务相关标准和要求</w:t>
      </w:r>
      <w:r>
        <w:rPr>
          <w:rFonts w:hint="eastAsia" w:ascii="宋体" w:hAnsi="宋体"/>
          <w:color w:val="auto"/>
          <w:sz w:val="22"/>
          <w:szCs w:val="22"/>
          <w:highlight w:val="none"/>
        </w:rPr>
        <w:t>；</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相关管理和配合服务（如有）：</w:t>
      </w:r>
      <w:r>
        <w:rPr>
          <w:rFonts w:hint="eastAsia" w:ascii="宋体" w:hAnsi="宋体"/>
          <w:color w:val="auto"/>
          <w:sz w:val="22"/>
          <w:szCs w:val="22"/>
          <w:highlight w:val="none"/>
          <w:u w:val="single"/>
        </w:rPr>
        <w:t>负责造价咨询方面的各项管理工作，包括但不限于</w:t>
      </w:r>
      <w:r>
        <w:rPr>
          <w:rFonts w:hint="eastAsia" w:ascii="宋体" w:hAnsi="宋体"/>
          <w:color w:val="auto"/>
          <w:sz w:val="22"/>
          <w:szCs w:val="22"/>
          <w:highlight w:val="none"/>
          <w:u w:val="single"/>
          <w:lang w:bidi="ar"/>
        </w:rPr>
        <w:t>造价控制管理、资金使用计划管理、签证及索赔管理（包括索赔和反索赔）、工程造价动态管理等；负责并配合委托人交办的属于造价咨询服务或与造价咨询服务有关的工作</w:t>
      </w:r>
      <w:r>
        <w:rPr>
          <w:rFonts w:hint="eastAsia" w:ascii="宋体" w:hAnsi="宋体"/>
          <w:color w:val="auto"/>
          <w:sz w:val="22"/>
          <w:szCs w:val="22"/>
          <w:highlight w:val="none"/>
        </w:rPr>
        <w:t>。</w:t>
      </w:r>
    </w:p>
    <w:p>
      <w:pPr>
        <w:spacing w:beforeAutospacing="0" w:afterAutospacing="0" w:line="360" w:lineRule="auto"/>
        <w:ind w:firstLine="422"/>
        <w:rPr>
          <w:rFonts w:hint="eastAsia" w:ascii="宋体" w:hAnsi="宋体"/>
          <w:b/>
          <w:color w:val="auto"/>
          <w:sz w:val="22"/>
          <w:szCs w:val="22"/>
          <w:highlight w:val="none"/>
          <w:lang w:eastAsia="zh-CN"/>
        </w:rPr>
      </w:pPr>
      <w:r>
        <w:rPr>
          <w:rFonts w:hint="eastAsia" w:ascii="宋体" w:hAnsi="宋体"/>
          <w:b/>
          <w:color w:val="auto"/>
          <w:sz w:val="22"/>
          <w:szCs w:val="22"/>
          <w:highlight w:val="none"/>
          <w:lang w:eastAsia="zh-CN"/>
        </w:rPr>
        <w:t>（</w:t>
      </w:r>
      <w:r>
        <w:rPr>
          <w:rFonts w:hint="eastAsia" w:ascii="宋体" w:hAnsi="宋体"/>
          <w:b/>
          <w:color w:val="auto"/>
          <w:sz w:val="22"/>
          <w:szCs w:val="22"/>
          <w:highlight w:val="none"/>
          <w:lang w:val="en-US" w:eastAsia="zh-CN"/>
        </w:rPr>
        <w:t>3</w:t>
      </w:r>
      <w:r>
        <w:rPr>
          <w:rFonts w:hint="eastAsia" w:ascii="宋体" w:hAnsi="宋体"/>
          <w:b/>
          <w:color w:val="auto"/>
          <w:sz w:val="22"/>
          <w:szCs w:val="22"/>
          <w:highlight w:val="none"/>
          <w:lang w:eastAsia="zh-CN"/>
        </w:rPr>
        <w:t>）</w:t>
      </w:r>
      <w:r>
        <w:rPr>
          <w:rFonts w:hint="eastAsia" w:ascii="宋体" w:hAnsi="宋体"/>
          <w:b/>
          <w:color w:val="auto"/>
          <w:sz w:val="22"/>
          <w:szCs w:val="22"/>
          <w:highlight w:val="none"/>
        </w:rPr>
        <w:t>对政府投资项目全过程工程咨询服务的特别约定</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对于政府投资项目，咨询服务范围的描述还应包括如下内容：</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eastAsia="zh-CN"/>
        </w:rPr>
        <w:t>供应商</w:t>
      </w:r>
      <w:r>
        <w:rPr>
          <w:rFonts w:hint="eastAsia" w:ascii="宋体" w:hAnsi="宋体"/>
          <w:color w:val="auto"/>
          <w:sz w:val="22"/>
          <w:szCs w:val="22"/>
          <w:highlight w:val="none"/>
        </w:rPr>
        <w:t>提交的服务成果除应符合本合同其他关于服务成果的约定外，还应符合在专用合同条件[第4条 服务要求和服务成果]中约定的行政主管部门关于工作深度的要求，如因未达到深度要求而被要求补充修改的，由</w:t>
      </w:r>
      <w:r>
        <w:rPr>
          <w:rFonts w:hint="eastAsia" w:ascii="宋体" w:hAnsi="宋体"/>
          <w:color w:val="auto"/>
          <w:sz w:val="22"/>
          <w:szCs w:val="22"/>
          <w:highlight w:val="none"/>
          <w:lang w:eastAsia="zh-CN"/>
        </w:rPr>
        <w:t>供应商</w:t>
      </w:r>
      <w:r>
        <w:rPr>
          <w:rFonts w:hint="eastAsia" w:ascii="宋体" w:hAnsi="宋体"/>
          <w:color w:val="auto"/>
          <w:sz w:val="22"/>
          <w:szCs w:val="22"/>
          <w:highlight w:val="none"/>
        </w:rPr>
        <w:t>承担责任，不适用变更和服务费用调整的约定；</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2.</w:t>
      </w:r>
      <w:r>
        <w:rPr>
          <w:rFonts w:hint="eastAsia" w:ascii="宋体" w:hAnsi="宋体"/>
          <w:color w:val="auto"/>
          <w:sz w:val="22"/>
          <w:szCs w:val="22"/>
          <w:highlight w:val="none"/>
          <w:lang w:eastAsia="zh-CN"/>
        </w:rPr>
        <w:t>供应商</w:t>
      </w:r>
      <w:r>
        <w:rPr>
          <w:rFonts w:hint="eastAsia" w:ascii="宋体" w:hAnsi="宋体"/>
          <w:color w:val="auto"/>
          <w:sz w:val="22"/>
          <w:szCs w:val="22"/>
          <w:highlight w:val="none"/>
        </w:rPr>
        <w:t>在提供咨询服务时，应当以经批准的投资概算为限额，避免提供的服务成果突破经批准的投资概算，如因</w:t>
      </w:r>
      <w:r>
        <w:rPr>
          <w:rFonts w:hint="eastAsia" w:ascii="宋体" w:hAnsi="宋体"/>
          <w:color w:val="auto"/>
          <w:sz w:val="22"/>
          <w:szCs w:val="22"/>
          <w:highlight w:val="none"/>
          <w:lang w:eastAsia="zh-CN"/>
        </w:rPr>
        <w:t>供应商</w:t>
      </w:r>
      <w:r>
        <w:rPr>
          <w:rFonts w:hint="eastAsia" w:ascii="宋体" w:hAnsi="宋体"/>
          <w:color w:val="auto"/>
          <w:sz w:val="22"/>
          <w:szCs w:val="22"/>
          <w:highlight w:val="none"/>
        </w:rPr>
        <w:t>原因导致提供的服务成果突破经批准的投资概算，不适用变更和服务费用调整的约定；</w:t>
      </w:r>
    </w:p>
    <w:p>
      <w:pPr>
        <w:spacing w:beforeAutospacing="0" w:afterAutospacing="0" w:line="360" w:lineRule="auto"/>
        <w:ind w:firstLine="420"/>
        <w:rPr>
          <w:rFonts w:hint="eastAsia" w:ascii="宋体" w:hAnsi="宋体"/>
          <w:color w:val="auto"/>
          <w:sz w:val="22"/>
          <w:szCs w:val="22"/>
          <w:highlight w:val="none"/>
        </w:rPr>
      </w:pPr>
      <w:r>
        <w:rPr>
          <w:rFonts w:hint="eastAsia" w:ascii="宋体" w:hAnsi="宋体"/>
          <w:color w:val="auto"/>
          <w:sz w:val="22"/>
          <w:szCs w:val="22"/>
          <w:highlight w:val="none"/>
        </w:rPr>
        <w:t>3.</w:t>
      </w:r>
      <w:r>
        <w:rPr>
          <w:rFonts w:hint="eastAsia" w:ascii="宋体" w:hAnsi="宋体"/>
          <w:color w:val="auto"/>
          <w:sz w:val="22"/>
          <w:szCs w:val="22"/>
          <w:highlight w:val="none"/>
          <w:lang w:eastAsia="zh-CN"/>
        </w:rPr>
        <w:t>供应商</w:t>
      </w:r>
      <w:r>
        <w:rPr>
          <w:rFonts w:hint="eastAsia" w:ascii="宋体" w:hAnsi="宋体"/>
          <w:color w:val="auto"/>
          <w:sz w:val="22"/>
          <w:szCs w:val="22"/>
          <w:highlight w:val="none"/>
        </w:rPr>
        <w:t>负责造价咨询时，应确保其编制的投资概算、施工图预算、及审核的竣工结算具备真实性、准确性、完整性和具有时效性，并对项目建设全过程的造价控制进行监督管理，及时向委托人提示存在的造价超出概算的风险；</w:t>
      </w:r>
    </w:p>
    <w:p>
      <w:pPr>
        <w:spacing w:beforeAutospacing="0" w:afterAutospacing="0" w:line="360" w:lineRule="auto"/>
        <w:ind w:firstLine="42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4</w:t>
      </w:r>
      <w:r>
        <w:rPr>
          <w:rFonts w:hint="eastAsia" w:ascii="宋体" w:hAnsi="宋体"/>
          <w:color w:val="auto"/>
          <w:sz w:val="22"/>
          <w:szCs w:val="22"/>
          <w:highlight w:val="none"/>
        </w:rPr>
        <w:t>.</w:t>
      </w:r>
      <w:r>
        <w:rPr>
          <w:rFonts w:hint="eastAsia" w:ascii="宋体" w:hAnsi="宋体"/>
          <w:color w:val="auto"/>
          <w:sz w:val="22"/>
          <w:szCs w:val="22"/>
          <w:highlight w:val="none"/>
          <w:lang w:eastAsia="zh-CN"/>
        </w:rPr>
        <w:t>供应商</w:t>
      </w:r>
      <w:r>
        <w:rPr>
          <w:rFonts w:hint="eastAsia" w:ascii="宋体" w:hAnsi="宋体"/>
          <w:color w:val="auto"/>
          <w:sz w:val="22"/>
          <w:szCs w:val="22"/>
          <w:highlight w:val="none"/>
        </w:rPr>
        <w:t>应协助委托人配合行政管理部门开展项目的财政投资评审、审计、后评价等工作，对于行政管理部门提出的整改要求，应协助委托人进行整改；</w:t>
      </w:r>
    </w:p>
    <w:p>
      <w:pPr>
        <w:spacing w:beforeAutospacing="0" w:afterAutospacing="0" w:line="360" w:lineRule="auto"/>
        <w:ind w:firstLine="420"/>
        <w:rPr>
          <w:rFonts w:hint="eastAsia" w:ascii="宋体" w:hAnsi="宋体"/>
          <w:color w:val="auto"/>
          <w:sz w:val="22"/>
          <w:szCs w:val="22"/>
          <w:highlight w:val="none"/>
          <w:lang w:val="en-US" w:eastAsia="zh-CN"/>
        </w:rPr>
      </w:pPr>
      <w:r>
        <w:rPr>
          <w:rFonts w:hint="eastAsia" w:ascii="宋体" w:hAnsi="宋体"/>
          <w:color w:val="auto"/>
          <w:sz w:val="22"/>
          <w:szCs w:val="22"/>
          <w:highlight w:val="none"/>
          <w:lang w:val="en-US" w:eastAsia="zh-CN"/>
        </w:rPr>
        <w:t>5</w:t>
      </w:r>
      <w:r>
        <w:rPr>
          <w:rFonts w:hint="eastAsia" w:ascii="宋体" w:hAnsi="宋体"/>
          <w:color w:val="auto"/>
          <w:sz w:val="22"/>
          <w:szCs w:val="22"/>
          <w:highlight w:val="none"/>
        </w:rPr>
        <w:t>.</w:t>
      </w:r>
      <w:r>
        <w:rPr>
          <w:rFonts w:hint="eastAsia" w:ascii="宋体" w:hAnsi="宋体"/>
          <w:color w:val="auto"/>
          <w:sz w:val="22"/>
          <w:szCs w:val="22"/>
          <w:highlight w:val="none"/>
          <w:lang w:eastAsia="zh-CN"/>
        </w:rPr>
        <w:t>供应商</w:t>
      </w:r>
      <w:r>
        <w:rPr>
          <w:rFonts w:hint="eastAsia" w:ascii="宋体" w:hAnsi="宋体"/>
          <w:color w:val="auto"/>
          <w:sz w:val="22"/>
          <w:szCs w:val="22"/>
          <w:highlight w:val="none"/>
        </w:rPr>
        <w:t>应协助委托人配合人大、纪检监察、司法、行政等相关部门对项目的事中事后监管工作，对于提出的意见、建议或要求，应协助委托人进行整改。</w:t>
      </w:r>
    </w:p>
    <w:p>
      <w:pPr>
        <w:numPr>
          <w:ilvl w:val="0"/>
          <w:numId w:val="0"/>
        </w:numPr>
        <w:spacing w:line="360" w:lineRule="auto"/>
        <w:ind w:firstLine="440" w:firstLineChars="200"/>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（4）工程咨询服务期限：工程咨询服务期限为自工程咨询合同签订生效之日起至质量缺陷责任期完成。</w:t>
      </w:r>
    </w:p>
    <w:p>
      <w:pPr>
        <w:numPr>
          <w:ilvl w:val="0"/>
          <w:numId w:val="0"/>
        </w:numPr>
        <w:spacing w:line="360" w:lineRule="auto"/>
        <w:ind w:firstLine="440" w:firstLineChars="200"/>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（5）工程质量要求：以工程总承包的质量目标为准，且达到国家规定的合格验收标准。如后期工程创杯需无条件配合且不增加费用。</w:t>
      </w:r>
    </w:p>
    <w:p>
      <w:pPr>
        <w:numPr>
          <w:ilvl w:val="0"/>
          <w:numId w:val="0"/>
        </w:numPr>
        <w:spacing w:line="360" w:lineRule="auto"/>
        <w:ind w:firstLine="440" w:firstLineChars="200"/>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3、承包方式</w:t>
      </w:r>
    </w:p>
    <w:p>
      <w:pPr>
        <w:numPr>
          <w:ilvl w:val="0"/>
          <w:numId w:val="0"/>
        </w:numPr>
        <w:spacing w:line="360" w:lineRule="auto"/>
        <w:ind w:firstLine="440" w:firstLineChars="200"/>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3.1在本项目施工合同工期内合同服务费实行包干（</w:t>
      </w:r>
      <w:r>
        <w:rPr>
          <w:rFonts w:hint="eastAsia" w:ascii="宋体" w:hAnsi="宋体"/>
          <w:color w:val="auto"/>
          <w:sz w:val="22"/>
          <w:szCs w:val="22"/>
          <w:highlight w:val="none"/>
          <w:lang w:val="en-US" w:eastAsia="zh-CN"/>
        </w:rPr>
        <w:t>各项</w:t>
      </w:r>
      <w:r>
        <w:rPr>
          <w:rFonts w:hint="eastAsia" w:ascii="宋体" w:hAnsi="宋体" w:eastAsia="宋体"/>
          <w:color w:val="auto"/>
          <w:sz w:val="22"/>
          <w:szCs w:val="22"/>
          <w:highlight w:val="none"/>
          <w:lang w:val="en-US" w:eastAsia="zh-CN"/>
        </w:rPr>
        <w:t>报价包括投标人服务所需的一切劳务、材料、设备、办公设施、办公损耗、税费、保险、利润、完成合同所需的一切本身和不可或缺的所有工作开支、政策性文件规定及合同包含的所有风险、责任等各项全部费用并承担一切风险责任。），请各投标人充分考虑工程实际情况并结合自身实力进行合理报价，今后无论范围是否有调整，均将不予调整。</w:t>
      </w:r>
    </w:p>
    <w:p>
      <w:pPr>
        <w:numPr>
          <w:ilvl w:val="0"/>
          <w:numId w:val="0"/>
        </w:numPr>
        <w:spacing w:line="360" w:lineRule="auto"/>
        <w:ind w:firstLine="440" w:firstLineChars="200"/>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3.2本项目实际施工工期超过合同工期6个月内的（含六个月），咨询服务费不予增加；实际施工工期超过合同工期6个月以上的，咨询服务费按每月2万元给予补偿。</w:t>
      </w:r>
    </w:p>
    <w:p>
      <w:pPr>
        <w:numPr>
          <w:ilvl w:val="0"/>
          <w:numId w:val="0"/>
        </w:numPr>
        <w:snapToGrid w:val="0"/>
        <w:spacing w:line="460" w:lineRule="atLeast"/>
        <w:ind w:firstLine="440" w:firstLineChars="20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▲三、项目组成员（以下为本项目项目组成员基础配置，拟投入本项目的人员及职称不得少于或低于人员配置表）</w:t>
      </w:r>
    </w:p>
    <w:p>
      <w:pPr>
        <w:pStyle w:val="39"/>
        <w:jc w:val="center"/>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项目组成员人员基础配置表</w:t>
      </w:r>
    </w:p>
    <w:tbl>
      <w:tblPr>
        <w:tblStyle w:val="8"/>
        <w:tblW w:w="92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8"/>
        <w:gridCol w:w="795"/>
        <w:gridCol w:w="1716"/>
        <w:gridCol w:w="862"/>
        <w:gridCol w:w="3989"/>
        <w:gridCol w:w="1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3" w:hRule="atLeast"/>
          <w:tblHeader/>
          <w:jc w:val="center"/>
        </w:trPr>
        <w:tc>
          <w:tcPr>
            <w:tcW w:w="678" w:type="dxa"/>
            <w:vAlign w:val="center"/>
          </w:tcPr>
          <w:p>
            <w:pPr>
              <w:wordWrap w:val="0"/>
              <w:snapToGrid w:val="0"/>
              <w:spacing w:before="120" w:after="120"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序号</w:t>
            </w:r>
          </w:p>
        </w:tc>
        <w:tc>
          <w:tcPr>
            <w:tcW w:w="2511" w:type="dxa"/>
            <w:gridSpan w:val="2"/>
            <w:vAlign w:val="center"/>
          </w:tcPr>
          <w:p>
            <w:pPr>
              <w:wordWrap w:val="0"/>
              <w:snapToGrid w:val="0"/>
              <w:spacing w:before="120" w:after="120"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管理人员</w:t>
            </w:r>
          </w:p>
        </w:tc>
        <w:tc>
          <w:tcPr>
            <w:tcW w:w="862" w:type="dxa"/>
            <w:vAlign w:val="center"/>
          </w:tcPr>
          <w:p>
            <w:pPr>
              <w:wordWrap w:val="0"/>
              <w:snapToGrid w:val="0"/>
              <w:spacing w:before="120" w:after="120"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数量</w:t>
            </w:r>
          </w:p>
        </w:tc>
        <w:tc>
          <w:tcPr>
            <w:tcW w:w="3989" w:type="dxa"/>
            <w:vAlign w:val="center"/>
          </w:tcPr>
          <w:p>
            <w:pPr>
              <w:wordWrap w:val="0"/>
              <w:snapToGrid w:val="0"/>
              <w:spacing w:before="120" w:after="120"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职称（职业证书）</w:t>
            </w:r>
          </w:p>
        </w:tc>
        <w:tc>
          <w:tcPr>
            <w:tcW w:w="1191" w:type="dxa"/>
            <w:vAlign w:val="center"/>
          </w:tcPr>
          <w:p>
            <w:pPr>
              <w:wordWrap w:val="0"/>
              <w:snapToGrid w:val="0"/>
              <w:spacing w:before="120" w:after="120"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其他要求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3" w:hRule="atLeast"/>
          <w:tblHeader/>
          <w:jc w:val="center"/>
        </w:trPr>
        <w:tc>
          <w:tcPr>
            <w:tcW w:w="678" w:type="dxa"/>
            <w:vAlign w:val="center"/>
          </w:tcPr>
          <w:p>
            <w:pPr>
              <w:wordWrap w:val="0"/>
              <w:snapToGrid w:val="0"/>
              <w:spacing w:before="156" w:after="156" w:line="240" w:lineRule="exact"/>
              <w:jc w:val="center"/>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1</w:t>
            </w:r>
          </w:p>
        </w:tc>
        <w:tc>
          <w:tcPr>
            <w:tcW w:w="2511" w:type="dxa"/>
            <w:gridSpan w:val="2"/>
            <w:vAlign w:val="center"/>
          </w:tcPr>
          <w:p>
            <w:pPr>
              <w:wordWrap w:val="0"/>
              <w:snapToGrid w:val="0"/>
              <w:spacing w:before="156" w:after="156" w:line="240" w:lineRule="exact"/>
              <w:jc w:val="center"/>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项目总负责人资格</w:t>
            </w:r>
          </w:p>
        </w:tc>
        <w:tc>
          <w:tcPr>
            <w:tcW w:w="862" w:type="dxa"/>
            <w:vAlign w:val="center"/>
          </w:tcPr>
          <w:p>
            <w:pPr>
              <w:wordWrap w:val="0"/>
              <w:snapToGrid w:val="0"/>
              <w:spacing w:before="156" w:after="156" w:line="240" w:lineRule="exact"/>
              <w:jc w:val="center"/>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1人</w:t>
            </w:r>
          </w:p>
        </w:tc>
        <w:tc>
          <w:tcPr>
            <w:tcW w:w="3989"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国家注册一级造价工程师（2018年7月前取得国家注册造价工程师的，不限等级）</w:t>
            </w:r>
            <w:r>
              <w:rPr>
                <w:rFonts w:hint="eastAsia" w:ascii="宋体" w:hAnsi="宋体" w:eastAsia="宋体"/>
                <w:color w:val="auto"/>
                <w:sz w:val="22"/>
                <w:szCs w:val="22"/>
                <w:highlight w:val="none"/>
                <w:lang w:val="en-US" w:eastAsia="zh-CN"/>
              </w:rPr>
              <w:t>或一级注册建造师（建筑工程专业）。</w:t>
            </w:r>
          </w:p>
        </w:tc>
        <w:tc>
          <w:tcPr>
            <w:tcW w:w="1191" w:type="dxa"/>
            <w:vAlign w:val="center"/>
          </w:tcPr>
          <w:p>
            <w:pPr>
              <w:wordWrap w:val="0"/>
              <w:snapToGrid w:val="0"/>
              <w:spacing w:before="156" w:after="156"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全过程驻场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678" w:type="dxa"/>
            <w:vMerge w:val="restart"/>
            <w:vAlign w:val="center"/>
          </w:tcPr>
          <w:p>
            <w:pPr>
              <w:wordWrap w:val="0"/>
              <w:snapToGrid w:val="0"/>
              <w:spacing w:before="156" w:after="156" w:line="240" w:lineRule="exact"/>
              <w:jc w:val="center"/>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2</w:t>
            </w:r>
          </w:p>
        </w:tc>
        <w:tc>
          <w:tcPr>
            <w:tcW w:w="795" w:type="dxa"/>
            <w:vMerge w:val="restart"/>
            <w:vAlign w:val="center"/>
          </w:tcPr>
          <w:p>
            <w:pPr>
              <w:wordWrap w:val="0"/>
              <w:snapToGrid w:val="0"/>
              <w:spacing w:before="156" w:after="156" w:line="240" w:lineRule="exact"/>
              <w:jc w:val="center"/>
              <w:rPr>
                <w:rFonts w:hint="eastAsia" w:ascii="宋体" w:hAnsi="宋体" w:eastAsia="宋体"/>
                <w:color w:val="auto"/>
                <w:kern w:val="0"/>
                <w:sz w:val="22"/>
                <w:szCs w:val="22"/>
                <w:highlight w:val="none"/>
                <w:lang w:bidi="ar"/>
              </w:rPr>
            </w:pPr>
            <w:r>
              <w:rPr>
                <w:rFonts w:hint="eastAsia" w:ascii="宋体" w:hAnsi="宋体" w:eastAsia="宋体"/>
                <w:color w:val="auto"/>
                <w:kern w:val="0"/>
                <w:sz w:val="22"/>
                <w:szCs w:val="22"/>
                <w:highlight w:val="none"/>
                <w:lang w:bidi="ar"/>
              </w:rPr>
              <w:t>造价咨询人员</w:t>
            </w:r>
          </w:p>
        </w:tc>
        <w:tc>
          <w:tcPr>
            <w:tcW w:w="1716" w:type="dxa"/>
            <w:vAlign w:val="center"/>
          </w:tcPr>
          <w:p>
            <w:pPr>
              <w:wordWrap w:val="0"/>
              <w:snapToGrid w:val="0"/>
              <w:spacing w:before="156" w:after="156"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造价咨询负责人</w:t>
            </w:r>
          </w:p>
        </w:tc>
        <w:tc>
          <w:tcPr>
            <w:tcW w:w="862" w:type="dxa"/>
            <w:vAlign w:val="center"/>
          </w:tcPr>
          <w:p>
            <w:pPr>
              <w:wordWrap w:val="0"/>
              <w:snapToGrid w:val="0"/>
              <w:spacing w:before="156" w:after="156" w:line="240" w:lineRule="exact"/>
              <w:jc w:val="center"/>
              <w:rPr>
                <w:rFonts w:hint="eastAsia" w:ascii="宋体" w:hAnsi="宋体" w:eastAsia="宋体"/>
                <w:color w:val="auto"/>
                <w:sz w:val="22"/>
                <w:szCs w:val="22"/>
                <w:highlight w:val="none"/>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人</w:t>
            </w:r>
          </w:p>
        </w:tc>
        <w:tc>
          <w:tcPr>
            <w:tcW w:w="3989"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具备国家注册一级造价工程师资格（2018年7月前取得国家注册造价工程师的不限等级）</w:t>
            </w:r>
          </w:p>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注：凤头B-15、凤头B-25项目各</w:t>
            </w:r>
            <w:r>
              <w:rPr>
                <w:rFonts w:hint="eastAsia" w:ascii="宋体" w:hAnsi="宋体" w:eastAsia="宋体"/>
                <w:color w:val="auto"/>
                <w:sz w:val="22"/>
                <w:szCs w:val="22"/>
                <w:highlight w:val="none"/>
                <w:lang w:val="en-US" w:eastAsia="zh-CN"/>
              </w:rPr>
              <w:t>至少</w:t>
            </w:r>
            <w:r>
              <w:rPr>
                <w:rFonts w:hint="eastAsia" w:ascii="宋体" w:hAnsi="宋体" w:eastAsia="宋体"/>
                <w:color w:val="auto"/>
                <w:sz w:val="22"/>
                <w:szCs w:val="22"/>
                <w:highlight w:val="none"/>
              </w:rPr>
              <w:t>1人</w:t>
            </w:r>
            <w:r>
              <w:rPr>
                <w:rFonts w:hint="eastAsia" w:ascii="宋体" w:hAnsi="宋体" w:eastAsia="宋体"/>
                <w:color w:val="auto"/>
                <w:sz w:val="22"/>
                <w:szCs w:val="22"/>
                <w:highlight w:val="none"/>
                <w:lang w:eastAsia="zh-CN"/>
              </w:rPr>
              <w:t>；</w:t>
            </w:r>
          </w:p>
        </w:tc>
        <w:tc>
          <w:tcPr>
            <w:tcW w:w="1191" w:type="dxa"/>
            <w:vAlign w:val="center"/>
          </w:tcPr>
          <w:p>
            <w:pPr>
              <w:wordWrap w:val="0"/>
              <w:snapToGrid w:val="0"/>
              <w:spacing w:before="156" w:after="156" w:line="240" w:lineRule="exact"/>
              <w:jc w:val="center"/>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全过程驻场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678" w:type="dxa"/>
            <w:vMerge w:val="continue"/>
            <w:vAlign w:val="center"/>
          </w:tcPr>
          <w:p>
            <w:pPr>
              <w:wordWrap w:val="0"/>
              <w:snapToGrid w:val="0"/>
              <w:spacing w:before="156" w:after="156" w:line="240" w:lineRule="exact"/>
              <w:jc w:val="center"/>
              <w:rPr>
                <w:rFonts w:hint="eastAsia" w:ascii="宋体" w:hAnsi="宋体" w:eastAsia="宋体"/>
                <w:color w:val="auto"/>
                <w:kern w:val="2"/>
                <w:sz w:val="22"/>
                <w:szCs w:val="22"/>
                <w:highlight w:val="none"/>
                <w:lang w:val="en-US" w:eastAsia="zh-CN" w:bidi="ar-SA"/>
              </w:rPr>
            </w:pPr>
          </w:p>
        </w:tc>
        <w:tc>
          <w:tcPr>
            <w:tcW w:w="795" w:type="dxa"/>
            <w:vMerge w:val="continue"/>
            <w:vAlign w:val="top"/>
          </w:tcPr>
          <w:p>
            <w:pPr>
              <w:wordWrap w:val="0"/>
              <w:snapToGrid w:val="0"/>
              <w:spacing w:before="156" w:after="156" w:line="240" w:lineRule="exact"/>
              <w:jc w:val="left"/>
              <w:rPr>
                <w:rFonts w:hint="eastAsia" w:ascii="宋体" w:hAnsi="宋体" w:eastAsia="宋体"/>
                <w:color w:val="auto"/>
                <w:kern w:val="2"/>
                <w:sz w:val="22"/>
                <w:szCs w:val="22"/>
                <w:highlight w:val="none"/>
                <w:lang w:val="en-US" w:eastAsia="zh-CN" w:bidi="ar-SA"/>
              </w:rPr>
            </w:pPr>
          </w:p>
        </w:tc>
        <w:tc>
          <w:tcPr>
            <w:tcW w:w="1716"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安装</w:t>
            </w:r>
          </w:p>
        </w:tc>
        <w:tc>
          <w:tcPr>
            <w:tcW w:w="862" w:type="dxa"/>
            <w:vAlign w:val="center"/>
          </w:tcPr>
          <w:p>
            <w:pPr>
              <w:wordWrap w:val="0"/>
              <w:snapToGrid w:val="0"/>
              <w:spacing w:before="156" w:after="156" w:line="240" w:lineRule="exact"/>
              <w:jc w:val="left"/>
              <w:rPr>
                <w:rFonts w:hint="eastAsia"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人及以上</w:t>
            </w:r>
          </w:p>
        </w:tc>
        <w:tc>
          <w:tcPr>
            <w:tcW w:w="3989"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须具备安装专业国家注册一级造价工程师资格（2018年7月前取得国家注册造价工程师的，不限等级）不少于</w:t>
            </w:r>
            <w:r>
              <w:rPr>
                <w:rFonts w:hint="eastAsia" w:ascii="宋体" w:hAnsi="宋体" w:eastAsia="宋体"/>
                <w:color w:val="auto"/>
                <w:sz w:val="22"/>
                <w:szCs w:val="22"/>
                <w:highlight w:val="none"/>
                <w:lang w:val="en-US" w:eastAsia="zh-CN"/>
              </w:rPr>
              <w:t>3</w:t>
            </w:r>
            <w:r>
              <w:rPr>
                <w:rFonts w:hint="eastAsia" w:ascii="宋体" w:hAnsi="宋体" w:eastAsia="宋体"/>
                <w:color w:val="auto"/>
                <w:sz w:val="22"/>
                <w:szCs w:val="22"/>
                <w:highlight w:val="none"/>
              </w:rPr>
              <w:t>人</w:t>
            </w:r>
            <w:r>
              <w:rPr>
                <w:rFonts w:hint="eastAsia" w:ascii="宋体" w:hAnsi="宋体" w:eastAsia="宋体"/>
                <w:color w:val="auto"/>
                <w:sz w:val="22"/>
                <w:szCs w:val="22"/>
                <w:highlight w:val="none"/>
                <w:lang w:eastAsia="zh-CN"/>
              </w:rPr>
              <w:t>。</w:t>
            </w:r>
          </w:p>
          <w:p>
            <w:pPr>
              <w:wordWrap w:val="0"/>
              <w:snapToGrid w:val="0"/>
              <w:spacing w:before="156" w:after="156" w:line="240" w:lineRule="exact"/>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注：凤头B-15、凤头B-25项目</w:t>
            </w:r>
            <w:r>
              <w:rPr>
                <w:rFonts w:hint="eastAsia" w:ascii="宋体" w:hAnsi="宋体" w:eastAsia="宋体"/>
                <w:color w:val="auto"/>
                <w:sz w:val="22"/>
                <w:szCs w:val="22"/>
                <w:highlight w:val="none"/>
              </w:rPr>
              <w:t>各</w:t>
            </w:r>
            <w:r>
              <w:rPr>
                <w:rFonts w:hint="eastAsia" w:ascii="宋体" w:hAnsi="宋体" w:eastAsia="宋体"/>
                <w:color w:val="auto"/>
                <w:sz w:val="22"/>
                <w:szCs w:val="22"/>
                <w:highlight w:val="none"/>
                <w:lang w:val="en-US" w:eastAsia="zh-CN"/>
              </w:rPr>
              <w:t>至少</w:t>
            </w:r>
            <w:r>
              <w:rPr>
                <w:rFonts w:hint="eastAsia" w:ascii="宋体" w:hAnsi="宋体" w:eastAsia="宋体"/>
                <w:color w:val="auto"/>
                <w:sz w:val="22"/>
                <w:szCs w:val="22"/>
                <w:highlight w:val="none"/>
              </w:rPr>
              <w:t>1人</w:t>
            </w:r>
            <w:r>
              <w:rPr>
                <w:rFonts w:hint="eastAsia" w:ascii="宋体" w:hAnsi="宋体" w:eastAsia="宋体"/>
                <w:color w:val="auto"/>
                <w:sz w:val="22"/>
                <w:szCs w:val="22"/>
                <w:highlight w:val="none"/>
                <w:lang w:eastAsia="zh-CN"/>
              </w:rPr>
              <w:t>；</w:t>
            </w:r>
          </w:p>
        </w:tc>
        <w:tc>
          <w:tcPr>
            <w:tcW w:w="1191"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按需进场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blHeader/>
          <w:jc w:val="center"/>
        </w:trPr>
        <w:tc>
          <w:tcPr>
            <w:tcW w:w="678" w:type="dxa"/>
            <w:vMerge w:val="continue"/>
            <w:vAlign w:val="center"/>
          </w:tcPr>
          <w:p>
            <w:pPr>
              <w:wordWrap w:val="0"/>
              <w:snapToGrid w:val="0"/>
              <w:spacing w:before="156" w:after="156" w:line="240" w:lineRule="exact"/>
              <w:jc w:val="center"/>
              <w:rPr>
                <w:rFonts w:hint="eastAsia" w:ascii="宋体" w:hAnsi="宋体" w:eastAsia="宋体"/>
                <w:color w:val="auto"/>
                <w:sz w:val="22"/>
                <w:szCs w:val="22"/>
                <w:highlight w:val="none"/>
                <w:lang w:val="en-US" w:eastAsia="zh-CN"/>
              </w:rPr>
            </w:pPr>
          </w:p>
        </w:tc>
        <w:tc>
          <w:tcPr>
            <w:tcW w:w="795" w:type="dxa"/>
            <w:vMerge w:val="continue"/>
            <w:vAlign w:val="center"/>
          </w:tcPr>
          <w:p>
            <w:pPr>
              <w:wordWrap w:val="0"/>
              <w:snapToGrid w:val="0"/>
              <w:spacing w:before="156" w:after="156" w:line="240" w:lineRule="exact"/>
              <w:jc w:val="center"/>
              <w:rPr>
                <w:rFonts w:hint="eastAsia" w:ascii="宋体" w:hAnsi="宋体" w:eastAsia="宋体"/>
                <w:color w:val="auto"/>
                <w:kern w:val="2"/>
                <w:sz w:val="22"/>
                <w:szCs w:val="22"/>
                <w:highlight w:val="none"/>
                <w:lang w:val="en-US" w:eastAsia="zh-CN" w:bidi="ar-SA"/>
              </w:rPr>
            </w:pPr>
          </w:p>
        </w:tc>
        <w:tc>
          <w:tcPr>
            <w:tcW w:w="1716"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造价人员</w:t>
            </w:r>
          </w:p>
        </w:tc>
        <w:tc>
          <w:tcPr>
            <w:tcW w:w="862"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人及以上</w:t>
            </w:r>
          </w:p>
        </w:tc>
        <w:tc>
          <w:tcPr>
            <w:tcW w:w="3989"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具备二级及以上注册造价工程师资格</w:t>
            </w:r>
            <w:r>
              <w:rPr>
                <w:rFonts w:hint="eastAsia" w:ascii="宋体" w:hAnsi="宋体" w:eastAsia="宋体"/>
                <w:color w:val="auto"/>
                <w:sz w:val="22"/>
                <w:szCs w:val="22"/>
                <w:highlight w:val="none"/>
                <w:lang w:eastAsia="zh-CN"/>
              </w:rPr>
              <w:t>，</w:t>
            </w:r>
            <w:r>
              <w:rPr>
                <w:rFonts w:hint="eastAsia" w:ascii="宋体" w:hAnsi="宋体" w:eastAsia="宋体"/>
                <w:color w:val="auto"/>
                <w:sz w:val="22"/>
                <w:szCs w:val="22"/>
                <w:highlight w:val="none"/>
                <w:lang w:val="en-US" w:eastAsia="zh-CN"/>
              </w:rPr>
              <w:t>协助项目造价工作。</w:t>
            </w:r>
          </w:p>
          <w:p>
            <w:pPr>
              <w:wordWrap w:val="0"/>
              <w:snapToGrid w:val="0"/>
              <w:spacing w:before="156" w:after="156" w:line="240" w:lineRule="exact"/>
              <w:jc w:val="left"/>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注：凤头B-15、凤头B-25项目</w:t>
            </w:r>
            <w:r>
              <w:rPr>
                <w:rFonts w:hint="eastAsia" w:ascii="宋体" w:hAnsi="宋体" w:eastAsia="宋体"/>
                <w:color w:val="auto"/>
                <w:sz w:val="22"/>
                <w:szCs w:val="22"/>
                <w:highlight w:val="none"/>
              </w:rPr>
              <w:t>各</w:t>
            </w:r>
            <w:r>
              <w:rPr>
                <w:rFonts w:hint="eastAsia" w:ascii="宋体" w:hAnsi="宋体" w:eastAsia="宋体"/>
                <w:color w:val="auto"/>
                <w:sz w:val="22"/>
                <w:szCs w:val="22"/>
                <w:highlight w:val="none"/>
                <w:lang w:val="en-US" w:eastAsia="zh-CN"/>
              </w:rPr>
              <w:t>至少</w:t>
            </w:r>
            <w:r>
              <w:rPr>
                <w:rFonts w:hint="eastAsia" w:ascii="宋体" w:hAnsi="宋体" w:eastAsia="宋体"/>
                <w:color w:val="auto"/>
                <w:sz w:val="22"/>
                <w:szCs w:val="22"/>
                <w:highlight w:val="none"/>
              </w:rPr>
              <w:t>1人</w:t>
            </w:r>
            <w:r>
              <w:rPr>
                <w:rFonts w:hint="eastAsia" w:ascii="宋体" w:hAnsi="宋体" w:eastAsia="宋体"/>
                <w:color w:val="auto"/>
                <w:sz w:val="22"/>
                <w:szCs w:val="22"/>
                <w:highlight w:val="none"/>
                <w:lang w:eastAsia="zh-CN"/>
              </w:rPr>
              <w:t>；</w:t>
            </w:r>
          </w:p>
        </w:tc>
        <w:tc>
          <w:tcPr>
            <w:tcW w:w="1191" w:type="dxa"/>
            <w:vAlign w:val="center"/>
          </w:tcPr>
          <w:p>
            <w:pPr>
              <w:wordWrap w:val="0"/>
              <w:snapToGrid w:val="0"/>
              <w:spacing w:before="156" w:after="156" w:line="240" w:lineRule="exact"/>
              <w:jc w:val="lef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按需进场</w:t>
            </w:r>
          </w:p>
        </w:tc>
      </w:tr>
    </w:tbl>
    <w:p>
      <w:pPr>
        <w:numPr>
          <w:ilvl w:val="0"/>
          <w:numId w:val="0"/>
        </w:numPr>
        <w:snapToGrid w:val="0"/>
        <w:spacing w:line="460" w:lineRule="atLeast"/>
        <w:ind w:firstLine="440" w:firstLineChars="200"/>
        <w:rPr>
          <w:rFonts w:hint="eastAsia" w:ascii="宋体" w:hAnsi="宋体" w:eastAsia="宋体"/>
          <w:color w:val="auto"/>
          <w:sz w:val="22"/>
          <w:szCs w:val="22"/>
          <w:highlight w:val="none"/>
          <w:lang w:val="en-US" w:eastAsia="zh-CN"/>
        </w:rPr>
      </w:pPr>
    </w:p>
    <w:p>
      <w:pPr>
        <w:numPr>
          <w:ilvl w:val="0"/>
          <w:numId w:val="0"/>
        </w:numPr>
        <w:snapToGrid w:val="0"/>
        <w:spacing w:line="460" w:lineRule="atLeast"/>
        <w:ind w:firstLine="440" w:firstLineChars="20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项目负责人及以上人员须是本单位注册人员，人员岗位不重复，</w:t>
      </w:r>
      <w:r>
        <w:rPr>
          <w:rFonts w:hint="eastAsia" w:ascii="宋体" w:hAnsi="宋体" w:eastAsia="宋体"/>
          <w:color w:val="auto"/>
          <w:sz w:val="22"/>
          <w:szCs w:val="22"/>
          <w:highlight w:val="none"/>
        </w:rPr>
        <w:t>提供相关的证书扫描件</w:t>
      </w:r>
      <w:r>
        <w:rPr>
          <w:rFonts w:hint="eastAsia" w:ascii="宋体" w:hAnsi="宋体" w:eastAsia="宋体"/>
          <w:color w:val="auto"/>
          <w:sz w:val="22"/>
          <w:szCs w:val="22"/>
          <w:highlight w:val="none"/>
          <w:lang w:val="en-US" w:eastAsia="zh-CN"/>
        </w:rPr>
        <w:t>及</w:t>
      </w:r>
      <w:r>
        <w:rPr>
          <w:rFonts w:hint="eastAsia" w:ascii="宋体" w:hAnsi="宋体" w:eastAsia="宋体"/>
          <w:color w:val="auto"/>
          <w:sz w:val="22"/>
          <w:szCs w:val="22"/>
          <w:highlight w:val="none"/>
        </w:rPr>
        <w:t>投标截止日期前的近6个月的社保证明加盖投标人公章</w:t>
      </w:r>
      <w:r>
        <w:rPr>
          <w:rFonts w:hint="eastAsia" w:ascii="宋体" w:hAnsi="宋体" w:eastAsia="宋体"/>
          <w:color w:val="auto"/>
          <w:sz w:val="22"/>
          <w:szCs w:val="22"/>
          <w:highlight w:val="none"/>
          <w:lang w:eastAsia="zh-CN"/>
        </w:rPr>
        <w:t>。</w:t>
      </w:r>
    </w:p>
    <w:p>
      <w:pPr>
        <w:autoSpaceDE w:val="0"/>
        <w:autoSpaceDN w:val="0"/>
        <w:spacing w:line="360" w:lineRule="auto"/>
        <w:ind w:firstLine="440" w:firstLineChars="200"/>
        <w:rPr>
          <w:rFonts w:hint="eastAsia" w:ascii="宋体" w:hAnsi="宋体" w:eastAsia="宋体"/>
          <w:b w:val="0"/>
          <w:bCs w:val="0"/>
          <w:color w:val="auto"/>
          <w:sz w:val="22"/>
          <w:szCs w:val="22"/>
          <w:highlight w:val="none"/>
          <w:lang w:val="en-US" w:eastAsia="zh-CN"/>
        </w:rPr>
      </w:pPr>
      <w:r>
        <w:rPr>
          <w:rFonts w:hint="eastAsia" w:ascii="宋体" w:hAnsi="宋体" w:eastAsia="宋体"/>
          <w:b w:val="0"/>
          <w:bCs w:val="0"/>
          <w:color w:val="auto"/>
          <w:sz w:val="22"/>
          <w:szCs w:val="22"/>
          <w:highlight w:val="none"/>
          <w:lang w:val="en-US" w:eastAsia="zh-CN"/>
        </w:rPr>
        <w:t>四</w:t>
      </w:r>
      <w:r>
        <w:rPr>
          <w:rFonts w:hint="eastAsia" w:ascii="宋体" w:hAnsi="宋体" w:eastAsia="宋体"/>
          <w:b w:val="0"/>
          <w:bCs w:val="0"/>
          <w:color w:val="auto"/>
          <w:sz w:val="22"/>
          <w:szCs w:val="22"/>
          <w:highlight w:val="none"/>
        </w:rPr>
        <w:t>、付款方式：</w:t>
      </w:r>
    </w:p>
    <w:p>
      <w:pPr>
        <w:pStyle w:val="83"/>
        <w:snapToGrid w:val="0"/>
        <w:spacing w:line="440" w:lineRule="atLeast"/>
        <w:ind w:firstLine="552" w:firstLineChars="250"/>
        <w:rPr>
          <w:rFonts w:hint="eastAsia" w:ascii="宋体" w:hAnsi="宋体" w:eastAsia="宋体"/>
          <w:b/>
          <w:bCs/>
          <w:color w:val="auto"/>
          <w:sz w:val="22"/>
          <w:szCs w:val="22"/>
          <w:highlight w:val="none"/>
          <w:lang w:val="en-US" w:eastAsia="zh-CN"/>
        </w:rPr>
      </w:pPr>
      <w:r>
        <w:rPr>
          <w:rFonts w:hint="eastAsia" w:ascii="宋体" w:hAnsi="宋体" w:eastAsia="宋体"/>
          <w:b/>
          <w:bCs/>
          <w:color w:val="auto"/>
          <w:sz w:val="22"/>
          <w:szCs w:val="22"/>
          <w:highlight w:val="none"/>
          <w:lang w:val="en-US" w:eastAsia="zh-CN"/>
        </w:rPr>
        <w:t>1、</w:t>
      </w:r>
      <w:r>
        <w:rPr>
          <w:rFonts w:hint="eastAsia" w:ascii="宋体" w:hAnsi="宋体" w:eastAsia="宋体"/>
          <w:b/>
          <w:bCs/>
          <w:color w:val="auto"/>
          <w:sz w:val="22"/>
          <w:szCs w:val="22"/>
          <w:highlight w:val="none"/>
        </w:rPr>
        <w:t>履约保证金的收取：合同总价的</w:t>
      </w:r>
      <w:r>
        <w:rPr>
          <w:rFonts w:hint="eastAsia" w:ascii="宋体" w:hAnsi="宋体" w:eastAsia="宋体"/>
          <w:b/>
          <w:bCs/>
          <w:color w:val="auto"/>
          <w:sz w:val="22"/>
          <w:szCs w:val="22"/>
          <w:highlight w:val="none"/>
          <w:lang w:val="en-US" w:eastAsia="zh-CN"/>
        </w:rPr>
        <w:t>1</w:t>
      </w:r>
      <w:r>
        <w:rPr>
          <w:rFonts w:hint="eastAsia" w:ascii="宋体" w:hAnsi="宋体" w:eastAsia="宋体"/>
          <w:b/>
          <w:bCs/>
          <w:color w:val="auto"/>
          <w:sz w:val="22"/>
          <w:szCs w:val="22"/>
          <w:highlight w:val="none"/>
        </w:rPr>
        <w:t>％；履约保证金形式：银行汇票（电汇）、网银形式。在签订合同后7个工作日内支付给采购人。如成交供应商</w:t>
      </w:r>
      <w:r>
        <w:rPr>
          <w:rFonts w:hint="eastAsia" w:ascii="宋体" w:hAnsi="宋体" w:eastAsia="宋体"/>
          <w:b/>
          <w:bCs/>
          <w:color w:val="auto"/>
          <w:sz w:val="22"/>
          <w:szCs w:val="22"/>
          <w:highlight w:val="none"/>
          <w:lang w:eastAsia="zh-CN"/>
        </w:rPr>
        <w:t>的原因</w:t>
      </w:r>
      <w:r>
        <w:rPr>
          <w:rFonts w:hint="eastAsia" w:ascii="宋体" w:hAnsi="宋体" w:eastAsia="宋体"/>
          <w:b/>
          <w:bCs/>
          <w:color w:val="auto"/>
          <w:sz w:val="22"/>
          <w:szCs w:val="22"/>
          <w:highlight w:val="none"/>
        </w:rPr>
        <w:t>不能按承诺和合同要</w:t>
      </w:r>
      <w:r>
        <w:rPr>
          <w:rFonts w:hint="eastAsia" w:ascii="宋体" w:hAnsi="宋体" w:eastAsia="宋体"/>
          <w:b/>
          <w:bCs/>
          <w:color w:val="auto"/>
          <w:sz w:val="22"/>
          <w:szCs w:val="22"/>
          <w:highlight w:val="none"/>
          <w:lang w:eastAsia="zh-CN"/>
        </w:rPr>
        <w:t>求履约，采购人将有权扣除</w:t>
      </w:r>
      <w:r>
        <w:rPr>
          <w:rFonts w:hint="eastAsia" w:ascii="宋体" w:hAnsi="宋体" w:eastAsia="宋体"/>
          <w:b/>
          <w:bCs/>
          <w:color w:val="auto"/>
          <w:sz w:val="22"/>
          <w:szCs w:val="22"/>
          <w:highlight w:val="none"/>
        </w:rPr>
        <w:t>履约保证金</w:t>
      </w:r>
      <w:r>
        <w:rPr>
          <w:rFonts w:hint="eastAsia" w:ascii="宋体" w:hAnsi="宋体" w:eastAsia="宋体"/>
          <w:b/>
          <w:bCs/>
          <w:color w:val="auto"/>
          <w:sz w:val="22"/>
          <w:szCs w:val="22"/>
          <w:highlight w:val="none"/>
          <w:lang w:eastAsia="zh-CN"/>
        </w:rPr>
        <w:t>或不予退还</w:t>
      </w:r>
      <w:r>
        <w:rPr>
          <w:rFonts w:hint="eastAsia" w:ascii="宋体" w:hAnsi="宋体" w:eastAsia="宋体"/>
          <w:b/>
          <w:bCs/>
          <w:color w:val="auto"/>
          <w:sz w:val="22"/>
          <w:szCs w:val="22"/>
          <w:highlight w:val="none"/>
        </w:rPr>
        <w:t>履约保证金</w:t>
      </w:r>
      <w:r>
        <w:rPr>
          <w:rFonts w:hint="eastAsia" w:ascii="宋体" w:hAnsi="宋体" w:eastAsia="宋体"/>
          <w:b/>
          <w:bCs/>
          <w:color w:val="auto"/>
          <w:sz w:val="22"/>
          <w:szCs w:val="22"/>
          <w:highlight w:val="none"/>
          <w:lang w:eastAsia="zh-CN"/>
        </w:rPr>
        <w:t>。</w:t>
      </w:r>
    </w:p>
    <w:p>
      <w:pPr>
        <w:pStyle w:val="83"/>
        <w:snapToGrid w:val="0"/>
        <w:spacing w:line="460" w:lineRule="exact"/>
        <w:ind w:firstLine="442" w:firstLineChars="200"/>
        <w:rPr>
          <w:rFonts w:hint="eastAsia" w:ascii="宋体" w:hAnsi="宋体" w:eastAsia="宋体"/>
          <w:b/>
          <w:bCs/>
          <w:color w:val="auto"/>
          <w:sz w:val="22"/>
          <w:szCs w:val="22"/>
          <w:highlight w:val="none"/>
          <w:lang w:val="en-US" w:eastAsia="zh-CN"/>
        </w:rPr>
      </w:pPr>
      <w:r>
        <w:rPr>
          <w:rFonts w:hint="eastAsia" w:ascii="宋体" w:hAnsi="宋体" w:eastAsia="宋体"/>
          <w:b/>
          <w:bCs/>
          <w:color w:val="auto"/>
          <w:sz w:val="22"/>
          <w:szCs w:val="22"/>
          <w:highlight w:val="none"/>
          <w:lang w:val="en-US" w:eastAsia="zh-CN"/>
        </w:rPr>
        <w:t>2、</w:t>
      </w:r>
      <w:r>
        <w:rPr>
          <w:rFonts w:hint="eastAsia" w:ascii="宋体" w:hAnsi="宋体" w:eastAsia="宋体"/>
          <w:b/>
          <w:bCs/>
          <w:color w:val="auto"/>
          <w:sz w:val="22"/>
          <w:szCs w:val="22"/>
          <w:highlight w:val="none"/>
        </w:rPr>
        <w:t>履约保证金的退取：项目</w:t>
      </w:r>
      <w:r>
        <w:rPr>
          <w:rFonts w:hint="eastAsia" w:ascii="宋体" w:hAnsi="宋体" w:eastAsia="宋体"/>
          <w:b/>
          <w:bCs/>
          <w:color w:val="auto"/>
          <w:sz w:val="22"/>
          <w:szCs w:val="22"/>
          <w:highlight w:val="none"/>
          <w:lang w:val="zh-CN"/>
        </w:rPr>
        <w:t>通过竣工验收合格后无息退还。</w:t>
      </w:r>
      <w:r>
        <w:rPr>
          <w:rFonts w:hint="eastAsia" w:ascii="宋体" w:hAnsi="宋体" w:eastAsia="宋体"/>
          <w:b/>
          <w:bCs/>
          <w:color w:val="auto"/>
          <w:sz w:val="22"/>
          <w:szCs w:val="22"/>
          <w:highlight w:val="none"/>
        </w:rPr>
        <w:t>如成交供应商原因造成合同中止，履约担保金不返还；如成交供应商不能按承诺和合同要求履约，采购人将有权扣除相应甚至全部履约保证金。</w:t>
      </w:r>
    </w:p>
    <w:p>
      <w:pPr>
        <w:snapToGrid w:val="0"/>
        <w:spacing w:line="460" w:lineRule="exact"/>
        <w:ind w:firstLine="442" w:firstLineChars="200"/>
        <w:rPr>
          <w:rFonts w:hint="eastAsia" w:ascii="宋体" w:hAnsi="宋体" w:eastAsia="宋体"/>
          <w:b/>
          <w:bCs/>
          <w:color w:val="auto"/>
          <w:sz w:val="22"/>
          <w:szCs w:val="22"/>
          <w:highlight w:val="none"/>
          <w:lang w:val="en-US" w:eastAsia="zh-CN"/>
        </w:rPr>
      </w:pPr>
      <w:r>
        <w:rPr>
          <w:rFonts w:hint="eastAsia" w:ascii="宋体" w:hAnsi="宋体" w:eastAsia="宋体"/>
          <w:b/>
          <w:bCs/>
          <w:color w:val="auto"/>
          <w:sz w:val="22"/>
          <w:szCs w:val="22"/>
          <w:highlight w:val="none"/>
          <w:lang w:val="en-US" w:eastAsia="zh-CN"/>
        </w:rPr>
        <w:t>3、</w:t>
      </w:r>
      <w:r>
        <w:rPr>
          <w:rFonts w:hint="eastAsia" w:ascii="宋体" w:hAnsi="宋体" w:eastAsia="宋体"/>
          <w:bCs/>
          <w:color w:val="auto"/>
          <w:sz w:val="22"/>
          <w:szCs w:val="22"/>
          <w:highlight w:val="none"/>
        </w:rPr>
        <w:t>预付款：</w:t>
      </w:r>
      <w:r>
        <w:rPr>
          <w:rFonts w:hint="eastAsia" w:ascii="宋体" w:hAnsi="宋体" w:eastAsia="宋体"/>
          <w:bCs/>
          <w:color w:val="auto"/>
          <w:sz w:val="22"/>
          <w:szCs w:val="22"/>
          <w:highlight w:val="none"/>
          <w:u w:val="single"/>
        </w:rPr>
        <w:t>在合同签订后，且中标供应商投标文件中承诺的人员</w:t>
      </w:r>
      <w:r>
        <w:rPr>
          <w:rFonts w:hint="eastAsia" w:ascii="宋体" w:hAnsi="宋体" w:eastAsia="宋体"/>
          <w:bCs/>
          <w:color w:val="auto"/>
          <w:sz w:val="22"/>
          <w:szCs w:val="22"/>
          <w:highlight w:val="none"/>
          <w:u w:val="single"/>
          <w:lang w:val="en-US" w:eastAsia="zh-CN"/>
        </w:rPr>
        <w:t>等</w:t>
      </w:r>
      <w:r>
        <w:rPr>
          <w:rFonts w:hint="eastAsia" w:ascii="宋体" w:hAnsi="宋体" w:eastAsia="宋体"/>
          <w:bCs/>
          <w:color w:val="auto"/>
          <w:sz w:val="22"/>
          <w:szCs w:val="22"/>
          <w:highlight w:val="none"/>
          <w:u w:val="single"/>
        </w:rPr>
        <w:t>均配备到位后的15日内</w:t>
      </w:r>
      <w:r>
        <w:rPr>
          <w:rFonts w:hint="eastAsia" w:ascii="宋体" w:hAnsi="宋体" w:eastAsia="宋体"/>
          <w:bCs/>
          <w:color w:val="auto"/>
          <w:sz w:val="22"/>
          <w:szCs w:val="22"/>
          <w:highlight w:val="none"/>
        </w:rPr>
        <w:t>，采购人向供应商支付</w:t>
      </w:r>
      <w:r>
        <w:rPr>
          <w:rFonts w:hint="eastAsia" w:ascii="宋体" w:hAnsi="宋体" w:eastAsia="宋体"/>
          <w:bCs/>
          <w:color w:val="auto"/>
          <w:sz w:val="22"/>
          <w:szCs w:val="22"/>
          <w:highlight w:val="none"/>
          <w:lang w:eastAsia="zh-CN"/>
        </w:rPr>
        <w:t>全过程咨询服务（</w:t>
      </w:r>
      <w:r>
        <w:rPr>
          <w:rFonts w:hint="eastAsia" w:ascii="宋体" w:hAnsi="宋体" w:eastAsia="宋体"/>
          <w:bCs/>
          <w:color w:val="auto"/>
          <w:sz w:val="22"/>
          <w:szCs w:val="22"/>
          <w:highlight w:val="none"/>
          <w:lang w:val="en-US" w:eastAsia="zh-CN"/>
        </w:rPr>
        <w:t>扣除项目竣工财务决算合同金额</w:t>
      </w:r>
      <w:r>
        <w:rPr>
          <w:rFonts w:hint="eastAsia" w:ascii="宋体" w:hAnsi="宋体" w:eastAsia="宋体"/>
          <w:bCs/>
          <w:color w:val="auto"/>
          <w:sz w:val="22"/>
          <w:szCs w:val="22"/>
          <w:highlight w:val="none"/>
          <w:lang w:eastAsia="zh-CN"/>
        </w:rPr>
        <w:t>）</w:t>
      </w:r>
      <w:r>
        <w:rPr>
          <w:rFonts w:hint="eastAsia" w:ascii="宋体" w:hAnsi="宋体" w:eastAsia="宋体"/>
          <w:bCs/>
          <w:color w:val="auto"/>
          <w:sz w:val="22"/>
          <w:szCs w:val="22"/>
          <w:highlight w:val="none"/>
        </w:rPr>
        <w:t>的</w:t>
      </w:r>
      <w:r>
        <w:rPr>
          <w:rFonts w:hint="eastAsia" w:ascii="宋体" w:hAnsi="宋体" w:eastAsia="宋体"/>
          <w:bCs/>
          <w:color w:val="auto"/>
          <w:sz w:val="22"/>
          <w:szCs w:val="22"/>
          <w:highlight w:val="none"/>
          <w:lang w:val="en-US" w:eastAsia="zh-CN"/>
        </w:rPr>
        <w:t>10</w:t>
      </w:r>
      <w:r>
        <w:rPr>
          <w:rFonts w:hint="eastAsia" w:ascii="宋体" w:hAnsi="宋体" w:eastAsia="宋体"/>
          <w:bCs/>
          <w:color w:val="auto"/>
          <w:sz w:val="22"/>
          <w:szCs w:val="22"/>
          <w:highlight w:val="none"/>
        </w:rPr>
        <w:t>%作为预付款，同时采购人有权要求供应商提交银行、保险公司等金融机构出具的预付款保函或其他担保措施。预付款扣回：在每次支付服务费进度款时按比例扣回，工程结算且咨询单位提交</w:t>
      </w:r>
      <w:r>
        <w:rPr>
          <w:rFonts w:hint="eastAsia" w:ascii="宋体" w:hAnsi="宋体" w:eastAsia="宋体"/>
          <w:bCs/>
          <w:color w:val="auto"/>
          <w:sz w:val="22"/>
          <w:szCs w:val="22"/>
          <w:highlight w:val="none"/>
          <w:lang w:val="en-US" w:eastAsia="zh-CN"/>
        </w:rPr>
        <w:t>完整</w:t>
      </w:r>
      <w:r>
        <w:rPr>
          <w:rFonts w:hint="eastAsia" w:ascii="宋体" w:hAnsi="宋体" w:eastAsia="宋体"/>
          <w:bCs/>
          <w:color w:val="auto"/>
          <w:sz w:val="22"/>
          <w:szCs w:val="22"/>
          <w:highlight w:val="none"/>
        </w:rPr>
        <w:t>资料并完成备案后，余款付清时扣回剩余全部预付款。</w:t>
      </w:r>
    </w:p>
    <w:p>
      <w:pPr>
        <w:snapToGrid w:val="0"/>
        <w:spacing w:line="460" w:lineRule="exact"/>
        <w:ind w:firstLine="440" w:firstLineChars="200"/>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4、</w:t>
      </w:r>
      <w:r>
        <w:rPr>
          <w:rFonts w:hint="eastAsia" w:ascii="宋体" w:hAnsi="宋体" w:eastAsia="宋体"/>
          <w:bCs/>
          <w:color w:val="auto"/>
          <w:sz w:val="22"/>
          <w:szCs w:val="22"/>
          <w:highlight w:val="none"/>
        </w:rPr>
        <w:t>付款方式：</w:t>
      </w:r>
    </w:p>
    <w:p>
      <w:pPr>
        <w:snapToGrid w:val="0"/>
        <w:spacing w:line="460" w:lineRule="exact"/>
        <w:ind w:firstLine="440" w:firstLineChars="200"/>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服务费进度支付按照每季度实际完成施工工程量比例×服务费×80%为本季度应核拨的项目服务费进度款，该进度款在下季度第一个月的10日前支付，累计支付至本工程服务费合同价款的80％时暂停支付，工程结算且咨询单位提交</w:t>
      </w:r>
      <w:r>
        <w:rPr>
          <w:rFonts w:hint="eastAsia" w:ascii="宋体" w:hAnsi="宋体" w:eastAsia="宋体"/>
          <w:bCs/>
          <w:color w:val="auto"/>
          <w:sz w:val="22"/>
          <w:szCs w:val="22"/>
          <w:highlight w:val="none"/>
          <w:lang w:val="en-US" w:eastAsia="zh-CN"/>
        </w:rPr>
        <w:t>完整</w:t>
      </w:r>
      <w:r>
        <w:rPr>
          <w:rFonts w:hint="eastAsia" w:ascii="宋体" w:hAnsi="宋体" w:eastAsia="宋体"/>
          <w:bCs/>
          <w:color w:val="auto"/>
          <w:sz w:val="22"/>
          <w:szCs w:val="22"/>
          <w:highlight w:val="none"/>
        </w:rPr>
        <w:t>资料并完成备案后，除留1.5%质量保证金外。余款付清，同时退还履约保证金；</w:t>
      </w:r>
      <w:r>
        <w:rPr>
          <w:rFonts w:hint="eastAsia" w:ascii="宋体" w:hAnsi="宋体" w:eastAsia="宋体"/>
          <w:bCs/>
          <w:color w:val="auto"/>
          <w:sz w:val="22"/>
          <w:szCs w:val="22"/>
          <w:highlight w:val="none"/>
          <w:lang w:val="en-US" w:eastAsia="zh-CN"/>
        </w:rPr>
        <w:t>供应商</w:t>
      </w:r>
      <w:r>
        <w:rPr>
          <w:rFonts w:hint="eastAsia" w:ascii="宋体" w:hAnsi="宋体" w:eastAsia="宋体"/>
          <w:bCs/>
          <w:color w:val="auto"/>
          <w:sz w:val="22"/>
          <w:szCs w:val="22"/>
          <w:highlight w:val="none"/>
          <w:lang w:val="zh-CN" w:eastAsia="zh-CN"/>
        </w:rPr>
        <w:t>提交质量保证金保函（银行或保险）</w:t>
      </w:r>
      <w:r>
        <w:rPr>
          <w:rFonts w:hint="eastAsia" w:ascii="宋体" w:hAnsi="宋体" w:eastAsia="宋体"/>
          <w:bCs/>
          <w:color w:val="auto"/>
          <w:sz w:val="22"/>
          <w:szCs w:val="22"/>
          <w:highlight w:val="none"/>
          <w:lang w:val="en-US" w:eastAsia="zh-CN"/>
        </w:rPr>
        <w:t>或</w:t>
      </w:r>
      <w:r>
        <w:rPr>
          <w:rFonts w:hint="eastAsia" w:ascii="宋体" w:hAnsi="宋体" w:eastAsia="宋体"/>
          <w:bCs/>
          <w:color w:val="auto"/>
          <w:sz w:val="22"/>
          <w:szCs w:val="22"/>
          <w:highlight w:val="none"/>
          <w:lang w:val="zh-CN" w:eastAsia="zh-CN"/>
        </w:rPr>
        <w:t>工程缺陷责任期两年满无质量问题的，</w:t>
      </w:r>
      <w:r>
        <w:rPr>
          <w:rFonts w:hint="eastAsia" w:ascii="宋体" w:hAnsi="宋体" w:eastAsia="宋体"/>
          <w:bCs/>
          <w:color w:val="auto"/>
          <w:sz w:val="22"/>
          <w:szCs w:val="22"/>
          <w:highlight w:val="none"/>
          <w:lang w:val="en-US" w:eastAsia="zh-CN"/>
        </w:rPr>
        <w:t>7个日历天内无息退回质量保证金。</w:t>
      </w:r>
    </w:p>
    <w:p>
      <w:pPr>
        <w:pStyle w:val="38"/>
        <w:rPr>
          <w:rFonts w:hint="eastAsia" w:ascii="宋体" w:hAnsi="宋体"/>
          <w:color w:val="auto"/>
          <w:highlight w:val="none"/>
          <w:lang w:val="zh-CN"/>
        </w:rPr>
      </w:pPr>
    </w:p>
    <w:p>
      <w:pPr>
        <w:pStyle w:val="38"/>
        <w:jc w:val="center"/>
        <w:rPr>
          <w:rFonts w:hint="eastAsia" w:ascii="宋体" w:hAnsi="宋体"/>
          <w:color w:val="auto"/>
          <w:highlight w:val="none"/>
          <w:lang w:val="zh-CN"/>
        </w:rPr>
      </w:pPr>
      <w:r>
        <w:rPr>
          <w:rFonts w:hint="eastAsia" w:ascii="宋体" w:hAnsi="宋体"/>
          <w:color w:val="auto"/>
          <w:highlight w:val="none"/>
          <w:lang w:val="zh-CN"/>
        </w:rPr>
        <w:t>第三部分</w:t>
      </w:r>
      <w:r>
        <w:rPr>
          <w:rFonts w:hint="eastAsia" w:ascii="宋体" w:hAnsi="宋体"/>
          <w:color w:val="auto"/>
          <w:highlight w:val="none"/>
        </w:rPr>
        <w:t xml:space="preserve"> </w:t>
      </w:r>
      <w:r>
        <w:rPr>
          <w:rFonts w:hint="eastAsia" w:ascii="宋体" w:hAnsi="宋体"/>
          <w:color w:val="auto"/>
          <w:highlight w:val="none"/>
          <w:lang w:val="zh-CN"/>
        </w:rPr>
        <w:t>供应商须知</w:t>
      </w:r>
    </w:p>
    <w:p>
      <w:pPr>
        <w:autoSpaceDE w:val="0"/>
        <w:autoSpaceDN w:val="0"/>
        <w:snapToGrid w:val="0"/>
        <w:spacing w:line="460" w:lineRule="exact"/>
        <w:rPr>
          <w:rFonts w:hint="eastAsia" w:ascii="宋体" w:hAnsi="宋体"/>
          <w:color w:val="auto"/>
          <w:sz w:val="22"/>
          <w:szCs w:val="22"/>
          <w:highlight w:val="none"/>
        </w:rPr>
      </w:pPr>
      <w:r>
        <w:rPr>
          <w:rFonts w:hint="eastAsia" w:ascii="宋体" w:hAnsi="宋体"/>
          <w:color w:val="auto"/>
          <w:sz w:val="22"/>
          <w:szCs w:val="22"/>
          <w:highlight w:val="none"/>
        </w:rPr>
        <w:t>一、说明</w:t>
      </w:r>
    </w:p>
    <w:p>
      <w:pPr>
        <w:widowControl/>
        <w:snapToGrid w:val="0"/>
        <w:spacing w:line="460" w:lineRule="exact"/>
        <w:ind w:firstLine="431" w:firstLineChars="196"/>
        <w:jc w:val="left"/>
        <w:rPr>
          <w:rFonts w:hint="eastAsia" w:ascii="宋体" w:hAnsi="宋体"/>
          <w:color w:val="auto"/>
          <w:sz w:val="22"/>
          <w:szCs w:val="22"/>
          <w:highlight w:val="none"/>
        </w:rPr>
      </w:pPr>
      <w:r>
        <w:rPr>
          <w:rFonts w:hint="eastAsia" w:ascii="宋体" w:hAnsi="宋体"/>
          <w:color w:val="auto"/>
          <w:sz w:val="22"/>
          <w:szCs w:val="22"/>
          <w:highlight w:val="none"/>
        </w:rPr>
        <w:t>1、无论投标过程中的作法和结果如何，供应商自行承担投标活动中所发生的全部费用。</w:t>
      </w:r>
    </w:p>
    <w:p>
      <w:pPr>
        <w:autoSpaceDE w:val="0"/>
        <w:autoSpaceDN w:val="0"/>
        <w:snapToGrid w:val="0"/>
        <w:spacing w:line="460" w:lineRule="exact"/>
        <w:ind w:firstLine="431" w:firstLineChars="196"/>
        <w:jc w:val="left"/>
        <w:rPr>
          <w:rFonts w:hint="eastAsia" w:ascii="宋体" w:hAnsi="宋体"/>
          <w:color w:val="auto"/>
          <w:sz w:val="22"/>
          <w:szCs w:val="22"/>
          <w:highlight w:val="none"/>
        </w:rPr>
      </w:pPr>
      <w:r>
        <w:rPr>
          <w:rFonts w:hint="eastAsia" w:ascii="宋体" w:hAnsi="宋体"/>
          <w:color w:val="auto"/>
          <w:sz w:val="22"/>
          <w:szCs w:val="22"/>
          <w:highlight w:val="none"/>
        </w:rPr>
        <w:t>2、</w:t>
      </w:r>
      <w:r>
        <w:rPr>
          <w:rFonts w:hint="eastAsia" w:ascii="宋体" w:hAnsi="宋体"/>
          <w:b/>
          <w:color w:val="auto"/>
          <w:sz w:val="22"/>
          <w:szCs w:val="22"/>
          <w:highlight w:val="none"/>
          <w:u w:val="single"/>
        </w:rPr>
        <w:t>供应商必须投全部标的物，否则按无效投标处理。</w:t>
      </w:r>
    </w:p>
    <w:p>
      <w:pPr>
        <w:autoSpaceDE w:val="0"/>
        <w:autoSpaceDN w:val="0"/>
        <w:snapToGrid w:val="0"/>
        <w:spacing w:line="460" w:lineRule="exact"/>
        <w:ind w:firstLine="446" w:firstLineChars="203"/>
        <w:rPr>
          <w:rFonts w:hint="eastAsia" w:ascii="宋体" w:hAnsi="宋体"/>
          <w:color w:val="auto"/>
          <w:sz w:val="22"/>
          <w:szCs w:val="22"/>
          <w:highlight w:val="none"/>
        </w:rPr>
      </w:pPr>
      <w:r>
        <w:rPr>
          <w:rFonts w:hint="eastAsia" w:ascii="宋体" w:hAnsi="宋体"/>
          <w:color w:val="auto"/>
          <w:sz w:val="22"/>
          <w:szCs w:val="22"/>
          <w:highlight w:val="none"/>
        </w:rPr>
        <w:t>3、</w:t>
      </w:r>
      <w:r>
        <w:rPr>
          <w:rFonts w:hint="eastAsia"/>
          <w:color w:val="auto"/>
          <w:sz w:val="22"/>
          <w:highlight w:val="none"/>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snapToGrid w:val="0"/>
        <w:spacing w:line="400" w:lineRule="exact"/>
        <w:ind w:firstLine="420" w:firstLineChars="190"/>
        <w:rPr>
          <w:rFonts w:hint="eastAsia" w:ascii="宋体" w:hAnsi="宋体"/>
          <w:b/>
          <w:color w:val="auto"/>
          <w:sz w:val="22"/>
          <w:szCs w:val="22"/>
          <w:highlight w:val="none"/>
        </w:rPr>
      </w:pPr>
      <w:r>
        <w:rPr>
          <w:rFonts w:hint="eastAsia" w:ascii="宋体" w:hAnsi="宋体"/>
          <w:b/>
          <w:color w:val="auto"/>
          <w:sz w:val="22"/>
          <w:szCs w:val="22"/>
          <w:highlight w:val="none"/>
        </w:rPr>
        <w:t>4、供应商须自行现场勘察，以求得准确的报价依据。供应商须自行考虑投标报价的风险。</w:t>
      </w:r>
    </w:p>
    <w:p>
      <w:pPr>
        <w:pStyle w:val="18"/>
        <w:snapToGrid w:val="0"/>
        <w:spacing w:line="460" w:lineRule="exact"/>
        <w:ind w:firstLine="442"/>
        <w:rPr>
          <w:rFonts w:hint="eastAsia" w:ascii="宋体" w:hAnsi="宋体"/>
          <w:b/>
          <w:color w:val="auto"/>
          <w:sz w:val="22"/>
          <w:szCs w:val="22"/>
          <w:highlight w:val="none"/>
        </w:rPr>
      </w:pPr>
      <w:r>
        <w:rPr>
          <w:rFonts w:hint="eastAsia" w:ascii="宋体" w:hAnsi="宋体"/>
          <w:b/>
          <w:color w:val="auto"/>
          <w:sz w:val="22"/>
          <w:szCs w:val="22"/>
          <w:highlight w:val="none"/>
        </w:rPr>
        <w:t>5</w:t>
      </w:r>
      <w:r>
        <w:rPr>
          <w:rFonts w:hint="eastAsia" w:ascii="宋体" w:hAnsi="宋体"/>
          <w:b/>
          <w:color w:val="auto"/>
          <w:sz w:val="22"/>
          <w:szCs w:val="22"/>
          <w:highlight w:val="none"/>
          <w:lang w:val="zh-CN"/>
        </w:rPr>
        <w:t>、</w:t>
      </w:r>
      <w:r>
        <w:rPr>
          <w:rFonts w:hint="eastAsia" w:ascii="宋体" w:hAnsi="宋体"/>
          <w:b/>
          <w:color w:val="auto"/>
          <w:sz w:val="22"/>
          <w:szCs w:val="22"/>
          <w:highlight w:val="none"/>
          <w:u w:val="single"/>
        </w:rPr>
        <w:t>供应商企业不是独立法人的，按浙财采监[2013]24号文件执行。</w:t>
      </w:r>
    </w:p>
    <w:p>
      <w:pPr>
        <w:snapToGrid w:val="0"/>
        <w:spacing w:line="400" w:lineRule="exact"/>
        <w:ind w:firstLine="420" w:firstLineChars="190"/>
        <w:rPr>
          <w:rFonts w:hint="eastAsia" w:ascii="宋体" w:hAnsi="宋体"/>
          <w:b/>
          <w:color w:val="auto"/>
          <w:sz w:val="22"/>
          <w:szCs w:val="22"/>
          <w:highlight w:val="none"/>
        </w:rPr>
      </w:pPr>
      <w:r>
        <w:rPr>
          <w:rFonts w:hint="eastAsia" w:ascii="宋体" w:hAnsi="宋体"/>
          <w:b/>
          <w:color w:val="auto"/>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pStyle w:val="18"/>
        <w:snapToGrid w:val="0"/>
        <w:spacing w:line="400" w:lineRule="exact"/>
        <w:ind w:firstLine="442"/>
        <w:rPr>
          <w:rFonts w:hint="eastAsia" w:ascii="宋体" w:hAnsi="宋体" w:eastAsia="宋体" w:cs="宋体"/>
          <w:b/>
          <w:color w:val="auto"/>
          <w:sz w:val="22"/>
          <w:szCs w:val="22"/>
          <w:highlight w:val="none"/>
          <w:u w:val="single"/>
          <w:lang w:eastAsia="zh-CN"/>
        </w:rPr>
      </w:pPr>
      <w:r>
        <w:rPr>
          <w:rFonts w:hint="eastAsia" w:ascii="宋体" w:hAnsi="宋体"/>
          <w:b/>
          <w:color w:val="auto"/>
          <w:sz w:val="22"/>
          <w:szCs w:val="22"/>
          <w:highlight w:val="none"/>
        </w:rPr>
        <w:t>6、</w:t>
      </w:r>
      <w:r>
        <w:rPr>
          <w:rFonts w:hint="eastAsia" w:ascii="宋体" w:hAnsi="宋体" w:eastAsia="宋体" w:cs="宋体"/>
          <w:b/>
          <w:color w:val="auto"/>
          <w:sz w:val="22"/>
          <w:szCs w:val="22"/>
          <w:highlight w:val="none"/>
          <w:u w:val="single"/>
          <w:lang w:val="zh-CN" w:eastAsia="zh-CN"/>
        </w:rPr>
        <w:t>▲</w:t>
      </w:r>
      <w:r>
        <w:rPr>
          <w:rFonts w:hint="eastAsia" w:ascii="宋体" w:hAnsi="宋体" w:eastAsia="宋体" w:cs="宋体"/>
          <w:b/>
          <w:color w:val="auto"/>
          <w:sz w:val="22"/>
          <w:szCs w:val="22"/>
          <w:highlight w:val="none"/>
          <w:u w:val="single"/>
          <w:lang w:eastAsia="zh-CN"/>
        </w:rPr>
        <w:t>本项目采用单价统一折扣率方式报价，投标折扣率的范围在</w:t>
      </w:r>
      <w:r>
        <w:rPr>
          <w:rFonts w:hint="eastAsia" w:ascii="宋体" w:hAnsi="宋体" w:eastAsia="宋体" w:cs="宋体"/>
          <w:b/>
          <w:color w:val="auto"/>
          <w:sz w:val="22"/>
          <w:szCs w:val="22"/>
          <w:highlight w:val="none"/>
          <w:u w:val="single"/>
          <w:lang w:val="en-US" w:eastAsia="zh-CN"/>
        </w:rPr>
        <w:t>0%(不含）-100%（含）之间</w:t>
      </w:r>
      <w:r>
        <w:rPr>
          <w:rFonts w:hint="eastAsia" w:ascii="宋体" w:hAnsi="宋体" w:eastAsia="宋体" w:cs="宋体"/>
          <w:b/>
          <w:color w:val="auto"/>
          <w:sz w:val="22"/>
          <w:szCs w:val="22"/>
          <w:highlight w:val="none"/>
          <w:u w:val="single"/>
          <w:lang w:eastAsia="zh-CN"/>
        </w:rPr>
        <w:t>供应商的投标报价超出综合单价最高限价的，该供应商按无效投标处理。</w:t>
      </w:r>
    </w:p>
    <w:p>
      <w:pPr>
        <w:widowControl/>
        <w:snapToGrid w:val="0"/>
        <w:spacing w:line="440" w:lineRule="exact"/>
        <w:ind w:firstLine="420" w:firstLineChars="190"/>
        <w:jc w:val="left"/>
        <w:rPr>
          <w:rFonts w:hint="eastAsia" w:ascii="宋体" w:hAnsi="宋体"/>
          <w:b/>
          <w:color w:val="auto"/>
          <w:sz w:val="22"/>
          <w:szCs w:val="22"/>
          <w:highlight w:val="none"/>
        </w:rPr>
      </w:pPr>
      <w:r>
        <w:rPr>
          <w:rFonts w:hint="eastAsia" w:ascii="宋体" w:hAnsi="宋体"/>
          <w:b/>
          <w:color w:val="auto"/>
          <w:sz w:val="22"/>
          <w:szCs w:val="22"/>
          <w:highlight w:val="none"/>
        </w:rPr>
        <w:t>7、本次招标采用资格后审，供应商只需在网上下载招标文件，不接受现场报名。</w:t>
      </w:r>
    </w:p>
    <w:p>
      <w:pPr>
        <w:pStyle w:val="63"/>
        <w:spacing w:line="440" w:lineRule="exact"/>
        <w:ind w:left="0" w:leftChars="0" w:firstLine="442"/>
        <w:rPr>
          <w:rFonts w:hint="eastAsia" w:ascii="宋体" w:hAnsi="宋体"/>
          <w:b/>
          <w:color w:val="auto"/>
          <w:sz w:val="22"/>
          <w:szCs w:val="22"/>
          <w:highlight w:val="none"/>
          <w:u w:val="single"/>
        </w:rPr>
      </w:pPr>
      <w:r>
        <w:rPr>
          <w:rFonts w:hint="eastAsia" w:ascii="宋体" w:hAnsi="宋体"/>
          <w:b/>
          <w:color w:val="auto"/>
          <w:sz w:val="22"/>
          <w:szCs w:val="22"/>
          <w:highlight w:val="none"/>
          <w:u w:val="single"/>
        </w:rPr>
        <w:t>8</w:t>
      </w:r>
      <w:r>
        <w:rPr>
          <w:rFonts w:hint="eastAsia" w:ascii="宋体" w:hAnsi="宋体"/>
          <w:b/>
          <w:color w:val="auto"/>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widowControl/>
        <w:snapToGrid w:val="0"/>
        <w:spacing w:line="460" w:lineRule="exact"/>
        <w:ind w:firstLine="420" w:firstLineChars="190"/>
        <w:jc w:val="left"/>
        <w:rPr>
          <w:rFonts w:hint="eastAsia" w:ascii="宋体" w:hAnsi="宋体"/>
          <w:b/>
          <w:color w:val="auto"/>
          <w:sz w:val="22"/>
          <w:szCs w:val="22"/>
          <w:highlight w:val="none"/>
        </w:rPr>
      </w:pPr>
      <w:r>
        <w:rPr>
          <w:rFonts w:hint="eastAsia" w:ascii="宋体" w:hAnsi="宋体"/>
          <w:b/>
          <w:color w:val="auto"/>
          <w:sz w:val="22"/>
          <w:szCs w:val="22"/>
          <w:highlight w:val="none"/>
        </w:rPr>
        <w:t>9</w:t>
      </w:r>
      <w:r>
        <w:rPr>
          <w:rFonts w:hint="eastAsia" w:ascii="宋体" w:hAnsi="宋体"/>
          <w:b/>
          <w:color w:val="auto"/>
          <w:sz w:val="22"/>
          <w:szCs w:val="22"/>
          <w:highlight w:val="none"/>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hint="eastAsia" w:ascii="宋体" w:hAnsi="宋体"/>
          <w:color w:val="auto"/>
          <w:sz w:val="22"/>
          <w:szCs w:val="22"/>
          <w:highlight w:val="none"/>
          <w:lang w:val="zh-CN"/>
        </w:rPr>
      </w:pPr>
      <w:r>
        <w:rPr>
          <w:rFonts w:hint="eastAsia" w:ascii="宋体" w:hAnsi="宋体"/>
          <w:color w:val="auto"/>
          <w:sz w:val="22"/>
          <w:szCs w:val="22"/>
          <w:highlight w:val="none"/>
          <w:lang w:val="zh-CN"/>
        </w:rPr>
        <w:t>1）投标供应商信用信息查询的查询渠道：“信用中国”(</w:t>
      </w:r>
      <w:r>
        <w:rPr>
          <w:rFonts w:hint="eastAsia" w:ascii="宋体" w:hAnsi="宋体"/>
          <w:color w:val="auto"/>
          <w:sz w:val="22"/>
          <w:szCs w:val="22"/>
          <w:highlight w:val="none"/>
          <w:lang w:val="zh-CN"/>
        </w:rPr>
        <w:fldChar w:fldCharType="begin"/>
      </w:r>
      <w:r>
        <w:rPr>
          <w:rFonts w:hint="eastAsia" w:ascii="宋体" w:hAnsi="宋体"/>
          <w:color w:val="auto"/>
          <w:sz w:val="22"/>
          <w:szCs w:val="22"/>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color w:val="auto"/>
          <w:sz w:val="22"/>
          <w:szCs w:val="22"/>
          <w:highlight w:val="none"/>
          <w:lang w:val="zh-CN"/>
        </w:rPr>
        <w:fldChar w:fldCharType="separate"/>
      </w:r>
      <w:r>
        <w:rPr>
          <w:rFonts w:hint="eastAsia" w:ascii="宋体" w:hAnsi="宋体"/>
          <w:color w:val="auto"/>
          <w:sz w:val="22"/>
          <w:szCs w:val="22"/>
          <w:highlight w:val="none"/>
          <w:lang w:val="zh-CN"/>
        </w:rPr>
        <w:t>www.creditchina.gov.cn</w:t>
      </w:r>
      <w:r>
        <w:rPr>
          <w:rFonts w:hint="eastAsia" w:ascii="宋体" w:hAnsi="宋体"/>
          <w:color w:val="auto"/>
          <w:sz w:val="22"/>
          <w:szCs w:val="22"/>
          <w:highlight w:val="none"/>
          <w:lang w:val="zh-CN"/>
        </w:rPr>
        <w:fldChar w:fldCharType="end"/>
      </w:r>
      <w:r>
        <w:rPr>
          <w:rFonts w:hint="eastAsia" w:ascii="宋体" w:hAnsi="宋体"/>
          <w:color w:val="auto"/>
          <w:sz w:val="22"/>
          <w:szCs w:val="22"/>
          <w:highlight w:val="none"/>
          <w:lang w:val="zh-CN"/>
        </w:rPr>
        <w:t>)；“中国政府采购网</w:t>
      </w:r>
      <w:r>
        <w:rPr>
          <w:rFonts w:hint="eastAsia" w:ascii="宋体" w:hAnsi="宋体"/>
          <w:color w:val="auto"/>
          <w:sz w:val="22"/>
          <w:szCs w:val="22"/>
          <w:highlight w:val="none"/>
          <w:lang w:val="zh-CN"/>
        </w:rPr>
        <w:fldChar w:fldCharType="begin"/>
      </w:r>
      <w:r>
        <w:rPr>
          <w:rFonts w:hint="eastAsia" w:ascii="宋体" w:hAnsi="宋体"/>
          <w:color w:val="auto"/>
          <w:sz w:val="22"/>
          <w:szCs w:val="22"/>
          <w:highlight w:val="none"/>
          <w:lang w:val="zh-CN"/>
        </w:rPr>
        <w:instrText xml:space="preserve">HYPERLINK "http://www.ccgp.gov.cn/"</w:instrText>
      </w:r>
      <w:r>
        <w:rPr>
          <w:rFonts w:hint="eastAsia" w:ascii="宋体" w:hAnsi="宋体"/>
          <w:color w:val="auto"/>
          <w:sz w:val="22"/>
          <w:szCs w:val="22"/>
          <w:highlight w:val="none"/>
          <w:lang w:val="zh-CN"/>
        </w:rPr>
        <w:fldChar w:fldCharType="separate"/>
      </w:r>
      <w:r>
        <w:rPr>
          <w:rFonts w:hint="eastAsia" w:ascii="宋体" w:hAnsi="宋体"/>
          <w:color w:val="auto"/>
          <w:sz w:val="22"/>
          <w:szCs w:val="22"/>
          <w:highlight w:val="none"/>
          <w:lang w:val="zh-CN"/>
        </w:rPr>
        <w:t>http://www.ccgp.gov.cn/</w:t>
      </w:r>
      <w:r>
        <w:rPr>
          <w:rFonts w:hint="eastAsia" w:ascii="宋体" w:hAnsi="宋体"/>
          <w:color w:val="auto"/>
          <w:sz w:val="22"/>
          <w:szCs w:val="22"/>
          <w:highlight w:val="none"/>
          <w:lang w:val="zh-CN"/>
        </w:rPr>
        <w:fldChar w:fldCharType="end"/>
      </w:r>
      <w:r>
        <w:rPr>
          <w:rFonts w:hint="eastAsia" w:ascii="宋体" w:hAnsi="宋体"/>
          <w:color w:val="auto"/>
          <w:sz w:val="22"/>
          <w:szCs w:val="22"/>
          <w:highlight w:val="none"/>
          <w:lang w:val="zh-CN"/>
        </w:rPr>
        <w:t xml:space="preserve">）； </w:t>
      </w:r>
    </w:p>
    <w:p>
      <w:pPr>
        <w:widowControl/>
        <w:snapToGrid w:val="0"/>
        <w:spacing w:line="480" w:lineRule="exact"/>
        <w:ind w:firstLine="440" w:firstLineChars="200"/>
        <w:jc w:val="left"/>
        <w:rPr>
          <w:rFonts w:hint="eastAsia" w:ascii="宋体" w:hAnsi="宋体"/>
          <w:color w:val="auto"/>
          <w:sz w:val="22"/>
          <w:szCs w:val="22"/>
          <w:highlight w:val="none"/>
          <w:lang w:val="zh-CN"/>
        </w:rPr>
      </w:pPr>
      <w:r>
        <w:rPr>
          <w:rFonts w:hint="eastAsia" w:ascii="宋体" w:hAnsi="宋体"/>
          <w:color w:val="auto"/>
          <w:sz w:val="22"/>
          <w:szCs w:val="22"/>
          <w:highlight w:val="none"/>
          <w:lang w:val="zh-CN"/>
        </w:rPr>
        <w:t xml:space="preserve">2）投标供应商信用信息查询截止时点：本项目投标截止时间； </w:t>
      </w:r>
    </w:p>
    <w:p>
      <w:pPr>
        <w:widowControl/>
        <w:snapToGrid w:val="0"/>
        <w:spacing w:line="480" w:lineRule="exact"/>
        <w:ind w:firstLine="440" w:firstLineChars="200"/>
        <w:jc w:val="left"/>
        <w:rPr>
          <w:rFonts w:hint="eastAsia" w:ascii="宋体" w:hAnsi="宋体"/>
          <w:color w:val="auto"/>
          <w:sz w:val="22"/>
          <w:szCs w:val="22"/>
          <w:highlight w:val="none"/>
          <w:lang w:val="zh-CN"/>
        </w:rPr>
      </w:pPr>
      <w:r>
        <w:rPr>
          <w:rFonts w:hint="eastAsia" w:ascii="宋体" w:hAnsi="宋体"/>
          <w:color w:val="auto"/>
          <w:sz w:val="22"/>
          <w:szCs w:val="22"/>
          <w:highlight w:val="none"/>
          <w:lang w:val="zh-CN"/>
        </w:rPr>
        <w:t>3）投标供应商信用信息查询记录和证据留存的具体方式：网页截图打印；</w:t>
      </w:r>
    </w:p>
    <w:p>
      <w:pPr>
        <w:widowControl/>
        <w:snapToGrid w:val="0"/>
        <w:spacing w:line="480" w:lineRule="exact"/>
        <w:ind w:firstLine="440" w:firstLineChars="200"/>
        <w:jc w:val="left"/>
        <w:rPr>
          <w:rFonts w:hint="eastAsia" w:ascii="宋体" w:hAnsi="宋体"/>
          <w:color w:val="auto"/>
          <w:sz w:val="22"/>
          <w:szCs w:val="22"/>
          <w:highlight w:val="none"/>
        </w:rPr>
      </w:pPr>
      <w:r>
        <w:rPr>
          <w:rFonts w:hint="eastAsia" w:ascii="宋体" w:hAnsi="宋体"/>
          <w:color w:val="auto"/>
          <w:sz w:val="22"/>
          <w:szCs w:val="22"/>
          <w:highlight w:val="none"/>
        </w:rPr>
        <w:t>4）</w:t>
      </w:r>
      <w:r>
        <w:rPr>
          <w:rFonts w:hint="eastAsia" w:ascii="宋体" w:hAnsi="宋体"/>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第十四条规定条件的供应商，其投标做无效投标处理。</w:t>
      </w:r>
    </w:p>
    <w:p>
      <w:pPr>
        <w:autoSpaceDE w:val="0"/>
        <w:autoSpaceDN w:val="0"/>
        <w:snapToGrid w:val="0"/>
        <w:spacing w:line="460" w:lineRule="exact"/>
        <w:ind w:firstLine="433" w:firstLineChars="196"/>
        <w:rPr>
          <w:rFonts w:hint="eastAsia"/>
          <w:b/>
          <w:color w:val="auto"/>
          <w:sz w:val="22"/>
          <w:szCs w:val="22"/>
          <w:highlight w:val="none"/>
        </w:rPr>
      </w:pPr>
      <w:r>
        <w:rPr>
          <w:rFonts w:hint="eastAsia"/>
          <w:b/>
          <w:color w:val="auto"/>
          <w:sz w:val="22"/>
          <w:szCs w:val="22"/>
          <w:highlight w:val="none"/>
        </w:rPr>
        <w:t>10、</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pPr>
        <w:autoSpaceDE w:val="0"/>
        <w:autoSpaceDN w:val="0"/>
        <w:snapToGrid w:val="0"/>
        <w:spacing w:line="460" w:lineRule="atLeast"/>
        <w:ind w:firstLine="420" w:firstLineChars="191"/>
        <w:rPr>
          <w:rFonts w:hint="eastAsia" w:ascii="宋体" w:hAnsi="Times New Roman" w:eastAsia="宋体"/>
          <w:color w:val="auto"/>
          <w:sz w:val="22"/>
          <w:szCs w:val="22"/>
          <w:highlight w:val="none"/>
        </w:rPr>
      </w:pPr>
      <w:r>
        <w:rPr>
          <w:rFonts w:hint="eastAsia" w:ascii="宋体" w:hAnsi="Times New Roman" w:eastAsia="宋体"/>
          <w:color w:val="auto"/>
          <w:sz w:val="22"/>
          <w:szCs w:val="22"/>
          <w:highlight w:val="none"/>
        </w:rPr>
        <w:t>▲</w:t>
      </w:r>
      <w:r>
        <w:rPr>
          <w:rFonts w:hint="eastAsia"/>
          <w:b/>
          <w:color w:val="auto"/>
          <w:sz w:val="22"/>
          <w:szCs w:val="22"/>
          <w:highlight w:val="none"/>
        </w:rPr>
        <w:t>11、</w:t>
      </w:r>
      <w:r>
        <w:rPr>
          <w:rFonts w:hint="eastAsia"/>
          <w:color w:val="auto"/>
          <w:sz w:val="22"/>
          <w:szCs w:val="22"/>
          <w:highlight w:val="none"/>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color w:val="auto"/>
          <w:sz w:val="22"/>
          <w:szCs w:val="22"/>
          <w:highlight w:val="none"/>
        </w:rPr>
        <w:t>2019〕19号）</w:t>
      </w:r>
      <w:r>
        <w:rPr>
          <w:rFonts w:hint="eastAsia"/>
          <w:color w:val="auto"/>
          <w:sz w:val="22"/>
          <w:szCs w:val="22"/>
          <w:highlight w:val="none"/>
        </w:rPr>
        <w:t>。</w:t>
      </w:r>
    </w:p>
    <w:p>
      <w:pPr>
        <w:numPr>
          <w:ilvl w:val="0"/>
          <w:numId w:val="4"/>
        </w:numPr>
        <w:autoSpaceDE w:val="0"/>
        <w:autoSpaceDN w:val="0"/>
        <w:snapToGrid w:val="0"/>
        <w:spacing w:line="460" w:lineRule="atLeast"/>
        <w:ind w:firstLine="420" w:firstLineChars="191"/>
        <w:rPr>
          <w:rFonts w:hint="eastAsia"/>
          <w:color w:val="auto"/>
          <w:sz w:val="22"/>
          <w:szCs w:val="22"/>
          <w:highlight w:val="none"/>
        </w:rPr>
      </w:pPr>
      <w:r>
        <w:rPr>
          <w:rFonts w:hint="eastAsia"/>
          <w:color w:val="auto"/>
          <w:sz w:val="22"/>
          <w:szCs w:val="22"/>
          <w:highlight w:val="none"/>
        </w:rPr>
        <w:t>本项目采用在线投标响应方式，执行《浙江省财政厅关于印发浙江省政府采购项目电子交易管理暂行办法的通知》（浙财采监〔</w:t>
      </w:r>
      <w:r>
        <w:rPr>
          <w:color w:val="auto"/>
          <w:sz w:val="22"/>
          <w:szCs w:val="22"/>
          <w:highlight w:val="none"/>
        </w:rPr>
        <w:t>2019〕10 号）等相关规定</w:t>
      </w:r>
      <w:r>
        <w:rPr>
          <w:b/>
          <w:color w:val="auto"/>
          <w:sz w:val="22"/>
          <w:szCs w:val="22"/>
          <w:highlight w:val="none"/>
        </w:rPr>
        <w:t>。</w:t>
      </w:r>
    </w:p>
    <w:p>
      <w:pPr>
        <w:autoSpaceDE w:val="0"/>
        <w:autoSpaceDN w:val="0"/>
        <w:snapToGrid w:val="0"/>
        <w:spacing w:line="460" w:lineRule="atLeast"/>
        <w:ind w:firstLine="422" w:firstLineChars="191"/>
        <w:rPr>
          <w:rFonts w:hint="eastAsia" w:ascii="Times New Roman" w:hAnsi="Times New Roman" w:eastAsia="宋体"/>
          <w:b/>
          <w:color w:val="auto"/>
          <w:sz w:val="22"/>
          <w:szCs w:val="22"/>
          <w:highlight w:val="none"/>
          <w:lang w:val="en-US" w:eastAsia="zh-CN"/>
        </w:rPr>
      </w:pPr>
      <w:r>
        <w:rPr>
          <w:rFonts w:hint="eastAsia" w:ascii="Times New Roman" w:hAnsi="Times New Roman" w:eastAsia="宋体"/>
          <w:b/>
          <w:color w:val="auto"/>
          <w:sz w:val="22"/>
          <w:szCs w:val="22"/>
          <w:highlight w:val="none"/>
          <w:lang w:val="en-US" w:eastAsia="zh-CN"/>
        </w:rPr>
        <w:t>13、</w:t>
      </w:r>
      <w:r>
        <w:rPr>
          <w:rFonts w:hint="eastAsia" w:ascii="Times New Roman" w:hAnsi="Times New Roman" w:eastAsia="宋体"/>
          <w:b/>
          <w:color w:val="auto"/>
          <w:sz w:val="22"/>
          <w:szCs w:val="22"/>
          <w:highlight w:val="none"/>
        </w:rPr>
        <w:t>本次招标的货物如涉及国家规定强制认证的（如工业产品生产许可证，3C认证等），中标供应商须在采购人对上述货物验收时提供相关证书证明资料（上述产品相关强制认证的证明文件投标时不需提供，招标文件另有要求的除外），否则按验收不能通过，采购人给予退货、解除合同或经采购人同意换货处理，中标供应商自行承担由此造成的损失。</w:t>
      </w:r>
    </w:p>
    <w:p>
      <w:pPr>
        <w:autoSpaceDE w:val="0"/>
        <w:autoSpaceDN w:val="0"/>
        <w:snapToGrid w:val="0"/>
        <w:spacing w:line="460" w:lineRule="atLeast"/>
        <w:ind w:firstLine="422" w:firstLineChars="191"/>
        <w:rPr>
          <w:rFonts w:hint="eastAsia"/>
          <w:b/>
          <w:color w:val="auto"/>
          <w:sz w:val="22"/>
          <w:szCs w:val="22"/>
          <w:highlight w:val="none"/>
          <w:lang w:val="en-US" w:eastAsia="zh-CN"/>
        </w:rPr>
      </w:pPr>
      <w:r>
        <w:rPr>
          <w:rFonts w:hint="eastAsia"/>
          <w:b/>
          <w:color w:val="auto"/>
          <w:sz w:val="22"/>
          <w:szCs w:val="22"/>
          <w:highlight w:val="none"/>
          <w:lang w:val="en-US" w:eastAsia="zh-CN"/>
        </w:rPr>
        <w:t>14</w:t>
      </w:r>
      <w:r>
        <w:rPr>
          <w:rFonts w:hint="eastAsia"/>
          <w:b/>
          <w:color w:val="auto"/>
          <w:sz w:val="22"/>
          <w:szCs w:val="22"/>
          <w:highlight w:val="none"/>
        </w:rPr>
        <w:t>、</w:t>
      </w:r>
      <w:r>
        <w:rPr>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snapToGrid w:val="0"/>
        <w:spacing w:line="460" w:lineRule="exact"/>
        <w:ind w:firstLine="433" w:firstLineChars="196"/>
        <w:rPr>
          <w:rFonts w:hint="eastAsia"/>
          <w:b/>
          <w:color w:val="auto"/>
          <w:sz w:val="22"/>
          <w:szCs w:val="22"/>
          <w:highlight w:val="none"/>
          <w:u w:val="single"/>
        </w:rPr>
      </w:pPr>
      <w:r>
        <w:rPr>
          <w:rFonts w:hint="eastAsia"/>
          <w:b/>
          <w:color w:val="auto"/>
          <w:sz w:val="22"/>
          <w:szCs w:val="22"/>
          <w:highlight w:val="none"/>
          <w:u w:val="single"/>
        </w:rPr>
        <w:t>1</w:t>
      </w:r>
      <w:r>
        <w:rPr>
          <w:rFonts w:hint="eastAsia"/>
          <w:b/>
          <w:color w:val="auto"/>
          <w:sz w:val="22"/>
          <w:szCs w:val="22"/>
          <w:highlight w:val="none"/>
          <w:u w:val="single"/>
          <w:lang w:val="en-US" w:eastAsia="zh-CN"/>
        </w:rPr>
        <w:t>5</w:t>
      </w:r>
      <w:r>
        <w:rPr>
          <w:rFonts w:hint="eastAsia"/>
          <w:b/>
          <w:color w:val="auto"/>
          <w:sz w:val="22"/>
          <w:szCs w:val="22"/>
          <w:highlight w:val="none"/>
          <w:u w:val="single"/>
        </w:rPr>
        <w:t>、为保证供应商顺利投标，供应商须在投标截止日前自行登录浙江省政府采购网，查看是否有补充更正公告文件。如供应商未按补充更正公告文件进行投标的，责任自负。</w:t>
      </w:r>
    </w:p>
    <w:p>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二、供应商资格要求</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按招标公告要求</w:t>
      </w:r>
    </w:p>
    <w:p>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三、招标文件</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1、招标文件</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1.1招标文件的获取</w:t>
      </w:r>
    </w:p>
    <w:p>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供应商在浙江省政府采购网站直接下载本项目招标文件。</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1.2招标文件约束力</w:t>
      </w:r>
    </w:p>
    <w:p>
      <w:pPr>
        <w:autoSpaceDE w:val="0"/>
        <w:autoSpaceDN w:val="0"/>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供应商一旦获取了本招标文件并参加投标，即被认为接受了本招标文件中所有条款和规定。</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1.3招标文件的组成</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招标文件由招标文件总目录所列内容及补充资料等组成。</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2、招标文件的澄清</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供应商对招标文件如有疑点要求澄清，可用书面形式（包括信函、传真，下同）通知</w:t>
      </w:r>
      <w:r>
        <w:rPr>
          <w:rFonts w:hint="eastAsia" w:ascii="宋体" w:hAnsi="宋体"/>
          <w:color w:val="auto"/>
          <w:sz w:val="22"/>
          <w:szCs w:val="22"/>
          <w:highlight w:val="none"/>
          <w:u w:val="single"/>
        </w:rPr>
        <w:t>招标代理机构</w:t>
      </w:r>
      <w:r>
        <w:rPr>
          <w:rFonts w:hint="eastAsia" w:ascii="宋体" w:hAnsi="宋体"/>
          <w:color w:val="auto"/>
          <w:sz w:val="22"/>
          <w:szCs w:val="22"/>
          <w:highlight w:val="none"/>
        </w:rPr>
        <w:t>，但通知不得迟于规定的质疑时间前使招标代理机构收到，招标代理机构将采用用网上答疑形式予以答复。</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3、招标文件的修改</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3.1 在投标截止时间前，采购人有权修改招标文件，并在网上发布更正公告。补充文件作为招标文件的补充和组成部分，对所有供应商均有约束力。</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3.2 为使供应商有足够的时间按招标文件要求修正投标文件，采购人可酌情推迟投标截止时间和开标时间，并将此变更网上告知。</w:t>
      </w:r>
    </w:p>
    <w:p>
      <w:pPr>
        <w:autoSpaceDE w:val="0"/>
        <w:autoSpaceDN w:val="0"/>
        <w:snapToGrid w:val="0"/>
        <w:spacing w:line="420" w:lineRule="exact"/>
        <w:rPr>
          <w:rFonts w:hint="eastAsia" w:ascii="宋体" w:hAnsi="宋体"/>
          <w:color w:val="auto"/>
          <w:sz w:val="22"/>
          <w:szCs w:val="22"/>
          <w:highlight w:val="none"/>
        </w:rPr>
      </w:pPr>
      <w:r>
        <w:rPr>
          <w:rFonts w:hint="eastAsia" w:ascii="宋体" w:hAnsi="宋体"/>
          <w:color w:val="auto"/>
          <w:sz w:val="22"/>
          <w:szCs w:val="22"/>
          <w:highlight w:val="none"/>
        </w:rPr>
        <w:t>四、投标文件</w:t>
      </w:r>
    </w:p>
    <w:p>
      <w:pPr>
        <w:autoSpaceDE w:val="0"/>
        <w:autoSpaceDN w:val="0"/>
        <w:snapToGrid w:val="0"/>
        <w:spacing w:line="420" w:lineRule="exact"/>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1、投标文件</w:t>
      </w:r>
    </w:p>
    <w:p>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1.1</w:t>
      </w:r>
      <w:r>
        <w:rPr>
          <w:rFonts w:hint="eastAsia" w:ascii="宋体" w:hAnsi="宋体"/>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snapToGrid w:val="0"/>
        <w:spacing w:line="420" w:lineRule="exact"/>
        <w:ind w:firstLine="440" w:firstLineChars="200"/>
        <w:rPr>
          <w:rFonts w:hint="eastAsia" w:ascii="宋体" w:hAnsi="宋体"/>
          <w:color w:val="auto"/>
          <w:sz w:val="22"/>
          <w:szCs w:val="22"/>
          <w:highlight w:val="none"/>
          <w:lang w:val="zh-CN"/>
        </w:rPr>
      </w:pPr>
      <w:r>
        <w:rPr>
          <w:rFonts w:hint="eastAsia" w:ascii="宋体" w:hAnsi="宋体"/>
          <w:color w:val="auto"/>
          <w:sz w:val="22"/>
          <w:szCs w:val="22"/>
          <w:highlight w:val="none"/>
          <w:lang w:val="zh-CN"/>
        </w:rPr>
        <w:t>1.2</w:t>
      </w:r>
      <w:r>
        <w:rPr>
          <w:rFonts w:hint="eastAsia" w:ascii="宋体" w:hAnsi="宋体"/>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snapToGrid w:val="0"/>
        <w:spacing w:line="420" w:lineRule="exact"/>
        <w:ind w:firstLine="431" w:firstLineChars="196"/>
        <w:rPr>
          <w:rFonts w:hint="eastAsia" w:ascii="宋体" w:hAnsi="宋体"/>
          <w:color w:val="auto"/>
          <w:sz w:val="22"/>
          <w:szCs w:val="22"/>
          <w:highlight w:val="none"/>
          <w:lang w:val="zh-CN"/>
        </w:rPr>
      </w:pPr>
      <w:r>
        <w:rPr>
          <w:rFonts w:hint="eastAsia" w:ascii="宋体" w:hAnsi="宋体"/>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snapToGrid w:val="0"/>
        <w:spacing w:line="360" w:lineRule="auto"/>
        <w:ind w:firstLine="431" w:firstLineChars="196"/>
        <w:rPr>
          <w:rFonts w:hint="eastAsia" w:ascii="宋体" w:hAnsi="宋体"/>
          <w:color w:val="auto"/>
          <w:sz w:val="22"/>
          <w:szCs w:val="22"/>
          <w:highlight w:val="none"/>
        </w:rPr>
      </w:pPr>
      <w:r>
        <w:rPr>
          <w:rFonts w:hint="eastAsia" w:ascii="宋体" w:hAnsi="宋体"/>
          <w:color w:val="auto"/>
          <w:sz w:val="22"/>
          <w:szCs w:val="22"/>
          <w:highlight w:val="none"/>
        </w:rPr>
        <w:t xml:space="preserve">2、投标文件的组成 </w:t>
      </w:r>
      <w:r>
        <w:rPr>
          <w:rFonts w:hint="eastAsia"/>
          <w:color w:val="auto"/>
          <w:sz w:val="22"/>
          <w:szCs w:val="22"/>
          <w:highlight w:val="none"/>
        </w:rPr>
        <w:t xml:space="preserve"> </w:t>
      </w:r>
    </w:p>
    <w:p>
      <w:pPr>
        <w:autoSpaceDE w:val="0"/>
        <w:autoSpaceDN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pPr>
        <w:autoSpaceDE w:val="0"/>
        <w:autoSpaceDN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2.1</w:t>
      </w:r>
      <w:r>
        <w:rPr>
          <w:rFonts w:hint="eastAsia"/>
          <w:b/>
          <w:color w:val="auto"/>
          <w:sz w:val="22"/>
          <w:szCs w:val="22"/>
          <w:highlight w:val="none"/>
          <w:u w:val="single"/>
        </w:rPr>
        <w:t>资格文件组成</w:t>
      </w:r>
    </w:p>
    <w:p>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1）“资格文件”封面</w:t>
      </w:r>
    </w:p>
    <w:p>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2）供应商资格审查声明函</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营业执照(或事业法人登记证书或其它工商等登记证明材料；自然人参与采购，提供身份证)复印件； </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snapToGrid w:val="0"/>
        <w:spacing w:line="460" w:lineRule="exact"/>
        <w:ind w:firstLine="442" w:firstLineChars="200"/>
        <w:rPr>
          <w:rFonts w:hint="eastAsia"/>
          <w:b/>
          <w:color w:val="auto"/>
          <w:sz w:val="22"/>
          <w:szCs w:val="22"/>
          <w:highlight w:val="none"/>
        </w:rPr>
      </w:pPr>
      <w:r>
        <w:rPr>
          <w:rFonts w:hint="eastAsia"/>
          <w:b/>
          <w:color w:val="auto"/>
          <w:sz w:val="22"/>
          <w:szCs w:val="22"/>
          <w:highlight w:val="none"/>
        </w:rPr>
        <w:t>上述资格条件审查材料2-</w:t>
      </w:r>
      <w:r>
        <w:rPr>
          <w:rFonts w:hint="eastAsia"/>
          <w:b/>
          <w:color w:val="auto"/>
          <w:sz w:val="22"/>
          <w:szCs w:val="22"/>
          <w:highlight w:val="none"/>
          <w:lang w:val="en-US" w:eastAsia="zh-CN"/>
        </w:rPr>
        <w:t>3</w:t>
      </w:r>
      <w:r>
        <w:rPr>
          <w:rFonts w:hint="eastAsia"/>
          <w:b/>
          <w:color w:val="auto"/>
          <w:sz w:val="22"/>
          <w:szCs w:val="22"/>
          <w:highlight w:val="none"/>
        </w:rPr>
        <w:t>项有一项不提供的，视为资格审查不通过。</w:t>
      </w:r>
    </w:p>
    <w:p>
      <w:pPr>
        <w:autoSpaceDE w:val="0"/>
        <w:autoSpaceDN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2.2、</w:t>
      </w:r>
      <w:r>
        <w:rPr>
          <w:rFonts w:hint="eastAsia"/>
          <w:b/>
          <w:color w:val="auto"/>
          <w:sz w:val="22"/>
          <w:szCs w:val="22"/>
          <w:highlight w:val="none"/>
          <w:u w:val="single"/>
        </w:rPr>
        <w:t>报价文件</w:t>
      </w:r>
      <w:r>
        <w:rPr>
          <w:rFonts w:hint="eastAsia"/>
          <w:b/>
          <w:color w:val="auto"/>
          <w:sz w:val="22"/>
          <w:szCs w:val="22"/>
          <w:highlight w:val="none"/>
          <w:u w:val="single"/>
          <w:lang w:val="zh-CN"/>
        </w:rPr>
        <w:t>组成</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1）报价文件封面（附件2.1）；</w:t>
      </w:r>
    </w:p>
    <w:p>
      <w:pPr>
        <w:widowControl/>
        <w:autoSpaceDE w:val="0"/>
        <w:autoSpaceDN w:val="0"/>
        <w:snapToGrid w:val="0"/>
        <w:spacing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2）开标一览表  （附件2.2）；</w:t>
      </w:r>
    </w:p>
    <w:p>
      <w:pPr>
        <w:widowControl/>
        <w:autoSpaceDE w:val="0"/>
        <w:autoSpaceDN w:val="0"/>
        <w:snapToGrid w:val="0"/>
        <w:spacing w:line="440" w:lineRule="exact"/>
        <w:ind w:firstLine="440" w:firstLineChars="20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3）分项报价</w:t>
      </w:r>
    </w:p>
    <w:p>
      <w:pPr>
        <w:widowControl/>
        <w:autoSpaceDE w:val="0"/>
        <w:autoSpaceDN w:val="0"/>
        <w:snapToGrid w:val="0"/>
        <w:spacing w:line="440" w:lineRule="exact"/>
        <w:ind w:firstLine="440" w:firstLineChars="200"/>
        <w:rPr>
          <w:rFonts w:hint="eastAsia" w:ascii="宋体" w:hAnsi="宋体" w:eastAsia="宋体"/>
          <w:color w:val="auto"/>
          <w:sz w:val="22"/>
          <w:szCs w:val="22"/>
          <w:highlight w:val="none"/>
          <w:lang w:val="en-US" w:eastAsia="zh-CN"/>
        </w:rPr>
      </w:pPr>
      <w:r>
        <w:rPr>
          <w:rFonts w:hint="eastAsia" w:ascii="宋体" w:hAnsi="宋体" w:eastAsia="宋体"/>
          <w:color w:val="auto"/>
          <w:sz w:val="22"/>
          <w:szCs w:val="22"/>
          <w:highlight w:val="none"/>
          <w:lang w:val="en-US" w:eastAsia="zh-CN"/>
        </w:rPr>
        <w:t>4</w:t>
      </w:r>
      <w:r>
        <w:rPr>
          <w:rFonts w:hint="eastAsia" w:ascii="宋体" w:hAnsi="宋体" w:eastAsia="宋体"/>
          <w:color w:val="auto"/>
          <w:sz w:val="22"/>
          <w:szCs w:val="22"/>
          <w:highlight w:val="none"/>
        </w:rPr>
        <w:t>）中小企业声明函、监狱企业、残疾人福利性单位及其他相关的充分的证明材料（附件2.3）（如有）</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2.3、</w:t>
      </w:r>
      <w:r>
        <w:rPr>
          <w:rFonts w:hint="eastAsia"/>
          <w:bCs/>
          <w:color w:val="auto"/>
          <w:sz w:val="22"/>
          <w:szCs w:val="22"/>
          <w:highlight w:val="none"/>
          <w:u w:val="single"/>
        </w:rPr>
        <w:t>商务技术文件组成</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 “技术资信部分”封面</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2）技术资信评分项索引表</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3）投标函；</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4）法定代表人授权书；</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5）投标供应商情况声明；</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6）供应商参与政府采购活动投标资格声明</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7）诚信投标承诺书</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8）质量服务承诺书</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9）商务响应表、技术响应表；</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10）项目人员配置情况</w:t>
      </w:r>
    </w:p>
    <w:p>
      <w:pPr>
        <w:widowControl/>
        <w:autoSpaceDE w:val="0"/>
        <w:autoSpaceDN w:val="0"/>
        <w:snapToGrid w:val="0"/>
        <w:spacing w:line="44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11）业绩（如有则提供，复印件加盖公章）；</w:t>
      </w:r>
    </w:p>
    <w:p>
      <w:pPr>
        <w:autoSpaceDE w:val="0"/>
        <w:autoSpaceDN w:val="0"/>
        <w:snapToGrid w:val="0"/>
        <w:spacing w:line="46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2</w:t>
      </w:r>
      <w:r>
        <w:rPr>
          <w:rFonts w:hint="eastAsia" w:ascii="宋体" w:hAnsi="宋体"/>
          <w:color w:val="auto"/>
          <w:sz w:val="22"/>
          <w:szCs w:val="22"/>
          <w:highlight w:val="none"/>
        </w:rPr>
        <w:t>）根据招标文件中的采购内容与技术要求及评审办法等，需要提供的其它文件和资料。</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 投标文件编制</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3.1本项目通过“政府采购云平台（</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）”实行在线投标响应（电子投标）。供应商应通过“政采云电子交易客户端”，并按照本招标文件和“政府采购云平台”的要求编制并加密投标文件。</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3.2投标供应商应当按照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3.3《投标文件》内容不完整、编排混乱导致《投标文件》被误读、漏读或者查找不到相关内容的，是投标供应商的责任。</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3.4《投标文件》因字迹潦草或表达不清所引起的后果由投标供应商负责。</w:t>
      </w:r>
    </w:p>
    <w:p>
      <w:pPr>
        <w:autoSpaceDE w:val="0"/>
        <w:autoSpaceDN w:val="0"/>
        <w:snapToGrid w:val="0"/>
        <w:spacing w:line="460" w:lineRule="exact"/>
        <w:ind w:firstLine="440" w:firstLineChars="200"/>
        <w:rPr>
          <w:rFonts w:hint="eastAsia"/>
          <w:color w:val="auto"/>
          <w:sz w:val="22"/>
          <w:szCs w:val="22"/>
          <w:highlight w:val="none"/>
        </w:rPr>
      </w:pPr>
      <w:r>
        <w:rPr>
          <w:rFonts w:hint="eastAsia"/>
          <w:color w:val="auto"/>
          <w:sz w:val="22"/>
          <w:szCs w:val="22"/>
          <w:highlight w:val="none"/>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snapToGrid w:val="0"/>
        <w:spacing w:line="420" w:lineRule="exact"/>
        <w:rPr>
          <w:rFonts w:hint="eastAsia"/>
          <w:color w:val="auto"/>
          <w:sz w:val="22"/>
          <w:szCs w:val="22"/>
          <w:highlight w:val="none"/>
        </w:rPr>
      </w:pPr>
      <w:bookmarkStart w:id="2" w:name="_Toc132122115"/>
      <w:bookmarkEnd w:id="2"/>
      <w:bookmarkStart w:id="3" w:name="_Toc132122412"/>
      <w:bookmarkEnd w:id="3"/>
      <w:r>
        <w:rPr>
          <w:rFonts w:hint="eastAsia"/>
          <w:color w:val="auto"/>
          <w:sz w:val="22"/>
          <w:szCs w:val="22"/>
          <w:highlight w:val="none"/>
        </w:rPr>
        <w:t>4.投标报价</w:t>
      </w:r>
    </w:p>
    <w:p>
      <w:pPr>
        <w:autoSpaceDE w:val="0"/>
        <w:autoSpaceDN w:val="0"/>
        <w:snapToGrid w:val="0"/>
        <w:spacing w:line="420" w:lineRule="exact"/>
        <w:ind w:firstLine="435" w:firstLineChars="198"/>
        <w:rPr>
          <w:rFonts w:hint="eastAsia"/>
          <w:color w:val="auto"/>
          <w:sz w:val="22"/>
          <w:szCs w:val="22"/>
          <w:highlight w:val="none"/>
        </w:rPr>
      </w:pPr>
      <w:r>
        <w:rPr>
          <w:rFonts w:hint="eastAsia"/>
          <w:color w:val="auto"/>
          <w:sz w:val="22"/>
          <w:szCs w:val="22"/>
          <w:highlight w:val="none"/>
        </w:rPr>
        <w:t>4.1、供应商应按招标文件中《开标一览表》填写报价。</w:t>
      </w:r>
      <w:r>
        <w:rPr>
          <w:b/>
          <w:color w:val="auto"/>
          <w:sz w:val="22"/>
          <w:szCs w:val="22"/>
          <w:highlight w:val="none"/>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olor w:val="auto"/>
          <w:sz w:val="22"/>
          <w:szCs w:val="22"/>
          <w:highlight w:val="none"/>
        </w:rPr>
        <w:t>。</w:t>
      </w:r>
    </w:p>
    <w:p>
      <w:pPr>
        <w:autoSpaceDE w:val="0"/>
        <w:autoSpaceDN w:val="0"/>
        <w:snapToGrid w:val="0"/>
        <w:spacing w:line="420" w:lineRule="exact"/>
        <w:ind w:firstLine="440" w:firstLineChars="200"/>
        <w:rPr>
          <w:rFonts w:hint="eastAsia"/>
          <w:bCs/>
          <w:color w:val="auto"/>
          <w:sz w:val="22"/>
          <w:szCs w:val="22"/>
          <w:highlight w:val="none"/>
        </w:rPr>
      </w:pPr>
      <w:r>
        <w:rPr>
          <w:rFonts w:hint="eastAsia"/>
          <w:bCs/>
          <w:color w:val="auto"/>
          <w:sz w:val="22"/>
          <w:szCs w:val="22"/>
          <w:highlight w:val="none"/>
        </w:rPr>
        <w:t>4.2、本次招标只允许有一个报价，有选择的报价将不予接受。</w:t>
      </w:r>
    </w:p>
    <w:p>
      <w:pPr>
        <w:autoSpaceDE w:val="0"/>
        <w:autoSpaceDN w:val="0"/>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4.3、</w:t>
      </w:r>
      <w:r>
        <w:rPr>
          <w:rFonts w:hint="eastAsia"/>
          <w:color w:val="auto"/>
          <w:sz w:val="22"/>
          <w:szCs w:val="22"/>
          <w:highlight w:val="none"/>
          <w:u w:val="single"/>
        </w:rPr>
        <w:t>供应商对在合同执行中，除招标文件规定的由中标供应商负责的工作范围以外需要甲方协调或提供便利的工作应当在投标文件中说明。</w:t>
      </w:r>
    </w:p>
    <w:p>
      <w:pPr>
        <w:autoSpaceDE w:val="0"/>
        <w:autoSpaceDN w:val="0"/>
        <w:snapToGrid w:val="0"/>
        <w:spacing w:line="420" w:lineRule="exact"/>
        <w:ind w:firstLine="431" w:firstLineChars="196"/>
        <w:rPr>
          <w:rFonts w:hint="eastAsia"/>
          <w:color w:val="auto"/>
          <w:sz w:val="22"/>
          <w:szCs w:val="22"/>
          <w:highlight w:val="none"/>
        </w:rPr>
      </w:pPr>
      <w:bookmarkStart w:id="4" w:name="_Toc132122117"/>
      <w:bookmarkEnd w:id="4"/>
      <w:bookmarkStart w:id="5" w:name="_Toc132122414"/>
      <w:bookmarkEnd w:id="5"/>
      <w:r>
        <w:rPr>
          <w:rFonts w:hint="eastAsia"/>
          <w:color w:val="auto"/>
          <w:sz w:val="22"/>
          <w:szCs w:val="22"/>
          <w:highlight w:val="none"/>
        </w:rPr>
        <w:t>5、投标文件的有效期</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5.1自开标日起90天内，投标文件应保持有效。有效期短于这个规定期限的投标将被拒绝。</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5.2在特殊情况下，采购人可与供应商协商延长投标文件的有效期，这种要求和答复均应以书面形式进行。</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5.3供应商可拒绝接受延期要求而不会导致处罚。同意延长有效期的供应商不能修改投标文件。</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6、投标文件的签章</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.1《</w:t>
      </w:r>
      <w:r>
        <w:rPr>
          <w:rFonts w:hAnsi="宋体"/>
          <w:color w:val="auto"/>
          <w:sz w:val="22"/>
          <w:szCs w:val="22"/>
          <w:highlight w:val="none"/>
        </w:rPr>
        <w:t>投标文件</w:t>
      </w:r>
      <w:r>
        <w:rPr>
          <w:rFonts w:hint="eastAsia" w:hAnsi="宋体"/>
          <w:color w:val="auto"/>
          <w:sz w:val="22"/>
          <w:szCs w:val="22"/>
          <w:highlight w:val="none"/>
        </w:rPr>
        <w:t>》的签章：</w:t>
      </w:r>
      <w:r>
        <w:rPr>
          <w:rFonts w:hint="eastAsia" w:hAnsi="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.2《</w:t>
      </w:r>
      <w:r>
        <w:rPr>
          <w:rFonts w:hAnsi="宋体"/>
          <w:color w:val="auto"/>
          <w:sz w:val="22"/>
          <w:szCs w:val="22"/>
          <w:highlight w:val="none"/>
        </w:rPr>
        <w:t>投标文件</w:t>
      </w:r>
      <w:r>
        <w:rPr>
          <w:rFonts w:hint="eastAsia" w:hAnsi="宋体"/>
          <w:color w:val="auto"/>
          <w:sz w:val="22"/>
          <w:szCs w:val="22"/>
          <w:highlight w:val="none"/>
        </w:rPr>
        <w:t>》应由投标供应商法定代表人或其授权代表签字（或盖章），并时加盖投标供应商公章。</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6</w:t>
      </w:r>
      <w:r>
        <w:rPr>
          <w:rFonts w:hint="eastAsia" w:hAnsi="宋体"/>
          <w:color w:val="auto"/>
          <w:sz w:val="22"/>
          <w:szCs w:val="22"/>
          <w:highlight w:val="none"/>
        </w:rPr>
        <w:t>.</w:t>
      </w:r>
      <w:r>
        <w:rPr>
          <w:rFonts w:hAnsi="宋体"/>
          <w:color w:val="auto"/>
          <w:sz w:val="22"/>
          <w:szCs w:val="22"/>
          <w:highlight w:val="none"/>
        </w:rPr>
        <w:t>3</w:t>
      </w:r>
      <w:r>
        <w:rPr>
          <w:rFonts w:hint="eastAsia" w:hAnsi="宋体"/>
          <w:color w:val="auto"/>
          <w:sz w:val="22"/>
          <w:szCs w:val="22"/>
          <w:highlight w:val="none"/>
        </w:rPr>
        <w:t>电子签章操作指南详见采购公告附件《供应商项目采购-电子招投标操作指南》。</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7、投标文件的形式</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.1投标文件的形式：见投标通知(邀 请)书；</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.2“电子加密投标文件”：“电子加密投标文件”是指通过“政采云电子交易客户端”完成投标文件编制后生成并加密的数据电文形式的投标文件。</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7</w:t>
      </w:r>
      <w:r>
        <w:rPr>
          <w:rFonts w:hint="eastAsia" w:hAnsi="宋体"/>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8、投标文件的份数</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8</w:t>
      </w:r>
      <w:r>
        <w:rPr>
          <w:rFonts w:hint="eastAsia" w:hAnsi="宋体"/>
          <w:color w:val="auto"/>
          <w:sz w:val="22"/>
          <w:szCs w:val="22"/>
          <w:highlight w:val="none"/>
        </w:rPr>
        <w:t>.1投标文件的份数：见投标通知(邀 请)书。</w:t>
      </w:r>
    </w:p>
    <w:p>
      <w:pPr>
        <w:snapToGrid w:val="0"/>
        <w:spacing w:line="420" w:lineRule="exact"/>
        <w:outlineLvl w:val="0"/>
        <w:rPr>
          <w:rFonts w:hint="eastAsia"/>
          <w:bCs/>
          <w:color w:val="auto"/>
          <w:sz w:val="22"/>
          <w:szCs w:val="22"/>
          <w:highlight w:val="none"/>
        </w:rPr>
      </w:pPr>
      <w:r>
        <w:rPr>
          <w:rFonts w:hint="eastAsia"/>
          <w:bCs/>
          <w:color w:val="auto"/>
          <w:sz w:val="22"/>
          <w:szCs w:val="22"/>
          <w:highlight w:val="none"/>
        </w:rPr>
        <w:t>五、投标</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1、投标文件的上传和递交</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1</w:t>
      </w:r>
      <w:r>
        <w:rPr>
          <w:rFonts w:hint="eastAsia" w:hAnsi="宋体"/>
          <w:color w:val="auto"/>
          <w:sz w:val="22"/>
          <w:szCs w:val="22"/>
          <w:highlight w:val="none"/>
        </w:rPr>
        <w:t>.1“投标文件”的上传、递交：见投标通知(邀 请)书。</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2、“电子加密投标文件”解密和异常情况处理</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2</w:t>
      </w:r>
      <w:r>
        <w:rPr>
          <w:rFonts w:hint="eastAsia" w:hAnsi="宋体"/>
          <w:color w:val="auto"/>
          <w:sz w:val="22"/>
          <w:szCs w:val="22"/>
          <w:highlight w:val="none"/>
        </w:rPr>
        <w:t>.1“电子加密投标文件”解密：见投标通知(邀 请)书。</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3、投标文件的补充、修改或撤回</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3</w:t>
      </w:r>
      <w:r>
        <w:rPr>
          <w:rFonts w:hint="eastAsia" w:hAnsi="宋体"/>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24"/>
        <w:snapToGrid w:val="0"/>
        <w:spacing w:line="420" w:lineRule="exact"/>
        <w:ind w:firstLine="442" w:firstLineChars="200"/>
        <w:rPr>
          <w:rFonts w:hAnsi="宋体"/>
          <w:b/>
          <w:color w:val="auto"/>
          <w:sz w:val="22"/>
          <w:szCs w:val="22"/>
          <w:highlight w:val="none"/>
        </w:rPr>
      </w:pPr>
      <w:r>
        <w:rPr>
          <w:rFonts w:hAnsi="宋体"/>
          <w:b/>
          <w:color w:val="auto"/>
          <w:sz w:val="22"/>
          <w:szCs w:val="22"/>
          <w:highlight w:val="none"/>
        </w:rPr>
        <w:t>3</w:t>
      </w:r>
      <w:r>
        <w:rPr>
          <w:rFonts w:hint="eastAsia" w:hAnsi="宋体"/>
          <w:b/>
          <w:color w:val="auto"/>
          <w:sz w:val="22"/>
          <w:szCs w:val="22"/>
          <w:highlight w:val="none"/>
        </w:rPr>
        <w:t>.2</w:t>
      </w:r>
      <w:r>
        <w:rPr>
          <w:rFonts w:hAnsi="宋体"/>
          <w:b/>
          <w:color w:val="auto"/>
          <w:sz w:val="22"/>
          <w:szCs w:val="22"/>
          <w:highlight w:val="none"/>
        </w:rPr>
        <w:t>投标截止时间后，投标供应商不得撤回、修改《投标文件》</w:t>
      </w:r>
      <w:r>
        <w:rPr>
          <w:rFonts w:hint="eastAsia" w:hAnsi="宋体"/>
          <w:b/>
          <w:color w:val="auto"/>
          <w:sz w:val="22"/>
          <w:szCs w:val="22"/>
          <w:highlight w:val="none"/>
        </w:rPr>
        <w:t>。</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4、投标文件的备选方案</w:t>
      </w:r>
    </w:p>
    <w:p>
      <w:pPr>
        <w:pStyle w:val="24"/>
        <w:snapToGrid w:val="0"/>
        <w:spacing w:line="420" w:lineRule="exact"/>
        <w:ind w:firstLine="440" w:firstLineChars="200"/>
        <w:rPr>
          <w:rFonts w:hAnsi="宋体"/>
          <w:color w:val="auto"/>
          <w:sz w:val="22"/>
          <w:szCs w:val="22"/>
          <w:highlight w:val="none"/>
        </w:rPr>
      </w:pPr>
      <w:r>
        <w:rPr>
          <w:rFonts w:hAnsi="宋体"/>
          <w:color w:val="auto"/>
          <w:sz w:val="22"/>
          <w:szCs w:val="22"/>
          <w:highlight w:val="none"/>
        </w:rPr>
        <w:t>4.1</w:t>
      </w:r>
      <w:r>
        <w:rPr>
          <w:rFonts w:hint="eastAsia" w:hAnsi="宋体"/>
          <w:color w:val="auto"/>
          <w:sz w:val="22"/>
          <w:szCs w:val="22"/>
          <w:highlight w:val="none"/>
        </w:rPr>
        <w:t>投标供应商不得递交任何的</w:t>
      </w:r>
      <w:r>
        <w:rPr>
          <w:rFonts w:hAnsi="宋体"/>
          <w:color w:val="auto"/>
          <w:sz w:val="22"/>
          <w:szCs w:val="22"/>
          <w:highlight w:val="none"/>
        </w:rPr>
        <w:t>投标备选（替代）方案</w:t>
      </w:r>
      <w:r>
        <w:rPr>
          <w:rFonts w:hint="eastAsia" w:hAnsi="宋体"/>
          <w:color w:val="auto"/>
          <w:sz w:val="22"/>
          <w:szCs w:val="22"/>
          <w:highlight w:val="none"/>
        </w:rPr>
        <w:t>，否则其投标文件将作无效标处理。与“电子加密投标文件”同时生成的“备份投标文件”不是投标备选（替代）方案。</w:t>
      </w:r>
    </w:p>
    <w:p>
      <w:pPr>
        <w:snapToGrid w:val="0"/>
        <w:spacing w:line="420" w:lineRule="exact"/>
        <w:outlineLvl w:val="0"/>
        <w:rPr>
          <w:rFonts w:hint="eastAsia"/>
          <w:color w:val="auto"/>
          <w:sz w:val="22"/>
          <w:szCs w:val="22"/>
          <w:highlight w:val="none"/>
        </w:rPr>
      </w:pPr>
      <w:r>
        <w:rPr>
          <w:rFonts w:hint="eastAsia"/>
          <w:color w:val="auto"/>
          <w:sz w:val="22"/>
          <w:szCs w:val="22"/>
          <w:highlight w:val="none"/>
        </w:rPr>
        <w:t>六、开标和评标</w:t>
      </w:r>
    </w:p>
    <w:p>
      <w:pPr>
        <w:snapToGrid w:val="0"/>
        <w:spacing w:line="420" w:lineRule="exact"/>
        <w:ind w:firstLine="527"/>
        <w:rPr>
          <w:rFonts w:hint="eastAsia"/>
          <w:b/>
          <w:color w:val="auto"/>
          <w:sz w:val="22"/>
          <w:szCs w:val="22"/>
          <w:highlight w:val="none"/>
        </w:rPr>
      </w:pPr>
      <w:r>
        <w:rPr>
          <w:rFonts w:hint="eastAsia"/>
          <w:b/>
          <w:color w:val="auto"/>
          <w:sz w:val="22"/>
          <w:szCs w:val="22"/>
          <w:highlight w:val="none"/>
        </w:rPr>
        <w:t>一）开标</w:t>
      </w:r>
    </w:p>
    <w:p>
      <w:pPr>
        <w:snapToGrid w:val="0"/>
        <w:spacing w:line="420" w:lineRule="exact"/>
        <w:ind w:firstLine="527"/>
        <w:rPr>
          <w:rFonts w:hint="eastAsia"/>
          <w:b/>
          <w:color w:val="auto"/>
          <w:sz w:val="22"/>
          <w:szCs w:val="22"/>
          <w:highlight w:val="none"/>
        </w:rPr>
      </w:pPr>
      <w:r>
        <w:rPr>
          <w:rFonts w:hint="eastAsia"/>
          <w:b/>
          <w:color w:val="auto"/>
          <w:sz w:val="22"/>
          <w:szCs w:val="22"/>
          <w:highlight w:val="none"/>
        </w:rPr>
        <w:t>1、开标形式</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1.1 采购组织机构将按照招标文件规定的时间通过“政府采购云平台”组织开标、开启投标文件，所有供应商均应当准时在线参加。</w:t>
      </w:r>
    </w:p>
    <w:p>
      <w:pPr>
        <w:snapToGrid w:val="0"/>
        <w:spacing w:line="420" w:lineRule="exact"/>
        <w:ind w:firstLine="527"/>
        <w:rPr>
          <w:rFonts w:hint="eastAsia"/>
          <w:b/>
          <w:color w:val="auto"/>
          <w:sz w:val="22"/>
          <w:szCs w:val="22"/>
          <w:highlight w:val="none"/>
        </w:rPr>
      </w:pPr>
      <w:r>
        <w:rPr>
          <w:rFonts w:hint="eastAsia"/>
          <w:b/>
          <w:color w:val="auto"/>
          <w:sz w:val="22"/>
          <w:szCs w:val="22"/>
          <w:highlight w:val="none"/>
        </w:rPr>
        <w:t>2、</w:t>
      </w:r>
      <w:r>
        <w:rPr>
          <w:b/>
          <w:color w:val="auto"/>
          <w:sz w:val="22"/>
          <w:szCs w:val="22"/>
          <w:highlight w:val="none"/>
        </w:rPr>
        <w:t>开标准备</w:t>
      </w:r>
    </w:p>
    <w:p>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.1开标的准备工作由采购组织机构负责落实；</w:t>
      </w:r>
    </w:p>
    <w:p>
      <w:pPr>
        <w:snapToGrid w:val="0"/>
        <w:spacing w:line="420" w:lineRule="exact"/>
        <w:ind w:firstLine="527"/>
        <w:rPr>
          <w:color w:val="auto"/>
          <w:sz w:val="22"/>
          <w:szCs w:val="22"/>
          <w:highlight w:val="none"/>
        </w:rPr>
      </w:pPr>
      <w:r>
        <w:rPr>
          <w:color w:val="auto"/>
          <w:sz w:val="22"/>
          <w:szCs w:val="22"/>
          <w:highlight w:val="none"/>
        </w:rPr>
        <w:t>2</w:t>
      </w:r>
      <w:r>
        <w:rPr>
          <w:rFonts w:hint="eastAsia"/>
          <w:color w:val="auto"/>
          <w:sz w:val="22"/>
          <w:szCs w:val="22"/>
          <w:highlight w:val="none"/>
        </w:rPr>
        <w:t>.2采购组织机构将按照招标文件规定的时间通过“政府采购云平台”组织开标、开启投标文件，所有供应商均应当准时在线参加。投标供应商</w:t>
      </w:r>
      <w:r>
        <w:rPr>
          <w:color w:val="auto"/>
          <w:sz w:val="22"/>
          <w:szCs w:val="22"/>
          <w:highlight w:val="none"/>
        </w:rPr>
        <w:t>如不</w:t>
      </w:r>
      <w:r>
        <w:rPr>
          <w:rFonts w:hint="eastAsia"/>
          <w:color w:val="auto"/>
          <w:sz w:val="22"/>
          <w:szCs w:val="22"/>
          <w:highlight w:val="none"/>
        </w:rPr>
        <w:t>参加</w:t>
      </w:r>
      <w:r>
        <w:rPr>
          <w:color w:val="auto"/>
          <w:sz w:val="22"/>
          <w:szCs w:val="22"/>
          <w:highlight w:val="none"/>
        </w:rPr>
        <w:t>开标大会的，</w:t>
      </w:r>
      <w:r>
        <w:rPr>
          <w:rFonts w:hint="eastAsia"/>
          <w:color w:val="auto"/>
          <w:sz w:val="22"/>
          <w:szCs w:val="22"/>
          <w:highlight w:val="none"/>
        </w:rPr>
        <w:t>视同认可开标结果，</w:t>
      </w:r>
      <w:r>
        <w:rPr>
          <w:color w:val="auto"/>
          <w:sz w:val="22"/>
          <w:szCs w:val="22"/>
          <w:highlight w:val="none"/>
        </w:rPr>
        <w:t>事后不得对采购相关人员、开标过程和开标结果提出异议</w:t>
      </w:r>
      <w:r>
        <w:rPr>
          <w:rFonts w:hint="eastAsia"/>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w:t>
      </w:r>
      <w:r>
        <w:rPr>
          <w:color w:val="auto"/>
          <w:sz w:val="22"/>
          <w:szCs w:val="22"/>
          <w:highlight w:val="none"/>
        </w:rPr>
        <w:t>开标</w:t>
      </w:r>
      <w:r>
        <w:rPr>
          <w:rFonts w:hint="eastAsia"/>
          <w:color w:val="auto"/>
          <w:sz w:val="22"/>
          <w:szCs w:val="22"/>
          <w:highlight w:val="none"/>
        </w:rPr>
        <w:t>流程（两阶段）</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3.1开标第一阶段</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2</w:t>
      </w:r>
      <w:r>
        <w:rPr>
          <w:rFonts w:hint="eastAsia"/>
          <w:color w:val="auto"/>
          <w:sz w:val="22"/>
          <w:szCs w:val="22"/>
          <w:highlight w:val="none"/>
        </w:rPr>
        <w:t>）投标文件解密结束，发送各投标人组织签署《国企采购活动现场确认声明书》；</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3</w:t>
      </w:r>
      <w:r>
        <w:rPr>
          <w:rFonts w:hint="eastAsia"/>
          <w:color w:val="auto"/>
          <w:sz w:val="22"/>
          <w:szCs w:val="22"/>
          <w:highlight w:val="none"/>
        </w:rPr>
        <w:t>）开启投标文件，进入资格审查；</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4</w:t>
      </w:r>
      <w:r>
        <w:rPr>
          <w:rFonts w:hint="eastAsia"/>
          <w:color w:val="auto"/>
          <w:sz w:val="22"/>
          <w:szCs w:val="22"/>
          <w:highlight w:val="none"/>
        </w:rPr>
        <w:t>）开启资格审查通过的投标供应商的商务技术文件进入符合性审查、商务技术评审；</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w:t>
      </w:r>
      <w:r>
        <w:rPr>
          <w:color w:val="auto"/>
          <w:sz w:val="22"/>
          <w:szCs w:val="22"/>
          <w:highlight w:val="none"/>
        </w:rPr>
        <w:t>5</w:t>
      </w:r>
      <w:r>
        <w:rPr>
          <w:rFonts w:hint="eastAsia"/>
          <w:color w:val="auto"/>
          <w:sz w:val="22"/>
          <w:szCs w:val="22"/>
          <w:highlight w:val="none"/>
        </w:rPr>
        <w:t>）第一阶段开标结束。</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3.2开标大会第二阶段</w:t>
      </w:r>
    </w:p>
    <w:p>
      <w:pPr>
        <w:numPr>
          <w:ilvl w:val="0"/>
          <w:numId w:val="5"/>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符合性审查、商务技术评审结束后，举行开标大会第二阶段会议。首先公布符合性审查、商务技术评审无效供应商名称及理由</w:t>
      </w:r>
      <w:r>
        <w:rPr>
          <w:color w:val="auto"/>
          <w:sz w:val="22"/>
          <w:szCs w:val="22"/>
          <w:highlight w:val="none"/>
        </w:rPr>
        <w:t>；公布经商务技术评审</w:t>
      </w:r>
      <w:r>
        <w:rPr>
          <w:rFonts w:hint="eastAsia"/>
          <w:color w:val="auto"/>
          <w:sz w:val="22"/>
          <w:szCs w:val="22"/>
          <w:highlight w:val="none"/>
        </w:rPr>
        <w:t>后有效投标</w:t>
      </w:r>
      <w:r>
        <w:rPr>
          <w:color w:val="auto"/>
          <w:sz w:val="22"/>
          <w:szCs w:val="22"/>
          <w:highlight w:val="none"/>
        </w:rPr>
        <w:t>供应商</w:t>
      </w:r>
      <w:r>
        <w:rPr>
          <w:rFonts w:hint="eastAsia"/>
          <w:color w:val="auto"/>
          <w:sz w:val="22"/>
          <w:szCs w:val="22"/>
          <w:highlight w:val="none"/>
        </w:rPr>
        <w:t>的</w:t>
      </w:r>
      <w:r>
        <w:rPr>
          <w:color w:val="auto"/>
          <w:sz w:val="22"/>
          <w:szCs w:val="22"/>
          <w:highlight w:val="none"/>
        </w:rPr>
        <w:t>名单，同时公布</w:t>
      </w:r>
      <w:r>
        <w:rPr>
          <w:rFonts w:hint="eastAsia"/>
          <w:color w:val="auto"/>
          <w:sz w:val="22"/>
          <w:szCs w:val="22"/>
          <w:highlight w:val="none"/>
        </w:rPr>
        <w:t>其</w:t>
      </w:r>
      <w:r>
        <w:rPr>
          <w:color w:val="auto"/>
          <w:sz w:val="22"/>
          <w:szCs w:val="22"/>
          <w:highlight w:val="none"/>
        </w:rPr>
        <w:t>商务技术</w:t>
      </w:r>
      <w:r>
        <w:rPr>
          <w:rFonts w:hint="eastAsia"/>
          <w:color w:val="auto"/>
          <w:sz w:val="22"/>
          <w:szCs w:val="22"/>
          <w:highlight w:val="none"/>
        </w:rPr>
        <w:t>部分</w:t>
      </w:r>
      <w:r>
        <w:rPr>
          <w:color w:val="auto"/>
          <w:sz w:val="22"/>
          <w:szCs w:val="22"/>
          <w:highlight w:val="none"/>
        </w:rPr>
        <w:t>得分情况</w:t>
      </w:r>
      <w:r>
        <w:rPr>
          <w:rFonts w:hint="eastAsia"/>
          <w:color w:val="auto"/>
          <w:sz w:val="22"/>
          <w:szCs w:val="22"/>
          <w:highlight w:val="none"/>
        </w:rPr>
        <w:t>。</w:t>
      </w:r>
    </w:p>
    <w:p>
      <w:pPr>
        <w:numPr>
          <w:ilvl w:val="0"/>
          <w:numId w:val="5"/>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开启符合性审查、商务技术评审有效投标供应商的《报价文件》</w:t>
      </w:r>
      <w:r>
        <w:rPr>
          <w:color w:val="auto"/>
          <w:sz w:val="22"/>
          <w:szCs w:val="22"/>
          <w:highlight w:val="none"/>
        </w:rPr>
        <w:t>。</w:t>
      </w:r>
      <w:r>
        <w:rPr>
          <w:rFonts w:hint="eastAsia"/>
          <w:color w:val="auto"/>
          <w:sz w:val="22"/>
          <w:szCs w:val="22"/>
          <w:highlight w:val="none"/>
        </w:rPr>
        <w:t>供应商</w:t>
      </w:r>
      <w:r>
        <w:rPr>
          <w:color w:val="auto"/>
          <w:sz w:val="22"/>
          <w:szCs w:val="22"/>
          <w:highlight w:val="none"/>
        </w:rPr>
        <w:t>签字确认（</w:t>
      </w:r>
      <w:r>
        <w:rPr>
          <w:rFonts w:hint="eastAsia"/>
          <w:color w:val="auto"/>
          <w:sz w:val="22"/>
          <w:szCs w:val="22"/>
          <w:highlight w:val="none"/>
        </w:rPr>
        <w:t>10分钟内未</w:t>
      </w:r>
      <w:r>
        <w:rPr>
          <w:color w:val="auto"/>
          <w:sz w:val="22"/>
          <w:szCs w:val="22"/>
          <w:highlight w:val="none"/>
        </w:rPr>
        <w:t>确认的视为无异议），由评标委员会对报价的合理性、准确性等进行审查核实</w:t>
      </w:r>
      <w:r>
        <w:rPr>
          <w:rFonts w:hint="eastAsia"/>
          <w:color w:val="auto"/>
          <w:sz w:val="22"/>
          <w:szCs w:val="22"/>
          <w:highlight w:val="none"/>
        </w:rPr>
        <w:t>。</w:t>
      </w:r>
    </w:p>
    <w:p>
      <w:pPr>
        <w:numPr>
          <w:ilvl w:val="0"/>
          <w:numId w:val="5"/>
        </w:num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评审结束后，公布中标（成交）候选供应商名单，及采购人最终确定中标或成交供应商名单的时间和公告方式等。</w:t>
      </w:r>
    </w:p>
    <w:p>
      <w:pPr>
        <w:snapToGrid w:val="0"/>
        <w:spacing w:line="420" w:lineRule="exact"/>
        <w:ind w:firstLine="527"/>
        <w:rPr>
          <w:rFonts w:hint="eastAsia"/>
          <w:b/>
          <w:color w:val="auto"/>
          <w:sz w:val="22"/>
          <w:szCs w:val="22"/>
          <w:highlight w:val="none"/>
        </w:rPr>
      </w:pPr>
      <w:r>
        <w:rPr>
          <w:rFonts w:hint="eastAsia"/>
          <w:b/>
          <w:color w:val="auto"/>
          <w:sz w:val="22"/>
          <w:szCs w:val="22"/>
          <w:highlight w:val="none"/>
        </w:rPr>
        <w:t>特别说明：如遇“政府采购云平台”电子化开标或评审程序调整的，按调整后程序执行。</w:t>
      </w:r>
    </w:p>
    <w:p>
      <w:pPr>
        <w:snapToGrid w:val="0"/>
        <w:spacing w:line="420" w:lineRule="exact"/>
        <w:ind w:firstLine="527"/>
        <w:rPr>
          <w:rFonts w:hint="eastAsia"/>
          <w:b/>
          <w:color w:val="auto"/>
          <w:sz w:val="22"/>
          <w:szCs w:val="22"/>
          <w:highlight w:val="none"/>
        </w:rPr>
      </w:pPr>
      <w:bookmarkStart w:id="6" w:name="_Toc33194393"/>
      <w:bookmarkEnd w:id="6"/>
      <w:bookmarkStart w:id="7" w:name="_Toc24550037"/>
      <w:bookmarkEnd w:id="7"/>
      <w:r>
        <w:rPr>
          <w:rFonts w:hint="eastAsia"/>
          <w:b/>
          <w:color w:val="auto"/>
          <w:sz w:val="22"/>
          <w:szCs w:val="22"/>
          <w:highlight w:val="none"/>
        </w:rPr>
        <w:t>4、投标供应商资格审查</w:t>
      </w:r>
    </w:p>
    <w:p>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.1开标大会第一阶段结束后，采购人或采购代理机构首先依法对各投标供应商的资格进行审查，审查各投标供应商的资格是否满足招标文件的要求。</w:t>
      </w:r>
      <w:r>
        <w:rPr>
          <w:color w:val="auto"/>
          <w:sz w:val="22"/>
          <w:szCs w:val="22"/>
          <w:highlight w:val="none"/>
        </w:rPr>
        <w:t>采购人或采购代理机构对投标</w:t>
      </w:r>
      <w:r>
        <w:rPr>
          <w:rFonts w:hint="eastAsia"/>
          <w:color w:val="auto"/>
          <w:sz w:val="22"/>
          <w:szCs w:val="22"/>
          <w:highlight w:val="none"/>
        </w:rPr>
        <w:t>供应商</w:t>
      </w:r>
      <w:r>
        <w:rPr>
          <w:color w:val="auto"/>
          <w:sz w:val="22"/>
          <w:szCs w:val="22"/>
          <w:highlight w:val="none"/>
        </w:rPr>
        <w:t>所</w:t>
      </w:r>
      <w:r>
        <w:rPr>
          <w:rFonts w:hint="eastAsia"/>
          <w:color w:val="auto"/>
          <w:sz w:val="22"/>
          <w:szCs w:val="22"/>
          <w:highlight w:val="none"/>
        </w:rPr>
        <w:t>提交</w:t>
      </w:r>
      <w:r>
        <w:rPr>
          <w:color w:val="auto"/>
          <w:sz w:val="22"/>
          <w:szCs w:val="22"/>
          <w:highlight w:val="none"/>
        </w:rPr>
        <w:t>的资格证明材料仅负审核的责任。如发现投标</w:t>
      </w:r>
      <w:r>
        <w:rPr>
          <w:rFonts w:hint="eastAsia"/>
          <w:color w:val="auto"/>
          <w:sz w:val="22"/>
          <w:szCs w:val="22"/>
          <w:highlight w:val="none"/>
        </w:rPr>
        <w:t>供应商</w:t>
      </w:r>
      <w:r>
        <w:rPr>
          <w:color w:val="auto"/>
          <w:sz w:val="22"/>
          <w:szCs w:val="22"/>
          <w:highlight w:val="none"/>
        </w:rPr>
        <w:t>所提</w:t>
      </w:r>
      <w:r>
        <w:rPr>
          <w:rFonts w:hint="eastAsia"/>
          <w:color w:val="auto"/>
          <w:sz w:val="22"/>
          <w:szCs w:val="22"/>
          <w:highlight w:val="none"/>
        </w:rPr>
        <w:t>交</w:t>
      </w:r>
      <w:r>
        <w:rPr>
          <w:color w:val="auto"/>
          <w:sz w:val="22"/>
          <w:szCs w:val="22"/>
          <w:highlight w:val="none"/>
        </w:rPr>
        <w:t>的资格证明材料不合法或</w:t>
      </w:r>
      <w:r>
        <w:rPr>
          <w:rFonts w:hint="eastAsia"/>
          <w:color w:val="auto"/>
          <w:sz w:val="22"/>
          <w:szCs w:val="22"/>
          <w:highlight w:val="none"/>
        </w:rPr>
        <w:t>与事实不符</w:t>
      </w:r>
      <w:r>
        <w:rPr>
          <w:color w:val="auto"/>
          <w:sz w:val="22"/>
          <w:szCs w:val="22"/>
          <w:highlight w:val="none"/>
        </w:rPr>
        <w:t>，采购人可取消</w:t>
      </w:r>
      <w:r>
        <w:rPr>
          <w:rFonts w:hint="eastAsia"/>
          <w:color w:val="auto"/>
          <w:sz w:val="22"/>
          <w:szCs w:val="22"/>
          <w:highlight w:val="none"/>
        </w:rPr>
        <w:t>其</w:t>
      </w:r>
      <w:r>
        <w:rPr>
          <w:color w:val="auto"/>
          <w:sz w:val="22"/>
          <w:szCs w:val="22"/>
          <w:highlight w:val="none"/>
        </w:rPr>
        <w:t>中标资格并追究投标</w:t>
      </w:r>
      <w:r>
        <w:rPr>
          <w:rFonts w:hint="eastAsia"/>
          <w:color w:val="auto"/>
          <w:sz w:val="22"/>
          <w:szCs w:val="22"/>
          <w:highlight w:val="none"/>
        </w:rPr>
        <w:t>供应商</w:t>
      </w:r>
      <w:r>
        <w:rPr>
          <w:color w:val="auto"/>
          <w:sz w:val="22"/>
          <w:szCs w:val="22"/>
          <w:highlight w:val="none"/>
        </w:rPr>
        <w:t>的法律责任。</w:t>
      </w:r>
    </w:p>
    <w:p>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color w:val="auto"/>
          <w:sz w:val="22"/>
          <w:szCs w:val="22"/>
          <w:highlight w:val="none"/>
        </w:rPr>
      </w:pPr>
      <w:r>
        <w:rPr>
          <w:color w:val="auto"/>
          <w:sz w:val="22"/>
          <w:szCs w:val="22"/>
          <w:highlight w:val="none"/>
        </w:rPr>
        <w:t>4</w:t>
      </w:r>
      <w:r>
        <w:rPr>
          <w:rFonts w:hint="eastAsia"/>
          <w:color w:val="auto"/>
          <w:sz w:val="22"/>
          <w:szCs w:val="22"/>
          <w:highlight w:val="none"/>
        </w:rPr>
        <w:t>.3单位负责人为同一人或者存在直接控股、管理关系的不同供应商参加同一合同项下的采购活动的，相关投标供应商均作资格无效处理。</w:t>
      </w:r>
    </w:p>
    <w:p>
      <w:pPr>
        <w:snapToGrid w:val="0"/>
        <w:spacing w:line="420" w:lineRule="exact"/>
        <w:ind w:firstLine="527"/>
        <w:rPr>
          <w:rFonts w:hint="eastAsia"/>
          <w:b/>
          <w:color w:val="auto"/>
          <w:sz w:val="22"/>
          <w:szCs w:val="22"/>
          <w:highlight w:val="none"/>
        </w:rPr>
      </w:pPr>
      <w:r>
        <w:rPr>
          <w:rFonts w:hint="eastAsia"/>
          <w:b/>
          <w:color w:val="auto"/>
          <w:sz w:val="22"/>
          <w:szCs w:val="22"/>
          <w:highlight w:val="none"/>
        </w:rPr>
        <w:t>二）评标</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2.1评标由采购人依法组建的评标委员会负责，并独立履行下列职责：</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2）要求投标供应商对投标文件有关事项作出解释或者澄清；</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pP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1）投标文件初审。初审分为资格性检查和符合性检查。</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color w:val="auto"/>
          <w:sz w:val="22"/>
          <w:szCs w:val="22"/>
          <w:highlight w:val="none"/>
        </w:rPr>
        <w:t>投标</w:t>
      </w:r>
      <w:r>
        <w:rPr>
          <w:rFonts w:hint="eastAsia"/>
          <w:color w:val="auto"/>
          <w:sz w:val="22"/>
          <w:szCs w:val="22"/>
          <w:highlight w:val="none"/>
        </w:rPr>
        <w:t>供应商</w:t>
      </w:r>
      <w:r>
        <w:rPr>
          <w:color w:val="auto"/>
          <w:sz w:val="22"/>
          <w:szCs w:val="22"/>
          <w:highlight w:val="none"/>
        </w:rPr>
        <w:t>资格文件</w:t>
      </w:r>
      <w:r>
        <w:rPr>
          <w:rFonts w:hint="eastAsia"/>
          <w:color w:val="auto"/>
          <w:sz w:val="22"/>
          <w:szCs w:val="22"/>
          <w:highlight w:val="none"/>
        </w:rPr>
        <w:t>等进行审查，以确定投标供应商是否具备投标资格。</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pPr>
        <w:pStyle w:val="24"/>
        <w:snapToGrid w:val="0"/>
        <w:spacing w:line="420" w:lineRule="exact"/>
        <w:ind w:firstLine="440" w:firstLineChars="200"/>
        <w:rPr>
          <w:rFonts w:hint="eastAsia" w:hAnsi="宋体"/>
          <w:color w:val="auto"/>
          <w:sz w:val="22"/>
          <w:szCs w:val="22"/>
          <w:highlight w:val="none"/>
        </w:rPr>
      </w:pPr>
      <w:r>
        <w:rPr>
          <w:rFonts w:hint="eastAsia" w:hAnsi="宋体"/>
          <w:color w:val="auto"/>
          <w:sz w:val="22"/>
          <w:szCs w:val="22"/>
          <w:highlight w:val="none"/>
        </w:rPr>
        <w:t>2.4、</w:t>
      </w:r>
      <w:r>
        <w:rPr>
          <w:rFonts w:hint="eastAsia" w:hAnsi="宋体"/>
          <w:b/>
          <w:color w:val="auto"/>
          <w:sz w:val="22"/>
          <w:szCs w:val="22"/>
          <w:highlight w:val="none"/>
          <w:u w:val="single"/>
        </w:rPr>
        <w:t>评标委员会发现投标文件有下列情形之一的属于重大偏差(评标委员会按少数服从多数原则认定),按照无效投标处理：</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1）未按招标文件要求编制或字迹模糊、辨认不清的投标文件；</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2）投标文件存在一个或一个以上备选（替代）投标方案的；仅提交“备份投标文件”的；</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3）没有按招标文件格式要求加盖有效公章、无法定代表人（或授权代表）签字或印章（具体格式见招标文件附件—投标文件格式）；</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4）投标文件未有效授权，法定代表人授权委托书等填写不完整或有涂改的；</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5）供应商商务技术投标文件中出现投标产品的本项目报价；</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6）文件组成内容不齐全，本招标文件规定必须提供而未提供的（属于资格审查范围的除外）；明显不符合要求的投标文件；</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7）付款方式、服务期出现负偏差的；</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8）投标文件附有采购人不能接受的条款；</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9）不符合招标文件中规定的实质性要求的投标文件，是否为偏离实质性要求由评标委员会认定。</w:t>
      </w:r>
    </w:p>
    <w:p>
      <w:pPr>
        <w:pStyle w:val="24"/>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10）</w:t>
      </w:r>
      <w:r>
        <w:rPr>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24"/>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11）</w:t>
      </w:r>
      <w:r>
        <w:rPr>
          <w:color w:val="auto"/>
          <w:sz w:val="22"/>
          <w:szCs w:val="22"/>
          <w:highlight w:val="none"/>
        </w:rPr>
        <w:t>有下列情形之一的，视为投标供应商串通投标，其投标无效：</w:t>
      </w:r>
    </w:p>
    <w:p>
      <w:pPr>
        <w:pStyle w:val="24"/>
        <w:snapToGrid w:val="0"/>
        <w:spacing w:line="420" w:lineRule="exact"/>
        <w:ind w:firstLine="431" w:firstLineChars="196"/>
        <w:rPr>
          <w:color w:val="auto"/>
          <w:sz w:val="22"/>
          <w:szCs w:val="22"/>
          <w:highlight w:val="none"/>
        </w:rPr>
      </w:pPr>
      <w:r>
        <w:rPr>
          <w:color w:val="auto"/>
          <w:sz w:val="22"/>
          <w:szCs w:val="22"/>
          <w:highlight w:val="none"/>
        </w:rPr>
        <w:t>　　（一）不同投标供应商的投标文件由同一单位或者个人编制；</w:t>
      </w:r>
    </w:p>
    <w:p>
      <w:pPr>
        <w:pStyle w:val="24"/>
        <w:snapToGrid w:val="0"/>
        <w:spacing w:line="420" w:lineRule="exact"/>
        <w:ind w:firstLine="431" w:firstLineChars="196"/>
        <w:rPr>
          <w:color w:val="auto"/>
          <w:sz w:val="22"/>
          <w:szCs w:val="22"/>
          <w:highlight w:val="none"/>
        </w:rPr>
      </w:pPr>
      <w:r>
        <w:rPr>
          <w:color w:val="auto"/>
          <w:sz w:val="22"/>
          <w:szCs w:val="22"/>
          <w:highlight w:val="none"/>
        </w:rPr>
        <w:t>　　（二）不同投标供应商委托同一单位或者个人办理投标事宜；</w:t>
      </w:r>
    </w:p>
    <w:p>
      <w:pPr>
        <w:pStyle w:val="24"/>
        <w:snapToGrid w:val="0"/>
        <w:spacing w:line="420" w:lineRule="exact"/>
        <w:ind w:firstLine="431" w:firstLineChars="196"/>
        <w:rPr>
          <w:color w:val="auto"/>
          <w:sz w:val="22"/>
          <w:szCs w:val="22"/>
          <w:highlight w:val="none"/>
        </w:rPr>
      </w:pPr>
      <w:r>
        <w:rPr>
          <w:color w:val="auto"/>
          <w:sz w:val="22"/>
          <w:szCs w:val="22"/>
          <w:highlight w:val="none"/>
        </w:rPr>
        <w:t>　　（三）不同投标供应商的投标文件载明的项目管理成员或者联系人员为同一人；</w:t>
      </w:r>
    </w:p>
    <w:p>
      <w:pPr>
        <w:pStyle w:val="24"/>
        <w:snapToGrid w:val="0"/>
        <w:spacing w:line="420" w:lineRule="exact"/>
        <w:ind w:firstLine="431" w:firstLineChars="196"/>
        <w:rPr>
          <w:color w:val="auto"/>
          <w:sz w:val="22"/>
          <w:szCs w:val="22"/>
          <w:highlight w:val="none"/>
        </w:rPr>
      </w:pPr>
      <w:r>
        <w:rPr>
          <w:color w:val="auto"/>
          <w:sz w:val="22"/>
          <w:szCs w:val="22"/>
          <w:highlight w:val="none"/>
        </w:rPr>
        <w:t>　　（四）不同投标供应商的投标文件异常一致或者投标报价呈规律性差异；</w:t>
      </w:r>
    </w:p>
    <w:p>
      <w:pPr>
        <w:pStyle w:val="24"/>
        <w:snapToGrid w:val="0"/>
        <w:spacing w:line="420" w:lineRule="exact"/>
        <w:ind w:firstLine="431" w:firstLineChars="196"/>
        <w:rPr>
          <w:color w:val="auto"/>
          <w:sz w:val="22"/>
          <w:szCs w:val="22"/>
          <w:highlight w:val="none"/>
        </w:rPr>
      </w:pPr>
      <w:r>
        <w:rPr>
          <w:color w:val="auto"/>
          <w:sz w:val="22"/>
          <w:szCs w:val="22"/>
          <w:highlight w:val="none"/>
        </w:rPr>
        <w:t>　　（五）不同投标供应商的投标文件相互混装；　　</w:t>
      </w:r>
    </w:p>
    <w:p>
      <w:pPr>
        <w:pStyle w:val="24"/>
        <w:snapToGrid w:val="0"/>
        <w:spacing w:line="420" w:lineRule="exact"/>
        <w:ind w:firstLine="431" w:firstLineChars="196"/>
        <w:rPr>
          <w:rFonts w:hint="eastAsia" w:hAnsi="宋体"/>
          <w:color w:val="auto"/>
          <w:sz w:val="22"/>
          <w:szCs w:val="22"/>
          <w:highlight w:val="none"/>
        </w:rPr>
      </w:pPr>
      <w:r>
        <w:rPr>
          <w:rFonts w:hint="eastAsia" w:hAnsi="宋体"/>
          <w:color w:val="auto"/>
          <w:sz w:val="22"/>
          <w:szCs w:val="22"/>
          <w:highlight w:val="none"/>
        </w:rPr>
        <w:t>12）其他经评标委员会认定的未能在实质上响应的或违反国家有关规定的投标文件。</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2.5、实质上没有响应招标文件要求的投标将被拒绝。供应商不得通过修正或撤消不合要求的偏离从而使其投标成为实质上响应的投标。</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2.6、评标委员会对投标文件的判定，只依据投标内容本身，不依靠开标后的任何外来证明。</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2.7、评标委员会在评标中，不得改变招标文件中规定的评标标准、方法和中标条件。</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3.投标文件的澄清</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3.1对于投标文件中含义不明确、同类问题表述不一致或者有明显文字和计算错误的内容，评标委员会将以书面形式（或通过“政府采购云平台”在线询标）的形式要求</w:t>
      </w:r>
      <w:r>
        <w:rPr>
          <w:color w:val="auto"/>
          <w:sz w:val="22"/>
          <w:szCs w:val="22"/>
          <w:highlight w:val="none"/>
        </w:rPr>
        <w:t>投标供应商</w:t>
      </w:r>
      <w:r>
        <w:rPr>
          <w:rFonts w:hint="eastAsia"/>
          <w:color w:val="auto"/>
          <w:sz w:val="22"/>
          <w:szCs w:val="22"/>
          <w:highlight w:val="none"/>
        </w:rPr>
        <w:t>在规定的时间内作出必要的澄清、说明或者补正，投标供应商澄清、说明或补正时间为30分钟。</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3.2</w:t>
      </w:r>
      <w:r>
        <w:rPr>
          <w:color w:val="auto"/>
          <w:sz w:val="22"/>
          <w:szCs w:val="22"/>
          <w:highlight w:val="none"/>
        </w:rPr>
        <w:t>投标供应商</w:t>
      </w:r>
      <w:r>
        <w:rPr>
          <w:rFonts w:hint="eastAsia"/>
          <w:color w:val="auto"/>
          <w:sz w:val="22"/>
          <w:szCs w:val="22"/>
          <w:highlight w:val="none"/>
        </w:rPr>
        <w:t>的澄清、说明或者补正应当采用书面（或通过“政府采购云平台”在线答复）形式提交，并加盖公章，或者由法定代表人或其授权的代表签字。</w:t>
      </w:r>
      <w:r>
        <w:rPr>
          <w:color w:val="auto"/>
          <w:sz w:val="22"/>
          <w:szCs w:val="22"/>
          <w:highlight w:val="none"/>
        </w:rPr>
        <w:t>投标供应商</w:t>
      </w:r>
      <w:r>
        <w:rPr>
          <w:rFonts w:hint="eastAsia"/>
          <w:color w:val="auto"/>
          <w:sz w:val="22"/>
          <w:szCs w:val="22"/>
          <w:highlight w:val="none"/>
        </w:rPr>
        <w:t>的澄清、说明或者补正不得超出投标文件的范围或者改变投标文件的实质性内容。</w:t>
      </w:r>
    </w:p>
    <w:p>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4、在采购中，出现下列情形之一的，应予废标：</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 xml:space="preserve">(1)截止时间及评审期间，出现有效供应商不足三家的，作流（废）标处理，并重新组织招标。 </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(2)出现影响采购公正的违法、违规行为的；</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(3)报价均超过预算，不能支付的；</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(4)因重大变故，采购任务取消的。</w:t>
      </w:r>
    </w:p>
    <w:p>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5、可中止电子交易活动的情形</w:t>
      </w:r>
    </w:p>
    <w:p>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采购过程中出现以下情形，导致电子交易平台无法正常运行，或者无法保证电子交易的公平、公正和安全时，采购组织机构可中止电子交易活动：</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1）电子交易平台发生故障而无法登录访问的；</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2）电子交易平台应用或数据库出现错误，不能进行正常操作的；</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3）电子交易平台发现严重安全漏洞，有潜在泄密危险的；</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4）病毒发作导致不能进行正常操作的；</w:t>
      </w:r>
    </w:p>
    <w:p>
      <w:pPr>
        <w:snapToGrid w:val="0"/>
        <w:spacing w:line="420" w:lineRule="exact"/>
        <w:ind w:firstLine="440" w:firstLineChars="200"/>
        <w:rPr>
          <w:rFonts w:hint="eastAsia"/>
          <w:color w:val="auto"/>
          <w:sz w:val="22"/>
          <w:szCs w:val="22"/>
          <w:highlight w:val="none"/>
        </w:rPr>
      </w:pPr>
      <w:r>
        <w:rPr>
          <w:rFonts w:hint="eastAsia"/>
          <w:color w:val="auto"/>
          <w:sz w:val="22"/>
          <w:szCs w:val="22"/>
          <w:highlight w:val="none"/>
        </w:rPr>
        <w:t>5）其他无法保证电子交易的公平、公正和安全的情况。</w:t>
      </w:r>
    </w:p>
    <w:p>
      <w:pPr>
        <w:snapToGrid w:val="0"/>
        <w:spacing w:line="420" w:lineRule="exact"/>
        <w:ind w:firstLine="442" w:firstLineChars="200"/>
        <w:rPr>
          <w:rFonts w:hint="eastAsia"/>
          <w:b/>
          <w:color w:val="auto"/>
          <w:sz w:val="22"/>
          <w:szCs w:val="22"/>
          <w:highlight w:val="none"/>
        </w:rPr>
      </w:pPr>
      <w:r>
        <w:rPr>
          <w:rFonts w:hint="eastAsia"/>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6、评标原则</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评标委员会按照招标文件的要求和条件对投标文件进行资格、商务和技术评估，综合比较与评价。</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评标办法具体见本招标文件第七部分。</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7、评标过程中遇到特殊情况，由评标委员会遵循公开、公正原则，采取投票方式按照少数服从多数原则决定。</w:t>
      </w:r>
    </w:p>
    <w:p>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pP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2.1、招标机构</w:t>
      </w:r>
      <w:r>
        <w:rPr>
          <w:rFonts w:hint="eastAsia"/>
          <w:color w:val="auto"/>
          <w:spacing w:val="10"/>
          <w:sz w:val="22"/>
          <w:szCs w:val="22"/>
          <w:highlight w:val="none"/>
        </w:rPr>
        <w:t>在浙江省政府采购网上公告中标结果。</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pPr>
        <w:snapToGrid w:val="0"/>
        <w:spacing w:line="360" w:lineRule="auto"/>
        <w:ind w:firstLine="527"/>
        <w:rPr>
          <w:rFonts w:hint="eastAsia"/>
          <w:color w:val="auto"/>
          <w:sz w:val="22"/>
          <w:szCs w:val="22"/>
          <w:highlight w:val="none"/>
        </w:rPr>
      </w:pPr>
      <w:r>
        <w:rPr>
          <w:rFonts w:hint="eastAsia"/>
          <w:color w:val="auto"/>
          <w:sz w:val="22"/>
          <w:szCs w:val="22"/>
          <w:highlight w:val="none"/>
        </w:rPr>
        <w:t>4.3 拒签合同的责任</w:t>
      </w:r>
    </w:p>
    <w:p>
      <w:pPr>
        <w:pStyle w:val="24"/>
        <w:snapToGrid w:val="0"/>
        <w:spacing w:line="360" w:lineRule="auto"/>
        <w:ind w:firstLine="440" w:firstLineChars="200"/>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numPr>
          <w:ilvl w:val="0"/>
          <w:numId w:val="6"/>
        </w:numPr>
        <w:autoSpaceDE w:val="0"/>
        <w:autoSpaceDN w:val="0"/>
        <w:snapToGrid w:val="0"/>
        <w:spacing w:line="420" w:lineRule="exact"/>
        <w:rPr>
          <w:rFonts w:hint="eastAsia" w:hAnsi="宋体"/>
          <w:color w:val="auto"/>
          <w:sz w:val="22"/>
          <w:szCs w:val="22"/>
          <w:highlight w:val="none"/>
        </w:rPr>
      </w:pPr>
      <w:r>
        <w:rPr>
          <w:rFonts w:hint="eastAsia" w:hAnsi="宋体"/>
          <w:color w:val="auto"/>
          <w:sz w:val="22"/>
          <w:szCs w:val="22"/>
          <w:highlight w:val="none"/>
        </w:rPr>
        <w:t>招标代理服务费</w:t>
      </w:r>
    </w:p>
    <w:p>
      <w:pPr>
        <w:snapToGrid w:val="0"/>
        <w:spacing w:line="360" w:lineRule="auto"/>
        <w:ind w:firstLine="442" w:firstLineChars="200"/>
        <w:rPr>
          <w:rFonts w:hint="eastAsia" w:hAnsi="宋体"/>
          <w:b/>
          <w:color w:val="auto"/>
          <w:sz w:val="22"/>
          <w:szCs w:val="22"/>
          <w:highlight w:val="none"/>
        </w:rPr>
      </w:pPr>
      <w:r>
        <w:rPr>
          <w:rFonts w:hint="eastAsia" w:hAnsi="宋体"/>
          <w:b/>
          <w:color w:val="auto"/>
          <w:sz w:val="22"/>
          <w:szCs w:val="22"/>
          <w:highlight w:val="none"/>
        </w:rPr>
        <w:t>5</w:t>
      </w:r>
      <w:r>
        <w:rPr>
          <w:rFonts w:hint="eastAsia" w:ascii="宋体" w:hAnsi="宋体"/>
          <w:b/>
          <w:color w:val="auto"/>
          <w:sz w:val="22"/>
          <w:szCs w:val="22"/>
          <w:highlight w:val="none"/>
        </w:rPr>
        <w:t>.1中标供应商在领取中标通知书前向招标代理机构支付招标代理服务费</w:t>
      </w:r>
      <w:r>
        <w:rPr>
          <w:rFonts w:hint="eastAsia" w:ascii="宋体" w:hAnsi="宋体"/>
          <w:b/>
          <w:color w:val="auto"/>
          <w:sz w:val="22"/>
          <w:szCs w:val="22"/>
          <w:highlight w:val="none"/>
          <w:lang w:val="en-US" w:eastAsia="zh-CN"/>
        </w:rPr>
        <w:t>50663元</w:t>
      </w:r>
      <w:r>
        <w:rPr>
          <w:rFonts w:hint="eastAsia" w:ascii="宋体" w:hAnsi="宋体" w:eastAsia="宋体"/>
          <w:b/>
          <w:color w:val="auto"/>
          <w:sz w:val="22"/>
          <w:szCs w:val="22"/>
          <w:highlight w:val="none"/>
        </w:rPr>
        <w:t>，招</w:t>
      </w:r>
      <w:r>
        <w:rPr>
          <w:rFonts w:hint="eastAsia" w:ascii="宋体" w:hAnsi="宋体"/>
          <w:b/>
          <w:color w:val="auto"/>
          <w:sz w:val="22"/>
          <w:szCs w:val="22"/>
          <w:highlight w:val="none"/>
        </w:rPr>
        <w:t>标代理服务费包含在投标总价中，不需在报价中单列。</w:t>
      </w:r>
      <w:r>
        <w:rPr>
          <w:rFonts w:hint="eastAsia" w:ascii="宋体" w:hAnsi="宋体"/>
          <w:b/>
          <w:bCs/>
          <w:color w:val="auto"/>
          <w:sz w:val="22"/>
          <w:szCs w:val="22"/>
          <w:highlight w:val="none"/>
        </w:rPr>
        <w:t>中标人在领取中标通知书时须携带法人代表证明原件或法定代表人授权书原件。招标代理服务费收取账户：</w:t>
      </w:r>
    </w:p>
    <w:p>
      <w:pPr>
        <w:pStyle w:val="24"/>
        <w:snapToGrid w:val="0"/>
        <w:spacing w:line="420" w:lineRule="exact"/>
        <w:ind w:firstLine="442" w:firstLineChars="200"/>
        <w:rPr>
          <w:rFonts w:hint="eastAsia" w:hAnsi="宋体"/>
          <w:b/>
          <w:color w:val="auto"/>
          <w:sz w:val="22"/>
          <w:szCs w:val="22"/>
          <w:highlight w:val="none"/>
        </w:rPr>
      </w:pPr>
      <w:r>
        <w:rPr>
          <w:rFonts w:hint="eastAsia" w:hAnsi="宋体"/>
          <w:b/>
          <w:color w:val="auto"/>
          <w:sz w:val="22"/>
          <w:szCs w:val="22"/>
          <w:highlight w:val="none"/>
        </w:rPr>
        <w:t>开户银行：浙江平阳农村商业银行股份有限公司鳌江支行</w:t>
      </w:r>
    </w:p>
    <w:p>
      <w:pPr>
        <w:pStyle w:val="24"/>
        <w:snapToGrid w:val="0"/>
        <w:spacing w:line="420" w:lineRule="exact"/>
        <w:ind w:firstLine="442" w:firstLineChars="200"/>
        <w:rPr>
          <w:rFonts w:hint="eastAsia" w:hAnsi="宋体"/>
          <w:b/>
          <w:color w:val="auto"/>
          <w:sz w:val="22"/>
          <w:szCs w:val="22"/>
          <w:highlight w:val="none"/>
        </w:rPr>
      </w:pPr>
      <w:r>
        <w:rPr>
          <w:rFonts w:hint="eastAsia" w:hAnsi="宋体"/>
          <w:b/>
          <w:color w:val="auto"/>
          <w:sz w:val="22"/>
          <w:szCs w:val="22"/>
          <w:highlight w:val="none"/>
        </w:rPr>
        <w:t>开户名称：浙江品信工程项目管理有限公司</w:t>
      </w:r>
    </w:p>
    <w:p>
      <w:pPr>
        <w:autoSpaceDE w:val="0"/>
        <w:autoSpaceDN w:val="0"/>
        <w:snapToGrid w:val="0"/>
        <w:spacing w:line="420" w:lineRule="exact"/>
        <w:ind w:firstLine="450"/>
        <w:rPr>
          <w:rFonts w:hint="eastAsia" w:ascii="宋体" w:hAnsi="宋体"/>
          <w:b/>
          <w:color w:val="auto"/>
          <w:szCs w:val="22"/>
          <w:highlight w:val="none"/>
        </w:rPr>
      </w:pPr>
      <w:r>
        <w:rPr>
          <w:rFonts w:hint="eastAsia" w:ascii="宋体" w:hAnsi="宋体"/>
          <w:b/>
          <w:color w:val="auto"/>
          <w:szCs w:val="22"/>
          <w:highlight w:val="none"/>
        </w:rPr>
        <w:t>开户账号：201000173270170</w:t>
      </w:r>
    </w:p>
    <w:p>
      <w:pPr>
        <w:snapToGrid w:val="0"/>
        <w:spacing w:line="460" w:lineRule="exact"/>
        <w:jc w:val="both"/>
        <w:rPr>
          <w:rFonts w:hint="eastAsia" w:ascii="宋体" w:hAnsi="宋体"/>
          <w:b/>
          <w:color w:val="auto"/>
          <w:sz w:val="32"/>
          <w:szCs w:val="32"/>
          <w:highlight w:val="none"/>
        </w:rPr>
      </w:pPr>
    </w:p>
    <w:p>
      <w:pPr>
        <w:pStyle w:val="17"/>
        <w:rPr>
          <w:rFonts w:hint="eastAsia" w:ascii="宋体" w:hAnsi="宋体"/>
          <w:b/>
          <w:color w:val="auto"/>
          <w:sz w:val="32"/>
          <w:szCs w:val="32"/>
          <w:highlight w:val="none"/>
        </w:rPr>
      </w:pPr>
    </w:p>
    <w:p>
      <w:pPr>
        <w:rPr>
          <w:rFonts w:hint="eastAsia" w:ascii="宋体" w:hAnsi="宋体"/>
          <w:b/>
          <w:color w:val="auto"/>
          <w:sz w:val="32"/>
          <w:szCs w:val="32"/>
          <w:highlight w:val="none"/>
        </w:rPr>
      </w:pPr>
    </w:p>
    <w:p>
      <w:pPr>
        <w:pStyle w:val="17"/>
        <w:rPr>
          <w:rFonts w:hint="eastAsia" w:ascii="宋体" w:hAnsi="宋体"/>
          <w:b/>
          <w:color w:val="auto"/>
          <w:sz w:val="32"/>
          <w:szCs w:val="32"/>
          <w:highlight w:val="none"/>
        </w:rPr>
      </w:pPr>
    </w:p>
    <w:p>
      <w:pPr>
        <w:rPr>
          <w:rFonts w:hint="eastAsia" w:ascii="宋体" w:hAnsi="宋体"/>
          <w:b/>
          <w:color w:val="auto"/>
          <w:sz w:val="32"/>
          <w:szCs w:val="32"/>
          <w:highlight w:val="none"/>
        </w:rPr>
      </w:pPr>
    </w:p>
    <w:p>
      <w:pPr>
        <w:pStyle w:val="17"/>
        <w:rPr>
          <w:rFonts w:hint="eastAsia" w:ascii="宋体" w:hAnsi="宋体"/>
          <w:b/>
          <w:color w:val="auto"/>
          <w:sz w:val="32"/>
          <w:szCs w:val="32"/>
          <w:highlight w:val="none"/>
        </w:rPr>
      </w:pPr>
    </w:p>
    <w:p>
      <w:pPr>
        <w:rPr>
          <w:rFonts w:hint="eastAsia" w:ascii="宋体" w:hAnsi="宋体"/>
          <w:b/>
          <w:color w:val="auto"/>
          <w:sz w:val="32"/>
          <w:szCs w:val="32"/>
          <w:highlight w:val="none"/>
        </w:rPr>
      </w:pPr>
    </w:p>
    <w:p>
      <w:pPr>
        <w:pStyle w:val="17"/>
        <w:rPr>
          <w:rFonts w:hint="eastAsia" w:ascii="宋体" w:hAnsi="宋体"/>
          <w:b/>
          <w:color w:val="auto"/>
          <w:sz w:val="32"/>
          <w:szCs w:val="32"/>
          <w:highlight w:val="none"/>
        </w:rPr>
      </w:pPr>
    </w:p>
    <w:p>
      <w:pPr>
        <w:rPr>
          <w:rFonts w:hint="eastAsia" w:ascii="宋体" w:hAnsi="宋体"/>
          <w:b/>
          <w:color w:val="auto"/>
          <w:sz w:val="32"/>
          <w:szCs w:val="32"/>
          <w:highlight w:val="none"/>
        </w:rPr>
      </w:pPr>
    </w:p>
    <w:p>
      <w:pPr>
        <w:pStyle w:val="17"/>
        <w:rPr>
          <w:rFonts w:hint="eastAsia" w:ascii="宋体" w:hAnsi="宋体"/>
          <w:b/>
          <w:color w:val="auto"/>
          <w:sz w:val="32"/>
          <w:szCs w:val="32"/>
          <w:highlight w:val="none"/>
        </w:rPr>
      </w:pPr>
    </w:p>
    <w:p>
      <w:pPr>
        <w:rPr>
          <w:rFonts w:hint="eastAsia" w:ascii="宋体" w:hAnsi="宋体"/>
          <w:b/>
          <w:color w:val="auto"/>
          <w:sz w:val="32"/>
          <w:szCs w:val="32"/>
          <w:highlight w:val="none"/>
        </w:rPr>
      </w:pPr>
    </w:p>
    <w:p>
      <w:pPr>
        <w:pStyle w:val="17"/>
        <w:rPr>
          <w:rFonts w:hint="eastAsia" w:ascii="宋体" w:hAnsi="宋体"/>
          <w:b/>
          <w:color w:val="auto"/>
          <w:sz w:val="32"/>
          <w:szCs w:val="32"/>
          <w:highlight w:val="none"/>
        </w:rPr>
      </w:pPr>
    </w:p>
    <w:p>
      <w:pPr>
        <w:rPr>
          <w:rFonts w:hint="eastAsia" w:ascii="宋体" w:hAnsi="宋体"/>
          <w:b/>
          <w:color w:val="auto"/>
          <w:sz w:val="32"/>
          <w:szCs w:val="32"/>
          <w:highlight w:val="none"/>
        </w:rPr>
      </w:pPr>
    </w:p>
    <w:p>
      <w:pPr>
        <w:pStyle w:val="17"/>
        <w:rPr>
          <w:rFonts w:hint="eastAsia" w:ascii="宋体" w:hAnsi="宋体"/>
          <w:b/>
          <w:color w:val="auto"/>
          <w:sz w:val="32"/>
          <w:szCs w:val="32"/>
          <w:highlight w:val="none"/>
        </w:rPr>
      </w:pPr>
    </w:p>
    <w:p>
      <w:pPr>
        <w:rPr>
          <w:rFonts w:hint="eastAsia" w:ascii="宋体" w:hAnsi="宋体"/>
          <w:b/>
          <w:color w:val="auto"/>
          <w:sz w:val="32"/>
          <w:szCs w:val="32"/>
          <w:highlight w:val="none"/>
        </w:rPr>
      </w:pPr>
    </w:p>
    <w:p>
      <w:pPr>
        <w:rPr>
          <w:rFonts w:hint="eastAsia" w:ascii="宋体" w:hAnsi="宋体"/>
          <w:b/>
          <w:color w:val="auto"/>
          <w:sz w:val="32"/>
          <w:szCs w:val="32"/>
          <w:highlight w:val="none"/>
        </w:rPr>
      </w:pPr>
    </w:p>
    <w:p>
      <w:pPr>
        <w:rPr>
          <w:rFonts w:hint="eastAsia"/>
          <w:color w:val="auto"/>
          <w:highlight w:val="none"/>
        </w:rPr>
      </w:pPr>
    </w:p>
    <w:p>
      <w:pPr>
        <w:snapToGrid w:val="0"/>
        <w:spacing w:line="46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第四部分   政府采购政策功能相关说明</w:t>
      </w:r>
    </w:p>
    <w:p>
      <w:pPr>
        <w:jc w:val="left"/>
        <w:rPr>
          <w:rFonts w:ascii="宋体" w:hAnsi="宋体"/>
          <w:color w:val="auto"/>
          <w:sz w:val="22"/>
          <w:szCs w:val="22"/>
          <w:highlight w:val="none"/>
        </w:rPr>
      </w:pPr>
    </w:p>
    <w:p>
      <w:pPr>
        <w:rPr>
          <w:rFonts w:hint="eastAsia"/>
          <w:color w:val="auto"/>
          <w:sz w:val="22"/>
          <w:szCs w:val="22"/>
          <w:highlight w:val="none"/>
        </w:rPr>
      </w:pPr>
      <w:r>
        <w:rPr>
          <w:rFonts w:hint="eastAsia"/>
          <w:color w:val="auto"/>
          <w:sz w:val="22"/>
          <w:szCs w:val="22"/>
          <w:highlight w:val="none"/>
        </w:rPr>
        <w:t>一、小、微企业（含监狱企业、残疾人福利性单位）扶持政策说明</w:t>
      </w:r>
    </w:p>
    <w:p>
      <w:pPr>
        <w:spacing w:line="440" w:lineRule="atLeast"/>
        <w:rPr>
          <w:rFonts w:hint="eastAsia"/>
          <w:color w:val="auto"/>
          <w:sz w:val="22"/>
          <w:szCs w:val="22"/>
          <w:highlight w:val="none"/>
        </w:rPr>
      </w:pPr>
      <w:r>
        <w:rPr>
          <w:rFonts w:hint="eastAsia"/>
          <w:color w:val="auto"/>
          <w:sz w:val="22"/>
          <w:szCs w:val="22"/>
          <w:highlight w:val="none"/>
        </w:rPr>
        <w:t>1、文件依据</w:t>
      </w:r>
    </w:p>
    <w:p>
      <w:pPr>
        <w:snapToGrid w:val="0"/>
        <w:spacing w:line="440" w:lineRule="atLeast"/>
        <w:rPr>
          <w:color w:val="auto"/>
          <w:sz w:val="22"/>
          <w:highlight w:val="none"/>
        </w:rPr>
      </w:pPr>
      <w:r>
        <w:rPr>
          <w:color w:val="auto"/>
          <w:sz w:val="22"/>
          <w:highlight w:val="none"/>
        </w:rPr>
        <w:t>（1）关于印发《</w:t>
      </w:r>
      <w:r>
        <w:rPr>
          <w:rFonts w:hint="eastAsia"/>
          <w:color w:val="auto"/>
          <w:sz w:val="22"/>
          <w:highlight w:val="none"/>
        </w:rPr>
        <w:t>政府采购促进中小企业发展管理办法</w:t>
      </w:r>
      <w:r>
        <w:rPr>
          <w:color w:val="auto"/>
          <w:sz w:val="22"/>
          <w:highlight w:val="none"/>
        </w:rPr>
        <w:t>》的通知（</w:t>
      </w:r>
      <w:r>
        <w:rPr>
          <w:rFonts w:hint="eastAsia"/>
          <w:color w:val="auto"/>
          <w:sz w:val="22"/>
          <w:highlight w:val="none"/>
        </w:rPr>
        <w:t>财库〔2020〕46号</w:t>
      </w:r>
      <w:r>
        <w:rPr>
          <w:color w:val="auto"/>
          <w:sz w:val="22"/>
          <w:highlight w:val="none"/>
        </w:rPr>
        <w:t>）</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2</w:t>
      </w:r>
      <w:r>
        <w:rPr>
          <w:color w:val="auto"/>
          <w:sz w:val="22"/>
          <w:highlight w:val="none"/>
        </w:rPr>
        <w:t>）浙江省财政厅、浙江省经济和信息化委员会《关于简化中小企业类别确认流程有关事项的通知》(浙财采监[2018]2号)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3</w:t>
      </w:r>
      <w:r>
        <w:rPr>
          <w:color w:val="auto"/>
          <w:sz w:val="22"/>
          <w:highlight w:val="none"/>
        </w:rPr>
        <w:t>）浙江省省财政厅《关于开展政府采购供应商网上注册登记和诚信管理工作的通知》（浙财采监〔2010〕8号)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4</w:t>
      </w:r>
      <w:r>
        <w:rPr>
          <w:color w:val="auto"/>
          <w:sz w:val="22"/>
          <w:highlight w:val="none"/>
        </w:rPr>
        <w:t>）《工业和信息化部、国家统计局、国家发展和改革委员会、财政部关于印发中小企业划型标准规定的通知》（工信部联企业[2011]300号）</w:t>
      </w:r>
    </w:p>
    <w:p>
      <w:pPr>
        <w:snapToGrid w:val="0"/>
        <w:spacing w:line="440" w:lineRule="atLeast"/>
        <w:rPr>
          <w:color w:val="auto"/>
          <w:sz w:val="22"/>
          <w:highlight w:val="none"/>
        </w:rPr>
      </w:pPr>
      <w:r>
        <w:rPr>
          <w:color w:val="auto"/>
          <w:sz w:val="22"/>
          <w:highlight w:val="none"/>
        </w:rPr>
        <w:t>（</w:t>
      </w:r>
      <w:r>
        <w:rPr>
          <w:rFonts w:hint="eastAsia"/>
          <w:color w:val="auto"/>
          <w:sz w:val="22"/>
          <w:highlight w:val="none"/>
        </w:rPr>
        <w:t>5</w:t>
      </w:r>
      <w:r>
        <w:rPr>
          <w:color w:val="auto"/>
          <w:sz w:val="22"/>
          <w:highlight w:val="none"/>
        </w:rPr>
        <w:t>）财政部、司法部《关于政府采购支持监狱企业发展有关问题的通知》（财库〔2014〕68号）</w:t>
      </w:r>
    </w:p>
    <w:p>
      <w:pPr>
        <w:spacing w:line="440" w:lineRule="atLeast"/>
        <w:rPr>
          <w:color w:val="auto"/>
          <w:sz w:val="22"/>
          <w:highlight w:val="none"/>
        </w:rPr>
      </w:pPr>
      <w:r>
        <w:rPr>
          <w:color w:val="auto"/>
          <w:sz w:val="22"/>
          <w:highlight w:val="none"/>
        </w:rPr>
        <w:t>（</w:t>
      </w:r>
      <w:r>
        <w:rPr>
          <w:rFonts w:hint="eastAsia"/>
          <w:color w:val="auto"/>
          <w:sz w:val="22"/>
          <w:highlight w:val="none"/>
        </w:rPr>
        <w:t>6</w:t>
      </w:r>
      <w:r>
        <w:rPr>
          <w:color w:val="auto"/>
          <w:sz w:val="22"/>
          <w:highlight w:val="none"/>
        </w:rPr>
        <w:t>）《财政部 民政部 中国残疾人联合会关于促进残疾人就业政府采购政策的通知》（财库〔2017〕 141号）</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2、享受小微企业价格折扣应具备的条件与价格折扣比例</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（1）符合中小企业划分标准；</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（2）提供本企业制造的货物、承担的工程或者服务，或者提供其他中小企业制造的货物。本项所称货物不包括使用大型企业注册商标的货物。</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  中小企业划分标准，是指国务院有关部门根据企业从业人员、营业收入、资产总额等指标制定的中小企业划型标准。</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  小型、微型企业提供中型企业制造的货物的，视同为中型企业。</w:t>
      </w:r>
    </w:p>
    <w:p>
      <w:pPr>
        <w:spacing w:line="440" w:lineRule="atLeast"/>
        <w:jc w:val="left"/>
        <w:rPr>
          <w:rFonts w:hint="eastAsia" w:ascii="宋体" w:hAnsi="宋体"/>
          <w:color w:val="auto"/>
          <w:sz w:val="22"/>
          <w:szCs w:val="22"/>
          <w:highlight w:val="none"/>
          <w:u w:val="single"/>
        </w:rPr>
      </w:pPr>
      <w:r>
        <w:rPr>
          <w:rFonts w:hint="eastAsia" w:ascii="宋体" w:hAnsi="宋体"/>
          <w:color w:val="auto"/>
          <w:sz w:val="22"/>
          <w:szCs w:val="22"/>
          <w:highlight w:val="none"/>
          <w:u w:val="single"/>
        </w:rPr>
        <w:t>（3）本项目对小型和微型企业产品的价格给予6%的扣除，用扣除后的价格参与评审。</w:t>
      </w:r>
    </w:p>
    <w:p>
      <w:pPr>
        <w:spacing w:line="440" w:lineRule="atLeast"/>
        <w:jc w:val="left"/>
        <w:rPr>
          <w:rFonts w:hint="eastAsia" w:ascii="宋体" w:hAnsi="宋体"/>
          <w:color w:val="auto"/>
          <w:sz w:val="22"/>
          <w:szCs w:val="22"/>
          <w:highlight w:val="none"/>
          <w:u w:val="single"/>
        </w:rPr>
      </w:pPr>
      <w:r>
        <w:rPr>
          <w:rFonts w:hint="eastAsia" w:ascii="宋体" w:hAnsi="宋体"/>
          <w:color w:val="auto"/>
          <w:sz w:val="22"/>
          <w:szCs w:val="22"/>
          <w:highlight w:val="none"/>
          <w:u w:val="single"/>
        </w:rPr>
        <w:t>3、享受小微企业价格折扣应提供以下证明材料</w:t>
      </w:r>
      <w:r>
        <w:rPr>
          <w:rFonts w:hint="eastAsia" w:ascii="宋体" w:hAnsi="宋体"/>
          <w:color w:val="auto"/>
          <w:sz w:val="22"/>
          <w:szCs w:val="22"/>
          <w:highlight w:val="none"/>
        </w:rPr>
        <w:t>：</w:t>
      </w:r>
    </w:p>
    <w:p>
      <w:pPr>
        <w:spacing w:line="440" w:lineRule="atLeast"/>
        <w:rPr>
          <w:rFonts w:hint="eastAsia" w:ascii="宋体" w:hAnsi="宋体"/>
          <w:b/>
          <w:color w:val="auto"/>
          <w:sz w:val="22"/>
          <w:szCs w:val="22"/>
          <w:highlight w:val="none"/>
        </w:rPr>
      </w:pPr>
      <w:r>
        <w:rPr>
          <w:rFonts w:hint="eastAsia" w:ascii="宋体" w:hAnsi="宋体"/>
          <w:b/>
          <w:color w:val="auto"/>
          <w:sz w:val="22"/>
          <w:szCs w:val="22"/>
          <w:highlight w:val="none"/>
        </w:rPr>
        <w:t>（1）《中小企业声明函》（加盖供应商公章，格式见附件）</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4、</w:t>
      </w:r>
      <w:r>
        <w:rPr>
          <w:rFonts w:hint="eastAsia" w:ascii="宋体" w:hAnsi="宋体"/>
          <w:color w:val="auto"/>
          <w:sz w:val="22"/>
          <w:szCs w:val="22"/>
          <w:highlight w:val="none"/>
          <w:u w:val="single"/>
        </w:rPr>
        <w:t>享受监狱企业价格折扣应提供以下证明材料（</w:t>
      </w:r>
      <w:r>
        <w:rPr>
          <w:rFonts w:hint="eastAsia"/>
          <w:color w:val="auto"/>
          <w:sz w:val="22"/>
          <w:szCs w:val="22"/>
          <w:highlight w:val="none"/>
          <w:u w:val="single"/>
        </w:rPr>
        <w:t>投标文件报价文件标中</w:t>
      </w:r>
      <w:r>
        <w:rPr>
          <w:rFonts w:hint="eastAsia" w:ascii="宋体" w:hAnsi="宋体"/>
          <w:color w:val="auto"/>
          <w:sz w:val="22"/>
          <w:szCs w:val="22"/>
          <w:highlight w:val="none"/>
          <w:u w:val="single"/>
        </w:rPr>
        <w:t>，不提供的不享受价格折扣）</w:t>
      </w:r>
      <w:r>
        <w:rPr>
          <w:rFonts w:hint="eastAsia" w:ascii="宋体" w:hAnsi="宋体"/>
          <w:color w:val="auto"/>
          <w:sz w:val="22"/>
          <w:szCs w:val="22"/>
          <w:highlight w:val="none"/>
        </w:rPr>
        <w:t>：</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5、</w:t>
      </w:r>
      <w:r>
        <w:rPr>
          <w:rFonts w:hint="eastAsia" w:ascii="宋体" w:hAnsi="宋体"/>
          <w:color w:val="auto"/>
          <w:sz w:val="22"/>
          <w:szCs w:val="22"/>
          <w:highlight w:val="none"/>
          <w:u w:val="single"/>
        </w:rPr>
        <w:t>享受残疾人福利性单位格折扣应提供以下证明材料（</w:t>
      </w:r>
      <w:r>
        <w:rPr>
          <w:rFonts w:hint="eastAsia"/>
          <w:color w:val="auto"/>
          <w:sz w:val="22"/>
          <w:szCs w:val="22"/>
          <w:highlight w:val="none"/>
          <w:u w:val="single"/>
        </w:rPr>
        <w:t>投标文件报价文件标中</w:t>
      </w:r>
      <w:r>
        <w:rPr>
          <w:rFonts w:hint="eastAsia" w:ascii="宋体" w:hAnsi="宋体"/>
          <w:color w:val="auto"/>
          <w:sz w:val="22"/>
          <w:szCs w:val="22"/>
          <w:highlight w:val="none"/>
          <w:u w:val="single"/>
        </w:rPr>
        <w:t>，不提供的不享受价格折扣）</w:t>
      </w:r>
      <w:r>
        <w:rPr>
          <w:rFonts w:hint="eastAsia" w:ascii="宋体" w:hAnsi="宋体"/>
          <w:color w:val="auto"/>
          <w:sz w:val="22"/>
          <w:szCs w:val="22"/>
          <w:highlight w:val="none"/>
        </w:rPr>
        <w:t>：</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（1）残疾人福利性单位声明函；</w:t>
      </w:r>
    </w:p>
    <w:p>
      <w:pPr>
        <w:spacing w:line="440" w:lineRule="atLeast"/>
        <w:jc w:val="left"/>
        <w:rPr>
          <w:rFonts w:hint="eastAsia" w:ascii="宋体" w:hAnsi="宋体"/>
          <w:color w:val="auto"/>
          <w:sz w:val="22"/>
          <w:szCs w:val="22"/>
          <w:highlight w:val="none"/>
        </w:rPr>
      </w:pPr>
      <w:r>
        <w:rPr>
          <w:rFonts w:hint="eastAsia" w:ascii="宋体" w:hAnsi="宋体"/>
          <w:color w:val="auto"/>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olor w:val="auto"/>
          <w:sz w:val="22"/>
          <w:szCs w:val="22"/>
          <w:highlight w:val="none"/>
        </w:rPr>
      </w:pPr>
    </w:p>
    <w:p>
      <w:pPr>
        <w:jc w:val="center"/>
        <w:rPr>
          <w:rFonts w:ascii="宋体" w:hAnsi="宋体"/>
          <w:b/>
          <w:bCs/>
          <w:color w:val="auto"/>
          <w:sz w:val="34"/>
          <w:szCs w:val="34"/>
          <w:highlight w:val="none"/>
        </w:rPr>
      </w:pPr>
      <w:r>
        <w:rPr>
          <w:rFonts w:ascii="宋体" w:hAnsi="宋体"/>
          <w:b/>
          <w:bCs/>
          <w:color w:val="auto"/>
          <w:sz w:val="34"/>
          <w:szCs w:val="34"/>
          <w:highlight w:val="none"/>
        </w:rPr>
        <w:t>中小企业声明函（工程、服务）</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 xml:space="preserve">本公司（联合体）郑重声明，根据《政府采购促进中小企业发展管理办法》（财库﹝2020﹞46 号）的规定，本公司 </w:t>
      </w:r>
      <w:r>
        <w:rPr>
          <w:rFonts w:ascii="宋体" w:hAnsi="宋体"/>
          <w:color w:val="auto"/>
          <w:sz w:val="22"/>
          <w:szCs w:val="22"/>
          <w:highlight w:val="none"/>
          <w:u w:val="single"/>
        </w:rPr>
        <w:t>（联合体）</w:t>
      </w:r>
      <w:r>
        <w:rPr>
          <w:rFonts w:ascii="宋体" w:hAnsi="宋体"/>
          <w:color w:val="auto"/>
          <w:sz w:val="22"/>
          <w:szCs w:val="22"/>
          <w:highlight w:val="none"/>
        </w:rPr>
        <w:t>参加</w:t>
      </w:r>
      <w:r>
        <w:rPr>
          <w:rFonts w:ascii="宋体" w:hAnsi="宋体"/>
          <w:color w:val="auto"/>
          <w:sz w:val="22"/>
          <w:szCs w:val="22"/>
          <w:highlight w:val="none"/>
          <w:u w:val="single"/>
        </w:rPr>
        <w:t>（单位名称）</w:t>
      </w:r>
      <w:r>
        <w:rPr>
          <w:rFonts w:ascii="宋体" w:hAnsi="宋体"/>
          <w:color w:val="auto"/>
          <w:sz w:val="22"/>
          <w:szCs w:val="22"/>
          <w:highlight w:val="none"/>
        </w:rPr>
        <w:t>的</w:t>
      </w:r>
      <w:r>
        <w:rPr>
          <w:rFonts w:ascii="宋体" w:hAnsi="宋体"/>
          <w:color w:val="auto"/>
          <w:sz w:val="22"/>
          <w:szCs w:val="22"/>
          <w:highlight w:val="none"/>
          <w:u w:val="single"/>
        </w:rPr>
        <w:t>（项目名称）</w:t>
      </w:r>
      <w:r>
        <w:rPr>
          <w:rFonts w:ascii="宋体" w:hAnsi="宋体"/>
          <w:color w:val="auto"/>
          <w:sz w:val="22"/>
          <w:szCs w:val="22"/>
          <w:highlight w:val="none"/>
        </w:rPr>
        <w:t>采购活动，工程的</w:t>
      </w:r>
      <w:r>
        <w:rPr>
          <w:rFonts w:hint="eastAsia" w:ascii="宋体" w:hAnsi="宋体"/>
          <w:color w:val="auto"/>
          <w:sz w:val="22"/>
          <w:szCs w:val="22"/>
          <w:highlight w:val="none"/>
          <w:lang w:eastAsia="zh-CN"/>
        </w:rPr>
        <w:t>供应商</w:t>
      </w:r>
      <w:r>
        <w:rPr>
          <w:rFonts w:ascii="宋体" w:hAnsi="宋体"/>
          <w:color w:val="auto"/>
          <w:sz w:val="22"/>
          <w:szCs w:val="22"/>
          <w:highlight w:val="none"/>
        </w:rPr>
        <w:t xml:space="preserve">全部为符合政策要求的中小企业（或者：服务全部由符合政策要求的中小企业承接）。相关企业（含联合体中的中小企业、签订分包意向协议的中小企业）的具体情 况如下： </w:t>
      </w:r>
    </w:p>
    <w:p>
      <w:pPr>
        <w:numPr>
          <w:ilvl w:val="0"/>
          <w:numId w:val="7"/>
        </w:numPr>
        <w:spacing w:line="400" w:lineRule="exact"/>
        <w:ind w:firstLine="440" w:firstLineChars="200"/>
        <w:rPr>
          <w:rFonts w:ascii="宋体" w:hAnsi="宋体"/>
          <w:color w:val="auto"/>
          <w:sz w:val="22"/>
          <w:szCs w:val="22"/>
          <w:highlight w:val="none"/>
          <w:u w:val="single"/>
        </w:rPr>
      </w:pPr>
      <w:r>
        <w:rPr>
          <w:rFonts w:ascii="宋体" w:hAnsi="宋体"/>
          <w:color w:val="auto"/>
          <w:sz w:val="22"/>
          <w:szCs w:val="22"/>
          <w:highlight w:val="none"/>
          <w:u w:val="single"/>
        </w:rPr>
        <w:t>（标的名称）</w:t>
      </w:r>
      <w:r>
        <w:rPr>
          <w:rFonts w:ascii="宋体" w:hAnsi="宋体"/>
          <w:color w:val="auto"/>
          <w:sz w:val="22"/>
          <w:szCs w:val="22"/>
          <w:highlight w:val="none"/>
        </w:rPr>
        <w:t xml:space="preserve"> ，属于</w:t>
      </w:r>
      <w:r>
        <w:rPr>
          <w:rFonts w:ascii="宋体" w:hAnsi="宋体"/>
          <w:color w:val="auto"/>
          <w:sz w:val="22"/>
          <w:szCs w:val="22"/>
          <w:highlight w:val="none"/>
          <w:u w:val="single"/>
        </w:rPr>
        <w:t>（采购文件中明确的所属行业）</w:t>
      </w:r>
      <w:r>
        <w:rPr>
          <w:rFonts w:ascii="宋体" w:hAnsi="宋体"/>
          <w:color w:val="auto"/>
          <w:sz w:val="22"/>
          <w:szCs w:val="22"/>
          <w:highlight w:val="none"/>
        </w:rPr>
        <w:t>； 承建（承接）企业为</w:t>
      </w:r>
      <w:r>
        <w:rPr>
          <w:rFonts w:ascii="宋体" w:hAnsi="宋体"/>
          <w:color w:val="auto"/>
          <w:sz w:val="22"/>
          <w:szCs w:val="22"/>
          <w:highlight w:val="none"/>
          <w:u w:val="single"/>
        </w:rPr>
        <w:t>（企业名称）</w:t>
      </w:r>
      <w:r>
        <w:rPr>
          <w:rFonts w:ascii="宋体" w:hAnsi="宋体"/>
          <w:color w:val="auto"/>
          <w:sz w:val="22"/>
          <w:szCs w:val="22"/>
          <w:highlight w:val="none"/>
        </w:rPr>
        <w:t>，从业人员</w:t>
      </w:r>
      <w:r>
        <w:rPr>
          <w:rFonts w:hint="eastAsia" w:ascii="宋体" w:hAnsi="宋体"/>
          <w:color w:val="auto"/>
          <w:sz w:val="22"/>
          <w:szCs w:val="22"/>
          <w:highlight w:val="none"/>
          <w:u w:val="single"/>
        </w:rPr>
        <w:t xml:space="preserve">   </w:t>
      </w:r>
      <w:r>
        <w:rPr>
          <w:rFonts w:ascii="宋体" w:hAnsi="宋体"/>
          <w:color w:val="auto"/>
          <w:sz w:val="22"/>
          <w:szCs w:val="22"/>
          <w:highlight w:val="none"/>
        </w:rPr>
        <w:t>人，营业收入为</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万元，资产总额为</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 ，属于</w:t>
      </w:r>
      <w:r>
        <w:rPr>
          <w:rFonts w:ascii="宋体" w:hAnsi="宋体"/>
          <w:color w:val="auto"/>
          <w:sz w:val="22"/>
          <w:szCs w:val="22"/>
          <w:highlight w:val="none"/>
          <w:u w:val="single"/>
        </w:rPr>
        <w:t>（中型企业、 小型企业、微型企业）</w:t>
      </w:r>
      <w:r>
        <w:rPr>
          <w:rFonts w:ascii="宋体" w:hAnsi="宋体"/>
          <w:color w:val="auto"/>
          <w:sz w:val="22"/>
          <w:szCs w:val="22"/>
          <w:highlight w:val="none"/>
        </w:rPr>
        <w:t xml:space="preserve">； </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2.</w:t>
      </w:r>
      <w:r>
        <w:rPr>
          <w:rFonts w:ascii="宋体" w:hAnsi="宋体"/>
          <w:color w:val="auto"/>
          <w:sz w:val="22"/>
          <w:szCs w:val="22"/>
          <w:highlight w:val="none"/>
          <w:u w:val="single"/>
        </w:rPr>
        <w:t xml:space="preserve"> （标的名称）</w:t>
      </w:r>
      <w:r>
        <w:rPr>
          <w:rFonts w:hint="eastAsia" w:ascii="宋体" w:hAnsi="宋体"/>
          <w:color w:val="auto"/>
          <w:sz w:val="22"/>
          <w:szCs w:val="22"/>
          <w:highlight w:val="none"/>
          <w:u w:val="single"/>
        </w:rPr>
        <w:t xml:space="preserve">  </w:t>
      </w:r>
      <w:r>
        <w:rPr>
          <w:rFonts w:ascii="宋体" w:hAnsi="宋体"/>
          <w:color w:val="auto"/>
          <w:sz w:val="22"/>
          <w:szCs w:val="22"/>
          <w:highlight w:val="none"/>
          <w:u w:val="single"/>
        </w:rPr>
        <w:t xml:space="preserve"> </w:t>
      </w:r>
      <w:r>
        <w:rPr>
          <w:rFonts w:ascii="宋体" w:hAnsi="宋体"/>
          <w:color w:val="auto"/>
          <w:sz w:val="22"/>
          <w:szCs w:val="22"/>
          <w:highlight w:val="none"/>
        </w:rPr>
        <w:t>，属于</w:t>
      </w:r>
      <w:r>
        <w:rPr>
          <w:rFonts w:ascii="宋体" w:hAnsi="宋体"/>
          <w:color w:val="auto"/>
          <w:sz w:val="22"/>
          <w:szCs w:val="22"/>
          <w:highlight w:val="none"/>
          <w:u w:val="single"/>
        </w:rPr>
        <w:t>（采购文件中明确的所属行业）</w:t>
      </w:r>
      <w:r>
        <w:rPr>
          <w:rFonts w:ascii="宋体" w:hAnsi="宋体"/>
          <w:color w:val="auto"/>
          <w:sz w:val="22"/>
          <w:szCs w:val="22"/>
          <w:highlight w:val="none"/>
        </w:rPr>
        <w:t>； 承建（承接）企业为</w:t>
      </w:r>
      <w:r>
        <w:rPr>
          <w:rFonts w:ascii="宋体" w:hAnsi="宋体"/>
          <w:color w:val="auto"/>
          <w:sz w:val="22"/>
          <w:szCs w:val="22"/>
          <w:highlight w:val="none"/>
          <w:u w:val="single"/>
        </w:rPr>
        <w:t>（企业名称）</w:t>
      </w:r>
      <w:r>
        <w:rPr>
          <w:rFonts w:ascii="宋体" w:hAnsi="宋体"/>
          <w:color w:val="auto"/>
          <w:sz w:val="22"/>
          <w:szCs w:val="22"/>
          <w:highlight w:val="none"/>
        </w:rPr>
        <w:t>，从业人员</w:t>
      </w:r>
      <w:r>
        <w:rPr>
          <w:rFonts w:hint="eastAsia" w:ascii="宋体" w:hAnsi="宋体"/>
          <w:color w:val="auto"/>
          <w:sz w:val="22"/>
          <w:szCs w:val="22"/>
          <w:highlight w:val="none"/>
          <w:u w:val="single"/>
        </w:rPr>
        <w:t xml:space="preserve">   </w:t>
      </w:r>
      <w:r>
        <w:rPr>
          <w:rFonts w:ascii="宋体" w:hAnsi="宋体"/>
          <w:color w:val="auto"/>
          <w:sz w:val="22"/>
          <w:szCs w:val="22"/>
          <w:highlight w:val="none"/>
        </w:rPr>
        <w:t xml:space="preserve">人，营业收入为 </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万元，资产总额为</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万元，属于</w:t>
      </w:r>
      <w:r>
        <w:rPr>
          <w:rFonts w:ascii="宋体" w:hAnsi="宋体"/>
          <w:color w:val="auto"/>
          <w:sz w:val="22"/>
          <w:szCs w:val="22"/>
          <w:highlight w:val="none"/>
          <w:u w:val="single"/>
        </w:rPr>
        <w:t>（中型企业、 小型企业、微型企业）</w:t>
      </w:r>
      <w:r>
        <w:rPr>
          <w:rFonts w:ascii="宋体" w:hAnsi="宋体"/>
          <w:color w:val="auto"/>
          <w:sz w:val="22"/>
          <w:szCs w:val="22"/>
          <w:highlight w:val="none"/>
        </w:rPr>
        <w:t xml:space="preserve">； </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pPr>
        <w:spacing w:line="400" w:lineRule="exact"/>
        <w:ind w:firstLine="440" w:firstLineChars="200"/>
        <w:rPr>
          <w:rFonts w:ascii="宋体" w:hAnsi="宋体"/>
          <w:color w:val="auto"/>
          <w:sz w:val="22"/>
          <w:szCs w:val="22"/>
          <w:highlight w:val="none"/>
        </w:rPr>
      </w:pP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 xml:space="preserve">企业名称（盖章）： </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日 期：</w:t>
      </w:r>
    </w:p>
    <w:p>
      <w:pPr>
        <w:pStyle w:val="21"/>
        <w:rPr>
          <w:rFonts w:hint="eastAsia"/>
          <w:color w:val="auto"/>
          <w:highlight w:val="none"/>
          <w:lang w:eastAsia="zh-CN"/>
        </w:rPr>
      </w:pPr>
    </w:p>
    <w:p>
      <w:pPr>
        <w:spacing w:line="40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注：</w:t>
      </w:r>
      <w:r>
        <w:rPr>
          <w:rFonts w:ascii="宋体" w:hAnsi="宋体"/>
          <w:color w:val="auto"/>
          <w:sz w:val="22"/>
          <w:szCs w:val="22"/>
          <w:highlight w:val="none"/>
        </w:rPr>
        <w:t xml:space="preserve"> 从业人员、营业收入、资产总额填报上一年度数据，无上一年度数据的新成立企业可不填报。</w:t>
      </w:r>
    </w:p>
    <w:p>
      <w:pPr>
        <w:snapToGrid w:val="0"/>
        <w:spacing w:line="360" w:lineRule="auto"/>
        <w:rPr>
          <w:rFonts w:hint="eastAsia"/>
          <w:b/>
          <w:color w:val="auto"/>
          <w:sz w:val="28"/>
          <w:szCs w:val="28"/>
          <w:highlight w:val="none"/>
        </w:rPr>
      </w:pPr>
      <w:r>
        <w:rPr>
          <w:rFonts w:hint="eastAsia"/>
          <w:b/>
          <w:color w:val="auto"/>
          <w:sz w:val="28"/>
          <w:szCs w:val="28"/>
          <w:highlight w:val="none"/>
        </w:rPr>
        <w:t>附件2</w:t>
      </w:r>
    </w:p>
    <w:p>
      <w:pPr>
        <w:snapToGrid w:val="0"/>
        <w:spacing w:line="360" w:lineRule="auto"/>
        <w:jc w:val="center"/>
        <w:rPr>
          <w:rFonts w:hint="eastAsia"/>
          <w:b/>
          <w:color w:val="auto"/>
          <w:sz w:val="28"/>
          <w:szCs w:val="28"/>
          <w:highlight w:val="none"/>
        </w:rPr>
      </w:pPr>
      <w:r>
        <w:rPr>
          <w:rFonts w:hint="eastAsia"/>
          <w:b/>
          <w:color w:val="auto"/>
          <w:sz w:val="28"/>
          <w:szCs w:val="28"/>
          <w:highlight w:val="none"/>
        </w:rPr>
        <w:t>残疾人福利性单位声明函</w:t>
      </w:r>
    </w:p>
    <w:p>
      <w:pPr>
        <w:snapToGrid w:val="0"/>
        <w:spacing w:line="360" w:lineRule="auto"/>
        <w:ind w:firstLine="440" w:firstLineChars="200"/>
        <w:rPr>
          <w:rFonts w:hint="eastAsia"/>
          <w:color w:val="auto"/>
          <w:sz w:val="22"/>
          <w:highlight w:val="none"/>
        </w:rPr>
      </w:pPr>
      <w:r>
        <w:rPr>
          <w:rFonts w:hint="eastAsia"/>
          <w:color w:val="auto"/>
          <w:sz w:val="22"/>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40" w:firstLineChars="200"/>
        <w:rPr>
          <w:rFonts w:hint="eastAsia"/>
          <w:color w:val="auto"/>
          <w:sz w:val="22"/>
          <w:highlight w:val="none"/>
        </w:rPr>
      </w:pPr>
      <w:r>
        <w:rPr>
          <w:rFonts w:hint="eastAsia"/>
          <w:color w:val="auto"/>
          <w:sz w:val="22"/>
          <w:highlight w:val="none"/>
        </w:rPr>
        <w:t>本单位对上述声明的真实性负责。如有虚假，将依法承担相应责任。</w:t>
      </w:r>
    </w:p>
    <w:p>
      <w:pPr>
        <w:snapToGrid w:val="0"/>
        <w:spacing w:line="360" w:lineRule="auto"/>
        <w:ind w:firstLine="440" w:firstLineChars="200"/>
        <w:rPr>
          <w:color w:val="auto"/>
          <w:sz w:val="22"/>
          <w:highlight w:val="none"/>
        </w:rPr>
      </w:pPr>
    </w:p>
    <w:p>
      <w:pPr>
        <w:snapToGrid w:val="0"/>
        <w:spacing w:line="360" w:lineRule="auto"/>
        <w:ind w:firstLine="440" w:firstLineChars="200"/>
        <w:rPr>
          <w:color w:val="auto"/>
          <w:sz w:val="22"/>
          <w:highlight w:val="none"/>
        </w:rPr>
      </w:pPr>
    </w:p>
    <w:p>
      <w:pPr>
        <w:tabs>
          <w:tab w:val="left" w:pos="4860"/>
        </w:tabs>
        <w:snapToGrid w:val="0"/>
        <w:spacing w:line="360" w:lineRule="auto"/>
        <w:ind w:right="1560" w:firstLine="440" w:firstLineChars="200"/>
        <w:rPr>
          <w:rFonts w:hint="eastAsia"/>
          <w:color w:val="auto"/>
          <w:sz w:val="22"/>
          <w:highlight w:val="none"/>
        </w:rPr>
      </w:pPr>
      <w:r>
        <w:rPr>
          <w:rFonts w:hint="eastAsia"/>
          <w:color w:val="auto"/>
          <w:sz w:val="22"/>
          <w:highlight w:val="none"/>
        </w:rPr>
        <w:t xml:space="preserve">       单位名称（盖章）：</w:t>
      </w:r>
    </w:p>
    <w:p>
      <w:pPr>
        <w:tabs>
          <w:tab w:val="left" w:pos="4860"/>
        </w:tabs>
        <w:snapToGrid w:val="0"/>
        <w:spacing w:line="360" w:lineRule="auto"/>
        <w:ind w:right="1560" w:firstLine="440" w:firstLineChars="200"/>
        <w:rPr>
          <w:rFonts w:hint="eastAsia"/>
          <w:color w:val="auto"/>
          <w:sz w:val="22"/>
          <w:highlight w:val="none"/>
        </w:rPr>
      </w:pPr>
      <w:r>
        <w:rPr>
          <w:rFonts w:hint="eastAsia"/>
          <w:color w:val="auto"/>
          <w:sz w:val="22"/>
          <w:highlight w:val="none"/>
        </w:rPr>
        <w:t xml:space="preserve">       日  期：</w:t>
      </w:r>
    </w:p>
    <w:p>
      <w:pPr>
        <w:spacing w:line="440" w:lineRule="atLeast"/>
        <w:rPr>
          <w:rFonts w:hint="eastAsia" w:ascii="宋体" w:hAnsi="宋体"/>
          <w:b/>
          <w:bCs/>
          <w:color w:val="auto"/>
          <w:sz w:val="24"/>
          <w:highlight w:val="none"/>
        </w:rPr>
      </w:pPr>
    </w:p>
    <w:p>
      <w:pPr>
        <w:pStyle w:val="21"/>
        <w:rPr>
          <w:rFonts w:hint="eastAsia"/>
          <w:color w:val="auto"/>
          <w:highlight w:val="none"/>
        </w:rPr>
      </w:pPr>
    </w:p>
    <w:p>
      <w:pPr>
        <w:pStyle w:val="21"/>
        <w:spacing w:line="480" w:lineRule="exact"/>
        <w:rPr>
          <w:rFonts w:hint="eastAsia" w:ascii="宋体" w:hAnsi="宋体"/>
          <w:b/>
          <w:color w:val="auto"/>
          <w:sz w:val="26"/>
          <w:szCs w:val="26"/>
          <w:highlight w:val="none"/>
        </w:rPr>
      </w:pPr>
      <w:r>
        <w:rPr>
          <w:rFonts w:hint="eastAsia" w:ascii="宋体" w:hAnsi="宋体"/>
          <w:b/>
          <w:color w:val="auto"/>
          <w:sz w:val="26"/>
          <w:szCs w:val="26"/>
          <w:highlight w:val="none"/>
        </w:rPr>
        <w:t>二、节能、环保产品优先（强制）采购政策说明</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1、政策依据</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（一）《国务院办公厅关于建立政府强制采购节能产品制度的通知》(国办发[2007]51号)</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（二）财政部、发展改革委发布的《节能产品政府采购实施意见》(财库[2004]185号)</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（三）财政部、原环保总局印发的《环境标志产品政府采购实施的意见》（财库 [2006]90号）</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（四）《关于调整优化节能产品、环境标志产品政府采购执行机制的通知》（财库〔2019〕9号）</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（五）《关于印发节能产品政府采购品目清单的通知》（财库〔2019〕19号）</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（六）《关于印发环境标志产品政府采购品目清单的通知》（财库〔2019〕18号）</w:t>
      </w:r>
    </w:p>
    <w:p>
      <w:pPr>
        <w:snapToGrid w:val="0"/>
        <w:spacing w:line="460" w:lineRule="atLeast"/>
        <w:ind w:firstLine="440" w:firstLineChars="200"/>
        <w:rPr>
          <w:rFonts w:hint="eastAsia" w:ascii="宋体" w:hAnsi="宋体"/>
          <w:color w:val="auto"/>
          <w:sz w:val="22"/>
          <w:highlight w:val="none"/>
        </w:rPr>
      </w:pPr>
      <w:r>
        <w:rPr>
          <w:rFonts w:hint="eastAsia" w:ascii="宋体" w:hAnsi="宋体"/>
          <w:color w:val="auto"/>
          <w:sz w:val="22"/>
          <w:highlight w:val="none"/>
        </w:rPr>
        <w:t>（七）《市场监管总局关于发布参与实施政府采购节能产品、环境标志产品认证机构名录的公告》（2019年第16号）</w:t>
      </w:r>
    </w:p>
    <w:p>
      <w:pPr>
        <w:snapToGrid w:val="0"/>
        <w:spacing w:line="460" w:lineRule="atLeast"/>
        <w:ind w:firstLine="440" w:firstLineChars="200"/>
        <w:jc w:val="center"/>
        <w:rPr>
          <w:rFonts w:hint="eastAsia" w:ascii="宋体" w:hAnsi="宋体"/>
          <w:color w:val="auto"/>
          <w:sz w:val="22"/>
          <w:highlight w:val="none"/>
        </w:rPr>
      </w:pPr>
      <w:r>
        <w:rPr>
          <w:rFonts w:hint="eastAsia" w:ascii="宋体" w:hAnsi="宋体"/>
          <w:color w:val="auto"/>
          <w:sz w:val="22"/>
          <w:highlight w:val="none"/>
        </w:rPr>
        <w:t>2、供应商投标货物属于节能、环保优先（强制）采购范围的，须提供相关证明材料。</w:t>
      </w:r>
    </w:p>
    <w:p>
      <w:pPr>
        <w:pStyle w:val="17"/>
        <w:rPr>
          <w:rFonts w:hint="eastAsia" w:ascii="宋体" w:hAnsi="宋体"/>
          <w:color w:val="auto"/>
          <w:sz w:val="22"/>
          <w:highlight w:val="none"/>
        </w:rPr>
      </w:pPr>
    </w:p>
    <w:p>
      <w:pPr>
        <w:pStyle w:val="34"/>
        <w:rPr>
          <w:rFonts w:hint="eastAsia" w:ascii="宋体" w:hAnsi="宋体"/>
          <w:color w:val="auto"/>
          <w:sz w:val="22"/>
          <w:highlight w:val="none"/>
        </w:rPr>
      </w:pPr>
    </w:p>
    <w:p>
      <w:pPr>
        <w:rPr>
          <w:rFonts w:hint="eastAsia" w:ascii="宋体" w:hAnsi="宋体"/>
          <w:color w:val="auto"/>
          <w:sz w:val="22"/>
          <w:highlight w:val="none"/>
        </w:rPr>
      </w:pPr>
    </w:p>
    <w:p>
      <w:pPr>
        <w:pStyle w:val="17"/>
        <w:rPr>
          <w:color w:val="auto"/>
          <w:highlight w:val="none"/>
        </w:rPr>
      </w:pPr>
    </w:p>
    <w:p>
      <w:pPr>
        <w:rPr>
          <w:color w:val="auto"/>
          <w:highlight w:val="none"/>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17"/>
        <w:rPr>
          <w:rFonts w:hint="eastAsia"/>
          <w:color w:val="auto"/>
          <w:highlight w:val="none"/>
          <w:lang w:val="en-US" w:eastAsia="zh-CN"/>
        </w:rPr>
      </w:pPr>
    </w:p>
    <w:p>
      <w:pPr>
        <w:pStyle w:val="17"/>
        <w:rPr>
          <w:rFonts w:hint="eastAsia"/>
          <w:color w:val="auto"/>
          <w:highlight w:val="none"/>
          <w:lang w:val="en-US" w:eastAsia="zh-CN"/>
        </w:rPr>
      </w:pPr>
    </w:p>
    <w:p>
      <w:pPr>
        <w:rPr>
          <w:rFonts w:hint="eastAsia"/>
          <w:color w:val="auto"/>
          <w:highlight w:val="none"/>
          <w:lang w:val="en-US" w:eastAsia="zh-CN"/>
        </w:rPr>
      </w:pPr>
    </w:p>
    <w:p>
      <w:pPr>
        <w:pStyle w:val="38"/>
        <w:rPr>
          <w:color w:val="auto"/>
          <w:highlight w:val="none"/>
        </w:rPr>
      </w:pPr>
    </w:p>
    <w:p>
      <w:pPr>
        <w:numPr>
          <w:ilvl w:val="0"/>
          <w:numId w:val="8"/>
        </w:numPr>
        <w:autoSpaceDE w:val="0"/>
        <w:autoSpaceDN w:val="0"/>
        <w:snapToGrid w:val="0"/>
        <w:spacing w:line="460" w:lineRule="atLeast"/>
        <w:ind w:firstLine="1965" w:firstLineChars="546"/>
        <w:rPr>
          <w:rFonts w:hint="eastAsia" w:ascii="Times New Roman" w:hAnsi="Times New Roman" w:eastAsia="宋体"/>
          <w:color w:val="auto"/>
          <w:sz w:val="36"/>
          <w:highlight w:val="none"/>
        </w:rPr>
      </w:pPr>
      <w:r>
        <w:rPr>
          <w:rFonts w:hint="eastAsia" w:ascii="Times New Roman" w:hAnsi="Times New Roman" w:eastAsia="宋体"/>
          <w:color w:val="auto"/>
          <w:sz w:val="36"/>
          <w:highlight w:val="none"/>
        </w:rPr>
        <w:t xml:space="preserve">    合同格式（仅供参考）</w:t>
      </w:r>
    </w:p>
    <w:p>
      <w:pPr>
        <w:pStyle w:val="24"/>
        <w:tabs>
          <w:tab w:val="left" w:pos="482"/>
          <w:tab w:val="left" w:pos="2183"/>
          <w:tab w:val="left" w:pos="3884"/>
          <w:tab w:val="left" w:pos="5585"/>
        </w:tabs>
        <w:wordWrap w:val="0"/>
        <w:snapToGrid w:val="0"/>
        <w:spacing w:before="120" w:after="120" w:line="400" w:lineRule="exact"/>
        <w:ind w:firstLine="420"/>
        <w:jc w:val="center"/>
        <w:outlineLvl w:val="1"/>
        <w:rPr>
          <w:rFonts w:hint="eastAsia" w:ascii="宋体" w:hAnsi="宋体"/>
          <w:b/>
          <w:color w:val="auto"/>
          <w:sz w:val="32"/>
          <w:szCs w:val="32"/>
          <w:highlight w:val="none"/>
        </w:rPr>
      </w:pPr>
      <w:r>
        <w:rPr>
          <w:rFonts w:hint="eastAsia" w:ascii="宋体" w:hAnsi="宋体"/>
          <w:b/>
          <w:color w:val="auto"/>
          <w:sz w:val="32"/>
          <w:szCs w:val="32"/>
          <w:highlight w:val="none"/>
        </w:rPr>
        <w:t>第</w:t>
      </w:r>
      <w:r>
        <w:rPr>
          <w:rFonts w:hint="eastAsia" w:hAnsi="宋体"/>
          <w:b/>
          <w:color w:val="auto"/>
          <w:sz w:val="32"/>
          <w:szCs w:val="32"/>
          <w:highlight w:val="none"/>
          <w:lang w:eastAsia="zh-CN"/>
        </w:rPr>
        <w:t>一</w:t>
      </w:r>
      <w:r>
        <w:rPr>
          <w:rFonts w:hint="eastAsia" w:ascii="宋体" w:hAnsi="宋体"/>
          <w:b/>
          <w:color w:val="auto"/>
          <w:sz w:val="32"/>
          <w:szCs w:val="32"/>
          <w:highlight w:val="none"/>
        </w:rPr>
        <w:t xml:space="preserve">部分  </w:t>
      </w:r>
      <w:r>
        <w:rPr>
          <w:rFonts w:hint="eastAsia" w:hAnsi="宋体"/>
          <w:b/>
          <w:color w:val="auto"/>
          <w:sz w:val="32"/>
          <w:szCs w:val="32"/>
          <w:highlight w:val="none"/>
          <w:lang w:eastAsia="zh-CN"/>
        </w:rPr>
        <w:t>合同协议书</w:t>
      </w:r>
    </w:p>
    <w:p>
      <w:pPr>
        <w:spacing w:beforeAutospacing="0" w:afterAutospacing="0" w:line="360" w:lineRule="auto"/>
        <w:rPr>
          <w:rFonts w:hint="eastAsia" w:ascii="宋体" w:hAnsi="宋体"/>
          <w:b/>
          <w:color w:val="auto"/>
          <w:highlight w:val="none"/>
        </w:rPr>
      </w:pPr>
      <w:r>
        <w:rPr>
          <w:rFonts w:hint="eastAsia" w:ascii="宋体" w:hAnsi="宋体"/>
          <w:b/>
          <w:color w:val="auto"/>
          <w:highlight w:val="none"/>
        </w:rPr>
        <w:t>服务范围</w:t>
      </w:r>
    </w:p>
    <w:p>
      <w:pPr>
        <w:spacing w:beforeAutospacing="0" w:afterAutospacing="0" w:line="360" w:lineRule="auto"/>
        <w:jc w:val="left"/>
        <w:rPr>
          <w:rFonts w:hint="eastAsia" w:ascii="宋体" w:hAnsi="宋体"/>
          <w:color w:val="auto"/>
          <w:highlight w:val="none"/>
        </w:rPr>
      </w:pPr>
      <w:r>
        <w:rPr>
          <w:rFonts w:hint="eastAsia" w:ascii="宋体" w:hAnsi="宋体"/>
          <w:color w:val="auto"/>
          <w:highlight w:val="none"/>
        </w:rPr>
        <w:t>委托人（全称）：</w:t>
      </w:r>
      <w:r>
        <w:rPr>
          <w:rFonts w:hint="eastAsia" w:ascii="宋体" w:hAnsi="宋体"/>
          <w:color w:val="auto"/>
          <w:highlight w:val="none"/>
          <w:u w:val="single"/>
        </w:rPr>
        <w:t xml:space="preserve">                                                </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采购人</w:t>
      </w:r>
      <w:r>
        <w:rPr>
          <w:rFonts w:hint="eastAsia" w:ascii="宋体" w:hAnsi="宋体"/>
          <w:color w:val="auto"/>
          <w:highlight w:val="none"/>
          <w:u w:val="single"/>
          <w:lang w:eastAsia="zh-CN"/>
        </w:rPr>
        <w:t>）</w:t>
      </w:r>
    </w:p>
    <w:p>
      <w:pPr>
        <w:spacing w:beforeAutospacing="0" w:afterAutospacing="0" w:line="360" w:lineRule="auto"/>
        <w:jc w:val="left"/>
        <w:rPr>
          <w:rFonts w:hint="eastAsia" w:ascii="宋体" w:hAnsi="宋体"/>
          <w:color w:val="auto"/>
          <w:highlight w:val="none"/>
        </w:rPr>
      </w:pPr>
      <w:r>
        <w:rPr>
          <w:rFonts w:hint="eastAsia" w:ascii="宋体" w:hAnsi="宋体"/>
          <w:color w:val="auto"/>
          <w:highlight w:val="none"/>
        </w:rPr>
        <w:t>咨询人（全称）：</w:t>
      </w:r>
      <w:r>
        <w:rPr>
          <w:rFonts w:hint="eastAsia" w:ascii="宋体" w:hAnsi="宋体"/>
          <w:color w:val="auto"/>
          <w:highlight w:val="none"/>
          <w:u w:val="single"/>
        </w:rPr>
        <w:t xml:space="preserve">                                                </w:t>
      </w:r>
      <w:r>
        <w:rPr>
          <w:rFonts w:hint="eastAsia" w:ascii="宋体" w:hAnsi="宋体"/>
          <w:color w:val="auto"/>
          <w:highlight w:val="none"/>
          <w:u w:val="single"/>
          <w:lang w:eastAsia="zh-CN"/>
        </w:rPr>
        <w:t>（</w:t>
      </w:r>
      <w:r>
        <w:rPr>
          <w:rFonts w:hint="eastAsia" w:ascii="宋体" w:hAnsi="宋体"/>
          <w:color w:val="auto"/>
          <w:highlight w:val="none"/>
          <w:u w:val="single"/>
          <w:lang w:val="en-US" w:eastAsia="zh-CN"/>
        </w:rPr>
        <w:t>中标供应商</w:t>
      </w:r>
      <w:r>
        <w:rPr>
          <w:rFonts w:hint="eastAsia" w:ascii="宋体" w:hAnsi="宋体"/>
          <w:color w:val="auto"/>
          <w:highlight w:val="none"/>
          <w:u w:val="single"/>
          <w:lang w:eastAsia="zh-CN"/>
        </w:rPr>
        <w:t>）</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根据《中华人民共和国民法典》、《中华人民共和国建筑法》及其他有关法律、法规与规范性文件，遵循自愿、平等、公平和诚信的原则，双方就</w:t>
      </w:r>
      <w:r>
        <w:rPr>
          <w:rFonts w:hint="eastAsia" w:ascii="宋体" w:hAnsi="宋体"/>
          <w:color w:val="auto"/>
          <w:highlight w:val="none"/>
          <w:lang w:val="en-US" w:eastAsia="zh-CN"/>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rPr>
        <w:t>及有关事项协商一致，订立本合同。</w:t>
      </w:r>
    </w:p>
    <w:p>
      <w:pPr>
        <w:spacing w:beforeAutospacing="0" w:afterAutospacing="0" w:line="360" w:lineRule="auto"/>
        <w:rPr>
          <w:rFonts w:hint="eastAsia" w:ascii="宋体" w:hAnsi="宋体"/>
          <w:b/>
          <w:color w:val="auto"/>
          <w:highlight w:val="none"/>
        </w:rPr>
      </w:pPr>
      <w:bookmarkStart w:id="8" w:name="_Toc472523115"/>
      <w:bookmarkEnd w:id="8"/>
      <w:bookmarkStart w:id="9" w:name="_Toc18155955"/>
      <w:bookmarkEnd w:id="9"/>
      <w:bookmarkStart w:id="10" w:name="_Toc1737119844"/>
      <w:bookmarkEnd w:id="10"/>
      <w:r>
        <w:rPr>
          <w:rFonts w:hint="eastAsia" w:ascii="宋体" w:hAnsi="宋体"/>
          <w:b/>
          <w:color w:val="auto"/>
          <w:highlight w:val="none"/>
        </w:rPr>
        <w:t>一、项目概况</w:t>
      </w:r>
    </w:p>
    <w:p>
      <w:pPr>
        <w:pStyle w:val="61"/>
        <w:numPr>
          <w:ilvl w:val="0"/>
          <w:numId w:val="9"/>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项目名称：</w:t>
      </w:r>
      <w:r>
        <w:rPr>
          <w:rFonts w:hint="eastAsia" w:ascii="宋体" w:hAnsi="宋体" w:eastAsia="宋体"/>
          <w:color w:val="auto"/>
          <w:sz w:val="21"/>
          <w:highlight w:val="none"/>
          <w:u w:val="single"/>
          <w:lang w:eastAsia="zh-CN"/>
        </w:rPr>
        <w:t>平阳县瑞苍高速公路平阳段工程萧江镇淡浦安置地块（凤头B-15、凤头B-25）全过程咨询服务</w:t>
      </w:r>
    </w:p>
    <w:p>
      <w:pPr>
        <w:pStyle w:val="61"/>
        <w:numPr>
          <w:ilvl w:val="0"/>
          <w:numId w:val="9"/>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项目地点：</w:t>
      </w:r>
      <w:r>
        <w:rPr>
          <w:rFonts w:hint="eastAsia"/>
          <w:color w:val="auto"/>
          <w:sz w:val="21"/>
          <w:highlight w:val="none"/>
          <w:u w:val="single"/>
        </w:rPr>
        <w:t xml:space="preserve">按招标文件内容填写                           </w:t>
      </w:r>
    </w:p>
    <w:p>
      <w:pPr>
        <w:pStyle w:val="61"/>
        <w:numPr>
          <w:ilvl w:val="0"/>
          <w:numId w:val="9"/>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建设内容：</w:t>
      </w:r>
      <w:r>
        <w:rPr>
          <w:rFonts w:hint="eastAsia"/>
          <w:color w:val="auto"/>
          <w:sz w:val="21"/>
          <w:highlight w:val="none"/>
          <w:u w:val="single"/>
        </w:rPr>
        <w:t xml:space="preserve">按招标文件内容填写                           </w:t>
      </w:r>
    </w:p>
    <w:p>
      <w:pPr>
        <w:pStyle w:val="61"/>
        <w:numPr>
          <w:ilvl w:val="0"/>
          <w:numId w:val="9"/>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建设规模：</w:t>
      </w:r>
      <w:r>
        <w:rPr>
          <w:rFonts w:hint="eastAsia"/>
          <w:color w:val="auto"/>
          <w:sz w:val="21"/>
          <w:highlight w:val="none"/>
          <w:u w:val="single"/>
        </w:rPr>
        <w:t xml:space="preserve">按招标文件内容填写                          </w:t>
      </w:r>
    </w:p>
    <w:p>
      <w:pPr>
        <w:pStyle w:val="61"/>
        <w:numPr>
          <w:ilvl w:val="0"/>
          <w:numId w:val="9"/>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投资估算金额：</w:t>
      </w:r>
      <w:r>
        <w:rPr>
          <w:rFonts w:hint="eastAsia"/>
          <w:color w:val="auto"/>
          <w:sz w:val="21"/>
          <w:highlight w:val="none"/>
          <w:u w:val="single"/>
        </w:rPr>
        <w:t xml:space="preserve">以批复的投资估算为准                    </w:t>
      </w:r>
    </w:p>
    <w:p>
      <w:pPr>
        <w:pStyle w:val="61"/>
        <w:numPr>
          <w:ilvl w:val="0"/>
          <w:numId w:val="9"/>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资金来源：</w:t>
      </w:r>
      <w:r>
        <w:rPr>
          <w:rFonts w:hint="eastAsia"/>
          <w:color w:val="auto"/>
          <w:sz w:val="21"/>
          <w:highlight w:val="none"/>
          <w:u w:val="single"/>
        </w:rPr>
        <w:t xml:space="preserve">按招标文件内容填写                         </w:t>
      </w:r>
    </w:p>
    <w:p>
      <w:pPr>
        <w:pStyle w:val="61"/>
        <w:numPr>
          <w:ilvl w:val="0"/>
          <w:numId w:val="9"/>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项目周期：</w:t>
      </w:r>
      <w:r>
        <w:rPr>
          <w:rFonts w:hint="eastAsia"/>
          <w:color w:val="auto"/>
          <w:sz w:val="21"/>
          <w:highlight w:val="none"/>
          <w:u w:val="single"/>
        </w:rPr>
        <w:t xml:space="preserve">按招标文件内容填写                          </w:t>
      </w:r>
    </w:p>
    <w:p>
      <w:pPr>
        <w:spacing w:beforeAutospacing="0" w:afterAutospacing="0" w:line="360" w:lineRule="auto"/>
        <w:rPr>
          <w:rFonts w:hint="eastAsia" w:ascii="宋体" w:hAnsi="宋体"/>
          <w:b/>
          <w:color w:val="auto"/>
          <w:highlight w:val="none"/>
        </w:rPr>
      </w:pPr>
      <w:bookmarkStart w:id="11" w:name="_Toc368081200"/>
      <w:bookmarkEnd w:id="11"/>
      <w:bookmarkStart w:id="12" w:name="_Toc18155956"/>
      <w:bookmarkEnd w:id="12"/>
      <w:bookmarkStart w:id="13" w:name="_Toc1465322968"/>
      <w:bookmarkEnd w:id="13"/>
      <w:r>
        <w:rPr>
          <w:rFonts w:hint="eastAsia" w:ascii="宋体" w:hAnsi="宋体"/>
          <w:b/>
          <w:color w:val="auto"/>
          <w:highlight w:val="none"/>
        </w:rPr>
        <w:t>二、服务范围</w:t>
      </w:r>
    </w:p>
    <w:p>
      <w:pPr>
        <w:spacing w:beforeAutospacing="0" w:afterAutospacing="0" w:line="360" w:lineRule="auto"/>
        <w:ind w:firstLine="210" w:firstLineChars="100"/>
        <w:jc w:val="left"/>
        <w:rPr>
          <w:rFonts w:hint="eastAsia" w:ascii="宋体" w:hAnsi="宋体"/>
          <w:color w:val="auto"/>
          <w:highlight w:val="none"/>
        </w:rPr>
      </w:pPr>
      <w:r>
        <w:rPr>
          <w:rFonts w:hint="eastAsia" w:ascii="宋体" w:hAnsi="宋体"/>
          <w:color w:val="auto"/>
          <w:highlight w:val="none"/>
        </w:rPr>
        <w:t>咨询人向委托人提供的全过程工程咨询服务范围为：</w:t>
      </w:r>
    </w:p>
    <w:p>
      <w:pPr>
        <w:spacing w:beforeAutospacing="0" w:afterAutospacing="0"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（1）建设项目管理</w:t>
      </w:r>
    </w:p>
    <w:p>
      <w:pPr>
        <w:spacing w:beforeAutospacing="0" w:afterAutospacing="0"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w:t>
      </w:r>
      <w:r>
        <w:rPr>
          <w:rFonts w:hint="eastAsia" w:ascii="宋体" w:hAnsi="宋体"/>
          <w:bCs/>
          <w:color w:val="auto"/>
          <w:highlight w:val="none"/>
          <w:lang w:val="en-US" w:eastAsia="zh-CN"/>
        </w:rPr>
        <w:t>2</w:t>
      </w:r>
      <w:r>
        <w:rPr>
          <w:rFonts w:hint="eastAsia" w:ascii="宋体" w:hAnsi="宋体"/>
          <w:bCs/>
          <w:color w:val="auto"/>
          <w:highlight w:val="none"/>
        </w:rPr>
        <w:t>）造价咨询服务</w:t>
      </w:r>
    </w:p>
    <w:p>
      <w:pPr>
        <w:spacing w:beforeAutospacing="0" w:afterAutospacing="0" w:line="360" w:lineRule="auto"/>
        <w:ind w:firstLine="420" w:firstLineChars="200"/>
        <w:jc w:val="left"/>
        <w:rPr>
          <w:rFonts w:hint="eastAsia" w:ascii="宋体" w:hAnsi="宋体"/>
          <w:bCs/>
          <w:color w:val="auto"/>
          <w:highlight w:val="none"/>
        </w:rPr>
      </w:pPr>
      <w:r>
        <w:rPr>
          <w:rFonts w:hint="eastAsia" w:ascii="宋体" w:hAnsi="宋体"/>
          <w:bCs/>
          <w:color w:val="auto"/>
          <w:highlight w:val="none"/>
        </w:rPr>
        <w:t>（</w:t>
      </w:r>
      <w:r>
        <w:rPr>
          <w:rFonts w:hint="eastAsia" w:ascii="宋体" w:hAnsi="宋体"/>
          <w:bCs/>
          <w:color w:val="auto"/>
          <w:highlight w:val="none"/>
          <w:lang w:val="en-US" w:eastAsia="zh-CN"/>
        </w:rPr>
        <w:t>3</w:t>
      </w:r>
      <w:r>
        <w:rPr>
          <w:rFonts w:hint="eastAsia" w:ascii="宋体" w:hAnsi="宋体"/>
          <w:bCs/>
          <w:color w:val="auto"/>
          <w:highlight w:val="none"/>
        </w:rPr>
        <w:t>）</w:t>
      </w:r>
      <w:r>
        <w:rPr>
          <w:rFonts w:hint="eastAsia" w:ascii="宋体" w:hAnsi="宋体"/>
          <w:color w:val="auto"/>
          <w:highlight w:val="none"/>
        </w:rPr>
        <w:t>其他：</w:t>
      </w:r>
      <w:r>
        <w:rPr>
          <w:rFonts w:hint="eastAsia" w:ascii="宋体" w:hAnsi="宋体"/>
          <w:color w:val="auto"/>
          <w:highlight w:val="none"/>
          <w:u w:val="single"/>
        </w:rPr>
        <w:t>招标文件以及咨询人投标文件承诺的其他服务内容</w:t>
      </w:r>
      <w:r>
        <w:rPr>
          <w:rFonts w:hint="eastAsia" w:ascii="宋体" w:hAnsi="宋体"/>
          <w:color w:val="auto"/>
          <w:highlight w:val="none"/>
        </w:rPr>
        <w:t>。</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具体的服务内容和要求等详见附件1［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w:t>
      </w:r>
    </w:p>
    <w:p>
      <w:pPr>
        <w:spacing w:beforeAutospacing="0" w:afterAutospacing="0" w:line="360" w:lineRule="auto"/>
        <w:rPr>
          <w:rFonts w:hint="eastAsia" w:ascii="宋体" w:hAnsi="宋体"/>
          <w:b/>
          <w:color w:val="auto"/>
          <w:highlight w:val="none"/>
        </w:rPr>
      </w:pPr>
      <w:bookmarkStart w:id="14" w:name="_Toc1262486975"/>
      <w:bookmarkEnd w:id="14"/>
      <w:bookmarkStart w:id="15" w:name="_Toc1725278490"/>
      <w:bookmarkEnd w:id="15"/>
      <w:bookmarkStart w:id="16" w:name="_Toc18155957"/>
      <w:bookmarkEnd w:id="16"/>
      <w:r>
        <w:rPr>
          <w:rFonts w:hint="eastAsia" w:ascii="宋体" w:hAnsi="宋体"/>
          <w:b/>
          <w:color w:val="auto"/>
          <w:highlight w:val="none"/>
        </w:rPr>
        <w:t>三、委托人代表与</w:t>
      </w:r>
      <w:r>
        <w:rPr>
          <w:rFonts w:hint="eastAsia" w:ascii="宋体" w:hAnsi="宋体"/>
          <w:color w:val="auto"/>
          <w:kern w:val="24"/>
          <w:sz w:val="21"/>
          <w:highlight w:val="none"/>
        </w:rPr>
        <w:t>项目</w:t>
      </w:r>
      <w:r>
        <w:rPr>
          <w:rFonts w:hint="eastAsia" w:ascii="宋体" w:hAnsi="宋体"/>
          <w:color w:val="auto"/>
          <w:kern w:val="24"/>
          <w:sz w:val="21"/>
          <w:highlight w:val="none"/>
          <w:lang w:val="en-US" w:eastAsia="zh-CN"/>
        </w:rPr>
        <w:t>总</w:t>
      </w:r>
      <w:r>
        <w:rPr>
          <w:rFonts w:hint="eastAsia" w:ascii="宋体" w:hAnsi="宋体"/>
          <w:color w:val="auto"/>
          <w:kern w:val="24"/>
          <w:sz w:val="21"/>
          <w:highlight w:val="none"/>
        </w:rPr>
        <w:t>负责人</w:t>
      </w:r>
    </w:p>
    <w:p>
      <w:pPr>
        <w:pStyle w:val="61"/>
        <w:numPr>
          <w:ilvl w:val="0"/>
          <w:numId w:val="10"/>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委托人代表：</w:t>
      </w:r>
      <w:r>
        <w:rPr>
          <w:rFonts w:hint="eastAsia"/>
          <w:color w:val="auto"/>
          <w:sz w:val="21"/>
          <w:highlight w:val="none"/>
          <w:u w:val="single"/>
        </w:rPr>
        <w:t xml:space="preserve">                                                     </w:t>
      </w:r>
      <w:r>
        <w:rPr>
          <w:rFonts w:hint="eastAsia"/>
          <w:color w:val="auto"/>
          <w:sz w:val="21"/>
          <w:highlight w:val="none"/>
        </w:rPr>
        <w:t>。</w:t>
      </w:r>
    </w:p>
    <w:p>
      <w:pPr>
        <w:pStyle w:val="61"/>
        <w:numPr>
          <w:ilvl w:val="0"/>
          <w:numId w:val="10"/>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咨询项目总负责人（项目负责人）：</w:t>
      </w:r>
      <w:r>
        <w:rPr>
          <w:rFonts w:hint="eastAsia"/>
          <w:color w:val="auto"/>
          <w:sz w:val="21"/>
          <w:highlight w:val="none"/>
          <w:u w:val="single"/>
        </w:rPr>
        <w:t xml:space="preserve">                                  </w:t>
      </w:r>
      <w:r>
        <w:rPr>
          <w:rFonts w:hint="eastAsia"/>
          <w:color w:val="auto"/>
          <w:sz w:val="21"/>
          <w:highlight w:val="none"/>
        </w:rPr>
        <w:t>。</w:t>
      </w:r>
    </w:p>
    <w:p>
      <w:pPr>
        <w:pStyle w:val="61"/>
        <w:numPr>
          <w:ilvl w:val="0"/>
          <w:numId w:val="10"/>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单项2咨询负责人（</w:t>
      </w:r>
      <w:r>
        <w:rPr>
          <w:rFonts w:hint="eastAsia"/>
          <w:color w:val="auto"/>
          <w:sz w:val="21"/>
          <w:highlight w:val="none"/>
          <w:lang w:eastAsia="zh-CN"/>
        </w:rPr>
        <w:t>造价咨询工程师</w:t>
      </w:r>
      <w:r>
        <w:rPr>
          <w:rFonts w:hint="eastAsia"/>
          <w:color w:val="auto"/>
          <w:sz w:val="21"/>
          <w:highlight w:val="none"/>
        </w:rPr>
        <w:t>）：</w:t>
      </w:r>
      <w:r>
        <w:rPr>
          <w:rFonts w:hint="eastAsia"/>
          <w:color w:val="auto"/>
          <w:sz w:val="21"/>
          <w:highlight w:val="none"/>
          <w:u w:val="single"/>
        </w:rPr>
        <w:t xml:space="preserve">                                </w:t>
      </w:r>
      <w:r>
        <w:rPr>
          <w:rFonts w:hint="eastAsia"/>
          <w:color w:val="auto"/>
          <w:sz w:val="21"/>
          <w:highlight w:val="none"/>
        </w:rPr>
        <w:t>。</w:t>
      </w:r>
    </w:p>
    <w:p>
      <w:pPr>
        <w:spacing w:beforeAutospacing="0" w:afterAutospacing="0" w:line="360" w:lineRule="auto"/>
        <w:rPr>
          <w:rFonts w:hint="eastAsia" w:ascii="宋体" w:hAnsi="宋体"/>
          <w:b/>
          <w:color w:val="auto"/>
          <w:highlight w:val="none"/>
        </w:rPr>
      </w:pPr>
      <w:bookmarkStart w:id="17" w:name="_Toc1926415323"/>
      <w:bookmarkEnd w:id="17"/>
      <w:bookmarkStart w:id="18" w:name="_Toc18155958"/>
      <w:bookmarkEnd w:id="18"/>
      <w:bookmarkStart w:id="19" w:name="_Toc18155959"/>
      <w:bookmarkEnd w:id="19"/>
      <w:bookmarkStart w:id="20" w:name="_Toc1165080940"/>
      <w:bookmarkEnd w:id="20"/>
      <w:r>
        <w:rPr>
          <w:rFonts w:hint="eastAsia" w:ascii="宋体" w:hAnsi="宋体"/>
          <w:b/>
          <w:color w:val="auto"/>
          <w:highlight w:val="none"/>
        </w:rPr>
        <w:t>四、服务费用</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本项目全过程工程咨询服务费用签约价为：人民币（大写）</w:t>
      </w:r>
      <w:r>
        <w:rPr>
          <w:rFonts w:hint="eastAsia" w:ascii="宋体" w:hAnsi="宋体"/>
          <w:color w:val="auto"/>
          <w:highlight w:val="none"/>
          <w:u w:val="single"/>
        </w:rPr>
        <w:t xml:space="preserve">       </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元）。</w:t>
      </w:r>
    </w:p>
    <w:p>
      <w:pPr>
        <w:spacing w:beforeAutospacing="0" w:afterAutospacing="0" w:line="360" w:lineRule="auto"/>
        <w:jc w:val="left"/>
        <w:rPr>
          <w:rFonts w:hint="eastAsia" w:ascii="宋体" w:hAnsi="宋体"/>
          <w:color w:val="auto"/>
          <w:highlight w:val="none"/>
        </w:rPr>
      </w:pPr>
      <w:r>
        <w:rPr>
          <w:rFonts w:hint="eastAsia" w:ascii="宋体" w:hAnsi="宋体"/>
          <w:color w:val="auto"/>
          <w:highlight w:val="none"/>
        </w:rPr>
        <w:t>具体的服务费用计取和支付方式详见附件2［</w:t>
      </w:r>
      <w:r>
        <w:rPr>
          <w:rFonts w:hint="eastAsia" w:ascii="宋体" w:hAnsi="宋体"/>
          <w:color w:val="auto"/>
          <w:highlight w:val="none"/>
        </w:rPr>
        <w:fldChar w:fldCharType="begin"/>
      </w:r>
      <w:r>
        <w:rPr>
          <w:rFonts w:hint="eastAsia" w:ascii="宋体" w:hAnsi="宋体"/>
          <w:color w:val="auto"/>
          <w:highlight w:val="none"/>
        </w:rPr>
        <w:instrText xml:space="preserve">REF _Ref522024485 \h \* MERGEFORMAT </w:instrText>
      </w:r>
      <w:r>
        <w:rPr>
          <w:rFonts w:hint="eastAsia" w:ascii="宋体" w:hAnsi="宋体"/>
          <w:color w:val="auto"/>
          <w:highlight w:val="none"/>
        </w:rPr>
        <w:fldChar w:fldCharType="separate"/>
      </w:r>
      <w:r>
        <w:rPr>
          <w:rFonts w:hint="eastAsia" w:ascii="宋体" w:hAnsi="宋体"/>
          <w:b/>
          <w:color w:val="auto"/>
          <w:highlight w:val="none"/>
        </w:rPr>
        <w:t>附件2 服务费用和支付</w:t>
      </w:r>
      <w:r>
        <w:rPr>
          <w:rFonts w:hint="eastAsia" w:ascii="宋体" w:hAnsi="宋体"/>
          <w:color w:val="auto"/>
          <w:highlight w:val="none"/>
        </w:rPr>
        <w:fldChar w:fldCharType="end"/>
      </w:r>
      <w:r>
        <w:rPr>
          <w:rFonts w:hint="eastAsia" w:ascii="宋体" w:hAnsi="宋体"/>
          <w:color w:val="auto"/>
          <w:highlight w:val="none"/>
        </w:rPr>
        <w:t>］。</w:t>
      </w:r>
    </w:p>
    <w:p>
      <w:pPr>
        <w:spacing w:beforeAutospacing="0" w:afterAutospacing="0" w:line="360" w:lineRule="auto"/>
        <w:rPr>
          <w:rFonts w:hint="eastAsia" w:ascii="宋体" w:hAnsi="宋体"/>
          <w:b/>
          <w:color w:val="auto"/>
          <w:highlight w:val="none"/>
        </w:rPr>
      </w:pPr>
      <w:bookmarkStart w:id="21" w:name="_Toc717372528"/>
      <w:bookmarkEnd w:id="21"/>
      <w:bookmarkStart w:id="22" w:name="_Toc1629387647"/>
      <w:bookmarkEnd w:id="22"/>
      <w:bookmarkStart w:id="23" w:name="_Toc18155960"/>
      <w:bookmarkEnd w:id="23"/>
      <w:r>
        <w:rPr>
          <w:rFonts w:hint="eastAsia" w:ascii="宋体" w:hAnsi="宋体"/>
          <w:b/>
          <w:color w:val="auto"/>
          <w:highlight w:val="none"/>
        </w:rPr>
        <w:t>五、服务期限</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服务期限计划自</w:t>
      </w:r>
      <w:r>
        <w:rPr>
          <w:rFonts w:hint="eastAsia" w:ascii="宋体" w:hAnsi="宋体"/>
          <w:color w:val="auto"/>
          <w:highlight w:val="none"/>
          <w:u w:val="single"/>
        </w:rPr>
        <w:t>签订合同之日起</w:t>
      </w:r>
      <w:r>
        <w:rPr>
          <w:rFonts w:hint="eastAsia" w:ascii="宋体" w:hAnsi="宋体"/>
          <w:color w:val="auto"/>
          <w:highlight w:val="none"/>
        </w:rPr>
        <w:t>至</w:t>
      </w:r>
      <w:r>
        <w:rPr>
          <w:rFonts w:hint="eastAsia" w:ascii="宋体" w:hAnsi="宋体"/>
          <w:color w:val="auto"/>
          <w:highlight w:val="none"/>
          <w:u w:val="single"/>
        </w:rPr>
        <w:t>缺陷责任期满</w:t>
      </w:r>
      <w:r>
        <w:rPr>
          <w:rFonts w:hint="eastAsia" w:ascii="宋体" w:hAnsi="宋体"/>
          <w:color w:val="auto"/>
          <w:highlight w:val="none"/>
        </w:rPr>
        <w:t>止。</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具体的服务期限和服务进度计划详见专用合同条件及附件3［</w:t>
      </w:r>
      <w:r>
        <w:rPr>
          <w:rFonts w:hint="eastAsia" w:ascii="宋体" w:hAnsi="宋体"/>
          <w:color w:val="auto"/>
          <w:highlight w:val="none"/>
        </w:rPr>
        <w:fldChar w:fldCharType="begin"/>
      </w:r>
      <w:r>
        <w:rPr>
          <w:rFonts w:hint="eastAsia" w:ascii="宋体" w:hAnsi="宋体"/>
          <w:color w:val="auto"/>
          <w:highlight w:val="none"/>
        </w:rPr>
        <w:instrText xml:space="preserve">REF _Ref18241628 \h \* MERGEFORMAT </w:instrText>
      </w:r>
      <w:r>
        <w:rPr>
          <w:rFonts w:hint="eastAsia" w:ascii="宋体" w:hAnsi="宋体"/>
          <w:color w:val="auto"/>
          <w:highlight w:val="none"/>
        </w:rPr>
        <w:fldChar w:fldCharType="separate"/>
      </w:r>
      <w:r>
        <w:rPr>
          <w:rFonts w:hint="eastAsia" w:ascii="宋体" w:hAnsi="宋体"/>
          <w:b/>
          <w:color w:val="auto"/>
          <w:highlight w:val="none"/>
        </w:rPr>
        <w:t>附件3 进度计划</w:t>
      </w:r>
      <w:r>
        <w:rPr>
          <w:rFonts w:hint="eastAsia" w:ascii="宋体" w:hAnsi="宋体"/>
          <w:color w:val="auto"/>
          <w:highlight w:val="none"/>
        </w:rPr>
        <w:fldChar w:fldCharType="end"/>
      </w:r>
      <w:r>
        <w:rPr>
          <w:rFonts w:hint="eastAsia" w:ascii="宋体" w:hAnsi="宋体"/>
          <w:color w:val="auto"/>
          <w:highlight w:val="none"/>
        </w:rPr>
        <w:t>］。</w:t>
      </w:r>
    </w:p>
    <w:p>
      <w:pPr>
        <w:spacing w:beforeAutospacing="0" w:afterAutospacing="0" w:line="360" w:lineRule="auto"/>
        <w:rPr>
          <w:rFonts w:hint="eastAsia" w:ascii="宋体" w:hAnsi="宋体"/>
          <w:b/>
          <w:color w:val="auto"/>
          <w:highlight w:val="none"/>
        </w:rPr>
      </w:pPr>
      <w:bookmarkStart w:id="24" w:name="_Toc18155961"/>
      <w:bookmarkEnd w:id="24"/>
      <w:bookmarkStart w:id="25" w:name="_Toc87071548"/>
      <w:bookmarkEnd w:id="25"/>
      <w:bookmarkStart w:id="26" w:name="_Ref13590530"/>
      <w:bookmarkEnd w:id="26"/>
      <w:bookmarkStart w:id="27" w:name="_Toc1835048599"/>
      <w:bookmarkEnd w:id="27"/>
      <w:bookmarkStart w:id="28" w:name="_Ref14039879"/>
      <w:bookmarkEnd w:id="28"/>
      <w:r>
        <w:rPr>
          <w:rFonts w:hint="eastAsia" w:ascii="宋体" w:hAnsi="宋体"/>
          <w:b/>
          <w:color w:val="auto"/>
          <w:highlight w:val="none"/>
        </w:rPr>
        <w:t>六、合同文件的组成</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组成本合同的合同文件包括：</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（1）本协议书；</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（2）中标通知书（如有）；</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（3）</w:t>
      </w:r>
      <w:r>
        <w:rPr>
          <w:rFonts w:hint="eastAsia" w:ascii="宋体" w:hAnsi="宋体"/>
          <w:color w:val="auto"/>
          <w:highlight w:val="none"/>
          <w:lang w:val="en-US" w:eastAsia="zh-CN"/>
        </w:rPr>
        <w:t>投标文件及其附件</w:t>
      </w:r>
      <w:r>
        <w:rPr>
          <w:rFonts w:hint="eastAsia" w:ascii="宋体" w:hAnsi="宋体"/>
          <w:color w:val="auto"/>
          <w:highlight w:val="none"/>
        </w:rPr>
        <w:t>（如有）；</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（4）专用合同条件及其附件；</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（5）通用合同条件；</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（6）技术标准和要求；</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（7）其他合同文件。</w:t>
      </w:r>
    </w:p>
    <w:p>
      <w:pPr>
        <w:spacing w:beforeAutospacing="0" w:afterAutospacing="0" w:line="360" w:lineRule="auto"/>
        <w:ind w:firstLine="420"/>
        <w:jc w:val="left"/>
        <w:rPr>
          <w:rFonts w:hint="eastAsia" w:ascii="宋体" w:hAnsi="宋体"/>
          <w:color w:val="auto"/>
          <w:highlight w:val="none"/>
        </w:rPr>
      </w:pPr>
      <w:r>
        <w:rPr>
          <w:rFonts w:hint="eastAsia" w:ascii="宋体" w:hAnsi="宋体"/>
          <w:color w:val="auto"/>
          <w:highlight w:val="none"/>
        </w:rPr>
        <w:t>在合同订立及履行过程中形成的与合同有关的文件均构成合同文件组成部分。</w:t>
      </w:r>
    </w:p>
    <w:p>
      <w:pPr>
        <w:spacing w:beforeAutospacing="0" w:afterAutospacing="0" w:line="360" w:lineRule="auto"/>
        <w:rPr>
          <w:rFonts w:hint="eastAsia" w:ascii="宋体" w:hAnsi="宋体"/>
          <w:b/>
          <w:color w:val="auto"/>
          <w:highlight w:val="none"/>
        </w:rPr>
      </w:pPr>
      <w:bookmarkStart w:id="29" w:name="_Toc18155962"/>
      <w:bookmarkEnd w:id="29"/>
      <w:bookmarkStart w:id="30" w:name="_Toc778713891"/>
      <w:bookmarkEnd w:id="30"/>
      <w:bookmarkStart w:id="31" w:name="_Toc32695179"/>
      <w:bookmarkEnd w:id="31"/>
      <w:r>
        <w:rPr>
          <w:rFonts w:hint="eastAsia" w:ascii="宋体" w:hAnsi="宋体"/>
          <w:b/>
          <w:color w:val="auto"/>
          <w:highlight w:val="none"/>
        </w:rPr>
        <w:t>七、双方承诺</w:t>
      </w:r>
    </w:p>
    <w:p>
      <w:pPr>
        <w:pStyle w:val="61"/>
        <w:spacing w:beforeAutospacing="0" w:after="0" w:afterAutospacing="0"/>
        <w:jc w:val="left"/>
        <w:rPr>
          <w:rFonts w:hint="eastAsia"/>
          <w:color w:val="auto"/>
          <w:sz w:val="21"/>
          <w:highlight w:val="none"/>
        </w:rPr>
      </w:pPr>
      <w:r>
        <w:rPr>
          <w:rFonts w:hint="eastAsia"/>
          <w:color w:val="auto"/>
          <w:sz w:val="21"/>
          <w:highlight w:val="none"/>
        </w:rPr>
        <w:t>1.咨询人向委托人承诺，按照法律和技术标准以及合同约定提供全过程工程咨询服务。</w:t>
      </w:r>
    </w:p>
    <w:p>
      <w:pPr>
        <w:pStyle w:val="61"/>
        <w:spacing w:beforeAutospacing="0" w:after="0" w:afterAutospacing="0"/>
        <w:jc w:val="left"/>
        <w:rPr>
          <w:rFonts w:hint="eastAsia"/>
          <w:color w:val="auto"/>
          <w:sz w:val="21"/>
          <w:highlight w:val="none"/>
        </w:rPr>
      </w:pPr>
      <w:r>
        <w:rPr>
          <w:rFonts w:hint="eastAsia"/>
          <w:color w:val="auto"/>
          <w:sz w:val="21"/>
          <w:highlight w:val="none"/>
        </w:rPr>
        <w:t>2.委托人向咨询人承诺，按照法律法规履行项目许可、核准或备案手续，按照合同约定提供开展全过程工程咨询服务活动的依据，按照本合同约定派遣相应的人员，提供咨询服务所需的资料和条件，并按照合同约定的期限和方式支付服务费用和其他应支付款项。</w:t>
      </w:r>
    </w:p>
    <w:p>
      <w:pPr>
        <w:pStyle w:val="61"/>
        <w:spacing w:beforeAutospacing="0" w:after="0" w:afterAutospacing="0"/>
        <w:jc w:val="left"/>
        <w:rPr>
          <w:rFonts w:hint="eastAsia"/>
          <w:color w:val="auto"/>
          <w:sz w:val="21"/>
          <w:highlight w:val="none"/>
          <w:lang w:val="en-US" w:eastAsia="zh-CN"/>
        </w:rPr>
      </w:pPr>
      <w:r>
        <w:rPr>
          <w:rFonts w:hint="eastAsia"/>
          <w:color w:val="auto"/>
          <w:sz w:val="21"/>
          <w:highlight w:val="none"/>
          <w:lang w:val="en-US" w:eastAsia="zh-CN"/>
        </w:rPr>
        <w:t>3.中标供应商在不影响施工质量、安全、空间、进度等国家规定要求的设计范围内的前提下，制定合理化建议有效的管制投资成本方案及风险管控方案将施工建安合同价节约达到1%及以上的，给予中标供应商节约工程费的10%作为成本管控奖励。</w:t>
      </w:r>
    </w:p>
    <w:p>
      <w:pPr>
        <w:pStyle w:val="61"/>
        <w:spacing w:beforeAutospacing="0" w:after="0" w:afterAutospacing="0"/>
        <w:jc w:val="left"/>
        <w:rPr>
          <w:rFonts w:hint="eastAsia"/>
          <w:color w:val="auto"/>
          <w:sz w:val="21"/>
          <w:highlight w:val="none"/>
          <w:lang w:val="en-US" w:eastAsia="zh-CN"/>
        </w:rPr>
      </w:pPr>
      <w:r>
        <w:rPr>
          <w:rFonts w:hint="eastAsia"/>
          <w:color w:val="auto"/>
          <w:sz w:val="21"/>
          <w:highlight w:val="none"/>
          <w:lang w:val="en-US" w:eastAsia="zh-CN"/>
        </w:rPr>
        <w:t>4.中标供应商在设计图等未发生变更的情况下，因工艺、人材机成本的控制不到位等原因导致施工建安合同价浪费达到1%及以上的，给予中标供应商浪费工程费的10%作为管控不到位的处罚。</w:t>
      </w:r>
    </w:p>
    <w:p>
      <w:pPr>
        <w:spacing w:beforeAutospacing="0" w:afterAutospacing="0" w:line="360" w:lineRule="auto"/>
        <w:rPr>
          <w:rFonts w:hint="eastAsia" w:ascii="宋体" w:hAnsi="宋体"/>
          <w:color w:val="auto"/>
          <w:highlight w:val="none"/>
        </w:rPr>
      </w:pPr>
      <w:bookmarkStart w:id="32" w:name="_Toc162914414"/>
      <w:bookmarkEnd w:id="32"/>
      <w:bookmarkStart w:id="33" w:name="_Toc1512269408"/>
      <w:bookmarkEnd w:id="33"/>
      <w:bookmarkStart w:id="34" w:name="_Toc18155963"/>
      <w:bookmarkEnd w:id="34"/>
      <w:r>
        <w:rPr>
          <w:rFonts w:hint="eastAsia" w:ascii="宋体" w:hAnsi="宋体"/>
          <w:color w:val="auto"/>
          <w:highlight w:val="none"/>
        </w:rPr>
        <w:t>八、词语含义</w:t>
      </w:r>
    </w:p>
    <w:p>
      <w:pPr>
        <w:pStyle w:val="61"/>
        <w:spacing w:beforeAutospacing="0" w:after="0" w:afterAutospacing="0"/>
        <w:jc w:val="left"/>
        <w:rPr>
          <w:rFonts w:hint="eastAsia"/>
          <w:color w:val="auto"/>
          <w:sz w:val="21"/>
          <w:highlight w:val="none"/>
        </w:rPr>
      </w:pPr>
      <w:r>
        <w:rPr>
          <w:rFonts w:hint="eastAsia"/>
          <w:color w:val="auto"/>
          <w:sz w:val="21"/>
          <w:highlight w:val="none"/>
        </w:rPr>
        <w:t>合同协议书中的词语含义与通用合同条件和专用合同条件中赋予的含义相同。</w:t>
      </w:r>
    </w:p>
    <w:p>
      <w:pPr>
        <w:spacing w:beforeAutospacing="0" w:afterAutospacing="0" w:line="360" w:lineRule="auto"/>
        <w:rPr>
          <w:rFonts w:hint="eastAsia" w:ascii="宋体" w:hAnsi="宋体"/>
          <w:b/>
          <w:color w:val="auto"/>
          <w:highlight w:val="none"/>
        </w:rPr>
      </w:pPr>
      <w:bookmarkStart w:id="35" w:name="_Toc1684418762"/>
      <w:bookmarkEnd w:id="35"/>
      <w:bookmarkStart w:id="36" w:name="_Toc18155964"/>
      <w:bookmarkEnd w:id="36"/>
      <w:bookmarkStart w:id="37" w:name="_Toc1976911908"/>
      <w:bookmarkEnd w:id="37"/>
      <w:r>
        <w:rPr>
          <w:rFonts w:hint="eastAsia" w:ascii="宋体" w:hAnsi="宋体"/>
          <w:b/>
          <w:color w:val="auto"/>
          <w:highlight w:val="none"/>
        </w:rPr>
        <w:t>九、合同订立和生效</w:t>
      </w:r>
    </w:p>
    <w:p>
      <w:pPr>
        <w:pStyle w:val="61"/>
        <w:numPr>
          <w:ilvl w:val="0"/>
          <w:numId w:val="11"/>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合同订立时间：_________年_____月_____日</w:t>
      </w:r>
    </w:p>
    <w:p>
      <w:pPr>
        <w:pStyle w:val="61"/>
        <w:numPr>
          <w:ilvl w:val="0"/>
          <w:numId w:val="11"/>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合同订立地点：_________________________</w:t>
      </w:r>
    </w:p>
    <w:p>
      <w:pPr>
        <w:pStyle w:val="61"/>
        <w:numPr>
          <w:ilvl w:val="0"/>
          <w:numId w:val="11"/>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本合同一式_____份，具有同等法律效力，委托人执______份，咨询人执____份。</w:t>
      </w:r>
    </w:p>
    <w:p>
      <w:pPr>
        <w:pStyle w:val="61"/>
        <w:numPr>
          <w:ilvl w:val="0"/>
          <w:numId w:val="11"/>
        </w:numPr>
        <w:tabs>
          <w:tab w:val="clear" w:pos="780"/>
        </w:tabs>
        <w:spacing w:beforeAutospacing="0" w:after="0" w:afterAutospacing="0"/>
        <w:ind w:firstLineChars="0"/>
        <w:jc w:val="left"/>
        <w:rPr>
          <w:rFonts w:hint="eastAsia"/>
          <w:color w:val="auto"/>
          <w:sz w:val="21"/>
          <w:highlight w:val="none"/>
        </w:rPr>
      </w:pPr>
      <w:r>
        <w:rPr>
          <w:rFonts w:hint="eastAsia"/>
          <w:color w:val="auto"/>
          <w:sz w:val="21"/>
          <w:highlight w:val="none"/>
        </w:rPr>
        <w:t>本合同经双方签字或盖章后成立，并自双方</w:t>
      </w:r>
      <w:r>
        <w:rPr>
          <w:rFonts w:hint="eastAsia"/>
          <w:color w:val="auto"/>
          <w:sz w:val="21"/>
          <w:highlight w:val="none"/>
          <w:u w:val="single"/>
        </w:rPr>
        <w:t>加盖公章、法定代表人或其委托代理人签字，且咨询人提交符合要求的履约担保后</w:t>
      </w:r>
      <w:r>
        <w:rPr>
          <w:rFonts w:hint="eastAsia"/>
          <w:color w:val="auto"/>
          <w:sz w:val="21"/>
          <w:highlight w:val="none"/>
        </w:rPr>
        <w:t>生效。</w:t>
      </w:r>
    </w:p>
    <w:p>
      <w:pPr>
        <w:pStyle w:val="79"/>
        <w:spacing w:beforeAutospacing="0" w:afterAutospacing="0" w:line="360" w:lineRule="auto"/>
        <w:ind w:firstLine="420"/>
        <w:rPr>
          <w:rFonts w:hint="eastAsia" w:hAnsi="宋体"/>
          <w:color w:val="auto"/>
          <w:sz w:val="21"/>
          <w:szCs w:val="21"/>
          <w:highlight w:val="none"/>
        </w:rPr>
      </w:pP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委托人：（公章）                          咨询人：（公章）</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法定代表人或其委托代理人：（签字）        法定代表人或其委托代理人：（签字）</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统一社会信用代码：                       统一社会信用代码：</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地址：                                   地址：</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邮政编码：                               邮政编码：</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法定代表人：                             法定代表人：</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委托代理人：                             委托代理人：</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电话：                                   电话：</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传真：                                   传真：</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电子信箱：                               电子信箱：</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开户银行：                               开户银行：</w:t>
      </w:r>
    </w:p>
    <w:p>
      <w:pPr>
        <w:pStyle w:val="79"/>
        <w:spacing w:beforeAutospacing="0" w:afterAutospacing="0" w:line="360" w:lineRule="auto"/>
        <w:ind w:firstLine="420"/>
        <w:rPr>
          <w:rFonts w:hint="eastAsia" w:hAnsi="宋体"/>
          <w:color w:val="auto"/>
          <w:sz w:val="21"/>
          <w:szCs w:val="21"/>
          <w:highlight w:val="none"/>
        </w:rPr>
      </w:pPr>
      <w:r>
        <w:rPr>
          <w:rFonts w:hint="eastAsia" w:hAnsi="宋体"/>
          <w:color w:val="auto"/>
          <w:sz w:val="21"/>
          <w:szCs w:val="21"/>
          <w:highlight w:val="none"/>
        </w:rPr>
        <w:t>账号：                                    账号：</w:t>
      </w:r>
    </w:p>
    <w:p>
      <w:pPr>
        <w:pStyle w:val="80"/>
        <w:snapToGrid w:val="0"/>
        <w:spacing w:before="0" w:beforeAutospacing="0" w:after="50" w:afterAutospacing="0" w:line="360" w:lineRule="auto"/>
        <w:rPr>
          <w:rFonts w:hint="eastAsia"/>
          <w:color w:val="auto"/>
          <w:sz w:val="21"/>
          <w:szCs w:val="21"/>
          <w:highlight w:val="none"/>
        </w:rPr>
      </w:pPr>
      <w:bookmarkStart w:id="38" w:name="_Toc27999"/>
      <w:bookmarkEnd w:id="38"/>
      <w:bookmarkStart w:id="39" w:name="_Toc1857356965"/>
      <w:bookmarkEnd w:id="39"/>
      <w:bookmarkStart w:id="40" w:name="_Toc18155965"/>
      <w:bookmarkEnd w:id="40"/>
      <w:bookmarkStart w:id="41" w:name="_Toc2009868289"/>
      <w:bookmarkEnd w:id="41"/>
      <w:r>
        <w:rPr>
          <w:rFonts w:hint="eastAsia"/>
          <w:color w:val="auto"/>
          <w:sz w:val="21"/>
          <w:szCs w:val="21"/>
          <w:highlight w:val="none"/>
        </w:rPr>
        <w:br w:type="page"/>
      </w:r>
      <w:r>
        <w:rPr>
          <w:rFonts w:hint="eastAsia"/>
          <w:color w:val="auto"/>
          <w:sz w:val="21"/>
          <w:szCs w:val="21"/>
          <w:highlight w:val="none"/>
        </w:rPr>
        <w:t>第二部分  通用合同条件</w:t>
      </w:r>
    </w:p>
    <w:p>
      <w:pPr>
        <w:spacing w:beforeAutospacing="0" w:afterAutospacing="0" w:line="360" w:lineRule="auto"/>
        <w:jc w:val="left"/>
        <w:rPr>
          <w:rFonts w:hint="eastAsia" w:ascii="宋体" w:hAnsi="宋体"/>
          <w:b/>
          <w:color w:val="auto"/>
          <w:highlight w:val="none"/>
        </w:rPr>
      </w:pPr>
      <w:bookmarkStart w:id="42" w:name="_Toc18155966"/>
      <w:bookmarkEnd w:id="42"/>
      <w:bookmarkStart w:id="43" w:name="_Toc2039650685"/>
      <w:bookmarkEnd w:id="43"/>
      <w:bookmarkStart w:id="44" w:name="_Toc1514300850"/>
      <w:bookmarkEnd w:id="44"/>
      <w:bookmarkStart w:id="45" w:name="_Ref508893699"/>
      <w:bookmarkEnd w:id="45"/>
      <w:bookmarkStart w:id="46" w:name="_Toc83224656"/>
      <w:bookmarkEnd w:id="46"/>
      <w:r>
        <w:rPr>
          <w:rFonts w:hint="eastAsia" w:ascii="宋体" w:hAnsi="宋体"/>
          <w:b/>
          <w:color w:val="auto"/>
          <w:highlight w:val="none"/>
        </w:rPr>
        <w:t>第1条  一般规定</w:t>
      </w:r>
    </w:p>
    <w:p>
      <w:pPr>
        <w:spacing w:beforeAutospacing="0" w:afterAutospacing="0" w:line="360" w:lineRule="auto"/>
        <w:ind w:firstLine="422" w:firstLineChars="200"/>
        <w:rPr>
          <w:rFonts w:hint="eastAsia" w:ascii="宋体" w:hAnsi="宋体"/>
          <w:b/>
          <w:color w:val="auto"/>
          <w:highlight w:val="none"/>
        </w:rPr>
      </w:pPr>
      <w:bookmarkStart w:id="47" w:name="_Toc18155967"/>
      <w:bookmarkEnd w:id="47"/>
      <w:bookmarkStart w:id="48" w:name="_Ref523741471"/>
      <w:bookmarkEnd w:id="48"/>
      <w:bookmarkStart w:id="49" w:name="_Toc874774857"/>
      <w:bookmarkEnd w:id="49"/>
      <w:bookmarkStart w:id="50" w:name="_Toc83224657"/>
      <w:bookmarkEnd w:id="50"/>
      <w:bookmarkStart w:id="51" w:name="_Ref523741474"/>
      <w:bookmarkEnd w:id="51"/>
      <w:bookmarkStart w:id="52" w:name="_Toc500999795"/>
      <w:bookmarkEnd w:id="52"/>
      <w:r>
        <w:rPr>
          <w:rFonts w:hint="eastAsia" w:ascii="宋体" w:hAnsi="宋体"/>
          <w:b/>
          <w:color w:val="auto"/>
          <w:highlight w:val="none"/>
        </w:rPr>
        <w:t>1.1定义和解释</w:t>
      </w:r>
    </w:p>
    <w:p>
      <w:pPr>
        <w:spacing w:beforeAutospacing="0" w:afterAutospacing="0" w:line="360" w:lineRule="auto"/>
        <w:ind w:firstLine="420" w:firstLineChars="200"/>
        <w:jc w:val="left"/>
        <w:rPr>
          <w:rFonts w:hint="eastAsia" w:ascii="宋体" w:hAnsi="宋体"/>
          <w:color w:val="auto"/>
          <w:highlight w:val="none"/>
        </w:rPr>
      </w:pPr>
      <w:bookmarkStart w:id="53" w:name="_Toc83224658"/>
      <w:bookmarkEnd w:id="53"/>
      <w:r>
        <w:rPr>
          <w:rFonts w:hint="eastAsia" w:ascii="宋体" w:hAnsi="宋体"/>
          <w:color w:val="auto"/>
          <w:highlight w:val="none"/>
        </w:rPr>
        <w:t>除根据上下文另有其意义外，组成本合同的全部文件中的下列词语具有本款所赋予的含义：</w:t>
      </w:r>
    </w:p>
    <w:p>
      <w:pPr>
        <w:spacing w:beforeAutospacing="0" w:afterAutospacing="0" w:line="360" w:lineRule="auto"/>
        <w:ind w:firstLine="420" w:firstLineChars="200"/>
        <w:jc w:val="left"/>
        <w:rPr>
          <w:rFonts w:hint="eastAsia" w:ascii="宋体" w:hAnsi="宋体"/>
          <w:color w:val="auto"/>
          <w:highlight w:val="none"/>
        </w:rPr>
      </w:pPr>
      <w:bookmarkStart w:id="54" w:name="_Toc83224659"/>
      <w:bookmarkEnd w:id="54"/>
      <w:r>
        <w:rPr>
          <w:rFonts w:hint="eastAsia" w:ascii="宋体" w:hAnsi="宋体"/>
          <w:color w:val="auto"/>
          <w:highlight w:val="none"/>
        </w:rPr>
        <w:t>1.1.1合同：是指委托人和咨询人就咨询服务约定双方权利义务的，根据法律规定和双方约定具有约束力的文件，由合同协议书第六条［</w:t>
      </w:r>
      <w:r>
        <w:rPr>
          <w:rFonts w:hint="eastAsia" w:ascii="宋体" w:hAnsi="宋体"/>
          <w:color w:val="auto"/>
          <w:highlight w:val="none"/>
        </w:rPr>
        <w:fldChar w:fldCharType="begin"/>
      </w:r>
      <w:r>
        <w:rPr>
          <w:rFonts w:hint="eastAsia" w:ascii="宋体" w:hAnsi="宋体"/>
          <w:color w:val="auto"/>
          <w:highlight w:val="none"/>
        </w:rPr>
        <w:instrText xml:space="preserve">REF _Ref14039879 \h \* MERGEFORMAT </w:instrText>
      </w:r>
      <w:r>
        <w:rPr>
          <w:rFonts w:hint="eastAsia" w:ascii="宋体" w:hAnsi="宋体"/>
          <w:color w:val="auto"/>
          <w:highlight w:val="none"/>
        </w:rPr>
        <w:fldChar w:fldCharType="separate"/>
      </w:r>
      <w:r>
        <w:rPr>
          <w:rFonts w:hint="eastAsia" w:ascii="宋体" w:hAnsi="宋体"/>
          <w:color w:val="auto"/>
          <w:highlight w:val="none"/>
        </w:rPr>
        <w:t>六、合同文件的组成</w:t>
      </w:r>
      <w:r>
        <w:rPr>
          <w:rFonts w:hint="eastAsia" w:ascii="宋体" w:hAnsi="宋体"/>
          <w:color w:val="auto"/>
          <w:highlight w:val="none"/>
        </w:rPr>
        <w:fldChar w:fldCharType="end"/>
      </w:r>
      <w:r>
        <w:rPr>
          <w:rFonts w:hint="eastAsia" w:ascii="宋体" w:hAnsi="宋体"/>
          <w:color w:val="auto"/>
          <w:highlight w:val="none"/>
        </w:rPr>
        <w:t>］所列的文件构成。</w:t>
      </w:r>
    </w:p>
    <w:p>
      <w:pPr>
        <w:spacing w:beforeAutospacing="0" w:afterAutospacing="0" w:line="360" w:lineRule="auto"/>
        <w:ind w:firstLine="420" w:firstLineChars="200"/>
        <w:jc w:val="left"/>
        <w:rPr>
          <w:rFonts w:hint="eastAsia" w:ascii="宋体" w:hAnsi="宋体"/>
          <w:color w:val="auto"/>
          <w:highlight w:val="none"/>
        </w:rPr>
      </w:pPr>
      <w:bookmarkStart w:id="55" w:name="_Toc83224660"/>
      <w:bookmarkEnd w:id="55"/>
      <w:r>
        <w:rPr>
          <w:rFonts w:hint="eastAsia" w:ascii="宋体" w:hAnsi="宋体"/>
          <w:color w:val="auto"/>
          <w:highlight w:val="none"/>
        </w:rPr>
        <w:t>1.1.2合同协议书：是指组成合同的，由委托人和咨询人共同签署的称为“合同协议书”的文件。</w:t>
      </w:r>
    </w:p>
    <w:p>
      <w:pPr>
        <w:spacing w:beforeAutospacing="0" w:afterAutospacing="0" w:line="360" w:lineRule="auto"/>
        <w:ind w:firstLine="420" w:firstLineChars="200"/>
        <w:jc w:val="left"/>
        <w:rPr>
          <w:rFonts w:hint="eastAsia" w:ascii="宋体" w:hAnsi="宋体"/>
          <w:color w:val="auto"/>
          <w:highlight w:val="none"/>
        </w:rPr>
      </w:pPr>
      <w:bookmarkStart w:id="56" w:name="_Toc83224661"/>
      <w:bookmarkEnd w:id="56"/>
      <w:r>
        <w:rPr>
          <w:rFonts w:hint="eastAsia" w:ascii="宋体" w:hAnsi="宋体"/>
          <w:color w:val="auto"/>
          <w:highlight w:val="none"/>
        </w:rPr>
        <w:t>1.1.3工程合同：是指委托人为实现本项目而与实施永久工程和临时工程的相关承包商、供应商、其他咨询方签订的工程、货物及服务合同。</w:t>
      </w:r>
    </w:p>
    <w:p>
      <w:pPr>
        <w:spacing w:beforeAutospacing="0" w:afterAutospacing="0" w:line="360" w:lineRule="auto"/>
        <w:ind w:firstLine="420" w:firstLineChars="200"/>
        <w:jc w:val="left"/>
        <w:rPr>
          <w:rFonts w:hint="eastAsia" w:ascii="宋体" w:hAnsi="宋体"/>
          <w:color w:val="auto"/>
          <w:highlight w:val="none"/>
        </w:rPr>
      </w:pPr>
      <w:bookmarkStart w:id="57" w:name="_Toc83224662"/>
      <w:bookmarkEnd w:id="57"/>
      <w:r>
        <w:rPr>
          <w:rFonts w:hint="eastAsia" w:ascii="宋体" w:hAnsi="宋体"/>
          <w:color w:val="auto"/>
          <w:highlight w:val="none"/>
        </w:rPr>
        <w:t>1.1.4合同当事人：是指委托人和（或）咨询人。</w:t>
      </w:r>
    </w:p>
    <w:p>
      <w:pPr>
        <w:spacing w:beforeAutospacing="0" w:afterAutospacing="0" w:line="360" w:lineRule="auto"/>
        <w:ind w:firstLine="420" w:firstLineChars="200"/>
        <w:jc w:val="left"/>
        <w:rPr>
          <w:rFonts w:hint="eastAsia" w:ascii="宋体" w:hAnsi="宋体"/>
          <w:color w:val="auto"/>
          <w:highlight w:val="none"/>
        </w:rPr>
      </w:pPr>
      <w:bookmarkStart w:id="58" w:name="_Toc83224663"/>
      <w:bookmarkEnd w:id="58"/>
      <w:r>
        <w:rPr>
          <w:rFonts w:hint="eastAsia" w:ascii="宋体" w:hAnsi="宋体"/>
          <w:color w:val="auto"/>
          <w:highlight w:val="none"/>
        </w:rPr>
        <w:t>1.1.5委托人：是指与咨询人签订合同协议书的，合同中接受咨询服务的一方，及取得该当事人资格的合法继承人和允许的受让人。</w:t>
      </w:r>
    </w:p>
    <w:p>
      <w:pPr>
        <w:spacing w:beforeAutospacing="0" w:afterAutospacing="0" w:line="360" w:lineRule="auto"/>
        <w:ind w:firstLine="420" w:firstLineChars="200"/>
        <w:jc w:val="left"/>
        <w:rPr>
          <w:rFonts w:hint="eastAsia" w:ascii="宋体" w:hAnsi="宋体"/>
          <w:color w:val="auto"/>
          <w:highlight w:val="none"/>
        </w:rPr>
      </w:pPr>
      <w:bookmarkStart w:id="59" w:name="_Toc83224664"/>
      <w:bookmarkEnd w:id="59"/>
      <w:r>
        <w:rPr>
          <w:rFonts w:hint="eastAsia" w:ascii="宋体" w:hAnsi="宋体"/>
          <w:color w:val="auto"/>
          <w:highlight w:val="none"/>
        </w:rPr>
        <w:t>1.1.6委托人代表：是指由委托人根据合同约定任命的，在委托人授权范围内代表委托人履行合同的代表。</w:t>
      </w:r>
    </w:p>
    <w:p>
      <w:pPr>
        <w:spacing w:beforeAutospacing="0" w:afterAutospacing="0" w:line="360" w:lineRule="auto"/>
        <w:ind w:firstLine="420" w:firstLineChars="200"/>
        <w:jc w:val="left"/>
        <w:rPr>
          <w:rFonts w:hint="eastAsia" w:ascii="宋体" w:hAnsi="宋体"/>
          <w:color w:val="auto"/>
          <w:highlight w:val="none"/>
        </w:rPr>
      </w:pPr>
      <w:bookmarkStart w:id="60" w:name="_Toc83224665"/>
      <w:bookmarkEnd w:id="60"/>
      <w:r>
        <w:rPr>
          <w:rFonts w:hint="eastAsia" w:ascii="宋体" w:hAnsi="宋体"/>
          <w:color w:val="auto"/>
          <w:highlight w:val="none"/>
        </w:rPr>
        <w:t>1.1.7咨询人：是指与委托人签订合同协议书的，合同中提供咨询服务的一方，及取得该当事人资格的合法继承人和允许的受让人。</w:t>
      </w:r>
    </w:p>
    <w:p>
      <w:pPr>
        <w:spacing w:beforeAutospacing="0" w:afterAutospacing="0" w:line="360" w:lineRule="auto"/>
        <w:ind w:firstLine="420" w:firstLineChars="200"/>
        <w:jc w:val="left"/>
        <w:rPr>
          <w:rFonts w:hint="eastAsia" w:ascii="宋体" w:hAnsi="宋体"/>
          <w:color w:val="auto"/>
          <w:highlight w:val="none"/>
        </w:rPr>
      </w:pPr>
      <w:bookmarkStart w:id="61" w:name="_Toc83224666"/>
      <w:bookmarkEnd w:id="61"/>
      <w:r>
        <w:rPr>
          <w:rFonts w:hint="eastAsia" w:ascii="宋体" w:hAnsi="宋体"/>
          <w:color w:val="auto"/>
          <w:highlight w:val="none"/>
        </w:rPr>
        <w:t>1.1.8咨询项目总负责人：是指由咨询人根据合同约定任命的，在咨询人授权范围内代表咨询人负责合同履行，主持全过程工程咨询服务工作的负责人。</w:t>
      </w:r>
    </w:p>
    <w:p>
      <w:pPr>
        <w:spacing w:beforeAutospacing="0" w:afterAutospacing="0" w:line="360" w:lineRule="auto"/>
        <w:ind w:firstLine="420" w:firstLineChars="200"/>
        <w:jc w:val="left"/>
        <w:rPr>
          <w:rFonts w:hint="eastAsia" w:ascii="宋体" w:hAnsi="宋体"/>
          <w:color w:val="auto"/>
          <w:highlight w:val="none"/>
        </w:rPr>
      </w:pPr>
      <w:bookmarkStart w:id="62" w:name="_Toc83224667"/>
      <w:bookmarkEnd w:id="62"/>
      <w:r>
        <w:rPr>
          <w:rFonts w:hint="eastAsia" w:ascii="宋体" w:hAnsi="宋体"/>
          <w:color w:val="auto"/>
          <w:highlight w:val="none"/>
        </w:rPr>
        <w:t>1.1.9单项咨询负责人：是指由咨询人根据合同约定任命的，在咨询人授权范围内代表咨询人负责合同履行，主持相应单项咨询服务工作的负责人。</w:t>
      </w:r>
    </w:p>
    <w:p>
      <w:pPr>
        <w:spacing w:beforeAutospacing="0" w:afterAutospacing="0" w:line="360" w:lineRule="auto"/>
        <w:ind w:firstLine="420" w:firstLineChars="200"/>
        <w:jc w:val="left"/>
        <w:rPr>
          <w:rFonts w:hint="eastAsia" w:ascii="宋体" w:hAnsi="宋体"/>
          <w:color w:val="auto"/>
          <w:highlight w:val="none"/>
        </w:rPr>
      </w:pPr>
      <w:bookmarkStart w:id="63" w:name="_Toc83224668"/>
      <w:bookmarkEnd w:id="63"/>
      <w:r>
        <w:rPr>
          <w:rFonts w:hint="eastAsia" w:ascii="宋体" w:hAnsi="宋体"/>
          <w:color w:val="auto"/>
          <w:highlight w:val="none"/>
        </w:rPr>
        <w:t>1.1.10项目：是指合同协议书中所指的，双方约定由咨询人提供咨询服务的工程项目。</w:t>
      </w:r>
    </w:p>
    <w:p>
      <w:pPr>
        <w:spacing w:beforeAutospacing="0" w:afterAutospacing="0" w:line="360" w:lineRule="auto"/>
        <w:ind w:firstLine="420" w:firstLineChars="200"/>
        <w:jc w:val="left"/>
        <w:rPr>
          <w:rFonts w:hint="eastAsia" w:ascii="宋体" w:hAnsi="宋体"/>
          <w:color w:val="auto"/>
          <w:highlight w:val="none"/>
        </w:rPr>
      </w:pPr>
      <w:bookmarkStart w:id="64" w:name="_Toc83224669"/>
      <w:bookmarkEnd w:id="64"/>
      <w:r>
        <w:rPr>
          <w:rFonts w:hint="eastAsia" w:ascii="宋体" w:hAnsi="宋体"/>
          <w:color w:val="auto"/>
          <w:highlight w:val="none"/>
        </w:rPr>
        <w:t>1.1.11全过程工程咨询服务：在组成本合同的全部文件中也可简称为咨询服务，是指咨询人接受委托人的委托，并在合同协议书和附件1［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中明确的，在项目投资决策阶段、工程建设阶段和运营维护阶段，综合运用多学科知识、工程实践经验、现代科学和管理方法，采用多种服务方式组合，为委托人提供阶段性或整体解决方案的综合性智力服务活动。</w:t>
      </w:r>
    </w:p>
    <w:p>
      <w:pPr>
        <w:spacing w:beforeAutospacing="0" w:afterAutospacing="0" w:line="360" w:lineRule="auto"/>
        <w:ind w:firstLine="420" w:firstLineChars="200"/>
        <w:jc w:val="left"/>
        <w:rPr>
          <w:rFonts w:hint="eastAsia" w:ascii="宋体" w:hAnsi="宋体"/>
          <w:color w:val="auto"/>
          <w:highlight w:val="none"/>
        </w:rPr>
      </w:pPr>
      <w:bookmarkStart w:id="65" w:name="_Toc83224670"/>
      <w:bookmarkEnd w:id="65"/>
      <w:r>
        <w:rPr>
          <w:rFonts w:hint="eastAsia" w:ascii="宋体" w:hAnsi="宋体"/>
          <w:color w:val="auto"/>
          <w:highlight w:val="none"/>
        </w:rPr>
        <w:t>1.1.12服务成果：是指附件1［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所列的，由咨询人为履行咨询服务按照合同约定向委托人提供的有形和无形的服务成果，包括但不限于阶段性和最终的研究、调查、模型、图纸、报告、说明、技术规定和其他类似的电子或实物文件，并应当采用合同中双方约定的载体和形式。</w:t>
      </w:r>
    </w:p>
    <w:p>
      <w:pPr>
        <w:spacing w:beforeAutospacing="0" w:afterAutospacing="0" w:line="360" w:lineRule="auto"/>
        <w:ind w:firstLine="420" w:firstLineChars="200"/>
        <w:jc w:val="left"/>
        <w:rPr>
          <w:rFonts w:hint="eastAsia" w:ascii="宋体" w:hAnsi="宋体"/>
          <w:color w:val="auto"/>
          <w:highlight w:val="none"/>
        </w:rPr>
      </w:pPr>
      <w:bookmarkStart w:id="66" w:name="_Toc83224671"/>
      <w:bookmarkEnd w:id="66"/>
      <w:r>
        <w:rPr>
          <w:rFonts w:hint="eastAsia" w:ascii="宋体" w:hAnsi="宋体"/>
          <w:color w:val="auto"/>
          <w:highlight w:val="none"/>
        </w:rPr>
        <w:t>1.1.13服务变更：是指根据第7条［</w:t>
      </w:r>
      <w:r>
        <w:rPr>
          <w:rFonts w:hint="eastAsia" w:ascii="宋体" w:hAnsi="宋体"/>
          <w:color w:val="auto"/>
          <w:highlight w:val="none"/>
        </w:rPr>
        <w:fldChar w:fldCharType="begin"/>
      </w:r>
      <w:r>
        <w:rPr>
          <w:rFonts w:hint="eastAsia" w:ascii="宋体" w:hAnsi="宋体"/>
          <w:color w:val="auto"/>
          <w:highlight w:val="none"/>
        </w:rPr>
        <w:instrText xml:space="preserve">REF _Ref14106185 \h \* MERGEFORMAT </w:instrText>
      </w:r>
      <w:r>
        <w:rPr>
          <w:rFonts w:hint="eastAsia" w:ascii="宋体" w:hAnsi="宋体"/>
          <w:color w:val="auto"/>
          <w:highlight w:val="none"/>
        </w:rPr>
        <w:fldChar w:fldCharType="separate"/>
      </w:r>
      <w:r>
        <w:rPr>
          <w:rFonts w:hint="eastAsia" w:ascii="宋体" w:hAnsi="宋体"/>
          <w:color w:val="auto"/>
          <w:highlight w:val="none"/>
        </w:rPr>
        <w:t>第7条</w:t>
      </w:r>
      <w:r>
        <w:rPr>
          <w:rFonts w:hint="eastAsia" w:ascii="宋体" w:hAnsi="宋体"/>
          <w:b/>
          <w:color w:val="auto"/>
          <w:highlight w:val="none"/>
        </w:rPr>
        <w:t xml:space="preserve"> 变更和服务费用调整</w:t>
      </w:r>
      <w:r>
        <w:rPr>
          <w:rFonts w:hint="eastAsia" w:ascii="宋体" w:hAnsi="宋体"/>
          <w:color w:val="auto"/>
          <w:highlight w:val="none"/>
        </w:rPr>
        <w:fldChar w:fldCharType="end"/>
      </w:r>
      <w:r>
        <w:rPr>
          <w:rFonts w:hint="eastAsia" w:ascii="宋体" w:hAnsi="宋体"/>
          <w:color w:val="auto"/>
          <w:highlight w:val="none"/>
        </w:rPr>
        <w:t>］构成服务变更的，对于咨询服务的任何更改。</w:t>
      </w:r>
    </w:p>
    <w:p>
      <w:pPr>
        <w:spacing w:beforeAutospacing="0" w:afterAutospacing="0" w:line="360" w:lineRule="auto"/>
        <w:ind w:firstLine="420" w:firstLineChars="200"/>
        <w:jc w:val="left"/>
        <w:rPr>
          <w:rFonts w:hint="eastAsia" w:ascii="宋体" w:hAnsi="宋体"/>
          <w:color w:val="auto"/>
          <w:highlight w:val="none"/>
        </w:rPr>
      </w:pPr>
      <w:bookmarkStart w:id="67" w:name="_Toc83224672"/>
      <w:bookmarkEnd w:id="67"/>
      <w:r>
        <w:rPr>
          <w:rFonts w:hint="eastAsia" w:ascii="宋体" w:hAnsi="宋体"/>
          <w:color w:val="auto"/>
          <w:highlight w:val="none"/>
        </w:rPr>
        <w:t>1.1.14服务费用签约价：是指委托人和咨询人在合同协议书中确定的总金额。</w:t>
      </w:r>
    </w:p>
    <w:p>
      <w:pPr>
        <w:spacing w:beforeAutospacing="0" w:afterAutospacing="0" w:line="360" w:lineRule="auto"/>
        <w:ind w:firstLine="420" w:firstLineChars="200"/>
        <w:jc w:val="left"/>
        <w:rPr>
          <w:rFonts w:hint="eastAsia" w:ascii="宋体" w:hAnsi="宋体"/>
          <w:color w:val="auto"/>
          <w:highlight w:val="none"/>
        </w:rPr>
      </w:pPr>
      <w:bookmarkStart w:id="68" w:name="_Toc83224673"/>
      <w:bookmarkEnd w:id="68"/>
      <w:r>
        <w:rPr>
          <w:rFonts w:hint="eastAsia" w:ascii="宋体" w:hAnsi="宋体"/>
          <w:color w:val="auto"/>
          <w:highlight w:val="none"/>
        </w:rPr>
        <w:t>1.1.15服务费用：是指委托人用于支付咨询人按照合同约定完成全过程工程咨询服务范围内全部工作的金额，包括合同履行过程中按合同约定进行的变更和调整。</w:t>
      </w:r>
    </w:p>
    <w:p>
      <w:pPr>
        <w:spacing w:beforeAutospacing="0" w:afterAutospacing="0" w:line="360" w:lineRule="auto"/>
        <w:ind w:firstLine="420" w:firstLineChars="200"/>
        <w:jc w:val="left"/>
        <w:rPr>
          <w:rFonts w:hint="eastAsia" w:ascii="宋体" w:hAnsi="宋体"/>
          <w:color w:val="auto"/>
          <w:highlight w:val="none"/>
        </w:rPr>
      </w:pPr>
      <w:bookmarkStart w:id="69" w:name="_Toc83224674"/>
      <w:bookmarkEnd w:id="69"/>
      <w:r>
        <w:rPr>
          <w:rFonts w:hint="eastAsia" w:ascii="宋体" w:hAnsi="宋体"/>
          <w:color w:val="auto"/>
          <w:highlight w:val="none"/>
        </w:rPr>
        <w:t>1.1.16服务开支：是指咨询人为履行合同所发生的，向第三方支付的合理开支，包括但不限于咨询人为履行合同发生的差旅费、通讯费、复印费、材料和设备检测费等。</w:t>
      </w:r>
    </w:p>
    <w:p>
      <w:pPr>
        <w:spacing w:beforeAutospacing="0" w:afterAutospacing="0" w:line="360" w:lineRule="auto"/>
        <w:ind w:firstLine="420" w:firstLineChars="200"/>
        <w:jc w:val="left"/>
        <w:rPr>
          <w:rFonts w:hint="eastAsia" w:ascii="宋体" w:hAnsi="宋体"/>
          <w:color w:val="auto"/>
          <w:highlight w:val="none"/>
        </w:rPr>
      </w:pPr>
      <w:bookmarkStart w:id="70" w:name="_Toc83224675"/>
      <w:bookmarkEnd w:id="70"/>
      <w:r>
        <w:rPr>
          <w:rFonts w:hint="eastAsia" w:ascii="宋体" w:hAnsi="宋体"/>
          <w:color w:val="auto"/>
          <w:highlight w:val="none"/>
        </w:rPr>
        <w:t>1.1.17天：除特别指明外，均指日历天。合同中按天计算时间的，开始当天不计入，从次日开始计算，期限最后一天的截止时间为当天24：00时。</w:t>
      </w:r>
    </w:p>
    <w:p>
      <w:pPr>
        <w:spacing w:beforeAutospacing="0" w:afterAutospacing="0" w:line="360" w:lineRule="auto"/>
        <w:ind w:firstLine="420" w:firstLineChars="200"/>
        <w:jc w:val="left"/>
        <w:rPr>
          <w:rFonts w:hint="eastAsia" w:ascii="宋体" w:hAnsi="宋体"/>
          <w:color w:val="auto"/>
          <w:highlight w:val="none"/>
        </w:rPr>
      </w:pPr>
      <w:bookmarkStart w:id="71" w:name="_Toc83224676"/>
      <w:bookmarkEnd w:id="71"/>
      <w:r>
        <w:rPr>
          <w:rFonts w:hint="eastAsia" w:ascii="宋体" w:hAnsi="宋体"/>
          <w:color w:val="auto"/>
          <w:highlight w:val="none"/>
        </w:rPr>
        <w:t>1.1.18基准日期：通过招标形式确定咨询人的以投标截止日前28天的日期为基准日期，通过其他形式确定咨询人的以合同签订前28天的日期为基准日期。</w:t>
      </w:r>
    </w:p>
    <w:p>
      <w:pPr>
        <w:spacing w:beforeAutospacing="0" w:afterAutospacing="0" w:line="360" w:lineRule="auto"/>
        <w:ind w:firstLine="420" w:firstLineChars="200"/>
        <w:jc w:val="left"/>
        <w:rPr>
          <w:rFonts w:hint="eastAsia" w:ascii="宋体" w:hAnsi="宋体"/>
          <w:color w:val="auto"/>
          <w:highlight w:val="none"/>
        </w:rPr>
      </w:pPr>
      <w:bookmarkStart w:id="72" w:name="_Toc83224677"/>
      <w:bookmarkEnd w:id="72"/>
      <w:r>
        <w:rPr>
          <w:rFonts w:hint="eastAsia" w:ascii="宋体" w:hAnsi="宋体"/>
          <w:color w:val="auto"/>
          <w:highlight w:val="none"/>
        </w:rPr>
        <w:t>1.1.19服务开始日期：是指合同协议书中约定的，咨询人应开始本合同下咨询服务工作的绝对日期或相对日期。</w:t>
      </w:r>
    </w:p>
    <w:p>
      <w:pPr>
        <w:spacing w:beforeAutospacing="0" w:afterAutospacing="0" w:line="360" w:lineRule="auto"/>
        <w:ind w:firstLine="420" w:firstLineChars="200"/>
        <w:jc w:val="left"/>
        <w:rPr>
          <w:rFonts w:hint="eastAsia" w:ascii="宋体" w:hAnsi="宋体"/>
          <w:color w:val="auto"/>
          <w:highlight w:val="none"/>
        </w:rPr>
      </w:pPr>
      <w:bookmarkStart w:id="73" w:name="_Toc83224678"/>
      <w:bookmarkEnd w:id="73"/>
      <w:r>
        <w:rPr>
          <w:rFonts w:hint="eastAsia" w:ascii="宋体" w:hAnsi="宋体"/>
          <w:color w:val="auto"/>
          <w:highlight w:val="none"/>
        </w:rPr>
        <w:t>1.1.20服务完成日期：是指合同协议书中约定的，咨询人完成咨询服务的绝对日期或相对日期，包括合同约定的任何延长日期。</w:t>
      </w:r>
    </w:p>
    <w:p>
      <w:pPr>
        <w:spacing w:beforeAutospacing="0" w:afterAutospacing="0" w:line="360" w:lineRule="auto"/>
        <w:ind w:firstLine="420" w:firstLineChars="200"/>
        <w:jc w:val="left"/>
        <w:rPr>
          <w:rFonts w:hint="eastAsia" w:ascii="宋体" w:hAnsi="宋体"/>
          <w:color w:val="auto"/>
          <w:highlight w:val="none"/>
        </w:rPr>
      </w:pPr>
      <w:bookmarkStart w:id="74" w:name="_Toc83224679"/>
      <w:bookmarkEnd w:id="74"/>
      <w:r>
        <w:rPr>
          <w:rFonts w:hint="eastAsia" w:ascii="宋体" w:hAnsi="宋体"/>
          <w:color w:val="auto"/>
          <w:highlight w:val="none"/>
        </w:rPr>
        <w:t>1.1.21服务期限：是指从服务开始日期起计算的，合同协议书中规定的或根据合同约定修改后的完成咨询服务所需的时间。</w:t>
      </w:r>
    </w:p>
    <w:p>
      <w:pPr>
        <w:spacing w:beforeAutospacing="0" w:afterAutospacing="0" w:line="360" w:lineRule="auto"/>
        <w:ind w:firstLine="420" w:firstLineChars="200"/>
        <w:jc w:val="left"/>
        <w:rPr>
          <w:rFonts w:hint="eastAsia" w:ascii="宋体" w:hAnsi="宋体"/>
          <w:color w:val="auto"/>
          <w:highlight w:val="none"/>
        </w:rPr>
      </w:pPr>
      <w:bookmarkStart w:id="75" w:name="_Toc83224680"/>
      <w:bookmarkEnd w:id="75"/>
      <w:r>
        <w:rPr>
          <w:rFonts w:hint="eastAsia" w:ascii="宋体" w:hAnsi="宋体"/>
          <w:color w:val="auto"/>
          <w:highlight w:val="none"/>
        </w:rPr>
        <w:t>1.1.22服务进度计划：是指咨询人根据第5.2款［</w:t>
      </w:r>
      <w:r>
        <w:rPr>
          <w:rFonts w:hint="eastAsia" w:ascii="宋体" w:hAnsi="宋体"/>
          <w:color w:val="auto"/>
          <w:highlight w:val="none"/>
        </w:rPr>
        <w:fldChar w:fldCharType="begin"/>
      </w:r>
      <w:r>
        <w:rPr>
          <w:rFonts w:hint="eastAsia" w:ascii="宋体" w:hAnsi="宋体"/>
          <w:color w:val="auto"/>
          <w:highlight w:val="none"/>
        </w:rPr>
        <w:instrText xml:space="preserve"> REF _Ref509052006 \h  \* MERGEFORMAT </w:instrText>
      </w:r>
      <w:r>
        <w:rPr>
          <w:rFonts w:hint="eastAsia" w:ascii="宋体" w:hAnsi="宋体"/>
          <w:color w:val="auto"/>
          <w:highlight w:val="none"/>
        </w:rPr>
        <w:fldChar w:fldCharType="separate"/>
      </w:r>
      <w:r>
        <w:rPr>
          <w:rFonts w:hint="eastAsia" w:ascii="宋体" w:hAnsi="宋体"/>
          <w:color w:val="auto"/>
          <w:highlight w:val="none"/>
        </w:rPr>
        <w:t>5.2服务进度计划</w:t>
      </w:r>
      <w:r>
        <w:rPr>
          <w:rFonts w:hint="eastAsia" w:ascii="宋体" w:hAnsi="宋体"/>
          <w:color w:val="auto"/>
          <w:highlight w:val="none"/>
        </w:rPr>
        <w:fldChar w:fldCharType="end"/>
      </w:r>
      <w:r>
        <w:rPr>
          <w:rFonts w:hint="eastAsia" w:ascii="宋体" w:hAnsi="宋体"/>
          <w:color w:val="auto"/>
          <w:highlight w:val="none"/>
        </w:rPr>
        <w:t>］提交的进度计划，包括根据合同约定对其不时进行的修订。</w:t>
      </w:r>
    </w:p>
    <w:p>
      <w:pPr>
        <w:spacing w:beforeAutospacing="0" w:afterAutospacing="0" w:line="360" w:lineRule="auto"/>
        <w:ind w:firstLine="420" w:firstLineChars="200"/>
        <w:jc w:val="left"/>
        <w:rPr>
          <w:rFonts w:hint="eastAsia" w:ascii="宋体" w:hAnsi="宋体"/>
          <w:color w:val="auto"/>
          <w:highlight w:val="none"/>
        </w:rPr>
      </w:pPr>
      <w:bookmarkStart w:id="76" w:name="_Toc83224681"/>
      <w:bookmarkEnd w:id="76"/>
      <w:r>
        <w:rPr>
          <w:rFonts w:hint="eastAsia" w:ascii="宋体" w:hAnsi="宋体"/>
          <w:color w:val="auto"/>
          <w:highlight w:val="none"/>
        </w:rPr>
        <w:t>1.1.23知识产权：是指包括但不限于专利、专利申请、商标、商业秘密、注册设计、注册设计申请、著作权、设计权利、精神权利、工艺流程、技术指标、配方、图纸、计算机软件和数据库权利在内的所有知识产权权利。</w:t>
      </w:r>
    </w:p>
    <w:p>
      <w:pPr>
        <w:spacing w:beforeAutospacing="0" w:afterAutospacing="0" w:line="360" w:lineRule="auto"/>
        <w:ind w:firstLine="420" w:firstLineChars="200"/>
        <w:jc w:val="left"/>
        <w:rPr>
          <w:rFonts w:hint="eastAsia" w:ascii="宋体" w:hAnsi="宋体"/>
          <w:color w:val="auto"/>
          <w:highlight w:val="none"/>
        </w:rPr>
      </w:pPr>
      <w:bookmarkStart w:id="77" w:name="_Toc83224682"/>
      <w:bookmarkEnd w:id="77"/>
      <w:r>
        <w:rPr>
          <w:rFonts w:hint="eastAsia" w:ascii="宋体" w:hAnsi="宋体"/>
          <w:color w:val="auto"/>
          <w:highlight w:val="none"/>
        </w:rPr>
        <w:t>1.1.24保密信息：是指所有在披露时被披露方特别标识为保密的信息，或常人根据该信息的性质和场景合理认为应予以保密的信息，包括但不限于保密或专有信息、商业秘密、数据、文件、通讯往来、计划、专有技术、配方、设计、计算、试验结果、样品、图纸、课题、技术指标、调研、照相、软件、工艺流程、程序、报告、地图、模型、协议、想法、方法、发现、发明、专利、概念、研究、开发以及商业和财务信息。</w:t>
      </w:r>
    </w:p>
    <w:p>
      <w:pPr>
        <w:spacing w:beforeAutospacing="0" w:afterAutospacing="0" w:line="360" w:lineRule="auto"/>
        <w:ind w:firstLine="420" w:firstLineChars="200"/>
        <w:jc w:val="left"/>
        <w:rPr>
          <w:rFonts w:hint="eastAsia" w:ascii="宋体" w:hAnsi="宋体"/>
          <w:color w:val="auto"/>
          <w:highlight w:val="none"/>
        </w:rPr>
      </w:pPr>
      <w:bookmarkStart w:id="78" w:name="_Toc83224683"/>
      <w:bookmarkEnd w:id="78"/>
      <w:r>
        <w:rPr>
          <w:rFonts w:hint="eastAsia" w:ascii="宋体" w:hAnsi="宋体"/>
          <w:color w:val="auto"/>
          <w:highlight w:val="none"/>
        </w:rPr>
        <w:t>1.1.25书面形式：是指合同文件、信函、电报、传真、电子数据交换和电子邮件等可以有形地表现所载内容的形式。</w:t>
      </w:r>
    </w:p>
    <w:p>
      <w:pPr>
        <w:spacing w:beforeAutospacing="0" w:afterAutospacing="0" w:line="360" w:lineRule="auto"/>
        <w:ind w:firstLine="420" w:firstLineChars="200"/>
        <w:jc w:val="left"/>
        <w:rPr>
          <w:rFonts w:hint="eastAsia" w:ascii="宋体" w:hAnsi="宋体"/>
          <w:color w:val="auto"/>
          <w:highlight w:val="none"/>
        </w:rPr>
      </w:pPr>
      <w:bookmarkStart w:id="79" w:name="_Toc83224684"/>
      <w:bookmarkEnd w:id="79"/>
      <w:r>
        <w:rPr>
          <w:rFonts w:hint="eastAsia" w:ascii="宋体" w:hAnsi="宋体"/>
          <w:color w:val="auto"/>
          <w:highlight w:val="none"/>
        </w:rPr>
        <w:t>1.1.26合同中的条款标题仅为阅读方便，不作为对合同条款解释的依据。</w:t>
      </w:r>
    </w:p>
    <w:p>
      <w:pPr>
        <w:spacing w:beforeAutospacing="0" w:afterAutospacing="0" w:line="360" w:lineRule="auto"/>
        <w:ind w:firstLine="420" w:firstLineChars="200"/>
        <w:jc w:val="left"/>
        <w:rPr>
          <w:rFonts w:hint="eastAsia" w:ascii="宋体" w:hAnsi="宋体"/>
          <w:color w:val="auto"/>
          <w:highlight w:val="none"/>
        </w:rPr>
      </w:pPr>
      <w:bookmarkStart w:id="80" w:name="_Toc83224685"/>
      <w:bookmarkEnd w:id="80"/>
      <w:r>
        <w:rPr>
          <w:rFonts w:hint="eastAsia" w:ascii="宋体" w:hAnsi="宋体"/>
          <w:color w:val="auto"/>
          <w:highlight w:val="none"/>
        </w:rPr>
        <w:t>1.1.27根据项目的特点，需补充约定的其它定义，在专用合同条件中约定。</w:t>
      </w:r>
    </w:p>
    <w:p>
      <w:pPr>
        <w:spacing w:beforeAutospacing="0" w:afterAutospacing="0" w:line="360" w:lineRule="auto"/>
        <w:ind w:firstLine="422" w:firstLineChars="200"/>
        <w:rPr>
          <w:rFonts w:hint="eastAsia" w:ascii="宋体" w:hAnsi="宋体"/>
          <w:b/>
          <w:color w:val="auto"/>
          <w:highlight w:val="none"/>
        </w:rPr>
      </w:pPr>
      <w:bookmarkStart w:id="81" w:name="_Toc83224686"/>
      <w:bookmarkEnd w:id="81"/>
      <w:r>
        <w:rPr>
          <w:rFonts w:hint="eastAsia" w:ascii="宋体" w:hAnsi="宋体"/>
          <w:b/>
          <w:color w:val="auto"/>
          <w:highlight w:val="none"/>
        </w:rPr>
        <w:t>1.2合同文件的优先顺序</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组成合同的各项文件应互相解释，互为说明。除专用合同条件另有约定外，解释合同文件的优先顺序如下：</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（1）本协议书；</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（2）专用合同条件及其附件；</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（3）通用合同条件；</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（4）中标通知书（如有）；</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（5）投标函及其附录（如有）；</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（6）技术标准和要求；</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（7）其他合同文件。</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上述各项合同文件包括双方就该项合同文件所做出的补充和修改，属于同一类内容的文件，应以最新签署的为准。</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在合同订立及履行过程中形成的与合同有关的文件均构成合同文件组成部分，并根据其性质或双方协商确定优先解释顺序。</w:t>
      </w:r>
    </w:p>
    <w:p>
      <w:pPr>
        <w:spacing w:beforeAutospacing="0" w:afterAutospacing="0" w:line="360" w:lineRule="auto"/>
        <w:ind w:firstLine="422" w:firstLineChars="200"/>
        <w:rPr>
          <w:rFonts w:hint="eastAsia" w:ascii="宋体" w:hAnsi="宋体"/>
          <w:b/>
          <w:color w:val="auto"/>
          <w:highlight w:val="none"/>
        </w:rPr>
      </w:pPr>
      <w:bookmarkStart w:id="82" w:name="_Toc83224687"/>
      <w:bookmarkEnd w:id="82"/>
      <w:r>
        <w:rPr>
          <w:rFonts w:hint="eastAsia" w:ascii="宋体" w:hAnsi="宋体"/>
          <w:b/>
          <w:color w:val="auto"/>
          <w:highlight w:val="none"/>
        </w:rPr>
        <w:t>1.3语言文字</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合同以中国的汉语简体语言文字编写、解释和说明。合同当事人在专用合同条件中约定使用两种以上语言时，汉语为优先解释和说明合同的语言。</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除专用合同条件另有约定外，双方间的所有通信交流应使用编写合同所使用的语言。</w:t>
      </w:r>
    </w:p>
    <w:p>
      <w:pPr>
        <w:spacing w:beforeAutospacing="0" w:afterAutospacing="0" w:line="360" w:lineRule="auto"/>
        <w:ind w:firstLine="422" w:firstLineChars="200"/>
        <w:rPr>
          <w:rFonts w:hint="eastAsia" w:ascii="宋体" w:hAnsi="宋体"/>
          <w:b/>
          <w:color w:val="auto"/>
          <w:highlight w:val="none"/>
        </w:rPr>
      </w:pPr>
      <w:bookmarkStart w:id="83" w:name="_Ref521315555"/>
      <w:bookmarkEnd w:id="83"/>
      <w:bookmarkStart w:id="84" w:name="_Toc83224688"/>
      <w:bookmarkEnd w:id="84"/>
      <w:bookmarkStart w:id="85" w:name="_Ref521315553"/>
      <w:bookmarkEnd w:id="85"/>
      <w:bookmarkStart w:id="86" w:name="_Toc171378032"/>
      <w:bookmarkEnd w:id="86"/>
      <w:bookmarkStart w:id="87" w:name="_Toc18155970"/>
      <w:bookmarkEnd w:id="87"/>
      <w:bookmarkStart w:id="88" w:name="_Toc1551160409"/>
      <w:bookmarkEnd w:id="88"/>
      <w:r>
        <w:rPr>
          <w:rFonts w:hint="eastAsia" w:ascii="宋体" w:hAnsi="宋体"/>
          <w:b/>
          <w:color w:val="auto"/>
          <w:highlight w:val="none"/>
        </w:rPr>
        <w:t>1.4法律和标准</w:t>
      </w:r>
    </w:p>
    <w:p>
      <w:pPr>
        <w:spacing w:beforeAutospacing="0" w:afterAutospacing="0" w:line="360" w:lineRule="auto"/>
        <w:ind w:firstLine="420" w:firstLineChars="200"/>
        <w:jc w:val="left"/>
        <w:rPr>
          <w:rFonts w:hint="eastAsia" w:ascii="宋体" w:hAnsi="宋体"/>
          <w:color w:val="auto"/>
          <w:highlight w:val="none"/>
        </w:rPr>
      </w:pPr>
      <w:bookmarkStart w:id="89" w:name="_Toc83224689"/>
      <w:bookmarkEnd w:id="89"/>
      <w:r>
        <w:rPr>
          <w:rFonts w:hint="eastAsia" w:ascii="宋体" w:hAnsi="宋体"/>
          <w:color w:val="auto"/>
          <w:highlight w:val="none"/>
        </w:rPr>
        <w:t>1.4.1适用法律</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合同适用中华人民共和国法律、行政法规、部门规章以及项目所在地的地方性法规、自治条例、单行条例和地方政府规章等。合同当事人可以在专用合同条件中约定合同适用的其他规范性文件以及需要明示的法律、法规和规章等。</w:t>
      </w:r>
    </w:p>
    <w:p>
      <w:pPr>
        <w:spacing w:beforeAutospacing="0" w:afterAutospacing="0" w:line="360" w:lineRule="auto"/>
        <w:ind w:firstLine="420" w:firstLineChars="200"/>
        <w:jc w:val="left"/>
        <w:rPr>
          <w:rFonts w:hint="eastAsia" w:ascii="宋体" w:hAnsi="宋体"/>
          <w:color w:val="auto"/>
          <w:highlight w:val="none"/>
        </w:rPr>
      </w:pPr>
      <w:bookmarkStart w:id="90" w:name="_Toc83224690"/>
      <w:bookmarkEnd w:id="90"/>
      <w:r>
        <w:rPr>
          <w:rFonts w:hint="eastAsia" w:ascii="宋体" w:hAnsi="宋体"/>
          <w:color w:val="auto"/>
          <w:highlight w:val="none"/>
        </w:rPr>
        <w:t>1.4.2标准规范</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适用于项目的现行有效的国家标准、行业标准、项目所在地的地方性标准，以及相应的规范、规程等，合同当事人有特别要求的，应在专用合同条件中约定。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委托人要求使用国外技术标准的，委托人与咨询人在专用合同条件中约定原文版本和中文译本提供方及提供标准的名称、份数、时间及费用承担等事项。</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对项目的技术标准、功能要求高于或严于现行国家、行业或地方标准的，应当在专用合同条件中予以明确。除专用合同条件另有约定外，应视为咨询人在签订合同前已充分预见前述技术标准和功能要求的复杂程度，并已包含在服务费用中。</w:t>
      </w:r>
    </w:p>
    <w:p>
      <w:pPr>
        <w:spacing w:beforeAutospacing="0" w:afterAutospacing="0" w:line="360" w:lineRule="auto"/>
        <w:ind w:firstLine="420" w:firstLineChars="200"/>
        <w:jc w:val="left"/>
        <w:rPr>
          <w:rFonts w:hint="eastAsia" w:ascii="宋体" w:hAnsi="宋体"/>
          <w:color w:val="auto"/>
          <w:highlight w:val="none"/>
        </w:rPr>
      </w:pPr>
      <w:bookmarkStart w:id="91" w:name="_Ref16237247"/>
      <w:bookmarkEnd w:id="91"/>
      <w:r>
        <w:rPr>
          <w:rFonts w:hint="eastAsia" w:ascii="宋体" w:hAnsi="宋体"/>
          <w:color w:val="auto"/>
          <w:highlight w:val="none"/>
        </w:rPr>
        <w:t>1.4.3法律和标准的变化</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专用合同条件另有约定外，咨询人完成咨询服务所应遵守的法律以及技术标准，均应视为在基准日期适用的版本。基准日期之后，前述版本发生重大变化，或者有新的法律以及技术标准实施的，咨询人应就推荐性标准向委托人提出遵守新标准的建议，对强制性的规定或标准应当遵照执行。因委托人采纳咨询人的建议或遵守基准日期后新的强制性的规定或标准，导致服务费用增加和（或）服务期限延长的，由委托人承担。</w:t>
      </w:r>
    </w:p>
    <w:p>
      <w:pPr>
        <w:spacing w:beforeAutospacing="0" w:afterAutospacing="0" w:line="360" w:lineRule="auto"/>
        <w:ind w:firstLine="422" w:firstLineChars="200"/>
        <w:rPr>
          <w:rFonts w:hint="eastAsia" w:ascii="宋体" w:hAnsi="宋体"/>
          <w:b/>
          <w:color w:val="auto"/>
          <w:highlight w:val="none"/>
        </w:rPr>
      </w:pPr>
      <w:bookmarkStart w:id="92" w:name="_Toc738155161"/>
      <w:bookmarkEnd w:id="92"/>
      <w:bookmarkStart w:id="93" w:name="_Toc83224691"/>
      <w:bookmarkEnd w:id="93"/>
      <w:bookmarkStart w:id="94" w:name="_Ref523403409"/>
      <w:bookmarkEnd w:id="94"/>
      <w:bookmarkStart w:id="95" w:name="_Toc18155971"/>
      <w:bookmarkEnd w:id="95"/>
      <w:bookmarkStart w:id="96" w:name="_Toc1701147599"/>
      <w:bookmarkEnd w:id="96"/>
      <w:bookmarkStart w:id="97" w:name="_Ref523403776"/>
      <w:bookmarkEnd w:id="97"/>
      <w:r>
        <w:rPr>
          <w:rFonts w:hint="eastAsia" w:ascii="宋体" w:hAnsi="宋体"/>
          <w:b/>
          <w:color w:val="auto"/>
          <w:highlight w:val="none"/>
        </w:rPr>
        <w:t>1.5通信交流</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与合同有关的协议、通知、批准、证明、证书、指示、指令、要求、请求、同意、确定和决定等，均应采用书面形式，并应在合同约定的期限内送达接收人和送达地点。</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和咨询人应在专用合同条件中约定各自的送达接收人、送达地点、电子传输方式等。任何一方合同当事人指定的接收人或送达地点或电子传输方式发生变动的，应提前3天以书面形式通知对方，否则视为未发生变动。</w:t>
      </w:r>
    </w:p>
    <w:p>
      <w:pPr>
        <w:spacing w:beforeAutospacing="0" w:afterAutospacing="0" w:line="360" w:lineRule="auto"/>
        <w:ind w:firstLine="420" w:firstLineChars="200"/>
        <w:rPr>
          <w:rFonts w:hint="eastAsia" w:ascii="宋体" w:hAnsi="宋体"/>
          <w:color w:val="auto"/>
          <w:highlight w:val="none"/>
        </w:rPr>
      </w:pPr>
      <w:r>
        <w:rPr>
          <w:rFonts w:hint="eastAsia" w:ascii="宋体" w:hAnsi="宋体"/>
          <w:color w:val="auto"/>
          <w:highlight w:val="none"/>
        </w:rPr>
        <w:t>委托人和咨询人应当及时签收另一方送达至指定地点和指定接收人的往来函件，如确有充分证据证明一方无正当理由拒不签收、无理扣押或拖延的，视为认可往来函件的内容。</w:t>
      </w:r>
    </w:p>
    <w:p>
      <w:pPr>
        <w:spacing w:beforeAutospacing="0" w:afterAutospacing="0" w:line="360" w:lineRule="auto"/>
        <w:ind w:firstLine="422" w:firstLineChars="200"/>
        <w:rPr>
          <w:rFonts w:hint="eastAsia" w:ascii="宋体" w:hAnsi="宋体"/>
          <w:b/>
          <w:color w:val="auto"/>
          <w:highlight w:val="none"/>
        </w:rPr>
      </w:pPr>
      <w:bookmarkStart w:id="98" w:name="_Ref521315887"/>
      <w:bookmarkEnd w:id="98"/>
      <w:bookmarkStart w:id="99" w:name="_Ref522033476"/>
      <w:bookmarkEnd w:id="99"/>
      <w:bookmarkStart w:id="100" w:name="_Toc83224692"/>
      <w:bookmarkEnd w:id="100"/>
      <w:bookmarkStart w:id="101" w:name="_Ref521315884"/>
      <w:bookmarkEnd w:id="101"/>
      <w:bookmarkStart w:id="102" w:name="_Toc450250281"/>
      <w:bookmarkEnd w:id="102"/>
      <w:bookmarkStart w:id="103" w:name="_Ref522033482"/>
      <w:bookmarkEnd w:id="103"/>
      <w:bookmarkStart w:id="104" w:name="_Toc1658941579"/>
      <w:bookmarkEnd w:id="104"/>
      <w:bookmarkStart w:id="105" w:name="_Toc18155972"/>
      <w:bookmarkEnd w:id="105"/>
      <w:r>
        <w:rPr>
          <w:rFonts w:hint="eastAsia" w:ascii="宋体" w:hAnsi="宋体"/>
          <w:b/>
          <w:color w:val="auto"/>
          <w:highlight w:val="none"/>
        </w:rPr>
        <w:t>1.6保密</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1.6.1任何一方对在订立和履行合同过程中知悉的另一方的保密信息负有保密责任，未经该方事先书面同意，均不得自行或允许其雇员、分包商、顾问或代理人对外泄露或用于合同以外的目的。一方泄露或者在合同以外使用该保密信息给另一方造成损失的，应承担损害赔偿责任。双方认为必要时，可签订保密协议，作为合同附件。</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1.6.2但上述使用和披露限制不应适用于下列信息：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（1）在披露时为公共知识，或之后非因接收方的行为而成为公共知识的信息；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（2）在披露方披露时接收方已掌握，且并非从披露方直接或间接获取的信息；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（3）服务开始日期之后的任何时间从第三方处获取的信息，但该信息并非该第三方直接或间接从披露方处所获取；</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（4）接收方在未利用保密信息的情况下独立开发的信息；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（5）法律法规、司法部门或政府机构发出指令要求披露的信息。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1.6.3除专用合同条件另有约定外，合同下的保密义务应在服务完成日期或合同终止之日中较早者之后的两年届满。</w:t>
      </w:r>
    </w:p>
    <w:p>
      <w:pPr>
        <w:spacing w:beforeAutospacing="0" w:afterAutospacing="0" w:line="360" w:lineRule="auto"/>
        <w:ind w:firstLine="422" w:firstLineChars="200"/>
        <w:rPr>
          <w:rFonts w:hint="eastAsia" w:ascii="宋体" w:hAnsi="宋体"/>
          <w:b/>
          <w:color w:val="auto"/>
          <w:highlight w:val="none"/>
        </w:rPr>
      </w:pPr>
      <w:bookmarkStart w:id="106" w:name="_Toc1164495125"/>
      <w:bookmarkEnd w:id="106"/>
      <w:bookmarkStart w:id="107" w:name="_Ref521315873"/>
      <w:bookmarkEnd w:id="107"/>
      <w:bookmarkStart w:id="108" w:name="_Toc18155973"/>
      <w:bookmarkEnd w:id="108"/>
      <w:bookmarkStart w:id="109" w:name="_Ref521315879"/>
      <w:bookmarkEnd w:id="109"/>
      <w:bookmarkStart w:id="110" w:name="_Toc1187460177"/>
      <w:bookmarkEnd w:id="110"/>
      <w:bookmarkStart w:id="111" w:name="_Toc83224693"/>
      <w:bookmarkEnd w:id="111"/>
      <w:r>
        <w:rPr>
          <w:rFonts w:hint="eastAsia" w:ascii="宋体" w:hAnsi="宋体"/>
          <w:b/>
          <w:color w:val="auto"/>
          <w:highlight w:val="none"/>
        </w:rPr>
        <w:t>1.7发布</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咨询人可以将与咨询服务和项目有关的材料和信息用于商业投标。除第1.6款［</w:t>
      </w:r>
      <w:r>
        <w:rPr>
          <w:rFonts w:hint="eastAsia" w:ascii="宋体" w:hAnsi="宋体"/>
          <w:color w:val="auto"/>
          <w:highlight w:val="none"/>
        </w:rPr>
        <w:fldChar w:fldCharType="begin"/>
      </w:r>
      <w:r>
        <w:rPr>
          <w:rFonts w:hint="eastAsia" w:ascii="宋体" w:hAnsi="宋体"/>
          <w:color w:val="auto"/>
          <w:highlight w:val="none"/>
        </w:rPr>
        <w:instrText xml:space="preserve"> REF _Ref522033482 \h  \* MERGEFORMAT </w:instrText>
      </w:r>
      <w:r>
        <w:rPr>
          <w:rFonts w:hint="eastAsia" w:ascii="宋体" w:hAnsi="宋体"/>
          <w:color w:val="auto"/>
          <w:highlight w:val="none"/>
        </w:rPr>
        <w:fldChar w:fldCharType="separate"/>
      </w:r>
      <w:r>
        <w:rPr>
          <w:rFonts w:hint="eastAsia" w:ascii="宋体" w:hAnsi="宋体"/>
          <w:color w:val="auto"/>
          <w:highlight w:val="none"/>
        </w:rPr>
        <w:t>1.6保密</w:t>
      </w:r>
      <w:r>
        <w:rPr>
          <w:rFonts w:hint="eastAsia" w:ascii="宋体" w:hAnsi="宋体"/>
          <w:color w:val="auto"/>
          <w:highlight w:val="none"/>
        </w:rPr>
        <w:fldChar w:fldCharType="end"/>
      </w:r>
      <w:r>
        <w:rPr>
          <w:rFonts w:hint="eastAsia" w:ascii="宋体" w:hAnsi="宋体"/>
          <w:color w:val="auto"/>
          <w:highlight w:val="none"/>
        </w:rPr>
        <w:t>］和专用合同条件另有约定外，咨询人可以单独或与他人合作发布与咨询服务和项目有关的材料和信息，但如果在咨询服务完成之日或合同终止之日（以较早者为准）之后的两年内进行发布的，应事先通知委托人。</w:t>
      </w:r>
    </w:p>
    <w:p>
      <w:pPr>
        <w:spacing w:beforeAutospacing="0" w:afterAutospacing="0" w:line="360" w:lineRule="auto"/>
        <w:ind w:firstLine="422" w:firstLineChars="200"/>
        <w:rPr>
          <w:rFonts w:hint="eastAsia" w:ascii="宋体" w:hAnsi="宋体"/>
          <w:b/>
          <w:color w:val="auto"/>
          <w:highlight w:val="none"/>
        </w:rPr>
      </w:pPr>
      <w:bookmarkStart w:id="112" w:name="_Toc195181647"/>
      <w:bookmarkEnd w:id="112"/>
      <w:bookmarkStart w:id="113" w:name="_Ref523405912"/>
      <w:bookmarkEnd w:id="113"/>
      <w:bookmarkStart w:id="114" w:name="_Ref523405929"/>
      <w:bookmarkEnd w:id="114"/>
      <w:bookmarkStart w:id="115" w:name="_Toc18155974"/>
      <w:bookmarkEnd w:id="115"/>
      <w:bookmarkStart w:id="116" w:name="_Toc426130609"/>
      <w:bookmarkEnd w:id="116"/>
      <w:bookmarkStart w:id="117" w:name="_Toc83224694"/>
      <w:bookmarkEnd w:id="117"/>
      <w:r>
        <w:rPr>
          <w:rFonts w:hint="eastAsia" w:ascii="宋体" w:hAnsi="宋体"/>
          <w:b/>
          <w:color w:val="auto"/>
          <w:highlight w:val="none"/>
        </w:rPr>
        <w:t>1.8严禁贿赂</w:t>
      </w:r>
    </w:p>
    <w:p>
      <w:pPr>
        <w:spacing w:beforeAutospacing="0" w:afterAutospacing="0" w:line="360" w:lineRule="auto"/>
        <w:ind w:firstLine="420" w:firstLineChars="200"/>
        <w:jc w:val="left"/>
        <w:rPr>
          <w:rFonts w:hint="eastAsia" w:ascii="宋体" w:hAnsi="宋体"/>
          <w:color w:val="auto"/>
          <w:highlight w:val="none"/>
        </w:rPr>
      </w:pPr>
      <w:bookmarkStart w:id="118" w:name="_Ref509043717"/>
      <w:bookmarkEnd w:id="118"/>
      <w:r>
        <w:rPr>
          <w:rFonts w:hint="eastAsia" w:ascii="宋体" w:hAnsi="宋体"/>
          <w:color w:val="auto"/>
          <w:highlight w:val="none"/>
        </w:rPr>
        <w:t>合同当事人不得以贿赂或变相</w:t>
      </w:r>
      <w:r>
        <w:rPr>
          <w:rFonts w:hint="eastAsia" w:ascii="宋体" w:hAnsi="宋体"/>
          <w:color w:val="auto"/>
          <w:kern w:val="0"/>
          <w:highlight w:val="none"/>
        </w:rPr>
        <w:t>贿赂</w:t>
      </w:r>
      <w:r>
        <w:rPr>
          <w:rFonts w:hint="eastAsia" w:ascii="宋体" w:hAnsi="宋体"/>
          <w:color w:val="auto"/>
          <w:highlight w:val="none"/>
        </w:rPr>
        <w:t>的方式，谋取非法利益或损害对方权益。因一方的贿赂造成对方损失的，应赔偿损失，并承担相应的法律责任。</w:t>
      </w:r>
    </w:p>
    <w:p>
      <w:pPr>
        <w:spacing w:beforeAutospacing="0" w:afterAutospacing="0" w:line="360" w:lineRule="auto"/>
        <w:jc w:val="left"/>
        <w:rPr>
          <w:rFonts w:hint="eastAsia" w:ascii="宋体" w:hAnsi="宋体"/>
          <w:color w:val="auto"/>
          <w:highlight w:val="none"/>
        </w:rPr>
      </w:pPr>
      <w:r>
        <w:rPr>
          <w:rFonts w:hint="eastAsia" w:ascii="宋体" w:hAnsi="宋体"/>
          <w:color w:val="auto"/>
          <w:highlight w:val="none"/>
        </w:rPr>
        <w:t>除委托人另行书面同意外，咨询人的职员不应索取或接受合同规定以外的与项目有关的利益和报酬。</w:t>
      </w:r>
    </w:p>
    <w:p>
      <w:pPr>
        <w:spacing w:beforeAutospacing="0" w:afterAutospacing="0" w:line="360" w:lineRule="auto"/>
        <w:ind w:firstLine="422" w:firstLineChars="200"/>
        <w:rPr>
          <w:rFonts w:hint="eastAsia" w:ascii="宋体" w:hAnsi="宋体"/>
          <w:b/>
          <w:color w:val="auto"/>
          <w:highlight w:val="none"/>
        </w:rPr>
      </w:pPr>
      <w:bookmarkStart w:id="119" w:name="_Toc18155975"/>
      <w:bookmarkEnd w:id="119"/>
      <w:bookmarkStart w:id="120" w:name="_Toc897589582"/>
      <w:bookmarkEnd w:id="120"/>
      <w:bookmarkStart w:id="121" w:name="_Toc117014885"/>
      <w:bookmarkEnd w:id="121"/>
      <w:bookmarkStart w:id="122" w:name="_Toc83224695"/>
      <w:bookmarkEnd w:id="122"/>
      <w:r>
        <w:rPr>
          <w:rFonts w:hint="eastAsia" w:ascii="宋体" w:hAnsi="宋体"/>
          <w:b/>
          <w:color w:val="auto"/>
          <w:highlight w:val="none"/>
        </w:rPr>
        <w:t>1.9利益冲突</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咨询人不得与其他第三方串通损害委托人利益，除委托人另行书面同意外，不得参与和委托人利益相冲突的任何活动。</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咨询人声明，在合同签订之日不存在可能使其在履行合同义务时引起利益冲突的事项，包括与项目的工程总承包、施工、材料设备供应单位之间不存在利害关系。如在合同履行期间发生利益冲突事项的，咨询人在得知该情况后应立即书面通知委托人，双方应根据诚信原则以及相关法律规定就解决方法达成一致。</w:t>
      </w:r>
    </w:p>
    <w:p>
      <w:pPr>
        <w:spacing w:beforeAutospacing="0" w:afterAutospacing="0" w:line="360" w:lineRule="auto"/>
        <w:ind w:firstLine="422" w:firstLineChars="200"/>
        <w:rPr>
          <w:rFonts w:hint="eastAsia" w:ascii="宋体" w:hAnsi="宋体"/>
          <w:b/>
          <w:color w:val="auto"/>
          <w:highlight w:val="none"/>
        </w:rPr>
      </w:pPr>
      <w:bookmarkStart w:id="123" w:name="_Toc1226584704"/>
      <w:bookmarkEnd w:id="123"/>
      <w:bookmarkStart w:id="124" w:name="_Toc83224696"/>
      <w:bookmarkEnd w:id="124"/>
      <w:bookmarkStart w:id="125" w:name="_Toc826412232"/>
      <w:bookmarkEnd w:id="125"/>
      <w:bookmarkStart w:id="126" w:name="_Toc18155976"/>
      <w:bookmarkEnd w:id="126"/>
      <w:r>
        <w:rPr>
          <w:rFonts w:hint="eastAsia" w:ascii="宋体" w:hAnsi="宋体"/>
          <w:b/>
          <w:color w:val="auto"/>
          <w:highlight w:val="none"/>
        </w:rPr>
        <w:t>1.10合同修改</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对合同的变更或修改应以书面形式做出并由合同当事人正式签署。</w:t>
      </w:r>
    </w:p>
    <w:p>
      <w:pPr>
        <w:spacing w:beforeAutospacing="0" w:afterAutospacing="0" w:line="360" w:lineRule="auto"/>
        <w:jc w:val="left"/>
        <w:rPr>
          <w:rFonts w:hint="eastAsia" w:ascii="宋体" w:hAnsi="宋体"/>
          <w:b/>
          <w:color w:val="auto"/>
          <w:highlight w:val="none"/>
        </w:rPr>
      </w:pPr>
      <w:bookmarkStart w:id="127" w:name="_Ref17988456"/>
      <w:bookmarkEnd w:id="127"/>
      <w:bookmarkStart w:id="128" w:name="_Toc83224697"/>
      <w:bookmarkEnd w:id="128"/>
      <w:bookmarkStart w:id="129" w:name="_Ref18058585"/>
      <w:bookmarkEnd w:id="129"/>
      <w:bookmarkStart w:id="130" w:name="_Toc540799049"/>
      <w:bookmarkEnd w:id="130"/>
      <w:bookmarkStart w:id="131" w:name="_Toc18155977"/>
      <w:bookmarkEnd w:id="131"/>
      <w:bookmarkStart w:id="132" w:name="_Toc1487079735"/>
      <w:bookmarkEnd w:id="132"/>
      <w:bookmarkStart w:id="133" w:name="_Ref17988369"/>
      <w:bookmarkEnd w:id="133"/>
      <w:r>
        <w:rPr>
          <w:rFonts w:hint="eastAsia" w:ascii="宋体" w:hAnsi="宋体"/>
          <w:b/>
          <w:color w:val="auto"/>
          <w:highlight w:val="none"/>
        </w:rPr>
        <w:t>第2条  委托人</w:t>
      </w:r>
    </w:p>
    <w:p>
      <w:pPr>
        <w:spacing w:beforeAutospacing="0" w:afterAutospacing="0" w:line="360" w:lineRule="auto"/>
        <w:ind w:firstLine="422" w:firstLineChars="200"/>
        <w:rPr>
          <w:rFonts w:hint="eastAsia" w:ascii="宋体" w:hAnsi="宋体"/>
          <w:b/>
          <w:color w:val="auto"/>
          <w:highlight w:val="none"/>
        </w:rPr>
      </w:pPr>
      <w:bookmarkStart w:id="134" w:name="_Toc18155978"/>
      <w:bookmarkEnd w:id="134"/>
      <w:bookmarkStart w:id="135" w:name="_Toc83224698"/>
      <w:bookmarkEnd w:id="135"/>
      <w:bookmarkStart w:id="136" w:name="_Toc1017392545"/>
      <w:bookmarkEnd w:id="136"/>
      <w:bookmarkStart w:id="137" w:name="_Toc758837417"/>
      <w:bookmarkEnd w:id="137"/>
      <w:bookmarkStart w:id="138" w:name="_Ref509044118"/>
      <w:bookmarkEnd w:id="138"/>
      <w:bookmarkStart w:id="139" w:name="_Ref509044114"/>
      <w:bookmarkEnd w:id="139"/>
      <w:r>
        <w:rPr>
          <w:rFonts w:hint="eastAsia" w:ascii="宋体" w:hAnsi="宋体"/>
          <w:b/>
          <w:color w:val="auto"/>
          <w:highlight w:val="none"/>
        </w:rPr>
        <w:t>2.1委托人一般义务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2.1.1委托人应遵守法律，并办理法律规定由其办理的许可、核准或备案，并将与咨询服务有关的相应结果书面通知咨询人。因委托人原因未能及时办理完毕前述许可、核准或备案手续，导致服务费用增加和（或）服务期限延长时，由委托人承担责任，但因咨询人未能根据合同约定协助委托人办理前述许可、核准或备案手续而导致的除外。</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2.1.2除附件1［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另有约定外，委托人应向咨询人提供咨询服务时所涉及的所有外部关系的协调以及与其他组织相联系的渠道，以便咨询人收集需要的信息，为咨询人履行职责提供外部条件。委托人应在工程合同中或根据工程合同的规定及时向相关承包商、供应商、本合同之外的其他咨询方等提供咨询人及咨询项目总负责人的名称或姓名、管理范围、内容和权限以及其他必要信息，并负责就咨询人与委托人以及委托人的相关承包商、供应商、本合同之外的其他咨询方等之间职权相重叠或不明确的情况予以协调和明确。</w:t>
      </w:r>
    </w:p>
    <w:p>
      <w:pPr>
        <w:spacing w:beforeAutospacing="0" w:afterAutospacing="0" w:line="360" w:lineRule="auto"/>
        <w:ind w:firstLine="420" w:firstLineChars="200"/>
        <w:jc w:val="left"/>
        <w:rPr>
          <w:rFonts w:hint="eastAsia" w:ascii="宋体" w:hAnsi="宋体"/>
          <w:color w:val="auto"/>
          <w:highlight w:val="none"/>
        </w:rPr>
      </w:pPr>
      <w:bookmarkStart w:id="140" w:name="_Ref16213089"/>
      <w:bookmarkEnd w:id="140"/>
      <w:bookmarkStart w:id="141" w:name="_Ref16211844"/>
      <w:bookmarkEnd w:id="141"/>
      <w:bookmarkStart w:id="142" w:name="_Ref16211853"/>
      <w:bookmarkEnd w:id="142"/>
      <w:r>
        <w:rPr>
          <w:rFonts w:hint="eastAsia" w:ascii="宋体" w:hAnsi="宋体"/>
          <w:color w:val="auto"/>
          <w:highlight w:val="none"/>
        </w:rPr>
        <w:t>2.1.3为了咨询服务的需要，委托人应在不影响咨询人根据服务进度计划开展服务的时间内，按照专用合同条件的约定，免费向咨询人提供相关资料、设备和设施。如果咨询人履行服务时另需其他人员的服务，委托人应按照专用合同条件的约定，及时提供其他人员的服务，以保证咨询服务能够按服务进度计划进行。除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］另有约定外，其他人员的服务与咨询人的服务之间的界面管理责任应由委托人承担。咨询人应与此类服务的提供者合作，但不对此类人员的行为负责。</w:t>
      </w:r>
    </w:p>
    <w:p>
      <w:pPr>
        <w:spacing w:beforeAutospacing="0" w:afterAutospacing="0" w:line="360" w:lineRule="auto"/>
        <w:ind w:firstLine="420" w:firstLineChars="200"/>
        <w:jc w:val="left"/>
        <w:rPr>
          <w:rFonts w:hint="eastAsia" w:ascii="宋体" w:hAnsi="宋体"/>
          <w:color w:val="auto"/>
          <w:highlight w:val="none"/>
        </w:rPr>
      </w:pPr>
      <w:bookmarkStart w:id="143" w:name="_Ref523701422"/>
      <w:bookmarkEnd w:id="143"/>
      <w:r>
        <w:rPr>
          <w:rFonts w:hint="eastAsia" w:ascii="宋体" w:hAnsi="宋体"/>
          <w:color w:val="auto"/>
          <w:highlight w:val="none"/>
        </w:rPr>
        <w:t>2.1.4合同当事人可在专用合同条件约定委托人应承担的其他义务。</w:t>
      </w:r>
    </w:p>
    <w:p>
      <w:pPr>
        <w:spacing w:beforeAutospacing="0" w:afterAutospacing="0" w:line="360" w:lineRule="auto"/>
        <w:ind w:firstLine="422" w:firstLineChars="200"/>
        <w:rPr>
          <w:rFonts w:hint="eastAsia" w:ascii="宋体" w:hAnsi="宋体"/>
          <w:b/>
          <w:color w:val="auto"/>
          <w:highlight w:val="none"/>
        </w:rPr>
      </w:pPr>
      <w:bookmarkStart w:id="144" w:name="_Ref521288456"/>
      <w:bookmarkEnd w:id="144"/>
      <w:bookmarkStart w:id="145" w:name="_Toc83224699"/>
      <w:bookmarkEnd w:id="145"/>
      <w:bookmarkStart w:id="146" w:name="_Toc18155979"/>
      <w:bookmarkEnd w:id="146"/>
      <w:bookmarkStart w:id="147" w:name="_Toc543449168"/>
      <w:bookmarkEnd w:id="147"/>
      <w:bookmarkStart w:id="148" w:name="_Toc2064176389"/>
      <w:bookmarkEnd w:id="148"/>
      <w:bookmarkStart w:id="149" w:name="_Ref521288453"/>
      <w:bookmarkEnd w:id="149"/>
      <w:r>
        <w:rPr>
          <w:rFonts w:hint="eastAsia" w:ascii="宋体" w:hAnsi="宋体"/>
          <w:b/>
          <w:color w:val="auto"/>
          <w:highlight w:val="none"/>
        </w:rPr>
        <w:t>2.2委托人决定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合同另有明确约定外，委托人应根据专用合同条件的约定，在不影响咨询人根据服务进度计划开展咨询服务的时间内，对咨询人以书面形式提出的事项做出书面决定。对咨询人在贯彻落实委托人意见时提出的有关问题，委托人应及时予以解答。因委托人原因未能答复或答复不及时导致服务费用增加和（或）服务期限延长的，由委托人承担。</w:t>
      </w:r>
    </w:p>
    <w:p>
      <w:pPr>
        <w:spacing w:beforeAutospacing="0" w:afterAutospacing="0" w:line="360" w:lineRule="auto"/>
        <w:ind w:firstLine="422" w:firstLineChars="200"/>
        <w:rPr>
          <w:rFonts w:hint="eastAsia" w:ascii="宋体" w:hAnsi="宋体"/>
          <w:b/>
          <w:color w:val="auto"/>
          <w:highlight w:val="none"/>
        </w:rPr>
      </w:pPr>
      <w:bookmarkStart w:id="150" w:name="_Toc18155980"/>
      <w:bookmarkEnd w:id="150"/>
      <w:bookmarkStart w:id="151" w:name="_Toc83224700"/>
      <w:bookmarkEnd w:id="151"/>
      <w:bookmarkStart w:id="152" w:name="_Toc468941654"/>
      <w:bookmarkEnd w:id="152"/>
      <w:bookmarkStart w:id="153" w:name="_Ref522799306"/>
      <w:bookmarkEnd w:id="153"/>
      <w:bookmarkStart w:id="154" w:name="_Toc1661179238"/>
      <w:bookmarkEnd w:id="154"/>
      <w:bookmarkStart w:id="155" w:name="_Ref522799304"/>
      <w:bookmarkEnd w:id="155"/>
      <w:r>
        <w:rPr>
          <w:rFonts w:hint="eastAsia" w:ascii="宋体" w:hAnsi="宋体"/>
          <w:b/>
          <w:color w:val="auto"/>
          <w:highlight w:val="none"/>
        </w:rPr>
        <w:t>2.3支付担保</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除专用合同条件另有约定外，委托人要求咨询人提供履约担保的，委托人应当向咨询人提供支付担保。支付担保可以采用银行保函或保证保险保单或担保公司担保等形式，具体由双方在专用合同条件中约定。</w:t>
      </w:r>
    </w:p>
    <w:p>
      <w:pPr>
        <w:spacing w:beforeAutospacing="0" w:afterAutospacing="0" w:line="360" w:lineRule="auto"/>
        <w:ind w:firstLine="422" w:firstLineChars="200"/>
        <w:rPr>
          <w:rFonts w:hint="eastAsia" w:ascii="宋体" w:hAnsi="宋体"/>
          <w:b/>
          <w:color w:val="auto"/>
          <w:highlight w:val="none"/>
        </w:rPr>
      </w:pPr>
      <w:bookmarkStart w:id="156" w:name="_Ref521288631"/>
      <w:bookmarkEnd w:id="156"/>
      <w:bookmarkStart w:id="157" w:name="_Ref521288628"/>
      <w:bookmarkEnd w:id="157"/>
      <w:bookmarkStart w:id="158" w:name="_Toc21090430"/>
      <w:bookmarkEnd w:id="158"/>
      <w:bookmarkStart w:id="159" w:name="_Toc18155981"/>
      <w:bookmarkEnd w:id="159"/>
      <w:bookmarkStart w:id="160" w:name="_Toc83224701"/>
      <w:bookmarkEnd w:id="160"/>
      <w:bookmarkStart w:id="161" w:name="_Toc1607295040"/>
      <w:bookmarkEnd w:id="161"/>
      <w:r>
        <w:rPr>
          <w:rFonts w:hint="eastAsia" w:ascii="宋体" w:hAnsi="宋体"/>
          <w:b/>
          <w:color w:val="auto"/>
          <w:highlight w:val="none"/>
        </w:rPr>
        <w:t>2.4委托人代表</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应指定一位有适当资格和经验的管理人员作为委托人代表，并在专用合同条件中明确其姓名、职务、联系方式及授权范围等事项。委托人代表在委托人的授权范围内，负责处理合同履行过程中与委托人有关的具体事宜。委托人代表在授权范围内的行为由委托人承担法律责任。委托人更换委托人代表的，应在专用合同条件约定的期限内提前书面通知咨询人。</w:t>
      </w:r>
    </w:p>
    <w:p>
      <w:pPr>
        <w:spacing w:beforeAutospacing="0" w:afterAutospacing="0" w:line="360" w:lineRule="auto"/>
        <w:ind w:firstLine="422" w:firstLineChars="200"/>
        <w:rPr>
          <w:rFonts w:hint="eastAsia" w:ascii="宋体" w:hAnsi="宋体"/>
          <w:b/>
          <w:color w:val="auto"/>
          <w:highlight w:val="none"/>
        </w:rPr>
      </w:pPr>
      <w:bookmarkStart w:id="162" w:name="_Toc18155982"/>
      <w:bookmarkEnd w:id="162"/>
      <w:bookmarkStart w:id="163" w:name="_Ref523742369"/>
      <w:bookmarkEnd w:id="163"/>
      <w:bookmarkStart w:id="164" w:name="_Toc563377895"/>
      <w:bookmarkEnd w:id="164"/>
      <w:bookmarkStart w:id="165" w:name="_Toc1068724889"/>
      <w:bookmarkEnd w:id="165"/>
      <w:bookmarkStart w:id="166" w:name="_Toc83224702"/>
      <w:bookmarkEnd w:id="166"/>
      <w:bookmarkStart w:id="167" w:name="_Ref523742367"/>
      <w:bookmarkEnd w:id="167"/>
      <w:r>
        <w:rPr>
          <w:rFonts w:hint="eastAsia" w:ascii="宋体" w:hAnsi="宋体"/>
          <w:b/>
          <w:color w:val="auto"/>
          <w:highlight w:val="none"/>
        </w:rPr>
        <w:t>2.5委托人人员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应在与咨询人协商后，按照专用合同条件的要求，自费从其雇员中为推进项目安排、选择及提供有适当资格和经验的人员。咨询人可对上述人员的选择和替换提出合理异议，且在与相关法律法规不发生冲突的前提下，上述人员应就与咨询服务有关的事项接受咨询人的指示。</w:t>
      </w:r>
    </w:p>
    <w:p>
      <w:pPr>
        <w:spacing w:beforeAutospacing="0" w:afterAutospacing="0" w:line="360" w:lineRule="auto"/>
        <w:ind w:firstLine="420" w:firstLineChars="200"/>
        <w:jc w:val="left"/>
        <w:rPr>
          <w:rFonts w:hint="eastAsia" w:ascii="宋体" w:hAnsi="宋体"/>
          <w:color w:val="auto"/>
          <w:highlight w:val="none"/>
        </w:rPr>
      </w:pPr>
      <w:bookmarkStart w:id="168" w:name="_Ref509057114"/>
      <w:bookmarkEnd w:id="168"/>
      <w:r>
        <w:rPr>
          <w:rFonts w:hint="eastAsia" w:ascii="宋体" w:hAnsi="宋体"/>
          <w:color w:val="auto"/>
          <w:highlight w:val="none"/>
        </w:rPr>
        <w:t>如委托人无法按照专用合同条件的要求提供相关人员，或咨询人合理认为委托人提供的人员存在不能胜任岗位责任、存在严重过失或不当行为或专用合同条件约定的其他情形的，则咨询人有权另行安排替代人员，其费用应由委托人承担，且应视为构成服务变更。</w:t>
      </w:r>
    </w:p>
    <w:p>
      <w:pPr>
        <w:spacing w:beforeAutospacing="0" w:afterAutospacing="0" w:line="360" w:lineRule="auto"/>
        <w:jc w:val="left"/>
        <w:rPr>
          <w:rFonts w:hint="eastAsia" w:ascii="宋体" w:hAnsi="宋体"/>
          <w:b/>
          <w:color w:val="auto"/>
          <w:highlight w:val="none"/>
        </w:rPr>
      </w:pPr>
      <w:bookmarkStart w:id="169" w:name="_Toc83224703"/>
      <w:bookmarkEnd w:id="169"/>
      <w:bookmarkStart w:id="170" w:name="_Ref521266657"/>
      <w:bookmarkEnd w:id="170"/>
      <w:bookmarkStart w:id="171" w:name="_Toc18155983"/>
      <w:bookmarkEnd w:id="171"/>
      <w:bookmarkStart w:id="172" w:name="_Toc2041200924"/>
      <w:bookmarkEnd w:id="172"/>
      <w:bookmarkStart w:id="173" w:name="_Toc1497098940"/>
      <w:bookmarkEnd w:id="173"/>
      <w:r>
        <w:rPr>
          <w:rFonts w:hint="eastAsia" w:ascii="宋体" w:hAnsi="宋体"/>
          <w:b/>
          <w:color w:val="auto"/>
          <w:highlight w:val="none"/>
        </w:rPr>
        <w:t>第3条  咨询人</w:t>
      </w:r>
    </w:p>
    <w:p>
      <w:pPr>
        <w:spacing w:beforeAutospacing="0" w:afterAutospacing="0" w:line="360" w:lineRule="auto"/>
        <w:ind w:firstLine="422" w:firstLineChars="200"/>
        <w:rPr>
          <w:rFonts w:hint="eastAsia" w:ascii="宋体" w:hAnsi="宋体"/>
          <w:b/>
          <w:color w:val="auto"/>
          <w:highlight w:val="none"/>
        </w:rPr>
      </w:pPr>
      <w:bookmarkStart w:id="174" w:name="_Ref522810094"/>
      <w:bookmarkEnd w:id="174"/>
      <w:bookmarkStart w:id="175" w:name="_Toc18155984"/>
      <w:bookmarkEnd w:id="175"/>
      <w:bookmarkStart w:id="176" w:name="_Toc598139967"/>
      <w:bookmarkEnd w:id="176"/>
      <w:bookmarkStart w:id="177" w:name="_Ref522810097"/>
      <w:bookmarkEnd w:id="177"/>
      <w:bookmarkStart w:id="178" w:name="_Toc83224704"/>
      <w:bookmarkEnd w:id="178"/>
      <w:bookmarkStart w:id="179" w:name="_Toc1972021793"/>
      <w:bookmarkEnd w:id="179"/>
      <w:r>
        <w:rPr>
          <w:rFonts w:hint="eastAsia" w:ascii="宋体" w:hAnsi="宋体"/>
          <w:b/>
          <w:color w:val="auto"/>
          <w:highlight w:val="none"/>
        </w:rPr>
        <w:t>3.1咨询人一般义务</w:t>
      </w:r>
    </w:p>
    <w:p>
      <w:pPr>
        <w:spacing w:beforeAutospacing="0" w:afterAutospacing="0" w:line="360" w:lineRule="auto"/>
        <w:ind w:firstLine="420" w:firstLineChars="200"/>
        <w:jc w:val="left"/>
        <w:rPr>
          <w:rFonts w:hint="eastAsia" w:ascii="宋体" w:hAnsi="宋体"/>
          <w:color w:val="auto"/>
          <w:highlight w:val="none"/>
        </w:rPr>
      </w:pPr>
      <w:bookmarkStart w:id="180" w:name="_Ref523404805"/>
      <w:bookmarkEnd w:id="180"/>
      <w:r>
        <w:rPr>
          <w:rFonts w:hint="eastAsia" w:ascii="宋体" w:hAnsi="宋体"/>
          <w:color w:val="auto"/>
          <w:highlight w:val="none"/>
        </w:rPr>
        <w:t>3.1.1咨询人应根据合同约定以及附件1［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］约定的咨询服务内容和要求提供咨询服务。如附件1［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］中未详细描述咨询人的工作，则咨询人应为满足附件1［</w:t>
      </w:r>
      <w:r>
        <w:rPr>
          <w:rFonts w:hint="eastAsia" w:ascii="宋体" w:hAnsi="宋体"/>
          <w:color w:val="auto"/>
          <w:highlight w:val="none"/>
        </w:rPr>
        <w:fldChar w:fldCharType="begin"/>
      </w:r>
      <w:r>
        <w:rPr>
          <w:rFonts w:hint="eastAsia" w:ascii="宋体" w:hAnsi="宋体"/>
          <w:color w:val="auto"/>
          <w:highlight w:val="none"/>
        </w:rPr>
        <w:instrText xml:space="preserve"> REF _Ref523405266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］中描述的所有功能和目的而履行咨询服务。</w:t>
      </w:r>
    </w:p>
    <w:p>
      <w:pPr>
        <w:spacing w:beforeAutospacing="0" w:afterAutospacing="0" w:line="360" w:lineRule="auto"/>
        <w:ind w:firstLine="420" w:firstLineChars="200"/>
        <w:jc w:val="left"/>
        <w:rPr>
          <w:rFonts w:hint="eastAsia" w:ascii="宋体" w:hAnsi="宋体"/>
          <w:color w:val="auto"/>
          <w:highlight w:val="none"/>
        </w:rPr>
      </w:pPr>
      <w:bookmarkStart w:id="181" w:name="_Ref523404799"/>
      <w:bookmarkEnd w:id="181"/>
      <w:r>
        <w:rPr>
          <w:rFonts w:hint="eastAsia" w:ascii="宋体" w:hAnsi="宋体"/>
          <w:color w:val="auto"/>
          <w:highlight w:val="none"/>
        </w:rPr>
        <w:t>3.1.2咨询人应按照附件4［</w:t>
      </w:r>
      <w:r>
        <w:rPr>
          <w:rFonts w:hint="eastAsia" w:ascii="宋体" w:hAnsi="宋体"/>
          <w:color w:val="auto"/>
          <w:highlight w:val="none"/>
        </w:rPr>
        <w:fldChar w:fldCharType="begin"/>
      </w:r>
      <w:r>
        <w:rPr>
          <w:rFonts w:hint="eastAsia" w:ascii="宋体" w:hAnsi="宋体"/>
          <w:color w:val="auto"/>
          <w:highlight w:val="none"/>
        </w:rPr>
        <w:instrText xml:space="preserve"> REF _Ref521078418 \h  \* MERGEFORMAT </w:instrText>
      </w:r>
      <w:r>
        <w:rPr>
          <w:rFonts w:hint="eastAsia" w:ascii="宋体" w:hAnsi="宋体"/>
          <w:color w:val="auto"/>
          <w:highlight w:val="none"/>
        </w:rPr>
        <w:fldChar w:fldCharType="separate"/>
      </w:r>
      <w:r>
        <w:rPr>
          <w:rFonts w:hint="eastAsia" w:ascii="宋体" w:hAnsi="宋体"/>
          <w:color w:val="auto"/>
          <w:highlight w:val="none"/>
        </w:rPr>
        <w:t>附件4</w:t>
      </w:r>
      <w:r>
        <w:rPr>
          <w:rFonts w:hint="eastAsia" w:ascii="宋体" w:hAnsi="宋体"/>
          <w:b/>
          <w:color w:val="auto"/>
          <w:highlight w:val="none"/>
        </w:rPr>
        <w:t xml:space="preserve"> 咨询人主要咨询人员</w:t>
      </w:r>
      <w:r>
        <w:rPr>
          <w:rFonts w:hint="eastAsia" w:ascii="宋体" w:hAnsi="宋体"/>
          <w:color w:val="auto"/>
          <w:highlight w:val="none"/>
        </w:rPr>
        <w:fldChar w:fldCharType="end"/>
      </w:r>
      <w:r>
        <w:rPr>
          <w:rFonts w:hint="eastAsia" w:ascii="宋体" w:hAnsi="宋体"/>
          <w:color w:val="auto"/>
          <w:highlight w:val="none"/>
        </w:rPr>
        <w:t>］组建能够满足咨询服务需要的咨询服务机构，并按照附件3［</w:t>
      </w:r>
      <w:r>
        <w:rPr>
          <w:rFonts w:hint="eastAsia" w:ascii="宋体" w:hAnsi="宋体"/>
          <w:color w:val="auto"/>
          <w:highlight w:val="none"/>
        </w:rPr>
        <w:fldChar w:fldCharType="begin"/>
      </w:r>
      <w:r>
        <w:rPr>
          <w:rFonts w:hint="eastAsia" w:ascii="宋体" w:hAnsi="宋体"/>
          <w:color w:val="auto"/>
          <w:highlight w:val="none"/>
        </w:rPr>
        <w:instrText xml:space="preserve">REF _Ref18241628 \h \* MERGEFORMAT </w:instrText>
      </w:r>
      <w:r>
        <w:rPr>
          <w:rFonts w:hint="eastAsia" w:ascii="宋体" w:hAnsi="宋体"/>
          <w:color w:val="auto"/>
          <w:highlight w:val="none"/>
        </w:rPr>
        <w:fldChar w:fldCharType="separate"/>
      </w:r>
      <w:r>
        <w:rPr>
          <w:rFonts w:hint="eastAsia" w:ascii="宋体" w:hAnsi="宋体"/>
          <w:color w:val="auto"/>
          <w:highlight w:val="none"/>
        </w:rPr>
        <w:t>附件3</w:t>
      </w:r>
      <w:r>
        <w:rPr>
          <w:rFonts w:hint="eastAsia" w:ascii="宋体" w:hAnsi="宋体"/>
          <w:b/>
          <w:color w:val="auto"/>
          <w:highlight w:val="none"/>
        </w:rPr>
        <w:t xml:space="preserve"> 进度计划</w:t>
      </w:r>
      <w:r>
        <w:rPr>
          <w:rFonts w:hint="eastAsia" w:ascii="宋体" w:hAnsi="宋体"/>
          <w:color w:val="auto"/>
          <w:highlight w:val="none"/>
        </w:rPr>
        <w:fldChar w:fldCharType="end"/>
      </w:r>
      <w:r>
        <w:rPr>
          <w:rFonts w:hint="eastAsia" w:ascii="宋体" w:hAnsi="宋体"/>
          <w:color w:val="auto"/>
          <w:highlight w:val="none"/>
        </w:rPr>
        <w:t>］的约定完成咨询服务。</w:t>
      </w:r>
    </w:p>
    <w:p>
      <w:pPr>
        <w:spacing w:beforeAutospacing="0" w:afterAutospacing="0" w:line="360" w:lineRule="auto"/>
        <w:ind w:firstLine="420" w:firstLineChars="200"/>
        <w:jc w:val="left"/>
        <w:rPr>
          <w:rFonts w:hint="eastAsia" w:ascii="宋体" w:hAnsi="宋体"/>
          <w:color w:val="auto"/>
          <w:highlight w:val="none"/>
        </w:rPr>
      </w:pPr>
      <w:bookmarkStart w:id="182" w:name="_Ref523404771"/>
      <w:bookmarkEnd w:id="182"/>
      <w:r>
        <w:rPr>
          <w:rFonts w:hint="eastAsia" w:ascii="宋体" w:hAnsi="宋体"/>
          <w:color w:val="auto"/>
          <w:highlight w:val="none"/>
        </w:rPr>
        <w:t>3.1.3委托人需要咨询人提供履约担保的，应当按照相关规定在专用合同条件中明确约定，咨询人应按照约定的形式、金额及期限等向委托人提供履约担保。</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3.1.4咨询人在履行合同义务时，应严格按照国家法律法规、强制性国家标准以及合同约定履行职责，维护委托人的合法利益，保证服务成果的质量，运用合理的专业技术和经验知识，按照有经验的咨询人为同等规模、性质和复杂程度的项目提供同等咨询服务时应有的职业标准，谨慎、勤勉地履行其在合同下的责任和义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3.1.5法律、法规、规章有相应规定的，咨询人及其咨询人员应具有履行咨询服务所需的资质或资格。由咨询人按照第3.4款［</w:t>
      </w:r>
      <w:r>
        <w:rPr>
          <w:rFonts w:hint="eastAsia" w:ascii="宋体" w:hAnsi="宋体"/>
          <w:color w:val="auto"/>
          <w:highlight w:val="none"/>
        </w:rPr>
        <w:fldChar w:fldCharType="begin"/>
      </w:r>
      <w:r>
        <w:rPr>
          <w:rFonts w:hint="eastAsia" w:ascii="宋体" w:hAnsi="宋体"/>
          <w:color w:val="auto"/>
          <w:highlight w:val="none"/>
        </w:rPr>
        <w:instrText xml:space="preserve"> REF _Ref16234288 \h  \* MERGEFORMAT </w:instrText>
      </w:r>
      <w:r>
        <w:rPr>
          <w:rFonts w:hint="eastAsia" w:ascii="宋体" w:hAnsi="宋体"/>
          <w:color w:val="auto"/>
          <w:highlight w:val="none"/>
        </w:rPr>
        <w:fldChar w:fldCharType="separate"/>
      </w:r>
      <w:r>
        <w:rPr>
          <w:rFonts w:hint="eastAsia" w:ascii="宋体" w:hAnsi="宋体"/>
          <w:color w:val="auto"/>
          <w:highlight w:val="none"/>
        </w:rPr>
        <w:t>3.4转让和交由其他咨询单位实施咨询服务</w:t>
      </w:r>
      <w:r>
        <w:rPr>
          <w:rFonts w:hint="eastAsia" w:ascii="宋体" w:hAnsi="宋体"/>
          <w:color w:val="auto"/>
          <w:highlight w:val="none"/>
        </w:rPr>
        <w:fldChar w:fldCharType="end"/>
      </w:r>
      <w:r>
        <w:rPr>
          <w:rFonts w:hint="eastAsia" w:ascii="宋体" w:hAnsi="宋体"/>
          <w:color w:val="auto"/>
          <w:highlight w:val="none"/>
        </w:rPr>
        <w:t>］的约定将相应的咨询服务转让给第三方或交由其他咨询单位实施的，该第三方和其他咨询单位应具有相应资质或资格。</w:t>
      </w:r>
    </w:p>
    <w:p>
      <w:pPr>
        <w:spacing w:beforeAutospacing="0" w:afterAutospacing="0" w:line="360" w:lineRule="auto"/>
        <w:ind w:firstLine="420" w:firstLineChars="200"/>
        <w:jc w:val="left"/>
        <w:rPr>
          <w:rFonts w:hint="eastAsia" w:ascii="宋体" w:hAnsi="宋体"/>
          <w:color w:val="auto"/>
          <w:highlight w:val="none"/>
        </w:rPr>
      </w:pPr>
      <w:bookmarkStart w:id="183" w:name="_Ref523690930"/>
      <w:bookmarkEnd w:id="183"/>
      <w:r>
        <w:rPr>
          <w:rFonts w:hint="eastAsia" w:ascii="宋体" w:hAnsi="宋体"/>
          <w:color w:val="auto"/>
          <w:highlight w:val="none"/>
        </w:rPr>
        <w:t>3.1.6在履行合同期间，咨询人应使委托人保持对咨询服务进展的了解，并按照附件3［进度计划］的约定，定期向委托人报告咨询服务工作进展。</w:t>
      </w:r>
    </w:p>
    <w:p>
      <w:pPr>
        <w:spacing w:beforeAutospacing="0" w:afterAutospacing="0" w:line="360" w:lineRule="auto"/>
        <w:ind w:firstLine="420" w:firstLineChars="200"/>
        <w:jc w:val="left"/>
        <w:rPr>
          <w:rFonts w:hint="eastAsia" w:ascii="宋体" w:hAnsi="宋体"/>
          <w:color w:val="auto"/>
          <w:highlight w:val="none"/>
        </w:rPr>
      </w:pPr>
      <w:bookmarkStart w:id="184" w:name="_Ref521316754"/>
      <w:bookmarkEnd w:id="184"/>
      <w:r>
        <w:rPr>
          <w:rFonts w:hint="eastAsia" w:ascii="宋体" w:hAnsi="宋体"/>
          <w:color w:val="auto"/>
          <w:highlight w:val="none"/>
        </w:rPr>
        <w:t>3.1.7任何由委托人支付费用并提供给咨询人使用的物品都是属于委托人的财产。咨询人有权无偿使用第2.1.3项中由委托人提供的设备、设施和人员提供的服务。咨询人应采取合理的措施来保护委托人的财产，直至咨询服务完成并将其退还给委托人。保护委托人的财产所产生的费用应由委托人承担。</w:t>
      </w:r>
    </w:p>
    <w:p>
      <w:pPr>
        <w:spacing w:beforeAutospacing="0" w:afterAutospacing="0" w:line="360" w:lineRule="auto"/>
        <w:ind w:firstLine="420" w:firstLineChars="200"/>
        <w:jc w:val="left"/>
        <w:rPr>
          <w:rFonts w:hint="eastAsia" w:ascii="宋体" w:hAnsi="宋体"/>
          <w:color w:val="auto"/>
          <w:highlight w:val="none"/>
        </w:rPr>
      </w:pPr>
      <w:bookmarkStart w:id="185" w:name="_Ref523691950"/>
      <w:bookmarkEnd w:id="185"/>
      <w:r>
        <w:rPr>
          <w:rFonts w:hint="eastAsia" w:ascii="宋体" w:hAnsi="宋体"/>
          <w:color w:val="auto"/>
          <w:highlight w:val="none"/>
        </w:rPr>
        <w:t>3.1.8合同当事人可在专用合同条件约定咨询人应承担的其他义务。</w:t>
      </w:r>
    </w:p>
    <w:p>
      <w:pPr>
        <w:spacing w:beforeAutospacing="0" w:afterAutospacing="0" w:line="360" w:lineRule="auto"/>
        <w:ind w:firstLine="422" w:firstLineChars="200"/>
        <w:rPr>
          <w:rFonts w:hint="eastAsia" w:ascii="宋体" w:hAnsi="宋体"/>
          <w:b/>
          <w:color w:val="auto"/>
          <w:highlight w:val="none"/>
        </w:rPr>
      </w:pPr>
      <w:bookmarkStart w:id="186" w:name="_Toc83224705"/>
      <w:bookmarkEnd w:id="186"/>
      <w:bookmarkStart w:id="187" w:name="_Ref16234491"/>
      <w:bookmarkEnd w:id="187"/>
      <w:bookmarkStart w:id="188" w:name="_Toc274741565"/>
      <w:bookmarkEnd w:id="188"/>
      <w:bookmarkStart w:id="189" w:name="_Toc1285556105"/>
      <w:bookmarkEnd w:id="189"/>
      <w:bookmarkStart w:id="190" w:name="_Ref16234490"/>
      <w:bookmarkEnd w:id="190"/>
      <w:bookmarkStart w:id="191" w:name="_Toc18155985"/>
      <w:bookmarkEnd w:id="191"/>
      <w:r>
        <w:rPr>
          <w:rFonts w:hint="eastAsia" w:ascii="宋体" w:hAnsi="宋体"/>
          <w:b/>
          <w:color w:val="auto"/>
          <w:highlight w:val="none"/>
        </w:rPr>
        <w:t>3.2咨询项目总负责人</w:t>
      </w:r>
    </w:p>
    <w:p>
      <w:pPr>
        <w:spacing w:beforeAutospacing="0" w:afterAutospacing="0" w:line="360" w:lineRule="auto"/>
        <w:ind w:firstLine="420" w:firstLineChars="200"/>
        <w:jc w:val="left"/>
        <w:rPr>
          <w:rFonts w:hint="eastAsia" w:ascii="宋体" w:hAnsi="宋体"/>
          <w:color w:val="auto"/>
          <w:highlight w:val="none"/>
        </w:rPr>
      </w:pPr>
      <w:bookmarkStart w:id="192" w:name="_Ref523404758"/>
      <w:bookmarkEnd w:id="192"/>
      <w:r>
        <w:rPr>
          <w:rFonts w:hint="eastAsia" w:ascii="宋体" w:hAnsi="宋体"/>
          <w:color w:val="auto"/>
          <w:highlight w:val="none"/>
        </w:rPr>
        <w:t>3.2.1咨询项目总负责人应为合同协议书及专用合同条件中约定的人选，并应具有履行相应职责应具有的资格、能力和经验。咨询服务仅涉及投资决策阶段的，咨询项目总负责人的资格要求由双方在专用合同条件中约定。咨询服务涉及工程建设阶段的，咨询项目总负责人应当具有工程建设类注册执业资格。双方应在合同协议书及专用合同条件中明确咨询项目总负责人的基本信息及授权范围等事项，咨询项目总负责人经咨询人授权后代表咨询人负责履行合同。</w:t>
      </w:r>
    </w:p>
    <w:p>
      <w:pPr>
        <w:spacing w:beforeAutospacing="0" w:afterAutospacing="0" w:line="360" w:lineRule="auto"/>
        <w:ind w:firstLine="420" w:firstLineChars="200"/>
        <w:jc w:val="left"/>
        <w:rPr>
          <w:rFonts w:hint="eastAsia" w:ascii="宋体" w:hAnsi="宋体"/>
          <w:color w:val="auto"/>
          <w:highlight w:val="none"/>
        </w:rPr>
      </w:pPr>
      <w:bookmarkStart w:id="193" w:name="_Ref523404753"/>
      <w:bookmarkEnd w:id="193"/>
      <w:r>
        <w:rPr>
          <w:rFonts w:hint="eastAsia" w:ascii="宋体" w:hAnsi="宋体"/>
          <w:color w:val="auto"/>
          <w:highlight w:val="none"/>
        </w:rPr>
        <w:t>3.2.2除专用合同条件另有约定外，咨询人需要更换咨询项目总负责人的，应在专用合同条件约定的期限内提前书面通知委托人，并征得委托人书面同意。未经委托人书面同意，咨询人不得擅自更换咨询项目总负责人。咨询人擅自更换咨询项目总负责人的，应按照专用合同条件的约定承担违约责任。对于咨询项目总负责人确因死亡、丧失行为能力导致咨询人更换咨询项目总负责人的，委托人无正当理由不得拒绝更换。</w:t>
      </w:r>
    </w:p>
    <w:p>
      <w:pPr>
        <w:spacing w:beforeAutospacing="0" w:afterAutospacing="0" w:line="360" w:lineRule="auto"/>
        <w:ind w:firstLine="420" w:firstLineChars="200"/>
        <w:jc w:val="left"/>
        <w:rPr>
          <w:rFonts w:hint="eastAsia" w:ascii="宋体" w:hAnsi="宋体"/>
          <w:color w:val="auto"/>
          <w:highlight w:val="none"/>
        </w:rPr>
      </w:pPr>
      <w:bookmarkStart w:id="194" w:name="_Ref523404749"/>
      <w:bookmarkEnd w:id="194"/>
      <w:r>
        <w:rPr>
          <w:rFonts w:hint="eastAsia" w:ascii="宋体" w:hAnsi="宋体"/>
          <w:color w:val="auto"/>
          <w:highlight w:val="none"/>
        </w:rPr>
        <w:t>3.2.3委托人有权书面通知咨询人更换不称职的咨询项目总负责人，通知中应当载明要求更换的理由。对于委托人有正当理由的更换要求，咨询人应在收到书面更换通知后在专用合同条件约定的期限内将新任命的咨询项目总负责人信息报送委托人，并征得委托人同意后更换。咨询人无正当理由拒绝更换咨询项目总负责人的，应按照专用合同条件的约定承担违约责任。</w:t>
      </w:r>
    </w:p>
    <w:p>
      <w:pPr>
        <w:spacing w:beforeAutospacing="0" w:afterAutospacing="0" w:line="360" w:lineRule="auto"/>
        <w:ind w:firstLine="422" w:firstLineChars="200"/>
        <w:rPr>
          <w:rFonts w:hint="eastAsia" w:ascii="宋体" w:hAnsi="宋体"/>
          <w:b/>
          <w:color w:val="auto"/>
          <w:highlight w:val="none"/>
        </w:rPr>
      </w:pPr>
      <w:bookmarkStart w:id="195" w:name="_Ref523404728"/>
      <w:bookmarkEnd w:id="195"/>
      <w:bookmarkStart w:id="196" w:name="_Ref523403804"/>
      <w:bookmarkEnd w:id="196"/>
      <w:bookmarkStart w:id="197" w:name="_Toc18155986"/>
      <w:bookmarkEnd w:id="197"/>
      <w:bookmarkStart w:id="198" w:name="_Toc83224706"/>
      <w:bookmarkEnd w:id="198"/>
      <w:bookmarkStart w:id="199" w:name="_Toc185802401"/>
      <w:bookmarkEnd w:id="199"/>
      <w:bookmarkStart w:id="200" w:name="_Toc915532421"/>
      <w:bookmarkEnd w:id="200"/>
      <w:r>
        <w:rPr>
          <w:rFonts w:hint="eastAsia" w:ascii="宋体" w:hAnsi="宋体"/>
          <w:b/>
          <w:color w:val="auto"/>
          <w:highlight w:val="none"/>
        </w:rPr>
        <w:t>3.3咨询人员</w:t>
      </w:r>
    </w:p>
    <w:p>
      <w:pPr>
        <w:spacing w:beforeAutospacing="0" w:afterAutospacing="0" w:line="360" w:lineRule="auto"/>
        <w:ind w:firstLine="420" w:firstLineChars="200"/>
        <w:jc w:val="left"/>
        <w:rPr>
          <w:rFonts w:hint="eastAsia" w:ascii="宋体" w:hAnsi="宋体"/>
          <w:color w:val="auto"/>
          <w:highlight w:val="none"/>
        </w:rPr>
      </w:pPr>
      <w:bookmarkStart w:id="201" w:name="_Ref17470212"/>
      <w:bookmarkEnd w:id="201"/>
      <w:r>
        <w:rPr>
          <w:rFonts w:hint="eastAsia" w:ascii="宋体" w:hAnsi="宋体"/>
          <w:color w:val="auto"/>
          <w:highlight w:val="none"/>
        </w:rPr>
        <w:t>3.3.1咨询人应按照专用合同条件和附件4［</w:t>
      </w:r>
      <w:r>
        <w:rPr>
          <w:rFonts w:hint="eastAsia" w:ascii="宋体" w:hAnsi="宋体"/>
          <w:color w:val="auto"/>
          <w:highlight w:val="none"/>
        </w:rPr>
        <w:fldChar w:fldCharType="begin"/>
      </w:r>
      <w:r>
        <w:rPr>
          <w:rFonts w:hint="eastAsia" w:ascii="宋体" w:hAnsi="宋体"/>
          <w:color w:val="auto"/>
          <w:highlight w:val="none"/>
        </w:rPr>
        <w:instrText xml:space="preserve"> REF _Ref521078418 \h  \* MERGEFORMAT </w:instrText>
      </w:r>
      <w:r>
        <w:rPr>
          <w:rFonts w:hint="eastAsia" w:ascii="宋体" w:hAnsi="宋体"/>
          <w:color w:val="auto"/>
          <w:highlight w:val="none"/>
        </w:rPr>
        <w:fldChar w:fldCharType="separate"/>
      </w:r>
      <w:r>
        <w:rPr>
          <w:rFonts w:hint="eastAsia" w:ascii="宋体" w:hAnsi="宋体"/>
          <w:color w:val="auto"/>
          <w:highlight w:val="none"/>
        </w:rPr>
        <w:t>附件4</w:t>
      </w:r>
      <w:r>
        <w:rPr>
          <w:rFonts w:hint="eastAsia" w:ascii="宋体" w:hAnsi="宋体"/>
          <w:b/>
          <w:color w:val="auto"/>
          <w:highlight w:val="none"/>
        </w:rPr>
        <w:t xml:space="preserve"> 咨询人主要咨询人员</w:t>
      </w:r>
      <w:r>
        <w:rPr>
          <w:rFonts w:hint="eastAsia" w:ascii="宋体" w:hAnsi="宋体"/>
          <w:color w:val="auto"/>
          <w:highlight w:val="none"/>
        </w:rPr>
        <w:fldChar w:fldCharType="end"/>
      </w:r>
      <w:r>
        <w:rPr>
          <w:rFonts w:hint="eastAsia" w:ascii="宋体" w:hAnsi="宋体"/>
          <w:color w:val="auto"/>
          <w:highlight w:val="none"/>
        </w:rPr>
        <w:t>］的约定，根据项目管理需要配备和派遣能胜任本职工作及具备相应能力和经验的各单项咨询负责人，以及其他专业技术人员和管理人员。对于承担投资决策综合性咨询业务的单项咨询负责人和相关咨询人员，应具有为委托人提供决策依据和建议的能力。对于承担工程勘察、设计或造价咨询业务的单项咨询负责人和相关咨询人员，应具有法律法规规定的相应执业资格。咨询人根据合同派遣的咨询人员应取得委托人认可，对于已包含在投标文件、非招标项目响应文件和本合同中的咨询人员，除委托人明确提出异议外，均应视为已被委托人认可。</w:t>
      </w:r>
    </w:p>
    <w:p>
      <w:pPr>
        <w:spacing w:beforeAutospacing="0" w:afterAutospacing="0" w:line="360" w:lineRule="auto"/>
        <w:ind w:firstLine="420" w:firstLineChars="200"/>
        <w:jc w:val="left"/>
        <w:rPr>
          <w:rFonts w:hint="eastAsia" w:ascii="宋体" w:hAnsi="宋体"/>
          <w:color w:val="auto"/>
          <w:highlight w:val="none"/>
        </w:rPr>
      </w:pPr>
      <w:bookmarkStart w:id="202" w:name="_Ref523702277"/>
      <w:bookmarkEnd w:id="202"/>
      <w:bookmarkStart w:id="203" w:name="_Ref16209500"/>
      <w:bookmarkEnd w:id="203"/>
      <w:r>
        <w:rPr>
          <w:rFonts w:hint="eastAsia" w:ascii="宋体" w:hAnsi="宋体"/>
          <w:color w:val="auto"/>
          <w:highlight w:val="none"/>
        </w:rPr>
        <w:t>3.3.2合同履行过程中，咨询人委派的咨询人员应相对稳定，以保证咨询工作的顺利进行。咨询人更换单项咨询负责人、有执业资格要求的主要咨询人员时，应提前7天书面通知委托人，除主要咨询人员客观上无法正常履职情形外（死亡、丧失行为能力），还应征得委托人书面同意，由咨询人负责安排具有同等资格和能力的人员代替，同时承担更换费用。委托人对咨询人的主要咨询人员资格或能力有异议而提出更换的，应提出书面要求并须阐述更换理由，咨询人无正当理由拒绝撤换的，应按照专用合同条件的约定承担违约责任。</w:t>
      </w:r>
    </w:p>
    <w:p>
      <w:pPr>
        <w:spacing w:beforeAutospacing="0" w:afterAutospacing="0" w:line="360" w:lineRule="auto"/>
        <w:ind w:firstLine="420" w:firstLineChars="200"/>
        <w:jc w:val="left"/>
        <w:rPr>
          <w:rFonts w:hint="eastAsia" w:ascii="宋体" w:hAnsi="宋体"/>
          <w:color w:val="auto"/>
          <w:highlight w:val="none"/>
        </w:rPr>
      </w:pPr>
      <w:bookmarkStart w:id="204" w:name="_Ref523404724"/>
      <w:bookmarkEnd w:id="204"/>
      <w:r>
        <w:rPr>
          <w:rFonts w:hint="eastAsia" w:ascii="宋体" w:hAnsi="宋体"/>
          <w:color w:val="auto"/>
          <w:highlight w:val="none"/>
        </w:rPr>
        <w:t>3.3.3若咨询人认为其咨询人员的健康或安全保障将受到不可抗力或双方在专用合同条件中约定的其他事件的影响，则咨询人有权在将相应事件告知委托人后，暂停全部或部分咨询服务，并将其咨询人员转移，直至不可抗力或其他事项影响消失。</w:t>
      </w:r>
    </w:p>
    <w:p>
      <w:pPr>
        <w:spacing w:beforeAutospacing="0" w:afterAutospacing="0" w:line="360" w:lineRule="auto"/>
        <w:ind w:firstLine="422" w:firstLineChars="200"/>
        <w:rPr>
          <w:rFonts w:hint="eastAsia" w:ascii="宋体" w:hAnsi="宋体"/>
          <w:b/>
          <w:color w:val="auto"/>
          <w:highlight w:val="none"/>
        </w:rPr>
      </w:pPr>
      <w:bookmarkStart w:id="205" w:name="_Ref523404713"/>
      <w:bookmarkEnd w:id="205"/>
      <w:bookmarkStart w:id="206" w:name="_Toc83224707"/>
      <w:bookmarkEnd w:id="206"/>
      <w:bookmarkStart w:id="207" w:name="_Ref523405297"/>
      <w:bookmarkEnd w:id="207"/>
      <w:bookmarkStart w:id="208" w:name="_Toc1561657989"/>
      <w:bookmarkEnd w:id="208"/>
      <w:bookmarkStart w:id="209" w:name="_Ref523403820"/>
      <w:bookmarkEnd w:id="209"/>
      <w:bookmarkStart w:id="210" w:name="_Toc1070663082"/>
      <w:bookmarkEnd w:id="210"/>
      <w:bookmarkStart w:id="211" w:name="_Ref16234288"/>
      <w:bookmarkEnd w:id="211"/>
      <w:bookmarkStart w:id="212" w:name="_Toc18155987"/>
      <w:bookmarkEnd w:id="212"/>
      <w:r>
        <w:rPr>
          <w:rFonts w:hint="eastAsia" w:ascii="宋体" w:hAnsi="宋体"/>
          <w:b/>
          <w:color w:val="auto"/>
          <w:highlight w:val="none"/>
        </w:rPr>
        <w:t>3.4转让和交由其他咨询单位实施咨询服务</w:t>
      </w:r>
    </w:p>
    <w:p>
      <w:pPr>
        <w:spacing w:beforeAutospacing="0" w:afterAutospacing="0" w:line="360" w:lineRule="auto"/>
        <w:ind w:firstLine="420" w:firstLineChars="200"/>
        <w:jc w:val="left"/>
        <w:rPr>
          <w:rFonts w:hint="eastAsia" w:ascii="宋体" w:hAnsi="宋体"/>
          <w:color w:val="auto"/>
          <w:highlight w:val="none"/>
        </w:rPr>
      </w:pPr>
      <w:bookmarkStart w:id="213" w:name="_Ref523404710"/>
      <w:bookmarkEnd w:id="213"/>
      <w:r>
        <w:rPr>
          <w:rFonts w:hint="eastAsia" w:ascii="宋体" w:hAnsi="宋体"/>
          <w:color w:val="auto"/>
          <w:highlight w:val="none"/>
        </w:rPr>
        <w:t>3.4.1除应收款项的转让外，没有委托人的书面同意，咨询人不得转让合同涉及的利益。未经另一方同意，任何一方均不得转让其在本合同下的义务。</w:t>
      </w:r>
    </w:p>
    <w:p>
      <w:pPr>
        <w:spacing w:beforeAutospacing="0" w:afterAutospacing="0" w:line="360" w:lineRule="auto"/>
        <w:ind w:firstLine="420" w:firstLineChars="200"/>
        <w:jc w:val="left"/>
        <w:rPr>
          <w:rFonts w:hint="eastAsia" w:ascii="宋体" w:hAnsi="宋体"/>
          <w:color w:val="auto"/>
          <w:highlight w:val="none"/>
        </w:rPr>
      </w:pPr>
      <w:bookmarkStart w:id="214" w:name="_Ref523404706"/>
      <w:bookmarkEnd w:id="214"/>
      <w:r>
        <w:rPr>
          <w:rFonts w:hint="eastAsia" w:ascii="宋体" w:hAnsi="宋体"/>
          <w:color w:val="auto"/>
          <w:highlight w:val="none"/>
        </w:rPr>
        <w:t>3.4.2咨询人不得将其承担的全部咨询服务转让给第三方，或将全部咨询服务肢解后全部转让给多个第三方。</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3.4.3咨询人应当自行完成自有资质证书许可范围内的咨询服务。在保证整个项目完整性的前提下，咨询人可按照专用合同条件的约定或经委托人书面同意，将自有资质证书许可范围外的咨询服务依法依规择优委托给具有相应资质或能力的其他咨询单位实施。对于以暂估价形式包括在本合同范围内的咨询服务，属于依法必须进行招标的项目范围且达到国家规定规模标准的，可由委托人自行招标，也可由委托人与咨询人共同作为招标人，或者由委托人同意后由咨询人担任招标代理人，根据项目特点和实际需要选择咨询团队或咨询方案招标。</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3.4.4委托人同意咨询人将部分咨询服务交由其他咨询单位完成，不减轻或免除咨询人就该部分咨询服务应承担的责任和义务。咨询人仍应对该部分咨询服务负总责，就该其他咨询单位的行为、疏忽和违约承担相应责任。</w:t>
      </w:r>
    </w:p>
    <w:p>
      <w:pPr>
        <w:spacing w:beforeAutospacing="0" w:afterAutospacing="0" w:line="360" w:lineRule="auto"/>
        <w:jc w:val="left"/>
        <w:rPr>
          <w:rFonts w:hint="eastAsia" w:ascii="宋体" w:hAnsi="宋体"/>
          <w:b/>
          <w:color w:val="auto"/>
          <w:highlight w:val="none"/>
        </w:rPr>
      </w:pPr>
      <w:bookmarkStart w:id="215" w:name="_Toc642822765"/>
      <w:bookmarkEnd w:id="215"/>
      <w:bookmarkStart w:id="216" w:name="_Toc1448289376"/>
      <w:bookmarkEnd w:id="216"/>
      <w:bookmarkStart w:id="217" w:name="_Ref523403829"/>
      <w:bookmarkEnd w:id="217"/>
      <w:bookmarkStart w:id="218" w:name="_Toc603395425"/>
      <w:bookmarkEnd w:id="218"/>
      <w:bookmarkStart w:id="219" w:name="_Ref521266664"/>
      <w:bookmarkEnd w:id="219"/>
      <w:bookmarkStart w:id="220" w:name="_Toc18155989"/>
      <w:bookmarkEnd w:id="220"/>
      <w:bookmarkStart w:id="221" w:name="_Toc493327263"/>
      <w:bookmarkEnd w:id="221"/>
      <w:bookmarkStart w:id="222" w:name="_Toc83224709"/>
      <w:bookmarkEnd w:id="222"/>
      <w:bookmarkStart w:id="223" w:name="_Ref523404697"/>
      <w:bookmarkEnd w:id="223"/>
      <w:bookmarkStart w:id="224" w:name="_Toc83224708"/>
      <w:bookmarkEnd w:id="224"/>
      <w:bookmarkStart w:id="225" w:name="_Toc18155988"/>
      <w:bookmarkEnd w:id="225"/>
      <w:r>
        <w:rPr>
          <w:rFonts w:hint="eastAsia" w:ascii="宋体" w:hAnsi="宋体"/>
          <w:b/>
          <w:color w:val="auto"/>
          <w:highlight w:val="none"/>
        </w:rPr>
        <w:t>第4条 服务要求和服务成果</w:t>
      </w:r>
    </w:p>
    <w:p>
      <w:pPr>
        <w:spacing w:beforeAutospacing="0" w:afterAutospacing="0" w:line="360" w:lineRule="auto"/>
        <w:ind w:firstLine="422" w:firstLineChars="200"/>
        <w:rPr>
          <w:rFonts w:hint="eastAsia" w:ascii="宋体" w:hAnsi="宋体"/>
          <w:b/>
          <w:color w:val="auto"/>
          <w:highlight w:val="none"/>
        </w:rPr>
      </w:pPr>
      <w:bookmarkStart w:id="226" w:name="_Toc18155990"/>
      <w:bookmarkEnd w:id="226"/>
      <w:bookmarkStart w:id="227" w:name="_Ref509052510"/>
      <w:bookmarkEnd w:id="227"/>
      <w:bookmarkStart w:id="228" w:name="_Ref509052513"/>
      <w:bookmarkEnd w:id="228"/>
      <w:bookmarkStart w:id="229" w:name="_Toc83224710"/>
      <w:bookmarkEnd w:id="229"/>
      <w:bookmarkStart w:id="230" w:name="_Toc1340589664"/>
      <w:bookmarkEnd w:id="230"/>
      <w:bookmarkStart w:id="231" w:name="_Toc88260374"/>
      <w:bookmarkEnd w:id="231"/>
      <w:r>
        <w:rPr>
          <w:rFonts w:hint="eastAsia" w:ascii="宋体" w:hAnsi="宋体"/>
          <w:b/>
          <w:color w:val="auto"/>
          <w:highlight w:val="none"/>
        </w:rPr>
        <w:t>4.1咨询服务的依据</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4.1.1委托人应根据附件1［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的约定，在不影响咨询人根据服务进度计划开展服务的时间内，向咨询人提供与咨询服务有关的一切资料和信息，包括但不限于项目的相关情况以及相关承包商、供应商和咨询人的名录和信息。委托人提供上述资料超过约定期限，导致服务费用增加和（或）服务期限延长的，由委托人承担。</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4.1.2委托人应对所提供资料的真实性、准确性、合法性与完整性负责。委托人未按照约定提供必要的资料和信息，影响服务成果的质量或导致服务费用增加和（或）服务期限延长的，由委托人承担。任何一方发现资料中存在错误、疏漏或问题的，应当及时通知另一方，但对上述错误、疏漏或问题的纠正应经委托人确认。</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4.1.3委托人应当遵守法律和技术标准，不得以任何理由要求咨询人违反法律法规，压缩合理服务期限，降低技术标准和工程质量、安全标准提供咨询服务。有关的特殊标准和要求由双方在专用合同条件中约定。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4.1.4委托人要求进行主要技术指标控制的，经委托人与咨询人协商一致后应在附件1［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b/>
          <w:color w:val="auto"/>
          <w:highlight w:val="none"/>
        </w:rPr>
        <w:t>附件1  服务范围</w:t>
      </w:r>
      <w:r>
        <w:rPr>
          <w:rFonts w:hint="eastAsia" w:ascii="宋体" w:hAnsi="宋体"/>
          <w:color w:val="auto"/>
          <w:highlight w:val="none"/>
        </w:rPr>
        <w:fldChar w:fldCharType="end"/>
      </w:r>
      <w:r>
        <w:rPr>
          <w:rFonts w:hint="eastAsia" w:ascii="宋体" w:hAnsi="宋体"/>
          <w:color w:val="auto"/>
          <w:highlight w:val="none"/>
        </w:rPr>
        <w:t>］中进行约定。委托人应当严格遵守主要技术指标控制的前提条件，由于委托人的原因导致变更主要技术指标控制值的，委托人承担相应责任。咨询人应当严格执行其双方书面确认的主要技术指标控制值，由于咨询人的原因导致超出约定的主要技术指标控制值比例的，咨询人应当承担相应的违约责任。</w:t>
      </w:r>
    </w:p>
    <w:p>
      <w:pPr>
        <w:spacing w:beforeAutospacing="0" w:afterAutospacing="0" w:line="360" w:lineRule="auto"/>
        <w:ind w:firstLine="422" w:firstLineChars="200"/>
        <w:rPr>
          <w:rFonts w:hint="eastAsia" w:ascii="宋体" w:hAnsi="宋体"/>
          <w:b/>
          <w:color w:val="auto"/>
          <w:highlight w:val="none"/>
        </w:rPr>
      </w:pPr>
      <w:bookmarkStart w:id="232" w:name="_Toc83224711"/>
      <w:bookmarkEnd w:id="232"/>
      <w:bookmarkStart w:id="233" w:name="_Toc85299424"/>
      <w:bookmarkEnd w:id="233"/>
      <w:bookmarkStart w:id="234" w:name="_Toc1360195293"/>
      <w:bookmarkEnd w:id="234"/>
      <w:bookmarkStart w:id="235" w:name="_Ref522810376"/>
      <w:bookmarkEnd w:id="235"/>
      <w:bookmarkStart w:id="236" w:name="_Ref522810374"/>
      <w:bookmarkEnd w:id="236"/>
      <w:bookmarkStart w:id="237" w:name="_Toc18155991"/>
      <w:bookmarkEnd w:id="237"/>
      <w:r>
        <w:rPr>
          <w:rFonts w:hint="eastAsia" w:ascii="宋体" w:hAnsi="宋体"/>
          <w:b/>
          <w:color w:val="auto"/>
          <w:highlight w:val="none"/>
        </w:rPr>
        <w:t>4.2对服务成果的要求</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4.2.1服务成果应符合法律、技术标准、现行规范的强制性规定及合同约定。具体的服务成果内容和要求在附件1［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］中约定。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4.2.2咨询人应对其所提供的服务成果的真实性、有效性和科学性负责。因咨询人原因造成服务成果不合格的，包括由于服务成果的质量问题、数据不实、计算方法错误所导致的决策失误，委托人有权要求咨询人采取补救措施，直至达到合同要求的质量标准，并按照合同约定承担相应违约责任。</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4.2.3因委托人原因造成服务成果不合格的，咨询人应当采取补救措施，直至达到合同要求的质量标准，由此导致服务费用增加和（或）服务期限延长的，由委托人承担。</w:t>
      </w:r>
    </w:p>
    <w:p>
      <w:pPr>
        <w:spacing w:beforeAutospacing="0" w:afterAutospacing="0" w:line="360" w:lineRule="auto"/>
        <w:ind w:firstLine="422" w:firstLineChars="200"/>
        <w:rPr>
          <w:rFonts w:hint="eastAsia" w:ascii="宋体" w:hAnsi="宋体"/>
          <w:b/>
          <w:color w:val="auto"/>
          <w:highlight w:val="none"/>
        </w:rPr>
      </w:pPr>
      <w:bookmarkStart w:id="238" w:name="_Toc580398812"/>
      <w:bookmarkEnd w:id="238"/>
      <w:bookmarkStart w:id="239" w:name="_Ref522136266"/>
      <w:bookmarkEnd w:id="239"/>
      <w:bookmarkStart w:id="240" w:name="_Toc83224712"/>
      <w:bookmarkEnd w:id="240"/>
      <w:bookmarkStart w:id="241" w:name="_Ref522136264"/>
      <w:bookmarkEnd w:id="241"/>
      <w:bookmarkStart w:id="242" w:name="_Toc1135854328"/>
      <w:bookmarkEnd w:id="242"/>
      <w:bookmarkStart w:id="243" w:name="_Toc18155992"/>
      <w:bookmarkEnd w:id="243"/>
      <w:r>
        <w:rPr>
          <w:rFonts w:hint="eastAsia" w:ascii="宋体" w:hAnsi="宋体"/>
          <w:b/>
          <w:color w:val="auto"/>
          <w:highlight w:val="none"/>
        </w:rPr>
        <w:t>4.3服务成果的交付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4.3.1咨询人应按照附件3［</w:t>
      </w:r>
      <w:r>
        <w:rPr>
          <w:rFonts w:hint="eastAsia" w:ascii="宋体" w:hAnsi="宋体"/>
          <w:color w:val="auto"/>
          <w:highlight w:val="none"/>
        </w:rPr>
        <w:fldChar w:fldCharType="begin"/>
      </w:r>
      <w:r>
        <w:rPr>
          <w:rFonts w:hint="eastAsia" w:ascii="宋体" w:hAnsi="宋体"/>
          <w:color w:val="auto"/>
          <w:highlight w:val="none"/>
        </w:rPr>
        <w:instrText xml:space="preserve">REF _Ref18241628 \h \* MERGEFORMAT </w:instrText>
      </w:r>
      <w:r>
        <w:rPr>
          <w:rFonts w:hint="eastAsia" w:ascii="宋体" w:hAnsi="宋体"/>
          <w:color w:val="auto"/>
          <w:highlight w:val="none"/>
        </w:rPr>
        <w:fldChar w:fldCharType="separate"/>
      </w:r>
      <w:r>
        <w:rPr>
          <w:rFonts w:hint="eastAsia" w:ascii="宋体" w:hAnsi="宋体"/>
          <w:color w:val="auto"/>
          <w:highlight w:val="none"/>
        </w:rPr>
        <w:t>附件3</w:t>
      </w:r>
      <w:r>
        <w:rPr>
          <w:rFonts w:hint="eastAsia" w:ascii="宋体" w:hAnsi="宋体"/>
          <w:b/>
          <w:color w:val="auto"/>
          <w:highlight w:val="none"/>
        </w:rPr>
        <w:t xml:space="preserve"> 进度计划</w:t>
      </w:r>
      <w:r>
        <w:rPr>
          <w:rFonts w:hint="eastAsia" w:ascii="宋体" w:hAnsi="宋体"/>
          <w:color w:val="auto"/>
          <w:highlight w:val="none"/>
        </w:rPr>
        <w:fldChar w:fldCharType="end"/>
      </w:r>
      <w:r>
        <w:rPr>
          <w:rFonts w:hint="eastAsia" w:ascii="宋体" w:hAnsi="宋体"/>
          <w:color w:val="auto"/>
          <w:highlight w:val="none"/>
        </w:rPr>
        <w:t>］约定的服务成果交付时间向委托人交付服务成果，委托人应当出具书面签收单。</w:t>
      </w:r>
    </w:p>
    <w:p>
      <w:pPr>
        <w:spacing w:beforeAutospacing="0" w:afterAutospacing="0" w:line="360" w:lineRule="auto"/>
        <w:ind w:firstLine="420" w:firstLineChars="200"/>
        <w:jc w:val="left"/>
        <w:rPr>
          <w:rFonts w:hint="eastAsia" w:ascii="宋体" w:hAnsi="宋体"/>
          <w:color w:val="auto"/>
          <w:highlight w:val="none"/>
        </w:rPr>
      </w:pPr>
      <w:bookmarkStart w:id="244" w:name="_Ref523404630"/>
      <w:bookmarkEnd w:id="244"/>
      <w:r>
        <w:rPr>
          <w:rFonts w:hint="eastAsia" w:ascii="宋体" w:hAnsi="宋体"/>
          <w:color w:val="auto"/>
          <w:highlight w:val="none"/>
        </w:rPr>
        <w:t>4.3.2委托人要求咨询人提前交付服务成果的，应向咨询人下达提前交付的书面通知并明确提前交付的内容，但委托人不得压缩合理的服务期限。咨询人应向委托人提交提前交付服务成果建议书，该建议书应包括实施的方案、缩短的时间、增加的服务费用等内容。委托人接受该建议书的，咨询人应按照该建议书修订咨询服务进度计划，由此增加的服务费用由委托人承担。咨询人认为提前交付服务成果无法执行的，应向委托人提出书面异议，委托人应在收到异议后7天内予以答复，7天内未予答复的，视为委托人认可咨询人的书面异议。</w:t>
      </w:r>
    </w:p>
    <w:p>
      <w:pPr>
        <w:spacing w:beforeAutospacing="0" w:afterAutospacing="0" w:line="360" w:lineRule="auto"/>
        <w:ind w:firstLine="420" w:firstLineChars="200"/>
        <w:jc w:val="left"/>
        <w:rPr>
          <w:rFonts w:hint="eastAsia" w:ascii="宋体" w:hAnsi="宋体"/>
          <w:color w:val="auto"/>
          <w:highlight w:val="none"/>
        </w:rPr>
      </w:pPr>
      <w:bookmarkStart w:id="245" w:name="_Ref523727848"/>
      <w:bookmarkEnd w:id="245"/>
      <w:r>
        <w:rPr>
          <w:rFonts w:hint="eastAsia" w:ascii="宋体" w:hAnsi="宋体"/>
          <w:color w:val="auto"/>
          <w:highlight w:val="none"/>
        </w:rPr>
        <w:t>4.3.3委托人要求咨询人提前交付服务成果的，或咨询人提出提前交付服务成果的建议能够给委托人带来效益的，合同当事人可以在附件2［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］中约定对提前交付服务成果的奖励。</w:t>
      </w:r>
    </w:p>
    <w:p>
      <w:pPr>
        <w:spacing w:beforeAutospacing="0" w:afterAutospacing="0" w:line="360" w:lineRule="auto"/>
        <w:ind w:firstLine="422" w:firstLineChars="200"/>
        <w:rPr>
          <w:rFonts w:hint="eastAsia" w:ascii="宋体" w:hAnsi="宋体"/>
          <w:b/>
          <w:color w:val="auto"/>
          <w:highlight w:val="none"/>
        </w:rPr>
      </w:pPr>
      <w:bookmarkStart w:id="246" w:name="_Ref523403644"/>
      <w:bookmarkEnd w:id="246"/>
      <w:bookmarkStart w:id="247" w:name="_Ref523403710"/>
      <w:bookmarkEnd w:id="247"/>
      <w:bookmarkStart w:id="248" w:name="_Toc1373284844"/>
      <w:bookmarkEnd w:id="248"/>
      <w:bookmarkStart w:id="249" w:name="_Toc18155993"/>
      <w:bookmarkEnd w:id="249"/>
      <w:bookmarkStart w:id="250" w:name="_Toc83224713"/>
      <w:bookmarkEnd w:id="250"/>
      <w:bookmarkStart w:id="251" w:name="_Toc866974265"/>
      <w:bookmarkEnd w:id="251"/>
      <w:bookmarkStart w:id="252" w:name="_Ref523403707"/>
      <w:bookmarkEnd w:id="252"/>
      <w:bookmarkStart w:id="253" w:name="_Ref523404676"/>
      <w:bookmarkEnd w:id="253"/>
      <w:bookmarkStart w:id="254" w:name="_Ref523403738"/>
      <w:bookmarkEnd w:id="254"/>
      <w:r>
        <w:rPr>
          <w:rFonts w:hint="eastAsia" w:ascii="宋体" w:hAnsi="宋体"/>
          <w:b/>
          <w:color w:val="auto"/>
          <w:highlight w:val="none"/>
        </w:rPr>
        <w:t>4.4服务成果的审查</w:t>
      </w:r>
    </w:p>
    <w:p>
      <w:pPr>
        <w:spacing w:beforeAutospacing="0" w:afterAutospacing="0" w:line="360" w:lineRule="auto"/>
        <w:ind w:firstLine="420" w:firstLineChars="200"/>
        <w:jc w:val="left"/>
        <w:rPr>
          <w:rFonts w:hint="eastAsia" w:ascii="宋体" w:hAnsi="宋体"/>
          <w:color w:val="auto"/>
          <w:highlight w:val="none"/>
        </w:rPr>
      </w:pPr>
      <w:bookmarkStart w:id="255" w:name="_Ref523706279"/>
      <w:bookmarkEnd w:id="255"/>
      <w:r>
        <w:rPr>
          <w:rFonts w:hint="eastAsia" w:ascii="宋体" w:hAnsi="宋体"/>
          <w:color w:val="auto"/>
          <w:highlight w:val="none"/>
        </w:rPr>
        <w:t>4.4.1咨询人的服务成果应报委托人审查同意。审查的范围和标准在附件1［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］中约定。审查的具体标准应符合法律规定、技术标准要求和合同约定。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本合同对期限另有约定外，委托人收到咨询人的服务成果后，应在21天内做出审查结论或提出异议。委托人对服务成果有异议的，应以书面形式通知咨询人，并说明不符合合同要求的具体内容。咨询人应根据委托人的书面说明，进行修改后重新报送委托人审查，上述21天的答复期限应重新起算。</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合同约定的答复期限届满，委托人没有做出审查结论也没有提出异议的，除服务成果需经政府部门审查和批准外，视为咨询人的服务成果已获委托人同意。</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4.4.2如果委托人的修改意见超出或更改了附件1［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］所约定的服务范围，应适用</w:t>
      </w:r>
      <w:r>
        <w:rPr>
          <w:rFonts w:hint="eastAsia" w:ascii="宋体" w:hAnsi="宋体"/>
          <w:color w:val="auto"/>
          <w:highlight w:val="none"/>
        </w:rPr>
        <w:fldChar w:fldCharType="begin"/>
      </w:r>
      <w:r>
        <w:rPr>
          <w:rFonts w:hint="eastAsia" w:ascii="宋体" w:hAnsi="宋体"/>
          <w:color w:val="auto"/>
          <w:highlight w:val="none"/>
        </w:rPr>
        <w:instrText xml:space="preserve"> REF _Ref521266679 \r \h  \* MERGEFORMAT </w:instrText>
      </w:r>
      <w:r>
        <w:rPr>
          <w:rFonts w:hint="eastAsia" w:ascii="宋体" w:hAnsi="宋体"/>
          <w:color w:val="auto"/>
          <w:highlight w:val="none"/>
        </w:rPr>
        <w:fldChar w:fldCharType="separate"/>
      </w:r>
      <w:r>
        <w:rPr>
          <w:rFonts w:hint="eastAsia" w:ascii="宋体" w:hAnsi="宋体"/>
          <w:color w:val="auto"/>
          <w:highlight w:val="none"/>
        </w:rPr>
        <w:t>0</w:t>
      </w:r>
      <w:r>
        <w:rPr>
          <w:rFonts w:hint="eastAsia" w:ascii="宋体" w:hAnsi="宋体"/>
          <w:color w:val="auto"/>
          <w:highlight w:val="none"/>
        </w:rPr>
        <w:fldChar w:fldCharType="end"/>
      </w:r>
      <w:r>
        <w:rPr>
          <w:rFonts w:hint="eastAsia" w:ascii="宋体" w:hAnsi="宋体"/>
          <w:color w:val="auto"/>
          <w:highlight w:val="none"/>
        </w:rPr>
        <w:t>［</w:t>
      </w:r>
      <w:r>
        <w:rPr>
          <w:rFonts w:hint="eastAsia" w:ascii="宋体" w:hAnsi="宋体"/>
          <w:color w:val="auto"/>
          <w:highlight w:val="none"/>
        </w:rPr>
        <w:fldChar w:fldCharType="begin"/>
      </w:r>
      <w:r>
        <w:rPr>
          <w:rFonts w:hint="eastAsia" w:ascii="宋体" w:hAnsi="宋体"/>
          <w:color w:val="auto"/>
          <w:highlight w:val="none"/>
        </w:rPr>
        <w:instrText xml:space="preserve">REF _Ref14106185 \h \* MERGEFORMAT </w:instrText>
      </w:r>
      <w:r>
        <w:rPr>
          <w:rFonts w:hint="eastAsia" w:ascii="宋体" w:hAnsi="宋体"/>
          <w:color w:val="auto"/>
          <w:highlight w:val="none"/>
        </w:rPr>
        <w:fldChar w:fldCharType="separate"/>
      </w:r>
      <w:r>
        <w:rPr>
          <w:rFonts w:hint="eastAsia" w:ascii="宋体" w:hAnsi="宋体"/>
          <w:color w:val="auto"/>
          <w:highlight w:val="none"/>
        </w:rPr>
        <w:t>第7条 变更和服务费用调整</w:t>
      </w:r>
      <w:r>
        <w:rPr>
          <w:rFonts w:hint="eastAsia" w:ascii="宋体" w:hAnsi="宋体"/>
          <w:color w:val="auto"/>
          <w:highlight w:val="none"/>
        </w:rPr>
        <w:fldChar w:fldCharType="end"/>
      </w:r>
      <w:r>
        <w:rPr>
          <w:rFonts w:hint="eastAsia" w:ascii="宋体" w:hAnsi="宋体"/>
          <w:color w:val="auto"/>
          <w:highlight w:val="none"/>
        </w:rPr>
        <w:t>］的约定。</w:t>
      </w:r>
    </w:p>
    <w:p>
      <w:pPr>
        <w:spacing w:beforeAutospacing="0" w:afterAutospacing="0" w:line="360" w:lineRule="auto"/>
        <w:ind w:firstLine="420" w:firstLineChars="200"/>
        <w:jc w:val="left"/>
        <w:rPr>
          <w:rFonts w:hint="eastAsia" w:ascii="宋体" w:hAnsi="宋体"/>
          <w:color w:val="auto"/>
          <w:highlight w:val="none"/>
        </w:rPr>
      </w:pPr>
      <w:bookmarkStart w:id="256" w:name="_Ref523706367"/>
      <w:bookmarkEnd w:id="256"/>
      <w:r>
        <w:rPr>
          <w:rFonts w:hint="eastAsia" w:ascii="宋体" w:hAnsi="宋体"/>
          <w:color w:val="auto"/>
          <w:highlight w:val="none"/>
        </w:rPr>
        <w:t>4.4.3服务成果需政府有关部门审查或批准的，委托人应在审查同意咨询人的服务成果后在专用合同条件约定的期限内，向政府有关部门报送服务成果，咨询人应予以协助。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咨询人需按政府有关部门的审查意见修改服务成果。如上述审查意见构成了对附件1</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］所约定的服务范围的变更的，委托人应当根据第7条［</w:t>
      </w:r>
      <w:r>
        <w:rPr>
          <w:rFonts w:hint="eastAsia" w:ascii="宋体" w:hAnsi="宋体"/>
          <w:color w:val="auto"/>
          <w:highlight w:val="none"/>
        </w:rPr>
        <w:fldChar w:fldCharType="begin"/>
      </w:r>
      <w:r>
        <w:rPr>
          <w:rFonts w:hint="eastAsia" w:ascii="宋体" w:hAnsi="宋体"/>
          <w:color w:val="auto"/>
          <w:highlight w:val="none"/>
        </w:rPr>
        <w:instrText xml:space="preserve">REF _Ref14106185 \h \* MERGEFORMAT </w:instrText>
      </w:r>
      <w:r>
        <w:rPr>
          <w:rFonts w:hint="eastAsia" w:ascii="宋体" w:hAnsi="宋体"/>
          <w:color w:val="auto"/>
          <w:highlight w:val="none"/>
        </w:rPr>
        <w:fldChar w:fldCharType="separate"/>
      </w:r>
      <w:r>
        <w:rPr>
          <w:rFonts w:hint="eastAsia" w:ascii="宋体" w:hAnsi="宋体"/>
          <w:color w:val="auto"/>
          <w:highlight w:val="none"/>
        </w:rPr>
        <w:t>第7条</w:t>
      </w:r>
      <w:r>
        <w:rPr>
          <w:rFonts w:hint="eastAsia" w:ascii="宋体" w:hAnsi="宋体"/>
          <w:b/>
          <w:color w:val="auto"/>
          <w:highlight w:val="none"/>
        </w:rPr>
        <w:t xml:space="preserve"> 变更和服务费用调整</w:t>
      </w:r>
      <w:r>
        <w:rPr>
          <w:rFonts w:hint="eastAsia" w:ascii="宋体" w:hAnsi="宋体"/>
          <w:color w:val="auto"/>
          <w:highlight w:val="none"/>
        </w:rPr>
        <w:fldChar w:fldCharType="end"/>
      </w:r>
      <w:r>
        <w:rPr>
          <w:rFonts w:hint="eastAsia" w:ascii="宋体" w:hAnsi="宋体"/>
          <w:color w:val="auto"/>
          <w:highlight w:val="none"/>
        </w:rPr>
        <w:t>］向咨询人另行支付费用。</w:t>
      </w:r>
    </w:p>
    <w:p>
      <w:pPr>
        <w:spacing w:beforeAutospacing="0" w:afterAutospacing="0" w:line="360" w:lineRule="auto"/>
        <w:ind w:firstLine="420" w:firstLineChars="200"/>
        <w:jc w:val="left"/>
        <w:rPr>
          <w:rFonts w:hint="eastAsia" w:ascii="宋体" w:hAnsi="宋体"/>
          <w:color w:val="auto"/>
          <w:highlight w:val="none"/>
        </w:rPr>
      </w:pPr>
      <w:bookmarkStart w:id="257" w:name="_Ref523743499"/>
      <w:bookmarkEnd w:id="257"/>
      <w:r>
        <w:rPr>
          <w:rFonts w:hint="eastAsia" w:ascii="宋体" w:hAnsi="宋体"/>
          <w:color w:val="auto"/>
          <w:highlight w:val="none"/>
        </w:rPr>
        <w:t>4.4.4委托人需要组织审查会议对服务成果进行审查的，审查会议的形式、组织方和时间安排，在专用合同条件中约定。服务成果审查会议的会议费用及委托人的上级单位、政府有关部门参加审查会议的费用由委托人承担。</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咨询人有义务参加委托人组织的审查会议，向审查者介绍、解答、解释其服务成果，并提供有关补充资料。</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委托人有义务向咨询人提供审查会议的批准文件和纪要。咨询人有义务按照相关审查会议批准的文件和纪要，并依据合同约定及相关技术标准，对服务成果进行修改、补充和完善。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4.4.5因咨询人原因，未能按第4.3款［</w:t>
      </w:r>
      <w:r>
        <w:rPr>
          <w:rFonts w:hint="eastAsia" w:ascii="宋体" w:hAnsi="宋体"/>
          <w:color w:val="auto"/>
          <w:highlight w:val="none"/>
        </w:rPr>
        <w:fldChar w:fldCharType="begin"/>
      </w:r>
      <w:r>
        <w:rPr>
          <w:rFonts w:hint="eastAsia" w:ascii="宋体" w:hAnsi="宋体"/>
          <w:color w:val="auto"/>
          <w:highlight w:val="none"/>
        </w:rPr>
        <w:instrText xml:space="preserve"> REF _Ref522136266 \h  \* MERGEFORMAT </w:instrText>
      </w:r>
      <w:r>
        <w:rPr>
          <w:rFonts w:hint="eastAsia" w:ascii="宋体" w:hAnsi="宋体"/>
          <w:color w:val="auto"/>
          <w:highlight w:val="none"/>
        </w:rPr>
        <w:fldChar w:fldCharType="separate"/>
      </w:r>
      <w:r>
        <w:rPr>
          <w:rFonts w:hint="eastAsia" w:ascii="宋体" w:hAnsi="宋体"/>
          <w:color w:val="auto"/>
          <w:highlight w:val="none"/>
        </w:rPr>
        <w:t>4.3服务成果的交付</w:t>
      </w:r>
      <w:r>
        <w:rPr>
          <w:rFonts w:hint="eastAsia" w:ascii="宋体" w:hAnsi="宋体"/>
          <w:color w:val="auto"/>
          <w:highlight w:val="none"/>
        </w:rPr>
        <w:fldChar w:fldCharType="end"/>
      </w:r>
      <w:r>
        <w:rPr>
          <w:rFonts w:hint="eastAsia" w:ascii="宋体" w:hAnsi="宋体"/>
          <w:color w:val="auto"/>
          <w:highlight w:val="none"/>
        </w:rPr>
        <w:t>］约定的时间向委托人提交服务成果，致使审查无法进行或无法按期进行，造成服务进度计划延误、窝工损失及委托人费用增加的，咨询人应按第11条［</w:t>
      </w:r>
      <w:r>
        <w:rPr>
          <w:rFonts w:hint="eastAsia" w:ascii="宋体" w:hAnsi="宋体"/>
          <w:color w:val="auto"/>
          <w:highlight w:val="none"/>
        </w:rPr>
        <w:fldChar w:fldCharType="begin"/>
      </w:r>
      <w:r>
        <w:rPr>
          <w:rFonts w:hint="eastAsia" w:ascii="宋体" w:hAnsi="宋体"/>
          <w:color w:val="auto"/>
          <w:highlight w:val="none"/>
        </w:rPr>
        <w:instrText xml:space="preserve"> REF _Ref521268028 \h  \* MERGEFORMAT </w:instrText>
      </w:r>
      <w:r>
        <w:rPr>
          <w:rFonts w:hint="eastAsia" w:ascii="宋体" w:hAnsi="宋体"/>
          <w:color w:val="auto"/>
          <w:highlight w:val="none"/>
        </w:rPr>
        <w:fldChar w:fldCharType="separate"/>
      </w:r>
      <w:r>
        <w:rPr>
          <w:rFonts w:hint="eastAsia" w:ascii="宋体" w:hAnsi="宋体"/>
          <w:color w:val="auto"/>
          <w:highlight w:val="none"/>
        </w:rPr>
        <w:t>第11条</w:t>
      </w:r>
      <w:r>
        <w:rPr>
          <w:rFonts w:hint="eastAsia" w:ascii="宋体" w:hAnsi="宋体"/>
          <w:b/>
          <w:color w:val="auto"/>
          <w:highlight w:val="none"/>
        </w:rPr>
        <w:t xml:space="preserve">  违约责任</w:t>
      </w:r>
      <w:r>
        <w:rPr>
          <w:rFonts w:hint="eastAsia" w:ascii="宋体" w:hAnsi="宋体"/>
          <w:color w:val="auto"/>
          <w:highlight w:val="none"/>
        </w:rPr>
        <w:fldChar w:fldCharType="end"/>
      </w:r>
      <w:r>
        <w:rPr>
          <w:rFonts w:hint="eastAsia" w:ascii="宋体" w:hAnsi="宋体"/>
          <w:color w:val="auto"/>
          <w:highlight w:val="none"/>
        </w:rPr>
        <w:t>］的约定承担责任。</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因委托人原因，致使服务成果审查无法进行或无法按期进行，导致服务费用增加和（或）服务期限延长的，由委托人承担。</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4.4.6因咨询人原因造成服务成果不合格致使文件审查无法通过的，委托人有权要求咨询人采取补救措施，直至达到合同要求的质量标准，并按［</w:t>
      </w:r>
      <w:r>
        <w:rPr>
          <w:rFonts w:hint="eastAsia" w:ascii="宋体" w:hAnsi="宋体"/>
          <w:color w:val="auto"/>
          <w:highlight w:val="none"/>
        </w:rPr>
        <w:fldChar w:fldCharType="begin"/>
      </w:r>
      <w:r>
        <w:rPr>
          <w:rFonts w:hint="eastAsia" w:ascii="宋体" w:hAnsi="宋体"/>
          <w:color w:val="auto"/>
          <w:highlight w:val="none"/>
        </w:rPr>
        <w:instrText xml:space="preserve"> REF _Ref521268028 \h  \* MERGEFORMAT </w:instrText>
      </w:r>
      <w:r>
        <w:rPr>
          <w:rFonts w:hint="eastAsia" w:ascii="宋体" w:hAnsi="宋体"/>
          <w:color w:val="auto"/>
          <w:highlight w:val="none"/>
        </w:rPr>
        <w:fldChar w:fldCharType="separate"/>
      </w:r>
      <w:r>
        <w:rPr>
          <w:rFonts w:hint="eastAsia" w:ascii="宋体" w:hAnsi="宋体"/>
          <w:color w:val="auto"/>
          <w:highlight w:val="none"/>
        </w:rPr>
        <w:t>第11条  违约责任</w:t>
      </w:r>
      <w:r>
        <w:rPr>
          <w:rFonts w:hint="eastAsia" w:ascii="宋体" w:hAnsi="宋体"/>
          <w:color w:val="auto"/>
          <w:highlight w:val="none"/>
        </w:rPr>
        <w:fldChar w:fldCharType="end"/>
      </w:r>
      <w:r>
        <w:rPr>
          <w:rFonts w:hint="eastAsia" w:ascii="宋体" w:hAnsi="宋体"/>
          <w:color w:val="auto"/>
          <w:highlight w:val="none"/>
        </w:rPr>
        <w:t>］的约定承担责任。</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因委托人原因造成服务成果不合格致使文件审查无法通过，导致服务费用增加和（或）服务期限延长的，由委托人承担。</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4.4.7委托人对服务成果的审查，不减轻或免除咨询人依据法律应当承担的责任。</w:t>
      </w:r>
    </w:p>
    <w:p>
      <w:pPr>
        <w:spacing w:beforeAutospacing="0" w:afterAutospacing="0" w:line="360" w:lineRule="auto"/>
        <w:ind w:firstLine="422" w:firstLineChars="200"/>
        <w:rPr>
          <w:rFonts w:hint="eastAsia" w:ascii="宋体" w:hAnsi="宋体"/>
          <w:b/>
          <w:color w:val="auto"/>
          <w:highlight w:val="none"/>
        </w:rPr>
      </w:pPr>
      <w:bookmarkStart w:id="258" w:name="_Toc83224714"/>
      <w:bookmarkEnd w:id="258"/>
      <w:bookmarkStart w:id="259" w:name="_Toc1523109707"/>
      <w:bookmarkEnd w:id="259"/>
      <w:bookmarkStart w:id="260" w:name="_Ref523403844"/>
      <w:bookmarkEnd w:id="260"/>
      <w:bookmarkStart w:id="261" w:name="_Toc18155994"/>
      <w:bookmarkEnd w:id="261"/>
      <w:bookmarkStart w:id="262" w:name="_Ref523404669"/>
      <w:bookmarkEnd w:id="262"/>
      <w:bookmarkStart w:id="263" w:name="_Toc1597568833"/>
      <w:bookmarkEnd w:id="263"/>
      <w:r>
        <w:rPr>
          <w:rFonts w:hint="eastAsia" w:ascii="宋体" w:hAnsi="宋体"/>
          <w:b/>
          <w:color w:val="auto"/>
          <w:highlight w:val="none"/>
        </w:rPr>
        <w:t>4.5管理和配合服务</w:t>
      </w:r>
    </w:p>
    <w:p>
      <w:pPr>
        <w:spacing w:beforeAutospacing="0" w:afterAutospacing="0" w:line="360" w:lineRule="auto"/>
        <w:ind w:firstLine="420" w:firstLineChars="200"/>
        <w:jc w:val="left"/>
        <w:rPr>
          <w:rFonts w:hint="eastAsia" w:ascii="宋体" w:hAnsi="宋体"/>
          <w:color w:val="auto"/>
          <w:highlight w:val="none"/>
        </w:rPr>
      </w:pPr>
      <w:bookmarkStart w:id="264" w:name="_Ref523696599"/>
      <w:bookmarkEnd w:id="264"/>
      <w:r>
        <w:rPr>
          <w:rFonts w:hint="eastAsia" w:ascii="宋体" w:hAnsi="宋体"/>
          <w:color w:val="auto"/>
          <w:highlight w:val="none"/>
        </w:rPr>
        <w:t>4.5.1咨询人应根据［</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］以及相关法律法规的规定，对工程合同相关的承包商、供应商、其他咨询方或委托人在工程合同下的其他相对方进行管理和提供配合。此类管理和配合服务包括但不限于：</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（1）作为投资决策咨询人，就相关影响投资项目可行性的要素与项目各相关方进行联系和沟通，提供科学的决策依据和建议；</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（2）作为招标代理人，根据招标采购的需要，与投标人、评标人、相关政府机构等相关方进行联系协调；</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（3）作为勘察人积极提供勘察配合服务，进行勘察技术交底，委派专业人员配合及时解决与勘察有关的问题，参与基坑基底验收和工程竣工验收等工作；</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（4）作为设计人积极提供设计配合服务，进行设计技术交底、施工现场服务、参与施工过程验收、参与投产试车（试运行）、参与工程竣工验收等工作；</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5</w:t>
      </w:r>
      <w:r>
        <w:rPr>
          <w:rFonts w:hint="eastAsia" w:ascii="宋体" w:hAnsi="宋体"/>
          <w:color w:val="auto"/>
          <w:highlight w:val="none"/>
        </w:rPr>
        <w:t>）作为造价咨询人，与承包商等项目各参与方就项目资金使用、竣工结算等工程造价相关事宜进行联系与沟通，协调项目参与各方的关系；</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6</w:t>
      </w:r>
      <w:r>
        <w:rPr>
          <w:rFonts w:hint="eastAsia" w:ascii="宋体" w:hAnsi="宋体"/>
          <w:color w:val="auto"/>
          <w:highlight w:val="none"/>
        </w:rPr>
        <w:t>）作为项目管理人对招标代理、勘察、设计、造价等服务及相关活动进行统筹管理工作。</w:t>
      </w:r>
    </w:p>
    <w:p>
      <w:pPr>
        <w:spacing w:beforeAutospacing="0" w:afterAutospacing="0" w:line="360" w:lineRule="auto"/>
        <w:ind w:firstLine="420" w:firstLineChars="200"/>
        <w:jc w:val="left"/>
        <w:rPr>
          <w:rFonts w:hint="eastAsia" w:ascii="宋体" w:hAnsi="宋体"/>
          <w:color w:val="auto"/>
          <w:highlight w:val="none"/>
        </w:rPr>
      </w:pPr>
      <w:bookmarkStart w:id="265" w:name="_Ref523696443"/>
      <w:bookmarkEnd w:id="265"/>
      <w:r>
        <w:rPr>
          <w:rFonts w:hint="eastAsia" w:ascii="宋体" w:hAnsi="宋体"/>
          <w:color w:val="auto"/>
          <w:highlight w:val="none"/>
        </w:rPr>
        <w:t>4.5.2咨询人根据［</w:t>
      </w:r>
      <w:r>
        <w:rPr>
          <w:rFonts w:hint="eastAsia" w:ascii="宋体" w:hAnsi="宋体"/>
          <w:color w:val="auto"/>
          <w:highlight w:val="none"/>
        </w:rPr>
        <w:fldChar w:fldCharType="begin"/>
      </w:r>
      <w:r>
        <w:rPr>
          <w:rFonts w:hint="eastAsia" w:ascii="宋体" w:hAnsi="宋体"/>
          <w:color w:val="auto"/>
          <w:highlight w:val="none"/>
        </w:rPr>
        <w:instrText xml:space="preserve"> REF _Ref521078342 \h  \* MERGEFORMAT </w:instrText>
      </w:r>
      <w:r>
        <w:rPr>
          <w:rFonts w:hint="eastAsia" w:ascii="宋体" w:hAnsi="宋体"/>
          <w:color w:val="auto"/>
          <w:highlight w:val="none"/>
        </w:rPr>
        <w:fldChar w:fldCharType="separate"/>
      </w:r>
      <w:r>
        <w:rPr>
          <w:rFonts w:hint="eastAsia" w:ascii="宋体" w:hAnsi="宋体"/>
          <w:color w:val="auto"/>
          <w:highlight w:val="none"/>
        </w:rPr>
        <w:t>附件1</w:t>
      </w:r>
      <w:r>
        <w:rPr>
          <w:rFonts w:hint="eastAsia" w:ascii="宋体" w:hAnsi="宋体"/>
          <w:b/>
          <w:color w:val="auto"/>
          <w:highlight w:val="none"/>
        </w:rPr>
        <w:t xml:space="preserve">  服务范围</w:t>
      </w:r>
      <w:r>
        <w:rPr>
          <w:rFonts w:hint="eastAsia" w:ascii="宋体" w:hAnsi="宋体"/>
          <w:color w:val="auto"/>
          <w:highlight w:val="none"/>
        </w:rPr>
        <w:fldChar w:fldCharType="end"/>
      </w:r>
      <w:r>
        <w:rPr>
          <w:rFonts w:hint="eastAsia" w:ascii="宋体" w:hAnsi="宋体"/>
          <w:color w:val="auto"/>
          <w:highlight w:val="none"/>
        </w:rPr>
        <w:t>］提供管理和配合服务时，应当根据委托人的授权以及合同约定代表委托人进行。具体授权范围在专用合同条件中约定，且委托人应将对咨询人的授权和对权限的限制在工程合同中写明或书面告知委托人在工程合同下的相对方。如咨询人或咨询项目总负责人在合同下的授权权限与工程合同下的职责存在歧义或矛盾，咨询人应通知委托人，且委托人应尽快给出指示以纠正该歧义或矛盾，必要时应根据合同约定签发服务变更的通知。</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4.5.3在委托人和工程合同相对方之间提供证明、行使决定权或处理权时，咨询人应当作为独立的专业人员，根据自己的专业技能和判断进行工作，并提供必要的证明资料。在咨询人做出任何影响该工程合同相对方义务的指示和决定前，对于可能对费用、质量或时间产生重大影响的任何变更，须事先得到委托人的批准。因情况紧急，难以和委托人取得联系的，咨询人应当妥善处理委托事务，但事后应尽快将该情况通知委托人。</w:t>
      </w:r>
    </w:p>
    <w:p>
      <w:pPr>
        <w:spacing w:beforeAutospacing="0" w:afterAutospacing="0" w:line="360" w:lineRule="auto"/>
        <w:jc w:val="left"/>
        <w:rPr>
          <w:rFonts w:hint="eastAsia" w:ascii="宋体" w:hAnsi="宋体"/>
          <w:b/>
          <w:color w:val="auto"/>
          <w:highlight w:val="none"/>
        </w:rPr>
      </w:pPr>
      <w:bookmarkStart w:id="266" w:name="_Toc18155995"/>
      <w:bookmarkEnd w:id="266"/>
      <w:bookmarkStart w:id="267" w:name="_Toc83224715"/>
      <w:bookmarkEnd w:id="267"/>
      <w:bookmarkStart w:id="268" w:name="_Toc117333926"/>
      <w:bookmarkEnd w:id="268"/>
      <w:bookmarkStart w:id="269" w:name="_Toc965282588"/>
      <w:bookmarkEnd w:id="269"/>
      <w:bookmarkStart w:id="270" w:name="_Ref508998009"/>
      <w:bookmarkEnd w:id="270"/>
      <w:r>
        <w:rPr>
          <w:rFonts w:hint="eastAsia" w:ascii="宋体" w:hAnsi="宋体"/>
          <w:b/>
          <w:color w:val="auto"/>
          <w:highlight w:val="none"/>
        </w:rPr>
        <w:t>第5条  进度计划、延误和暂停</w:t>
      </w:r>
    </w:p>
    <w:p>
      <w:pPr>
        <w:spacing w:beforeAutospacing="0" w:afterAutospacing="0" w:line="360" w:lineRule="auto"/>
        <w:ind w:firstLine="422" w:firstLineChars="200"/>
        <w:rPr>
          <w:rFonts w:hint="eastAsia" w:ascii="宋体" w:hAnsi="宋体"/>
          <w:b/>
          <w:color w:val="auto"/>
          <w:highlight w:val="none"/>
        </w:rPr>
      </w:pPr>
      <w:bookmarkStart w:id="271" w:name="_Toc18155996"/>
      <w:bookmarkEnd w:id="271"/>
      <w:bookmarkStart w:id="272" w:name="_Toc576847582"/>
      <w:bookmarkEnd w:id="272"/>
      <w:bookmarkStart w:id="273" w:name="_Toc83224716"/>
      <w:bookmarkEnd w:id="273"/>
      <w:bookmarkStart w:id="274" w:name="_Ref509051546"/>
      <w:bookmarkEnd w:id="274"/>
      <w:bookmarkStart w:id="275" w:name="_Toc1235669485"/>
      <w:bookmarkEnd w:id="275"/>
      <w:bookmarkStart w:id="276" w:name="_Ref509051550"/>
      <w:bookmarkEnd w:id="276"/>
      <w:r>
        <w:rPr>
          <w:rFonts w:hint="eastAsia" w:ascii="宋体" w:hAnsi="宋体"/>
          <w:b/>
          <w:color w:val="auto"/>
          <w:highlight w:val="none"/>
        </w:rPr>
        <w:t>5.1服务的开始和完成</w:t>
      </w:r>
    </w:p>
    <w:p>
      <w:pPr>
        <w:spacing w:beforeAutospacing="0" w:afterAutospacing="0" w:line="360" w:lineRule="auto"/>
        <w:ind w:firstLine="420" w:firstLineChars="200"/>
        <w:jc w:val="left"/>
        <w:rPr>
          <w:rFonts w:hint="eastAsia" w:ascii="宋体" w:hAnsi="宋体"/>
          <w:color w:val="auto"/>
          <w:highlight w:val="none"/>
        </w:rPr>
      </w:pPr>
      <w:bookmarkStart w:id="277" w:name="_Ref523706568"/>
      <w:bookmarkEnd w:id="277"/>
      <w:bookmarkStart w:id="278" w:name="_Ref509051553"/>
      <w:bookmarkEnd w:id="278"/>
      <w:r>
        <w:rPr>
          <w:rFonts w:hint="eastAsia" w:ascii="宋体" w:hAnsi="宋体"/>
          <w:color w:val="auto"/>
          <w:highlight w:val="none"/>
        </w:rPr>
        <w:t>5.1.1委托人应在计划开始服务日期7天前向咨询人发出开始服务工作通知，服务期限自开始服务通知中载明的日期或按照专用合同条件约定的日期起算。咨询服务应在专用合同条件所约定的时间或期限内开始和完成，根据合同约定进行延期的除外。</w:t>
      </w:r>
    </w:p>
    <w:p>
      <w:pPr>
        <w:spacing w:beforeAutospacing="0" w:afterAutospacing="0" w:line="360" w:lineRule="auto"/>
        <w:ind w:firstLine="422" w:firstLineChars="200"/>
        <w:rPr>
          <w:rFonts w:hint="eastAsia" w:ascii="宋体" w:hAnsi="宋体"/>
          <w:b/>
          <w:color w:val="auto"/>
          <w:highlight w:val="none"/>
        </w:rPr>
      </w:pPr>
      <w:bookmarkStart w:id="279" w:name="_Toc83224717"/>
      <w:bookmarkEnd w:id="279"/>
      <w:bookmarkStart w:id="280" w:name="_Ref509052003"/>
      <w:bookmarkEnd w:id="280"/>
      <w:bookmarkStart w:id="281" w:name="_Toc18155997"/>
      <w:bookmarkEnd w:id="281"/>
      <w:bookmarkStart w:id="282" w:name="_Ref509052006"/>
      <w:bookmarkEnd w:id="282"/>
      <w:bookmarkStart w:id="283" w:name="_Toc1415276744"/>
      <w:bookmarkEnd w:id="283"/>
      <w:bookmarkStart w:id="284" w:name="_Toc964386035"/>
      <w:bookmarkEnd w:id="284"/>
      <w:bookmarkStart w:id="285" w:name="_Ref522613970"/>
      <w:bookmarkEnd w:id="285"/>
      <w:r>
        <w:rPr>
          <w:rFonts w:hint="eastAsia" w:ascii="宋体" w:hAnsi="宋体"/>
          <w:b/>
          <w:color w:val="auto"/>
          <w:highlight w:val="none"/>
        </w:rPr>
        <w:t>5.2服务进度计划</w:t>
      </w:r>
    </w:p>
    <w:p>
      <w:pPr>
        <w:spacing w:beforeAutospacing="0" w:afterAutospacing="0" w:line="360" w:lineRule="auto"/>
        <w:ind w:firstLine="420" w:firstLineChars="200"/>
        <w:jc w:val="left"/>
        <w:rPr>
          <w:rFonts w:hint="eastAsia" w:ascii="宋体" w:hAnsi="宋体"/>
          <w:color w:val="auto"/>
          <w:highlight w:val="none"/>
        </w:rPr>
      </w:pPr>
      <w:bookmarkStart w:id="286" w:name="_Ref523404652"/>
      <w:bookmarkEnd w:id="286"/>
      <w:r>
        <w:rPr>
          <w:rFonts w:hint="eastAsia" w:ascii="宋体" w:hAnsi="宋体"/>
          <w:color w:val="auto"/>
          <w:highlight w:val="none"/>
        </w:rPr>
        <w:t>5.2.1咨询人应按照双方在专用合同条件中的约定，提交服务进度计划，计划应至少包括：</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（1）咨询人为按时完成所有咨询服务而计划开展各项咨询服务的顺序和时点；</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（2）附件3［</w:t>
      </w:r>
      <w:r>
        <w:rPr>
          <w:rFonts w:hint="eastAsia" w:ascii="宋体" w:hAnsi="宋体"/>
          <w:color w:val="auto"/>
          <w:highlight w:val="none"/>
        </w:rPr>
        <w:fldChar w:fldCharType="begin"/>
      </w:r>
      <w:r>
        <w:rPr>
          <w:rFonts w:hint="eastAsia" w:ascii="宋体" w:hAnsi="宋体"/>
          <w:color w:val="auto"/>
          <w:highlight w:val="none"/>
        </w:rPr>
        <w:instrText xml:space="preserve">REF _Ref18241628 \h \* MERGEFORMAT </w:instrText>
      </w:r>
      <w:r>
        <w:rPr>
          <w:rFonts w:hint="eastAsia" w:ascii="宋体" w:hAnsi="宋体"/>
          <w:color w:val="auto"/>
          <w:highlight w:val="none"/>
        </w:rPr>
        <w:fldChar w:fldCharType="separate"/>
      </w:r>
      <w:r>
        <w:rPr>
          <w:rFonts w:hint="eastAsia" w:ascii="宋体" w:hAnsi="宋体"/>
          <w:color w:val="auto"/>
          <w:highlight w:val="none"/>
        </w:rPr>
        <w:t>附件3</w:t>
      </w:r>
      <w:r>
        <w:rPr>
          <w:rFonts w:hint="eastAsia" w:ascii="宋体" w:hAnsi="宋体"/>
          <w:b/>
          <w:color w:val="auto"/>
          <w:highlight w:val="none"/>
        </w:rPr>
        <w:t xml:space="preserve"> 进度计划</w:t>
      </w:r>
      <w:r>
        <w:rPr>
          <w:rFonts w:hint="eastAsia" w:ascii="宋体" w:hAnsi="宋体"/>
          <w:color w:val="auto"/>
          <w:highlight w:val="none"/>
        </w:rPr>
        <w:fldChar w:fldCharType="end"/>
      </w:r>
      <w:r>
        <w:rPr>
          <w:rFonts w:hint="eastAsia" w:ascii="宋体" w:hAnsi="宋体"/>
          <w:color w:val="auto"/>
          <w:highlight w:val="none"/>
        </w:rPr>
        <w:t>］或合同其他部分所约定的将各项服务成果交付委托人的关键日期；</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（3）需要委托人或第三方提供决策、同意、批准或资料的关键日期；</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（4）附件3［</w:t>
      </w:r>
      <w:r>
        <w:rPr>
          <w:rFonts w:hint="eastAsia" w:ascii="宋体" w:hAnsi="宋体"/>
          <w:color w:val="auto"/>
          <w:highlight w:val="none"/>
        </w:rPr>
        <w:fldChar w:fldCharType="begin"/>
      </w:r>
      <w:r>
        <w:rPr>
          <w:rFonts w:hint="eastAsia" w:ascii="宋体" w:hAnsi="宋体"/>
          <w:color w:val="auto"/>
          <w:highlight w:val="none"/>
        </w:rPr>
        <w:instrText xml:space="preserve">REF _Ref18241628 \h \* MERGEFORMAT </w:instrText>
      </w:r>
      <w:r>
        <w:rPr>
          <w:rFonts w:hint="eastAsia" w:ascii="宋体" w:hAnsi="宋体"/>
          <w:color w:val="auto"/>
          <w:highlight w:val="none"/>
        </w:rPr>
        <w:fldChar w:fldCharType="separate"/>
      </w:r>
      <w:r>
        <w:rPr>
          <w:rFonts w:hint="eastAsia" w:ascii="宋体" w:hAnsi="宋体"/>
          <w:color w:val="auto"/>
          <w:highlight w:val="none"/>
        </w:rPr>
        <w:t>附件3</w:t>
      </w:r>
      <w:r>
        <w:rPr>
          <w:rFonts w:hint="eastAsia" w:ascii="宋体" w:hAnsi="宋体"/>
          <w:b/>
          <w:color w:val="auto"/>
          <w:highlight w:val="none"/>
        </w:rPr>
        <w:t xml:space="preserve"> 进度计划</w:t>
      </w:r>
      <w:r>
        <w:rPr>
          <w:rFonts w:hint="eastAsia" w:ascii="宋体" w:hAnsi="宋体"/>
          <w:color w:val="auto"/>
          <w:highlight w:val="none"/>
        </w:rPr>
        <w:fldChar w:fldCharType="end"/>
      </w:r>
      <w:r>
        <w:rPr>
          <w:rFonts w:hint="eastAsia" w:ascii="宋体" w:hAnsi="宋体"/>
          <w:color w:val="auto"/>
          <w:highlight w:val="none"/>
        </w:rPr>
        <w:t>］中约定的任何其他要求。</w:t>
      </w:r>
    </w:p>
    <w:p>
      <w:pPr>
        <w:spacing w:beforeAutospacing="0" w:afterAutospacing="0" w:line="360" w:lineRule="auto"/>
        <w:ind w:firstLine="420" w:firstLineChars="200"/>
        <w:jc w:val="left"/>
        <w:rPr>
          <w:rFonts w:hint="eastAsia" w:ascii="宋体" w:hAnsi="宋体"/>
          <w:color w:val="auto"/>
          <w:highlight w:val="none"/>
        </w:rPr>
      </w:pPr>
      <w:bookmarkStart w:id="287" w:name="_Ref17459431"/>
      <w:bookmarkEnd w:id="287"/>
      <w:r>
        <w:rPr>
          <w:rFonts w:hint="eastAsia" w:ascii="宋体" w:hAnsi="宋体"/>
          <w:color w:val="auto"/>
          <w:highlight w:val="none"/>
        </w:rPr>
        <w:t>5.2.2除专用合同条件另有约定外，委托人应当在收到咨询人提交的服务进度计划后14天内完成审批或提出异议，逾期未审批或提出异议的，视为委托人认可该服务进度计划，咨询人应根据该计划提供咨询服务。</w:t>
      </w:r>
    </w:p>
    <w:p>
      <w:pPr>
        <w:spacing w:beforeAutospacing="0" w:afterAutospacing="0" w:line="360" w:lineRule="auto"/>
        <w:ind w:firstLine="420" w:firstLineChars="200"/>
        <w:jc w:val="left"/>
        <w:rPr>
          <w:rFonts w:hint="eastAsia" w:ascii="宋体" w:hAnsi="宋体"/>
          <w:color w:val="auto"/>
          <w:highlight w:val="none"/>
        </w:rPr>
      </w:pPr>
      <w:bookmarkStart w:id="288" w:name="_Ref523429993"/>
      <w:bookmarkEnd w:id="288"/>
      <w:r>
        <w:rPr>
          <w:rFonts w:hint="eastAsia" w:ascii="宋体" w:hAnsi="宋体"/>
          <w:color w:val="auto"/>
          <w:highlight w:val="none"/>
        </w:rPr>
        <w:t>5.2.3咨询人应经常审查服务进度计划，若该计划不符合合同要求或与项目实际进度不一致的，咨询人应及时向委托人提交修订的服务进度计划，并附相关措施和资料。除专用合同条件对期限另有约定外，委托人应在收到修订的服务进度计划后7天内完成审核和批准或提出修改意见，否则视为委托人同意咨询人提交的修订的服务进度计划。</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5.2.4对于任何可能对服务产生不利影响、导致服务费用增加或服务进度计划延误的事件或情况，任何一方在得知上述事件或情况后应立即向另一方发出通知。</w:t>
      </w:r>
    </w:p>
    <w:p>
      <w:pPr>
        <w:spacing w:beforeAutospacing="0" w:afterAutospacing="0" w:line="360" w:lineRule="auto"/>
        <w:ind w:firstLine="422" w:firstLineChars="200"/>
        <w:rPr>
          <w:rFonts w:hint="eastAsia" w:ascii="宋体" w:hAnsi="宋体"/>
          <w:b/>
          <w:color w:val="auto"/>
          <w:highlight w:val="none"/>
        </w:rPr>
      </w:pPr>
      <w:bookmarkStart w:id="289" w:name="_Ref508800118"/>
      <w:bookmarkEnd w:id="289"/>
      <w:bookmarkStart w:id="290" w:name="_Toc83224718"/>
      <w:bookmarkEnd w:id="290"/>
      <w:bookmarkStart w:id="291" w:name="_Toc618333721"/>
      <w:bookmarkEnd w:id="291"/>
      <w:bookmarkStart w:id="292" w:name="_Toc1840057445"/>
      <w:bookmarkEnd w:id="292"/>
      <w:bookmarkStart w:id="293" w:name="_Ref508800113"/>
      <w:bookmarkEnd w:id="293"/>
      <w:bookmarkStart w:id="294" w:name="_Toc18155998"/>
      <w:bookmarkEnd w:id="294"/>
      <w:r>
        <w:rPr>
          <w:rFonts w:hint="eastAsia" w:ascii="宋体" w:hAnsi="宋体"/>
          <w:b/>
          <w:color w:val="auto"/>
          <w:highlight w:val="none"/>
        </w:rPr>
        <w:t>5.3服务进度的延误</w:t>
      </w:r>
    </w:p>
    <w:p>
      <w:pPr>
        <w:spacing w:beforeAutospacing="0" w:afterAutospacing="0" w:line="360" w:lineRule="auto"/>
        <w:ind w:firstLine="420" w:firstLineChars="200"/>
        <w:jc w:val="left"/>
        <w:rPr>
          <w:rFonts w:hint="eastAsia" w:ascii="宋体" w:hAnsi="宋体"/>
          <w:color w:val="auto"/>
          <w:highlight w:val="none"/>
        </w:rPr>
      </w:pPr>
      <w:bookmarkStart w:id="295" w:name="_Hlk521939549"/>
      <w:bookmarkEnd w:id="295"/>
      <w:r>
        <w:rPr>
          <w:rFonts w:hint="eastAsia" w:ascii="宋体" w:hAnsi="宋体"/>
          <w:color w:val="auto"/>
          <w:highlight w:val="none"/>
        </w:rPr>
        <w:t>5.3.1非咨询人原因导致的延误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如因以下原因导致咨询服务进度延误的：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（1）委托人未能按合同约定提供有关资料或所提供的有关资料不符合合同约定或存在错误或疏漏的；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（2）委托人未能按合同约定提供咨询服务工作条件、设施场地、人员服务的；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（3）委托人对咨询服务的服务变更；</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（4）委托人或委托人的承包商、供应商、其他咨询方等使咨询服务受到障碍或延误的；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（5）委托人未按合同约定日期足额付款的；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（6）不可抗力；</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（7）专用合同条件中约定的其他情形。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专用合同条件另有约定外，咨询人应在发生上述情形后7天内向委托人发出要求延期的书面通知，并在发生该情形后14天内提交要求延期的书面说明供委托人审查。委托人收到咨询人要求延期的说明后，应在7天内进行审查并就是否延长服务期限、修订服务进度计划及延期天数向咨询人进行书面答复。</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如果委托人在收到咨询人提交要求延期的说明后，在上述约定的期限内未予答复，则视为咨询人要求的延期已被委托人批准。</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上述服务进度延误情形导致服务费用增加的，委托人应当按照第7条［</w:t>
      </w:r>
      <w:r>
        <w:rPr>
          <w:rFonts w:hint="eastAsia" w:ascii="宋体" w:hAnsi="宋体"/>
          <w:color w:val="auto"/>
          <w:highlight w:val="none"/>
        </w:rPr>
        <w:fldChar w:fldCharType="begin"/>
      </w:r>
      <w:r>
        <w:rPr>
          <w:rFonts w:hint="eastAsia" w:ascii="宋体" w:hAnsi="宋体"/>
          <w:color w:val="auto"/>
          <w:highlight w:val="none"/>
        </w:rPr>
        <w:instrText xml:space="preserve">REF _Ref14106185 \h \* MERGEFORMAT </w:instrText>
      </w:r>
      <w:r>
        <w:rPr>
          <w:rFonts w:hint="eastAsia" w:ascii="宋体" w:hAnsi="宋体"/>
          <w:color w:val="auto"/>
          <w:highlight w:val="none"/>
        </w:rPr>
        <w:fldChar w:fldCharType="separate"/>
      </w:r>
      <w:r>
        <w:rPr>
          <w:rFonts w:hint="eastAsia" w:ascii="宋体" w:hAnsi="宋体"/>
          <w:color w:val="auto"/>
          <w:highlight w:val="none"/>
        </w:rPr>
        <w:t>第7条</w:t>
      </w:r>
      <w:r>
        <w:rPr>
          <w:rFonts w:hint="eastAsia" w:ascii="宋体" w:hAnsi="宋体"/>
          <w:b/>
          <w:color w:val="auto"/>
          <w:highlight w:val="none"/>
        </w:rPr>
        <w:t xml:space="preserve"> 变更和服务费用调整</w:t>
      </w:r>
      <w:r>
        <w:rPr>
          <w:rFonts w:hint="eastAsia" w:ascii="宋体" w:hAnsi="宋体"/>
          <w:color w:val="auto"/>
          <w:highlight w:val="none"/>
        </w:rPr>
        <w:fldChar w:fldCharType="end"/>
      </w:r>
      <w:r>
        <w:rPr>
          <w:rFonts w:hint="eastAsia" w:ascii="宋体" w:hAnsi="宋体"/>
          <w:color w:val="auto"/>
          <w:highlight w:val="none"/>
        </w:rPr>
        <w:t>］调整服务费用。</w:t>
      </w:r>
    </w:p>
    <w:p>
      <w:pPr>
        <w:spacing w:beforeAutospacing="0" w:afterAutospacing="0" w:line="360" w:lineRule="auto"/>
        <w:ind w:firstLine="420" w:firstLineChars="200"/>
        <w:jc w:val="left"/>
        <w:rPr>
          <w:rFonts w:hint="eastAsia" w:ascii="宋体" w:hAnsi="宋体"/>
          <w:color w:val="auto"/>
          <w:highlight w:val="none"/>
        </w:rPr>
      </w:pPr>
      <w:bookmarkStart w:id="296" w:name="_Ref523709682"/>
      <w:bookmarkEnd w:id="296"/>
      <w:r>
        <w:rPr>
          <w:rFonts w:hint="eastAsia" w:ascii="宋体" w:hAnsi="宋体"/>
          <w:color w:val="auto"/>
          <w:highlight w:val="none"/>
        </w:rPr>
        <w:t>5.3.2咨询人原因导致的延误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因咨询人原因导致咨询服务进度延误的，咨询人应按照第11.2.3项[</w:t>
      </w:r>
      <w:r>
        <w:rPr>
          <w:rFonts w:hint="eastAsia" w:ascii="宋体" w:hAnsi="宋体"/>
          <w:color w:val="auto"/>
          <w:highlight w:val="none"/>
        </w:rPr>
        <w:fldChar w:fldCharType="begin"/>
      </w:r>
      <w:r>
        <w:rPr>
          <w:rFonts w:hint="eastAsia" w:ascii="宋体" w:hAnsi="宋体"/>
          <w:color w:val="auto"/>
          <w:highlight w:val="none"/>
        </w:rPr>
        <w:instrText xml:space="preserve"> REF _Ref16249374 \h  \* MERGEFORMAT </w:instrText>
      </w:r>
      <w:r>
        <w:rPr>
          <w:rFonts w:hint="eastAsia" w:ascii="宋体" w:hAnsi="宋体"/>
          <w:color w:val="auto"/>
          <w:highlight w:val="none"/>
        </w:rPr>
        <w:fldChar w:fldCharType="separate"/>
      </w:r>
      <w:r>
        <w:rPr>
          <w:rFonts w:hint="eastAsia" w:ascii="宋体" w:hAnsi="宋体"/>
          <w:color w:val="auto"/>
          <w:highlight w:val="none"/>
        </w:rPr>
        <w:t>11.2.3咨询人的违约责任</w:t>
      </w:r>
      <w:r>
        <w:rPr>
          <w:rFonts w:hint="eastAsia" w:ascii="宋体" w:hAnsi="宋体"/>
          <w:color w:val="auto"/>
          <w:highlight w:val="none"/>
        </w:rPr>
        <w:fldChar w:fldCharType="end"/>
      </w:r>
      <w:r>
        <w:rPr>
          <w:rFonts w:hint="eastAsia" w:ascii="宋体" w:hAnsi="宋体"/>
          <w:color w:val="auto"/>
          <w:highlight w:val="none"/>
        </w:rPr>
        <w:t>]的约定承担违约责任。专用合同条件约定了逾期违约金的，咨询人还应根据约定的逾期违约金计算方法和最高限额支付逾期违约金。咨询人支付逾期违约金后，不免除咨询人继续完成咨询服务的义务。</w:t>
      </w:r>
    </w:p>
    <w:p>
      <w:pPr>
        <w:spacing w:beforeAutospacing="0" w:afterAutospacing="0" w:line="360" w:lineRule="auto"/>
        <w:ind w:firstLine="422" w:firstLineChars="200"/>
        <w:rPr>
          <w:rFonts w:hint="eastAsia" w:ascii="宋体" w:hAnsi="宋体"/>
          <w:b/>
          <w:color w:val="auto"/>
          <w:highlight w:val="none"/>
        </w:rPr>
      </w:pPr>
      <w:bookmarkStart w:id="297" w:name="_Ref523404626"/>
      <w:bookmarkEnd w:id="297"/>
      <w:bookmarkStart w:id="298" w:name="_Toc349915345"/>
      <w:bookmarkEnd w:id="298"/>
      <w:bookmarkStart w:id="299" w:name="_Ref523405899"/>
      <w:bookmarkEnd w:id="299"/>
      <w:bookmarkStart w:id="300" w:name="_Toc18155999"/>
      <w:bookmarkEnd w:id="300"/>
      <w:bookmarkStart w:id="301" w:name="_Ref523403899"/>
      <w:bookmarkEnd w:id="301"/>
      <w:bookmarkStart w:id="302" w:name="_Toc83224719"/>
      <w:bookmarkEnd w:id="302"/>
      <w:bookmarkStart w:id="303" w:name="_Toc1401259127"/>
      <w:bookmarkEnd w:id="303"/>
      <w:r>
        <w:rPr>
          <w:rFonts w:hint="eastAsia" w:ascii="宋体" w:hAnsi="宋体"/>
          <w:b/>
          <w:color w:val="auto"/>
          <w:highlight w:val="none"/>
        </w:rPr>
        <w:t>5.4服务的暂停</w:t>
      </w:r>
    </w:p>
    <w:p>
      <w:pPr>
        <w:spacing w:beforeAutospacing="0" w:afterAutospacing="0" w:line="360" w:lineRule="auto"/>
        <w:ind w:firstLine="420" w:firstLineChars="200"/>
        <w:jc w:val="left"/>
        <w:rPr>
          <w:rFonts w:hint="eastAsia" w:ascii="宋体" w:hAnsi="宋体"/>
          <w:color w:val="auto"/>
          <w:highlight w:val="none"/>
        </w:rPr>
      </w:pPr>
      <w:bookmarkStart w:id="304" w:name="_Ref521316191"/>
      <w:bookmarkEnd w:id="304"/>
      <w:r>
        <w:rPr>
          <w:rFonts w:hint="eastAsia" w:ascii="宋体" w:hAnsi="宋体"/>
          <w:color w:val="auto"/>
          <w:highlight w:val="none"/>
        </w:rPr>
        <w:t>5.4.1委托人的暂停通知</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委托人可根据项目建设情况，通过提前28天向咨询人发出书面通知的方式，以任何原因指示咨询人暂停部分或全部咨询服务工作，但应在通知中列明暂停的日期及预计暂停的期限。</w:t>
      </w:r>
    </w:p>
    <w:p>
      <w:pPr>
        <w:spacing w:beforeAutospacing="0" w:afterAutospacing="0" w:line="360" w:lineRule="auto"/>
        <w:ind w:firstLine="420" w:firstLineChars="200"/>
        <w:jc w:val="left"/>
        <w:rPr>
          <w:rFonts w:hint="eastAsia" w:ascii="宋体" w:hAnsi="宋体"/>
          <w:color w:val="auto"/>
          <w:highlight w:val="none"/>
        </w:rPr>
      </w:pPr>
      <w:bookmarkStart w:id="305" w:name="_Ref521316199"/>
      <w:bookmarkEnd w:id="305"/>
      <w:r>
        <w:rPr>
          <w:rFonts w:hint="eastAsia" w:ascii="宋体" w:hAnsi="宋体"/>
          <w:color w:val="auto"/>
          <w:highlight w:val="none"/>
        </w:rPr>
        <w:t>5.4.2咨询人的暂停权利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下列情况下，咨询人可暂停全部或部分咨询服务：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（1）委托人未能按期支付款项，且委托人未根据第6.3款［</w:t>
      </w:r>
      <w:r>
        <w:rPr>
          <w:rFonts w:hint="eastAsia" w:ascii="宋体" w:hAnsi="宋体"/>
          <w:color w:val="auto"/>
          <w:highlight w:val="none"/>
        </w:rPr>
        <w:fldChar w:fldCharType="begin"/>
      </w:r>
      <w:r>
        <w:rPr>
          <w:rFonts w:hint="eastAsia" w:ascii="宋体" w:hAnsi="宋体"/>
          <w:color w:val="auto"/>
          <w:highlight w:val="none"/>
        </w:rPr>
        <w:instrText xml:space="preserve"> REF _Ref523728002 \h  \* MERGEFORMAT </w:instrText>
      </w:r>
      <w:r>
        <w:rPr>
          <w:rFonts w:hint="eastAsia" w:ascii="宋体" w:hAnsi="宋体"/>
          <w:color w:val="auto"/>
          <w:highlight w:val="none"/>
        </w:rPr>
        <w:fldChar w:fldCharType="separate"/>
      </w:r>
      <w:r>
        <w:rPr>
          <w:rFonts w:hint="eastAsia" w:ascii="宋体" w:hAnsi="宋体"/>
          <w:color w:val="auto"/>
          <w:highlight w:val="none"/>
        </w:rPr>
        <w:t>6.3有争议部分的付款</w:t>
      </w:r>
      <w:r>
        <w:rPr>
          <w:rFonts w:hint="eastAsia" w:ascii="宋体" w:hAnsi="宋体"/>
          <w:color w:val="auto"/>
          <w:highlight w:val="none"/>
        </w:rPr>
        <w:fldChar w:fldCharType="end"/>
      </w:r>
      <w:r>
        <w:rPr>
          <w:rFonts w:hint="eastAsia" w:ascii="宋体" w:hAnsi="宋体"/>
          <w:color w:val="auto"/>
          <w:highlight w:val="none"/>
        </w:rPr>
        <w:t>］就未付款项发出异议通知的。在此情况下，咨询人应提前28天向委托人发出暂停通知；</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（2）发生不可抗力。在此情况下，咨询人应根据第10.2款［</w:t>
      </w:r>
      <w:r>
        <w:rPr>
          <w:rFonts w:hint="eastAsia" w:ascii="宋体" w:hAnsi="宋体"/>
          <w:color w:val="auto"/>
          <w:highlight w:val="none"/>
        </w:rPr>
        <w:fldChar w:fldCharType="begin"/>
      </w:r>
      <w:r>
        <w:rPr>
          <w:rFonts w:hint="eastAsia" w:ascii="宋体" w:hAnsi="宋体"/>
          <w:color w:val="auto"/>
          <w:highlight w:val="none"/>
        </w:rPr>
        <w:instrText xml:space="preserve"> REF _Ref522799274 \h  \* MERGEFORMAT </w:instrText>
      </w:r>
      <w:r>
        <w:rPr>
          <w:rFonts w:hint="eastAsia" w:ascii="宋体" w:hAnsi="宋体"/>
          <w:color w:val="auto"/>
          <w:highlight w:val="none"/>
        </w:rPr>
        <w:fldChar w:fldCharType="separate"/>
      </w:r>
      <w:r>
        <w:rPr>
          <w:rFonts w:hint="eastAsia" w:ascii="宋体" w:hAnsi="宋体"/>
          <w:color w:val="auto"/>
          <w:highlight w:val="none"/>
        </w:rPr>
        <w:t>10.2不可抗力的通知</w:t>
      </w:r>
      <w:r>
        <w:rPr>
          <w:rFonts w:hint="eastAsia" w:ascii="宋体" w:hAnsi="宋体"/>
          <w:color w:val="auto"/>
          <w:highlight w:val="none"/>
        </w:rPr>
        <w:fldChar w:fldCharType="end"/>
      </w:r>
      <w:r>
        <w:rPr>
          <w:rFonts w:hint="eastAsia" w:ascii="宋体" w:hAnsi="宋体"/>
          <w:color w:val="auto"/>
          <w:highlight w:val="none"/>
        </w:rPr>
        <w:t>］尽快向委托人发出通知，且应尽力避免或减少咨询服务的暂停；</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（3）专用合同条件约定的其他情形。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5.4.3已暂停服务的恢复</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（1）若委托人根据第5.4.1项［</w:t>
      </w:r>
      <w:r>
        <w:rPr>
          <w:rFonts w:hint="eastAsia" w:ascii="宋体" w:hAnsi="宋体"/>
          <w:color w:val="auto"/>
          <w:highlight w:val="none"/>
        </w:rPr>
        <w:fldChar w:fldCharType="begin"/>
      </w:r>
      <w:r>
        <w:rPr>
          <w:rFonts w:hint="eastAsia" w:ascii="宋体" w:hAnsi="宋体"/>
          <w:color w:val="auto"/>
          <w:highlight w:val="none"/>
        </w:rPr>
        <w:instrText xml:space="preserve"> REF _Ref521316191 \h  \* MERGEFORMAT </w:instrText>
      </w:r>
      <w:r>
        <w:rPr>
          <w:rFonts w:hint="eastAsia" w:ascii="宋体" w:hAnsi="宋体"/>
          <w:color w:val="auto"/>
          <w:highlight w:val="none"/>
        </w:rPr>
        <w:fldChar w:fldCharType="separate"/>
      </w:r>
      <w:r>
        <w:rPr>
          <w:rFonts w:hint="eastAsia" w:ascii="宋体" w:hAnsi="宋体"/>
          <w:color w:val="auto"/>
          <w:highlight w:val="none"/>
        </w:rPr>
        <w:t>5.4.1委托人的暂停通知</w:t>
      </w:r>
      <w:r>
        <w:rPr>
          <w:rFonts w:hint="eastAsia" w:ascii="宋体" w:hAnsi="宋体"/>
          <w:color w:val="auto"/>
          <w:highlight w:val="none"/>
        </w:rPr>
        <w:fldChar w:fldCharType="end"/>
      </w:r>
      <w:r>
        <w:rPr>
          <w:rFonts w:hint="eastAsia" w:ascii="宋体" w:hAnsi="宋体"/>
          <w:color w:val="auto"/>
          <w:highlight w:val="none"/>
        </w:rPr>
        <w:t>］要求咨询人暂停咨询服务，咨询人应在收到委托人恢复通知后28天内恢复咨询服务。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（2）若咨询人根据第5.4.2项［</w:t>
      </w:r>
      <w:r>
        <w:rPr>
          <w:rFonts w:hint="eastAsia" w:ascii="宋体" w:hAnsi="宋体"/>
          <w:color w:val="auto"/>
          <w:highlight w:val="none"/>
        </w:rPr>
        <w:fldChar w:fldCharType="begin"/>
      </w:r>
      <w:r>
        <w:rPr>
          <w:rFonts w:hint="eastAsia" w:ascii="宋体" w:hAnsi="宋体"/>
          <w:color w:val="auto"/>
          <w:highlight w:val="none"/>
        </w:rPr>
        <w:instrText xml:space="preserve"> REF _Ref521316199 \h  \* MERGEFORMAT </w:instrText>
      </w:r>
      <w:r>
        <w:rPr>
          <w:rFonts w:hint="eastAsia" w:ascii="宋体" w:hAnsi="宋体"/>
          <w:color w:val="auto"/>
          <w:highlight w:val="none"/>
        </w:rPr>
        <w:fldChar w:fldCharType="separate"/>
      </w:r>
      <w:r>
        <w:rPr>
          <w:rFonts w:hint="eastAsia" w:ascii="宋体" w:hAnsi="宋体"/>
          <w:color w:val="auto"/>
          <w:highlight w:val="none"/>
        </w:rPr>
        <w:t>5.4.2咨询人的暂停权利</w:t>
      </w:r>
      <w:r>
        <w:rPr>
          <w:rFonts w:hint="eastAsia" w:ascii="宋体" w:hAnsi="宋体"/>
          <w:color w:val="auto"/>
          <w:highlight w:val="none"/>
        </w:rPr>
        <w:fldChar w:fldCharType="end"/>
      </w:r>
      <w:r>
        <w:rPr>
          <w:rFonts w:hint="eastAsia" w:ascii="宋体" w:hAnsi="宋体"/>
          <w:color w:val="auto"/>
          <w:highlight w:val="none"/>
        </w:rPr>
        <w:t>］暂停咨询服务，咨询人应在导致暂停的事项终止后尽快恢复咨询服务。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5.4.4服务暂停的后果</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（1）对于咨询人在暂停前根据合同约定已经履行的咨询服务，委托人应支付相应的服务费用。</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（2）在暂停期间，咨询人应采取合理的措施保证服务成果的安全、完整和保管，以避免毁损。</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（3）暂停导致的延误应根据第5.3款［</w:t>
      </w:r>
      <w:r>
        <w:rPr>
          <w:rFonts w:hint="eastAsia" w:ascii="宋体" w:hAnsi="宋体"/>
          <w:color w:val="auto"/>
          <w:highlight w:val="none"/>
        </w:rPr>
        <w:fldChar w:fldCharType="begin"/>
      </w:r>
      <w:r>
        <w:rPr>
          <w:rFonts w:hint="eastAsia" w:ascii="宋体" w:hAnsi="宋体"/>
          <w:color w:val="auto"/>
          <w:highlight w:val="none"/>
        </w:rPr>
        <w:instrText xml:space="preserve"> REF _Ref508800118 \h  \* MERGEFORMAT </w:instrText>
      </w:r>
      <w:r>
        <w:rPr>
          <w:rFonts w:hint="eastAsia" w:ascii="宋体" w:hAnsi="宋体"/>
          <w:color w:val="auto"/>
          <w:highlight w:val="none"/>
        </w:rPr>
        <w:fldChar w:fldCharType="separate"/>
      </w:r>
      <w:r>
        <w:rPr>
          <w:rFonts w:hint="eastAsia" w:ascii="宋体" w:hAnsi="宋体"/>
          <w:color w:val="auto"/>
          <w:highlight w:val="none"/>
        </w:rPr>
        <w:t>5.3服务进度的延误</w:t>
      </w:r>
      <w:r>
        <w:rPr>
          <w:rFonts w:hint="eastAsia" w:ascii="宋体" w:hAnsi="宋体"/>
          <w:color w:val="auto"/>
          <w:highlight w:val="none"/>
        </w:rPr>
        <w:fldChar w:fldCharType="end"/>
      </w:r>
      <w:r>
        <w:rPr>
          <w:rFonts w:hint="eastAsia" w:ascii="宋体" w:hAnsi="宋体"/>
          <w:color w:val="auto"/>
          <w:highlight w:val="none"/>
        </w:rPr>
        <w:t>］修订。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（4）除不可抗力及咨询人原因导致的暂停外，咨询服务的暂停和恢复所产生的费用应由委托人承担，咨询人应尽快通知委托人因暂停和恢复所产生的费用。双方应根据第6.2款［</w:t>
      </w:r>
      <w:r>
        <w:rPr>
          <w:rFonts w:hint="eastAsia" w:ascii="宋体" w:hAnsi="宋体"/>
          <w:color w:val="auto"/>
          <w:highlight w:val="none"/>
        </w:rPr>
        <w:fldChar w:fldCharType="begin"/>
      </w:r>
      <w:r>
        <w:rPr>
          <w:rFonts w:hint="eastAsia" w:ascii="宋体" w:hAnsi="宋体"/>
          <w:color w:val="auto"/>
          <w:highlight w:val="none"/>
        </w:rPr>
        <w:instrText xml:space="preserve"> REF _Ref521316315 \h  \* MERGEFORMAT </w:instrText>
      </w:r>
      <w:r>
        <w:rPr>
          <w:rFonts w:hint="eastAsia" w:ascii="宋体" w:hAnsi="宋体"/>
          <w:color w:val="auto"/>
          <w:highlight w:val="none"/>
        </w:rPr>
        <w:fldChar w:fldCharType="separate"/>
      </w:r>
      <w:r>
        <w:rPr>
          <w:rFonts w:hint="eastAsia" w:ascii="宋体" w:hAnsi="宋体"/>
          <w:color w:val="auto"/>
          <w:highlight w:val="none"/>
        </w:rPr>
        <w:t>6.2支付</w:t>
      </w:r>
      <w:r>
        <w:rPr>
          <w:rFonts w:hint="eastAsia" w:ascii="宋体" w:hAnsi="宋体"/>
          <w:color w:val="auto"/>
          <w:highlight w:val="none"/>
        </w:rPr>
        <w:fldChar w:fldCharType="end"/>
      </w:r>
      <w:r>
        <w:rPr>
          <w:rFonts w:hint="eastAsia" w:ascii="宋体" w:hAnsi="宋体"/>
          <w:color w:val="auto"/>
          <w:highlight w:val="none"/>
        </w:rPr>
        <w:t>］调整对咨询人的支付。</w:t>
      </w:r>
    </w:p>
    <w:p>
      <w:pPr>
        <w:spacing w:beforeAutospacing="0" w:afterAutospacing="0" w:line="360" w:lineRule="auto"/>
        <w:jc w:val="left"/>
        <w:rPr>
          <w:rFonts w:hint="eastAsia" w:ascii="宋体" w:hAnsi="宋体"/>
          <w:b/>
          <w:color w:val="auto"/>
          <w:highlight w:val="none"/>
        </w:rPr>
      </w:pPr>
      <w:bookmarkStart w:id="306" w:name="_Toc2146819372"/>
      <w:bookmarkEnd w:id="306"/>
      <w:bookmarkStart w:id="307" w:name="_Toc18156000"/>
      <w:bookmarkEnd w:id="307"/>
      <w:bookmarkStart w:id="308" w:name="_Toc64468026"/>
      <w:bookmarkEnd w:id="308"/>
      <w:bookmarkStart w:id="309" w:name="_Toc83224720"/>
      <w:bookmarkEnd w:id="309"/>
      <w:bookmarkStart w:id="310" w:name="_Ref521266685"/>
      <w:bookmarkEnd w:id="310"/>
      <w:r>
        <w:rPr>
          <w:rFonts w:hint="eastAsia" w:ascii="宋体" w:hAnsi="宋体"/>
          <w:b/>
          <w:color w:val="auto"/>
          <w:highlight w:val="none"/>
        </w:rPr>
        <w:t>第6条 服务费用和支付</w:t>
      </w:r>
    </w:p>
    <w:p>
      <w:pPr>
        <w:spacing w:beforeAutospacing="0" w:afterAutospacing="0" w:line="360" w:lineRule="auto"/>
        <w:ind w:firstLine="422" w:firstLineChars="200"/>
        <w:rPr>
          <w:rFonts w:hint="eastAsia" w:ascii="宋体" w:hAnsi="宋体"/>
          <w:b/>
          <w:color w:val="auto"/>
          <w:highlight w:val="none"/>
        </w:rPr>
      </w:pPr>
      <w:bookmarkStart w:id="311" w:name="_Toc18156001"/>
      <w:bookmarkEnd w:id="311"/>
      <w:bookmarkStart w:id="312" w:name="_Toc789711753"/>
      <w:bookmarkEnd w:id="312"/>
      <w:bookmarkStart w:id="313" w:name="_Toc83224721"/>
      <w:bookmarkEnd w:id="313"/>
      <w:bookmarkStart w:id="314" w:name="_Toc1243734206"/>
      <w:bookmarkEnd w:id="314"/>
      <w:r>
        <w:rPr>
          <w:rFonts w:hint="eastAsia" w:ascii="宋体" w:hAnsi="宋体"/>
          <w:b/>
          <w:color w:val="auto"/>
          <w:highlight w:val="none"/>
        </w:rPr>
        <w:t>6.1服务费用</w:t>
      </w:r>
    </w:p>
    <w:p>
      <w:pPr>
        <w:spacing w:beforeAutospacing="0" w:afterAutospacing="0" w:line="360" w:lineRule="auto"/>
        <w:ind w:firstLine="420" w:firstLineChars="200"/>
        <w:jc w:val="left"/>
        <w:rPr>
          <w:rFonts w:hint="eastAsia" w:ascii="宋体" w:hAnsi="宋体"/>
          <w:color w:val="auto"/>
          <w:highlight w:val="none"/>
        </w:rPr>
      </w:pPr>
      <w:bookmarkStart w:id="315" w:name="_Ref523404579"/>
      <w:bookmarkEnd w:id="315"/>
      <w:r>
        <w:rPr>
          <w:rFonts w:hint="eastAsia" w:ascii="宋体" w:hAnsi="宋体"/>
          <w:color w:val="auto"/>
          <w:highlight w:val="none"/>
        </w:rPr>
        <w:t>6.1.1委托人和咨询人应当在附件2［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］中明确约定服务费用的组成部分和计取方式，包括变更和调整的计取方式。</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6.1.2除</w:t>
      </w:r>
      <w:r>
        <w:rPr>
          <w:rFonts w:hint="eastAsia" w:ascii="宋体" w:hAnsi="宋体"/>
          <w:color w:val="auto"/>
          <w:highlight w:val="none"/>
        </w:rPr>
        <w:fldChar w:fldCharType="begin"/>
      </w:r>
      <w:r>
        <w:rPr>
          <w:rFonts w:hint="eastAsia" w:ascii="宋体" w:hAnsi="宋体"/>
          <w:color w:val="auto"/>
          <w:highlight w:val="none"/>
        </w:rPr>
        <w:instrText xml:space="preserve"> REF _Ref523405521 \r \h  \* MERGEFORMAT </w:instrText>
      </w:r>
      <w:r>
        <w:rPr>
          <w:rFonts w:hint="eastAsia" w:ascii="宋体" w:hAnsi="宋体"/>
          <w:color w:val="auto"/>
          <w:highlight w:val="none"/>
        </w:rPr>
        <w:fldChar w:fldCharType="separate"/>
      </w:r>
      <w:r>
        <w:rPr>
          <w:rFonts w:hint="eastAsia" w:ascii="宋体" w:hAnsi="宋体"/>
          <w:color w:val="auto"/>
          <w:highlight w:val="none"/>
        </w:rPr>
        <w:t>0</w:t>
      </w:r>
      <w:r>
        <w:rPr>
          <w:rFonts w:hint="eastAsia" w:ascii="宋体" w:hAnsi="宋体"/>
          <w:color w:val="auto"/>
          <w:highlight w:val="none"/>
        </w:rPr>
        <w:fldChar w:fldCharType="end"/>
      </w:r>
      <w:r>
        <w:rPr>
          <w:rFonts w:hint="eastAsia" w:ascii="宋体" w:hAnsi="宋体"/>
          <w:color w:val="auto"/>
          <w:highlight w:val="none"/>
        </w:rPr>
        <w:t>［</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］另有约定外，合同下约定的服务费用均已包含国家规定的增值税税金。</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6.1.3委托人和咨询人应当在附件2［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］中明确约定咨询人为履行合同发生的差旅费、通讯费、复印费、材料和设备检测费等服务开支是否已包含在服务酬金内，以及服务酬金中未包括的服务开支的计取和支付方法。</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6.1.4对于咨询人在服务过程中提出合理化建议并被委托人采纳，以及咨询人提供咨询服务节约本项目投资额、咨询人提前交付服务成果等使委托人获得效益或规避潜在风险的情形，双方可在附件2［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］中约定奖励金额的计取和支付方法。</w:t>
      </w:r>
    </w:p>
    <w:p>
      <w:pPr>
        <w:spacing w:beforeAutospacing="0" w:afterAutospacing="0" w:line="360" w:lineRule="auto"/>
        <w:ind w:firstLine="422" w:firstLineChars="200"/>
        <w:rPr>
          <w:rFonts w:hint="eastAsia" w:ascii="宋体" w:hAnsi="宋体"/>
          <w:b/>
          <w:color w:val="auto"/>
          <w:highlight w:val="none"/>
        </w:rPr>
      </w:pPr>
      <w:bookmarkStart w:id="316" w:name="_Toc954923078"/>
      <w:bookmarkEnd w:id="316"/>
      <w:bookmarkStart w:id="317" w:name="_Ref521316312"/>
      <w:bookmarkEnd w:id="317"/>
      <w:bookmarkStart w:id="318" w:name="_Toc83224722"/>
      <w:bookmarkEnd w:id="318"/>
      <w:bookmarkStart w:id="319" w:name="_Toc1088070507"/>
      <w:bookmarkEnd w:id="319"/>
      <w:bookmarkStart w:id="320" w:name="_Toc18156002"/>
      <w:bookmarkEnd w:id="320"/>
      <w:bookmarkStart w:id="321" w:name="_Ref521316315"/>
      <w:bookmarkEnd w:id="321"/>
      <w:bookmarkStart w:id="322" w:name="_Ref13950651"/>
      <w:bookmarkEnd w:id="322"/>
      <w:bookmarkStart w:id="323" w:name="_Ref521315399"/>
      <w:bookmarkEnd w:id="323"/>
      <w:bookmarkStart w:id="324" w:name="_Ref523405711"/>
      <w:bookmarkEnd w:id="324"/>
      <w:r>
        <w:rPr>
          <w:rFonts w:hint="eastAsia" w:ascii="宋体" w:hAnsi="宋体"/>
          <w:b/>
          <w:color w:val="auto"/>
          <w:highlight w:val="none"/>
        </w:rPr>
        <w:t>6.2支付程序和方式</w:t>
      </w:r>
    </w:p>
    <w:p>
      <w:pPr>
        <w:spacing w:beforeAutospacing="0" w:afterAutospacing="0" w:line="360" w:lineRule="auto"/>
        <w:ind w:firstLine="420" w:firstLineChars="200"/>
        <w:jc w:val="left"/>
        <w:rPr>
          <w:rFonts w:hint="eastAsia" w:ascii="宋体" w:hAnsi="宋体"/>
          <w:color w:val="auto"/>
          <w:highlight w:val="none"/>
        </w:rPr>
      </w:pPr>
      <w:bookmarkStart w:id="325" w:name="_Ref14113093"/>
      <w:bookmarkEnd w:id="325"/>
      <w:r>
        <w:rPr>
          <w:rFonts w:hint="eastAsia" w:ascii="宋体" w:hAnsi="宋体"/>
          <w:color w:val="auto"/>
          <w:highlight w:val="none"/>
        </w:rPr>
        <w:t>6.2.1咨询人应在附件2［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］约定的每个应付款日的至少7天前，向委托人提交支付申请书。支付申请书应包括下列款项的金额及明细：</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（1）当期已经完成的咨询服务对应的服务酬金；</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（2）根据附件2［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］约定，咨询人为提供咨询服务所产生的、不包含在服务酬金内的合理服务开支；</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（3）根据附件2［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］的约定，根据咨询人提供咨询服务节约的投资额等标准对咨询人进行的奖励金额；</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（4）根据第7条［</w:t>
      </w:r>
      <w:r>
        <w:rPr>
          <w:rFonts w:hint="eastAsia" w:ascii="宋体" w:hAnsi="宋体"/>
          <w:color w:val="auto"/>
          <w:highlight w:val="none"/>
        </w:rPr>
        <w:fldChar w:fldCharType="begin"/>
      </w:r>
      <w:r>
        <w:rPr>
          <w:rFonts w:hint="eastAsia" w:ascii="宋体" w:hAnsi="宋体"/>
          <w:color w:val="auto"/>
          <w:highlight w:val="none"/>
        </w:rPr>
        <w:instrText xml:space="preserve">REF _Ref14106185 \h \* MERGEFORMAT </w:instrText>
      </w:r>
      <w:r>
        <w:rPr>
          <w:rFonts w:hint="eastAsia" w:ascii="宋体" w:hAnsi="宋体"/>
          <w:color w:val="auto"/>
          <w:highlight w:val="none"/>
        </w:rPr>
        <w:fldChar w:fldCharType="separate"/>
      </w:r>
      <w:r>
        <w:rPr>
          <w:rFonts w:hint="eastAsia" w:ascii="宋体" w:hAnsi="宋体"/>
          <w:color w:val="auto"/>
          <w:highlight w:val="none"/>
        </w:rPr>
        <w:t>第7条</w:t>
      </w:r>
      <w:r>
        <w:rPr>
          <w:rFonts w:hint="eastAsia" w:ascii="宋体" w:hAnsi="宋体"/>
          <w:b/>
          <w:color w:val="auto"/>
          <w:highlight w:val="none"/>
        </w:rPr>
        <w:t xml:space="preserve"> 变更和服务费用调整</w:t>
      </w:r>
      <w:r>
        <w:rPr>
          <w:rFonts w:hint="eastAsia" w:ascii="宋体" w:hAnsi="宋体"/>
          <w:color w:val="auto"/>
          <w:highlight w:val="none"/>
        </w:rPr>
        <w:fldChar w:fldCharType="end"/>
      </w:r>
      <w:r>
        <w:rPr>
          <w:rFonts w:hint="eastAsia" w:ascii="宋体" w:hAnsi="宋体"/>
          <w:color w:val="auto"/>
          <w:highlight w:val="none"/>
        </w:rPr>
        <w:t>］应增加或扣减的变更调整金额；</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（5）根据第11条［</w:t>
      </w:r>
      <w:r>
        <w:rPr>
          <w:rFonts w:hint="eastAsia" w:ascii="宋体" w:hAnsi="宋体"/>
          <w:color w:val="auto"/>
          <w:highlight w:val="none"/>
        </w:rPr>
        <w:fldChar w:fldCharType="begin"/>
      </w:r>
      <w:r>
        <w:rPr>
          <w:rFonts w:hint="eastAsia" w:ascii="宋体" w:hAnsi="宋体"/>
          <w:color w:val="auto"/>
          <w:highlight w:val="none"/>
        </w:rPr>
        <w:instrText xml:space="preserve"> REF _Ref521268028 \h  \* MERGEFORMAT </w:instrText>
      </w:r>
      <w:r>
        <w:rPr>
          <w:rFonts w:hint="eastAsia" w:ascii="宋体" w:hAnsi="宋体"/>
          <w:color w:val="auto"/>
          <w:highlight w:val="none"/>
        </w:rPr>
        <w:fldChar w:fldCharType="separate"/>
      </w:r>
      <w:r>
        <w:rPr>
          <w:rFonts w:hint="eastAsia" w:ascii="宋体" w:hAnsi="宋体"/>
          <w:color w:val="auto"/>
          <w:highlight w:val="none"/>
        </w:rPr>
        <w:t>第11条</w:t>
      </w:r>
      <w:r>
        <w:rPr>
          <w:rFonts w:hint="eastAsia" w:ascii="宋体" w:hAnsi="宋体"/>
          <w:b/>
          <w:color w:val="auto"/>
          <w:highlight w:val="none"/>
        </w:rPr>
        <w:t xml:space="preserve">  违约责任</w:t>
      </w:r>
      <w:r>
        <w:rPr>
          <w:rFonts w:hint="eastAsia" w:ascii="宋体" w:hAnsi="宋体"/>
          <w:color w:val="auto"/>
          <w:highlight w:val="none"/>
        </w:rPr>
        <w:fldChar w:fldCharType="end"/>
      </w:r>
      <w:r>
        <w:rPr>
          <w:rFonts w:hint="eastAsia" w:ascii="宋体" w:hAnsi="宋体"/>
          <w:color w:val="auto"/>
          <w:highlight w:val="none"/>
        </w:rPr>
        <w:t>］约定应增加或扣减的索赔或违约金额；</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（6）对已付款中出现的错误、遗漏或重复的修订，应在当期付款中支付或扣除的金额；</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（7）根据合同及附件2［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］约定应增加和扣减的其他金额。</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6.2.2在对已付款进行汇总和复核过程中发现错误、遗漏或重复的，委托人和咨询人均有权提出修正申请。经委托人和咨询人同意的修正，应在下期付款中支付或扣除。</w:t>
      </w:r>
    </w:p>
    <w:p>
      <w:pPr>
        <w:spacing w:beforeAutospacing="0" w:afterAutospacing="0" w:line="360" w:lineRule="auto"/>
        <w:ind w:firstLine="420" w:firstLineChars="200"/>
        <w:jc w:val="left"/>
        <w:rPr>
          <w:rFonts w:hint="eastAsia" w:ascii="宋体" w:hAnsi="宋体"/>
          <w:color w:val="auto"/>
          <w:highlight w:val="none"/>
        </w:rPr>
      </w:pPr>
      <w:bookmarkStart w:id="326" w:name="_Ref523404047"/>
      <w:bookmarkEnd w:id="326"/>
      <w:r>
        <w:rPr>
          <w:rFonts w:hint="eastAsia" w:ascii="宋体" w:hAnsi="宋体"/>
          <w:color w:val="auto"/>
          <w:highlight w:val="none"/>
        </w:rPr>
        <w:t>6.2.3委托人未能按期支付款项的，应按照专用合同条件的约定向咨询人支付逾期付款违约金。委托人支付逾期付款违约金不影响咨询人按合同约定行使暂停或终止咨询服务的权利。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6.2.4未经咨询人书面同意，委托人不应以存在针对咨询人的索赔等为原因，扣留其应付的款项，除非仲裁庭或法院根据第13.4款［</w:t>
      </w:r>
      <w:r>
        <w:rPr>
          <w:rFonts w:hint="eastAsia" w:ascii="宋体" w:hAnsi="宋体"/>
          <w:color w:val="auto"/>
          <w:highlight w:val="none"/>
        </w:rPr>
        <w:fldChar w:fldCharType="begin"/>
      </w:r>
      <w:r>
        <w:rPr>
          <w:rFonts w:hint="eastAsia" w:ascii="宋体" w:hAnsi="宋体"/>
          <w:color w:val="auto"/>
          <w:highlight w:val="none"/>
        </w:rPr>
        <w:instrText xml:space="preserve"> REF _Ref523405686 \h  \* MERGEFORMAT </w:instrText>
      </w:r>
      <w:r>
        <w:rPr>
          <w:rFonts w:hint="eastAsia" w:ascii="宋体" w:hAnsi="宋体"/>
          <w:color w:val="auto"/>
          <w:highlight w:val="none"/>
        </w:rPr>
        <w:fldChar w:fldCharType="separate"/>
      </w:r>
      <w:r>
        <w:rPr>
          <w:rFonts w:hint="eastAsia" w:ascii="宋体" w:hAnsi="宋体"/>
          <w:color w:val="auto"/>
          <w:highlight w:val="none"/>
        </w:rPr>
        <w:t>13.4仲裁或诉讼</w:t>
      </w:r>
      <w:r>
        <w:rPr>
          <w:rFonts w:hint="eastAsia" w:ascii="宋体" w:hAnsi="宋体"/>
          <w:color w:val="auto"/>
          <w:highlight w:val="none"/>
        </w:rPr>
        <w:fldChar w:fldCharType="end"/>
      </w:r>
      <w:r>
        <w:rPr>
          <w:rFonts w:hint="eastAsia" w:ascii="宋体" w:hAnsi="宋体"/>
          <w:color w:val="auto"/>
          <w:highlight w:val="none"/>
        </w:rPr>
        <w:t>］将应付款项判给委托人。</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6.2.5对于按月或按阶段支付的服务费用，应由咨询人提交该月或该阶段的支付申请书、费用说明及合理必要的证明材料复印件，服务酬金、服务开支和奖励金额等款项应分列，报送委托人审核并支付。除此之外，对于约定的服务费用以外发生的费用，应随费用发生的该月或该阶段的服务费用一并提交支付申请书和支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6.2.6在合同终止的情况下，即使未到支付服务费用的日期，咨询人有权得到已完成的咨询服务的付款。</w:t>
      </w:r>
    </w:p>
    <w:p>
      <w:pPr>
        <w:spacing w:beforeAutospacing="0" w:afterAutospacing="0" w:line="360" w:lineRule="auto"/>
        <w:ind w:firstLine="420" w:firstLineChars="200"/>
        <w:jc w:val="left"/>
        <w:rPr>
          <w:rFonts w:hint="eastAsia" w:ascii="宋体" w:hAnsi="宋体"/>
          <w:color w:val="auto"/>
          <w:highlight w:val="none"/>
        </w:rPr>
      </w:pPr>
      <w:bookmarkStart w:id="327" w:name="_Ref523404111"/>
      <w:bookmarkEnd w:id="327"/>
      <w:r>
        <w:rPr>
          <w:rFonts w:hint="eastAsia" w:ascii="宋体" w:hAnsi="宋体"/>
          <w:color w:val="auto"/>
          <w:highlight w:val="none"/>
        </w:rPr>
        <w:t>6.2.7除专用合同条件另有约定外，服务费用均以人民币支付。涉及其他货币支付的，所采用的货币种类、比例和汇率在专用合同条件中约定。</w:t>
      </w:r>
    </w:p>
    <w:p>
      <w:pPr>
        <w:spacing w:beforeAutospacing="0" w:afterAutospacing="0" w:line="360" w:lineRule="auto"/>
        <w:ind w:firstLine="422" w:firstLineChars="200"/>
        <w:rPr>
          <w:rFonts w:hint="eastAsia" w:ascii="宋体" w:hAnsi="宋体"/>
          <w:b/>
          <w:color w:val="auto"/>
          <w:highlight w:val="none"/>
        </w:rPr>
      </w:pPr>
      <w:bookmarkStart w:id="328" w:name="_Toc18156003"/>
      <w:bookmarkEnd w:id="328"/>
      <w:bookmarkStart w:id="329" w:name="_Toc449586005"/>
      <w:bookmarkEnd w:id="329"/>
      <w:bookmarkStart w:id="330" w:name="_Toc83224723"/>
      <w:bookmarkEnd w:id="330"/>
      <w:bookmarkStart w:id="331" w:name="_Ref523728002"/>
      <w:bookmarkEnd w:id="331"/>
      <w:bookmarkStart w:id="332" w:name="_Toc1723409605"/>
      <w:bookmarkEnd w:id="332"/>
      <w:bookmarkStart w:id="333" w:name="_Ref523727998"/>
      <w:bookmarkEnd w:id="333"/>
      <w:r>
        <w:rPr>
          <w:rFonts w:hint="eastAsia" w:ascii="宋体" w:hAnsi="宋体"/>
          <w:b/>
          <w:color w:val="auto"/>
          <w:highlight w:val="none"/>
        </w:rPr>
        <w:t>6.3有争议部分的付款</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对咨询人提交的支付申请书有异议时，应当在收到咨询人提交的支付申请书后7天内，以书面形式向咨询人发出异议通知，并说明有异议部分款项的数额及理由。无异议部分的款项应按期支付，有异议部分的款项按第13条［</w:t>
      </w:r>
      <w:r>
        <w:rPr>
          <w:rFonts w:hint="eastAsia" w:ascii="宋体" w:hAnsi="宋体"/>
          <w:color w:val="auto"/>
          <w:highlight w:val="none"/>
        </w:rPr>
        <w:fldChar w:fldCharType="begin"/>
      </w:r>
      <w:r>
        <w:rPr>
          <w:rFonts w:hint="eastAsia" w:ascii="宋体" w:hAnsi="宋体"/>
          <w:color w:val="auto"/>
          <w:highlight w:val="none"/>
        </w:rPr>
        <w:instrText xml:space="preserve"> REF _Ref521268016 \h  \* MERGEFORMAT </w:instrText>
      </w:r>
      <w:r>
        <w:rPr>
          <w:rFonts w:hint="eastAsia" w:ascii="宋体" w:hAnsi="宋体"/>
          <w:color w:val="auto"/>
          <w:highlight w:val="none"/>
        </w:rPr>
        <w:fldChar w:fldCharType="separate"/>
      </w:r>
      <w:r>
        <w:rPr>
          <w:rFonts w:hint="eastAsia" w:ascii="宋体" w:hAnsi="宋体"/>
          <w:color w:val="auto"/>
          <w:highlight w:val="none"/>
        </w:rPr>
        <w:t>第13条</w:t>
      </w:r>
      <w:r>
        <w:rPr>
          <w:rFonts w:hint="eastAsia" w:ascii="宋体" w:hAnsi="宋体"/>
          <w:b/>
          <w:color w:val="auto"/>
          <w:highlight w:val="none"/>
        </w:rPr>
        <w:t xml:space="preserve"> 争议解决</w:t>
      </w:r>
      <w:r>
        <w:rPr>
          <w:rFonts w:hint="eastAsia" w:ascii="宋体" w:hAnsi="宋体"/>
          <w:color w:val="auto"/>
          <w:highlight w:val="none"/>
        </w:rPr>
        <w:fldChar w:fldCharType="end"/>
      </w:r>
      <w:r>
        <w:rPr>
          <w:rFonts w:hint="eastAsia" w:ascii="宋体" w:hAnsi="宋体"/>
          <w:color w:val="auto"/>
          <w:highlight w:val="none"/>
        </w:rPr>
        <w:t>］约定办理。对双方最终确定应支付给咨询人的有异议款项，仍应适用第6.2款［</w:t>
      </w:r>
      <w:r>
        <w:rPr>
          <w:rFonts w:hint="eastAsia" w:ascii="宋体" w:hAnsi="宋体"/>
          <w:color w:val="auto"/>
          <w:highlight w:val="none"/>
        </w:rPr>
        <w:fldChar w:fldCharType="begin"/>
      </w:r>
      <w:r>
        <w:rPr>
          <w:rFonts w:hint="eastAsia" w:ascii="宋体" w:hAnsi="宋体"/>
          <w:color w:val="auto"/>
          <w:highlight w:val="none"/>
        </w:rPr>
        <w:instrText xml:space="preserve">REF _Ref13950651 \h \* MERGEFORMAT </w:instrText>
      </w:r>
      <w:r>
        <w:rPr>
          <w:rFonts w:hint="eastAsia" w:ascii="宋体" w:hAnsi="宋体"/>
          <w:color w:val="auto"/>
          <w:highlight w:val="none"/>
        </w:rPr>
        <w:fldChar w:fldCharType="separate"/>
      </w:r>
      <w:r>
        <w:rPr>
          <w:rFonts w:hint="eastAsia" w:ascii="宋体" w:hAnsi="宋体"/>
          <w:color w:val="auto"/>
          <w:highlight w:val="none"/>
        </w:rPr>
        <w:t>6.2支付程序和方式</w:t>
      </w:r>
      <w:r>
        <w:rPr>
          <w:rFonts w:hint="eastAsia" w:ascii="宋体" w:hAnsi="宋体"/>
          <w:color w:val="auto"/>
          <w:highlight w:val="none"/>
        </w:rPr>
        <w:fldChar w:fldCharType="end"/>
      </w:r>
      <w:r>
        <w:rPr>
          <w:rFonts w:hint="eastAsia" w:ascii="宋体" w:hAnsi="宋体"/>
          <w:color w:val="auto"/>
          <w:highlight w:val="none"/>
        </w:rPr>
        <w:t>］的约定。</w:t>
      </w:r>
    </w:p>
    <w:p>
      <w:pPr>
        <w:spacing w:beforeAutospacing="0" w:afterAutospacing="0" w:line="360" w:lineRule="auto"/>
        <w:ind w:firstLine="422" w:firstLineChars="200"/>
        <w:rPr>
          <w:rFonts w:hint="eastAsia" w:ascii="宋体" w:hAnsi="宋体"/>
          <w:b/>
          <w:color w:val="auto"/>
          <w:highlight w:val="none"/>
        </w:rPr>
      </w:pPr>
      <w:bookmarkStart w:id="334" w:name="_Toc1954206879"/>
      <w:bookmarkEnd w:id="334"/>
      <w:bookmarkStart w:id="335" w:name="_Toc83224724"/>
      <w:bookmarkEnd w:id="335"/>
      <w:bookmarkStart w:id="336" w:name="_Toc283710736"/>
      <w:bookmarkEnd w:id="336"/>
      <w:bookmarkStart w:id="337" w:name="_Toc18156004"/>
      <w:bookmarkEnd w:id="337"/>
      <w:r>
        <w:rPr>
          <w:rFonts w:hint="eastAsia" w:ascii="宋体" w:hAnsi="宋体"/>
          <w:b/>
          <w:color w:val="auto"/>
          <w:highlight w:val="none"/>
        </w:rPr>
        <w:t>6.4结算和审核</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6.4.1委托人与咨询人应按附件2［</w:t>
      </w:r>
      <w:r>
        <w:rPr>
          <w:rFonts w:hint="eastAsia" w:ascii="宋体" w:hAnsi="宋体"/>
          <w:color w:val="auto"/>
          <w:highlight w:val="none"/>
        </w:rPr>
        <w:fldChar w:fldCharType="begin"/>
      </w:r>
      <w:r>
        <w:rPr>
          <w:rFonts w:hint="eastAsia" w:ascii="宋体" w:hAnsi="宋体"/>
          <w:color w:val="auto"/>
          <w:highlight w:val="none"/>
        </w:rPr>
        <w:instrText xml:space="preserve"> REF _Ref523405521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］的约定及时进行服务费用和其他费用的结算和合同尾款支付。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6.4.2对于按照服务时间计取的服务酬金以及按照实际发生计取的服务开支，咨询人应保存能够明确标明有关服务时间和服务开支的最新记录，并根据委托人的合理要求提供上述记录。</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6.4.3在服务期限内和咨询服务完成或终止后的一年内，委托人可向咨询人提前不少于14天发出通知，要求由委托人或其指定的第三方单位审计咨询人提出的与咨询服务相关的上述服务时间和服务开支记录。审核应在正常的营业时间内并在保存记录的办公场所开展，且咨询人应提供合理的配合，但审核的费用应由委托人承担。委托人不得以审计为由拖延支付和结算服务费用。</w:t>
      </w:r>
    </w:p>
    <w:p>
      <w:pPr>
        <w:spacing w:beforeAutospacing="0" w:afterAutospacing="0" w:line="360" w:lineRule="auto"/>
        <w:jc w:val="left"/>
        <w:rPr>
          <w:rFonts w:hint="eastAsia" w:ascii="宋体" w:hAnsi="宋体"/>
          <w:b/>
          <w:color w:val="auto"/>
          <w:highlight w:val="none"/>
        </w:rPr>
      </w:pPr>
      <w:bookmarkStart w:id="338" w:name="_Toc1514201116"/>
      <w:bookmarkEnd w:id="338"/>
      <w:bookmarkStart w:id="339" w:name="_Toc1150104726"/>
      <w:bookmarkEnd w:id="339"/>
      <w:bookmarkStart w:id="340" w:name="_Toc18156005"/>
      <w:bookmarkEnd w:id="340"/>
      <w:bookmarkStart w:id="341" w:name="_Ref14106185"/>
      <w:bookmarkEnd w:id="341"/>
      <w:bookmarkStart w:id="342" w:name="_Toc83224725"/>
      <w:bookmarkEnd w:id="342"/>
      <w:bookmarkStart w:id="343" w:name="_Ref521266679"/>
      <w:bookmarkEnd w:id="343"/>
      <w:r>
        <w:rPr>
          <w:rFonts w:hint="eastAsia" w:ascii="宋体" w:hAnsi="宋体"/>
          <w:b/>
          <w:color w:val="auto"/>
          <w:highlight w:val="none"/>
        </w:rPr>
        <w:t>第7条 变更和服务费用调整</w:t>
      </w:r>
    </w:p>
    <w:p>
      <w:pPr>
        <w:spacing w:beforeAutospacing="0" w:afterAutospacing="0" w:line="360" w:lineRule="auto"/>
        <w:ind w:firstLine="422" w:firstLineChars="200"/>
        <w:rPr>
          <w:rFonts w:hint="eastAsia" w:ascii="宋体" w:hAnsi="宋体"/>
          <w:b/>
          <w:color w:val="auto"/>
          <w:highlight w:val="none"/>
        </w:rPr>
      </w:pPr>
      <w:bookmarkStart w:id="344" w:name="_Toc473515539"/>
      <w:bookmarkEnd w:id="344"/>
      <w:bookmarkStart w:id="345" w:name="_Toc566600890"/>
      <w:bookmarkEnd w:id="345"/>
      <w:bookmarkStart w:id="346" w:name="_Toc83224726"/>
      <w:bookmarkEnd w:id="346"/>
      <w:bookmarkStart w:id="347" w:name="_Ref521315773"/>
      <w:bookmarkEnd w:id="347"/>
      <w:bookmarkStart w:id="348" w:name="_Ref521315776"/>
      <w:bookmarkEnd w:id="348"/>
      <w:bookmarkStart w:id="349" w:name="_Toc18156006"/>
      <w:bookmarkEnd w:id="349"/>
      <w:r>
        <w:rPr>
          <w:rFonts w:hint="eastAsia" w:ascii="宋体" w:hAnsi="宋体"/>
          <w:b/>
          <w:color w:val="auto"/>
          <w:highlight w:val="none"/>
        </w:rPr>
        <w:t>7.1变更情形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7.1.1除专用合同条件另有约定外，合同履行过程中发生以下情形的，应按照本条约定进行服务变更：</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（1）因非咨询人原因导致项目的内容、规模、功能、条件、投资额发生变化；</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（2）委托人提供的资料以及根据本合同应提供的设备、设施和人员发生变化；</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（3）委托人改变咨询服务的范围、内容、方式；</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（4）委托人改变咨询服务的履行顺序和服务期限；</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（5）基准日期后，因项目所在地及提供咨询服务所在地的法律法规发生变动、强制性技术标准的颁布和修改而引起服务费用和（或）服务期限的改变；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（6）委托人或委托人的承包商、供应商、其他咨询方等使咨询服务受到障碍或延长的；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（7）专用合同条件约定的其他服务变更情形。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上述服务变更不应实质性地改变咨询服务的程度或性质，如发生此类改变的应由委托人和咨询人协商一致，以对合同相关内容进行修订。</w:t>
      </w:r>
    </w:p>
    <w:p>
      <w:pPr>
        <w:spacing w:beforeAutospacing="0" w:afterAutospacing="0" w:line="360" w:lineRule="auto"/>
        <w:ind w:firstLine="422" w:firstLineChars="200"/>
        <w:rPr>
          <w:rFonts w:hint="eastAsia" w:ascii="宋体" w:hAnsi="宋体"/>
          <w:b/>
          <w:color w:val="auto"/>
          <w:highlight w:val="none"/>
        </w:rPr>
      </w:pPr>
      <w:bookmarkStart w:id="350" w:name="_Ref523403931"/>
      <w:bookmarkEnd w:id="350"/>
      <w:bookmarkStart w:id="351" w:name="_Toc1110122968"/>
      <w:bookmarkEnd w:id="351"/>
      <w:bookmarkStart w:id="352" w:name="_Ref523404607"/>
      <w:bookmarkEnd w:id="352"/>
      <w:bookmarkStart w:id="353" w:name="_Toc83224727"/>
      <w:bookmarkEnd w:id="353"/>
      <w:bookmarkStart w:id="354" w:name="_Toc1033307935"/>
      <w:bookmarkEnd w:id="354"/>
      <w:bookmarkStart w:id="355" w:name="_Toc18156007"/>
      <w:bookmarkEnd w:id="355"/>
      <w:r>
        <w:rPr>
          <w:rFonts w:hint="eastAsia" w:ascii="宋体" w:hAnsi="宋体"/>
          <w:b/>
          <w:color w:val="auto"/>
          <w:highlight w:val="none"/>
        </w:rPr>
        <w:t>7.2变更程序</w:t>
      </w:r>
    </w:p>
    <w:p>
      <w:pPr>
        <w:spacing w:beforeAutospacing="0" w:afterAutospacing="0" w:line="360" w:lineRule="auto"/>
        <w:ind w:firstLine="420" w:firstLineChars="200"/>
        <w:jc w:val="left"/>
        <w:rPr>
          <w:rFonts w:hint="eastAsia" w:ascii="宋体" w:hAnsi="宋体"/>
          <w:color w:val="auto"/>
          <w:highlight w:val="none"/>
        </w:rPr>
      </w:pPr>
      <w:bookmarkStart w:id="356" w:name="_Ref523404593"/>
      <w:bookmarkEnd w:id="356"/>
      <w:r>
        <w:rPr>
          <w:rFonts w:hint="eastAsia" w:ascii="宋体" w:hAnsi="宋体"/>
          <w:color w:val="auto"/>
          <w:highlight w:val="none"/>
        </w:rPr>
        <w:t>7.2.1咨询服务完成前，委托人可通过签发服务变更通知随时发起对咨询服务的变更。委托人也可先要求咨询人就即将采取的服务变更拟定建议书，委托人接受此建议书后应签发服务变更通知以确认该服务变更。</w:t>
      </w:r>
    </w:p>
    <w:p>
      <w:pPr>
        <w:spacing w:beforeAutospacing="0" w:afterAutospacing="0" w:line="360" w:lineRule="auto"/>
        <w:ind w:firstLine="420" w:firstLineChars="200"/>
        <w:jc w:val="left"/>
        <w:rPr>
          <w:rFonts w:hint="eastAsia" w:ascii="宋体" w:hAnsi="宋体"/>
          <w:color w:val="auto"/>
          <w:highlight w:val="none"/>
        </w:rPr>
      </w:pPr>
      <w:bookmarkStart w:id="357" w:name="_Ref523430127"/>
      <w:bookmarkEnd w:id="357"/>
      <w:r>
        <w:rPr>
          <w:rFonts w:hint="eastAsia" w:ascii="宋体" w:hAnsi="宋体"/>
          <w:color w:val="auto"/>
          <w:highlight w:val="none"/>
        </w:rPr>
        <w:t>7.2.2若咨询人认为委托人发出的指示或其他事件构成了服务变更，则应在合理可行的情况下尽快将该事件对服务进度计划、相关服务费用的影响通知委托人。除专用合同条件另有约定外，委托人应当在收到通知14天内签发服务变更通知或取消该指示，或签发该指示或事件不会导致服务变更的通知解释。咨询人可在收到进一步的通知后7天内根据第13条［</w:t>
      </w:r>
      <w:r>
        <w:rPr>
          <w:rFonts w:hint="eastAsia" w:ascii="宋体" w:hAnsi="宋体"/>
          <w:color w:val="auto"/>
          <w:highlight w:val="none"/>
        </w:rPr>
        <w:fldChar w:fldCharType="begin"/>
      </w:r>
      <w:r>
        <w:rPr>
          <w:rFonts w:hint="eastAsia" w:ascii="宋体" w:hAnsi="宋体"/>
          <w:color w:val="auto"/>
          <w:highlight w:val="none"/>
        </w:rPr>
        <w:instrText xml:space="preserve"> REF _Ref521316370 \h  \* MERGEFORMAT </w:instrText>
      </w:r>
      <w:r>
        <w:rPr>
          <w:rFonts w:hint="eastAsia" w:ascii="宋体" w:hAnsi="宋体"/>
          <w:color w:val="auto"/>
          <w:highlight w:val="none"/>
        </w:rPr>
        <w:fldChar w:fldCharType="separate"/>
      </w:r>
      <w:r>
        <w:rPr>
          <w:rFonts w:hint="eastAsia" w:ascii="宋体" w:hAnsi="宋体"/>
          <w:color w:val="auto"/>
          <w:highlight w:val="none"/>
        </w:rPr>
        <w:t>第13条</w:t>
      </w:r>
      <w:r>
        <w:rPr>
          <w:rFonts w:hint="eastAsia" w:ascii="宋体" w:hAnsi="宋体"/>
          <w:b/>
          <w:color w:val="auto"/>
          <w:highlight w:val="none"/>
        </w:rPr>
        <w:t xml:space="preserve"> 争议解决</w:t>
      </w:r>
      <w:r>
        <w:rPr>
          <w:rFonts w:hint="eastAsia" w:ascii="宋体" w:hAnsi="宋体"/>
          <w:color w:val="auto"/>
          <w:highlight w:val="none"/>
        </w:rPr>
        <w:fldChar w:fldCharType="end"/>
      </w:r>
      <w:r>
        <w:rPr>
          <w:rFonts w:hint="eastAsia" w:ascii="宋体" w:hAnsi="宋体"/>
          <w:color w:val="auto"/>
          <w:highlight w:val="none"/>
        </w:rPr>
        <w:t>］将该事件作为争议提交，否则咨询人应遵守该委托人的进一步通知。委托人逾期签发服务变更通知、进一步通知或其他意见的，视为委托人认可该指示或事件构成服务变更。</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7.2.3委托人签发服务变更通知后，咨询人应受到该通知的约束，除非咨询人向委托人发出以下有证据支持的通知：</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（1）咨询人不具备实施服务变更的技术和资源；</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（2）咨询人认为服务变更将实质性地改变咨询服务的程度或性质；</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（3）委托人签发的服务变更通知存在违反法律法规或技术标准前置性规定的情形。</w:t>
      </w:r>
    </w:p>
    <w:p>
      <w:pPr>
        <w:spacing w:beforeAutospacing="0" w:afterAutospacing="0" w:line="360" w:lineRule="auto"/>
        <w:ind w:firstLine="422" w:firstLineChars="200"/>
        <w:rPr>
          <w:rFonts w:hint="eastAsia" w:ascii="宋体" w:hAnsi="宋体"/>
          <w:b/>
          <w:color w:val="auto"/>
          <w:highlight w:val="none"/>
        </w:rPr>
      </w:pPr>
      <w:bookmarkStart w:id="358" w:name="_Ref523403960"/>
      <w:bookmarkEnd w:id="358"/>
      <w:bookmarkStart w:id="359" w:name="_Ref523403958"/>
      <w:bookmarkEnd w:id="359"/>
      <w:bookmarkStart w:id="360" w:name="_Toc1690903775"/>
      <w:bookmarkEnd w:id="360"/>
      <w:bookmarkStart w:id="361" w:name="_Ref523404602"/>
      <w:bookmarkEnd w:id="361"/>
      <w:bookmarkStart w:id="362" w:name="_Toc853797203"/>
      <w:bookmarkEnd w:id="362"/>
      <w:bookmarkStart w:id="363" w:name="_Toc18156008"/>
      <w:bookmarkEnd w:id="363"/>
      <w:bookmarkStart w:id="364" w:name="_Toc83224728"/>
      <w:bookmarkEnd w:id="364"/>
      <w:r>
        <w:rPr>
          <w:rFonts w:hint="eastAsia" w:ascii="宋体" w:hAnsi="宋体"/>
          <w:b/>
          <w:color w:val="auto"/>
          <w:highlight w:val="none"/>
        </w:rPr>
        <w:t>7.3价格调整和变更影响</w:t>
      </w:r>
    </w:p>
    <w:p>
      <w:pPr>
        <w:spacing w:beforeAutospacing="0" w:afterAutospacing="0" w:line="360" w:lineRule="auto"/>
        <w:ind w:firstLine="420" w:firstLineChars="200"/>
        <w:jc w:val="left"/>
        <w:rPr>
          <w:rFonts w:hint="eastAsia" w:ascii="宋体" w:hAnsi="宋体"/>
          <w:color w:val="auto"/>
          <w:highlight w:val="none"/>
        </w:rPr>
      </w:pPr>
      <w:bookmarkStart w:id="365" w:name="_Ref523404586"/>
      <w:bookmarkEnd w:id="365"/>
      <w:r>
        <w:rPr>
          <w:rFonts w:hint="eastAsia" w:ascii="宋体" w:hAnsi="宋体"/>
          <w:color w:val="auto"/>
          <w:highlight w:val="none"/>
        </w:rPr>
        <w:t>7.3.1若服务变更可能影响其他部分的咨询服务、服务进度计划和服务期限或增加咨询人工作量的，委托人和咨询人应对此服务变更引起的价格调整和计算方式，包括对其他部分的服务的影响、服务进度计划和服务完成日期的影响以及增加工作量的影响达成一致。</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7.3.2服务变更引起的价格调整应根据附件2［</w:t>
      </w:r>
      <w:r>
        <w:rPr>
          <w:rFonts w:hint="eastAsia" w:ascii="宋体" w:hAnsi="宋体"/>
          <w:color w:val="auto"/>
          <w:highlight w:val="none"/>
        </w:rPr>
        <w:fldChar w:fldCharType="begin"/>
      </w:r>
      <w:r>
        <w:rPr>
          <w:rFonts w:hint="eastAsia" w:ascii="宋体" w:hAnsi="宋体"/>
          <w:color w:val="auto"/>
          <w:highlight w:val="none"/>
        </w:rPr>
        <w:instrText xml:space="preserve"> REF _Ref522024485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］中的取费标准确定，若附件2［</w:t>
      </w:r>
      <w:r>
        <w:rPr>
          <w:rFonts w:hint="eastAsia" w:ascii="宋体" w:hAnsi="宋体"/>
          <w:color w:val="auto"/>
          <w:highlight w:val="none"/>
        </w:rPr>
        <w:fldChar w:fldCharType="begin"/>
      </w:r>
      <w:r>
        <w:rPr>
          <w:rFonts w:hint="eastAsia" w:ascii="宋体" w:hAnsi="宋体"/>
          <w:color w:val="auto"/>
          <w:highlight w:val="none"/>
        </w:rPr>
        <w:instrText xml:space="preserve"> REF _Ref522024485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］中的取费标准不适用于该服务变更，则双方应达成新的取费标准。</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7.3.3服务变更引起的价格调整和其对服务进度计划的影响需经委托人的书面同意和确认。委托人同意价格调整和服务变更的影响后，应向咨询人发出指令，以开始执行服务变更。</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7.3.4以下情况委托人可直接向咨询人发出开始执行服务变更的指令：</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（1）咨询人收到服务变更通知14天后，双方未能确认服务变更的所有影响并达成一致；</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（2）在服务变更工作开始前，双方无法确认服务变更的所有影响并达成一致。</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在此情况下，咨询人应基于其付出的时间，根据附件2［</w:t>
      </w:r>
      <w:r>
        <w:rPr>
          <w:rFonts w:hint="eastAsia" w:ascii="宋体" w:hAnsi="宋体"/>
          <w:color w:val="auto"/>
          <w:highlight w:val="none"/>
        </w:rPr>
        <w:fldChar w:fldCharType="begin"/>
      </w:r>
      <w:r>
        <w:rPr>
          <w:rFonts w:hint="eastAsia" w:ascii="宋体" w:hAnsi="宋体"/>
          <w:color w:val="auto"/>
          <w:highlight w:val="none"/>
        </w:rPr>
        <w:instrText xml:space="preserve"> REF _Ref522024485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］的取费标准获得补偿。若该取费标准不适用于该服务变更，则委托人应按照合理的费率或价格对咨询人进行补偿，直至双方就服务变更引起的价格调整和影响达成一致。</w:t>
      </w:r>
    </w:p>
    <w:p>
      <w:pPr>
        <w:spacing w:beforeAutospacing="0" w:afterAutospacing="0" w:line="360" w:lineRule="auto"/>
        <w:jc w:val="left"/>
        <w:rPr>
          <w:rFonts w:hint="eastAsia" w:ascii="宋体" w:hAnsi="宋体"/>
          <w:b/>
          <w:color w:val="auto"/>
          <w:highlight w:val="none"/>
        </w:rPr>
      </w:pPr>
      <w:bookmarkStart w:id="366" w:name="_Ref521316687"/>
      <w:bookmarkEnd w:id="366"/>
      <w:bookmarkStart w:id="367" w:name="_Toc1232352956"/>
      <w:bookmarkEnd w:id="367"/>
      <w:bookmarkStart w:id="368" w:name="_Toc1583993436"/>
      <w:bookmarkEnd w:id="368"/>
      <w:bookmarkStart w:id="369" w:name="_Ref521268034"/>
      <w:bookmarkEnd w:id="369"/>
      <w:bookmarkStart w:id="370" w:name="_Ref521316690"/>
      <w:bookmarkEnd w:id="370"/>
      <w:bookmarkStart w:id="371" w:name="_Toc18156009"/>
      <w:bookmarkEnd w:id="371"/>
      <w:bookmarkStart w:id="372" w:name="_Toc83224729"/>
      <w:bookmarkEnd w:id="372"/>
      <w:r>
        <w:rPr>
          <w:rFonts w:hint="eastAsia" w:ascii="宋体" w:hAnsi="宋体"/>
          <w:b/>
          <w:color w:val="auto"/>
          <w:highlight w:val="none"/>
        </w:rPr>
        <w:t>第8条 知识产权</w:t>
      </w:r>
    </w:p>
    <w:p>
      <w:pPr>
        <w:spacing w:beforeAutospacing="0" w:afterAutospacing="0" w:line="360" w:lineRule="auto"/>
        <w:ind w:firstLine="422" w:firstLineChars="200"/>
        <w:rPr>
          <w:rFonts w:hint="eastAsia" w:ascii="宋体" w:hAnsi="宋体"/>
          <w:b/>
          <w:color w:val="auto"/>
          <w:highlight w:val="none"/>
        </w:rPr>
      </w:pPr>
      <w:bookmarkStart w:id="373" w:name="_Toc83224730"/>
      <w:bookmarkEnd w:id="373"/>
      <w:bookmarkStart w:id="374" w:name="_Toc1576757103"/>
      <w:bookmarkEnd w:id="374"/>
      <w:bookmarkStart w:id="375" w:name="_Toc1026815710"/>
      <w:bookmarkEnd w:id="375"/>
      <w:bookmarkStart w:id="376" w:name="_Toc18156010"/>
      <w:bookmarkEnd w:id="376"/>
      <w:bookmarkStart w:id="377" w:name="_Ref522810754"/>
      <w:bookmarkEnd w:id="377"/>
      <w:bookmarkStart w:id="378" w:name="_Ref522810868"/>
      <w:bookmarkEnd w:id="378"/>
      <w:r>
        <w:rPr>
          <w:rFonts w:hint="eastAsia" w:ascii="宋体" w:hAnsi="宋体"/>
          <w:b/>
          <w:color w:val="auto"/>
          <w:highlight w:val="none"/>
        </w:rPr>
        <w:t>8.1知识产权归属和许可</w:t>
      </w:r>
    </w:p>
    <w:p>
      <w:pPr>
        <w:spacing w:beforeAutospacing="0" w:afterAutospacing="0" w:line="360" w:lineRule="auto"/>
        <w:ind w:firstLine="420" w:firstLineChars="200"/>
        <w:jc w:val="left"/>
        <w:rPr>
          <w:rFonts w:hint="eastAsia" w:ascii="宋体" w:hAnsi="宋体"/>
          <w:color w:val="auto"/>
          <w:highlight w:val="none"/>
        </w:rPr>
      </w:pPr>
      <w:bookmarkStart w:id="379" w:name="_Ref509043186"/>
      <w:bookmarkEnd w:id="379"/>
      <w:r>
        <w:rPr>
          <w:rFonts w:hint="eastAsia" w:ascii="宋体" w:hAnsi="宋体"/>
          <w:color w:val="auto"/>
          <w:highlight w:val="none"/>
        </w:rPr>
        <w:t>8.1.1委托人创造、开发和拥有的知识产权，包括但不限于委托人提供给咨询人的资料、文件，委托人为实施项目自行编制或委托编制的技术规范以及反映委托人要求的或其他类似性质文件的知识产权，均属于委托人。但委托人应向咨询人授予咨询人提供咨询服务而合理必需的，使用上述知识产权的免许可费、可转许可的普通许可。</w:t>
      </w:r>
    </w:p>
    <w:p>
      <w:pPr>
        <w:spacing w:beforeAutospacing="0" w:afterAutospacing="0" w:line="360" w:lineRule="auto"/>
        <w:ind w:firstLine="420" w:firstLineChars="200"/>
        <w:jc w:val="left"/>
        <w:rPr>
          <w:rFonts w:hint="eastAsia" w:ascii="宋体" w:hAnsi="宋体"/>
          <w:color w:val="auto"/>
          <w:highlight w:val="none"/>
        </w:rPr>
      </w:pPr>
      <w:bookmarkStart w:id="380" w:name="_Ref509043189"/>
      <w:bookmarkEnd w:id="380"/>
      <w:r>
        <w:rPr>
          <w:rFonts w:hint="eastAsia" w:ascii="宋体" w:hAnsi="宋体"/>
          <w:color w:val="auto"/>
          <w:highlight w:val="none"/>
        </w:rPr>
        <w:t>8.1.2咨询人独立于合同之外而创造、开发和拥有的知识产权均属于咨询人。除专用合同条件另有约定外，咨询人为提供咨询服务而创造或开发的知识产权，包括但不限于咨询人编制的各类书面文件，均属于咨询人。但咨询人应向委托人授予委托人利用咨询服务或项目而合理必需的，使用上述知识产权的相关许可，除专用合同条件另有约定外，许可费用视为包含在服务费用中，不再另行计取。咨询人转让为提供咨询服务而创造或开发的知识产权的，委托人享有以同等条件优先受让的权利。</w:t>
      </w:r>
    </w:p>
    <w:p>
      <w:pPr>
        <w:spacing w:beforeAutospacing="0" w:afterAutospacing="0" w:line="360" w:lineRule="auto"/>
        <w:ind w:firstLine="422" w:firstLineChars="200"/>
        <w:rPr>
          <w:rFonts w:hint="eastAsia" w:ascii="宋体" w:hAnsi="宋体"/>
          <w:b/>
          <w:color w:val="auto"/>
          <w:highlight w:val="none"/>
        </w:rPr>
      </w:pPr>
      <w:bookmarkStart w:id="381" w:name="_Toc18156011"/>
      <w:bookmarkEnd w:id="381"/>
      <w:bookmarkStart w:id="382" w:name="_Toc1204599365"/>
      <w:bookmarkEnd w:id="382"/>
      <w:bookmarkStart w:id="383" w:name="_Toc1322738857"/>
      <w:bookmarkEnd w:id="383"/>
      <w:bookmarkStart w:id="384" w:name="_Toc83224731"/>
      <w:bookmarkEnd w:id="384"/>
      <w:r>
        <w:rPr>
          <w:rFonts w:hint="eastAsia" w:ascii="宋体" w:hAnsi="宋体"/>
          <w:b/>
          <w:color w:val="auto"/>
          <w:highlight w:val="none"/>
        </w:rPr>
        <w:t>8.2知识产权保证</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8.2.1咨询人和委托人保证，己方是拥有所提供的服务成果或资料的知识产权权利人，或已获得知识产权权利人的相关许可。如咨询人或委托人因使用对方提供的服务成果或资料而导致侵犯第三方的知识产权或其他权利，则提供方须与该第三方交涉并承担由此而引起的一切法律责任和费用，并应在法律允许的情况下自担费用确保合法的权利人将相关权利转让或授予委托人或咨询人。</w:t>
      </w:r>
    </w:p>
    <w:p>
      <w:pPr>
        <w:spacing w:beforeAutospacing="0" w:afterAutospacing="0" w:line="360" w:lineRule="auto"/>
        <w:ind w:firstLine="422" w:firstLineChars="200"/>
        <w:rPr>
          <w:rFonts w:hint="eastAsia" w:ascii="宋体" w:hAnsi="宋体"/>
          <w:b/>
          <w:color w:val="auto"/>
          <w:highlight w:val="none"/>
        </w:rPr>
      </w:pPr>
      <w:bookmarkStart w:id="385" w:name="_Ref522810787"/>
      <w:bookmarkEnd w:id="385"/>
      <w:bookmarkStart w:id="386" w:name="_Toc1253443386"/>
      <w:bookmarkEnd w:id="386"/>
      <w:bookmarkStart w:id="387" w:name="_Toc83224732"/>
      <w:bookmarkEnd w:id="387"/>
      <w:bookmarkStart w:id="388" w:name="_Toc18156012"/>
      <w:bookmarkEnd w:id="388"/>
      <w:bookmarkStart w:id="389" w:name="_Toc1043804828"/>
      <w:bookmarkEnd w:id="389"/>
      <w:bookmarkStart w:id="390" w:name="_Ref522811259"/>
      <w:bookmarkEnd w:id="390"/>
      <w:r>
        <w:rPr>
          <w:rFonts w:hint="eastAsia" w:ascii="宋体" w:hAnsi="宋体"/>
          <w:b/>
          <w:color w:val="auto"/>
          <w:highlight w:val="none"/>
        </w:rPr>
        <w:t>8.3知识产权许可的撤销</w:t>
      </w:r>
    </w:p>
    <w:p>
      <w:pPr>
        <w:spacing w:beforeAutospacing="0" w:afterAutospacing="0" w:line="360" w:lineRule="auto"/>
        <w:ind w:firstLine="420" w:firstLineChars="200"/>
        <w:rPr>
          <w:rFonts w:hint="eastAsia" w:ascii="宋体" w:hAnsi="宋体"/>
          <w:color w:val="auto"/>
          <w:highlight w:val="none"/>
        </w:rPr>
      </w:pPr>
      <w:bookmarkStart w:id="391" w:name="_Ref523430212"/>
      <w:bookmarkEnd w:id="391"/>
      <w:r>
        <w:rPr>
          <w:rFonts w:hint="eastAsia" w:ascii="宋体" w:hAnsi="宋体"/>
          <w:color w:val="auto"/>
          <w:highlight w:val="none"/>
        </w:rPr>
        <w:t>8.3.1如委托人根据第12.2.1项的约定、或者咨询人根据第12.3.1项的约定正当地终止合同，则其有权撤销根据本条所授予的知识产权许可，但双方另有约定的除外。</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8.3.2如委托人未能履行合同下到期的任何付款义务，则咨询人有权通过提前28天发出通知的方式撤销根据合同授予委托人的任何知识产权许可。</w:t>
      </w:r>
    </w:p>
    <w:p>
      <w:pPr>
        <w:spacing w:beforeAutospacing="0" w:afterAutospacing="0" w:line="360" w:lineRule="auto"/>
        <w:jc w:val="left"/>
        <w:rPr>
          <w:rFonts w:hint="eastAsia" w:ascii="宋体" w:hAnsi="宋体"/>
          <w:b/>
          <w:color w:val="auto"/>
          <w:highlight w:val="none"/>
        </w:rPr>
      </w:pPr>
      <w:bookmarkStart w:id="392" w:name="_Toc2140134999"/>
      <w:bookmarkEnd w:id="392"/>
      <w:bookmarkStart w:id="393" w:name="_Ref523302948"/>
      <w:bookmarkEnd w:id="393"/>
      <w:bookmarkStart w:id="394" w:name="_Toc18156013"/>
      <w:bookmarkEnd w:id="394"/>
      <w:bookmarkStart w:id="395" w:name="_Toc2095540599"/>
      <w:bookmarkEnd w:id="395"/>
      <w:bookmarkStart w:id="396" w:name="_Toc83224733"/>
      <w:bookmarkEnd w:id="396"/>
      <w:r>
        <w:rPr>
          <w:rFonts w:hint="eastAsia" w:ascii="宋体" w:hAnsi="宋体"/>
          <w:b/>
          <w:color w:val="auto"/>
          <w:highlight w:val="none"/>
        </w:rPr>
        <w:t>第9条 保险</w:t>
      </w:r>
    </w:p>
    <w:p>
      <w:pPr>
        <w:spacing w:beforeAutospacing="0" w:afterAutospacing="0" w:line="360" w:lineRule="auto"/>
        <w:ind w:firstLine="422" w:firstLineChars="200"/>
        <w:rPr>
          <w:rFonts w:hint="eastAsia" w:ascii="宋体" w:hAnsi="宋体"/>
          <w:b/>
          <w:color w:val="auto"/>
          <w:highlight w:val="none"/>
        </w:rPr>
      </w:pPr>
      <w:bookmarkStart w:id="397" w:name="_Toc1216456133"/>
      <w:bookmarkEnd w:id="397"/>
      <w:bookmarkStart w:id="398" w:name="_Ref509049238"/>
      <w:bookmarkEnd w:id="398"/>
      <w:bookmarkStart w:id="399" w:name="_Toc83224734"/>
      <w:bookmarkEnd w:id="399"/>
      <w:bookmarkStart w:id="400" w:name="_Toc18156014"/>
      <w:bookmarkEnd w:id="400"/>
      <w:bookmarkStart w:id="401" w:name="_Ref509049235"/>
      <w:bookmarkEnd w:id="401"/>
      <w:bookmarkStart w:id="402" w:name="_Toc554214657"/>
      <w:bookmarkEnd w:id="402"/>
      <w:r>
        <w:rPr>
          <w:rFonts w:hint="eastAsia" w:ascii="宋体" w:hAnsi="宋体"/>
          <w:b/>
          <w:color w:val="auto"/>
          <w:highlight w:val="none"/>
        </w:rPr>
        <w:t>9.1咨询人应投保的保险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9.1.1咨询人应按照相关法律法规的要求和专用合同条件的约定，投保委托人认可的、履行合同所需要的工程相关保险。工程相关保险应承担由于咨询人的疏忽或过失而引发的工程质量事故所造成的建设工程本身的物质损失以及第三者人身伤亡、财产损失或费用的赔偿责任。</w:t>
      </w:r>
    </w:p>
    <w:p>
      <w:pPr>
        <w:spacing w:beforeAutospacing="0" w:afterAutospacing="0" w:line="360" w:lineRule="auto"/>
        <w:ind w:firstLine="420" w:firstLineChars="200"/>
        <w:jc w:val="left"/>
        <w:rPr>
          <w:rFonts w:hint="eastAsia" w:ascii="宋体" w:hAnsi="宋体"/>
          <w:color w:val="auto"/>
          <w:highlight w:val="none"/>
        </w:rPr>
      </w:pPr>
      <w:bookmarkStart w:id="403" w:name="_Ref523430275"/>
      <w:bookmarkEnd w:id="403"/>
      <w:r>
        <w:rPr>
          <w:rFonts w:hint="eastAsia" w:ascii="宋体" w:hAnsi="宋体"/>
          <w:color w:val="auto"/>
          <w:highlight w:val="none"/>
        </w:rPr>
        <w:t>9.1.2除专用合同条件另有约定外，保险费用视为包含在服务费用中，不再另行计取。如咨询人未根据合同约定购买上述保险，委托人可代为购买上述保险，产生的保险费用从服务费用中扣除。</w:t>
      </w:r>
    </w:p>
    <w:p>
      <w:pPr>
        <w:spacing w:beforeAutospacing="0" w:afterAutospacing="0" w:line="360" w:lineRule="auto"/>
        <w:ind w:firstLine="422" w:firstLineChars="200"/>
        <w:rPr>
          <w:rFonts w:hint="eastAsia" w:ascii="宋体" w:hAnsi="宋体"/>
          <w:b/>
          <w:color w:val="auto"/>
          <w:highlight w:val="none"/>
        </w:rPr>
      </w:pPr>
      <w:bookmarkStart w:id="404" w:name="_Toc18156015"/>
      <w:bookmarkEnd w:id="404"/>
      <w:bookmarkStart w:id="405" w:name="_Ref522810976"/>
      <w:bookmarkEnd w:id="405"/>
      <w:bookmarkStart w:id="406" w:name="_Toc1851583353"/>
      <w:bookmarkEnd w:id="406"/>
      <w:bookmarkStart w:id="407" w:name="_Toc83224735"/>
      <w:bookmarkEnd w:id="407"/>
      <w:bookmarkStart w:id="408" w:name="_Toc868342973"/>
      <w:bookmarkEnd w:id="408"/>
      <w:bookmarkStart w:id="409" w:name="_Ref522810970"/>
      <w:bookmarkEnd w:id="409"/>
      <w:r>
        <w:rPr>
          <w:rFonts w:hint="eastAsia" w:ascii="宋体" w:hAnsi="宋体"/>
          <w:b/>
          <w:color w:val="auto"/>
          <w:highlight w:val="none"/>
        </w:rPr>
        <w:t>9.2保险的其他约定</w:t>
      </w:r>
    </w:p>
    <w:p>
      <w:pPr>
        <w:spacing w:beforeAutospacing="0" w:afterAutospacing="0" w:line="360" w:lineRule="auto"/>
        <w:ind w:firstLine="420" w:firstLineChars="200"/>
        <w:jc w:val="left"/>
        <w:rPr>
          <w:rFonts w:hint="eastAsia" w:ascii="宋体" w:hAnsi="宋体"/>
          <w:color w:val="auto"/>
          <w:highlight w:val="none"/>
        </w:rPr>
      </w:pPr>
      <w:bookmarkStart w:id="410" w:name="_Ref523404203"/>
      <w:bookmarkEnd w:id="410"/>
      <w:r>
        <w:rPr>
          <w:rFonts w:hint="eastAsia" w:ascii="宋体" w:hAnsi="宋体"/>
          <w:color w:val="auto"/>
          <w:highlight w:val="none"/>
        </w:rPr>
        <w:t>9.2.1咨询人应当保证上述保险在第11.3款［</w:t>
      </w:r>
      <w:r>
        <w:rPr>
          <w:rFonts w:hint="eastAsia" w:ascii="宋体" w:hAnsi="宋体"/>
          <w:color w:val="auto"/>
          <w:highlight w:val="none"/>
        </w:rPr>
        <w:fldChar w:fldCharType="begin"/>
      </w:r>
      <w:r>
        <w:rPr>
          <w:rFonts w:hint="eastAsia" w:ascii="宋体" w:hAnsi="宋体"/>
          <w:color w:val="auto"/>
          <w:highlight w:val="none"/>
        </w:rPr>
        <w:instrText xml:space="preserve"> REF _Ref522784527 \h  \* MERGEFORMAT </w:instrText>
      </w:r>
      <w:r>
        <w:rPr>
          <w:rFonts w:hint="eastAsia" w:ascii="宋体" w:hAnsi="宋体"/>
          <w:color w:val="auto"/>
          <w:highlight w:val="none"/>
        </w:rPr>
        <w:fldChar w:fldCharType="separate"/>
      </w:r>
      <w:r>
        <w:rPr>
          <w:rFonts w:hint="eastAsia" w:ascii="宋体" w:hAnsi="宋体"/>
          <w:color w:val="auto"/>
          <w:highlight w:val="none"/>
        </w:rPr>
        <w:t>11.3责任期限</w:t>
      </w:r>
      <w:r>
        <w:rPr>
          <w:rFonts w:hint="eastAsia" w:ascii="宋体" w:hAnsi="宋体"/>
          <w:color w:val="auto"/>
          <w:highlight w:val="none"/>
        </w:rPr>
        <w:fldChar w:fldCharType="end"/>
      </w:r>
      <w:r>
        <w:rPr>
          <w:rFonts w:hint="eastAsia" w:ascii="宋体" w:hAnsi="宋体"/>
          <w:color w:val="auto"/>
          <w:highlight w:val="none"/>
        </w:rPr>
        <w:t>］约定的责任期限内持续有效，合同责任期延长的，咨询人应当及时续保。</w:t>
      </w:r>
    </w:p>
    <w:p>
      <w:pPr>
        <w:spacing w:beforeAutospacing="0" w:afterAutospacing="0" w:line="360" w:lineRule="auto"/>
        <w:ind w:firstLine="420" w:firstLineChars="200"/>
        <w:jc w:val="left"/>
        <w:rPr>
          <w:rFonts w:hint="eastAsia" w:ascii="宋体" w:hAnsi="宋体"/>
          <w:color w:val="auto"/>
          <w:highlight w:val="none"/>
        </w:rPr>
      </w:pPr>
      <w:bookmarkStart w:id="411" w:name="_Ref523404211"/>
      <w:bookmarkEnd w:id="411"/>
      <w:r>
        <w:rPr>
          <w:rFonts w:hint="eastAsia" w:ascii="宋体" w:hAnsi="宋体"/>
          <w:color w:val="auto"/>
          <w:highlight w:val="none"/>
        </w:rPr>
        <w:t>9.2.2咨询人应根据委托人的要求及时向委托人提交已投保的各项保险的凭证和保险单复印件，以证明本条要求的保险持续有效。</w:t>
      </w:r>
    </w:p>
    <w:p>
      <w:pPr>
        <w:spacing w:beforeAutospacing="0" w:afterAutospacing="0" w:line="360" w:lineRule="auto"/>
        <w:ind w:firstLine="420" w:firstLineChars="200"/>
        <w:jc w:val="left"/>
        <w:rPr>
          <w:rFonts w:hint="eastAsia" w:ascii="宋体" w:hAnsi="宋体"/>
          <w:color w:val="auto"/>
          <w:highlight w:val="none"/>
        </w:rPr>
      </w:pPr>
      <w:bookmarkStart w:id="412" w:name="_Ref523695563"/>
      <w:bookmarkEnd w:id="412"/>
      <w:r>
        <w:rPr>
          <w:rFonts w:hint="eastAsia" w:ascii="宋体" w:hAnsi="宋体"/>
          <w:color w:val="auto"/>
          <w:highlight w:val="none"/>
        </w:rPr>
        <w:t>9.2.3如本条所述的保险被变更或提前终止，则咨询人应立即就此通知委托人，并另行提供符合本条要求的保险，除因委托人引起保险的变更或提前终止外，由此产生的保险费用由咨询人承担。</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9.2.4保险事故发生后，相关保险的投保人和被保险人应按照保险合同约定的条件和期限及时向保险人报告。咨询人和委托人应当在得知相关保险事故发生后及时通知对方。</w:t>
      </w:r>
    </w:p>
    <w:p>
      <w:pPr>
        <w:spacing w:beforeAutospacing="0" w:afterAutospacing="0" w:line="360" w:lineRule="auto"/>
        <w:jc w:val="left"/>
        <w:rPr>
          <w:rFonts w:hint="eastAsia" w:ascii="宋体" w:hAnsi="宋体"/>
          <w:b/>
          <w:color w:val="auto"/>
          <w:highlight w:val="none"/>
        </w:rPr>
      </w:pPr>
      <w:bookmarkStart w:id="413" w:name="_Toc267392916"/>
      <w:bookmarkEnd w:id="413"/>
      <w:bookmarkStart w:id="414" w:name="_Toc18156016"/>
      <w:bookmarkEnd w:id="414"/>
      <w:bookmarkStart w:id="415" w:name="_Ref508893744"/>
      <w:bookmarkEnd w:id="415"/>
      <w:bookmarkStart w:id="416" w:name="_Toc83224736"/>
      <w:bookmarkEnd w:id="416"/>
      <w:bookmarkStart w:id="417" w:name="_Toc1233613056"/>
      <w:bookmarkEnd w:id="417"/>
      <w:r>
        <w:rPr>
          <w:rFonts w:hint="eastAsia" w:ascii="宋体" w:hAnsi="宋体"/>
          <w:b/>
          <w:color w:val="auto"/>
          <w:highlight w:val="none"/>
        </w:rPr>
        <w:t>第10条 不可抗力</w:t>
      </w:r>
    </w:p>
    <w:p>
      <w:pPr>
        <w:spacing w:beforeAutospacing="0" w:afterAutospacing="0" w:line="360" w:lineRule="auto"/>
        <w:ind w:firstLine="422" w:firstLineChars="200"/>
        <w:rPr>
          <w:rFonts w:hint="eastAsia" w:ascii="宋体" w:hAnsi="宋体"/>
          <w:b/>
          <w:color w:val="auto"/>
          <w:highlight w:val="none"/>
        </w:rPr>
      </w:pPr>
      <w:bookmarkStart w:id="418" w:name="_Toc1469747079"/>
      <w:bookmarkEnd w:id="418"/>
      <w:bookmarkStart w:id="419" w:name="_Toc1402258534"/>
      <w:bookmarkEnd w:id="419"/>
      <w:bookmarkStart w:id="420" w:name="_Ref523404219"/>
      <w:bookmarkEnd w:id="420"/>
      <w:bookmarkStart w:id="421" w:name="_Toc18156017"/>
      <w:bookmarkEnd w:id="421"/>
      <w:bookmarkStart w:id="422" w:name="_Toc83224737"/>
      <w:bookmarkEnd w:id="422"/>
      <w:bookmarkStart w:id="423" w:name="_Ref523404237"/>
      <w:bookmarkEnd w:id="423"/>
      <w:bookmarkStart w:id="424" w:name="_Ref523404510"/>
      <w:bookmarkEnd w:id="424"/>
      <w:bookmarkStart w:id="425" w:name="_Ref523404231"/>
      <w:bookmarkEnd w:id="425"/>
      <w:r>
        <w:rPr>
          <w:rFonts w:hint="eastAsia" w:ascii="宋体" w:hAnsi="宋体"/>
          <w:b/>
          <w:color w:val="auto"/>
          <w:highlight w:val="none"/>
        </w:rPr>
        <w:t>10.1不可抗力的确认</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10.1.1不可抗力是指合同当事人在签订合同时不能预见、不能避免且不能克服的自然灾害和社会性突发事件，如地震、海啸、瘟疫、骚乱、戒严、暴动、战争和专用合同条件中约定的其他情形。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10.1.2不可抗力发生后，委托人和咨询人应收集证明不可抗力发生及不可抗力造成损失的证据，并及时认真统计所造成的损失。合同当事人对是否属于不可抗力或其损失发生争议时，按第13条［争议解决］的约定处理。</w:t>
      </w:r>
    </w:p>
    <w:p>
      <w:pPr>
        <w:spacing w:beforeAutospacing="0" w:afterAutospacing="0" w:line="360" w:lineRule="auto"/>
        <w:ind w:firstLine="422" w:firstLineChars="200"/>
        <w:rPr>
          <w:rFonts w:hint="eastAsia" w:ascii="宋体" w:hAnsi="宋体"/>
          <w:b/>
          <w:color w:val="auto"/>
          <w:highlight w:val="none"/>
        </w:rPr>
      </w:pPr>
      <w:bookmarkStart w:id="426" w:name="_Toc18156018"/>
      <w:bookmarkEnd w:id="426"/>
      <w:bookmarkStart w:id="427" w:name="_Toc282517314"/>
      <w:bookmarkEnd w:id="427"/>
      <w:bookmarkStart w:id="428" w:name="_Toc83224738"/>
      <w:bookmarkEnd w:id="428"/>
      <w:bookmarkStart w:id="429" w:name="_Ref522799274"/>
      <w:bookmarkEnd w:id="429"/>
      <w:bookmarkStart w:id="430" w:name="_Ref522799271"/>
      <w:bookmarkEnd w:id="430"/>
      <w:bookmarkStart w:id="431" w:name="_Toc774762787"/>
      <w:bookmarkEnd w:id="431"/>
      <w:r>
        <w:rPr>
          <w:rFonts w:hint="eastAsia" w:ascii="宋体" w:hAnsi="宋体"/>
          <w:b/>
          <w:color w:val="auto"/>
          <w:highlight w:val="none"/>
        </w:rPr>
        <w:t>10.2不可抗力的通知</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10.2.1任何一方遇到不可抗力事件，使其履行合同义务受到阻碍时，应立即通知合同另一方，书面说明不可抗力和受阻碍的详细情况，并在合理期限内提供必要的证明。</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10.2.2不可抗力持续发生的，合同一方当事人应及时向合同另一方当事人提交书面中间报告，说明不可抗力和履行合同受阻的情况，并于不可抗力事件结束后28天内提交最终书面报告及有关资料。</w:t>
      </w:r>
    </w:p>
    <w:p>
      <w:pPr>
        <w:spacing w:beforeAutospacing="0" w:afterAutospacing="0" w:line="360" w:lineRule="auto"/>
        <w:ind w:firstLine="422" w:firstLineChars="200"/>
        <w:rPr>
          <w:rFonts w:hint="eastAsia" w:ascii="宋体" w:hAnsi="宋体"/>
          <w:b/>
          <w:color w:val="auto"/>
          <w:highlight w:val="none"/>
        </w:rPr>
      </w:pPr>
      <w:bookmarkStart w:id="432" w:name="_Toc18156019"/>
      <w:bookmarkEnd w:id="432"/>
      <w:bookmarkStart w:id="433" w:name="_Toc1837008482"/>
      <w:bookmarkEnd w:id="433"/>
      <w:bookmarkStart w:id="434" w:name="_Toc910215681"/>
      <w:bookmarkEnd w:id="434"/>
      <w:bookmarkStart w:id="435" w:name="_Ref523404505"/>
      <w:bookmarkEnd w:id="435"/>
      <w:bookmarkStart w:id="436" w:name="_Ref523404257"/>
      <w:bookmarkEnd w:id="436"/>
      <w:bookmarkStart w:id="437" w:name="_Toc83224739"/>
      <w:bookmarkEnd w:id="437"/>
      <w:bookmarkStart w:id="438" w:name="_Ref523404251"/>
      <w:bookmarkEnd w:id="438"/>
      <w:r>
        <w:rPr>
          <w:rFonts w:hint="eastAsia" w:ascii="宋体" w:hAnsi="宋体"/>
          <w:b/>
          <w:color w:val="auto"/>
          <w:highlight w:val="none"/>
        </w:rPr>
        <w:t>10.3不可抗力的后果</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10.3.1不可抗力引起的后果及造成的损失由合同当事人按照法律规定及合同约定各自承担。</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10.3.2不可抗力发生后，合同当事人均应采取措施尽量避免和减少损失的扩大，任何一方当事人没有采取有效措施导致损失扩大的，应对扩大的损失承担责任。</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10.3.3不可抗力发生前已完成的咨询服务应当按照合同约定进行支付。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10.3.4因一方迟延履行合同义务，在迟延履行期间遭遇不可抗力的，不免除该方的违约责任。</w:t>
      </w:r>
    </w:p>
    <w:p>
      <w:pPr>
        <w:spacing w:beforeAutospacing="0" w:afterAutospacing="0" w:line="360" w:lineRule="auto"/>
        <w:jc w:val="left"/>
        <w:rPr>
          <w:rFonts w:hint="eastAsia" w:ascii="宋体" w:hAnsi="宋体"/>
          <w:b/>
          <w:color w:val="auto"/>
          <w:highlight w:val="none"/>
        </w:rPr>
      </w:pPr>
      <w:bookmarkStart w:id="439" w:name="_Ref521268028"/>
      <w:bookmarkEnd w:id="439"/>
      <w:bookmarkStart w:id="440" w:name="_Toc703064262"/>
      <w:bookmarkEnd w:id="440"/>
      <w:bookmarkStart w:id="441" w:name="_Toc1963074342"/>
      <w:bookmarkEnd w:id="441"/>
      <w:bookmarkStart w:id="442" w:name="_Toc18156020"/>
      <w:bookmarkEnd w:id="442"/>
      <w:bookmarkStart w:id="443" w:name="_Toc83224740"/>
      <w:bookmarkEnd w:id="443"/>
      <w:r>
        <w:rPr>
          <w:rFonts w:hint="eastAsia" w:ascii="宋体" w:hAnsi="宋体"/>
          <w:b/>
          <w:color w:val="auto"/>
          <w:highlight w:val="none"/>
        </w:rPr>
        <w:t>第11条  违约责任</w:t>
      </w:r>
    </w:p>
    <w:p>
      <w:pPr>
        <w:spacing w:beforeAutospacing="0" w:afterAutospacing="0" w:line="360" w:lineRule="auto"/>
        <w:ind w:firstLine="422" w:firstLineChars="200"/>
        <w:rPr>
          <w:rFonts w:hint="eastAsia" w:ascii="宋体" w:hAnsi="宋体"/>
          <w:b/>
          <w:color w:val="auto"/>
          <w:highlight w:val="none"/>
        </w:rPr>
      </w:pPr>
      <w:bookmarkStart w:id="444" w:name="_Toc18156021"/>
      <w:bookmarkEnd w:id="444"/>
      <w:bookmarkStart w:id="445" w:name="_Ref522811338"/>
      <w:bookmarkEnd w:id="445"/>
      <w:bookmarkStart w:id="446" w:name="_Toc83224741"/>
      <w:bookmarkEnd w:id="446"/>
      <w:bookmarkStart w:id="447" w:name="_Toc863023161"/>
      <w:bookmarkEnd w:id="447"/>
      <w:bookmarkStart w:id="448" w:name="_Toc1623106979"/>
      <w:bookmarkEnd w:id="448"/>
      <w:bookmarkStart w:id="449" w:name="_Ref522811341"/>
      <w:bookmarkEnd w:id="449"/>
      <w:r>
        <w:rPr>
          <w:rFonts w:hint="eastAsia" w:ascii="宋体" w:hAnsi="宋体"/>
          <w:b/>
          <w:color w:val="auto"/>
          <w:highlight w:val="none"/>
        </w:rPr>
        <w:t>11.1委托人违约</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11.1.1委托人违约的情形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除专用合同条件另有约定外，在合同履行过程中发生的下列情形，属于委托人违约：</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（1）委托人未能按合同约定提供有关资料或所提供的有关资料不符合合同约定或存在错误或疏漏的；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（2）委托人未能按合同约定提供咨询服务工作条件、设施场地、人员服务的；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（3）委托人擅自将咨询人的成果文件用于本项目以外的项目或交第三方使用的；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（4）委托人未按合同约定日期足额付款的；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（5）委托人未能按照合同约定履行其他义务的。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11.1.2通知改正</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委托人发生上述违约情况的，咨询人可向委托人发出通知，要求委托人在指定的期限内采取有效措施纠正违约行为。</w:t>
      </w:r>
    </w:p>
    <w:p>
      <w:pPr>
        <w:spacing w:beforeAutospacing="0" w:afterAutospacing="0" w:line="360" w:lineRule="auto"/>
        <w:ind w:firstLine="420" w:firstLineChars="200"/>
        <w:jc w:val="left"/>
        <w:rPr>
          <w:rFonts w:hint="eastAsia" w:ascii="宋体" w:hAnsi="宋体"/>
          <w:color w:val="auto"/>
          <w:highlight w:val="none"/>
        </w:rPr>
      </w:pPr>
      <w:bookmarkStart w:id="450" w:name="_Ref16249381"/>
      <w:bookmarkEnd w:id="450"/>
      <w:r>
        <w:rPr>
          <w:rFonts w:hint="eastAsia" w:ascii="宋体" w:hAnsi="宋体"/>
          <w:color w:val="auto"/>
          <w:highlight w:val="none"/>
        </w:rPr>
        <w:t>11.1.3委托人的违约责任</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委托人应根据合同约定承担因其违约给咨询人增加的费用和（或）因服务期限延长等造成的损失，并支付咨询人合理的利润。此外，合同当事人可在专用合同条件中另行约定委托人违约责任的承担方式和计算方法。</w:t>
      </w:r>
    </w:p>
    <w:p>
      <w:pPr>
        <w:spacing w:beforeAutospacing="0" w:afterAutospacing="0" w:line="360" w:lineRule="auto"/>
        <w:ind w:firstLine="422" w:firstLineChars="200"/>
        <w:rPr>
          <w:rFonts w:hint="eastAsia" w:ascii="宋体" w:hAnsi="宋体"/>
          <w:b/>
          <w:color w:val="auto"/>
          <w:highlight w:val="none"/>
        </w:rPr>
      </w:pPr>
      <w:bookmarkStart w:id="451" w:name="_Ref16249424"/>
      <w:bookmarkEnd w:id="451"/>
      <w:bookmarkStart w:id="452" w:name="_Toc83224742"/>
      <w:bookmarkEnd w:id="452"/>
      <w:bookmarkStart w:id="453" w:name="_Toc18156022"/>
      <w:bookmarkEnd w:id="453"/>
      <w:bookmarkStart w:id="454" w:name="_Toc1922307906"/>
      <w:bookmarkEnd w:id="454"/>
      <w:bookmarkStart w:id="455" w:name="_Toc122927326"/>
      <w:bookmarkEnd w:id="455"/>
      <w:bookmarkStart w:id="456" w:name="_Ref16249429"/>
      <w:bookmarkEnd w:id="456"/>
      <w:r>
        <w:rPr>
          <w:rFonts w:hint="eastAsia" w:ascii="宋体" w:hAnsi="宋体"/>
          <w:b/>
          <w:color w:val="auto"/>
          <w:highlight w:val="none"/>
        </w:rPr>
        <w:t>11.2咨询人违约</w:t>
      </w:r>
    </w:p>
    <w:p>
      <w:pPr>
        <w:spacing w:beforeAutospacing="0" w:afterAutospacing="0" w:line="360" w:lineRule="auto"/>
        <w:ind w:firstLine="420" w:firstLineChars="200"/>
        <w:jc w:val="left"/>
        <w:rPr>
          <w:rFonts w:hint="eastAsia" w:ascii="宋体" w:hAnsi="宋体"/>
          <w:color w:val="auto"/>
          <w:highlight w:val="none"/>
        </w:rPr>
      </w:pPr>
      <w:bookmarkStart w:id="457" w:name="_Ref16249362"/>
      <w:bookmarkEnd w:id="457"/>
      <w:r>
        <w:rPr>
          <w:rFonts w:hint="eastAsia" w:ascii="宋体" w:hAnsi="宋体"/>
          <w:color w:val="auto"/>
          <w:highlight w:val="none"/>
        </w:rPr>
        <w:t>11.2.1咨询人违约的情形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除专用合同条件另有约定外，在合同履行过程中发生的下列情形，属于咨询人违约：</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（1）由于咨询人原因，未按合同约定的时间和质量交付咨询服务成果文件的；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（2）由于咨询人原因，造成工程质量事故或其他事故时；</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（3）咨询人未经委托人同意，擅自将咨询服务转让给第三方或交由其他咨询单位实施的；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（4）未经委托人批准，咨询人擅自更换咨询项目总负责人、单项咨询负责人以及其他主要咨询人员的；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（5）咨询人未能按照合同约定履行其他义务的。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11.2.2通知改正</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咨询人发生上述违约情况的，委托人可向咨询人发出通知，要求咨询人在指定的期限内改正。</w:t>
      </w:r>
    </w:p>
    <w:p>
      <w:pPr>
        <w:spacing w:beforeAutospacing="0" w:afterAutospacing="0" w:line="360" w:lineRule="auto"/>
        <w:ind w:firstLine="420" w:firstLineChars="200"/>
        <w:jc w:val="left"/>
        <w:rPr>
          <w:rFonts w:hint="eastAsia" w:ascii="宋体" w:hAnsi="宋体"/>
          <w:color w:val="auto"/>
          <w:highlight w:val="none"/>
        </w:rPr>
      </w:pPr>
      <w:bookmarkStart w:id="458" w:name="_Ref16249374"/>
      <w:bookmarkEnd w:id="458"/>
      <w:r>
        <w:rPr>
          <w:rFonts w:hint="eastAsia" w:ascii="宋体" w:hAnsi="宋体"/>
          <w:color w:val="auto"/>
          <w:highlight w:val="none"/>
        </w:rPr>
        <w:t>11.2.3咨询人的违约责任</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咨询人应根据合同约定承担因其违约给委托人增加的费用和（或）因服务期限延误等造成的损失。此外，合同当事人可在专用合同条件中另行约定咨询人违约责任的承担方式和计算方法。</w:t>
      </w:r>
    </w:p>
    <w:p>
      <w:pPr>
        <w:spacing w:beforeAutospacing="0" w:afterAutospacing="0" w:line="360" w:lineRule="auto"/>
        <w:ind w:firstLine="422" w:firstLineChars="200"/>
        <w:rPr>
          <w:rFonts w:hint="eastAsia" w:ascii="宋体" w:hAnsi="宋体"/>
          <w:b/>
          <w:color w:val="auto"/>
          <w:highlight w:val="none"/>
        </w:rPr>
      </w:pPr>
      <w:bookmarkStart w:id="459" w:name="_Ref522784527"/>
      <w:bookmarkEnd w:id="459"/>
      <w:bookmarkStart w:id="460" w:name="_Ref521314810"/>
      <w:bookmarkEnd w:id="460"/>
      <w:bookmarkStart w:id="461" w:name="_Toc83224743"/>
      <w:bookmarkEnd w:id="461"/>
      <w:bookmarkStart w:id="462" w:name="_Toc1838918590"/>
      <w:bookmarkEnd w:id="462"/>
      <w:bookmarkStart w:id="463" w:name="_Toc18156023"/>
      <w:bookmarkEnd w:id="463"/>
      <w:bookmarkStart w:id="464" w:name="_Ref521314804"/>
      <w:bookmarkEnd w:id="464"/>
      <w:bookmarkStart w:id="465" w:name="_Toc395989506"/>
      <w:bookmarkEnd w:id="465"/>
      <w:r>
        <w:rPr>
          <w:rFonts w:hint="eastAsia" w:ascii="宋体" w:hAnsi="宋体"/>
          <w:b/>
          <w:color w:val="auto"/>
          <w:highlight w:val="none"/>
        </w:rPr>
        <w:t>11.3责任期限</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11.3.1责任期限自合同生效之日开始，至专用合同条件中约定的期限或法律法规规定的期限终止。工程勘察、设计等影响工程质量的服务内容的责任期限应延长至有关部门规定的工程寿命期。</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11.3.2除非一方在专用合同条件中约定的有关期限或法律法规规定的更早期限届满前，向另一方正式提出了索赔，否则不应认为该另一方对由任何事件所造成的任何损失或损害负责。</w:t>
      </w:r>
    </w:p>
    <w:p>
      <w:pPr>
        <w:spacing w:beforeAutospacing="0" w:afterAutospacing="0" w:line="360" w:lineRule="auto"/>
        <w:ind w:firstLine="422" w:firstLineChars="200"/>
        <w:rPr>
          <w:rFonts w:hint="eastAsia" w:ascii="宋体" w:hAnsi="宋体"/>
          <w:b/>
          <w:color w:val="auto"/>
          <w:highlight w:val="none"/>
        </w:rPr>
      </w:pPr>
      <w:bookmarkStart w:id="466" w:name="_Toc83224744"/>
      <w:bookmarkEnd w:id="466"/>
      <w:bookmarkStart w:id="467" w:name="_Ref523404472"/>
      <w:bookmarkEnd w:id="467"/>
      <w:bookmarkStart w:id="468" w:name="_Toc18156024"/>
      <w:bookmarkEnd w:id="468"/>
      <w:bookmarkStart w:id="469" w:name="_Toc1729997426"/>
      <w:bookmarkEnd w:id="469"/>
      <w:bookmarkStart w:id="470" w:name="_Toc848908175"/>
      <w:bookmarkEnd w:id="470"/>
      <w:bookmarkStart w:id="471" w:name="_Ref523405881"/>
      <w:bookmarkEnd w:id="471"/>
      <w:r>
        <w:rPr>
          <w:rFonts w:hint="eastAsia" w:ascii="宋体" w:hAnsi="宋体"/>
          <w:b/>
          <w:color w:val="auto"/>
          <w:highlight w:val="none"/>
        </w:rPr>
        <w:t>11.4责任限制</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11.4.1任何一方在合同下产生的违约责任，应仅限于：</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（1）因违约直接造成的、合理可预见的损失；</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（2）除专用合同条件另有约定外，最大赔偿额不应超过全过程工程咨询服务费用（扣除国家规定的税金），但第11.4.4项另有约定的除外；</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（3）除本合同另有约定外，如咨询人被认为应和第三方共同向委托人负责，则咨询人支付的赔偿比例应仅限于因其违约而应负责的部分。</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11.4.2在提供与工程合同相关的咨询服务时，咨询人仅根据合同约定委托人承担违约责任，而不应就工程合同下的相对方履行工程合同所产生的责任对委托人承担责任。在法律允许的前提下，委托人应尽合理努力保护咨询人免受工程合同下的相对方提起的、与工程合同相关的索赔而导致的损失。</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11.4.3在不损害咨询人根据第12.4款［</w:t>
      </w:r>
      <w:r>
        <w:rPr>
          <w:rFonts w:hint="eastAsia" w:ascii="宋体" w:hAnsi="宋体"/>
          <w:color w:val="auto"/>
          <w:highlight w:val="none"/>
        </w:rPr>
        <w:fldChar w:fldCharType="begin"/>
      </w:r>
      <w:r>
        <w:rPr>
          <w:rFonts w:hint="eastAsia" w:ascii="宋体" w:hAnsi="宋体"/>
          <w:color w:val="auto"/>
          <w:highlight w:val="none"/>
        </w:rPr>
        <w:instrText xml:space="preserve"> REF _Ref523405840 \h  \* MERGEFORMAT </w:instrText>
      </w:r>
      <w:r>
        <w:rPr>
          <w:rFonts w:hint="eastAsia" w:ascii="宋体" w:hAnsi="宋体"/>
          <w:color w:val="auto"/>
          <w:highlight w:val="none"/>
        </w:rPr>
        <w:fldChar w:fldCharType="separate"/>
      </w:r>
      <w:r>
        <w:rPr>
          <w:rFonts w:hint="eastAsia" w:ascii="宋体" w:hAnsi="宋体"/>
          <w:color w:val="auto"/>
          <w:highlight w:val="none"/>
        </w:rPr>
        <w:t>12.4合同解除的后果</w:t>
      </w:r>
      <w:r>
        <w:rPr>
          <w:rFonts w:hint="eastAsia" w:ascii="宋体" w:hAnsi="宋体"/>
          <w:color w:val="auto"/>
          <w:highlight w:val="none"/>
        </w:rPr>
        <w:fldChar w:fldCharType="end"/>
      </w:r>
      <w:r>
        <w:rPr>
          <w:rFonts w:hint="eastAsia" w:ascii="宋体" w:hAnsi="宋体"/>
          <w:color w:val="auto"/>
          <w:highlight w:val="none"/>
        </w:rPr>
        <w:t>］享有的权利的前提下，任何一方均不应就其他合同、侵权行为以及任何法律法规等规定的任何收入损失、利润损失、生产延误、合同损失、使用损失、业务损失、第三方惩罚性赔偿、商业机会损失、或任何非直接、特殊或间接的损失负责。</w:t>
      </w:r>
    </w:p>
    <w:p>
      <w:pPr>
        <w:spacing w:beforeAutospacing="0" w:afterAutospacing="0" w:line="360" w:lineRule="auto"/>
        <w:ind w:firstLine="420" w:firstLineChars="200"/>
        <w:jc w:val="left"/>
        <w:rPr>
          <w:rFonts w:hint="eastAsia" w:ascii="宋体" w:hAnsi="宋体"/>
          <w:color w:val="auto"/>
          <w:highlight w:val="none"/>
        </w:rPr>
      </w:pPr>
      <w:bookmarkStart w:id="472" w:name="_Ref17375185"/>
      <w:bookmarkEnd w:id="472"/>
      <w:r>
        <w:rPr>
          <w:rFonts w:hint="eastAsia" w:ascii="宋体" w:hAnsi="宋体"/>
          <w:color w:val="auto"/>
          <w:highlight w:val="none"/>
        </w:rPr>
        <w:t>11.4.4任何一方因另一方故意或疏忽大意违约、欺诈、虚假陈述等不当行为造成损失，其损失赔偿不受本条下的责任限制约定所限制。</w:t>
      </w:r>
    </w:p>
    <w:p>
      <w:pPr>
        <w:spacing w:beforeAutospacing="0" w:afterAutospacing="0" w:line="360" w:lineRule="auto"/>
        <w:jc w:val="left"/>
        <w:rPr>
          <w:rFonts w:hint="eastAsia" w:ascii="宋体" w:hAnsi="宋体"/>
          <w:b/>
          <w:color w:val="auto"/>
          <w:highlight w:val="none"/>
        </w:rPr>
      </w:pPr>
      <w:bookmarkStart w:id="473" w:name="_Toc1372393091"/>
      <w:bookmarkEnd w:id="473"/>
      <w:bookmarkStart w:id="474" w:name="_Toc1646037033"/>
      <w:bookmarkEnd w:id="474"/>
      <w:bookmarkStart w:id="475" w:name="_Toc18156025"/>
      <w:bookmarkEnd w:id="475"/>
      <w:bookmarkStart w:id="476" w:name="_Toc83224745"/>
      <w:bookmarkEnd w:id="476"/>
      <w:bookmarkStart w:id="477" w:name="_Ref521268023"/>
      <w:bookmarkEnd w:id="477"/>
      <w:r>
        <w:rPr>
          <w:rFonts w:hint="eastAsia" w:ascii="宋体" w:hAnsi="宋体"/>
          <w:b/>
          <w:color w:val="auto"/>
          <w:highlight w:val="none"/>
        </w:rPr>
        <w:t>第12条 合同解除</w:t>
      </w:r>
    </w:p>
    <w:p>
      <w:pPr>
        <w:spacing w:beforeAutospacing="0" w:afterAutospacing="0" w:line="360" w:lineRule="auto"/>
        <w:ind w:firstLine="422" w:firstLineChars="200"/>
        <w:rPr>
          <w:rFonts w:hint="eastAsia" w:ascii="宋体" w:hAnsi="宋体"/>
          <w:b/>
          <w:color w:val="auto"/>
          <w:highlight w:val="none"/>
        </w:rPr>
      </w:pPr>
      <w:bookmarkStart w:id="478" w:name="_Toc656717530"/>
      <w:bookmarkEnd w:id="478"/>
      <w:bookmarkStart w:id="479" w:name="_Toc513323432"/>
      <w:bookmarkEnd w:id="479"/>
      <w:bookmarkStart w:id="480" w:name="_Toc18156026"/>
      <w:bookmarkEnd w:id="480"/>
      <w:bookmarkStart w:id="481" w:name="_Toc83224746"/>
      <w:bookmarkEnd w:id="481"/>
      <w:r>
        <w:rPr>
          <w:rFonts w:hint="eastAsia" w:ascii="宋体" w:hAnsi="宋体"/>
          <w:b/>
          <w:color w:val="auto"/>
          <w:highlight w:val="none"/>
        </w:rPr>
        <w:t>12.1协商一致解除合同</w:t>
      </w:r>
    </w:p>
    <w:p>
      <w:pPr>
        <w:spacing w:beforeAutospacing="0" w:afterAutospacing="0" w:line="360" w:lineRule="auto"/>
        <w:ind w:firstLine="420" w:firstLineChars="200"/>
        <w:jc w:val="left"/>
        <w:rPr>
          <w:rFonts w:hint="eastAsia" w:ascii="宋体" w:hAnsi="宋体"/>
          <w:color w:val="auto"/>
          <w:highlight w:val="none"/>
        </w:rPr>
      </w:pPr>
      <w:bookmarkStart w:id="482" w:name="_Toc83224747"/>
      <w:bookmarkEnd w:id="482"/>
      <w:r>
        <w:rPr>
          <w:rFonts w:hint="eastAsia" w:ascii="宋体" w:hAnsi="宋体"/>
          <w:color w:val="auto"/>
          <w:highlight w:val="none"/>
        </w:rPr>
        <w:t>委托人与咨询人协商一致，可以解除合同。</w:t>
      </w:r>
    </w:p>
    <w:p>
      <w:pPr>
        <w:spacing w:beforeAutospacing="0" w:afterAutospacing="0" w:line="360" w:lineRule="auto"/>
        <w:ind w:firstLine="422" w:firstLineChars="200"/>
        <w:rPr>
          <w:rFonts w:hint="eastAsia" w:ascii="宋体" w:hAnsi="宋体"/>
          <w:b/>
          <w:color w:val="auto"/>
          <w:highlight w:val="none"/>
        </w:rPr>
      </w:pPr>
      <w:bookmarkStart w:id="483" w:name="_Ref17470638"/>
      <w:bookmarkEnd w:id="483"/>
      <w:bookmarkStart w:id="484" w:name="_Toc83224748"/>
      <w:bookmarkEnd w:id="484"/>
      <w:bookmarkStart w:id="485" w:name="_Toc2084577660"/>
      <w:bookmarkEnd w:id="485"/>
      <w:bookmarkStart w:id="486" w:name="_Ref17470632"/>
      <w:bookmarkEnd w:id="486"/>
      <w:bookmarkStart w:id="487" w:name="_Toc159361361"/>
      <w:bookmarkEnd w:id="487"/>
      <w:bookmarkStart w:id="488" w:name="_Toc18156027"/>
      <w:bookmarkEnd w:id="488"/>
      <w:r>
        <w:rPr>
          <w:rFonts w:hint="eastAsia" w:ascii="宋体" w:hAnsi="宋体"/>
          <w:b/>
          <w:color w:val="auto"/>
          <w:highlight w:val="none"/>
        </w:rPr>
        <w:t>12.2由委托人解除合同</w:t>
      </w:r>
    </w:p>
    <w:p>
      <w:pPr>
        <w:spacing w:beforeAutospacing="0" w:afterAutospacing="0" w:line="360" w:lineRule="auto"/>
        <w:ind w:firstLine="420" w:firstLineChars="200"/>
        <w:jc w:val="left"/>
        <w:rPr>
          <w:rFonts w:hint="eastAsia" w:ascii="宋体" w:hAnsi="宋体"/>
          <w:color w:val="auto"/>
          <w:highlight w:val="none"/>
        </w:rPr>
      </w:pPr>
      <w:bookmarkStart w:id="489" w:name="_Ref523430428"/>
      <w:bookmarkEnd w:id="489"/>
      <w:r>
        <w:rPr>
          <w:rFonts w:hint="eastAsia" w:ascii="宋体" w:hAnsi="宋体"/>
          <w:color w:val="auto"/>
          <w:highlight w:val="none"/>
        </w:rPr>
        <w:t>12.2.1除专用合同条件另有约定外，有下列情形之一的，委托人可通过提前14天向咨询人发出通知解除合同：</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（1）未经委托人同意，咨询人将咨询服务全部或部分交由第三方实施的；</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（2）咨询人未履行其义务或履行义务不符合本合同约定，委托人向咨询人发出通知，列明违约情况和补救要求，咨询人在此通知发出后28天内未能对违约进行补救；</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（3）在不影响第5.4.1项［</w:t>
      </w:r>
      <w:r>
        <w:rPr>
          <w:rFonts w:hint="eastAsia" w:ascii="宋体" w:hAnsi="宋体"/>
          <w:color w:val="auto"/>
          <w:highlight w:val="none"/>
        </w:rPr>
        <w:fldChar w:fldCharType="begin"/>
      </w:r>
      <w:r>
        <w:rPr>
          <w:rFonts w:hint="eastAsia" w:ascii="宋体" w:hAnsi="宋体"/>
          <w:color w:val="auto"/>
          <w:highlight w:val="none"/>
        </w:rPr>
        <w:instrText xml:space="preserve"> REF _Ref521316191 \h  \* MERGEFORMAT </w:instrText>
      </w:r>
      <w:r>
        <w:rPr>
          <w:rFonts w:hint="eastAsia" w:ascii="宋体" w:hAnsi="宋体"/>
          <w:color w:val="auto"/>
          <w:highlight w:val="none"/>
        </w:rPr>
        <w:fldChar w:fldCharType="separate"/>
      </w:r>
      <w:r>
        <w:rPr>
          <w:rFonts w:hint="eastAsia" w:ascii="宋体" w:hAnsi="宋体"/>
          <w:color w:val="auto"/>
          <w:highlight w:val="none"/>
        </w:rPr>
        <w:t>5.4.1委托人的暂停通知</w:t>
      </w:r>
      <w:r>
        <w:rPr>
          <w:rFonts w:hint="eastAsia" w:ascii="宋体" w:hAnsi="宋体"/>
          <w:color w:val="auto"/>
          <w:highlight w:val="none"/>
        </w:rPr>
        <w:fldChar w:fldCharType="end"/>
      </w:r>
      <w:r>
        <w:rPr>
          <w:rFonts w:hint="eastAsia" w:ascii="宋体" w:hAnsi="宋体"/>
          <w:color w:val="auto"/>
          <w:highlight w:val="none"/>
        </w:rPr>
        <w:t>］下的权利义务情况下，不可抗力导致咨询服务暂停超过168天；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（4）咨询人违反了第1.8款［</w:t>
      </w:r>
      <w:r>
        <w:rPr>
          <w:rFonts w:hint="eastAsia" w:ascii="宋体" w:hAnsi="宋体"/>
          <w:color w:val="auto"/>
          <w:highlight w:val="none"/>
        </w:rPr>
        <w:fldChar w:fldCharType="begin"/>
      </w:r>
      <w:r>
        <w:rPr>
          <w:rFonts w:hint="eastAsia" w:ascii="宋体" w:hAnsi="宋体"/>
          <w:color w:val="auto"/>
          <w:highlight w:val="none"/>
        </w:rPr>
        <w:instrText xml:space="preserve"> REF _Ref523405912 \h  \* MERGEFORMAT </w:instrText>
      </w:r>
      <w:r>
        <w:rPr>
          <w:rFonts w:hint="eastAsia" w:ascii="宋体" w:hAnsi="宋体"/>
          <w:color w:val="auto"/>
          <w:highlight w:val="none"/>
        </w:rPr>
        <w:fldChar w:fldCharType="separate"/>
      </w:r>
      <w:r>
        <w:rPr>
          <w:rFonts w:hint="eastAsia" w:ascii="宋体" w:hAnsi="宋体"/>
          <w:color w:val="auto"/>
          <w:highlight w:val="none"/>
        </w:rPr>
        <w:t>1.8严禁贿赂</w:t>
      </w:r>
      <w:r>
        <w:rPr>
          <w:rFonts w:hint="eastAsia" w:ascii="宋体" w:hAnsi="宋体"/>
          <w:color w:val="auto"/>
          <w:highlight w:val="none"/>
        </w:rPr>
        <w:fldChar w:fldCharType="end"/>
      </w:r>
      <w:r>
        <w:rPr>
          <w:rFonts w:hint="eastAsia" w:ascii="宋体" w:hAnsi="宋体"/>
          <w:color w:val="auto"/>
          <w:highlight w:val="none"/>
        </w:rPr>
        <w:t>］的约定；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（5）咨询人宣告破产或无力偿还债务；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（6）专用合同条件约定的其他合同解除情形。</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12.2.2委托人可提前56天向咨询人发出通知单方决定解除合同，但需按照第</w:t>
      </w:r>
      <w:r>
        <w:rPr>
          <w:rFonts w:hint="eastAsia" w:ascii="宋体" w:hAnsi="宋体"/>
          <w:color w:val="auto"/>
          <w:highlight w:val="none"/>
        </w:rPr>
        <w:fldChar w:fldCharType="begin"/>
      </w:r>
      <w:r>
        <w:rPr>
          <w:rFonts w:hint="eastAsia" w:ascii="宋体" w:hAnsi="宋体"/>
          <w:color w:val="auto"/>
          <w:highlight w:val="none"/>
        </w:rPr>
        <w:instrText xml:space="preserve">REF _Ref17986310 \r \h \* MERGEFORMAT </w:instrText>
      </w:r>
      <w:r>
        <w:rPr>
          <w:rFonts w:hint="eastAsia" w:ascii="宋体" w:hAnsi="宋体"/>
          <w:color w:val="auto"/>
          <w:highlight w:val="none"/>
        </w:rPr>
        <w:fldChar w:fldCharType="separate"/>
      </w:r>
      <w:r>
        <w:rPr>
          <w:rFonts w:hint="eastAsia" w:ascii="宋体" w:hAnsi="宋体"/>
          <w:color w:val="auto"/>
          <w:highlight w:val="none"/>
        </w:rPr>
        <w:t>0</w:t>
      </w:r>
      <w:r>
        <w:rPr>
          <w:rFonts w:hint="eastAsia" w:ascii="宋体" w:hAnsi="宋体"/>
          <w:color w:val="auto"/>
          <w:highlight w:val="none"/>
        </w:rPr>
        <w:fldChar w:fldCharType="end"/>
      </w:r>
      <w:r>
        <w:rPr>
          <w:rFonts w:hint="eastAsia" w:ascii="宋体" w:hAnsi="宋体"/>
          <w:color w:val="auto"/>
          <w:highlight w:val="none"/>
        </w:rPr>
        <w:t>项的约定补偿咨询人因合同终止而损失的预期利润。</w:t>
      </w:r>
    </w:p>
    <w:p>
      <w:pPr>
        <w:spacing w:beforeAutospacing="0" w:afterAutospacing="0" w:line="360" w:lineRule="auto"/>
        <w:ind w:firstLine="422" w:firstLineChars="200"/>
        <w:rPr>
          <w:rFonts w:hint="eastAsia" w:ascii="宋体" w:hAnsi="宋体"/>
          <w:b/>
          <w:color w:val="auto"/>
          <w:highlight w:val="none"/>
        </w:rPr>
      </w:pPr>
      <w:bookmarkStart w:id="490" w:name="_Ref523404457"/>
      <w:bookmarkEnd w:id="490"/>
      <w:bookmarkStart w:id="491" w:name="_Ref523303488"/>
      <w:bookmarkEnd w:id="491"/>
      <w:bookmarkStart w:id="492" w:name="_Toc18156028"/>
      <w:bookmarkEnd w:id="492"/>
      <w:bookmarkStart w:id="493" w:name="_Toc83224749"/>
      <w:bookmarkEnd w:id="493"/>
      <w:bookmarkStart w:id="494" w:name="_Ref523405954"/>
      <w:bookmarkEnd w:id="494"/>
      <w:bookmarkStart w:id="495" w:name="_Ref523404313"/>
      <w:bookmarkEnd w:id="495"/>
      <w:bookmarkStart w:id="496" w:name="_Toc189295478"/>
      <w:bookmarkEnd w:id="496"/>
      <w:bookmarkStart w:id="497" w:name="_Toc913830130"/>
      <w:bookmarkEnd w:id="497"/>
      <w:bookmarkStart w:id="498" w:name="_Ref523303490"/>
      <w:bookmarkEnd w:id="498"/>
      <w:r>
        <w:rPr>
          <w:rFonts w:hint="eastAsia" w:ascii="宋体" w:hAnsi="宋体"/>
          <w:b/>
          <w:color w:val="auto"/>
          <w:highlight w:val="none"/>
        </w:rPr>
        <w:t>12.3由咨询人解除合同</w:t>
      </w:r>
    </w:p>
    <w:p>
      <w:pPr>
        <w:spacing w:beforeAutospacing="0" w:afterAutospacing="0" w:line="360" w:lineRule="auto"/>
        <w:ind w:firstLine="420" w:firstLineChars="200"/>
        <w:jc w:val="left"/>
        <w:rPr>
          <w:rFonts w:hint="eastAsia" w:ascii="宋体" w:hAnsi="宋体"/>
          <w:color w:val="auto"/>
          <w:highlight w:val="none"/>
        </w:rPr>
      </w:pPr>
      <w:bookmarkStart w:id="499" w:name="_Ref523405995"/>
      <w:bookmarkEnd w:id="499"/>
      <w:r>
        <w:rPr>
          <w:rFonts w:hint="eastAsia" w:ascii="宋体" w:hAnsi="宋体"/>
          <w:color w:val="auto"/>
          <w:highlight w:val="none"/>
        </w:rPr>
        <w:t>12.3.1除专用合同条件另有约定外，有下列情形之一的，咨询人可通过提前14天向委托人发出通知解除合同：</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（1）咨询服务已根据第5.4.1项［</w:t>
      </w:r>
      <w:r>
        <w:rPr>
          <w:rFonts w:hint="eastAsia" w:ascii="宋体" w:hAnsi="宋体"/>
          <w:color w:val="auto"/>
          <w:highlight w:val="none"/>
        </w:rPr>
        <w:fldChar w:fldCharType="begin"/>
      </w:r>
      <w:r>
        <w:rPr>
          <w:rFonts w:hint="eastAsia" w:ascii="宋体" w:hAnsi="宋体"/>
          <w:color w:val="auto"/>
          <w:highlight w:val="none"/>
        </w:rPr>
        <w:instrText xml:space="preserve"> REF _Ref521316191 \h  \* MERGEFORMAT </w:instrText>
      </w:r>
      <w:r>
        <w:rPr>
          <w:rFonts w:hint="eastAsia" w:ascii="宋体" w:hAnsi="宋体"/>
          <w:color w:val="auto"/>
          <w:highlight w:val="none"/>
        </w:rPr>
        <w:fldChar w:fldCharType="separate"/>
      </w:r>
      <w:r>
        <w:rPr>
          <w:rFonts w:hint="eastAsia" w:ascii="宋体" w:hAnsi="宋体"/>
          <w:color w:val="auto"/>
          <w:highlight w:val="none"/>
        </w:rPr>
        <w:t>5.4.1委托人的暂停通知</w:t>
      </w:r>
      <w:r>
        <w:rPr>
          <w:rFonts w:hint="eastAsia" w:ascii="宋体" w:hAnsi="宋体"/>
          <w:color w:val="auto"/>
          <w:highlight w:val="none"/>
        </w:rPr>
        <w:fldChar w:fldCharType="end"/>
      </w:r>
      <w:r>
        <w:rPr>
          <w:rFonts w:hint="eastAsia" w:ascii="宋体" w:hAnsi="宋体"/>
          <w:color w:val="auto"/>
          <w:highlight w:val="none"/>
        </w:rPr>
        <w:t>］暂停了超过168天；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（2）咨询服务已根据第5.4.2项［</w:t>
      </w:r>
      <w:r>
        <w:rPr>
          <w:rFonts w:hint="eastAsia" w:ascii="宋体" w:hAnsi="宋体"/>
          <w:color w:val="auto"/>
          <w:highlight w:val="none"/>
        </w:rPr>
        <w:fldChar w:fldCharType="begin"/>
      </w:r>
      <w:r>
        <w:rPr>
          <w:rFonts w:hint="eastAsia" w:ascii="宋体" w:hAnsi="宋体"/>
          <w:color w:val="auto"/>
          <w:highlight w:val="none"/>
        </w:rPr>
        <w:instrText xml:space="preserve"> REF _Ref521316199 \h  \* MERGEFORMAT </w:instrText>
      </w:r>
      <w:r>
        <w:rPr>
          <w:rFonts w:hint="eastAsia" w:ascii="宋体" w:hAnsi="宋体"/>
          <w:color w:val="auto"/>
          <w:highlight w:val="none"/>
        </w:rPr>
        <w:fldChar w:fldCharType="separate"/>
      </w:r>
      <w:r>
        <w:rPr>
          <w:rFonts w:hint="eastAsia" w:ascii="宋体" w:hAnsi="宋体"/>
          <w:color w:val="auto"/>
          <w:highlight w:val="none"/>
        </w:rPr>
        <w:t>5.4.2咨询人的暂停权利</w:t>
      </w:r>
      <w:r>
        <w:rPr>
          <w:rFonts w:hint="eastAsia" w:ascii="宋体" w:hAnsi="宋体"/>
          <w:color w:val="auto"/>
          <w:highlight w:val="none"/>
        </w:rPr>
        <w:fldChar w:fldCharType="end"/>
      </w:r>
      <w:r>
        <w:rPr>
          <w:rFonts w:hint="eastAsia" w:ascii="宋体" w:hAnsi="宋体"/>
          <w:color w:val="auto"/>
          <w:highlight w:val="none"/>
        </w:rPr>
        <w:t>］的（1）目和（3）目暂停了超过42天；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（3）咨询服务因不可抗力已根据第5.4.2项［</w:t>
      </w:r>
      <w:r>
        <w:rPr>
          <w:rFonts w:hint="eastAsia" w:ascii="宋体" w:hAnsi="宋体"/>
          <w:color w:val="auto"/>
          <w:highlight w:val="none"/>
        </w:rPr>
        <w:fldChar w:fldCharType="begin"/>
      </w:r>
      <w:r>
        <w:rPr>
          <w:rFonts w:hint="eastAsia" w:ascii="宋体" w:hAnsi="宋体"/>
          <w:color w:val="auto"/>
          <w:highlight w:val="none"/>
        </w:rPr>
        <w:instrText xml:space="preserve"> REF _Ref521316199 \h  \* MERGEFORMAT </w:instrText>
      </w:r>
      <w:r>
        <w:rPr>
          <w:rFonts w:hint="eastAsia" w:ascii="宋体" w:hAnsi="宋体"/>
          <w:color w:val="auto"/>
          <w:highlight w:val="none"/>
        </w:rPr>
        <w:fldChar w:fldCharType="separate"/>
      </w:r>
      <w:r>
        <w:rPr>
          <w:rFonts w:hint="eastAsia" w:ascii="宋体" w:hAnsi="宋体"/>
          <w:color w:val="auto"/>
          <w:highlight w:val="none"/>
        </w:rPr>
        <w:t>5.4.2咨询人的暂停权利</w:t>
      </w:r>
      <w:r>
        <w:rPr>
          <w:rFonts w:hint="eastAsia" w:ascii="宋体" w:hAnsi="宋体"/>
          <w:color w:val="auto"/>
          <w:highlight w:val="none"/>
        </w:rPr>
        <w:fldChar w:fldCharType="end"/>
      </w:r>
      <w:r>
        <w:rPr>
          <w:rFonts w:hint="eastAsia" w:ascii="宋体" w:hAnsi="宋体"/>
          <w:color w:val="auto"/>
          <w:highlight w:val="none"/>
        </w:rPr>
        <w:t>］第（2）目暂停了超过168天；</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（4）委托人违反了第1.8款［</w:t>
      </w:r>
      <w:r>
        <w:rPr>
          <w:rFonts w:hint="eastAsia" w:ascii="宋体" w:hAnsi="宋体"/>
          <w:color w:val="auto"/>
          <w:highlight w:val="none"/>
        </w:rPr>
        <w:fldChar w:fldCharType="begin"/>
      </w:r>
      <w:r>
        <w:rPr>
          <w:rFonts w:hint="eastAsia" w:ascii="宋体" w:hAnsi="宋体"/>
          <w:color w:val="auto"/>
          <w:highlight w:val="none"/>
        </w:rPr>
        <w:instrText xml:space="preserve"> REF _Ref523405929 \h  \* MERGEFORMAT </w:instrText>
      </w:r>
      <w:r>
        <w:rPr>
          <w:rFonts w:hint="eastAsia" w:ascii="宋体" w:hAnsi="宋体"/>
          <w:color w:val="auto"/>
          <w:highlight w:val="none"/>
        </w:rPr>
        <w:fldChar w:fldCharType="separate"/>
      </w:r>
      <w:r>
        <w:rPr>
          <w:rFonts w:hint="eastAsia" w:ascii="宋体" w:hAnsi="宋体"/>
          <w:color w:val="auto"/>
          <w:highlight w:val="none"/>
        </w:rPr>
        <w:t>1.8严禁贿赂</w:t>
      </w:r>
      <w:r>
        <w:rPr>
          <w:rFonts w:hint="eastAsia" w:ascii="宋体" w:hAnsi="宋体"/>
          <w:color w:val="auto"/>
          <w:highlight w:val="none"/>
        </w:rPr>
        <w:fldChar w:fldCharType="end"/>
      </w:r>
      <w:r>
        <w:rPr>
          <w:rFonts w:hint="eastAsia" w:ascii="宋体" w:hAnsi="宋体"/>
          <w:color w:val="auto"/>
          <w:highlight w:val="none"/>
        </w:rPr>
        <w:t>］的约定；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（5）委托人宣告破产或无力偿还债务；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（6）专用合同条件约定的其他合同解除情形。</w:t>
      </w:r>
    </w:p>
    <w:p>
      <w:pPr>
        <w:spacing w:beforeAutospacing="0" w:afterAutospacing="0" w:line="360" w:lineRule="auto"/>
        <w:ind w:firstLine="422" w:firstLineChars="200"/>
        <w:rPr>
          <w:rFonts w:hint="eastAsia" w:ascii="宋体" w:hAnsi="宋体"/>
          <w:b/>
          <w:color w:val="auto"/>
          <w:highlight w:val="none"/>
        </w:rPr>
      </w:pPr>
      <w:bookmarkStart w:id="500" w:name="_Ref523404322"/>
      <w:bookmarkEnd w:id="500"/>
      <w:bookmarkStart w:id="501" w:name="_Ref523405840"/>
      <w:bookmarkEnd w:id="501"/>
      <w:bookmarkStart w:id="502" w:name="_Toc83224750"/>
      <w:bookmarkEnd w:id="502"/>
      <w:bookmarkStart w:id="503" w:name="_Ref523405836"/>
      <w:bookmarkEnd w:id="503"/>
      <w:bookmarkStart w:id="504" w:name="_Toc18156029"/>
      <w:bookmarkEnd w:id="504"/>
      <w:bookmarkStart w:id="505" w:name="_Ref523404447"/>
      <w:bookmarkEnd w:id="505"/>
      <w:bookmarkStart w:id="506" w:name="_Toc349291328"/>
      <w:bookmarkEnd w:id="506"/>
      <w:bookmarkStart w:id="507" w:name="_Toc1131657154"/>
      <w:bookmarkEnd w:id="507"/>
      <w:r>
        <w:rPr>
          <w:rFonts w:hint="eastAsia" w:ascii="宋体" w:hAnsi="宋体"/>
          <w:b/>
          <w:color w:val="auto"/>
          <w:highlight w:val="none"/>
        </w:rPr>
        <w:t>12.4合同解除的后果</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12.4.1咨询人应根据其在合同解除前已履行的咨询服务获得支付。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12.4.2若委托人根据第12.2.1项解除合同，则其有权：</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（1）要求咨询人移交截止至合同解除之日咨询人履行咨询服务所必需的所有文件、信息、计算和其他服务成果；</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（2）除因第12.2.1项第（3）目解除合同外，要求咨询人按照第11条 [</w:t>
      </w:r>
      <w:r>
        <w:rPr>
          <w:rFonts w:hint="eastAsia" w:ascii="宋体" w:hAnsi="宋体"/>
          <w:color w:val="auto"/>
          <w:highlight w:val="none"/>
        </w:rPr>
        <w:fldChar w:fldCharType="begin"/>
      </w:r>
      <w:r>
        <w:rPr>
          <w:rFonts w:hint="eastAsia" w:ascii="宋体" w:hAnsi="宋体"/>
          <w:color w:val="auto"/>
          <w:highlight w:val="none"/>
        </w:rPr>
        <w:instrText xml:space="preserve"> REF _Ref521268028 \h  \* MERGEFORMAT </w:instrText>
      </w:r>
      <w:r>
        <w:rPr>
          <w:rFonts w:hint="eastAsia" w:ascii="宋体" w:hAnsi="宋体"/>
          <w:color w:val="auto"/>
          <w:highlight w:val="none"/>
        </w:rPr>
        <w:fldChar w:fldCharType="separate"/>
      </w:r>
      <w:r>
        <w:rPr>
          <w:rFonts w:hint="eastAsia" w:ascii="宋体" w:hAnsi="宋体"/>
          <w:color w:val="auto"/>
          <w:highlight w:val="none"/>
        </w:rPr>
        <w:t>第11条</w:t>
      </w:r>
      <w:r>
        <w:rPr>
          <w:rFonts w:hint="eastAsia" w:ascii="宋体" w:hAnsi="宋体"/>
          <w:b/>
          <w:color w:val="auto"/>
          <w:highlight w:val="none"/>
        </w:rPr>
        <w:t xml:space="preserve">  违约责任</w:t>
      </w:r>
      <w:r>
        <w:rPr>
          <w:rFonts w:hint="eastAsia" w:ascii="宋体" w:hAnsi="宋体"/>
          <w:color w:val="auto"/>
          <w:highlight w:val="none"/>
        </w:rPr>
        <w:fldChar w:fldCharType="end"/>
      </w:r>
      <w:r>
        <w:rPr>
          <w:rFonts w:hint="eastAsia" w:ascii="宋体" w:hAnsi="宋体"/>
          <w:color w:val="auto"/>
          <w:highlight w:val="none"/>
        </w:rPr>
        <w:t>]赔偿因合同解除直接导致的合理可预见的费用损失（包括但不限于因安排其他咨询方完成咨询服务而发生的额外费用），且委托人有权将该等费用损失从应支付给咨询人的款项中扣除；</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（3）暂停应向咨询人支付的款项，直至委托人收到第（1）目中的所有咨询服务资料且获得第（2）目的全部赔偿。</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12.4.3若委托人根据第12.2.2项解除合同，或咨询人根据第12.3.1项解除合同，因合同解除所产生的费用应由委托人承担，咨询人应尽快通知委托人合同解除所产生的费用。</w:t>
      </w:r>
    </w:p>
    <w:p>
      <w:pPr>
        <w:spacing w:beforeAutospacing="0" w:afterAutospacing="0" w:line="360" w:lineRule="auto"/>
        <w:ind w:firstLine="420" w:firstLineChars="200"/>
        <w:jc w:val="left"/>
        <w:rPr>
          <w:rFonts w:hint="eastAsia" w:ascii="宋体" w:hAnsi="宋体"/>
          <w:color w:val="auto"/>
          <w:highlight w:val="none"/>
        </w:rPr>
      </w:pPr>
      <w:bookmarkStart w:id="508" w:name="_Ref17986310"/>
      <w:bookmarkEnd w:id="508"/>
      <w:r>
        <w:rPr>
          <w:rFonts w:hint="eastAsia" w:ascii="宋体" w:hAnsi="宋体"/>
          <w:color w:val="auto"/>
          <w:highlight w:val="none"/>
        </w:rPr>
        <w:t>12.4.4若委托人根据第12.2.2项解除合同，或咨询人根据第12.3.1项第（1）目和第（4）至（6）目解除合同，委托人应补偿咨询人因合同终止而损失的预期利润。</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12.4.5合同解除不应损害或影响合同解除前已发生的双方责任和义务。</w:t>
      </w:r>
    </w:p>
    <w:p>
      <w:pPr>
        <w:spacing w:beforeAutospacing="0" w:afterAutospacing="0" w:line="360" w:lineRule="auto"/>
        <w:ind w:firstLine="422" w:firstLineChars="200"/>
        <w:jc w:val="left"/>
        <w:rPr>
          <w:rFonts w:hint="eastAsia" w:ascii="宋体" w:hAnsi="宋体"/>
          <w:b/>
          <w:color w:val="auto"/>
          <w:highlight w:val="none"/>
        </w:rPr>
      </w:pPr>
      <w:bookmarkStart w:id="509" w:name="_Ref521268016"/>
      <w:bookmarkEnd w:id="509"/>
      <w:bookmarkStart w:id="510" w:name="_Ref521309732"/>
      <w:bookmarkEnd w:id="510"/>
      <w:bookmarkStart w:id="511" w:name="_Toc509276706"/>
      <w:bookmarkEnd w:id="511"/>
      <w:bookmarkStart w:id="512" w:name="_Ref521316367"/>
      <w:bookmarkEnd w:id="512"/>
      <w:bookmarkStart w:id="513" w:name="_Toc18156030"/>
      <w:bookmarkEnd w:id="513"/>
      <w:bookmarkStart w:id="514" w:name="_Ref521316370"/>
      <w:bookmarkEnd w:id="514"/>
      <w:bookmarkStart w:id="515" w:name="_Toc1338353139"/>
      <w:bookmarkEnd w:id="515"/>
      <w:r>
        <w:rPr>
          <w:rFonts w:hint="eastAsia" w:ascii="宋体" w:hAnsi="宋体"/>
          <w:b/>
          <w:color w:val="auto"/>
          <w:highlight w:val="none"/>
        </w:rPr>
        <w:t>第13条 争议解决</w:t>
      </w:r>
    </w:p>
    <w:p>
      <w:pPr>
        <w:spacing w:beforeAutospacing="0" w:afterAutospacing="0" w:line="360" w:lineRule="auto"/>
        <w:ind w:firstLine="422" w:firstLineChars="200"/>
        <w:rPr>
          <w:rFonts w:hint="eastAsia" w:ascii="宋体" w:hAnsi="宋体"/>
          <w:b/>
          <w:color w:val="auto"/>
          <w:highlight w:val="none"/>
        </w:rPr>
      </w:pPr>
      <w:bookmarkStart w:id="516" w:name="_Toc253763504"/>
      <w:bookmarkEnd w:id="516"/>
      <w:bookmarkStart w:id="517" w:name="_Toc18156031"/>
      <w:bookmarkEnd w:id="517"/>
      <w:bookmarkStart w:id="518" w:name="_Toc913165854"/>
      <w:bookmarkEnd w:id="518"/>
      <w:bookmarkStart w:id="519" w:name="_Toc83224751"/>
      <w:bookmarkEnd w:id="519"/>
      <w:r>
        <w:rPr>
          <w:rFonts w:hint="eastAsia" w:ascii="宋体" w:hAnsi="宋体"/>
          <w:b/>
          <w:color w:val="auto"/>
          <w:highlight w:val="none"/>
        </w:rPr>
        <w:t>13.1和解</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对于因合同及合同有关事项产生的争议，合同当事人应本着诚实信用的原则，通过友好协商解决。争议的一方应以书面形式通知另一方，说明争议的具体内容。双方可以就争议自行和解，自行和解达成的协议经双方签字并盖章后作为合同补充文件，双方均应遵照执行。</w:t>
      </w:r>
    </w:p>
    <w:p>
      <w:pPr>
        <w:spacing w:beforeAutospacing="0" w:afterAutospacing="0" w:line="360" w:lineRule="auto"/>
        <w:ind w:firstLine="422" w:firstLineChars="200"/>
        <w:rPr>
          <w:rFonts w:hint="eastAsia" w:ascii="宋体" w:hAnsi="宋体"/>
          <w:b/>
          <w:color w:val="auto"/>
          <w:highlight w:val="none"/>
        </w:rPr>
      </w:pPr>
      <w:bookmarkStart w:id="520" w:name="_Toc83224752"/>
      <w:bookmarkEnd w:id="520"/>
      <w:bookmarkStart w:id="521" w:name="_Ref523428187"/>
      <w:bookmarkEnd w:id="521"/>
      <w:bookmarkStart w:id="522" w:name="_Toc1593025534"/>
      <w:bookmarkEnd w:id="522"/>
      <w:bookmarkStart w:id="523" w:name="_Toc1921368907"/>
      <w:bookmarkEnd w:id="523"/>
      <w:bookmarkStart w:id="524" w:name="_Toc18156032"/>
      <w:bookmarkEnd w:id="524"/>
      <w:bookmarkStart w:id="525" w:name="_Ref523428181"/>
      <w:bookmarkEnd w:id="525"/>
      <w:bookmarkStart w:id="526" w:name="_Toc509216243"/>
      <w:bookmarkEnd w:id="526"/>
      <w:r>
        <w:rPr>
          <w:rFonts w:hint="eastAsia" w:ascii="宋体" w:hAnsi="宋体"/>
          <w:b/>
          <w:color w:val="auto"/>
          <w:highlight w:val="none"/>
        </w:rPr>
        <w:t>13.2调解</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如合同当事人不能在收到上述通知后的14天内或双方另行商定的其他时间内解决该争议，可以就该争议请求相关行政主管部门、行业协会或双方另行约定的第三方进行调解，调解达成协议的，经双方签字并盖章后作为合同补充文件，双方均应遵照执行。</w:t>
      </w:r>
    </w:p>
    <w:p>
      <w:pPr>
        <w:spacing w:beforeAutospacing="0" w:afterAutospacing="0" w:line="360" w:lineRule="auto"/>
        <w:ind w:firstLine="422" w:firstLineChars="200"/>
        <w:rPr>
          <w:rFonts w:hint="eastAsia" w:ascii="宋体" w:hAnsi="宋体"/>
          <w:b/>
          <w:color w:val="auto"/>
          <w:highlight w:val="none"/>
        </w:rPr>
      </w:pPr>
      <w:bookmarkStart w:id="527" w:name="_Toc83224753"/>
      <w:bookmarkEnd w:id="527"/>
      <w:bookmarkStart w:id="528" w:name="_Toc1597347213"/>
      <w:bookmarkEnd w:id="528"/>
      <w:bookmarkStart w:id="529" w:name="_Ref523404390"/>
      <w:bookmarkEnd w:id="529"/>
      <w:bookmarkStart w:id="530" w:name="_Ref523404397"/>
      <w:bookmarkEnd w:id="530"/>
      <w:bookmarkStart w:id="531" w:name="_Toc509216244"/>
      <w:bookmarkEnd w:id="531"/>
      <w:bookmarkStart w:id="532" w:name="_Toc145792569"/>
      <w:bookmarkEnd w:id="532"/>
      <w:bookmarkStart w:id="533" w:name="_Toc18156033"/>
      <w:bookmarkEnd w:id="533"/>
      <w:r>
        <w:rPr>
          <w:rFonts w:hint="eastAsia" w:ascii="宋体" w:hAnsi="宋体"/>
          <w:b/>
          <w:color w:val="auto"/>
          <w:highlight w:val="none"/>
        </w:rPr>
        <w:t>13.3争议评审</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合同当事人在专用合同条件中约定采取争议评审方式解决争议以及评审规则的，按下列约定执行：</w:t>
      </w:r>
    </w:p>
    <w:p>
      <w:pPr>
        <w:spacing w:beforeAutospacing="0" w:afterAutospacing="0" w:line="360" w:lineRule="auto"/>
        <w:ind w:firstLine="420" w:firstLineChars="200"/>
        <w:jc w:val="left"/>
        <w:rPr>
          <w:rFonts w:hint="eastAsia" w:ascii="宋体" w:hAnsi="宋体"/>
          <w:color w:val="auto"/>
          <w:highlight w:val="none"/>
        </w:rPr>
      </w:pPr>
      <w:bookmarkStart w:id="534" w:name="_Toc83224754"/>
      <w:bookmarkEnd w:id="534"/>
      <w:bookmarkStart w:id="535" w:name="_Ref523711324"/>
      <w:bookmarkEnd w:id="535"/>
      <w:r>
        <w:rPr>
          <w:rFonts w:hint="eastAsia" w:ascii="宋体" w:hAnsi="宋体"/>
          <w:color w:val="auto"/>
          <w:highlight w:val="none"/>
        </w:rPr>
        <w:t>13.3.1争议评审小组的确定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合同当事人可以共同选择一名或三名争议评审员，组成争议评审小组。除专用合同条件另有约定外，双方应当自合同签订后28天内，或者争议发生后14天内，选定争议评审员。</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 xml:space="preserve">选择一名争议评审员的，由合同当事人共同确定；选择三名争议评审员的，各自选定一名，第三名成员为首席争议评审员，由双方共同确定或由双方委托已选定的争议评审员共同确定，或由专用合同条件约定的评审机构指定第三名首席争议评审员。 </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除专用合同条件另有约定外，裁决员报酬由双方各承担一半。</w:t>
      </w:r>
    </w:p>
    <w:p>
      <w:pPr>
        <w:spacing w:beforeAutospacing="0" w:afterAutospacing="0" w:line="360" w:lineRule="auto"/>
        <w:ind w:firstLine="420" w:firstLineChars="200"/>
        <w:jc w:val="left"/>
        <w:rPr>
          <w:rFonts w:hint="eastAsia" w:ascii="宋体" w:hAnsi="宋体"/>
          <w:color w:val="auto"/>
          <w:highlight w:val="none"/>
        </w:rPr>
      </w:pPr>
      <w:bookmarkStart w:id="536" w:name="_Ref523711333"/>
      <w:bookmarkEnd w:id="536"/>
      <w:bookmarkStart w:id="537" w:name="_Toc83224755"/>
      <w:bookmarkEnd w:id="537"/>
      <w:r>
        <w:rPr>
          <w:rFonts w:hint="eastAsia" w:ascii="宋体" w:hAnsi="宋体"/>
          <w:color w:val="auto"/>
          <w:highlight w:val="none"/>
        </w:rPr>
        <w:t>13.3.2争议评审小组的决定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做出书面决定，并说明理由。双方可以在专用合同条件中对本项事项另行约定。</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13.3.3争议评审小组决定的效力</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争议评审小组做出的书面决定经合同当事人签字确认后，对双方具有约束力，双方应遵照执行。</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任何一方当事人不接受争议评审小组决定或不履行争议评审小组决定的，双方可选择采用其他争议解决方式。</w:t>
      </w:r>
    </w:p>
    <w:p>
      <w:pPr>
        <w:spacing w:beforeAutospacing="0" w:afterAutospacing="0" w:line="360" w:lineRule="auto"/>
        <w:ind w:firstLine="422" w:firstLineChars="200"/>
        <w:rPr>
          <w:rFonts w:hint="eastAsia" w:ascii="宋体" w:hAnsi="宋体"/>
          <w:b/>
          <w:color w:val="auto"/>
          <w:highlight w:val="none"/>
        </w:rPr>
      </w:pPr>
      <w:bookmarkStart w:id="538" w:name="_Toc18156034"/>
      <w:bookmarkEnd w:id="538"/>
      <w:bookmarkStart w:id="539" w:name="_Ref523303396"/>
      <w:bookmarkEnd w:id="539"/>
      <w:bookmarkStart w:id="540" w:name="_Ref509047188"/>
      <w:bookmarkEnd w:id="540"/>
      <w:bookmarkStart w:id="541" w:name="_Ref523404407"/>
      <w:bookmarkEnd w:id="541"/>
      <w:bookmarkStart w:id="542" w:name="_Ref523404418"/>
      <w:bookmarkEnd w:id="542"/>
      <w:bookmarkStart w:id="543" w:name="_Ref523405686"/>
      <w:bookmarkEnd w:id="543"/>
      <w:bookmarkStart w:id="544" w:name="_Toc1977173109"/>
      <w:bookmarkEnd w:id="544"/>
      <w:bookmarkStart w:id="545" w:name="_Ref523405683"/>
      <w:bookmarkEnd w:id="545"/>
      <w:bookmarkStart w:id="546" w:name="_Toc83224756"/>
      <w:bookmarkEnd w:id="546"/>
      <w:bookmarkStart w:id="547" w:name="_Toc1362751860"/>
      <w:bookmarkEnd w:id="547"/>
      <w:bookmarkStart w:id="548" w:name="_Ref509047185"/>
      <w:bookmarkEnd w:id="548"/>
      <w:bookmarkStart w:id="549" w:name="_Toc509216245"/>
      <w:bookmarkEnd w:id="549"/>
      <w:bookmarkStart w:id="550" w:name="_Ref523303398"/>
      <w:bookmarkEnd w:id="550"/>
      <w:bookmarkStart w:id="551" w:name="_Ref523303604"/>
      <w:bookmarkEnd w:id="551"/>
      <w:bookmarkStart w:id="552" w:name="_Toc351203630"/>
      <w:bookmarkEnd w:id="552"/>
      <w:bookmarkStart w:id="553" w:name="_Ref523303607"/>
      <w:bookmarkEnd w:id="553"/>
      <w:r>
        <w:rPr>
          <w:rFonts w:hint="eastAsia" w:ascii="宋体" w:hAnsi="宋体"/>
          <w:b/>
          <w:color w:val="auto"/>
          <w:highlight w:val="none"/>
        </w:rPr>
        <w:t>13.4仲裁或诉讼</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因合同及合同有关事项产生的争议，合同当事人可以在专用合同条件中约定以下一种方式解决争议：</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（1）向约定的仲裁委员会申请仲裁；</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（2）向有管辖权的人民法院起诉。</w:t>
      </w:r>
    </w:p>
    <w:p>
      <w:pPr>
        <w:spacing w:beforeAutospacing="0" w:afterAutospacing="0" w:line="360" w:lineRule="auto"/>
        <w:ind w:firstLine="422" w:firstLineChars="200"/>
        <w:rPr>
          <w:rFonts w:hint="eastAsia" w:ascii="宋体" w:hAnsi="宋体"/>
          <w:b/>
          <w:color w:val="auto"/>
          <w:highlight w:val="none"/>
        </w:rPr>
      </w:pPr>
      <w:bookmarkStart w:id="554" w:name="_Toc509216246"/>
      <w:bookmarkEnd w:id="554"/>
      <w:bookmarkStart w:id="555" w:name="_Toc18156035"/>
      <w:bookmarkEnd w:id="555"/>
      <w:bookmarkStart w:id="556" w:name="_Toc351203631"/>
      <w:bookmarkEnd w:id="556"/>
      <w:bookmarkStart w:id="557" w:name="_Toc1728092138"/>
      <w:bookmarkEnd w:id="557"/>
      <w:bookmarkStart w:id="558" w:name="_Toc83224757"/>
      <w:bookmarkEnd w:id="558"/>
      <w:bookmarkStart w:id="559" w:name="_Toc1876736270"/>
      <w:bookmarkEnd w:id="559"/>
      <w:r>
        <w:rPr>
          <w:rFonts w:hint="eastAsia" w:ascii="宋体" w:hAnsi="宋体"/>
          <w:b/>
          <w:color w:val="auto"/>
          <w:highlight w:val="none"/>
        </w:rPr>
        <w:t>13.5争议解决条款效力</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合同有关争议解决的条款独立存在，合同的变更、解除、终止、无效或者被撤销均不影响其效力。</w:t>
      </w:r>
    </w:p>
    <w:p>
      <w:pPr>
        <w:pStyle w:val="80"/>
        <w:snapToGrid w:val="0"/>
        <w:spacing w:before="0" w:beforeAutospacing="0" w:after="50" w:afterAutospacing="0" w:line="360" w:lineRule="auto"/>
        <w:rPr>
          <w:rFonts w:hint="eastAsia"/>
          <w:color w:val="auto"/>
          <w:sz w:val="21"/>
          <w:szCs w:val="21"/>
          <w:highlight w:val="none"/>
        </w:rPr>
      </w:pPr>
      <w:bookmarkStart w:id="560" w:name="_Toc11021"/>
      <w:bookmarkEnd w:id="560"/>
      <w:r>
        <w:rPr>
          <w:rFonts w:hint="eastAsia"/>
          <w:color w:val="auto"/>
          <w:sz w:val="21"/>
          <w:szCs w:val="21"/>
          <w:highlight w:val="none"/>
        </w:rPr>
        <w:br w:type="page"/>
      </w:r>
      <w:r>
        <w:rPr>
          <w:rFonts w:hint="eastAsia"/>
          <w:color w:val="auto"/>
          <w:sz w:val="21"/>
          <w:szCs w:val="21"/>
          <w:highlight w:val="none"/>
        </w:rPr>
        <w:t>第三部分  专用合同条件</w:t>
      </w:r>
    </w:p>
    <w:p>
      <w:pPr>
        <w:spacing w:beforeAutospacing="0" w:afterAutospacing="0" w:line="360" w:lineRule="auto"/>
        <w:rPr>
          <w:rFonts w:hint="eastAsia" w:ascii="宋体" w:hAnsi="宋体"/>
          <w:b/>
          <w:color w:val="auto"/>
          <w:highlight w:val="none"/>
        </w:rPr>
      </w:pPr>
      <w:bookmarkStart w:id="561" w:name="_Toc1929352750"/>
      <w:bookmarkEnd w:id="561"/>
      <w:bookmarkStart w:id="562" w:name="_Toc303205001"/>
      <w:bookmarkEnd w:id="562"/>
      <w:r>
        <w:rPr>
          <w:rFonts w:hint="eastAsia" w:ascii="宋体" w:hAnsi="宋体"/>
          <w:b/>
          <w:color w:val="auto"/>
          <w:highlight w:val="none"/>
        </w:rPr>
        <w:t xml:space="preserve">第1条 </w:t>
      </w:r>
      <w:r>
        <w:rPr>
          <w:rFonts w:hint="eastAsia" w:ascii="宋体" w:hAnsi="宋体"/>
          <w:b/>
          <w:color w:val="auto"/>
          <w:highlight w:val="none"/>
        </w:rPr>
        <w:fldChar w:fldCharType="begin"/>
      </w:r>
      <w:r>
        <w:rPr>
          <w:rFonts w:hint="eastAsia" w:ascii="宋体" w:hAnsi="宋体"/>
          <w:b/>
          <w:color w:val="auto"/>
          <w:highlight w:val="none"/>
        </w:rPr>
        <w:instrText xml:space="preserve"> REF _Ref508893699 \h  \* MERGEFORMAT </w:instrText>
      </w:r>
      <w:r>
        <w:rPr>
          <w:rFonts w:hint="eastAsia" w:ascii="宋体" w:hAnsi="宋体"/>
          <w:b/>
          <w:color w:val="auto"/>
          <w:highlight w:val="none"/>
        </w:rPr>
        <w:fldChar w:fldCharType="separate"/>
      </w:r>
      <w:r>
        <w:rPr>
          <w:rFonts w:hint="eastAsia" w:ascii="宋体" w:hAnsi="宋体"/>
          <w:b/>
          <w:color w:val="auto"/>
          <w:highlight w:val="none"/>
        </w:rPr>
        <w:t>第1条  一般规定</w:t>
      </w:r>
      <w:r>
        <w:rPr>
          <w:rFonts w:hint="eastAsia" w:ascii="宋体" w:hAnsi="宋体"/>
          <w:b/>
          <w:color w:val="auto"/>
          <w:highlight w:val="none"/>
        </w:rPr>
        <w:fldChar w:fldCharType="end"/>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1.1定义和解释</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1.1.27合同当事人补充约定的其他定义：</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1.2合同文件的优先顺序</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组成合同的文件及优先解释顺序为：</w:t>
      </w:r>
      <w:r>
        <w:rPr>
          <w:rFonts w:hint="eastAsia" w:ascii="宋体" w:hAnsi="宋体"/>
          <w:color w:val="auto"/>
          <w:highlight w:val="none"/>
          <w:u w:val="single"/>
          <w:lang w:val="en-US" w:eastAsia="zh-CN"/>
        </w:rPr>
        <w:t>（1）本协议书、（2）中标通知书（如有）、（3）投标文件及其附件（如有）、（4）专用合同条件及其附件、（5）通用合同条件、（6）技术标准和要求、（7）其他合同文件</w:t>
      </w:r>
      <w:r>
        <w:rPr>
          <w:rFonts w:hint="eastAsia" w:ascii="宋体" w:hAnsi="宋体"/>
          <w:color w:val="auto"/>
          <w:highlight w:val="none"/>
          <w:u w:val="single"/>
        </w:rPr>
        <w:t>。注：合同履行过程中双方确认的会议纪要经发包人同意后视为协议书的组成部分</w:t>
      </w:r>
      <w:r>
        <w:rPr>
          <w:rFonts w:hint="eastAsia" w:ascii="宋体" w:hAnsi="宋体"/>
          <w:color w:val="auto"/>
          <w:highlight w:val="none"/>
        </w:rPr>
        <w:t>。</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1.3语言文字</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合同语言：</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2" w:firstLineChars="200"/>
        <w:jc w:val="left"/>
        <w:rPr>
          <w:rFonts w:hint="eastAsia" w:ascii="宋体" w:hAnsi="宋体"/>
          <w:b/>
          <w:color w:val="auto"/>
          <w:highlight w:val="none"/>
        </w:rPr>
      </w:pPr>
      <w:r>
        <w:rPr>
          <w:rFonts w:hint="eastAsia" w:ascii="宋体" w:hAnsi="宋体"/>
          <w:b/>
          <w:color w:val="auto"/>
          <w:highlight w:val="none"/>
        </w:rPr>
        <w:t>1.4法律和标准</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1.4.1适用法律</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适用法律：</w:t>
      </w:r>
      <w:r>
        <w:rPr>
          <w:rFonts w:hint="eastAsia" w:ascii="宋体" w:hAnsi="宋体"/>
          <w:color w:val="auto"/>
          <w:highlight w:val="none"/>
          <w:u w:val="single"/>
        </w:rPr>
        <w:t>现行国家、省市以及地方的法律及规定</w:t>
      </w:r>
      <w:r>
        <w:rPr>
          <w:rFonts w:hint="eastAsia" w:ascii="宋体" w:hAnsi="宋体"/>
          <w:color w:val="auto"/>
          <w:highlight w:val="none"/>
        </w:rPr>
        <w:t>。</w:t>
      </w:r>
    </w:p>
    <w:p>
      <w:pPr>
        <w:spacing w:beforeAutospacing="0" w:afterAutospacing="0" w:line="360" w:lineRule="auto"/>
        <w:ind w:firstLine="420" w:firstLineChars="200"/>
        <w:jc w:val="left"/>
        <w:rPr>
          <w:rFonts w:hint="eastAsia" w:ascii="宋体" w:hAnsi="宋体"/>
          <w:color w:val="auto"/>
          <w:highlight w:val="none"/>
        </w:rPr>
      </w:pPr>
      <w:r>
        <w:rPr>
          <w:rFonts w:hint="eastAsia" w:ascii="宋体" w:hAnsi="宋体"/>
          <w:color w:val="auto"/>
          <w:highlight w:val="none"/>
        </w:rPr>
        <w:t>1.4.2标准规范</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标准规范：</w:t>
      </w:r>
      <w:r>
        <w:rPr>
          <w:rFonts w:hint="eastAsia" w:ascii="宋体" w:hAnsi="宋体"/>
          <w:color w:val="auto"/>
          <w:highlight w:val="none"/>
          <w:u w:val="single"/>
        </w:rPr>
        <w:t>建设工程项目管理规范（GBT 50326-2017）、全过程工程咨询服务标准（省标DB33/T1202 -2020）、建设工程造价咨询规范（GB/T51095-2015）、以及现行的国家、省市以及地方、行业的标准规范。</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1.4.3法律和标准的变化</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双方关于法律和标准变化的约定：</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1.5通信交流</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委托人接收文件的地点：</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委托人指定的接收人为：</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委托人指定的联系电话及传真号码：</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委托人指定的电子传输方式：</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咨询人接收文件的地点：</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咨询人指定的接收人为：</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咨询人指定的联系电话及传真号码：</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咨询人指定的电子传输方式：</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1.6保密</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1.6.3保密期限：</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1.7发布</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发布限制：</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rPr>
          <w:rFonts w:hint="eastAsia" w:ascii="宋体" w:hAnsi="宋体"/>
          <w:b/>
          <w:color w:val="auto"/>
          <w:highlight w:val="none"/>
        </w:rPr>
      </w:pPr>
      <w:r>
        <w:rPr>
          <w:rFonts w:hint="eastAsia" w:ascii="宋体" w:hAnsi="宋体"/>
          <w:b/>
          <w:color w:val="auto"/>
          <w:highlight w:val="none"/>
        </w:rPr>
        <w:t>第2条  委托人</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2.1委托人一般义务</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2.1.3委托人提供的设备、设施和其他人员服务</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（1）委托人提供的设备</w:t>
      </w:r>
    </w:p>
    <w:p>
      <w:pPr>
        <w:spacing w:beforeAutospacing="0" w:afterAutospacing="0" w:line="360" w:lineRule="auto"/>
        <w:ind w:firstLine="420"/>
        <w:rPr>
          <w:rFonts w:hint="eastAsia" w:ascii="宋体" w:hAnsi="宋体"/>
          <w:color w:val="auto"/>
          <w:highlight w:val="none"/>
        </w:rPr>
      </w:pPr>
    </w:p>
    <w:tbl>
      <w:tblPr>
        <w:tblStyle w:val="8"/>
        <w:tblpPr w:leftFromText="180" w:rightFromText="180" w:vertAnchor="text" w:horzAnchor="margin" w:tblpXSpec="center"/>
        <w:tblW w:w="0" w:type="auto"/>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73"/>
        <w:gridCol w:w="2154"/>
        <w:gridCol w:w="2154"/>
        <w:gridCol w:w="21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trPr>
        <w:tc>
          <w:tcPr>
            <w:tcW w:w="2273"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名称</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数量</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型号与规格</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提供时间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trPr>
        <w:tc>
          <w:tcPr>
            <w:tcW w:w="2273" w:type="dxa"/>
            <w:vAlign w:val="center"/>
          </w:tcPr>
          <w:p>
            <w:pPr>
              <w:spacing w:beforeAutospacing="0" w:afterAutospacing="0" w:line="360" w:lineRule="auto"/>
              <w:rPr>
                <w:rFonts w:hint="eastAsia" w:ascii="宋体" w:hAnsi="宋体"/>
                <w:color w:val="auto"/>
                <w:highlight w:val="none"/>
              </w:rPr>
            </w:pPr>
            <w:r>
              <w:rPr>
                <w:rFonts w:hint="eastAsia" w:ascii="宋体" w:hAnsi="宋体"/>
                <w:color w:val="auto"/>
                <w:highlight w:val="none"/>
              </w:rPr>
              <w:t>1. 通讯设备</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 w:hRule="atLeast"/>
        </w:trPr>
        <w:tc>
          <w:tcPr>
            <w:tcW w:w="2273" w:type="dxa"/>
            <w:vAlign w:val="center"/>
          </w:tcPr>
          <w:p>
            <w:pPr>
              <w:spacing w:beforeAutospacing="0" w:afterAutospacing="0" w:line="360" w:lineRule="auto"/>
              <w:rPr>
                <w:rFonts w:hint="eastAsia" w:ascii="宋体" w:hAnsi="宋体"/>
                <w:color w:val="auto"/>
                <w:highlight w:val="none"/>
              </w:rPr>
            </w:pPr>
            <w:r>
              <w:rPr>
                <w:rFonts w:hint="eastAsia" w:ascii="宋体" w:hAnsi="宋体"/>
                <w:color w:val="auto"/>
                <w:highlight w:val="none"/>
              </w:rPr>
              <w:t>2. 办公设备</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 w:hRule="atLeast"/>
        </w:trPr>
        <w:tc>
          <w:tcPr>
            <w:tcW w:w="2273" w:type="dxa"/>
            <w:vAlign w:val="center"/>
          </w:tcPr>
          <w:p>
            <w:pPr>
              <w:spacing w:beforeAutospacing="0" w:afterAutospacing="0" w:line="360" w:lineRule="auto"/>
              <w:rPr>
                <w:rFonts w:hint="eastAsia" w:ascii="宋体" w:hAnsi="宋体"/>
                <w:color w:val="auto"/>
                <w:highlight w:val="none"/>
              </w:rPr>
            </w:pPr>
            <w:r>
              <w:rPr>
                <w:rFonts w:hint="eastAsia" w:ascii="宋体" w:hAnsi="宋体"/>
                <w:color w:val="auto"/>
                <w:highlight w:val="none"/>
              </w:rPr>
              <w:t>3. 交通工具</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trPr>
        <w:tc>
          <w:tcPr>
            <w:tcW w:w="2273" w:type="dxa"/>
            <w:vAlign w:val="center"/>
          </w:tcPr>
          <w:p>
            <w:pPr>
              <w:spacing w:beforeAutospacing="0" w:afterAutospacing="0" w:line="360" w:lineRule="auto"/>
              <w:rPr>
                <w:rFonts w:hint="eastAsia" w:ascii="宋体" w:hAnsi="宋体"/>
                <w:color w:val="auto"/>
                <w:highlight w:val="none"/>
              </w:rPr>
            </w:pPr>
            <w:r>
              <w:rPr>
                <w:rFonts w:hint="eastAsia" w:ascii="宋体" w:hAnsi="宋体"/>
                <w:color w:val="auto"/>
                <w:highlight w:val="none"/>
              </w:rPr>
              <w:t>4. 检测和试验设备</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c>
          <w:tcPr>
            <w:tcW w:w="2154" w:type="dxa"/>
            <w:vAlign w:val="center"/>
          </w:tcPr>
          <w:p>
            <w:pPr>
              <w:spacing w:beforeAutospacing="0" w:afterAutospacing="0" w:line="360" w:lineRule="auto"/>
              <w:jc w:val="center"/>
              <w:rPr>
                <w:rFonts w:hint="eastAsia" w:ascii="宋体" w:hAnsi="宋体"/>
                <w:color w:val="auto"/>
                <w:highlight w:val="none"/>
              </w:rPr>
            </w:pPr>
            <w:r>
              <w:rPr>
                <w:rFonts w:hint="eastAsia" w:ascii="宋体" w:hAnsi="宋体"/>
                <w:color w:val="auto"/>
                <w:highlight w:val="none"/>
              </w:rPr>
              <w:t>无</w:t>
            </w:r>
          </w:p>
        </w:tc>
      </w:tr>
    </w:tbl>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（2）委托人提供的设施</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2127"/>
        <w:gridCol w:w="2126"/>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9" w:hRule="atLeast"/>
          <w:jc w:val="center"/>
        </w:trPr>
        <w:tc>
          <w:tcPr>
            <w:tcW w:w="2268" w:type="dxa"/>
            <w:vAlign w:val="center"/>
          </w:tcPr>
          <w:p>
            <w:pPr>
              <w:pStyle w:val="24"/>
              <w:spacing w:beforeAutospacing="0" w:after="0" w:afterAutospacing="0"/>
              <w:ind w:firstLine="30"/>
              <w:jc w:val="center"/>
              <w:rPr>
                <w:rFonts w:hint="eastAsia"/>
                <w:color w:val="auto"/>
                <w:sz w:val="21"/>
                <w:szCs w:val="21"/>
                <w:highlight w:val="none"/>
              </w:rPr>
            </w:pPr>
            <w:r>
              <w:rPr>
                <w:rFonts w:hint="eastAsia"/>
                <w:color w:val="auto"/>
                <w:sz w:val="21"/>
                <w:szCs w:val="21"/>
                <w:highlight w:val="none"/>
              </w:rPr>
              <w:t>名称</w:t>
            </w:r>
          </w:p>
        </w:tc>
        <w:tc>
          <w:tcPr>
            <w:tcW w:w="2127"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数量</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要求</w:t>
            </w:r>
          </w:p>
        </w:tc>
        <w:tc>
          <w:tcPr>
            <w:tcW w:w="2126" w:type="dxa"/>
            <w:vAlign w:val="center"/>
          </w:tcPr>
          <w:p>
            <w:pPr>
              <w:pStyle w:val="24"/>
              <w:spacing w:beforeAutospacing="0" w:after="0" w:afterAutospacing="0"/>
              <w:ind w:firstLine="38"/>
              <w:jc w:val="center"/>
              <w:rPr>
                <w:rFonts w:hint="eastAsia"/>
                <w:color w:val="auto"/>
                <w:sz w:val="21"/>
                <w:szCs w:val="21"/>
                <w:highlight w:val="none"/>
              </w:rPr>
            </w:pPr>
            <w:r>
              <w:rPr>
                <w:rFonts w:hint="eastAsia"/>
                <w:color w:val="auto"/>
                <w:sz w:val="21"/>
                <w:szCs w:val="21"/>
                <w:highlight w:val="none"/>
              </w:rPr>
              <w:t>提供时间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2268" w:type="dxa"/>
            <w:vAlign w:val="center"/>
          </w:tcPr>
          <w:p>
            <w:pPr>
              <w:pStyle w:val="24"/>
              <w:spacing w:beforeAutospacing="0" w:after="0" w:afterAutospacing="0"/>
              <w:ind w:firstLine="28"/>
              <w:rPr>
                <w:rFonts w:hint="eastAsia"/>
                <w:color w:val="auto"/>
                <w:sz w:val="21"/>
                <w:szCs w:val="21"/>
                <w:highlight w:val="none"/>
              </w:rPr>
            </w:pPr>
            <w:r>
              <w:rPr>
                <w:rFonts w:hint="eastAsia"/>
                <w:color w:val="auto"/>
                <w:sz w:val="21"/>
                <w:szCs w:val="21"/>
                <w:highlight w:val="none"/>
              </w:rPr>
              <w:t>1.临时居住用房</w:t>
            </w:r>
          </w:p>
        </w:tc>
        <w:tc>
          <w:tcPr>
            <w:tcW w:w="6379" w:type="dxa"/>
            <w:gridSpan w:val="3"/>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由咨询人自行负责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 w:hRule="atLeast"/>
          <w:jc w:val="center"/>
        </w:trPr>
        <w:tc>
          <w:tcPr>
            <w:tcW w:w="2268" w:type="dxa"/>
            <w:vAlign w:val="center"/>
          </w:tcPr>
          <w:p>
            <w:pPr>
              <w:pStyle w:val="24"/>
              <w:spacing w:beforeAutospacing="0" w:after="0" w:afterAutospacing="0"/>
              <w:ind w:firstLine="28"/>
              <w:rPr>
                <w:rFonts w:hint="eastAsia"/>
                <w:color w:val="auto"/>
                <w:sz w:val="21"/>
                <w:szCs w:val="21"/>
                <w:highlight w:val="none"/>
              </w:rPr>
            </w:pPr>
            <w:r>
              <w:rPr>
                <w:rFonts w:hint="eastAsia"/>
                <w:color w:val="auto"/>
                <w:sz w:val="21"/>
                <w:szCs w:val="21"/>
                <w:highlight w:val="none"/>
              </w:rPr>
              <w:t>2.临时办公用房</w:t>
            </w:r>
          </w:p>
        </w:tc>
        <w:tc>
          <w:tcPr>
            <w:tcW w:w="6379" w:type="dxa"/>
            <w:gridSpan w:val="3"/>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由咨询人自行负责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2268" w:type="dxa"/>
            <w:vAlign w:val="center"/>
          </w:tcPr>
          <w:p>
            <w:pPr>
              <w:pStyle w:val="24"/>
              <w:spacing w:beforeAutospacing="0" w:after="0" w:afterAutospacing="0"/>
              <w:ind w:firstLine="28"/>
              <w:rPr>
                <w:rFonts w:hint="eastAsia"/>
                <w:color w:val="auto"/>
                <w:sz w:val="21"/>
                <w:szCs w:val="21"/>
                <w:highlight w:val="none"/>
              </w:rPr>
            </w:pPr>
            <w:r>
              <w:rPr>
                <w:rFonts w:hint="eastAsia"/>
                <w:color w:val="auto"/>
                <w:sz w:val="21"/>
                <w:szCs w:val="21"/>
                <w:highlight w:val="none"/>
              </w:rPr>
              <w:t>3.交通道路</w:t>
            </w:r>
          </w:p>
        </w:tc>
        <w:tc>
          <w:tcPr>
            <w:tcW w:w="2127"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2268" w:type="dxa"/>
            <w:vAlign w:val="center"/>
          </w:tcPr>
          <w:p>
            <w:pPr>
              <w:pStyle w:val="24"/>
              <w:spacing w:beforeAutospacing="0" w:after="0" w:afterAutospacing="0"/>
              <w:ind w:firstLine="28"/>
              <w:rPr>
                <w:rFonts w:hint="eastAsia"/>
                <w:color w:val="auto"/>
                <w:sz w:val="21"/>
                <w:szCs w:val="21"/>
                <w:highlight w:val="none"/>
              </w:rPr>
            </w:pPr>
            <w:r>
              <w:rPr>
                <w:rFonts w:hint="eastAsia"/>
                <w:color w:val="auto"/>
                <w:sz w:val="21"/>
                <w:szCs w:val="21"/>
                <w:highlight w:val="none"/>
              </w:rPr>
              <w:t>4.公共设施</w:t>
            </w:r>
          </w:p>
        </w:tc>
        <w:tc>
          <w:tcPr>
            <w:tcW w:w="2127"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r>
    </w:tbl>
    <w:p>
      <w:pPr>
        <w:spacing w:beforeAutospacing="0" w:afterAutospacing="0" w:line="360" w:lineRule="auto"/>
        <w:ind w:firstLine="420"/>
        <w:rPr>
          <w:rFonts w:hint="eastAsia" w:ascii="宋体" w:hAnsi="宋体"/>
          <w:color w:val="auto"/>
          <w:highlight w:val="none"/>
        </w:rPr>
      </w:pPr>
      <w:bookmarkStart w:id="563" w:name="_Toc521267476"/>
      <w:bookmarkEnd w:id="563"/>
      <w:r>
        <w:rPr>
          <w:rFonts w:hint="eastAsia" w:ascii="宋体" w:hAnsi="宋体"/>
          <w:color w:val="auto"/>
          <w:highlight w:val="none"/>
        </w:rPr>
        <w:t>（3）委托人提供的其他人员服务</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63"/>
        <w:gridCol w:w="2127"/>
        <w:gridCol w:w="2126"/>
        <w:gridCol w:w="2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 w:hRule="atLeast"/>
          <w:jc w:val="center"/>
        </w:trPr>
        <w:tc>
          <w:tcPr>
            <w:tcW w:w="2263"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名称</w:t>
            </w:r>
          </w:p>
        </w:tc>
        <w:tc>
          <w:tcPr>
            <w:tcW w:w="2127"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数量</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要求</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提供时间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2263" w:type="dxa"/>
            <w:vAlign w:val="center"/>
          </w:tcPr>
          <w:p>
            <w:pPr>
              <w:pStyle w:val="24"/>
              <w:spacing w:beforeAutospacing="0" w:after="0" w:afterAutospacing="0"/>
              <w:rPr>
                <w:rFonts w:hint="eastAsia"/>
                <w:color w:val="auto"/>
                <w:sz w:val="21"/>
                <w:szCs w:val="21"/>
                <w:highlight w:val="none"/>
              </w:rPr>
            </w:pPr>
            <w:r>
              <w:rPr>
                <w:rFonts w:hint="eastAsia"/>
                <w:color w:val="auto"/>
                <w:sz w:val="21"/>
                <w:szCs w:val="21"/>
                <w:highlight w:val="none"/>
              </w:rPr>
              <w:t>1. 工程技术人员</w:t>
            </w:r>
          </w:p>
        </w:tc>
        <w:tc>
          <w:tcPr>
            <w:tcW w:w="2127"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 w:hRule="atLeast"/>
          <w:jc w:val="center"/>
        </w:trPr>
        <w:tc>
          <w:tcPr>
            <w:tcW w:w="2263" w:type="dxa"/>
            <w:vAlign w:val="center"/>
          </w:tcPr>
          <w:p>
            <w:pPr>
              <w:pStyle w:val="24"/>
              <w:spacing w:beforeAutospacing="0" w:after="0" w:afterAutospacing="0"/>
              <w:rPr>
                <w:rFonts w:hint="eastAsia"/>
                <w:color w:val="auto"/>
                <w:sz w:val="21"/>
                <w:szCs w:val="21"/>
                <w:highlight w:val="none"/>
              </w:rPr>
            </w:pPr>
            <w:r>
              <w:rPr>
                <w:rFonts w:hint="eastAsia"/>
                <w:color w:val="auto"/>
                <w:sz w:val="21"/>
                <w:szCs w:val="21"/>
                <w:highlight w:val="none"/>
              </w:rPr>
              <w:t>2. 辅助工作人员</w:t>
            </w:r>
          </w:p>
        </w:tc>
        <w:tc>
          <w:tcPr>
            <w:tcW w:w="2127"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 w:hRule="atLeast"/>
          <w:jc w:val="center"/>
        </w:trPr>
        <w:tc>
          <w:tcPr>
            <w:tcW w:w="2263" w:type="dxa"/>
            <w:vAlign w:val="center"/>
          </w:tcPr>
          <w:p>
            <w:pPr>
              <w:pStyle w:val="24"/>
              <w:spacing w:beforeAutospacing="0" w:after="0" w:afterAutospacing="0"/>
              <w:rPr>
                <w:rFonts w:hint="eastAsia"/>
                <w:color w:val="auto"/>
                <w:sz w:val="21"/>
                <w:szCs w:val="21"/>
                <w:highlight w:val="none"/>
              </w:rPr>
            </w:pPr>
            <w:r>
              <w:rPr>
                <w:rFonts w:hint="eastAsia"/>
                <w:color w:val="auto"/>
                <w:sz w:val="21"/>
                <w:szCs w:val="21"/>
                <w:highlight w:val="none"/>
              </w:rPr>
              <w:t>3. 其他人员</w:t>
            </w:r>
          </w:p>
        </w:tc>
        <w:tc>
          <w:tcPr>
            <w:tcW w:w="2127"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c>
          <w:tcPr>
            <w:tcW w:w="2126"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无</w:t>
            </w:r>
          </w:p>
        </w:tc>
      </w:tr>
    </w:tbl>
    <w:p>
      <w:pPr>
        <w:spacing w:beforeAutospacing="0" w:afterAutospacing="0" w:line="360" w:lineRule="auto"/>
        <w:ind w:firstLine="420"/>
        <w:rPr>
          <w:rFonts w:hint="eastAsia" w:ascii="宋体" w:hAnsi="宋体"/>
          <w:color w:val="auto"/>
          <w:highlight w:val="none"/>
        </w:rPr>
      </w:pP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2.1.4委托人的其他义务：</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2.2委托人决定</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为保证服务按服务进度计划进行，委托人应在</w:t>
      </w:r>
      <w:r>
        <w:rPr>
          <w:rFonts w:hint="eastAsia" w:ascii="宋体" w:hAnsi="宋体"/>
          <w:color w:val="auto"/>
          <w:highlight w:val="none"/>
          <w:u w:val="single"/>
        </w:rPr>
        <w:t>28</w:t>
      </w:r>
      <w:r>
        <w:rPr>
          <w:rFonts w:hint="eastAsia" w:ascii="宋体" w:hAnsi="宋体"/>
          <w:color w:val="auto"/>
          <w:highlight w:val="none"/>
        </w:rPr>
        <w:t>天内就咨询人以书面形式提交给他的事宜做出书面决定。</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2.3支付担保</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委托人是否提供支付担保：</w:t>
      </w:r>
      <w:r>
        <w:rPr>
          <w:rFonts w:hint="eastAsia" w:ascii="宋体" w:hAnsi="宋体"/>
          <w:color w:val="auto"/>
          <w:highlight w:val="none"/>
          <w:u w:val="single"/>
        </w:rPr>
        <w:t>否</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委托人提供支付担保的形式：</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2.4委托人代表</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委托人代表：</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职 务：</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电子邮箱：</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合同签订时填写</w:t>
      </w:r>
      <w:r>
        <w:rPr>
          <w:rFonts w:hint="eastAsia" w:ascii="宋体" w:hAnsi="宋体"/>
          <w:color w:val="auto"/>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委托人对委托人代表的授权范围如下：</w:t>
      </w:r>
      <w:r>
        <w:rPr>
          <w:rFonts w:hint="eastAsia"/>
          <w:color w:val="auto"/>
          <w:sz w:val="21"/>
          <w:szCs w:val="21"/>
          <w:highlight w:val="none"/>
          <w:u w:val="single"/>
        </w:rPr>
        <w:t>负责项目实施阶段的对接工作，并对咨询人进行管理</w:t>
      </w:r>
      <w:r>
        <w:rPr>
          <w:rFonts w:hint="eastAsia"/>
          <w:color w:val="auto"/>
          <w:sz w:val="21"/>
          <w:szCs w:val="21"/>
          <w:highlight w:val="none"/>
        </w:rPr>
        <w:t>。</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2.5委托人人员</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委托人应为咨询人安排、选择及提供的人员：</w:t>
      </w:r>
      <w:r>
        <w:rPr>
          <w:rFonts w:hint="eastAsia" w:ascii="宋体" w:hAnsi="宋体"/>
          <w:color w:val="auto"/>
          <w:highlight w:val="none"/>
          <w:u w:val="single"/>
        </w:rPr>
        <w:t xml:space="preserve">  /  </w:t>
      </w:r>
      <w:r>
        <w:rPr>
          <w:rFonts w:hint="eastAsia" w:ascii="宋体" w:hAnsi="宋体"/>
          <w:color w:val="auto"/>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咨询人有权另行安排人员替代委托人人员的情形：</w:t>
      </w:r>
      <w:r>
        <w:rPr>
          <w:rFonts w:hint="eastAsia"/>
          <w:color w:val="auto"/>
          <w:sz w:val="21"/>
          <w:szCs w:val="21"/>
          <w:highlight w:val="none"/>
          <w:u w:val="single"/>
        </w:rPr>
        <w:t>须经委托人同意后方可另行安排</w:t>
      </w:r>
      <w:r>
        <w:rPr>
          <w:rFonts w:hint="eastAsia"/>
          <w:color w:val="auto"/>
          <w:sz w:val="21"/>
          <w:szCs w:val="21"/>
          <w:highlight w:val="none"/>
        </w:rPr>
        <w:t>。</w:t>
      </w:r>
    </w:p>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第3条  咨询人</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3.1咨询人一般义务</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3.1.3咨询人是否提供履约担保：</w:t>
      </w:r>
      <w:r>
        <w:rPr>
          <w:rFonts w:hint="eastAsia" w:ascii="宋体" w:hAnsi="宋体"/>
          <w:color w:val="auto"/>
          <w:highlight w:val="none"/>
          <w:u w:val="single"/>
        </w:rPr>
        <w:t>是</w:t>
      </w:r>
      <w:r>
        <w:rPr>
          <w:rFonts w:hint="eastAsia" w:ascii="宋体" w:hAnsi="宋体"/>
          <w:color w:val="auto"/>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咨询人提供履约担保的形式、金额及期限：银行转账或银行保函、保险机构保函或融资担保公司保函</w:t>
      </w:r>
      <w:r>
        <w:rPr>
          <w:rFonts w:hint="eastAsia"/>
          <w:color w:val="auto"/>
          <w:sz w:val="21"/>
          <w:szCs w:val="21"/>
          <w:highlight w:val="none"/>
          <w:u w:val="single"/>
        </w:rPr>
        <w:t>，金额为签约合同价的</w:t>
      </w:r>
      <w:r>
        <w:rPr>
          <w:rFonts w:hint="eastAsia"/>
          <w:color w:val="auto"/>
          <w:sz w:val="21"/>
          <w:szCs w:val="21"/>
          <w:highlight w:val="none"/>
          <w:u w:val="single"/>
          <w:lang w:val="en-US" w:eastAsia="zh-CN"/>
        </w:rPr>
        <w:t>1</w:t>
      </w:r>
      <w:r>
        <w:rPr>
          <w:rFonts w:hint="eastAsia"/>
          <w:color w:val="auto"/>
          <w:sz w:val="21"/>
          <w:szCs w:val="21"/>
          <w:highlight w:val="none"/>
          <w:u w:val="single"/>
        </w:rPr>
        <w:t>%，期限至工程竣工合格并提交竣工资料完成备案</w:t>
      </w:r>
      <w:r>
        <w:rPr>
          <w:rFonts w:hint="eastAsia"/>
          <w:color w:val="auto"/>
          <w:sz w:val="21"/>
          <w:szCs w:val="21"/>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3.1.8咨询人的其他义务：</w:t>
      </w:r>
      <w:r>
        <w:rPr>
          <w:rFonts w:hint="eastAsia" w:ascii="宋体" w:hAnsi="宋体"/>
          <w:color w:val="auto"/>
          <w:highlight w:val="none"/>
          <w:u w:val="single"/>
        </w:rPr>
        <w:t>除合同约定外，还应完成招标文件要求的其他义务服务内容</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3.2咨询项目总负责人</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3.2.1咨询项目总负责人：</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姓名：</w:t>
      </w:r>
      <w:r>
        <w:rPr>
          <w:rFonts w:hint="eastAsia" w:ascii="宋体" w:hAnsi="宋体"/>
          <w:color w:val="auto"/>
          <w:highlight w:val="none"/>
          <w:u w:val="single"/>
        </w:rPr>
        <w:t>中标通知书列明的</w:t>
      </w:r>
      <w:r>
        <w:rPr>
          <w:rFonts w:hint="eastAsia" w:ascii="宋体" w:hAnsi="宋体"/>
          <w:color w:val="auto"/>
          <w:kern w:val="24"/>
          <w:sz w:val="21"/>
          <w:highlight w:val="none"/>
        </w:rPr>
        <w:t>项目</w:t>
      </w:r>
      <w:r>
        <w:rPr>
          <w:rFonts w:hint="eastAsia" w:ascii="宋体" w:hAnsi="宋体"/>
          <w:color w:val="auto"/>
          <w:kern w:val="24"/>
          <w:sz w:val="21"/>
          <w:highlight w:val="none"/>
          <w:lang w:val="en-US" w:eastAsia="zh-CN"/>
        </w:rPr>
        <w:t>总</w:t>
      </w:r>
      <w:r>
        <w:rPr>
          <w:rFonts w:hint="eastAsia" w:ascii="宋体" w:hAnsi="宋体"/>
          <w:color w:val="auto"/>
          <w:kern w:val="24"/>
          <w:sz w:val="21"/>
          <w:highlight w:val="none"/>
        </w:rPr>
        <w:t>负责人</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职称：</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执（职）业资格种类及注册证书编号：</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咨询人对咨询项目总负责人的授权范围如下：</w:t>
      </w:r>
      <w:r>
        <w:rPr>
          <w:rFonts w:hint="eastAsia" w:ascii="宋体" w:hAnsi="宋体"/>
          <w:color w:val="auto"/>
          <w:highlight w:val="none"/>
          <w:u w:val="single"/>
        </w:rPr>
        <w:t>合同签订时由咨询人填写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3.2.2咨询人更换咨询项目总负责人的，应提前</w:t>
      </w:r>
      <w:r>
        <w:rPr>
          <w:rFonts w:hint="eastAsia" w:ascii="宋体" w:hAnsi="宋体"/>
          <w:color w:val="auto"/>
          <w:highlight w:val="none"/>
          <w:u w:val="single"/>
        </w:rPr>
        <w:t>28</w:t>
      </w:r>
      <w:r>
        <w:rPr>
          <w:rFonts w:hint="eastAsia" w:ascii="宋体" w:hAnsi="宋体"/>
          <w:color w:val="auto"/>
          <w:highlight w:val="none"/>
        </w:rPr>
        <w:t>天书面通知委托人。</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咨询人更换咨询项目总负责人的其他情形：</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咨询人擅自更换咨询项目总负责人的违约责任：</w:t>
      </w:r>
      <w:r>
        <w:rPr>
          <w:rFonts w:hint="eastAsia" w:ascii="宋体" w:hAnsi="宋体"/>
          <w:color w:val="auto"/>
          <w:highlight w:val="none"/>
          <w:u w:val="single"/>
        </w:rPr>
        <w:t>咨询人擅自更换的，委托人有权要求承包人予以更正，如拒不更正的，</w:t>
      </w:r>
      <w:r>
        <w:rPr>
          <w:rFonts w:hint="eastAsia" w:ascii="宋体" w:hAnsi="宋体"/>
          <w:bCs/>
          <w:color w:val="auto"/>
          <w:highlight w:val="none"/>
          <w:u w:val="single"/>
        </w:rPr>
        <w:t>委托人有权中止合同</w:t>
      </w:r>
      <w:r>
        <w:rPr>
          <w:rFonts w:hint="eastAsia" w:ascii="宋体" w:hAnsi="宋体"/>
          <w:color w:val="auto"/>
          <w:highlight w:val="none"/>
          <w:u w:val="single"/>
        </w:rPr>
        <w:t>，咨询人还须向委托人支付违约金20万元。</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3.2.3咨询人应在收到书面更换通知后</w:t>
      </w:r>
      <w:r>
        <w:rPr>
          <w:rFonts w:hint="eastAsia" w:ascii="宋体" w:hAnsi="宋体"/>
          <w:color w:val="auto"/>
          <w:highlight w:val="none"/>
          <w:u w:val="single"/>
        </w:rPr>
        <w:t>14</w:t>
      </w:r>
      <w:r>
        <w:rPr>
          <w:rFonts w:hint="eastAsia" w:ascii="宋体" w:hAnsi="宋体"/>
          <w:color w:val="auto"/>
          <w:highlight w:val="none"/>
        </w:rPr>
        <w:t>天内更换咨询项目总负责人。</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咨询人无正当理由拒绝更换咨询项目总负责人的违约责任：</w:t>
      </w:r>
      <w:r>
        <w:rPr>
          <w:rFonts w:hint="eastAsia" w:ascii="宋体" w:hAnsi="宋体"/>
          <w:color w:val="auto"/>
          <w:highlight w:val="none"/>
          <w:u w:val="single"/>
        </w:rPr>
        <w:t>咨询人支付违约金20万元，委托人有权解除合同</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3.3咨询人员</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3.3.1各单项咨询负责人：</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1</w:t>
      </w:r>
      <w:r>
        <w:rPr>
          <w:rFonts w:hint="eastAsia" w:ascii="宋体" w:hAnsi="宋体"/>
          <w:color w:val="auto"/>
          <w:highlight w:val="none"/>
        </w:rPr>
        <w:t>）</w:t>
      </w:r>
      <w:r>
        <w:rPr>
          <w:rFonts w:hint="eastAsia"/>
          <w:b w:val="0"/>
          <w:bCs/>
          <w:color w:val="auto"/>
          <w:highlight w:val="none"/>
        </w:rPr>
        <w:t>造价咨询负责人</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职称：</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执（职）业资格种类及注册证书编号：</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咨询人对其的授权范围如下：</w:t>
      </w:r>
      <w:r>
        <w:rPr>
          <w:rFonts w:hint="eastAsia" w:ascii="宋体" w:hAnsi="宋体"/>
          <w:color w:val="auto"/>
          <w:highlight w:val="none"/>
          <w:u w:val="single"/>
        </w:rPr>
        <w:t>合同签订时由咨询人填写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w:t>
      </w:r>
      <w:r>
        <w:rPr>
          <w:rFonts w:hint="eastAsia" w:ascii="宋体" w:hAnsi="宋体"/>
          <w:color w:val="auto"/>
          <w:highlight w:val="none"/>
          <w:lang w:val="en-US" w:eastAsia="zh-CN"/>
        </w:rPr>
        <w:t>2</w:t>
      </w:r>
      <w:r>
        <w:rPr>
          <w:rFonts w:hint="eastAsia" w:ascii="宋体" w:hAnsi="宋体"/>
          <w:color w:val="auto"/>
          <w:highlight w:val="none"/>
        </w:rPr>
        <w:t>）</w:t>
      </w:r>
      <w:r>
        <w:rPr>
          <w:rFonts w:hint="eastAsia" w:ascii="宋体" w:hAnsi="宋体"/>
          <w:color w:val="auto"/>
          <w:highlight w:val="none"/>
          <w:u w:val="single"/>
        </w:rPr>
        <w:t xml:space="preserve">         </w:t>
      </w:r>
      <w:r>
        <w:rPr>
          <w:rFonts w:hint="eastAsia" w:ascii="宋体" w:hAnsi="宋体"/>
          <w:color w:val="auto"/>
          <w:highlight w:val="none"/>
        </w:rPr>
        <w:t>负责人</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职称：</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执（职）业资格种类及注册证书编号：</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合同签订时填写</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咨询人对其的授权范围如下：</w:t>
      </w:r>
      <w:r>
        <w:rPr>
          <w:rFonts w:hint="eastAsia" w:ascii="宋体" w:hAnsi="宋体"/>
          <w:color w:val="auto"/>
          <w:highlight w:val="none"/>
          <w:u w:val="single"/>
        </w:rPr>
        <w:t>合同签订时由咨询人填写</w:t>
      </w:r>
      <w:r>
        <w:rPr>
          <w:rFonts w:hint="eastAsia" w:ascii="宋体" w:hAnsi="宋体"/>
          <w:color w:val="auto"/>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3.3.2咨询人无正当理由拒绝撤换主要咨询人员的违约责任：</w:t>
      </w:r>
      <w:r>
        <w:rPr>
          <w:rFonts w:hint="eastAsia"/>
          <w:color w:val="auto"/>
          <w:sz w:val="21"/>
          <w:szCs w:val="21"/>
          <w:highlight w:val="none"/>
          <w:u w:val="single"/>
          <w:lang w:val="en-US" w:eastAsia="zh-CN"/>
        </w:rPr>
        <w:t>/</w:t>
      </w:r>
      <w:r>
        <w:rPr>
          <w:rFonts w:hint="eastAsia"/>
          <w:color w:val="auto"/>
          <w:sz w:val="21"/>
          <w:szCs w:val="21"/>
          <w:highlight w:val="none"/>
          <w:u w:val="singl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3.3.3咨询人认为将使其咨询人员的健康或安全保障受到影响的其他事件：</w:t>
      </w:r>
      <w:r>
        <w:rPr>
          <w:rFonts w:hint="eastAsia"/>
          <w:color w:val="auto"/>
          <w:sz w:val="21"/>
          <w:szCs w:val="21"/>
          <w:highlight w:val="none"/>
          <w:u w:val="single"/>
        </w:rPr>
        <w:t xml:space="preserve"> / </w:t>
      </w:r>
      <w:r>
        <w:rPr>
          <w:rFonts w:hint="eastAsia"/>
          <w:color w:val="auto"/>
          <w:sz w:val="21"/>
          <w:szCs w:val="21"/>
          <w:highlight w:val="none"/>
        </w:rPr>
        <w:t>。</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3.4转让和交由其他咨询单位实施咨询服务</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3.4.3允许转让或交由其他咨询单位实施的服务内容和要求包括：</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咨询人擅自转让或交由其他咨询单位实施咨询服务应承担的违约责任：</w:t>
      </w:r>
      <w:r>
        <w:rPr>
          <w:rFonts w:hint="eastAsia" w:ascii="宋体" w:hAnsi="宋体"/>
          <w:color w:val="auto"/>
          <w:highlight w:val="none"/>
          <w:u w:val="single"/>
        </w:rPr>
        <w:t>由咨询人承担由此引起的损失和责任，咨询人支付违约金为合同价的1%，且委托人有权取消合同，由此带来的所有责任和损失均由咨询人承担</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3.5联合体</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3.5.3联合体牵头人和各方的权利、义务和责任：</w:t>
      </w:r>
      <w:r>
        <w:rPr>
          <w:rFonts w:hint="eastAsia" w:ascii="宋体" w:hAnsi="宋体"/>
          <w:color w:val="auto"/>
          <w:highlight w:val="none"/>
          <w:u w:val="single"/>
        </w:rPr>
        <w:t>/</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3.5.5委托人向联合体支付服务费用和其他费用的方式：</w:t>
      </w:r>
      <w:r>
        <w:rPr>
          <w:rFonts w:hint="eastAsia" w:ascii="宋体" w:hAnsi="宋体"/>
          <w:color w:val="auto"/>
          <w:highlight w:val="none"/>
          <w:u w:val="single"/>
        </w:rPr>
        <w:t>/</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其他关于联合体的约定：</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rPr>
          <w:rFonts w:hint="eastAsia" w:ascii="宋体" w:hAnsi="宋体"/>
          <w:b/>
          <w:color w:val="auto"/>
          <w:highlight w:val="none"/>
        </w:rPr>
      </w:pPr>
      <w:r>
        <w:rPr>
          <w:rFonts w:hint="eastAsia" w:ascii="宋体" w:hAnsi="宋体"/>
          <w:b/>
          <w:color w:val="auto"/>
          <w:highlight w:val="none"/>
        </w:rPr>
        <w:t>第4条 服务要求和服务成果</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4.1咨询服务的依据</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咨询服务的特殊标准或要求：</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咨询服务适用的技术标准：</w:t>
      </w:r>
      <w:r>
        <w:rPr>
          <w:rFonts w:hint="eastAsia" w:ascii="宋体" w:hAnsi="宋体"/>
          <w:color w:val="auto"/>
          <w:highlight w:val="none"/>
          <w:u w:val="single"/>
        </w:rPr>
        <w:t>现行国家、省市以及行业技术要求</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4.3服务成果的要求</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对咨询服务成果的其他要求：</w:t>
      </w:r>
      <w:r>
        <w:rPr>
          <w:rFonts w:hint="eastAsia" w:ascii="宋体" w:hAnsi="宋体"/>
          <w:color w:val="auto"/>
          <w:highlight w:val="none"/>
          <w:u w:val="single"/>
        </w:rPr>
        <w:t>工程量清单、招标控制价成果文件编制期以委托人发出的通知为准，且不少于30日历天</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4.4服务成果的审查</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 xml:space="preserve">4.4.1委托人对咨询人的咨询服务成果审查期限不超过 </w:t>
      </w:r>
      <w:r>
        <w:rPr>
          <w:rFonts w:hint="eastAsia" w:ascii="宋体" w:hAnsi="宋体"/>
          <w:color w:val="auto"/>
          <w:highlight w:val="none"/>
          <w:u w:val="single"/>
        </w:rPr>
        <w:t xml:space="preserve"> / </w:t>
      </w:r>
      <w:r>
        <w:rPr>
          <w:rFonts w:hint="eastAsia" w:ascii="宋体" w:hAnsi="宋体"/>
          <w:color w:val="auto"/>
          <w:highlight w:val="none"/>
        </w:rPr>
        <w:t>天。</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4.4.3委托人在审查同意咨询人的服务成果后</w:t>
      </w:r>
      <w:r>
        <w:rPr>
          <w:rFonts w:hint="eastAsia" w:ascii="宋体" w:hAnsi="宋体"/>
          <w:color w:val="auto"/>
          <w:highlight w:val="none"/>
          <w:u w:val="single"/>
        </w:rPr>
        <w:t>7</w:t>
      </w:r>
      <w:r>
        <w:rPr>
          <w:rFonts w:hint="eastAsia" w:ascii="宋体" w:hAnsi="宋体"/>
          <w:color w:val="auto"/>
          <w:highlight w:val="none"/>
        </w:rPr>
        <w:t>天内，向政府有关部门报送服务成果，咨询人应按委托人要求及时予以协助，协助时间应为</w:t>
      </w:r>
      <w:r>
        <w:rPr>
          <w:rFonts w:hint="eastAsia" w:ascii="宋体" w:hAnsi="宋体"/>
          <w:color w:val="auto"/>
          <w:highlight w:val="none"/>
          <w:u w:val="single"/>
        </w:rPr>
        <w:t>报批时间段</w:t>
      </w:r>
      <w:r>
        <w:rPr>
          <w:rFonts w:hint="eastAsia" w:ascii="宋体" w:hAnsi="宋体"/>
          <w:color w:val="auto"/>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4.4.4审查会议的审查形式和时间安排：</w:t>
      </w:r>
      <w:r>
        <w:rPr>
          <w:rFonts w:hint="eastAsia"/>
          <w:color w:val="auto"/>
          <w:sz w:val="21"/>
          <w:szCs w:val="21"/>
          <w:highlight w:val="none"/>
          <w:u w:val="single"/>
        </w:rPr>
        <w:t>由委托人另行通知</w:t>
      </w:r>
      <w:r>
        <w:rPr>
          <w:rFonts w:hint="eastAsia"/>
          <w:color w:val="auto"/>
          <w:sz w:val="21"/>
          <w:szCs w:val="21"/>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4.5管理和配合服务</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4.5.1关于管理和配合服务的其他约定：</w:t>
      </w:r>
      <w:r>
        <w:rPr>
          <w:rFonts w:hint="eastAsia"/>
          <w:color w:val="auto"/>
          <w:sz w:val="21"/>
          <w:szCs w:val="21"/>
          <w:highlight w:val="none"/>
          <w:u w:val="single"/>
        </w:rPr>
        <w:t>合同约定的各类管理和配合服务</w:t>
      </w:r>
      <w:r>
        <w:rPr>
          <w:rFonts w:hint="eastAsia"/>
          <w:color w:val="auto"/>
          <w:sz w:val="21"/>
          <w:szCs w:val="21"/>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4.5.2委托人对咨询人的授权范围：</w:t>
      </w:r>
      <w:r>
        <w:rPr>
          <w:rFonts w:hint="eastAsia"/>
          <w:color w:val="auto"/>
          <w:sz w:val="21"/>
          <w:szCs w:val="21"/>
          <w:highlight w:val="none"/>
          <w:u w:val="single"/>
        </w:rPr>
        <w:t>各类报批手续以及对施工单位的各类审批、联系单等法律约定属于委托人权利的内容均须委托人同意咨询人方可执行</w:t>
      </w:r>
      <w:r>
        <w:rPr>
          <w:rFonts w:hint="eastAsia"/>
          <w:color w:val="auto"/>
          <w:sz w:val="21"/>
          <w:szCs w:val="21"/>
          <w:highlight w:val="none"/>
        </w:rPr>
        <w:t>。</w:t>
      </w:r>
    </w:p>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第5条  进度计划、延误和暂停</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5.1服务的开始和完成</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5.1.1服务开始日期为以下第(</w:t>
      </w:r>
      <w:r>
        <w:rPr>
          <w:rFonts w:hint="eastAsia" w:ascii="宋体" w:hAnsi="宋体"/>
          <w:color w:val="auto"/>
          <w:highlight w:val="none"/>
          <w:u w:val="single"/>
        </w:rPr>
        <w:t>1)</w:t>
      </w:r>
      <w:r>
        <w:rPr>
          <w:rFonts w:hint="eastAsia" w:ascii="宋体" w:hAnsi="宋体"/>
          <w:color w:val="auto"/>
          <w:highlight w:val="none"/>
        </w:rPr>
        <w:t>项：</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（1）在合同生效后</w:t>
      </w:r>
      <w:r>
        <w:rPr>
          <w:rFonts w:hint="eastAsia" w:ascii="宋体" w:hAnsi="宋体"/>
          <w:color w:val="auto"/>
          <w:highlight w:val="none"/>
          <w:u w:val="single"/>
        </w:rPr>
        <w:t xml:space="preserve"> / </w:t>
      </w:r>
      <w:r>
        <w:rPr>
          <w:rFonts w:hint="eastAsia" w:ascii="宋体" w:hAnsi="宋体"/>
          <w:color w:val="auto"/>
          <w:highlight w:val="none"/>
        </w:rPr>
        <w:t>天内；</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（2）在咨询人收到合同规定的第一次付款后_</w:t>
      </w:r>
      <w:r>
        <w:rPr>
          <w:rFonts w:hint="eastAsia" w:ascii="宋体" w:hAnsi="宋体"/>
          <w:color w:val="auto"/>
          <w:highlight w:val="none"/>
          <w:u w:val="single"/>
        </w:rPr>
        <w:t>/</w:t>
      </w:r>
      <w:r>
        <w:rPr>
          <w:rFonts w:hint="eastAsia" w:ascii="宋体" w:hAnsi="宋体"/>
          <w:color w:val="auto"/>
          <w:highlight w:val="none"/>
        </w:rPr>
        <w:t>天内；或者</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（3）计划开始日期：</w:t>
      </w:r>
      <w:r>
        <w:rPr>
          <w:rFonts w:hint="eastAsia" w:ascii="宋体" w:hAnsi="宋体"/>
          <w:color w:val="auto"/>
          <w:highlight w:val="none"/>
          <w:u w:val="single"/>
        </w:rPr>
        <w:t xml:space="preserve"> / </w:t>
      </w:r>
      <w:r>
        <w:rPr>
          <w:rFonts w:hint="eastAsia" w:ascii="宋体" w:hAnsi="宋体"/>
          <w:color w:val="auto"/>
          <w:highlight w:val="none"/>
        </w:rPr>
        <w:t>年</w:t>
      </w:r>
      <w:r>
        <w:rPr>
          <w:rFonts w:hint="eastAsia" w:ascii="宋体" w:hAnsi="宋体"/>
          <w:color w:val="auto"/>
          <w:highlight w:val="none"/>
          <w:u w:val="single"/>
        </w:rPr>
        <w:t xml:space="preserve"> / </w:t>
      </w:r>
      <w:r>
        <w:rPr>
          <w:rFonts w:hint="eastAsia" w:ascii="宋体" w:hAnsi="宋体"/>
          <w:color w:val="auto"/>
          <w:highlight w:val="none"/>
        </w:rPr>
        <w:t>月</w:t>
      </w:r>
      <w:r>
        <w:rPr>
          <w:rFonts w:hint="eastAsia" w:ascii="宋体" w:hAnsi="宋体"/>
          <w:color w:val="auto"/>
          <w:highlight w:val="none"/>
          <w:u w:val="single"/>
        </w:rPr>
        <w:t xml:space="preserve"> / </w:t>
      </w:r>
      <w:r>
        <w:rPr>
          <w:rFonts w:hint="eastAsia" w:ascii="宋体" w:hAnsi="宋体"/>
          <w:color w:val="auto"/>
          <w:highlight w:val="none"/>
        </w:rPr>
        <w:t>日。</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服务完成日期为以下第</w:t>
      </w:r>
      <w:r>
        <w:rPr>
          <w:rFonts w:hint="eastAsia" w:ascii="宋体" w:hAnsi="宋体"/>
          <w:color w:val="auto"/>
          <w:highlight w:val="none"/>
          <w:u w:val="single"/>
        </w:rPr>
        <w:t>(3)</w:t>
      </w:r>
      <w:r>
        <w:rPr>
          <w:rFonts w:hint="eastAsia" w:ascii="宋体" w:hAnsi="宋体"/>
          <w:color w:val="auto"/>
          <w:highlight w:val="none"/>
        </w:rPr>
        <w:t>项：</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（1）对于投资前或工程实施前的各类咨询服务，或只提供咨询报告、建议书等的服务，可约定自服务开始日期起</w:t>
      </w:r>
      <w:r>
        <w:rPr>
          <w:rFonts w:hint="eastAsia" w:ascii="宋体" w:hAnsi="宋体"/>
          <w:color w:val="auto"/>
          <w:highlight w:val="none"/>
          <w:u w:val="single"/>
        </w:rPr>
        <w:t>/</w:t>
      </w:r>
      <w:r>
        <w:rPr>
          <w:rFonts w:hint="eastAsia" w:ascii="宋体" w:hAnsi="宋体"/>
          <w:color w:val="auto"/>
          <w:highlight w:val="none"/>
        </w:rPr>
        <w:t>日内完成；</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（2）对于履行为完成某一预定任务所需的服务，可约定自服务开始日起至负责的工程或任务预定完成日期</w:t>
      </w:r>
      <w:r>
        <w:rPr>
          <w:rFonts w:hint="eastAsia" w:ascii="宋体" w:hAnsi="宋体"/>
          <w:color w:val="auto"/>
          <w:highlight w:val="none"/>
          <w:u w:val="single"/>
        </w:rPr>
        <w:t>/</w:t>
      </w:r>
      <w:r>
        <w:rPr>
          <w:rFonts w:hint="eastAsia" w:ascii="宋体" w:hAnsi="宋体"/>
          <w:color w:val="auto"/>
          <w:highlight w:val="none"/>
        </w:rPr>
        <w:t>为止；或者</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（3）对于与工程项目建设进度相关联的服务，如项目管理等，可约定自服务开始日期至</w:t>
      </w:r>
      <w:r>
        <w:rPr>
          <w:rFonts w:hint="eastAsia" w:ascii="宋体" w:hAnsi="宋体"/>
          <w:color w:val="auto"/>
          <w:highlight w:val="none"/>
          <w:u w:val="single"/>
        </w:rPr>
        <w:t>工程竣工验收合格、备案、办理结算完成及缺陷责任期</w:t>
      </w:r>
      <w:r>
        <w:rPr>
          <w:rFonts w:hint="eastAsia" w:ascii="宋体" w:hAnsi="宋体"/>
          <w:color w:val="auto"/>
          <w:highlight w:val="none"/>
        </w:rPr>
        <w:t>满。</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5.2服务进度计划</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5.2.1咨询人应提交服务进度计划的时间：</w:t>
      </w:r>
      <w:r>
        <w:rPr>
          <w:rFonts w:hint="eastAsia" w:ascii="宋体" w:hAnsi="宋体"/>
          <w:color w:val="auto"/>
          <w:highlight w:val="none"/>
          <w:u w:val="single"/>
        </w:rPr>
        <w:t>合同签订后3天内</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5.2.2委托人审查服务进度计划的时间：</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5.2.3委托人审查修订的服务进度计划的时间：</w:t>
      </w:r>
      <w:r>
        <w:rPr>
          <w:rFonts w:hint="eastAsia" w:ascii="宋体" w:hAnsi="宋体"/>
          <w:color w:val="auto"/>
          <w:highlight w:val="none"/>
          <w:u w:val="single"/>
        </w:rPr>
        <w:t xml:space="preserve"> / </w:t>
      </w:r>
    </w:p>
    <w:p>
      <w:pPr>
        <w:spacing w:beforeAutospacing="0" w:afterAutospacing="0" w:line="360" w:lineRule="auto"/>
        <w:ind w:firstLine="420"/>
        <w:rPr>
          <w:rFonts w:hint="eastAsia" w:ascii="宋体" w:hAnsi="宋体"/>
          <w:b/>
          <w:color w:val="auto"/>
          <w:highlight w:val="none"/>
        </w:rPr>
      </w:pPr>
      <w:r>
        <w:rPr>
          <w:rFonts w:hint="eastAsia" w:ascii="宋体" w:hAnsi="宋体"/>
          <w:b/>
          <w:color w:val="auto"/>
          <w:highlight w:val="none"/>
        </w:rPr>
        <w:t>5.3服务进度的延误</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5.3.1非咨询人原因导致延误的其他情形：</w:t>
      </w:r>
      <w:r>
        <w:rPr>
          <w:rFonts w:hint="eastAsia"/>
          <w:color w:val="auto"/>
          <w:sz w:val="21"/>
          <w:szCs w:val="21"/>
          <w:highlight w:val="none"/>
          <w:u w:val="single"/>
        </w:rPr>
        <w:t xml:space="preserve">  / </w:t>
      </w:r>
      <w:r>
        <w:rPr>
          <w:rFonts w:hint="eastAsia"/>
          <w:color w:val="auto"/>
          <w:sz w:val="21"/>
          <w:szCs w:val="21"/>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咨询人发出通知的时间：</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委托人书面答复的时间：</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5.3.2咨询人原因导致的延误</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因咨询人原因导致咨询服务进度延误，逾期违约金的计算方法和上限为：</w:t>
      </w:r>
      <w:r>
        <w:rPr>
          <w:rFonts w:hint="eastAsia" w:ascii="宋体" w:hAnsi="宋体"/>
          <w:color w:val="auto"/>
          <w:highlight w:val="none"/>
          <w:u w:val="single"/>
        </w:rPr>
        <w:t>每延期一天，支付1万元违约金，上限为合同价的3%。</w:t>
      </w:r>
    </w:p>
    <w:p>
      <w:pPr>
        <w:pStyle w:val="24"/>
        <w:spacing w:beforeAutospacing="0" w:after="0" w:afterAutospacing="0"/>
        <w:ind w:firstLine="422" w:firstLineChars="200"/>
        <w:rPr>
          <w:rFonts w:hint="eastAsia"/>
          <w:b/>
          <w:color w:val="auto"/>
          <w:sz w:val="21"/>
          <w:szCs w:val="21"/>
          <w:highlight w:val="none"/>
        </w:rPr>
      </w:pPr>
      <w:r>
        <w:rPr>
          <w:rFonts w:hint="eastAsia"/>
          <w:b/>
          <w:color w:val="auto"/>
          <w:sz w:val="21"/>
          <w:szCs w:val="21"/>
          <w:highlight w:val="none"/>
        </w:rPr>
        <w:t>5.4服务的暂停</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5.4.1咨询人可暂停全部或部分服务的其他情形：</w:t>
      </w:r>
      <w:r>
        <w:rPr>
          <w:rFonts w:hint="eastAsia"/>
          <w:color w:val="auto"/>
          <w:sz w:val="21"/>
          <w:szCs w:val="21"/>
          <w:highlight w:val="none"/>
          <w:u w:val="single"/>
        </w:rPr>
        <w:t xml:space="preserve">  /  </w:t>
      </w:r>
      <w:r>
        <w:rPr>
          <w:rFonts w:hint="eastAsia"/>
          <w:color w:val="auto"/>
          <w:sz w:val="21"/>
          <w:szCs w:val="21"/>
          <w:highlight w:val="none"/>
        </w:rPr>
        <w:t>。</w:t>
      </w:r>
    </w:p>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第6条 服务费用和支付</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6.2支付程序和方式</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6.2.1支付的时间：</w:t>
      </w:r>
      <w:r>
        <w:rPr>
          <w:rFonts w:hint="eastAsia" w:ascii="宋体" w:hAnsi="宋体"/>
          <w:color w:val="auto"/>
          <w:highlight w:val="none"/>
          <w:u w:val="single"/>
        </w:rPr>
        <w:t>按附件2执行</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6.2.3委托人逾期支付违约金的计算方式：</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6.2.7服务费用的支付货币：</w:t>
      </w:r>
    </w:p>
    <w:tbl>
      <w:tblPr>
        <w:tblStyle w:val="8"/>
        <w:tblW w:w="0" w:type="auto"/>
        <w:tblInd w:w="20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1842"/>
        <w:gridCol w:w="2268"/>
        <w:gridCol w:w="22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268"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服务范围</w:t>
            </w:r>
          </w:p>
        </w:tc>
        <w:tc>
          <w:tcPr>
            <w:tcW w:w="1842"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支付的币种</w:t>
            </w:r>
          </w:p>
        </w:tc>
        <w:tc>
          <w:tcPr>
            <w:tcW w:w="2268"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占合同货币的比例</w:t>
            </w:r>
          </w:p>
        </w:tc>
        <w:tc>
          <w:tcPr>
            <w:tcW w:w="2264"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对合同货币的汇率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2268"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w:t>
            </w:r>
          </w:p>
        </w:tc>
        <w:tc>
          <w:tcPr>
            <w:tcW w:w="1842"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w:t>
            </w:r>
          </w:p>
        </w:tc>
        <w:tc>
          <w:tcPr>
            <w:tcW w:w="2268"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w:t>
            </w:r>
          </w:p>
        </w:tc>
        <w:tc>
          <w:tcPr>
            <w:tcW w:w="2264"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w:t>
            </w:r>
          </w:p>
        </w:tc>
      </w:tr>
    </w:tbl>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第7条 变更和服务费用调整</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7.1变更情形</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其他变更情形：</w:t>
      </w:r>
      <w:r>
        <w:rPr>
          <w:rFonts w:hint="eastAsia" w:ascii="宋体" w:hAnsi="宋体"/>
          <w:color w:val="auto"/>
          <w:highlight w:val="none"/>
          <w:u w:val="single"/>
        </w:rPr>
        <w:t>除服务内容变更外，其余情况服务费用不调整</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7.2变更程序</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7.2.2委托人对服务变更的答复时间：</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第8条 知识产权</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8.1知识产权归属和许可</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8.1.2双方关于知识产权归属及许可的约定：</w:t>
      </w:r>
      <w:r>
        <w:rPr>
          <w:rFonts w:hint="eastAsia"/>
          <w:color w:val="auto"/>
          <w:sz w:val="21"/>
          <w:szCs w:val="21"/>
          <w:highlight w:val="none"/>
          <w:u w:val="single"/>
        </w:rPr>
        <w:t xml:space="preserve"> / </w:t>
      </w:r>
      <w:r>
        <w:rPr>
          <w:rFonts w:hint="eastAsia"/>
          <w:color w:val="auto"/>
          <w:sz w:val="21"/>
          <w:szCs w:val="21"/>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8.3知识产权许可的撤销</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8.3.1双方关于知识产权许可撤销的其他约定：</w:t>
      </w:r>
      <w:r>
        <w:rPr>
          <w:rFonts w:hint="eastAsia"/>
          <w:color w:val="auto"/>
          <w:sz w:val="21"/>
          <w:szCs w:val="21"/>
          <w:highlight w:val="none"/>
          <w:u w:val="single"/>
        </w:rPr>
        <w:t xml:space="preserve"> / </w:t>
      </w:r>
      <w:r>
        <w:rPr>
          <w:rFonts w:hint="eastAsia"/>
          <w:color w:val="auto"/>
          <w:sz w:val="21"/>
          <w:szCs w:val="21"/>
          <w:highlight w:val="none"/>
        </w:rPr>
        <w:t>。</w:t>
      </w:r>
    </w:p>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第9条 保险</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9.1咨询人应投保的保险</w:t>
      </w:r>
    </w:p>
    <w:p>
      <w:pPr>
        <w:spacing w:beforeAutospacing="0" w:afterAutospacing="0" w:line="360" w:lineRule="auto"/>
        <w:ind w:firstLine="422"/>
        <w:rPr>
          <w:rFonts w:hint="eastAsia" w:ascii="宋体" w:hAnsi="宋体"/>
          <w:color w:val="auto"/>
          <w:highlight w:val="none"/>
        </w:rPr>
      </w:pPr>
      <w:r>
        <w:rPr>
          <w:rFonts w:hint="eastAsia" w:ascii="宋体" w:hAnsi="宋体"/>
          <w:color w:val="auto"/>
          <w:highlight w:val="none"/>
        </w:rPr>
        <w:t>9.1.1咨询人应投保的险种：</w:t>
      </w:r>
      <w:r>
        <w:rPr>
          <w:rFonts w:hint="eastAsia" w:ascii="宋体" w:hAnsi="宋体"/>
          <w:color w:val="auto"/>
          <w:highlight w:val="none"/>
          <w:u w:val="single"/>
        </w:rPr>
        <w:t>咨询人各类服务人员的各类保险，由咨询人自行负责；由于咨询人未按规定投保法律法规规定要求投保的险种而发生的一切责任，由咨询人自行负责和承担。</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9.1.2关于保险费用的其他约定：</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9.2保险的其他约定</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9.2.2关于保险凭证提供的约定：</w:t>
      </w:r>
      <w:r>
        <w:rPr>
          <w:rFonts w:hint="eastAsia"/>
          <w:color w:val="auto"/>
          <w:sz w:val="21"/>
          <w:szCs w:val="21"/>
          <w:highlight w:val="none"/>
          <w:u w:val="single"/>
        </w:rPr>
        <w:t xml:space="preserve"> / </w:t>
      </w:r>
      <w:r>
        <w:rPr>
          <w:rFonts w:hint="eastAsia"/>
          <w:color w:val="auto"/>
          <w:sz w:val="21"/>
          <w:szCs w:val="21"/>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9.2.3关于保险被变更或提前终止的约定：</w:t>
      </w:r>
      <w:r>
        <w:rPr>
          <w:rFonts w:hint="eastAsia"/>
          <w:color w:val="auto"/>
          <w:sz w:val="21"/>
          <w:szCs w:val="21"/>
          <w:highlight w:val="none"/>
          <w:u w:val="single"/>
        </w:rPr>
        <w:t xml:space="preserve"> / </w:t>
      </w:r>
      <w:r>
        <w:rPr>
          <w:rFonts w:hint="eastAsia"/>
          <w:color w:val="auto"/>
          <w:sz w:val="21"/>
          <w:szCs w:val="21"/>
          <w:highlight w:val="none"/>
        </w:rPr>
        <w:t>。</w:t>
      </w:r>
    </w:p>
    <w:p>
      <w:pPr>
        <w:spacing w:beforeAutospacing="0" w:afterAutospacing="0" w:line="360" w:lineRule="auto"/>
        <w:rPr>
          <w:rFonts w:hint="eastAsia" w:ascii="宋体" w:hAnsi="宋体"/>
          <w:b/>
          <w:color w:val="auto"/>
          <w:highlight w:val="none"/>
        </w:rPr>
      </w:pPr>
      <w:r>
        <w:rPr>
          <w:rFonts w:hint="eastAsia" w:ascii="宋体" w:hAnsi="宋体"/>
          <w:b/>
          <w:color w:val="auto"/>
          <w:highlight w:val="none"/>
        </w:rPr>
        <w:t>第10条 不可抗力</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10.1不可抗力的确认</w:t>
      </w:r>
    </w:p>
    <w:p>
      <w:pPr>
        <w:spacing w:beforeAutospacing="0" w:afterAutospacing="0" w:line="360" w:lineRule="auto"/>
        <w:ind w:firstLine="420" w:firstLineChars="200"/>
        <w:rPr>
          <w:rFonts w:hint="eastAsia" w:ascii="宋体" w:hAnsi="宋体"/>
          <w:color w:val="auto"/>
          <w:highlight w:val="none"/>
        </w:rPr>
      </w:pPr>
      <w:r>
        <w:rPr>
          <w:rFonts w:hint="eastAsia" w:ascii="宋体" w:hAnsi="宋体"/>
          <w:color w:val="auto"/>
          <w:highlight w:val="none"/>
        </w:rPr>
        <w:t>除通用合同条件约定的不可抗力事件之外，视为不可抗力的其他情形：</w:t>
      </w:r>
      <w:r>
        <w:rPr>
          <w:rFonts w:hint="eastAsia" w:ascii="宋体" w:hAnsi="宋体"/>
          <w:color w:val="auto"/>
          <w:highlight w:val="none"/>
          <w:u w:val="single"/>
        </w:rPr>
        <w:t>/</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10.3不可抗力的后果</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双方约定的不可抗力后果承担方式：</w:t>
      </w:r>
      <w:r>
        <w:rPr>
          <w:rFonts w:hint="eastAsia"/>
          <w:color w:val="auto"/>
          <w:sz w:val="21"/>
          <w:szCs w:val="21"/>
          <w:highlight w:val="none"/>
          <w:u w:val="single"/>
        </w:rPr>
        <w:t>按法律法规执行</w:t>
      </w:r>
      <w:r>
        <w:rPr>
          <w:rFonts w:hint="eastAsia"/>
          <w:color w:val="auto"/>
          <w:sz w:val="21"/>
          <w:szCs w:val="21"/>
          <w:highlight w:val="none"/>
        </w:rPr>
        <w:t>。</w:t>
      </w:r>
    </w:p>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第11条  违约责任</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11.1委托人违约</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11.1.1委托人违约的其他情形：</w:t>
      </w:r>
      <w:r>
        <w:rPr>
          <w:rFonts w:hint="eastAsia"/>
          <w:color w:val="auto"/>
          <w:sz w:val="21"/>
          <w:szCs w:val="21"/>
          <w:highlight w:val="none"/>
          <w:u w:val="single"/>
        </w:rPr>
        <w:t>/</w:t>
      </w:r>
      <w:r>
        <w:rPr>
          <w:rFonts w:hint="eastAsia"/>
          <w:color w:val="auto"/>
          <w:sz w:val="21"/>
          <w:szCs w:val="21"/>
          <w:highlight w:val="none"/>
        </w:rPr>
        <w:t>。</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11.1.3委托人违约责任的承担方式和计算方法：</w:t>
      </w:r>
      <w:r>
        <w:rPr>
          <w:rFonts w:hint="eastAsia"/>
          <w:color w:val="auto"/>
          <w:sz w:val="21"/>
          <w:szCs w:val="21"/>
          <w:highlight w:val="none"/>
          <w:u w:val="single"/>
        </w:rPr>
        <w:t>/</w:t>
      </w:r>
      <w:r>
        <w:rPr>
          <w:rFonts w:hint="eastAsia"/>
          <w:color w:val="auto"/>
          <w:sz w:val="21"/>
          <w:szCs w:val="21"/>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11.2咨询人违约</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11.2.1咨询人违约的其他情形：</w:t>
      </w:r>
      <w:r>
        <w:rPr>
          <w:rFonts w:hint="eastAsia"/>
          <w:color w:val="auto"/>
          <w:sz w:val="21"/>
          <w:szCs w:val="21"/>
          <w:highlight w:val="none"/>
          <w:u w:val="single"/>
        </w:rPr>
        <w:t>出现第11.2.3项违约事项的，按该条款执行；</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11.2.3咨询人违约责任的承担方式和计算方法：</w:t>
      </w:r>
    </w:p>
    <w:p>
      <w:pPr>
        <w:pStyle w:val="24"/>
        <w:spacing w:beforeAutospacing="0" w:after="0" w:afterAutospacing="0"/>
        <w:ind w:firstLine="420" w:firstLineChars="200"/>
        <w:rPr>
          <w:rFonts w:hint="eastAsia"/>
          <w:bCs/>
          <w:color w:val="auto"/>
          <w:sz w:val="21"/>
          <w:szCs w:val="21"/>
          <w:highlight w:val="none"/>
          <w:u w:val="single"/>
          <w:lang w:val="en-US" w:eastAsia="zh-CN"/>
        </w:rPr>
      </w:pPr>
      <w:r>
        <w:rPr>
          <w:rFonts w:hint="eastAsia"/>
          <w:bCs/>
          <w:color w:val="auto"/>
          <w:sz w:val="21"/>
          <w:szCs w:val="21"/>
          <w:highlight w:val="none"/>
          <w:u w:val="single"/>
          <w:lang w:val="en-US" w:eastAsia="zh-CN"/>
        </w:rPr>
        <w:t>1.</w:t>
      </w:r>
      <w:r>
        <w:rPr>
          <w:rFonts w:hint="eastAsia"/>
          <w:bCs/>
          <w:color w:val="auto"/>
          <w:sz w:val="21"/>
          <w:szCs w:val="21"/>
          <w:highlight w:val="none"/>
          <w:u w:val="single"/>
        </w:rPr>
        <w:t>项目班子更换违约：</w:t>
      </w:r>
    </w:p>
    <w:p>
      <w:pPr>
        <w:pStyle w:val="24"/>
        <w:spacing w:beforeAutospacing="0" w:after="0" w:afterAutospacing="0"/>
        <w:ind w:firstLine="420" w:firstLineChars="200"/>
        <w:rPr>
          <w:rFonts w:hint="eastAsia"/>
          <w:bCs/>
          <w:color w:val="auto"/>
          <w:sz w:val="21"/>
          <w:szCs w:val="21"/>
          <w:highlight w:val="none"/>
          <w:u w:val="single"/>
        </w:rPr>
      </w:pPr>
      <w:r>
        <w:rPr>
          <w:rFonts w:hint="eastAsia"/>
          <w:bCs/>
          <w:color w:val="auto"/>
          <w:sz w:val="21"/>
          <w:szCs w:val="21"/>
          <w:highlight w:val="none"/>
          <w:u w:val="single"/>
        </w:rPr>
        <w:t>（1）各专业咨询负责人及其余相关项目人员在工程实施期间不得擅自更换，否则，委托人有权中止合同，擅自更换</w:t>
      </w:r>
      <w:r>
        <w:rPr>
          <w:rFonts w:hint="eastAsia"/>
          <w:color w:val="auto"/>
          <w:sz w:val="21"/>
          <w:szCs w:val="21"/>
          <w:highlight w:val="none"/>
          <w:u w:val="single"/>
        </w:rPr>
        <w:t>造价负责人、注册安全工程师</w:t>
      </w:r>
      <w:r>
        <w:rPr>
          <w:rFonts w:hint="eastAsia"/>
          <w:bCs/>
          <w:color w:val="auto"/>
          <w:sz w:val="21"/>
          <w:szCs w:val="21"/>
          <w:highlight w:val="none"/>
          <w:u w:val="single"/>
        </w:rPr>
        <w:t>（投标时如有提供的）</w:t>
      </w:r>
      <w:r>
        <w:rPr>
          <w:rFonts w:hint="eastAsia"/>
          <w:color w:val="auto"/>
          <w:sz w:val="21"/>
          <w:szCs w:val="21"/>
          <w:highlight w:val="none"/>
          <w:u w:val="single"/>
        </w:rPr>
        <w:t>的，咨询人每次支付违约金为</w:t>
      </w:r>
      <w:r>
        <w:rPr>
          <w:rFonts w:hint="eastAsia"/>
          <w:color w:val="auto"/>
          <w:sz w:val="21"/>
          <w:szCs w:val="21"/>
          <w:highlight w:val="none"/>
          <w:u w:val="single"/>
          <w:lang w:val="en-US" w:eastAsia="zh-CN"/>
        </w:rPr>
        <w:t>15</w:t>
      </w:r>
      <w:r>
        <w:rPr>
          <w:rFonts w:hint="eastAsia"/>
          <w:color w:val="auto"/>
          <w:sz w:val="21"/>
          <w:szCs w:val="21"/>
          <w:highlight w:val="none"/>
          <w:u w:val="single"/>
        </w:rPr>
        <w:t>万元；</w:t>
      </w:r>
      <w:r>
        <w:rPr>
          <w:rFonts w:hint="eastAsia"/>
          <w:bCs/>
          <w:color w:val="auto"/>
          <w:sz w:val="21"/>
          <w:szCs w:val="21"/>
          <w:highlight w:val="none"/>
          <w:u w:val="single"/>
        </w:rPr>
        <w:t>擅自更换</w:t>
      </w:r>
      <w:r>
        <w:rPr>
          <w:rFonts w:hint="eastAsia"/>
          <w:color w:val="auto"/>
          <w:sz w:val="21"/>
          <w:szCs w:val="21"/>
          <w:highlight w:val="none"/>
          <w:u w:val="single"/>
        </w:rPr>
        <w:t>其他人员的，咨询人每次支付违约金为3万元</w:t>
      </w:r>
      <w:r>
        <w:rPr>
          <w:rFonts w:hint="eastAsia"/>
          <w:bCs/>
          <w:color w:val="auto"/>
          <w:sz w:val="21"/>
          <w:szCs w:val="21"/>
          <w:highlight w:val="none"/>
          <w:u w:val="single"/>
        </w:rPr>
        <w:t>。若确须更换人员的，工程咨询人应将相同替换人员信息提交给委托人</w:t>
      </w:r>
      <w:r>
        <w:rPr>
          <w:rFonts w:hint="eastAsia"/>
          <w:bCs/>
          <w:color w:val="auto"/>
          <w:sz w:val="21"/>
          <w:szCs w:val="21"/>
          <w:highlight w:val="none"/>
          <w:u w:val="single"/>
          <w:lang w:val="en-US" w:eastAsia="zh-CN"/>
        </w:rPr>
        <w:t>并同意后</w:t>
      </w:r>
      <w:r>
        <w:rPr>
          <w:rFonts w:hint="eastAsia"/>
          <w:bCs/>
          <w:color w:val="auto"/>
          <w:sz w:val="21"/>
          <w:szCs w:val="21"/>
          <w:highlight w:val="none"/>
          <w:u w:val="single"/>
        </w:rPr>
        <w:t>，且更换后的人员不得低于原投标承诺人员所具有的资格和业绩条件，但应在更换28天前通知委托人。更换项目总负责人、造价负责人的咨询人支付违约金为10万元/人·次。更换项目其他人员的，每更换一次，咨询人支付违约金为3万元/人·次；（</w:t>
      </w:r>
      <w:r>
        <w:rPr>
          <w:rFonts w:hint="eastAsia"/>
          <w:color w:val="auto"/>
          <w:sz w:val="21"/>
          <w:szCs w:val="21"/>
          <w:highlight w:val="none"/>
          <w:u w:val="single"/>
          <w:lang w:val="en-US" w:eastAsia="zh-CN"/>
        </w:rPr>
        <w:t>不可抗拒因素</w:t>
      </w:r>
      <w:r>
        <w:rPr>
          <w:rFonts w:hint="eastAsia"/>
          <w:color w:val="auto"/>
          <w:sz w:val="21"/>
          <w:szCs w:val="21"/>
          <w:highlight w:val="none"/>
          <w:u w:val="single"/>
        </w:rPr>
        <w:t>除外）</w:t>
      </w:r>
    </w:p>
    <w:p>
      <w:pPr>
        <w:pStyle w:val="24"/>
        <w:numPr>
          <w:ilvl w:val="0"/>
          <w:numId w:val="12"/>
        </w:numPr>
        <w:spacing w:beforeAutospacing="0" w:after="0" w:afterAutospacing="0"/>
        <w:rPr>
          <w:rFonts w:hint="eastAsia"/>
          <w:bCs/>
          <w:color w:val="auto"/>
          <w:sz w:val="21"/>
          <w:szCs w:val="21"/>
          <w:highlight w:val="none"/>
          <w:u w:val="single"/>
        </w:rPr>
      </w:pPr>
      <w:r>
        <w:rPr>
          <w:rFonts w:hint="eastAsia"/>
          <w:bCs/>
          <w:color w:val="auto"/>
          <w:sz w:val="21"/>
          <w:szCs w:val="21"/>
          <w:highlight w:val="none"/>
          <w:u w:val="single"/>
        </w:rPr>
        <w:t>如发现不称职或能力不</w:t>
      </w:r>
      <w:r>
        <w:rPr>
          <w:rFonts w:hint="eastAsia"/>
          <w:bCs/>
          <w:color w:val="auto"/>
          <w:sz w:val="21"/>
          <w:szCs w:val="21"/>
          <w:highlight w:val="none"/>
          <w:u w:val="single"/>
          <w:lang w:val="en-US" w:eastAsia="zh-CN"/>
        </w:rPr>
        <w:t>配位</w:t>
      </w:r>
      <w:r>
        <w:rPr>
          <w:rFonts w:hint="eastAsia"/>
          <w:bCs/>
          <w:color w:val="auto"/>
          <w:sz w:val="21"/>
          <w:szCs w:val="21"/>
          <w:highlight w:val="none"/>
          <w:u w:val="single"/>
        </w:rPr>
        <w:t>的项目人员，委托人有权要求更换，要求更换的项目人员应在14天内更换到位，</w:t>
      </w:r>
      <w:r>
        <w:rPr>
          <w:rFonts w:hint="eastAsia"/>
          <w:bCs/>
          <w:color w:val="auto"/>
          <w:sz w:val="21"/>
          <w:szCs w:val="21"/>
          <w:highlight w:val="none"/>
          <w:u w:val="single"/>
          <w:lang w:val="en-US" w:eastAsia="zh-CN"/>
        </w:rPr>
        <w:t>未在规定时间内</w:t>
      </w:r>
      <w:r>
        <w:rPr>
          <w:rFonts w:hint="eastAsia"/>
          <w:bCs/>
          <w:color w:val="auto"/>
          <w:sz w:val="21"/>
          <w:szCs w:val="21"/>
          <w:highlight w:val="none"/>
          <w:u w:val="single"/>
        </w:rPr>
        <w:t>更换到位的按每人每天扣1500元且按合同相关条款咨询人支付每次拒绝更换人员的违约金。</w:t>
      </w:r>
      <w:r>
        <w:rPr>
          <w:rFonts w:hint="eastAsia"/>
          <w:bCs/>
          <w:color w:val="auto"/>
          <w:sz w:val="21"/>
          <w:szCs w:val="21"/>
          <w:highlight w:val="none"/>
          <w:u w:val="single"/>
          <w:lang w:val="en-US" w:eastAsia="zh-CN"/>
        </w:rPr>
        <w:t>如在30天内未更换到位的，委托人有权解除合同。</w:t>
      </w:r>
    </w:p>
    <w:p>
      <w:pPr>
        <w:pStyle w:val="24"/>
        <w:numPr>
          <w:ilvl w:val="0"/>
          <w:numId w:val="12"/>
        </w:numPr>
        <w:spacing w:beforeAutospacing="0" w:after="0" w:afterAutospacing="0"/>
        <w:rPr>
          <w:rFonts w:hint="eastAsia"/>
          <w:bCs/>
          <w:color w:val="auto"/>
          <w:sz w:val="21"/>
          <w:szCs w:val="21"/>
          <w:highlight w:val="none"/>
          <w:u w:val="single"/>
        </w:rPr>
      </w:pPr>
      <w:r>
        <w:rPr>
          <w:rFonts w:hint="eastAsia"/>
          <w:bCs/>
          <w:color w:val="auto"/>
          <w:sz w:val="21"/>
          <w:szCs w:val="21"/>
          <w:highlight w:val="none"/>
          <w:u w:val="single"/>
        </w:rPr>
        <w:t>非驻地技术人员到位率必须符合专业项目进度和委托人要求，如因人员未到位而导致专业项目约定的工期延误的，每延误一天向委托人支付违约金3000元；</w:t>
      </w:r>
    </w:p>
    <w:p>
      <w:pPr>
        <w:pStyle w:val="24"/>
        <w:numPr>
          <w:ilvl w:val="0"/>
          <w:numId w:val="13"/>
        </w:numPr>
        <w:spacing w:beforeAutospacing="0" w:after="0" w:afterAutospacing="0"/>
        <w:rPr>
          <w:rFonts w:hint="eastAsia"/>
          <w:bCs/>
          <w:color w:val="auto"/>
          <w:sz w:val="21"/>
          <w:szCs w:val="21"/>
          <w:highlight w:val="none"/>
          <w:u w:val="single"/>
        </w:rPr>
      </w:pPr>
      <w:r>
        <w:rPr>
          <w:rFonts w:hint="eastAsia"/>
          <w:bCs/>
          <w:color w:val="auto"/>
          <w:sz w:val="21"/>
          <w:szCs w:val="21"/>
          <w:highlight w:val="none"/>
          <w:u w:val="single"/>
        </w:rPr>
        <w:t>全过程造价咨询服务违约情况：</w:t>
      </w:r>
    </w:p>
    <w:p>
      <w:pPr>
        <w:pStyle w:val="24"/>
        <w:numPr>
          <w:ilvl w:val="0"/>
          <w:numId w:val="14"/>
        </w:numPr>
        <w:spacing w:beforeAutospacing="0" w:after="0" w:afterAutospacing="0"/>
        <w:rPr>
          <w:rFonts w:hint="eastAsia"/>
          <w:bCs/>
          <w:color w:val="auto"/>
          <w:sz w:val="21"/>
          <w:szCs w:val="21"/>
          <w:highlight w:val="none"/>
          <w:u w:val="single"/>
        </w:rPr>
      </w:pPr>
      <w:r>
        <w:rPr>
          <w:rFonts w:hint="eastAsia"/>
          <w:bCs/>
          <w:color w:val="auto"/>
          <w:sz w:val="21"/>
          <w:szCs w:val="21"/>
          <w:highlight w:val="none"/>
          <w:u w:val="single"/>
        </w:rPr>
        <w:t>在接到委托人书面检查约定时间后的 24 小时内未到现场，且过后又没有进行复查而造成损失的，每人每次支付2000元的违约金。</w:t>
      </w:r>
    </w:p>
    <w:p>
      <w:pPr>
        <w:pStyle w:val="24"/>
        <w:numPr>
          <w:ilvl w:val="0"/>
          <w:numId w:val="14"/>
        </w:numPr>
        <w:spacing w:beforeAutospacing="0" w:after="0" w:afterAutospacing="0"/>
        <w:rPr>
          <w:rFonts w:hint="eastAsia"/>
          <w:bCs/>
          <w:color w:val="auto"/>
          <w:sz w:val="21"/>
          <w:szCs w:val="21"/>
          <w:highlight w:val="none"/>
          <w:u w:val="single"/>
        </w:rPr>
      </w:pPr>
      <w:r>
        <w:rPr>
          <w:rFonts w:hint="eastAsia"/>
          <w:bCs/>
          <w:color w:val="auto"/>
          <w:sz w:val="21"/>
          <w:szCs w:val="21"/>
          <w:highlight w:val="none"/>
          <w:u w:val="single"/>
        </w:rPr>
        <w:t>咨询人员严重失职导致事故发生的，每人每次支付10000元的违约金，还须承担一切责任，并且委托人有权要求更换咨询人员或者解除合同。</w:t>
      </w:r>
    </w:p>
    <w:p>
      <w:pPr>
        <w:pStyle w:val="24"/>
        <w:numPr>
          <w:ilvl w:val="0"/>
          <w:numId w:val="14"/>
        </w:numPr>
        <w:spacing w:beforeAutospacing="0" w:after="0" w:afterAutospacing="0"/>
        <w:rPr>
          <w:rFonts w:hint="eastAsia"/>
          <w:bCs/>
          <w:color w:val="auto"/>
          <w:sz w:val="21"/>
          <w:szCs w:val="21"/>
          <w:highlight w:val="none"/>
          <w:u w:val="single"/>
        </w:rPr>
      </w:pPr>
      <w:r>
        <w:rPr>
          <w:rFonts w:hint="eastAsia"/>
          <w:bCs/>
          <w:color w:val="auto"/>
          <w:sz w:val="21"/>
          <w:szCs w:val="21"/>
          <w:highlight w:val="none"/>
          <w:u w:val="single"/>
        </w:rPr>
        <w:t>委托人有权对工程咨询人出具的造价咨询成果误差率进行稽查，稽查时，每出现一次分部分项工程造价误差率超过3％的，向委托人支付违约金5万元；每出现一次工程变更联系单造价误差率超过3％的，向委托人支付违约金1万元。因工程咨询人失职造成委托人重大经济或造成重大不良影响的，应当承当相应责任，并赔偿委托人所造成的相应损失。</w:t>
      </w:r>
    </w:p>
    <w:p>
      <w:pPr>
        <w:pStyle w:val="24"/>
        <w:spacing w:beforeAutospacing="0" w:after="0" w:afterAutospacing="0"/>
        <w:rPr>
          <w:rFonts w:hint="eastAsia"/>
          <w:bCs/>
          <w:color w:val="auto"/>
          <w:sz w:val="21"/>
          <w:szCs w:val="21"/>
          <w:highlight w:val="none"/>
          <w:u w:val="single"/>
        </w:rPr>
      </w:pPr>
      <w:r>
        <w:rPr>
          <w:rFonts w:hint="eastAsia"/>
          <w:bCs/>
          <w:color w:val="auto"/>
          <w:sz w:val="21"/>
          <w:szCs w:val="21"/>
          <w:highlight w:val="none"/>
          <w:u w:val="single"/>
        </w:rPr>
        <w:t>（4）咨询人未按约定时间提交成果报告，每延期一天向委托人支付违约金3000元，逾期超过10天的，委托人有权以单方书面通知的形式解除本合同，没收全部履约保证金，未支付的费用将不再支付，并要求咨询人赔偿给委托人造成的一切损失。</w:t>
      </w:r>
    </w:p>
    <w:p>
      <w:pPr>
        <w:pStyle w:val="24"/>
        <w:spacing w:beforeAutospacing="0" w:after="0" w:afterAutospacing="0"/>
        <w:ind w:firstLine="420" w:firstLineChars="200"/>
        <w:rPr>
          <w:rFonts w:hint="eastAsia"/>
          <w:bCs/>
          <w:color w:val="auto"/>
          <w:sz w:val="21"/>
          <w:szCs w:val="21"/>
          <w:highlight w:val="none"/>
          <w:u w:val="single"/>
          <w:lang w:val="en-US" w:eastAsia="zh-CN"/>
        </w:rPr>
      </w:pPr>
      <w:r>
        <w:rPr>
          <w:rFonts w:hint="eastAsia"/>
          <w:bCs/>
          <w:color w:val="auto"/>
          <w:sz w:val="21"/>
          <w:szCs w:val="21"/>
          <w:highlight w:val="none"/>
          <w:u w:val="single"/>
          <w:lang w:val="en-US" w:eastAsia="zh-CN"/>
        </w:rPr>
        <w:t>3</w:t>
      </w:r>
      <w:r>
        <w:rPr>
          <w:rFonts w:hint="eastAsia"/>
          <w:bCs/>
          <w:color w:val="auto"/>
          <w:sz w:val="21"/>
          <w:szCs w:val="21"/>
          <w:highlight w:val="none"/>
          <w:u w:val="single"/>
        </w:rPr>
        <w:t>.工程质量事故：因工程咨询人监管不到位，发生特大质量事故导致工程返工的，发生一次向委托人支付违约金50万元。</w:t>
      </w:r>
    </w:p>
    <w:p>
      <w:pPr>
        <w:pStyle w:val="24"/>
        <w:spacing w:beforeAutospacing="0" w:after="0" w:afterAutospacing="0"/>
        <w:ind w:firstLine="420" w:firstLineChars="200"/>
        <w:rPr>
          <w:rFonts w:hint="eastAsia"/>
          <w:bCs/>
          <w:color w:val="auto"/>
          <w:sz w:val="21"/>
          <w:szCs w:val="21"/>
          <w:highlight w:val="none"/>
          <w:u w:val="single"/>
          <w:lang w:val="en-US" w:eastAsia="zh-CN"/>
        </w:rPr>
      </w:pPr>
      <w:r>
        <w:rPr>
          <w:rFonts w:hint="eastAsia"/>
          <w:bCs/>
          <w:color w:val="auto"/>
          <w:sz w:val="21"/>
          <w:szCs w:val="21"/>
          <w:highlight w:val="none"/>
          <w:u w:val="single"/>
          <w:lang w:val="en-US" w:eastAsia="zh-CN"/>
        </w:rPr>
        <w:t>4</w:t>
      </w:r>
      <w:r>
        <w:rPr>
          <w:rFonts w:hint="eastAsia"/>
          <w:bCs/>
          <w:color w:val="auto"/>
          <w:sz w:val="21"/>
          <w:szCs w:val="21"/>
          <w:highlight w:val="none"/>
          <w:u w:val="single"/>
        </w:rPr>
        <w:t>.安全文明事故：除因自然灾害等不可抗力外，因工程咨询人安全监管不到位，导致工程咨询人或项目参建方人员在施工现场发生了人身死亡事故的，按每人10万元向委托人支付违约金，同时委托方将视情况有权单方面解除合同，并依法追究相应责任。</w:t>
      </w:r>
    </w:p>
    <w:p>
      <w:pPr>
        <w:pStyle w:val="24"/>
        <w:spacing w:beforeAutospacing="0" w:after="0" w:afterAutospacing="0"/>
        <w:ind w:firstLine="420" w:firstLineChars="200"/>
        <w:rPr>
          <w:rFonts w:hint="eastAsia"/>
          <w:bCs/>
          <w:color w:val="auto"/>
          <w:sz w:val="21"/>
          <w:szCs w:val="21"/>
          <w:highlight w:val="none"/>
          <w:u w:val="single"/>
          <w:lang w:val="en-US" w:eastAsia="zh-CN"/>
        </w:rPr>
      </w:pPr>
      <w:r>
        <w:rPr>
          <w:rFonts w:hint="eastAsia"/>
          <w:bCs/>
          <w:color w:val="auto"/>
          <w:sz w:val="21"/>
          <w:szCs w:val="21"/>
          <w:highlight w:val="none"/>
          <w:u w:val="single"/>
          <w:lang w:val="en-US" w:eastAsia="zh-CN"/>
        </w:rPr>
        <w:t>5</w:t>
      </w:r>
      <w:r>
        <w:rPr>
          <w:rFonts w:hint="eastAsia"/>
          <w:bCs/>
          <w:color w:val="auto"/>
          <w:sz w:val="21"/>
          <w:szCs w:val="21"/>
          <w:highlight w:val="none"/>
          <w:u w:val="single"/>
        </w:rPr>
        <w:t>廉政情况：工程咨询人违反廉政给委托人造成重大损失的，委托人有权要求咨询人赔偿其损失。</w:t>
      </w:r>
    </w:p>
    <w:p>
      <w:pPr>
        <w:pStyle w:val="24"/>
        <w:spacing w:beforeAutospacing="0" w:after="0" w:afterAutospacing="0"/>
        <w:ind w:firstLine="420" w:firstLineChars="200"/>
        <w:rPr>
          <w:rFonts w:hint="eastAsia"/>
          <w:bCs/>
          <w:color w:val="auto"/>
          <w:sz w:val="21"/>
          <w:szCs w:val="21"/>
          <w:highlight w:val="none"/>
          <w:u w:val="single"/>
        </w:rPr>
      </w:pPr>
      <w:r>
        <w:rPr>
          <w:rFonts w:hint="eastAsia"/>
          <w:bCs/>
          <w:color w:val="auto"/>
          <w:sz w:val="21"/>
          <w:szCs w:val="21"/>
          <w:highlight w:val="none"/>
          <w:u w:val="single"/>
        </w:rPr>
        <w:t>7其它违约情况：（1）在保修期间，因工作需要，工程咨询人在接到委托人的通知后24小时内未安排合适人员到位的，每次向委托人支付违约金2000元。</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11.3责任期限</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责任期限：</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11.4责任限制</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最大赔偿数额：</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jc w:val="left"/>
        <w:rPr>
          <w:rFonts w:hint="eastAsia" w:ascii="宋体" w:hAnsi="宋体"/>
          <w:b/>
          <w:color w:val="auto"/>
          <w:highlight w:val="none"/>
        </w:rPr>
      </w:pPr>
      <w:r>
        <w:rPr>
          <w:rFonts w:hint="eastAsia" w:ascii="宋体" w:hAnsi="宋体"/>
          <w:b/>
          <w:color w:val="auto"/>
          <w:highlight w:val="none"/>
        </w:rPr>
        <w:t>第12条 合同解除</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12.2由委托人解除合同</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12.2.1委托人可解除合同的其他情形：</w:t>
      </w:r>
      <w:r>
        <w:rPr>
          <w:rFonts w:hint="eastAsia" w:ascii="宋体" w:hAnsi="宋体"/>
          <w:color w:val="auto"/>
          <w:highlight w:val="none"/>
          <w:u w:val="single"/>
        </w:rPr>
        <w:t xml:space="preserve"> / </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12.3由咨询人解除合同</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12.3.1咨询人可解除合同的其他情形：</w:t>
      </w:r>
      <w:r>
        <w:rPr>
          <w:rFonts w:hint="eastAsia"/>
          <w:color w:val="auto"/>
          <w:sz w:val="21"/>
          <w:szCs w:val="21"/>
          <w:highlight w:val="none"/>
          <w:u w:val="single"/>
        </w:rPr>
        <w:t xml:space="preserve"> / </w:t>
      </w:r>
      <w:r>
        <w:rPr>
          <w:rFonts w:hint="eastAsia"/>
          <w:color w:val="auto"/>
          <w:sz w:val="21"/>
          <w:szCs w:val="21"/>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12.4合同解除的后果</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双方关于合同解除后果的其他补充约定：</w:t>
      </w:r>
      <w:r>
        <w:rPr>
          <w:rFonts w:hint="eastAsia"/>
          <w:color w:val="auto"/>
          <w:sz w:val="21"/>
          <w:szCs w:val="21"/>
          <w:highlight w:val="none"/>
          <w:u w:val="single"/>
        </w:rPr>
        <w:t>/</w:t>
      </w:r>
      <w:r>
        <w:rPr>
          <w:rFonts w:hint="eastAsia"/>
          <w:color w:val="auto"/>
          <w:sz w:val="21"/>
          <w:szCs w:val="21"/>
          <w:highlight w:val="none"/>
        </w:rPr>
        <w:t>。</w:t>
      </w:r>
    </w:p>
    <w:p>
      <w:pPr>
        <w:spacing w:beforeAutospacing="0" w:afterAutospacing="0" w:line="360" w:lineRule="auto"/>
        <w:rPr>
          <w:rFonts w:hint="eastAsia" w:ascii="宋体" w:hAnsi="宋体"/>
          <w:b/>
          <w:color w:val="auto"/>
          <w:highlight w:val="none"/>
        </w:rPr>
      </w:pPr>
      <w:bookmarkStart w:id="564" w:name="_Toc1413044006"/>
      <w:bookmarkEnd w:id="564"/>
      <w:bookmarkStart w:id="565" w:name="_Toc1120380189"/>
      <w:bookmarkEnd w:id="565"/>
      <w:r>
        <w:rPr>
          <w:rFonts w:hint="eastAsia" w:ascii="宋体" w:hAnsi="宋体"/>
          <w:b/>
          <w:color w:val="auto"/>
          <w:highlight w:val="none"/>
        </w:rPr>
        <w:fldChar w:fldCharType="begin"/>
      </w:r>
      <w:r>
        <w:rPr>
          <w:rFonts w:hint="eastAsia" w:ascii="宋体" w:hAnsi="宋体"/>
          <w:b/>
          <w:color w:val="auto"/>
          <w:highlight w:val="none"/>
        </w:rPr>
        <w:instrText xml:space="preserve"> REF _Ref521309732 \h  \* MERGEFORMAT </w:instrText>
      </w:r>
      <w:r>
        <w:rPr>
          <w:rFonts w:hint="eastAsia" w:ascii="宋体" w:hAnsi="宋体"/>
          <w:b/>
          <w:color w:val="auto"/>
          <w:highlight w:val="none"/>
        </w:rPr>
        <w:fldChar w:fldCharType="separate"/>
      </w:r>
      <w:r>
        <w:rPr>
          <w:rFonts w:hint="eastAsia" w:ascii="宋体" w:hAnsi="宋体"/>
          <w:b/>
          <w:color w:val="auto"/>
          <w:highlight w:val="none"/>
        </w:rPr>
        <w:t>第13条 争议解决</w:t>
      </w:r>
      <w:r>
        <w:rPr>
          <w:rFonts w:hint="eastAsia" w:ascii="宋体" w:hAnsi="宋体"/>
          <w:b/>
          <w:color w:val="auto"/>
          <w:highlight w:val="none"/>
        </w:rPr>
        <w:fldChar w:fldCharType="end"/>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13.1和解</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就合同下的争议进行调解时，可提交</w:t>
      </w:r>
      <w:r>
        <w:rPr>
          <w:rFonts w:hint="eastAsia" w:ascii="宋体" w:hAnsi="宋体"/>
          <w:color w:val="auto"/>
          <w:highlight w:val="none"/>
          <w:u w:val="single"/>
        </w:rPr>
        <w:t xml:space="preserve"> / </w:t>
      </w:r>
      <w:r>
        <w:rPr>
          <w:rFonts w:hint="eastAsia" w:ascii="宋体" w:hAnsi="宋体"/>
          <w:color w:val="auto"/>
          <w:highlight w:val="none"/>
        </w:rPr>
        <w:t>进行调解。</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13.3争议评审</w:t>
      </w:r>
    </w:p>
    <w:p>
      <w:pPr>
        <w:pStyle w:val="24"/>
        <w:spacing w:beforeAutospacing="0" w:after="0" w:afterAutospacing="0"/>
        <w:ind w:firstLine="420" w:firstLineChars="200"/>
        <w:rPr>
          <w:rFonts w:hint="eastAsia"/>
          <w:color w:val="auto"/>
          <w:sz w:val="21"/>
          <w:szCs w:val="21"/>
          <w:highlight w:val="none"/>
        </w:rPr>
      </w:pPr>
      <w:r>
        <w:rPr>
          <w:rFonts w:hint="eastAsia"/>
          <w:color w:val="auto"/>
          <w:sz w:val="21"/>
          <w:szCs w:val="21"/>
          <w:highlight w:val="none"/>
        </w:rPr>
        <w:t>合同当事人是否同意将争议提交争议评审小组决定：</w:t>
      </w:r>
      <w:r>
        <w:rPr>
          <w:rFonts w:hint="eastAsia"/>
          <w:color w:val="auto"/>
          <w:sz w:val="21"/>
          <w:szCs w:val="21"/>
          <w:highlight w:val="none"/>
          <w:u w:val="single"/>
        </w:rPr>
        <w:t xml:space="preserve"> /</w:t>
      </w:r>
      <w:r>
        <w:rPr>
          <w:rFonts w:hint="eastAsia"/>
          <w:color w:val="auto"/>
          <w:sz w:val="21"/>
          <w:szCs w:val="21"/>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13.3.1争议评审小组的确定</w:t>
      </w:r>
    </w:p>
    <w:p>
      <w:pPr>
        <w:spacing w:beforeAutospacing="0" w:afterAutospacing="0" w:line="360" w:lineRule="auto"/>
        <w:ind w:left="149" w:leftChars="71" w:firstLine="315" w:firstLineChars="150"/>
        <w:rPr>
          <w:rFonts w:hint="eastAsia" w:ascii="宋体" w:hAnsi="宋体"/>
          <w:color w:val="auto"/>
          <w:highlight w:val="none"/>
        </w:rPr>
      </w:pPr>
      <w:r>
        <w:rPr>
          <w:rFonts w:hint="eastAsia" w:ascii="宋体" w:hAnsi="宋体"/>
          <w:color w:val="auto"/>
          <w:highlight w:val="none"/>
        </w:rPr>
        <w:t>争议评审小组成员的确定：</w:t>
      </w:r>
      <w:r>
        <w:rPr>
          <w:rFonts w:hint="eastAsia" w:ascii="宋体" w:hAnsi="宋体"/>
          <w:color w:val="auto"/>
          <w:highlight w:val="none"/>
          <w:u w:val="single"/>
        </w:rPr>
        <w:t xml:space="preserve"> /</w:t>
      </w:r>
      <w:r>
        <w:rPr>
          <w:rFonts w:hint="eastAsia" w:ascii="宋体" w:hAnsi="宋体"/>
          <w:color w:val="auto"/>
          <w:highlight w:val="none"/>
        </w:rPr>
        <w:t>。</w:t>
      </w:r>
    </w:p>
    <w:p>
      <w:pPr>
        <w:spacing w:beforeAutospacing="0" w:afterAutospacing="0" w:line="360" w:lineRule="auto"/>
        <w:ind w:left="149" w:leftChars="71" w:firstLine="315" w:firstLineChars="150"/>
        <w:rPr>
          <w:rFonts w:hint="eastAsia" w:ascii="宋体" w:hAnsi="宋体"/>
          <w:color w:val="auto"/>
          <w:highlight w:val="none"/>
        </w:rPr>
      </w:pPr>
      <w:r>
        <w:rPr>
          <w:rFonts w:hint="eastAsia" w:ascii="宋体" w:hAnsi="宋体"/>
          <w:color w:val="auto"/>
          <w:highlight w:val="none"/>
        </w:rPr>
        <w:t>选定争议评审员的期限：</w:t>
      </w:r>
      <w:r>
        <w:rPr>
          <w:rFonts w:hint="eastAsia" w:ascii="宋体" w:hAnsi="宋体"/>
          <w:color w:val="auto"/>
          <w:highlight w:val="none"/>
          <w:u w:val="single"/>
        </w:rPr>
        <w:t xml:space="preserve"> /</w:t>
      </w:r>
      <w:r>
        <w:rPr>
          <w:rFonts w:hint="eastAsia" w:ascii="宋体" w:hAnsi="宋体"/>
          <w:color w:val="auto"/>
          <w:highlight w:val="none"/>
        </w:rPr>
        <w:t>。</w:t>
      </w:r>
    </w:p>
    <w:p>
      <w:pPr>
        <w:spacing w:beforeAutospacing="0" w:afterAutospacing="0" w:line="360" w:lineRule="auto"/>
        <w:ind w:left="149" w:leftChars="71" w:firstLine="315" w:firstLineChars="150"/>
        <w:rPr>
          <w:rFonts w:hint="eastAsia" w:ascii="宋体" w:hAnsi="宋体"/>
          <w:color w:val="auto"/>
          <w:highlight w:val="none"/>
        </w:rPr>
      </w:pPr>
      <w:r>
        <w:rPr>
          <w:rFonts w:hint="eastAsia" w:ascii="宋体" w:hAnsi="宋体"/>
          <w:color w:val="auto"/>
          <w:highlight w:val="none"/>
        </w:rPr>
        <w:t>评审所发生的费用承担方式：</w:t>
      </w:r>
      <w:r>
        <w:rPr>
          <w:rFonts w:hint="eastAsia" w:ascii="宋体" w:hAnsi="宋体"/>
          <w:color w:val="auto"/>
          <w:highlight w:val="none"/>
          <w:u w:val="single"/>
        </w:rPr>
        <w:t xml:space="preserve"> /</w:t>
      </w:r>
      <w:r>
        <w:rPr>
          <w:rFonts w:hint="eastAsia" w:ascii="宋体" w:hAnsi="宋体"/>
          <w:color w:val="auto"/>
          <w:highlight w:val="none"/>
        </w:rPr>
        <w:t>。</w:t>
      </w:r>
    </w:p>
    <w:p>
      <w:pPr>
        <w:spacing w:beforeAutospacing="0" w:afterAutospacing="0" w:line="360" w:lineRule="auto"/>
        <w:ind w:left="149" w:leftChars="71" w:firstLine="315" w:firstLineChars="150"/>
        <w:rPr>
          <w:rFonts w:hint="eastAsia" w:ascii="宋体" w:hAnsi="宋体"/>
          <w:color w:val="auto"/>
          <w:highlight w:val="none"/>
        </w:rPr>
      </w:pPr>
      <w:r>
        <w:rPr>
          <w:rFonts w:hint="eastAsia" w:ascii="宋体" w:hAnsi="宋体"/>
          <w:color w:val="auto"/>
          <w:highlight w:val="none"/>
        </w:rPr>
        <w:t>其他事项的约定：</w:t>
      </w:r>
      <w:r>
        <w:rPr>
          <w:rFonts w:hint="eastAsia" w:ascii="宋体" w:hAnsi="宋体"/>
          <w:color w:val="auto"/>
          <w:highlight w:val="none"/>
          <w:u w:val="single"/>
        </w:rPr>
        <w:t xml:space="preserve"> /</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13.3.2争议评审小组的决定</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合同当事人关于本事项的约定：</w:t>
      </w:r>
      <w:r>
        <w:rPr>
          <w:rFonts w:hint="eastAsia" w:ascii="宋体" w:hAnsi="宋体"/>
          <w:color w:val="auto"/>
          <w:highlight w:val="none"/>
          <w:u w:val="single"/>
        </w:rPr>
        <w:t xml:space="preserve"> /</w:t>
      </w:r>
      <w:r>
        <w:rPr>
          <w:rFonts w:hint="eastAsia" w:ascii="宋体" w:hAnsi="宋体"/>
          <w:color w:val="auto"/>
          <w:highlight w:val="none"/>
        </w:rPr>
        <w:t>。</w:t>
      </w:r>
    </w:p>
    <w:p>
      <w:pPr>
        <w:spacing w:beforeAutospacing="0" w:afterAutospacing="0" w:line="360" w:lineRule="auto"/>
        <w:ind w:firstLine="422" w:firstLineChars="200"/>
        <w:rPr>
          <w:rFonts w:hint="eastAsia" w:ascii="宋体" w:hAnsi="宋体"/>
          <w:b/>
          <w:color w:val="auto"/>
          <w:highlight w:val="none"/>
        </w:rPr>
      </w:pPr>
      <w:r>
        <w:rPr>
          <w:rFonts w:hint="eastAsia" w:ascii="宋体" w:hAnsi="宋体"/>
          <w:b/>
          <w:color w:val="auto"/>
          <w:highlight w:val="none"/>
        </w:rPr>
        <w:t>13.4仲裁或诉讼</w:t>
      </w:r>
    </w:p>
    <w:p>
      <w:pPr>
        <w:spacing w:beforeAutospacing="0" w:afterAutospacing="0" w:line="360" w:lineRule="auto"/>
        <w:ind w:firstLine="420"/>
        <w:rPr>
          <w:rFonts w:hint="eastAsia" w:ascii="宋体" w:hAnsi="宋体"/>
          <w:bCs/>
          <w:color w:val="auto"/>
          <w:highlight w:val="none"/>
        </w:rPr>
      </w:pPr>
      <w:r>
        <w:rPr>
          <w:rFonts w:hint="eastAsia" w:ascii="宋体" w:hAnsi="宋体"/>
          <w:bCs/>
          <w:color w:val="auto"/>
          <w:highlight w:val="none"/>
        </w:rPr>
        <w:t>因合同及合同有关事项发生的争议，按下列第</w:t>
      </w:r>
      <w:r>
        <w:rPr>
          <w:rFonts w:hint="eastAsia" w:ascii="宋体" w:hAnsi="宋体"/>
          <w:color w:val="auto"/>
          <w:highlight w:val="none"/>
          <w:u w:val="single"/>
        </w:rPr>
        <w:t>2</w:t>
      </w:r>
      <w:r>
        <w:rPr>
          <w:rFonts w:hint="eastAsia" w:ascii="宋体" w:hAnsi="宋体"/>
          <w:color w:val="auto"/>
          <w:highlight w:val="none"/>
        </w:rPr>
        <w:t>种方式解决：</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（1）提请</w:t>
      </w:r>
      <w:r>
        <w:rPr>
          <w:rFonts w:hint="eastAsia" w:ascii="宋体" w:hAnsi="宋体"/>
          <w:color w:val="auto"/>
          <w:highlight w:val="none"/>
          <w:u w:val="single"/>
        </w:rPr>
        <w:t xml:space="preserve">         </w:t>
      </w:r>
      <w:r>
        <w:rPr>
          <w:rFonts w:hint="eastAsia" w:ascii="宋体" w:hAnsi="宋体"/>
          <w:color w:val="auto"/>
          <w:highlight w:val="none"/>
        </w:rPr>
        <w:t>仲裁委员会申请仲裁。</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（2）向</w:t>
      </w:r>
      <w:r>
        <w:rPr>
          <w:rFonts w:hint="eastAsia" w:ascii="宋体" w:hAnsi="宋体"/>
          <w:color w:val="auto"/>
          <w:highlight w:val="none"/>
          <w:u w:val="single"/>
        </w:rPr>
        <w:t>工程所在地</w:t>
      </w:r>
      <w:r>
        <w:rPr>
          <w:rFonts w:hint="eastAsia" w:ascii="宋体" w:hAnsi="宋体"/>
          <w:color w:val="auto"/>
          <w:highlight w:val="none"/>
        </w:rPr>
        <w:t>人民法院起诉。</w:t>
      </w:r>
    </w:p>
    <w:p>
      <w:pPr>
        <w:spacing w:beforeAutospacing="0" w:afterAutospacing="0" w:line="360" w:lineRule="auto"/>
        <w:rPr>
          <w:rFonts w:hint="eastAsia" w:ascii="宋体" w:hAnsi="宋体"/>
          <w:color w:val="auto"/>
          <w:highlight w:val="none"/>
        </w:rPr>
      </w:pPr>
      <w:bookmarkStart w:id="566" w:name="_Toc1213449829"/>
      <w:bookmarkEnd w:id="566"/>
      <w:bookmarkStart w:id="567" w:name="_Ref521078342"/>
      <w:bookmarkEnd w:id="567"/>
      <w:bookmarkStart w:id="568" w:name="_Toc18156050"/>
      <w:bookmarkEnd w:id="568"/>
      <w:bookmarkStart w:id="569" w:name="_Toc589902494"/>
      <w:bookmarkEnd w:id="569"/>
      <w:bookmarkStart w:id="570" w:name="_Ref523405266"/>
      <w:bookmarkEnd w:id="570"/>
      <w:r>
        <w:rPr>
          <w:rFonts w:hint="eastAsia" w:ascii="宋体" w:hAnsi="宋体"/>
          <w:color w:val="auto"/>
          <w:highlight w:val="none"/>
        </w:rPr>
        <w:br w:type="page"/>
      </w:r>
      <w:r>
        <w:rPr>
          <w:rFonts w:hint="eastAsia" w:ascii="宋体" w:hAnsi="宋体"/>
          <w:b/>
          <w:color w:val="auto"/>
          <w:highlight w:val="none"/>
        </w:rPr>
        <w:t>附件1  服务范围</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一、工程建设全过程咨询服务</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1.项目建设管理</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工作内容：</w:t>
      </w:r>
      <w:r>
        <w:rPr>
          <w:rFonts w:hint="eastAsia" w:ascii="宋体" w:hAnsi="宋体"/>
          <w:bCs/>
          <w:color w:val="auto"/>
          <w:highlight w:val="none"/>
        </w:rPr>
        <w:t>对本</w:t>
      </w:r>
      <w:r>
        <w:rPr>
          <w:rFonts w:hint="eastAsia" w:ascii="宋体" w:hAnsi="宋体" w:eastAsia="宋体"/>
          <w:bCs/>
          <w:color w:val="auto"/>
          <w:highlight w:val="none"/>
        </w:rPr>
        <w:t>项目进行</w:t>
      </w:r>
      <w:r>
        <w:rPr>
          <w:rFonts w:hint="eastAsia" w:ascii="宋体" w:hAnsi="宋体" w:eastAsia="宋体"/>
          <w:bCs/>
          <w:color w:val="auto"/>
          <w:highlight w:val="none"/>
          <w:lang w:val="en-US" w:eastAsia="zh-CN"/>
        </w:rPr>
        <w:t>项目管理（至施工代建进场并完成交接前）、</w:t>
      </w:r>
      <w:r>
        <w:rPr>
          <w:rFonts w:hint="eastAsia" w:ascii="宋体" w:hAnsi="宋体" w:eastAsia="宋体"/>
          <w:bCs/>
          <w:color w:val="auto"/>
          <w:highlight w:val="none"/>
        </w:rPr>
        <w:t>投资控</w:t>
      </w:r>
      <w:r>
        <w:rPr>
          <w:rFonts w:hint="eastAsia" w:ascii="宋体" w:hAnsi="宋体"/>
          <w:bCs/>
          <w:color w:val="auto"/>
          <w:highlight w:val="none"/>
        </w:rPr>
        <w:t>制管理、工程进度管理、工程安全管理、合同管理、</w:t>
      </w:r>
      <w:r>
        <w:rPr>
          <w:rFonts w:hint="eastAsia" w:ascii="宋体" w:hAnsi="宋体" w:eastAsia="宋体"/>
          <w:color w:val="auto"/>
          <w:sz w:val="21"/>
          <w:szCs w:val="21"/>
          <w:highlight w:val="none"/>
          <w:lang w:val="en-US" w:eastAsia="zh-CN"/>
        </w:rPr>
        <w:t>BIM管理、</w:t>
      </w:r>
      <w:r>
        <w:rPr>
          <w:rFonts w:hint="eastAsia" w:ascii="宋体" w:hAnsi="宋体"/>
          <w:bCs/>
          <w:color w:val="auto"/>
          <w:highlight w:val="none"/>
        </w:rPr>
        <w:t>设计管理（施工图设计优化、设计过程的设计管理、专项管理、设计进度管理并确保设计满足项目实施、提出设计优化意见、施工过程的设计管理、工程验收阶段的设计管理、协助建设单位收集并整理设计相关资料。）、质量管理、信息管理、工程竣工移交管理进行全过程工程咨询服务，协助建设单位办理项目建设的相关报建手续及收集整理资料等</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u w:val="single"/>
        </w:rPr>
      </w:pPr>
      <w:r>
        <w:rPr>
          <w:rFonts w:hint="eastAsia" w:ascii="宋体" w:hAnsi="宋体"/>
          <w:color w:val="auto"/>
          <w:highlight w:val="none"/>
          <w:u w:val="single"/>
        </w:rPr>
        <w:t>成果文件：按照合同约定的工作内容以及《建设工程项目管理规范》（GBT 50326-2017）要求编制各类成果文件；</w:t>
      </w:r>
    </w:p>
    <w:p>
      <w:pPr>
        <w:spacing w:beforeAutospacing="0" w:afterAutospacing="0" w:line="360" w:lineRule="auto"/>
        <w:ind w:firstLine="420"/>
        <w:rPr>
          <w:rFonts w:hint="eastAsia" w:ascii="宋体" w:hAnsi="宋体"/>
          <w:color w:val="auto"/>
          <w:highlight w:val="none"/>
          <w:u w:val="single"/>
        </w:rPr>
      </w:pPr>
      <w:r>
        <w:rPr>
          <w:rFonts w:hint="eastAsia" w:ascii="宋体" w:hAnsi="宋体"/>
          <w:color w:val="auto"/>
          <w:highlight w:val="none"/>
          <w:u w:val="single"/>
        </w:rPr>
        <w:t>标准和要求：符合《全过程工程咨询服务标准》（DB33/T1202-2020）、《建设工程项目管理规范》（GBT50326-2017）以及现行相关标准和要求。</w:t>
      </w:r>
    </w:p>
    <w:p>
      <w:pPr>
        <w:spacing w:beforeAutospacing="0" w:afterAutospacing="0" w:line="360" w:lineRule="auto"/>
        <w:ind w:firstLine="420"/>
        <w:rPr>
          <w:rFonts w:hint="eastAsia" w:ascii="宋体" w:hAnsi="宋体"/>
          <w:color w:val="auto"/>
          <w:highlight w:val="none"/>
          <w:u w:val="single"/>
        </w:rPr>
      </w:pPr>
      <w:r>
        <w:rPr>
          <w:rFonts w:hint="eastAsia" w:ascii="宋体" w:hAnsi="宋体"/>
          <w:color w:val="auto"/>
          <w:highlight w:val="none"/>
          <w:u w:val="single"/>
        </w:rPr>
        <w:t>相关管理和配合服务（如有）：合同约定的各项管理内容且负责办理涉及工程建设期间的各类报批手续、组织评审会议。</w:t>
      </w:r>
    </w:p>
    <w:p>
      <w:pPr>
        <w:spacing w:beforeAutospacing="0" w:afterAutospacing="0" w:line="360" w:lineRule="auto"/>
        <w:ind w:firstLine="420"/>
        <w:rPr>
          <w:rFonts w:hint="eastAsia" w:ascii="宋体" w:hAnsi="宋体"/>
          <w:color w:val="auto"/>
          <w:highlight w:val="none"/>
          <w:lang w:val="en-US" w:eastAsia="zh-CN"/>
        </w:rPr>
      </w:pPr>
      <w:r>
        <w:rPr>
          <w:rFonts w:hint="eastAsia" w:ascii="宋体" w:hAnsi="宋体"/>
          <w:color w:val="auto"/>
          <w:highlight w:val="none"/>
          <w:lang w:val="en-US" w:eastAsia="zh-CN"/>
        </w:rPr>
        <w:t>2</w:t>
      </w:r>
      <w:r>
        <w:rPr>
          <w:rFonts w:hint="eastAsia" w:ascii="宋体" w:hAnsi="宋体"/>
          <w:color w:val="auto"/>
          <w:highlight w:val="none"/>
        </w:rPr>
        <w:t>.</w:t>
      </w:r>
      <w:r>
        <w:rPr>
          <w:rFonts w:hint="eastAsia" w:ascii="宋体" w:hAnsi="宋体"/>
          <w:color w:val="auto"/>
          <w:highlight w:val="none"/>
          <w:u w:val="single"/>
        </w:rPr>
        <w:t>工程造价咨询</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工作内容：</w:t>
      </w:r>
      <w:r>
        <w:rPr>
          <w:rFonts w:hint="eastAsia" w:ascii="宋体" w:hAnsi="宋体"/>
          <w:bCs/>
          <w:color w:val="auto"/>
          <w:highlight w:val="none"/>
          <w:u w:val="single"/>
        </w:rPr>
        <w:t>本项目全过程工程造价控制服务，包括（但不限于）制定造价控制、资金使用计划的实施方案，合同价款咨询（包括合同分析、合同交底、合同变更管理工作），施工阶段造价风险分析，编制工程量清单及招标控制价，负责工程量及进度款计量、签证和审核，施工合同范围内的材料和设备的询价、核价，为业主提供有关法律、法规的咨询意见，协助业主审核设计变更、现场签证及索赔管理，向业主提供造价控制动态分析报告，提供核价建议，工程造价动态管理，</w:t>
      </w:r>
      <w:r>
        <w:rPr>
          <w:rFonts w:hint="eastAsia" w:ascii="宋体" w:hAnsi="宋体" w:eastAsia="宋体"/>
          <w:i w:val="0"/>
          <w:iCs w:val="0"/>
          <w:color w:val="auto"/>
          <w:kern w:val="0"/>
          <w:sz w:val="22"/>
          <w:szCs w:val="22"/>
          <w:highlight w:val="none"/>
          <w:u w:val="single"/>
          <w:lang w:val="en-US" w:eastAsia="zh-CN" w:bidi="ar"/>
        </w:rPr>
        <w:t>项目竣工财务决算，</w:t>
      </w:r>
      <w:r>
        <w:rPr>
          <w:rFonts w:hint="eastAsia" w:ascii="宋体" w:hAnsi="宋体"/>
          <w:bCs/>
          <w:color w:val="auto"/>
          <w:highlight w:val="none"/>
          <w:u w:val="single"/>
        </w:rPr>
        <w:t>审核施工过程</w:t>
      </w:r>
      <w:r>
        <w:rPr>
          <w:rFonts w:hint="eastAsia" w:ascii="宋体" w:hAnsi="宋体"/>
          <w:bCs/>
          <w:color w:val="auto"/>
          <w:highlight w:val="none"/>
          <w:u w:val="single"/>
          <w:lang w:eastAsia="zh-CN"/>
        </w:rPr>
        <w:t>的</w:t>
      </w:r>
      <w:r>
        <w:rPr>
          <w:rFonts w:hint="eastAsia" w:ascii="宋体" w:hAnsi="宋体"/>
          <w:bCs/>
          <w:color w:val="auto"/>
          <w:highlight w:val="none"/>
          <w:u w:val="single"/>
        </w:rPr>
        <w:t>结算及竣工结算，配合完成竣工结算的第三方审</w:t>
      </w:r>
      <w:r>
        <w:rPr>
          <w:rFonts w:hint="eastAsia" w:ascii="宋体" w:hAnsi="宋体"/>
          <w:bCs/>
          <w:color w:val="auto"/>
          <w:highlight w:val="none"/>
          <w:u w:val="single"/>
          <w:lang w:val="en-US" w:eastAsia="zh-CN"/>
        </w:rPr>
        <w:t>价</w:t>
      </w:r>
      <w:r>
        <w:rPr>
          <w:rFonts w:hint="eastAsia" w:ascii="宋体" w:hAnsi="宋体"/>
          <w:bCs/>
          <w:color w:val="auto"/>
          <w:highlight w:val="none"/>
          <w:u w:val="single"/>
        </w:rPr>
        <w:t>工作，工程技术经济指标分析等施工阶段的全过程工程造价服务。</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成果文件：</w:t>
      </w:r>
      <w:r>
        <w:rPr>
          <w:rFonts w:hint="eastAsia" w:ascii="宋体" w:hAnsi="宋体"/>
          <w:color w:val="auto"/>
          <w:highlight w:val="none"/>
          <w:u w:val="single"/>
        </w:rPr>
        <w:t>根据服务内容按照《工程造价咨询企业服务清单》（CCEA/GC11-2019）、各管理部门及委托人要求提供各类咨询成果文件</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标准和要求：</w:t>
      </w:r>
      <w:r>
        <w:rPr>
          <w:rFonts w:hint="eastAsia" w:ascii="宋体" w:hAnsi="宋体"/>
          <w:color w:val="auto"/>
          <w:highlight w:val="none"/>
          <w:u w:val="single"/>
        </w:rPr>
        <w:t>《建设工程造价咨询规范》GB/T51095-2015、《工程造价咨询企业服务清单》CCEA/GC11-2019、《浙江省建设工程造价管理办法》 、《全过程工程咨询服务标准》DB33/T1202 -2020</w:t>
      </w:r>
      <w:r>
        <w:rPr>
          <w:rFonts w:hint="eastAsia" w:ascii="宋体" w:hAnsi="宋体"/>
          <w:bCs/>
          <w:color w:val="auto"/>
          <w:highlight w:val="none"/>
          <w:u w:val="single"/>
        </w:rPr>
        <w:t>以及现行造价咨询和全过程造价咨询服务相关标准和要求</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相关管理和配合服务（如有）：</w:t>
      </w:r>
      <w:r>
        <w:rPr>
          <w:rFonts w:hint="eastAsia" w:ascii="宋体" w:hAnsi="宋体"/>
          <w:color w:val="auto"/>
          <w:highlight w:val="none"/>
          <w:u w:val="single"/>
        </w:rPr>
        <w:t>负责造价咨询方面的各项管理工作，包括但不限于</w:t>
      </w:r>
      <w:r>
        <w:rPr>
          <w:rFonts w:hint="eastAsia" w:ascii="宋体" w:hAnsi="宋体"/>
          <w:color w:val="auto"/>
          <w:highlight w:val="none"/>
          <w:u w:val="single"/>
          <w:lang w:bidi="ar"/>
        </w:rPr>
        <w:t>造价控制管理、资金使用计划管理、签证及索赔管理（包括索赔和反索赔）、工程造价动态管理等；负责并配合委托人交办的属于造价咨询服务或与造价咨询服务有关的工作</w:t>
      </w:r>
      <w:r>
        <w:rPr>
          <w:rFonts w:hint="eastAsia" w:ascii="宋体" w:hAnsi="宋体"/>
          <w:color w:val="auto"/>
          <w:highlight w:val="none"/>
        </w:rPr>
        <w:t>。</w:t>
      </w:r>
    </w:p>
    <w:p>
      <w:pPr>
        <w:spacing w:beforeAutospacing="0" w:afterAutospacing="0" w:line="360" w:lineRule="auto"/>
        <w:ind w:firstLine="422"/>
        <w:rPr>
          <w:rFonts w:hint="eastAsia" w:ascii="宋体" w:hAnsi="宋体"/>
          <w:b/>
          <w:color w:val="auto"/>
          <w:highlight w:val="none"/>
          <w:lang w:val="en-US" w:eastAsia="zh-CN"/>
        </w:rPr>
      </w:pPr>
      <w:r>
        <w:rPr>
          <w:rFonts w:hint="eastAsia" w:ascii="宋体" w:hAnsi="宋体"/>
          <w:b/>
          <w:color w:val="auto"/>
          <w:highlight w:val="none"/>
          <w:lang w:val="en-US" w:eastAsia="zh-CN"/>
        </w:rPr>
        <w:t>二</w:t>
      </w:r>
      <w:r>
        <w:rPr>
          <w:rFonts w:hint="eastAsia" w:ascii="宋体" w:hAnsi="宋体"/>
          <w:b/>
          <w:color w:val="auto"/>
          <w:highlight w:val="none"/>
        </w:rPr>
        <w:t>、对政府投资项目全过程工程咨询服务的特别约定</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对于政府投资项目，咨询服务范围的描述还应包括如下内容：</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1.咨询人提交的服务成果除应符合本合同其他关于服务成果的约定外，还应符合在专用合同条件[第4条 服务要求和服务成果]中约定的行政主管部门关于工作深度的要求，如因未达到深度要求而被要求补充修改的，由咨询人承担责任，不适用第7条[变更和服务费用调整]的约定；</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2.咨询人在提供咨询服务时，应当以经批准的投资概算为限额，避免提供的服务成果突破经批准的投资概算，如因咨询人原因导致提供的服务成果突破经批准的投资概算，不适用第7条[变更和服务费用调整]的约定；</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咨询人负责造价咨询时，应确保其编制的投资概算、施工图预算、及审核的竣工结算具备真实性、准确性、完整性和具有时效性，并对项目建设全过程的造价控制进行监督管理，及时向委托人提示存在的造价超出概算的风险；</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5.咨询人应协助委托人配合行政管理部门开展项目的财政投资评审、审计、后评价等工作，对于行政管理部门提出的整改要求，应协助委托人进行整改；</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6.咨询人应协助委托人配合人大、纪检监察、司法、行政等相关部门对项目的事中事后监管工作，对于提出的意见、建议或要求，应协助委托人进行整改。</w:t>
      </w:r>
    </w:p>
    <w:p>
      <w:pPr>
        <w:spacing w:beforeAutospacing="0" w:afterAutospacing="0" w:line="360" w:lineRule="auto"/>
        <w:rPr>
          <w:rFonts w:hint="eastAsia" w:ascii="宋体" w:hAnsi="宋体"/>
          <w:color w:val="auto"/>
          <w:highlight w:val="none"/>
        </w:rPr>
      </w:pPr>
      <w:bookmarkStart w:id="571" w:name="_Ref522024485"/>
      <w:bookmarkEnd w:id="571"/>
      <w:bookmarkStart w:id="572" w:name="_Ref508799428"/>
      <w:bookmarkEnd w:id="572"/>
      <w:bookmarkStart w:id="573" w:name="_Ref508798783"/>
      <w:bookmarkEnd w:id="573"/>
      <w:bookmarkStart w:id="574" w:name="_Ref523405521"/>
      <w:bookmarkEnd w:id="574"/>
      <w:bookmarkStart w:id="575" w:name="_Ref509216267"/>
      <w:bookmarkEnd w:id="575"/>
      <w:bookmarkStart w:id="576" w:name="_Toc19928727"/>
      <w:bookmarkEnd w:id="576"/>
      <w:bookmarkStart w:id="577" w:name="_Ref521078368"/>
      <w:bookmarkEnd w:id="577"/>
      <w:bookmarkStart w:id="578" w:name="_Toc18156051"/>
      <w:bookmarkEnd w:id="578"/>
      <w:bookmarkStart w:id="579" w:name="_Ref508799422"/>
      <w:bookmarkEnd w:id="579"/>
      <w:bookmarkStart w:id="580" w:name="_Toc1735985570"/>
      <w:bookmarkEnd w:id="580"/>
      <w:bookmarkStart w:id="581" w:name="_Ref508798791"/>
      <w:bookmarkEnd w:id="581"/>
      <w:bookmarkStart w:id="582" w:name="_Ref521078387"/>
      <w:bookmarkEnd w:id="582"/>
      <w:r>
        <w:rPr>
          <w:rFonts w:hint="eastAsia" w:ascii="宋体" w:hAnsi="宋体"/>
          <w:color w:val="auto"/>
          <w:highlight w:val="none"/>
        </w:rPr>
        <w:br w:type="page"/>
      </w:r>
      <w:r>
        <w:rPr>
          <w:rFonts w:hint="eastAsia" w:ascii="宋体" w:hAnsi="宋体"/>
          <w:b/>
          <w:color w:val="auto"/>
          <w:highlight w:val="none"/>
        </w:rPr>
        <w:t>附件2 服务费用和支付</w:t>
      </w:r>
    </w:p>
    <w:p>
      <w:pPr>
        <w:pStyle w:val="82"/>
        <w:numPr>
          <w:ilvl w:val="0"/>
          <w:numId w:val="0"/>
        </w:numPr>
        <w:tabs>
          <w:tab w:val="clear" w:pos="1134"/>
        </w:tabs>
        <w:spacing w:beforeAutospacing="0" w:after="0" w:afterAutospacing="0"/>
        <w:ind w:left="400"/>
        <w:rPr>
          <w:rFonts w:hint="eastAsia"/>
          <w:color w:val="auto"/>
          <w:sz w:val="21"/>
          <w:szCs w:val="21"/>
          <w:highlight w:val="none"/>
        </w:rPr>
      </w:pPr>
    </w:p>
    <w:p>
      <w:pPr>
        <w:pStyle w:val="82"/>
        <w:numPr>
          <w:ilvl w:val="0"/>
          <w:numId w:val="0"/>
        </w:numPr>
        <w:tabs>
          <w:tab w:val="clear" w:pos="1134"/>
        </w:tabs>
        <w:spacing w:beforeAutospacing="0" w:after="0" w:afterAutospacing="0"/>
        <w:ind w:left="400"/>
        <w:rPr>
          <w:rFonts w:hint="eastAsia"/>
          <w:color w:val="auto"/>
          <w:sz w:val="21"/>
          <w:szCs w:val="21"/>
          <w:highlight w:val="none"/>
        </w:rPr>
      </w:pPr>
      <w:r>
        <w:rPr>
          <w:rFonts w:hint="eastAsia"/>
          <w:color w:val="auto"/>
          <w:sz w:val="21"/>
          <w:szCs w:val="21"/>
          <w:highlight w:val="none"/>
        </w:rPr>
        <w:t>一、服务费用的计取</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合同所列的服务费用均包含国家规定的增值税税金，税率税率以发票实际开出的税率为准。服务费用包括服务酬金、服务开支和奖励金额。具体计取方式如下：</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1.服务酬金</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双方同意按以下第</w:t>
      </w:r>
      <w:r>
        <w:rPr>
          <w:rFonts w:hint="eastAsia" w:ascii="宋体" w:hAnsi="宋体"/>
          <w:color w:val="auto"/>
          <w:highlight w:val="none"/>
          <w:u w:val="single"/>
        </w:rPr>
        <w:t xml:space="preserve"> 3 </w:t>
      </w:r>
      <w:r>
        <w:rPr>
          <w:rFonts w:hint="eastAsia" w:ascii="宋体" w:hAnsi="宋体"/>
          <w:color w:val="auto"/>
          <w:highlight w:val="none"/>
        </w:rPr>
        <w:t>种方式计算服务酬金。</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（3）按其他方式计取</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双方约定的服务酬金其他计取方式为：</w:t>
      </w:r>
      <w:r>
        <w:rPr>
          <w:rFonts w:hint="eastAsia" w:ascii="宋体" w:hAnsi="宋体"/>
          <w:color w:val="auto"/>
          <w:highlight w:val="none"/>
          <w:u w:val="single"/>
        </w:rPr>
        <w:t>按中标价包干</w:t>
      </w:r>
      <w:r>
        <w:rPr>
          <w:rFonts w:hint="eastAsia" w:ascii="宋体" w:hAnsi="宋体"/>
          <w:color w:val="auto"/>
          <w:highlight w:val="none"/>
        </w:rPr>
        <w:t>。</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2.服务开支</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上述服务酬金中已包含的服务开支包括</w:t>
      </w:r>
      <w:r>
        <w:rPr>
          <w:rFonts w:hint="eastAsia" w:ascii="宋体" w:hAnsi="宋体"/>
          <w:color w:val="auto"/>
          <w:highlight w:val="none"/>
          <w:u w:val="single"/>
        </w:rPr>
        <w:t>咨询人为完成本合同服务内容的所有酬金</w:t>
      </w:r>
      <w:r>
        <w:rPr>
          <w:rFonts w:hint="eastAsia" w:ascii="宋体" w:hAnsi="宋体"/>
          <w:color w:val="auto"/>
          <w:highlight w:val="none"/>
        </w:rPr>
        <w:t>。</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委托人应补偿咨询人除上述服务开支外为履行合同发生的其他合理服务开支，双方同意按</w:t>
      </w:r>
      <w:r>
        <w:rPr>
          <w:rFonts w:hint="eastAsia" w:ascii="宋体" w:hAnsi="宋体"/>
          <w:color w:val="auto"/>
          <w:highlight w:val="none"/>
          <w:u w:val="single"/>
        </w:rPr>
        <w:t>协商确定的金额</w:t>
      </w:r>
      <w:r>
        <w:rPr>
          <w:rFonts w:hint="eastAsia" w:ascii="宋体" w:hAnsi="宋体"/>
          <w:color w:val="auto"/>
          <w:highlight w:val="none"/>
        </w:rPr>
        <w:t>计取，预计为</w:t>
      </w:r>
      <w:r>
        <w:rPr>
          <w:rFonts w:hint="eastAsia" w:ascii="宋体" w:hAnsi="宋体"/>
          <w:color w:val="auto"/>
          <w:highlight w:val="none"/>
          <w:u w:val="single"/>
        </w:rPr>
        <w:t xml:space="preserve"> / </w:t>
      </w:r>
      <w:r>
        <w:rPr>
          <w:rFonts w:hint="eastAsia" w:ascii="宋体" w:hAnsi="宋体"/>
          <w:color w:val="auto"/>
          <w:highlight w:val="none"/>
        </w:rPr>
        <w:t>元。</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3. 奖励金额</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委托人对咨询人进行奖励采取以下第</w:t>
      </w:r>
      <w:r>
        <w:rPr>
          <w:rFonts w:hint="eastAsia" w:ascii="宋体" w:hAnsi="宋体"/>
          <w:color w:val="auto"/>
          <w:highlight w:val="none"/>
          <w:u w:val="single"/>
        </w:rPr>
        <w:t>2</w:t>
      </w:r>
      <w:r>
        <w:rPr>
          <w:rFonts w:hint="eastAsia" w:ascii="宋体" w:hAnsi="宋体"/>
          <w:color w:val="auto"/>
          <w:highlight w:val="none"/>
        </w:rPr>
        <w:t>种方式。</w:t>
      </w:r>
    </w:p>
    <w:p>
      <w:pPr>
        <w:spacing w:beforeAutospacing="0" w:afterAutospacing="0" w:line="360" w:lineRule="auto"/>
        <w:ind w:firstLine="422"/>
        <w:rPr>
          <w:rFonts w:hint="eastAsia" w:ascii="宋体" w:hAnsi="宋体"/>
          <w:b/>
          <w:color w:val="auto"/>
          <w:highlight w:val="none"/>
        </w:rPr>
      </w:pPr>
      <w:r>
        <w:rPr>
          <w:rFonts w:hint="eastAsia" w:ascii="宋体" w:hAnsi="宋体"/>
          <w:b/>
          <w:color w:val="auto"/>
          <w:highlight w:val="none"/>
        </w:rPr>
        <w:t>（2）双方约定的其他奖励方式</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不奖励</w:t>
      </w:r>
    </w:p>
    <w:p>
      <w:pPr>
        <w:pStyle w:val="82"/>
        <w:numPr>
          <w:ilvl w:val="0"/>
          <w:numId w:val="0"/>
        </w:numPr>
        <w:tabs>
          <w:tab w:val="clear" w:pos="1134"/>
        </w:tabs>
        <w:spacing w:beforeAutospacing="0" w:after="0" w:afterAutospacing="0"/>
        <w:ind w:firstLine="420" w:firstLineChars="200"/>
        <w:rPr>
          <w:rFonts w:hint="eastAsia"/>
          <w:b w:val="0"/>
          <w:color w:val="auto"/>
          <w:sz w:val="21"/>
          <w:szCs w:val="21"/>
          <w:highlight w:val="none"/>
        </w:rPr>
      </w:pPr>
      <w:r>
        <w:rPr>
          <w:rFonts w:hint="eastAsia"/>
          <w:b w:val="0"/>
          <w:color w:val="auto"/>
          <w:sz w:val="21"/>
          <w:szCs w:val="21"/>
          <w:highlight w:val="none"/>
        </w:rPr>
        <w:t>二、</w:t>
      </w:r>
      <w:r>
        <w:rPr>
          <w:rFonts w:hint="eastAsia"/>
          <w:color w:val="auto"/>
          <w:sz w:val="21"/>
          <w:szCs w:val="21"/>
          <w:highlight w:val="none"/>
        </w:rPr>
        <w:t>服务费用的变更和调整</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委托人与咨询人双方同意，按照以下第</w:t>
      </w:r>
      <w:r>
        <w:rPr>
          <w:rFonts w:hint="eastAsia" w:ascii="宋体" w:hAnsi="宋体"/>
          <w:color w:val="auto"/>
          <w:highlight w:val="none"/>
          <w:u w:val="single"/>
        </w:rPr>
        <w:t xml:space="preserve"> 3 </w:t>
      </w:r>
      <w:r>
        <w:rPr>
          <w:rFonts w:hint="eastAsia" w:ascii="宋体" w:hAnsi="宋体"/>
          <w:color w:val="auto"/>
          <w:highlight w:val="none"/>
        </w:rPr>
        <w:t>种方式计算第7条［</w:t>
      </w:r>
      <w:r>
        <w:rPr>
          <w:rFonts w:hint="eastAsia" w:ascii="宋体" w:hAnsi="宋体"/>
          <w:color w:val="auto"/>
          <w:highlight w:val="none"/>
        </w:rPr>
        <w:fldChar w:fldCharType="begin"/>
      </w:r>
      <w:r>
        <w:rPr>
          <w:rFonts w:hint="eastAsia" w:ascii="宋体" w:hAnsi="宋体"/>
          <w:color w:val="auto"/>
          <w:highlight w:val="none"/>
        </w:rPr>
        <w:instrText xml:space="preserve">REF _Ref14106185 \h \* MERGEFORMAT </w:instrText>
      </w:r>
      <w:r>
        <w:rPr>
          <w:rFonts w:hint="eastAsia" w:ascii="宋体" w:hAnsi="宋体"/>
          <w:color w:val="auto"/>
          <w:highlight w:val="none"/>
        </w:rPr>
        <w:fldChar w:fldCharType="separate"/>
      </w:r>
      <w:r>
        <w:rPr>
          <w:rFonts w:hint="eastAsia" w:ascii="宋体" w:hAnsi="宋体"/>
          <w:color w:val="auto"/>
          <w:highlight w:val="none"/>
        </w:rPr>
        <w:t>第7条</w:t>
      </w:r>
      <w:r>
        <w:rPr>
          <w:rFonts w:hint="eastAsia" w:ascii="宋体" w:hAnsi="宋体"/>
          <w:b/>
          <w:color w:val="auto"/>
          <w:highlight w:val="none"/>
        </w:rPr>
        <w:t xml:space="preserve"> 变更和服务费用调整</w:t>
      </w:r>
      <w:r>
        <w:rPr>
          <w:rFonts w:hint="eastAsia" w:ascii="宋体" w:hAnsi="宋体"/>
          <w:color w:val="auto"/>
          <w:highlight w:val="none"/>
        </w:rPr>
        <w:fldChar w:fldCharType="end"/>
      </w:r>
      <w:r>
        <w:rPr>
          <w:rFonts w:hint="eastAsia" w:ascii="宋体" w:hAnsi="宋体"/>
          <w:color w:val="auto"/>
          <w:highlight w:val="none"/>
        </w:rPr>
        <w:t>］的服务费用：</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1.对</w:t>
      </w:r>
      <w:r>
        <w:rPr>
          <w:rFonts w:hint="eastAsia" w:ascii="宋体" w:hAnsi="宋体"/>
          <w:color w:val="auto"/>
          <w:highlight w:val="none"/>
          <w:u w:val="single"/>
        </w:rPr>
        <w:t xml:space="preserve">  /  </w:t>
      </w:r>
      <w:r>
        <w:rPr>
          <w:rFonts w:hint="eastAsia" w:ascii="宋体" w:hAnsi="宋体"/>
          <w:color w:val="auto"/>
          <w:highlight w:val="none"/>
        </w:rPr>
        <w:t>服务（列出委托服务内容）按照咨询人员工日收费标准_____元/天；</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2.对</w:t>
      </w:r>
      <w:r>
        <w:rPr>
          <w:rFonts w:hint="eastAsia" w:ascii="宋体" w:hAnsi="宋体"/>
          <w:color w:val="auto"/>
          <w:highlight w:val="none"/>
          <w:u w:val="single"/>
        </w:rPr>
        <w:t xml:space="preserve">  /  </w:t>
      </w:r>
      <w:r>
        <w:rPr>
          <w:rFonts w:hint="eastAsia" w:ascii="宋体" w:hAnsi="宋体"/>
          <w:color w:val="auto"/>
          <w:highlight w:val="none"/>
        </w:rPr>
        <w:t>服务（列出委托服务内容）按照附件2（</w:t>
      </w:r>
      <w:r>
        <w:rPr>
          <w:rFonts w:hint="eastAsia" w:ascii="宋体" w:hAnsi="宋体"/>
          <w:color w:val="auto"/>
          <w:highlight w:val="none"/>
        </w:rPr>
        <w:fldChar w:fldCharType="begin"/>
      </w:r>
      <w:r>
        <w:rPr>
          <w:rFonts w:hint="eastAsia" w:ascii="宋体" w:hAnsi="宋体"/>
          <w:color w:val="auto"/>
          <w:highlight w:val="none"/>
        </w:rPr>
        <w:instrText xml:space="preserve"> REF _Ref522024485 \h  \* MERGEFORMAT </w:instrText>
      </w:r>
      <w:r>
        <w:rPr>
          <w:rFonts w:hint="eastAsia" w:ascii="宋体" w:hAnsi="宋体"/>
          <w:color w:val="auto"/>
          <w:highlight w:val="none"/>
        </w:rPr>
        <w:fldChar w:fldCharType="separate"/>
      </w:r>
      <w:r>
        <w:rPr>
          <w:rFonts w:hint="eastAsia" w:ascii="宋体" w:hAnsi="宋体"/>
          <w:color w:val="auto"/>
          <w:highlight w:val="none"/>
        </w:rPr>
        <w:t>附件2</w:t>
      </w:r>
      <w:r>
        <w:rPr>
          <w:rFonts w:hint="eastAsia" w:ascii="宋体" w:hAnsi="宋体"/>
          <w:b/>
          <w:color w:val="auto"/>
          <w:highlight w:val="none"/>
        </w:rPr>
        <w:t xml:space="preserve"> 服务费用和支付</w:t>
      </w:r>
      <w:r>
        <w:rPr>
          <w:rFonts w:hint="eastAsia" w:ascii="宋体" w:hAnsi="宋体"/>
          <w:color w:val="auto"/>
          <w:highlight w:val="none"/>
        </w:rPr>
        <w:fldChar w:fldCharType="end"/>
      </w:r>
      <w:r>
        <w:rPr>
          <w:rFonts w:hint="eastAsia" w:ascii="宋体" w:hAnsi="宋体"/>
          <w:color w:val="auto"/>
          <w:highlight w:val="none"/>
        </w:rPr>
        <w:t>）约定的相同或类似项目的取费标准确定；</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3.双方约定的其他标准：</w:t>
      </w:r>
      <w:r>
        <w:rPr>
          <w:rFonts w:hint="eastAsia" w:ascii="宋体" w:hAnsi="宋体"/>
          <w:color w:val="auto"/>
          <w:highlight w:val="none"/>
          <w:u w:val="single"/>
        </w:rPr>
        <w:t>服务费不调整；</w:t>
      </w:r>
    </w:p>
    <w:p>
      <w:pPr>
        <w:spacing w:beforeAutospacing="0" w:afterAutospacing="0" w:line="360" w:lineRule="auto"/>
        <w:ind w:firstLine="420"/>
        <w:rPr>
          <w:rFonts w:hint="eastAsia" w:ascii="宋体" w:hAnsi="宋体"/>
          <w:color w:val="auto"/>
          <w:highlight w:val="none"/>
        </w:rPr>
      </w:pPr>
      <w:r>
        <w:rPr>
          <w:rFonts w:hint="eastAsia" w:ascii="宋体" w:hAnsi="宋体"/>
          <w:color w:val="auto"/>
          <w:highlight w:val="none"/>
        </w:rPr>
        <w:t>4.对于约定额服务费用以外发生的费用，双方约定的计算标准</w:t>
      </w:r>
      <w:r>
        <w:rPr>
          <w:rFonts w:hint="eastAsia" w:ascii="宋体" w:hAnsi="宋体"/>
          <w:color w:val="auto"/>
          <w:highlight w:val="none"/>
          <w:u w:val="single"/>
        </w:rPr>
        <w:t xml:space="preserve">  另行协商  </w:t>
      </w:r>
      <w:r>
        <w:rPr>
          <w:rFonts w:hint="eastAsia" w:ascii="宋体" w:hAnsi="宋体"/>
          <w:color w:val="auto"/>
          <w:highlight w:val="none"/>
        </w:rPr>
        <w:t>。</w:t>
      </w:r>
    </w:p>
    <w:p>
      <w:pPr>
        <w:pStyle w:val="82"/>
        <w:numPr>
          <w:ilvl w:val="0"/>
          <w:numId w:val="0"/>
        </w:numPr>
        <w:tabs>
          <w:tab w:val="clear" w:pos="1134"/>
        </w:tabs>
        <w:spacing w:beforeAutospacing="0" w:after="0" w:afterAutospacing="0"/>
        <w:ind w:left="400"/>
        <w:rPr>
          <w:rFonts w:hint="eastAsia"/>
          <w:color w:val="auto"/>
          <w:sz w:val="21"/>
          <w:szCs w:val="21"/>
          <w:highlight w:val="none"/>
        </w:rPr>
      </w:pPr>
      <w:bookmarkStart w:id="583" w:name="_Toc521267479"/>
      <w:bookmarkEnd w:id="583"/>
      <w:r>
        <w:rPr>
          <w:rFonts w:hint="eastAsia"/>
          <w:color w:val="auto"/>
          <w:sz w:val="21"/>
          <w:szCs w:val="21"/>
          <w:highlight w:val="none"/>
        </w:rPr>
        <w:t>三、服务费用的支付</w:t>
      </w:r>
    </w:p>
    <w:p>
      <w:pPr>
        <w:spacing w:beforeAutospacing="0" w:afterAutospacing="0" w:line="360" w:lineRule="auto"/>
        <w:ind w:firstLine="417" w:firstLineChars="199"/>
        <w:rPr>
          <w:rFonts w:hint="eastAsia" w:ascii="宋体" w:hAnsi="宋体"/>
          <w:color w:val="auto"/>
          <w:highlight w:val="none"/>
        </w:rPr>
      </w:pPr>
      <w:r>
        <w:rPr>
          <w:rFonts w:hint="eastAsia" w:ascii="宋体" w:hAnsi="宋体"/>
          <w:color w:val="auto"/>
          <w:highlight w:val="none"/>
        </w:rPr>
        <w:t>双方约定按照以下方式支付服务费用：</w:t>
      </w:r>
    </w:p>
    <w:tbl>
      <w:tblPr>
        <w:tblStyle w:val="8"/>
        <w:tblW w:w="84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24"/>
        <w:gridCol w:w="3002"/>
        <w:gridCol w:w="41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2" w:hRule="atLeast"/>
          <w:jc w:val="center"/>
        </w:trPr>
        <w:tc>
          <w:tcPr>
            <w:tcW w:w="1324" w:type="dxa"/>
            <w:vAlign w:val="center"/>
          </w:tcPr>
          <w:p>
            <w:pPr>
              <w:spacing w:beforeAutospacing="0" w:afterAutospacing="0" w:line="360" w:lineRule="auto"/>
              <w:jc w:val="center"/>
              <w:rPr>
                <w:rFonts w:hint="eastAsia" w:ascii="宋体" w:hAnsi="宋体"/>
                <w:color w:val="auto"/>
                <w:kern w:val="0"/>
                <w:highlight w:val="none"/>
                <w:lang w:val="zh-CN"/>
              </w:rPr>
            </w:pPr>
            <w:r>
              <w:rPr>
                <w:rFonts w:hint="eastAsia" w:ascii="宋体" w:hAnsi="宋体"/>
                <w:color w:val="auto"/>
                <w:kern w:val="0"/>
                <w:highlight w:val="none"/>
                <w:lang w:val="zh-CN"/>
              </w:rPr>
              <w:t>支付次数</w:t>
            </w:r>
          </w:p>
        </w:tc>
        <w:tc>
          <w:tcPr>
            <w:tcW w:w="3002" w:type="dxa"/>
            <w:vAlign w:val="center"/>
          </w:tcPr>
          <w:p>
            <w:pPr>
              <w:spacing w:beforeAutospacing="0" w:afterAutospacing="0" w:line="360" w:lineRule="auto"/>
              <w:ind w:firstLine="420"/>
              <w:jc w:val="center"/>
              <w:rPr>
                <w:rFonts w:hint="eastAsia" w:ascii="宋体" w:hAnsi="宋体"/>
                <w:color w:val="auto"/>
                <w:kern w:val="0"/>
                <w:highlight w:val="none"/>
                <w:lang w:val="zh-CN"/>
              </w:rPr>
            </w:pPr>
            <w:r>
              <w:rPr>
                <w:rFonts w:hint="eastAsia" w:ascii="宋体" w:hAnsi="宋体"/>
                <w:color w:val="auto"/>
                <w:kern w:val="0"/>
                <w:highlight w:val="none"/>
                <w:lang w:val="zh-CN"/>
              </w:rPr>
              <w:t>支付时间</w:t>
            </w:r>
          </w:p>
        </w:tc>
        <w:tc>
          <w:tcPr>
            <w:tcW w:w="4154" w:type="dxa"/>
            <w:vAlign w:val="center"/>
          </w:tcPr>
          <w:p>
            <w:pPr>
              <w:spacing w:beforeAutospacing="0" w:afterAutospacing="0" w:line="360" w:lineRule="auto"/>
              <w:ind w:firstLine="420"/>
              <w:jc w:val="center"/>
              <w:rPr>
                <w:rFonts w:hint="eastAsia" w:ascii="宋体" w:hAnsi="宋体"/>
                <w:color w:val="auto"/>
                <w:kern w:val="0"/>
                <w:highlight w:val="none"/>
                <w:lang w:val="zh-CN"/>
              </w:rPr>
            </w:pPr>
            <w:r>
              <w:rPr>
                <w:rFonts w:hint="eastAsia" w:ascii="宋体" w:hAnsi="宋体"/>
                <w:color w:val="auto"/>
                <w:kern w:val="0"/>
                <w:highlight w:val="none"/>
                <w:lang w:val="zh-CN"/>
              </w:rPr>
              <w:t>支付比例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1324" w:type="dxa"/>
            <w:vAlign w:val="center"/>
          </w:tcPr>
          <w:p>
            <w:pPr>
              <w:spacing w:beforeAutospacing="0" w:afterAutospacing="0" w:line="360" w:lineRule="auto"/>
              <w:jc w:val="center"/>
              <w:rPr>
                <w:rFonts w:hint="eastAsia" w:ascii="宋体" w:hAnsi="宋体"/>
                <w:color w:val="auto"/>
                <w:kern w:val="0"/>
                <w:highlight w:val="none"/>
                <w:lang w:val="zh-CN"/>
              </w:rPr>
            </w:pPr>
            <w:r>
              <w:rPr>
                <w:rFonts w:hint="eastAsia" w:ascii="宋体" w:hAnsi="宋体"/>
                <w:color w:val="auto"/>
                <w:kern w:val="0"/>
                <w:highlight w:val="none"/>
                <w:lang w:val="zh-CN"/>
              </w:rPr>
              <w:t>首付款</w:t>
            </w:r>
          </w:p>
        </w:tc>
        <w:tc>
          <w:tcPr>
            <w:tcW w:w="3002" w:type="dxa"/>
            <w:vAlign w:val="center"/>
          </w:tcPr>
          <w:p>
            <w:pPr>
              <w:spacing w:beforeAutospacing="0" w:afterAutospacing="0" w:line="360" w:lineRule="auto"/>
              <w:rPr>
                <w:rFonts w:hint="eastAsia" w:ascii="宋体" w:hAnsi="宋体"/>
                <w:color w:val="auto"/>
                <w:kern w:val="0"/>
                <w:highlight w:val="none"/>
                <w:lang w:val="zh-CN"/>
              </w:rPr>
            </w:pPr>
            <w:r>
              <w:rPr>
                <w:rFonts w:hint="eastAsia" w:ascii="宋体" w:hAnsi="宋体"/>
                <w:color w:val="auto"/>
                <w:kern w:val="0"/>
                <w:highlight w:val="none"/>
                <w:lang w:val="zh-CN"/>
              </w:rPr>
              <w:t>合同签订及工程咨询人提交履约担保后15天内</w:t>
            </w:r>
          </w:p>
        </w:tc>
        <w:tc>
          <w:tcPr>
            <w:tcW w:w="4154" w:type="dxa"/>
            <w:vAlign w:val="center"/>
          </w:tcPr>
          <w:p>
            <w:pPr>
              <w:spacing w:beforeAutospacing="0" w:afterAutospacing="0" w:line="360" w:lineRule="auto"/>
              <w:jc w:val="center"/>
              <w:rPr>
                <w:rFonts w:hint="eastAsia" w:ascii="宋体" w:hAnsi="宋体"/>
                <w:color w:val="auto"/>
                <w:kern w:val="0"/>
                <w:highlight w:val="none"/>
                <w:lang w:val="zh-CN"/>
              </w:rPr>
            </w:pPr>
            <w:r>
              <w:rPr>
                <w:rFonts w:hint="eastAsia" w:ascii="宋体" w:hAnsi="宋体"/>
                <w:color w:val="auto"/>
                <w:kern w:val="0"/>
                <w:highlight w:val="none"/>
                <w:lang w:val="zh-CN"/>
              </w:rPr>
              <w:t>预付签约合同价服务费的10；</w:t>
            </w:r>
            <w:r>
              <w:rPr>
                <w:rFonts w:hint="eastAsia" w:ascii="宋体" w:hAnsi="宋体"/>
                <w:color w:val="auto"/>
                <w:kern w:val="0"/>
                <w:highlight w:val="none"/>
              </w:rPr>
              <w:t>预付款扣回：在每次支付服务费进度款时按比例扣回，</w:t>
            </w:r>
            <w:r>
              <w:rPr>
                <w:rFonts w:hint="eastAsia" w:ascii="宋体" w:hAnsi="宋体"/>
                <w:color w:val="auto"/>
                <w:highlight w:val="none"/>
              </w:rPr>
              <w:t>工程结算且咨询单位提交</w:t>
            </w:r>
            <w:r>
              <w:rPr>
                <w:rFonts w:hint="eastAsia" w:ascii="宋体" w:hAnsi="宋体"/>
                <w:color w:val="auto"/>
                <w:highlight w:val="none"/>
                <w:lang w:val="en-US" w:eastAsia="zh-CN"/>
              </w:rPr>
              <w:t>完整</w:t>
            </w:r>
            <w:r>
              <w:rPr>
                <w:rFonts w:hint="eastAsia" w:ascii="宋体" w:hAnsi="宋体"/>
                <w:color w:val="auto"/>
                <w:highlight w:val="none"/>
              </w:rPr>
              <w:t>资料并完成备案后，余款付清时扣回剩余全部预付款。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jc w:val="center"/>
        </w:trPr>
        <w:tc>
          <w:tcPr>
            <w:tcW w:w="1324" w:type="dxa"/>
            <w:vAlign w:val="center"/>
          </w:tcPr>
          <w:p>
            <w:pPr>
              <w:spacing w:beforeAutospacing="0" w:afterAutospacing="0" w:line="360" w:lineRule="auto"/>
              <w:jc w:val="center"/>
              <w:rPr>
                <w:rFonts w:hint="eastAsia" w:ascii="宋体" w:hAnsi="宋体"/>
                <w:color w:val="auto"/>
                <w:kern w:val="0"/>
                <w:highlight w:val="none"/>
                <w:lang w:val="zh-CN"/>
              </w:rPr>
            </w:pPr>
            <w:r>
              <w:rPr>
                <w:rFonts w:hint="eastAsia" w:ascii="宋体" w:hAnsi="宋体"/>
                <w:color w:val="auto"/>
                <w:kern w:val="0"/>
                <w:highlight w:val="none"/>
                <w:lang w:val="zh-CN"/>
              </w:rPr>
              <w:t>中间付款</w:t>
            </w:r>
          </w:p>
        </w:tc>
        <w:tc>
          <w:tcPr>
            <w:tcW w:w="3002" w:type="dxa"/>
            <w:vAlign w:val="center"/>
          </w:tcPr>
          <w:p>
            <w:pPr>
              <w:spacing w:beforeAutospacing="0" w:afterAutospacing="0" w:line="360" w:lineRule="auto"/>
              <w:rPr>
                <w:rFonts w:hint="eastAsia" w:ascii="宋体" w:hAnsi="宋体"/>
                <w:color w:val="auto"/>
                <w:highlight w:val="none"/>
              </w:rPr>
            </w:pPr>
            <w:r>
              <w:rPr>
                <w:rFonts w:hint="eastAsia" w:ascii="宋体" w:hAnsi="宋体"/>
                <w:color w:val="auto"/>
                <w:highlight w:val="none"/>
              </w:rPr>
              <w:t>每季度</w:t>
            </w:r>
          </w:p>
        </w:tc>
        <w:tc>
          <w:tcPr>
            <w:tcW w:w="4154" w:type="dxa"/>
            <w:vAlign w:val="top"/>
          </w:tcPr>
          <w:p>
            <w:pPr>
              <w:spacing w:beforeAutospacing="0" w:afterAutospacing="0" w:line="360" w:lineRule="auto"/>
              <w:rPr>
                <w:rFonts w:hint="eastAsia" w:ascii="宋体" w:hAnsi="宋体"/>
                <w:color w:val="auto"/>
                <w:highlight w:val="none"/>
              </w:rPr>
            </w:pPr>
            <w:r>
              <w:rPr>
                <w:rFonts w:hint="eastAsia" w:ascii="宋体" w:hAnsi="宋体"/>
                <w:color w:val="auto"/>
                <w:highlight w:val="none"/>
              </w:rPr>
              <w:t>服务费进度支付按照每季度实际完成施工工程量比例×服务费×80%为本季度应核拨的项目服务费进度款，该进度款在下季度第一个月的10日前支付，累计支付至本工程服务费合同价款的80％时暂停支付，工程结算且咨询单位提交</w:t>
            </w:r>
            <w:r>
              <w:rPr>
                <w:rFonts w:hint="eastAsia" w:ascii="宋体" w:hAnsi="宋体"/>
                <w:color w:val="auto"/>
                <w:highlight w:val="none"/>
                <w:lang w:val="en-US" w:eastAsia="zh-CN"/>
              </w:rPr>
              <w:t>完整</w:t>
            </w:r>
            <w:r>
              <w:rPr>
                <w:rFonts w:hint="eastAsia" w:ascii="宋体" w:hAnsi="宋体"/>
                <w:color w:val="auto"/>
                <w:highlight w:val="none"/>
              </w:rPr>
              <w:t>资料并完成备案后，除留1.5%质量保证金外。余款付清，同时退还履约保证金；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7" w:hRule="atLeast"/>
          <w:jc w:val="center"/>
        </w:trPr>
        <w:tc>
          <w:tcPr>
            <w:tcW w:w="1324" w:type="dxa"/>
            <w:vAlign w:val="center"/>
          </w:tcPr>
          <w:p>
            <w:pPr>
              <w:spacing w:beforeAutospacing="0" w:afterAutospacing="0" w:line="360" w:lineRule="auto"/>
              <w:rPr>
                <w:rFonts w:hint="eastAsia" w:ascii="宋体" w:hAnsi="宋体"/>
                <w:color w:val="auto"/>
                <w:kern w:val="0"/>
                <w:highlight w:val="none"/>
                <w:lang w:val="zh-CN"/>
              </w:rPr>
            </w:pPr>
            <w:r>
              <w:rPr>
                <w:rFonts w:hint="eastAsia" w:ascii="宋体" w:hAnsi="宋体"/>
                <w:color w:val="auto"/>
                <w:kern w:val="0"/>
                <w:highlight w:val="none"/>
                <w:lang w:val="zh-CN"/>
              </w:rPr>
              <w:t>最后付款</w:t>
            </w:r>
          </w:p>
        </w:tc>
        <w:tc>
          <w:tcPr>
            <w:tcW w:w="3002" w:type="dxa"/>
            <w:vAlign w:val="center"/>
          </w:tcPr>
          <w:p>
            <w:pPr>
              <w:spacing w:beforeAutospacing="0" w:afterAutospacing="0" w:line="360" w:lineRule="auto"/>
              <w:rPr>
                <w:rFonts w:hint="eastAsia" w:ascii="宋体" w:hAnsi="宋体"/>
                <w:color w:val="auto"/>
                <w:kern w:val="0"/>
                <w:highlight w:val="none"/>
                <w:lang w:val="zh-CN"/>
              </w:rPr>
            </w:pPr>
            <w:r>
              <w:rPr>
                <w:rFonts w:hint="eastAsia" w:ascii="宋体" w:hAnsi="宋体"/>
                <w:color w:val="auto"/>
                <w:kern w:val="0"/>
                <w:highlight w:val="none"/>
                <w:lang w:val="zh-CN"/>
              </w:rPr>
              <w:t>承包人提交质量保证金保函（银行或保险）</w:t>
            </w:r>
            <w:r>
              <w:rPr>
                <w:rFonts w:hint="eastAsia" w:ascii="宋体" w:hAnsi="宋体"/>
                <w:color w:val="auto"/>
                <w:kern w:val="0"/>
                <w:highlight w:val="none"/>
              </w:rPr>
              <w:t>或</w:t>
            </w:r>
            <w:r>
              <w:rPr>
                <w:rFonts w:hint="eastAsia" w:ascii="宋体" w:hAnsi="宋体"/>
                <w:color w:val="auto"/>
                <w:kern w:val="0"/>
                <w:highlight w:val="none"/>
                <w:lang w:val="zh-CN"/>
              </w:rPr>
              <w:t>工程缺陷责任期两年满无质量问题的</w:t>
            </w:r>
          </w:p>
        </w:tc>
        <w:tc>
          <w:tcPr>
            <w:tcW w:w="4154" w:type="dxa"/>
            <w:vAlign w:val="center"/>
          </w:tcPr>
          <w:p>
            <w:pPr>
              <w:spacing w:beforeAutospacing="0" w:afterAutospacing="0" w:line="360" w:lineRule="auto"/>
              <w:rPr>
                <w:rFonts w:hint="eastAsia" w:ascii="宋体" w:hAnsi="宋体"/>
                <w:color w:val="auto"/>
                <w:kern w:val="0"/>
                <w:highlight w:val="none"/>
                <w:lang w:val="zh-CN"/>
              </w:rPr>
            </w:pPr>
            <w:r>
              <w:rPr>
                <w:rFonts w:hint="eastAsia" w:ascii="宋体" w:hAnsi="宋体"/>
                <w:color w:val="auto"/>
                <w:kern w:val="0"/>
                <w:highlight w:val="none"/>
                <w:lang w:val="zh-CN"/>
              </w:rPr>
              <w:t>一周内付</w:t>
            </w:r>
            <w:r>
              <w:rPr>
                <w:rFonts w:hint="eastAsia" w:ascii="宋体" w:hAnsi="宋体"/>
                <w:color w:val="auto"/>
                <w:kern w:val="0"/>
                <w:highlight w:val="none"/>
              </w:rPr>
              <w:t>退还</w:t>
            </w:r>
            <w:r>
              <w:rPr>
                <w:rFonts w:hint="eastAsia" w:ascii="宋体" w:hAnsi="宋体"/>
                <w:color w:val="auto"/>
                <w:highlight w:val="none"/>
              </w:rPr>
              <w:t>质量保证金（1.5%）</w:t>
            </w:r>
          </w:p>
        </w:tc>
      </w:tr>
    </w:tbl>
    <w:p>
      <w:pPr>
        <w:spacing w:beforeAutospacing="0" w:afterAutospacing="0" w:line="360" w:lineRule="auto"/>
        <w:rPr>
          <w:rFonts w:hint="eastAsia" w:ascii="宋体" w:hAnsi="宋体"/>
          <w:color w:val="auto"/>
          <w:highlight w:val="none"/>
        </w:rPr>
      </w:pPr>
    </w:p>
    <w:p>
      <w:pPr>
        <w:spacing w:beforeAutospacing="0" w:afterAutospacing="0" w:line="360" w:lineRule="auto"/>
        <w:rPr>
          <w:rFonts w:hint="eastAsia" w:ascii="宋体" w:hAnsi="宋体"/>
          <w:color w:val="auto"/>
          <w:highlight w:val="none"/>
        </w:rPr>
      </w:pPr>
      <w:bookmarkStart w:id="584" w:name="_Toc1983403350"/>
      <w:bookmarkEnd w:id="584"/>
      <w:bookmarkStart w:id="585" w:name="_Ref18241628"/>
      <w:bookmarkEnd w:id="585"/>
      <w:bookmarkStart w:id="586" w:name="_Toc888667337"/>
      <w:bookmarkEnd w:id="586"/>
      <w:r>
        <w:rPr>
          <w:rFonts w:hint="eastAsia" w:ascii="宋体" w:hAnsi="宋体"/>
          <w:color w:val="auto"/>
          <w:highlight w:val="none"/>
        </w:rPr>
        <w:br w:type="page"/>
      </w:r>
      <w:r>
        <w:rPr>
          <w:rFonts w:hint="eastAsia" w:ascii="宋体" w:hAnsi="宋体"/>
          <w:b/>
          <w:color w:val="auto"/>
          <w:highlight w:val="none"/>
        </w:rPr>
        <w:t>附件3 进度计划</w:t>
      </w:r>
    </w:p>
    <w:p>
      <w:pPr>
        <w:pStyle w:val="82"/>
        <w:numPr>
          <w:ilvl w:val="0"/>
          <w:numId w:val="0"/>
        </w:numPr>
        <w:tabs>
          <w:tab w:val="clear" w:pos="1134"/>
        </w:tabs>
        <w:spacing w:beforeAutospacing="0" w:after="120" w:afterAutospacing="0"/>
        <w:rPr>
          <w:rFonts w:hint="eastAsia"/>
          <w:color w:val="auto"/>
          <w:sz w:val="21"/>
          <w:szCs w:val="21"/>
          <w:highlight w:val="none"/>
        </w:rPr>
      </w:pPr>
    </w:p>
    <w:p>
      <w:pPr>
        <w:pStyle w:val="82"/>
        <w:numPr>
          <w:ilvl w:val="0"/>
          <w:numId w:val="0"/>
        </w:numPr>
        <w:tabs>
          <w:tab w:val="clear" w:pos="1134"/>
        </w:tabs>
        <w:spacing w:beforeAutospacing="0" w:after="120" w:afterAutospacing="0"/>
        <w:rPr>
          <w:rFonts w:hint="eastAsia"/>
          <w:color w:val="auto"/>
          <w:sz w:val="21"/>
          <w:szCs w:val="21"/>
          <w:highlight w:val="none"/>
        </w:rPr>
      </w:pPr>
      <w:r>
        <w:rPr>
          <w:rFonts w:hint="eastAsia"/>
          <w:color w:val="auto"/>
          <w:sz w:val="21"/>
          <w:szCs w:val="21"/>
          <w:highlight w:val="none"/>
        </w:rPr>
        <w:t>一、咨询人向委托人提供服务的顺序和时间</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1"/>
        <w:gridCol w:w="3990"/>
        <w:gridCol w:w="1732"/>
        <w:gridCol w:w="24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831"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序号</w:t>
            </w:r>
          </w:p>
        </w:tc>
        <w:tc>
          <w:tcPr>
            <w:tcW w:w="3990"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内容</w:t>
            </w:r>
          </w:p>
        </w:tc>
        <w:tc>
          <w:tcPr>
            <w:tcW w:w="1732"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开始日期</w:t>
            </w:r>
          </w:p>
        </w:tc>
        <w:tc>
          <w:tcPr>
            <w:tcW w:w="2499"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完成日期</w:t>
            </w:r>
          </w:p>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（服务成果交付日期）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831" w:type="dxa"/>
            <w:vAlign w:val="center"/>
          </w:tcPr>
          <w:p>
            <w:pPr>
              <w:pStyle w:val="24"/>
              <w:jc w:val="center"/>
              <w:rPr>
                <w:rFonts w:hint="eastAsia"/>
                <w:color w:val="auto"/>
                <w:sz w:val="21"/>
                <w:szCs w:val="21"/>
                <w:highlight w:val="none"/>
              </w:rPr>
            </w:pPr>
            <w:r>
              <w:rPr>
                <w:rFonts w:hint="eastAsia"/>
                <w:color w:val="auto"/>
                <w:sz w:val="21"/>
                <w:szCs w:val="21"/>
                <w:highlight w:val="none"/>
              </w:rPr>
              <w:t>1</w:t>
            </w:r>
          </w:p>
        </w:tc>
        <w:tc>
          <w:tcPr>
            <w:tcW w:w="3990" w:type="dxa"/>
            <w:vAlign w:val="center"/>
          </w:tcPr>
          <w:p>
            <w:pPr>
              <w:pStyle w:val="24"/>
              <w:rPr>
                <w:rFonts w:hint="eastAsia"/>
                <w:color w:val="auto"/>
                <w:sz w:val="21"/>
                <w:szCs w:val="21"/>
                <w:highlight w:val="none"/>
              </w:rPr>
            </w:pPr>
          </w:p>
        </w:tc>
        <w:tc>
          <w:tcPr>
            <w:tcW w:w="1732" w:type="dxa"/>
            <w:vAlign w:val="center"/>
          </w:tcPr>
          <w:p>
            <w:pPr>
              <w:pStyle w:val="24"/>
              <w:rPr>
                <w:rFonts w:hint="eastAsia"/>
                <w:color w:val="auto"/>
                <w:sz w:val="21"/>
                <w:szCs w:val="21"/>
                <w:highlight w:val="none"/>
              </w:rPr>
            </w:pPr>
          </w:p>
        </w:tc>
        <w:tc>
          <w:tcPr>
            <w:tcW w:w="2499" w:type="dxa"/>
            <w:vAlign w:val="center"/>
          </w:tcPr>
          <w:p>
            <w:pPr>
              <w:pStyle w:val="24"/>
              <w:rPr>
                <w:rFonts w:hint="eastAsia"/>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831" w:type="dxa"/>
            <w:vAlign w:val="center"/>
          </w:tcPr>
          <w:p>
            <w:pPr>
              <w:pStyle w:val="24"/>
              <w:jc w:val="center"/>
              <w:rPr>
                <w:rFonts w:hint="eastAsia"/>
                <w:color w:val="auto"/>
                <w:sz w:val="21"/>
                <w:szCs w:val="21"/>
                <w:highlight w:val="none"/>
              </w:rPr>
            </w:pPr>
            <w:r>
              <w:rPr>
                <w:rFonts w:hint="eastAsia"/>
                <w:color w:val="auto"/>
                <w:sz w:val="21"/>
                <w:szCs w:val="21"/>
                <w:highlight w:val="none"/>
              </w:rPr>
              <w:t>2</w:t>
            </w:r>
          </w:p>
        </w:tc>
        <w:tc>
          <w:tcPr>
            <w:tcW w:w="3990" w:type="dxa"/>
            <w:vAlign w:val="center"/>
          </w:tcPr>
          <w:p>
            <w:pPr>
              <w:pStyle w:val="24"/>
              <w:rPr>
                <w:rFonts w:hint="eastAsia"/>
                <w:color w:val="auto"/>
                <w:sz w:val="21"/>
                <w:szCs w:val="21"/>
                <w:highlight w:val="none"/>
              </w:rPr>
            </w:pPr>
          </w:p>
        </w:tc>
        <w:tc>
          <w:tcPr>
            <w:tcW w:w="1732" w:type="dxa"/>
            <w:vAlign w:val="center"/>
          </w:tcPr>
          <w:p>
            <w:pPr>
              <w:pStyle w:val="24"/>
              <w:rPr>
                <w:rFonts w:hint="eastAsia"/>
                <w:color w:val="auto"/>
                <w:sz w:val="21"/>
                <w:szCs w:val="21"/>
                <w:highlight w:val="none"/>
              </w:rPr>
            </w:pPr>
          </w:p>
        </w:tc>
        <w:tc>
          <w:tcPr>
            <w:tcW w:w="2499" w:type="dxa"/>
            <w:vAlign w:val="center"/>
          </w:tcPr>
          <w:p>
            <w:pPr>
              <w:pStyle w:val="24"/>
              <w:rPr>
                <w:rFonts w:hint="eastAsia"/>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624" w:hRule="atLeast"/>
          <w:jc w:val="center"/>
        </w:trPr>
        <w:tc>
          <w:tcPr>
            <w:tcW w:w="831" w:type="dxa"/>
            <w:vAlign w:val="center"/>
          </w:tcPr>
          <w:p>
            <w:pPr>
              <w:pStyle w:val="24"/>
              <w:jc w:val="center"/>
              <w:rPr>
                <w:rFonts w:hint="eastAsia"/>
                <w:color w:val="auto"/>
                <w:sz w:val="21"/>
                <w:szCs w:val="21"/>
                <w:highlight w:val="none"/>
              </w:rPr>
            </w:pPr>
            <w:r>
              <w:rPr>
                <w:rFonts w:hint="eastAsia"/>
                <w:color w:val="auto"/>
                <w:sz w:val="21"/>
                <w:szCs w:val="21"/>
                <w:highlight w:val="none"/>
              </w:rPr>
              <w:t>3</w:t>
            </w:r>
          </w:p>
        </w:tc>
        <w:tc>
          <w:tcPr>
            <w:tcW w:w="3990" w:type="dxa"/>
            <w:vAlign w:val="center"/>
          </w:tcPr>
          <w:p>
            <w:pPr>
              <w:pStyle w:val="24"/>
              <w:rPr>
                <w:rFonts w:hint="eastAsia"/>
                <w:color w:val="auto"/>
                <w:sz w:val="21"/>
                <w:szCs w:val="21"/>
                <w:highlight w:val="none"/>
              </w:rPr>
            </w:pPr>
          </w:p>
        </w:tc>
        <w:tc>
          <w:tcPr>
            <w:tcW w:w="1732" w:type="dxa"/>
            <w:vAlign w:val="center"/>
          </w:tcPr>
          <w:p>
            <w:pPr>
              <w:pStyle w:val="24"/>
              <w:rPr>
                <w:rFonts w:hint="eastAsia"/>
                <w:color w:val="auto"/>
                <w:sz w:val="21"/>
                <w:szCs w:val="21"/>
                <w:highlight w:val="none"/>
              </w:rPr>
            </w:pPr>
          </w:p>
        </w:tc>
        <w:tc>
          <w:tcPr>
            <w:tcW w:w="2499" w:type="dxa"/>
            <w:vAlign w:val="center"/>
          </w:tcPr>
          <w:p>
            <w:pPr>
              <w:pStyle w:val="24"/>
              <w:rPr>
                <w:rFonts w:hint="eastAsia"/>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4" w:hRule="atLeast"/>
          <w:jc w:val="center"/>
        </w:trPr>
        <w:tc>
          <w:tcPr>
            <w:tcW w:w="831" w:type="dxa"/>
            <w:vAlign w:val="center"/>
          </w:tcPr>
          <w:p>
            <w:pPr>
              <w:pStyle w:val="24"/>
              <w:jc w:val="center"/>
              <w:rPr>
                <w:rFonts w:hint="eastAsia"/>
                <w:color w:val="auto"/>
                <w:sz w:val="21"/>
                <w:szCs w:val="21"/>
                <w:highlight w:val="none"/>
              </w:rPr>
            </w:pPr>
            <w:r>
              <w:rPr>
                <w:rFonts w:hint="eastAsia"/>
                <w:color w:val="auto"/>
                <w:sz w:val="21"/>
                <w:szCs w:val="21"/>
                <w:highlight w:val="none"/>
              </w:rPr>
              <w:t>…</w:t>
            </w:r>
          </w:p>
        </w:tc>
        <w:tc>
          <w:tcPr>
            <w:tcW w:w="3990" w:type="dxa"/>
            <w:vAlign w:val="center"/>
          </w:tcPr>
          <w:p>
            <w:pPr>
              <w:pStyle w:val="24"/>
              <w:rPr>
                <w:rFonts w:hint="eastAsia"/>
                <w:color w:val="auto"/>
                <w:sz w:val="21"/>
                <w:szCs w:val="21"/>
                <w:highlight w:val="none"/>
              </w:rPr>
            </w:pPr>
          </w:p>
        </w:tc>
        <w:tc>
          <w:tcPr>
            <w:tcW w:w="1732" w:type="dxa"/>
            <w:vAlign w:val="center"/>
          </w:tcPr>
          <w:p>
            <w:pPr>
              <w:pStyle w:val="24"/>
              <w:rPr>
                <w:rFonts w:hint="eastAsia"/>
                <w:color w:val="auto"/>
                <w:sz w:val="21"/>
                <w:szCs w:val="21"/>
                <w:highlight w:val="none"/>
              </w:rPr>
            </w:pPr>
          </w:p>
        </w:tc>
        <w:tc>
          <w:tcPr>
            <w:tcW w:w="2499" w:type="dxa"/>
            <w:vAlign w:val="center"/>
          </w:tcPr>
          <w:p>
            <w:pPr>
              <w:pStyle w:val="24"/>
              <w:rPr>
                <w:rFonts w:hint="eastAsia"/>
                <w:color w:val="auto"/>
                <w:sz w:val="21"/>
                <w:szCs w:val="21"/>
                <w:highlight w:val="none"/>
              </w:rPr>
            </w:pPr>
          </w:p>
        </w:tc>
      </w:tr>
    </w:tbl>
    <w:p>
      <w:pPr>
        <w:spacing w:beforeAutospacing="0" w:after="120" w:afterAutospacing="0" w:line="360" w:lineRule="auto"/>
        <w:ind w:firstLine="420"/>
        <w:rPr>
          <w:rFonts w:hint="eastAsia" w:ascii="宋体" w:hAnsi="宋体"/>
          <w:color w:val="auto"/>
          <w:highlight w:val="none"/>
        </w:rPr>
      </w:pPr>
    </w:p>
    <w:p>
      <w:pPr>
        <w:pStyle w:val="82"/>
        <w:numPr>
          <w:ilvl w:val="0"/>
          <w:numId w:val="0"/>
        </w:numPr>
        <w:tabs>
          <w:tab w:val="clear" w:pos="1134"/>
        </w:tabs>
        <w:spacing w:beforeAutospacing="0" w:after="120" w:afterAutospacing="0"/>
        <w:rPr>
          <w:rFonts w:hint="eastAsia"/>
          <w:color w:val="auto"/>
          <w:sz w:val="21"/>
          <w:szCs w:val="21"/>
          <w:highlight w:val="none"/>
        </w:rPr>
      </w:pPr>
      <w:bookmarkStart w:id="587" w:name="_Toc521267483"/>
      <w:bookmarkEnd w:id="587"/>
      <w:r>
        <w:rPr>
          <w:rFonts w:hint="eastAsia"/>
          <w:color w:val="auto"/>
          <w:sz w:val="21"/>
          <w:szCs w:val="21"/>
          <w:highlight w:val="none"/>
        </w:rPr>
        <w:t>二、需要约定的其他内容</w:t>
      </w:r>
    </w:p>
    <w:p>
      <w:pPr>
        <w:spacing w:beforeAutospacing="0" w:after="120" w:afterAutospacing="0" w:line="360" w:lineRule="auto"/>
        <w:rPr>
          <w:rFonts w:hint="eastAsia" w:ascii="宋体" w:hAnsi="宋体"/>
          <w:color w:val="auto"/>
          <w:highlight w:val="none"/>
        </w:rPr>
      </w:pPr>
    </w:p>
    <w:p>
      <w:pPr>
        <w:spacing w:beforeAutospacing="0" w:afterAutospacing="0" w:line="360" w:lineRule="auto"/>
        <w:rPr>
          <w:rFonts w:hint="eastAsia" w:ascii="宋体" w:hAnsi="宋体"/>
          <w:color w:val="auto"/>
          <w:highlight w:val="none"/>
        </w:rPr>
      </w:pPr>
      <w:bookmarkStart w:id="588" w:name="_Toc1336377155"/>
      <w:bookmarkEnd w:id="588"/>
      <w:bookmarkStart w:id="589" w:name="_Toc18156053"/>
      <w:bookmarkEnd w:id="589"/>
      <w:bookmarkStart w:id="590" w:name="_Toc364726753"/>
      <w:bookmarkEnd w:id="590"/>
      <w:bookmarkStart w:id="591" w:name="_Ref521078418"/>
      <w:bookmarkEnd w:id="591"/>
      <w:r>
        <w:rPr>
          <w:rFonts w:hint="eastAsia" w:ascii="宋体" w:hAnsi="宋体"/>
          <w:color w:val="auto"/>
          <w:highlight w:val="none"/>
        </w:rPr>
        <w:br w:type="page"/>
      </w:r>
      <w:r>
        <w:rPr>
          <w:rFonts w:hint="eastAsia" w:ascii="宋体" w:hAnsi="宋体"/>
          <w:b/>
          <w:color w:val="auto"/>
          <w:highlight w:val="none"/>
        </w:rPr>
        <w:t>附件4 咨询人主要咨询人员</w:t>
      </w:r>
    </w:p>
    <w:p>
      <w:pPr>
        <w:pStyle w:val="82"/>
        <w:numPr>
          <w:ilvl w:val="0"/>
          <w:numId w:val="0"/>
        </w:numPr>
        <w:tabs>
          <w:tab w:val="clear" w:pos="1134"/>
        </w:tabs>
        <w:spacing w:beforeAutospacing="0" w:after="120" w:afterAutospacing="0"/>
        <w:rPr>
          <w:rFonts w:hint="eastAsia"/>
          <w:color w:val="auto"/>
          <w:sz w:val="21"/>
          <w:szCs w:val="21"/>
          <w:highlight w:val="none"/>
        </w:rPr>
      </w:pPr>
    </w:p>
    <w:p>
      <w:pPr>
        <w:pStyle w:val="82"/>
        <w:numPr>
          <w:ilvl w:val="0"/>
          <w:numId w:val="0"/>
        </w:numPr>
        <w:tabs>
          <w:tab w:val="clear" w:pos="1134"/>
        </w:tabs>
        <w:spacing w:beforeAutospacing="0" w:after="120" w:afterAutospacing="0"/>
        <w:rPr>
          <w:rFonts w:hint="eastAsia"/>
          <w:color w:val="auto"/>
          <w:sz w:val="21"/>
          <w:szCs w:val="21"/>
          <w:highlight w:val="none"/>
        </w:rPr>
      </w:pPr>
      <w:r>
        <w:rPr>
          <w:rFonts w:hint="eastAsia"/>
          <w:color w:val="auto"/>
          <w:sz w:val="21"/>
          <w:szCs w:val="21"/>
          <w:highlight w:val="none"/>
        </w:rPr>
        <w:t>一、咨询人主要咨询人员相关信息</w:t>
      </w:r>
    </w:p>
    <w:tbl>
      <w:tblPr>
        <w:tblStyle w:val="8"/>
        <w:tblW w:w="0" w:type="auto"/>
        <w:tblInd w:w="-2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2"/>
        <w:gridCol w:w="851"/>
        <w:gridCol w:w="709"/>
        <w:gridCol w:w="1275"/>
        <w:gridCol w:w="1701"/>
        <w:gridCol w:w="709"/>
        <w:gridCol w:w="808"/>
        <w:gridCol w:w="888"/>
        <w:gridCol w:w="1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序号</w:t>
            </w:r>
          </w:p>
        </w:tc>
        <w:tc>
          <w:tcPr>
            <w:tcW w:w="851"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姓名</w:t>
            </w:r>
          </w:p>
        </w:tc>
        <w:tc>
          <w:tcPr>
            <w:tcW w:w="709"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年龄</w:t>
            </w:r>
          </w:p>
        </w:tc>
        <w:tc>
          <w:tcPr>
            <w:tcW w:w="1275"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职称</w:t>
            </w:r>
          </w:p>
        </w:tc>
        <w:tc>
          <w:tcPr>
            <w:tcW w:w="1701"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执（职）业资格证书及编号</w:t>
            </w:r>
          </w:p>
        </w:tc>
        <w:tc>
          <w:tcPr>
            <w:tcW w:w="709"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学历</w:t>
            </w:r>
          </w:p>
        </w:tc>
        <w:tc>
          <w:tcPr>
            <w:tcW w:w="808"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专业</w:t>
            </w:r>
          </w:p>
        </w:tc>
        <w:tc>
          <w:tcPr>
            <w:tcW w:w="888"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岗位</w:t>
            </w:r>
          </w:p>
        </w:tc>
        <w:tc>
          <w:tcPr>
            <w:tcW w:w="1422" w:type="dxa"/>
            <w:vAlign w:val="center"/>
          </w:tcPr>
          <w:p>
            <w:pPr>
              <w:pStyle w:val="24"/>
              <w:spacing w:beforeAutospacing="0" w:after="0" w:afterAutospacing="0"/>
              <w:jc w:val="center"/>
              <w:rPr>
                <w:rFonts w:hint="eastAsia"/>
                <w:color w:val="auto"/>
                <w:sz w:val="21"/>
                <w:szCs w:val="21"/>
                <w:highlight w:val="none"/>
              </w:rPr>
            </w:pPr>
            <w:r>
              <w:rPr>
                <w:rFonts w:hint="eastAsia"/>
                <w:color w:val="auto"/>
                <w:sz w:val="21"/>
                <w:szCs w:val="21"/>
                <w:highlight w:val="none"/>
              </w:rPr>
              <w:t>派遣时间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Align w:val="center"/>
          </w:tcPr>
          <w:p>
            <w:pPr>
              <w:pStyle w:val="24"/>
              <w:jc w:val="center"/>
              <w:rPr>
                <w:rFonts w:hint="eastAsia"/>
                <w:color w:val="auto"/>
                <w:sz w:val="21"/>
                <w:szCs w:val="21"/>
                <w:highlight w:val="none"/>
              </w:rPr>
            </w:pPr>
            <w:r>
              <w:rPr>
                <w:rFonts w:hint="eastAsia"/>
                <w:color w:val="auto"/>
                <w:sz w:val="21"/>
                <w:szCs w:val="21"/>
                <w:highlight w:val="none"/>
              </w:rPr>
              <w:t>1</w:t>
            </w:r>
          </w:p>
        </w:tc>
        <w:tc>
          <w:tcPr>
            <w:tcW w:w="85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1275" w:type="dxa"/>
            <w:vAlign w:val="center"/>
          </w:tcPr>
          <w:p>
            <w:pPr>
              <w:pStyle w:val="24"/>
              <w:rPr>
                <w:rFonts w:hint="eastAsia"/>
                <w:color w:val="auto"/>
                <w:sz w:val="21"/>
                <w:szCs w:val="21"/>
                <w:highlight w:val="none"/>
              </w:rPr>
            </w:pPr>
          </w:p>
        </w:tc>
        <w:tc>
          <w:tcPr>
            <w:tcW w:w="170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808" w:type="dxa"/>
            <w:vAlign w:val="center"/>
          </w:tcPr>
          <w:p>
            <w:pPr>
              <w:pStyle w:val="24"/>
              <w:rPr>
                <w:rFonts w:hint="eastAsia"/>
                <w:color w:val="auto"/>
                <w:sz w:val="21"/>
                <w:szCs w:val="21"/>
                <w:highlight w:val="none"/>
              </w:rPr>
            </w:pPr>
          </w:p>
        </w:tc>
        <w:tc>
          <w:tcPr>
            <w:tcW w:w="888" w:type="dxa"/>
            <w:vAlign w:val="center"/>
          </w:tcPr>
          <w:p>
            <w:pPr>
              <w:pStyle w:val="24"/>
              <w:rPr>
                <w:rFonts w:hint="eastAsia"/>
                <w:color w:val="auto"/>
                <w:sz w:val="21"/>
                <w:szCs w:val="21"/>
                <w:highlight w:val="none"/>
              </w:rPr>
            </w:pPr>
          </w:p>
        </w:tc>
        <w:tc>
          <w:tcPr>
            <w:tcW w:w="1422" w:type="dxa"/>
            <w:vAlign w:val="center"/>
          </w:tcPr>
          <w:p>
            <w:pPr>
              <w:pStyle w:val="24"/>
              <w:rPr>
                <w:rFonts w:hint="eastAsia"/>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Align w:val="center"/>
          </w:tcPr>
          <w:p>
            <w:pPr>
              <w:pStyle w:val="24"/>
              <w:jc w:val="center"/>
              <w:rPr>
                <w:rFonts w:hint="eastAsia"/>
                <w:color w:val="auto"/>
                <w:sz w:val="21"/>
                <w:szCs w:val="21"/>
                <w:highlight w:val="none"/>
              </w:rPr>
            </w:pPr>
            <w:r>
              <w:rPr>
                <w:rFonts w:hint="eastAsia"/>
                <w:color w:val="auto"/>
                <w:sz w:val="21"/>
                <w:szCs w:val="21"/>
                <w:highlight w:val="none"/>
              </w:rPr>
              <w:t>2</w:t>
            </w:r>
          </w:p>
        </w:tc>
        <w:tc>
          <w:tcPr>
            <w:tcW w:w="85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1275" w:type="dxa"/>
            <w:vAlign w:val="center"/>
          </w:tcPr>
          <w:p>
            <w:pPr>
              <w:pStyle w:val="24"/>
              <w:rPr>
                <w:rFonts w:hint="eastAsia"/>
                <w:color w:val="auto"/>
                <w:sz w:val="21"/>
                <w:szCs w:val="21"/>
                <w:highlight w:val="none"/>
              </w:rPr>
            </w:pPr>
          </w:p>
        </w:tc>
        <w:tc>
          <w:tcPr>
            <w:tcW w:w="170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808" w:type="dxa"/>
            <w:vAlign w:val="center"/>
          </w:tcPr>
          <w:p>
            <w:pPr>
              <w:pStyle w:val="24"/>
              <w:rPr>
                <w:rFonts w:hint="eastAsia"/>
                <w:color w:val="auto"/>
                <w:sz w:val="21"/>
                <w:szCs w:val="21"/>
                <w:highlight w:val="none"/>
              </w:rPr>
            </w:pPr>
          </w:p>
        </w:tc>
        <w:tc>
          <w:tcPr>
            <w:tcW w:w="888" w:type="dxa"/>
            <w:vAlign w:val="center"/>
          </w:tcPr>
          <w:p>
            <w:pPr>
              <w:pStyle w:val="24"/>
              <w:rPr>
                <w:rFonts w:hint="eastAsia"/>
                <w:color w:val="auto"/>
                <w:sz w:val="21"/>
                <w:szCs w:val="21"/>
                <w:highlight w:val="none"/>
              </w:rPr>
            </w:pPr>
          </w:p>
        </w:tc>
        <w:tc>
          <w:tcPr>
            <w:tcW w:w="1422" w:type="dxa"/>
            <w:vAlign w:val="center"/>
          </w:tcPr>
          <w:p>
            <w:pPr>
              <w:pStyle w:val="24"/>
              <w:rPr>
                <w:rFonts w:hint="eastAsia"/>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Align w:val="center"/>
          </w:tcPr>
          <w:p>
            <w:pPr>
              <w:pStyle w:val="24"/>
              <w:jc w:val="center"/>
              <w:rPr>
                <w:rFonts w:hint="eastAsia"/>
                <w:color w:val="auto"/>
                <w:sz w:val="21"/>
                <w:szCs w:val="21"/>
                <w:highlight w:val="none"/>
              </w:rPr>
            </w:pPr>
            <w:r>
              <w:rPr>
                <w:rFonts w:hint="eastAsia"/>
                <w:color w:val="auto"/>
                <w:sz w:val="21"/>
                <w:szCs w:val="21"/>
                <w:highlight w:val="none"/>
              </w:rPr>
              <w:t>3</w:t>
            </w:r>
          </w:p>
        </w:tc>
        <w:tc>
          <w:tcPr>
            <w:tcW w:w="85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1275" w:type="dxa"/>
            <w:vAlign w:val="center"/>
          </w:tcPr>
          <w:p>
            <w:pPr>
              <w:pStyle w:val="24"/>
              <w:rPr>
                <w:rFonts w:hint="eastAsia"/>
                <w:color w:val="auto"/>
                <w:sz w:val="21"/>
                <w:szCs w:val="21"/>
                <w:highlight w:val="none"/>
              </w:rPr>
            </w:pPr>
          </w:p>
        </w:tc>
        <w:tc>
          <w:tcPr>
            <w:tcW w:w="170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808" w:type="dxa"/>
            <w:vAlign w:val="center"/>
          </w:tcPr>
          <w:p>
            <w:pPr>
              <w:pStyle w:val="24"/>
              <w:rPr>
                <w:rFonts w:hint="eastAsia"/>
                <w:color w:val="auto"/>
                <w:sz w:val="21"/>
                <w:szCs w:val="21"/>
                <w:highlight w:val="none"/>
              </w:rPr>
            </w:pPr>
          </w:p>
        </w:tc>
        <w:tc>
          <w:tcPr>
            <w:tcW w:w="888" w:type="dxa"/>
            <w:vAlign w:val="center"/>
          </w:tcPr>
          <w:p>
            <w:pPr>
              <w:pStyle w:val="24"/>
              <w:rPr>
                <w:rFonts w:hint="eastAsia"/>
                <w:color w:val="auto"/>
                <w:sz w:val="21"/>
                <w:szCs w:val="21"/>
                <w:highlight w:val="none"/>
              </w:rPr>
            </w:pPr>
          </w:p>
        </w:tc>
        <w:tc>
          <w:tcPr>
            <w:tcW w:w="1422" w:type="dxa"/>
            <w:vAlign w:val="center"/>
          </w:tcPr>
          <w:p>
            <w:pPr>
              <w:pStyle w:val="24"/>
              <w:rPr>
                <w:rFonts w:hint="eastAsia"/>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Align w:val="center"/>
          </w:tcPr>
          <w:p>
            <w:pPr>
              <w:pStyle w:val="24"/>
              <w:jc w:val="center"/>
              <w:rPr>
                <w:rFonts w:hint="eastAsia"/>
                <w:color w:val="auto"/>
                <w:sz w:val="21"/>
                <w:szCs w:val="21"/>
                <w:highlight w:val="none"/>
              </w:rPr>
            </w:pPr>
            <w:r>
              <w:rPr>
                <w:rFonts w:hint="eastAsia"/>
                <w:color w:val="auto"/>
                <w:sz w:val="21"/>
                <w:szCs w:val="21"/>
                <w:highlight w:val="none"/>
              </w:rPr>
              <w:t>4</w:t>
            </w:r>
          </w:p>
        </w:tc>
        <w:tc>
          <w:tcPr>
            <w:tcW w:w="85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1275" w:type="dxa"/>
            <w:vAlign w:val="center"/>
          </w:tcPr>
          <w:p>
            <w:pPr>
              <w:pStyle w:val="24"/>
              <w:rPr>
                <w:rFonts w:hint="eastAsia"/>
                <w:color w:val="auto"/>
                <w:sz w:val="21"/>
                <w:szCs w:val="21"/>
                <w:highlight w:val="none"/>
              </w:rPr>
            </w:pPr>
          </w:p>
        </w:tc>
        <w:tc>
          <w:tcPr>
            <w:tcW w:w="170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808" w:type="dxa"/>
            <w:vAlign w:val="center"/>
          </w:tcPr>
          <w:p>
            <w:pPr>
              <w:pStyle w:val="24"/>
              <w:rPr>
                <w:rFonts w:hint="eastAsia"/>
                <w:color w:val="auto"/>
                <w:sz w:val="21"/>
                <w:szCs w:val="21"/>
                <w:highlight w:val="none"/>
              </w:rPr>
            </w:pPr>
          </w:p>
        </w:tc>
        <w:tc>
          <w:tcPr>
            <w:tcW w:w="888" w:type="dxa"/>
            <w:vAlign w:val="center"/>
          </w:tcPr>
          <w:p>
            <w:pPr>
              <w:pStyle w:val="24"/>
              <w:rPr>
                <w:rFonts w:hint="eastAsia"/>
                <w:color w:val="auto"/>
                <w:sz w:val="21"/>
                <w:szCs w:val="21"/>
                <w:highlight w:val="none"/>
              </w:rPr>
            </w:pPr>
          </w:p>
        </w:tc>
        <w:tc>
          <w:tcPr>
            <w:tcW w:w="1422" w:type="dxa"/>
            <w:vAlign w:val="center"/>
          </w:tcPr>
          <w:p>
            <w:pPr>
              <w:pStyle w:val="24"/>
              <w:rPr>
                <w:rFonts w:hint="eastAsia"/>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62" w:type="dxa"/>
            <w:vAlign w:val="center"/>
          </w:tcPr>
          <w:p>
            <w:pPr>
              <w:pStyle w:val="24"/>
              <w:jc w:val="center"/>
              <w:rPr>
                <w:rFonts w:hint="eastAsia"/>
                <w:color w:val="auto"/>
                <w:sz w:val="21"/>
                <w:szCs w:val="21"/>
                <w:highlight w:val="none"/>
              </w:rPr>
            </w:pPr>
            <w:r>
              <w:rPr>
                <w:rFonts w:hint="eastAsia"/>
                <w:color w:val="auto"/>
                <w:sz w:val="21"/>
                <w:szCs w:val="21"/>
                <w:highlight w:val="none"/>
              </w:rPr>
              <w:t>…</w:t>
            </w:r>
          </w:p>
        </w:tc>
        <w:tc>
          <w:tcPr>
            <w:tcW w:w="85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1275" w:type="dxa"/>
            <w:vAlign w:val="center"/>
          </w:tcPr>
          <w:p>
            <w:pPr>
              <w:pStyle w:val="24"/>
              <w:rPr>
                <w:rFonts w:hint="eastAsia"/>
                <w:color w:val="auto"/>
                <w:sz w:val="21"/>
                <w:szCs w:val="21"/>
                <w:highlight w:val="none"/>
              </w:rPr>
            </w:pPr>
          </w:p>
        </w:tc>
        <w:tc>
          <w:tcPr>
            <w:tcW w:w="1701" w:type="dxa"/>
            <w:vAlign w:val="center"/>
          </w:tcPr>
          <w:p>
            <w:pPr>
              <w:pStyle w:val="24"/>
              <w:rPr>
                <w:rFonts w:hint="eastAsia"/>
                <w:color w:val="auto"/>
                <w:sz w:val="21"/>
                <w:szCs w:val="21"/>
                <w:highlight w:val="none"/>
              </w:rPr>
            </w:pPr>
          </w:p>
        </w:tc>
        <w:tc>
          <w:tcPr>
            <w:tcW w:w="709" w:type="dxa"/>
            <w:vAlign w:val="center"/>
          </w:tcPr>
          <w:p>
            <w:pPr>
              <w:pStyle w:val="24"/>
              <w:rPr>
                <w:rFonts w:hint="eastAsia"/>
                <w:color w:val="auto"/>
                <w:sz w:val="21"/>
                <w:szCs w:val="21"/>
                <w:highlight w:val="none"/>
              </w:rPr>
            </w:pPr>
          </w:p>
        </w:tc>
        <w:tc>
          <w:tcPr>
            <w:tcW w:w="808" w:type="dxa"/>
            <w:vAlign w:val="center"/>
          </w:tcPr>
          <w:p>
            <w:pPr>
              <w:pStyle w:val="24"/>
              <w:rPr>
                <w:rFonts w:hint="eastAsia"/>
                <w:color w:val="auto"/>
                <w:sz w:val="21"/>
                <w:szCs w:val="21"/>
                <w:highlight w:val="none"/>
              </w:rPr>
            </w:pPr>
          </w:p>
        </w:tc>
        <w:tc>
          <w:tcPr>
            <w:tcW w:w="888" w:type="dxa"/>
            <w:vAlign w:val="center"/>
          </w:tcPr>
          <w:p>
            <w:pPr>
              <w:pStyle w:val="24"/>
              <w:rPr>
                <w:rFonts w:hint="eastAsia"/>
                <w:color w:val="auto"/>
                <w:sz w:val="21"/>
                <w:szCs w:val="21"/>
                <w:highlight w:val="none"/>
              </w:rPr>
            </w:pPr>
          </w:p>
        </w:tc>
        <w:tc>
          <w:tcPr>
            <w:tcW w:w="1422" w:type="dxa"/>
            <w:vAlign w:val="center"/>
          </w:tcPr>
          <w:p>
            <w:pPr>
              <w:pStyle w:val="24"/>
              <w:rPr>
                <w:rFonts w:hint="eastAsia"/>
                <w:color w:val="auto"/>
                <w:sz w:val="21"/>
                <w:szCs w:val="21"/>
                <w:highlight w:val="none"/>
              </w:rPr>
            </w:pPr>
          </w:p>
        </w:tc>
      </w:tr>
    </w:tbl>
    <w:p>
      <w:pPr>
        <w:pStyle w:val="82"/>
        <w:numPr>
          <w:ilvl w:val="0"/>
          <w:numId w:val="0"/>
        </w:numPr>
        <w:tabs>
          <w:tab w:val="clear" w:pos="1134"/>
        </w:tabs>
        <w:spacing w:beforeAutospacing="0" w:after="120" w:afterAutospacing="0"/>
        <w:rPr>
          <w:rFonts w:hint="eastAsia"/>
          <w:b w:val="0"/>
          <w:color w:val="auto"/>
          <w:sz w:val="21"/>
          <w:szCs w:val="21"/>
          <w:highlight w:val="none"/>
        </w:rPr>
      </w:pPr>
    </w:p>
    <w:p>
      <w:pPr>
        <w:pStyle w:val="82"/>
        <w:numPr>
          <w:ilvl w:val="0"/>
          <w:numId w:val="0"/>
        </w:numPr>
        <w:tabs>
          <w:tab w:val="clear" w:pos="1134"/>
        </w:tabs>
        <w:spacing w:beforeAutospacing="0" w:after="120" w:afterAutospacing="0"/>
        <w:rPr>
          <w:rFonts w:hint="eastAsia"/>
          <w:b w:val="0"/>
          <w:color w:val="auto"/>
          <w:sz w:val="21"/>
          <w:szCs w:val="21"/>
          <w:highlight w:val="none"/>
        </w:rPr>
      </w:pPr>
      <w:r>
        <w:rPr>
          <w:rFonts w:hint="eastAsia"/>
          <w:b w:val="0"/>
          <w:color w:val="auto"/>
          <w:sz w:val="21"/>
          <w:szCs w:val="21"/>
          <w:highlight w:val="none"/>
        </w:rPr>
        <w:t>二、</w:t>
      </w:r>
      <w:r>
        <w:rPr>
          <w:rFonts w:hint="eastAsia"/>
          <w:color w:val="auto"/>
          <w:sz w:val="21"/>
          <w:szCs w:val="21"/>
          <w:highlight w:val="none"/>
        </w:rPr>
        <w:t>咨询人的咨询服务机构组织架构</w:t>
      </w:r>
    </w:p>
    <w:p>
      <w:pPr>
        <w:spacing w:beforeAutospacing="0" w:afterAutospacing="0" w:line="360" w:lineRule="auto"/>
        <w:rPr>
          <w:rFonts w:hint="eastAsia" w:ascii="宋体" w:hAnsi="宋体"/>
          <w:color w:val="auto"/>
          <w:highlight w:val="none"/>
        </w:rPr>
      </w:pPr>
    </w:p>
    <w:p>
      <w:pPr>
        <w:rPr>
          <w:color w:val="auto"/>
          <w:highlight w:val="none"/>
        </w:rPr>
      </w:pPr>
    </w:p>
    <w:p>
      <w:pPr>
        <w:rPr>
          <w:rFonts w:hint="eastAsia"/>
          <w:color w:val="auto"/>
          <w:highlight w:val="none"/>
        </w:rPr>
      </w:pPr>
    </w:p>
    <w:p>
      <w:pPr>
        <w:pStyle w:val="38"/>
        <w:rPr>
          <w:rFonts w:hint="eastAsia"/>
          <w:color w:val="auto"/>
          <w:highlight w:val="none"/>
        </w:rPr>
      </w:pPr>
    </w:p>
    <w:p>
      <w:pPr>
        <w:rPr>
          <w:rFonts w:hint="eastAsia"/>
          <w:color w:val="auto"/>
          <w:highlight w:val="none"/>
        </w:rPr>
      </w:pPr>
    </w:p>
    <w:p>
      <w:pPr>
        <w:pStyle w:val="38"/>
        <w:rPr>
          <w:rFonts w:hint="eastAsia"/>
          <w:color w:val="auto"/>
          <w:highlight w:val="none"/>
        </w:rPr>
      </w:pPr>
    </w:p>
    <w:p>
      <w:pPr>
        <w:rPr>
          <w:rFonts w:hint="eastAsia"/>
          <w:color w:val="auto"/>
          <w:highlight w:val="none"/>
        </w:rPr>
      </w:pPr>
    </w:p>
    <w:p>
      <w:pPr>
        <w:pStyle w:val="38"/>
        <w:rPr>
          <w:rFonts w:hint="eastAsia"/>
          <w:color w:val="auto"/>
          <w:highlight w:val="none"/>
        </w:rPr>
      </w:pPr>
    </w:p>
    <w:p>
      <w:pPr>
        <w:rPr>
          <w:rFonts w:hint="eastAsia"/>
          <w:color w:val="auto"/>
          <w:highlight w:val="none"/>
        </w:rPr>
      </w:pPr>
    </w:p>
    <w:p>
      <w:pPr>
        <w:pStyle w:val="38"/>
        <w:rPr>
          <w:rFonts w:hint="eastAsia"/>
          <w:color w:val="auto"/>
          <w:highlight w:val="none"/>
        </w:rPr>
      </w:pPr>
    </w:p>
    <w:p>
      <w:pPr>
        <w:rPr>
          <w:rFonts w:hint="eastAsia"/>
          <w:color w:val="auto"/>
          <w:highlight w:val="none"/>
        </w:rPr>
      </w:pPr>
    </w:p>
    <w:p>
      <w:pPr>
        <w:pStyle w:val="38"/>
        <w:rPr>
          <w:rFonts w:hint="eastAsia"/>
          <w:color w:val="auto"/>
          <w:highlight w:val="none"/>
        </w:rPr>
      </w:pPr>
    </w:p>
    <w:p>
      <w:pPr>
        <w:rPr>
          <w:rFonts w:hint="eastAsia"/>
          <w:color w:val="auto"/>
          <w:highlight w:val="none"/>
        </w:rPr>
      </w:pPr>
    </w:p>
    <w:p>
      <w:pPr>
        <w:pStyle w:val="38"/>
        <w:rPr>
          <w:rFonts w:hint="eastAsia"/>
          <w:color w:val="auto"/>
          <w:highlight w:val="none"/>
        </w:rPr>
      </w:pPr>
    </w:p>
    <w:p>
      <w:pPr>
        <w:rPr>
          <w:rFonts w:hint="eastAsia"/>
          <w:color w:val="auto"/>
          <w:highlight w:val="none"/>
        </w:rPr>
      </w:pPr>
    </w:p>
    <w:p>
      <w:pPr>
        <w:pStyle w:val="38"/>
        <w:rPr>
          <w:rFonts w:hint="eastAsia"/>
          <w:color w:val="auto"/>
          <w:highlight w:val="none"/>
        </w:rPr>
      </w:pPr>
    </w:p>
    <w:p>
      <w:pPr>
        <w:rPr>
          <w:rFonts w:hint="eastAsia"/>
          <w:color w:val="auto"/>
          <w:highlight w:val="none"/>
        </w:rPr>
      </w:pPr>
    </w:p>
    <w:p>
      <w:pPr>
        <w:pStyle w:val="38"/>
        <w:rPr>
          <w:rFonts w:hint="eastAsia"/>
          <w:color w:val="auto"/>
          <w:highlight w:val="none"/>
        </w:rPr>
      </w:pPr>
    </w:p>
    <w:p>
      <w:pPr>
        <w:autoSpaceDE w:val="0"/>
        <w:autoSpaceDN w:val="0"/>
        <w:snapToGrid w:val="0"/>
        <w:spacing w:line="420" w:lineRule="exact"/>
        <w:rPr>
          <w:rFonts w:hAnsi="宋体"/>
          <w:color w:val="auto"/>
          <w:sz w:val="36"/>
          <w:szCs w:val="36"/>
          <w:highlight w:val="none"/>
        </w:rPr>
      </w:pPr>
    </w:p>
    <w:p>
      <w:pPr>
        <w:pStyle w:val="24"/>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第六部分    附件—投标文件格式</w:t>
      </w:r>
    </w:p>
    <w:p>
      <w:pPr>
        <w:pStyle w:val="24"/>
        <w:snapToGrid w:val="0"/>
        <w:spacing w:line="500" w:lineRule="exact"/>
        <w:rPr>
          <w:rFonts w:hAnsi="宋体"/>
          <w:color w:val="auto"/>
          <w:sz w:val="30"/>
          <w:highlight w:val="none"/>
        </w:rPr>
      </w:pPr>
    </w:p>
    <w:p>
      <w:pPr>
        <w:snapToGrid w:val="0"/>
        <w:spacing w:line="460" w:lineRule="atLeast"/>
        <w:jc w:val="center"/>
        <w:rPr>
          <w:rFonts w:hint="eastAsia"/>
          <w:color w:val="auto"/>
          <w:sz w:val="36"/>
          <w:highlight w:val="none"/>
        </w:rPr>
      </w:pPr>
      <w:r>
        <w:rPr>
          <w:rFonts w:hint="eastAsia"/>
          <w:color w:val="auto"/>
          <w:sz w:val="36"/>
          <w:highlight w:val="none"/>
        </w:rPr>
        <w:t>（未提供格式的由供应商自拟）</w:t>
      </w:r>
    </w:p>
    <w:p>
      <w:pPr>
        <w:spacing w:line="360" w:lineRule="auto"/>
        <w:ind w:firstLine="424" w:firstLineChars="151"/>
        <w:rPr>
          <w:rFonts w:ascii="仿宋" w:hAnsi="仿宋" w:eastAsia="仿宋"/>
          <w:b/>
          <w:color w:val="auto"/>
          <w:sz w:val="28"/>
          <w:szCs w:val="22"/>
          <w:highlight w:val="none"/>
        </w:rPr>
      </w:pPr>
    </w:p>
    <w:p>
      <w:pPr>
        <w:spacing w:line="360" w:lineRule="auto"/>
        <w:ind w:firstLine="424" w:firstLineChars="151"/>
        <w:rPr>
          <w:rFonts w:ascii="仿宋" w:hAnsi="仿宋" w:eastAsia="仿宋"/>
          <w:b/>
          <w:color w:val="auto"/>
          <w:sz w:val="28"/>
          <w:szCs w:val="22"/>
          <w:highlight w:val="none"/>
        </w:rPr>
      </w:pPr>
    </w:p>
    <w:p>
      <w:pPr>
        <w:spacing w:line="360" w:lineRule="auto"/>
        <w:ind w:firstLine="424" w:firstLineChars="151"/>
        <w:rPr>
          <w:rFonts w:ascii="仿宋" w:hAnsi="仿宋" w:eastAsia="仿宋"/>
          <w:b/>
          <w:color w:val="auto"/>
          <w:sz w:val="28"/>
          <w:szCs w:val="22"/>
          <w:highlight w:val="none"/>
        </w:rPr>
      </w:pPr>
      <w:r>
        <w:rPr>
          <w:rFonts w:ascii="仿宋" w:hAnsi="仿宋" w:eastAsia="仿宋"/>
          <w:b/>
          <w:color w:val="auto"/>
          <w:sz w:val="28"/>
          <w:szCs w:val="22"/>
          <w:highlight w:val="none"/>
        </w:rPr>
        <w:t>重要提示：</w:t>
      </w:r>
    </w:p>
    <w:p>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（1）</w:t>
      </w:r>
      <w:r>
        <w:rPr>
          <w:rFonts w:hint="eastAsia" w:ascii="仿宋" w:hAnsi="仿宋" w:eastAsia="仿宋"/>
          <w:b/>
          <w:color w:val="auto"/>
          <w:sz w:val="28"/>
          <w:szCs w:val="28"/>
          <w:highlight w:val="none"/>
          <w:u w:val="single"/>
        </w:rPr>
        <w:t>本章节中有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（2）</w:t>
      </w:r>
      <w:r>
        <w:rPr>
          <w:rFonts w:hint="eastAsia" w:ascii="仿宋" w:hAnsi="仿宋" w:eastAsia="仿宋"/>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，并加盖单位公章并由法定代表人或其授权代表签署（签字或签章），否则视为未提供；</w:t>
      </w:r>
    </w:p>
    <w:p>
      <w:pPr>
        <w:pStyle w:val="12"/>
        <w:rPr>
          <w:color w:val="auto"/>
          <w:highlight w:val="none"/>
        </w:rPr>
      </w:pPr>
    </w:p>
    <w:p>
      <w:pPr>
        <w:pStyle w:val="12"/>
        <w:rPr>
          <w:color w:val="auto"/>
          <w:highlight w:val="none"/>
        </w:rPr>
      </w:pPr>
    </w:p>
    <w:p>
      <w:pPr>
        <w:pStyle w:val="12"/>
        <w:rPr>
          <w:color w:val="auto"/>
          <w:highlight w:val="none"/>
        </w:rPr>
      </w:pPr>
    </w:p>
    <w:p>
      <w:pPr>
        <w:pStyle w:val="12"/>
        <w:rPr>
          <w:color w:val="auto"/>
          <w:highlight w:val="none"/>
        </w:rPr>
      </w:pPr>
    </w:p>
    <w:p>
      <w:pPr>
        <w:pStyle w:val="12"/>
        <w:rPr>
          <w:color w:val="auto"/>
          <w:highlight w:val="none"/>
        </w:rPr>
      </w:pPr>
    </w:p>
    <w:p>
      <w:pPr>
        <w:rPr>
          <w:color w:val="auto"/>
          <w:highlight w:val="none"/>
        </w:rPr>
      </w:pPr>
    </w:p>
    <w:p>
      <w:pPr>
        <w:pStyle w:val="55"/>
        <w:rPr>
          <w:color w:val="auto"/>
          <w:highlight w:val="none"/>
        </w:rPr>
      </w:pPr>
    </w:p>
    <w:p>
      <w:pPr>
        <w:pStyle w:val="21"/>
        <w:rPr>
          <w:color w:val="auto"/>
          <w:highlight w:val="none"/>
        </w:rPr>
      </w:pPr>
    </w:p>
    <w:p>
      <w:pPr>
        <w:pStyle w:val="12"/>
        <w:rPr>
          <w:rFonts w:hint="eastAsia"/>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p>
    <w:p>
      <w:pPr>
        <w:pStyle w:val="13"/>
        <w:rPr>
          <w:rFonts w:hint="eastAsia"/>
          <w:color w:val="auto"/>
          <w:highlight w:val="none"/>
        </w:rPr>
      </w:pPr>
      <w:r>
        <w:rPr>
          <w:rFonts w:hint="eastAsia"/>
          <w:color w:val="auto"/>
          <w:highlight w:val="none"/>
        </w:rPr>
        <w:t>1.1 “资格文件”封面</w:t>
      </w:r>
    </w:p>
    <w:p>
      <w:pPr>
        <w:spacing w:line="360" w:lineRule="auto"/>
        <w:jc w:val="right"/>
        <w:rPr>
          <w:rFonts w:ascii="Arial" w:hAnsi="Arial" w:eastAsia="新宋体"/>
          <w:b/>
          <w:color w:val="auto"/>
          <w:sz w:val="32"/>
          <w:szCs w:val="22"/>
          <w:highlight w:val="none"/>
        </w:rPr>
      </w:pPr>
    </w:p>
    <w:p>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平阳县瑞苍高速公路平阳段工程萧江镇淡浦安置地块（凤头B-15、凤头B-25）全过程咨询服务</w:t>
      </w: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（资格文件）</w:t>
      </w:r>
    </w:p>
    <w:p>
      <w:pPr>
        <w:spacing w:line="360" w:lineRule="auto"/>
        <w:jc w:val="center"/>
        <w:rPr>
          <w:rFonts w:ascii="华文中宋" w:hAnsi="华文中宋" w:eastAsia="华文中宋"/>
          <w:b/>
          <w:color w:val="auto"/>
          <w:sz w:val="52"/>
          <w:szCs w:val="22"/>
          <w:highlight w:val="none"/>
        </w:rPr>
      </w:pPr>
    </w:p>
    <w:tbl>
      <w:tblPr>
        <w:tblStyle w:val="8"/>
        <w:tblW w:w="0" w:type="auto"/>
        <w:tblInd w:w="142"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bl>
    <w:p>
      <w:pPr>
        <w:pStyle w:val="13"/>
        <w:rPr>
          <w:rFonts w:ascii="Times New Roman" w:hAnsi="Times New Roman"/>
          <w:color w:val="auto"/>
          <w:highlight w:val="none"/>
        </w:rPr>
      </w:pPr>
      <w:r>
        <w:rPr>
          <w:rFonts w:ascii="Times New Roman" w:hAnsi="Times New Roman"/>
          <w:color w:val="auto"/>
          <w:highlight w:val="none"/>
        </w:rPr>
        <w:br w:type="page"/>
      </w:r>
      <w:r>
        <w:rPr>
          <w:rFonts w:hint="eastAsia"/>
          <w:color w:val="auto"/>
          <w:highlight w:val="none"/>
        </w:rPr>
        <w:t>1.2供应商资格审查声明函</w:t>
      </w:r>
    </w:p>
    <w:p>
      <w:pPr>
        <w:jc w:val="center"/>
        <w:rPr>
          <w:rFonts w:ascii="华文中宋" w:hAnsi="华文中宋" w:eastAsia="华文中宋"/>
          <w:b/>
          <w:color w:val="auto"/>
          <w:sz w:val="44"/>
          <w:szCs w:val="44"/>
          <w:highlight w:val="none"/>
        </w:rPr>
      </w:pPr>
    </w:p>
    <w:p>
      <w:pPr>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供应商资格审查声明函</w:t>
      </w:r>
    </w:p>
    <w:p>
      <w:pPr>
        <w:rPr>
          <w:color w:val="auto"/>
          <w:highlight w:val="none"/>
        </w:rPr>
      </w:pPr>
    </w:p>
    <w:p>
      <w:pPr>
        <w:spacing w:line="360" w:lineRule="auto"/>
        <w:rPr>
          <w:rFonts w:ascii="仿宋" w:hAnsi="仿宋" w:eastAsia="仿宋"/>
          <w:b/>
          <w:color w:val="auto"/>
          <w:w w:val="90"/>
          <w:sz w:val="28"/>
          <w:szCs w:val="22"/>
          <w:highlight w:val="none"/>
          <w:u w:val="single"/>
        </w:rPr>
      </w:pPr>
    </w:p>
    <w:p>
      <w:pPr>
        <w:spacing w:line="360" w:lineRule="auto"/>
        <w:rPr>
          <w:rFonts w:hint="eastAsia" w:ascii="仿宋" w:hAnsi="仿宋" w:eastAsia="仿宋"/>
          <w:b/>
          <w:color w:val="auto"/>
          <w:sz w:val="32"/>
          <w:szCs w:val="28"/>
          <w:highlight w:val="none"/>
          <w:u w:val="single"/>
          <w:lang w:eastAsia="zh-CN"/>
        </w:rPr>
      </w:pPr>
      <w:r>
        <w:rPr>
          <w:rFonts w:hint="eastAsia" w:ascii="仿宋" w:hAnsi="仿宋" w:eastAsia="仿宋"/>
          <w:b/>
          <w:color w:val="auto"/>
          <w:sz w:val="32"/>
          <w:szCs w:val="28"/>
          <w:highlight w:val="none"/>
          <w:u w:val="single"/>
          <w:lang w:eastAsia="zh-CN"/>
        </w:rPr>
        <w:t>平阳县萧江新农村建设投资有限公司</w:t>
      </w:r>
      <w:r>
        <w:rPr>
          <w:rFonts w:hint="eastAsia" w:ascii="仿宋" w:hAnsi="仿宋" w:eastAsia="仿宋"/>
          <w:b/>
          <w:color w:val="auto"/>
          <w:sz w:val="32"/>
          <w:szCs w:val="28"/>
          <w:highlight w:val="none"/>
          <w:u w:val="single"/>
        </w:rPr>
        <w:t xml:space="preserve"> </w:t>
      </w:r>
      <w:r>
        <w:rPr>
          <w:rFonts w:hint="eastAsia" w:ascii="仿宋" w:hAnsi="仿宋" w:eastAsia="仿宋"/>
          <w:b/>
          <w:color w:val="auto"/>
          <w:w w:val="90"/>
          <w:sz w:val="28"/>
          <w:szCs w:val="22"/>
          <w:highlight w:val="none"/>
          <w:u w:val="single"/>
        </w:rPr>
        <w:t>：</w:t>
      </w:r>
    </w:p>
    <w:p>
      <w:pPr>
        <w:pStyle w:val="37"/>
        <w:keepNext w:val="0"/>
        <w:keepLines w:val="0"/>
        <w:pageBreakBefore w:val="0"/>
        <w:shd w:val="clear" w:color="auto" w:fill="FFFFFF"/>
        <w:kinsoku/>
        <w:wordWrap/>
        <w:overflowPunct/>
        <w:topLinePunct w:val="0"/>
        <w:autoSpaceDE/>
        <w:autoSpaceDN/>
        <w:bidi w:val="0"/>
        <w:snapToGrid/>
        <w:spacing w:before="0" w:beforeAutospacing="0" w:after="0" w:afterAutospacing="0" w:line="440" w:lineRule="exact"/>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w:t>
      </w:r>
      <w:r>
        <w:rPr>
          <w:rFonts w:hint="eastAsia" w:ascii="宋体" w:hAnsi="宋体" w:eastAsia="宋体"/>
          <w:color w:val="auto"/>
          <w:sz w:val="24"/>
          <w:szCs w:val="24"/>
          <w:highlight w:val="none"/>
          <w:u w:val="single"/>
        </w:rPr>
        <w:t xml:space="preserve">    </w:t>
      </w:r>
      <w:r>
        <w:rPr>
          <w:rFonts w:hint="eastAsia" w:ascii="宋体" w:hAnsi="宋体" w:eastAsia="宋体"/>
          <w:i/>
          <w:iCs/>
          <w:color w:val="auto"/>
          <w:sz w:val="24"/>
          <w:szCs w:val="24"/>
          <w:highlight w:val="none"/>
          <w:u w:val="single"/>
        </w:rPr>
        <w:t>（供应商名称）</w:t>
      </w:r>
      <w:r>
        <w:rPr>
          <w:rFonts w:hint="eastAsia"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rPr>
        <w:t>参与</w:t>
      </w:r>
      <w:r>
        <w:rPr>
          <w:rFonts w:hint="eastAsia" w:ascii="宋体" w:hAnsi="宋体" w:eastAsia="宋体"/>
          <w:color w:val="auto"/>
          <w:sz w:val="24"/>
          <w:szCs w:val="24"/>
          <w:highlight w:val="none"/>
          <w:u w:val="single"/>
        </w:rPr>
        <w:t xml:space="preserve">    </w:t>
      </w:r>
      <w:r>
        <w:rPr>
          <w:rFonts w:hint="eastAsia" w:ascii="宋体" w:hAnsi="宋体" w:eastAsia="宋体"/>
          <w:i/>
          <w:iCs/>
          <w:color w:val="auto"/>
          <w:sz w:val="24"/>
          <w:szCs w:val="24"/>
          <w:highlight w:val="none"/>
          <w:u w:val="single"/>
        </w:rPr>
        <w:t xml:space="preserve">  （项目名称）   </w:t>
      </w:r>
      <w:r>
        <w:rPr>
          <w:rFonts w:hint="eastAsia" w:ascii="宋体" w:hAnsi="宋体" w:eastAsia="宋体"/>
          <w:color w:val="auto"/>
          <w:sz w:val="24"/>
          <w:szCs w:val="24"/>
          <w:highlight w:val="none"/>
        </w:rPr>
        <w:t>政府采购活动，针对</w:t>
      </w:r>
      <w:r>
        <w:rPr>
          <w:rFonts w:hint="eastAsia" w:ascii="宋体" w:hAnsi="宋体"/>
          <w:color w:val="auto"/>
          <w:sz w:val="24"/>
          <w:szCs w:val="24"/>
          <w:highlight w:val="none"/>
        </w:rPr>
        <w:t>《平阳县县属国有企业采购管理办法（试行）》第十四条</w:t>
      </w:r>
      <w:r>
        <w:rPr>
          <w:rFonts w:hint="eastAsia" w:ascii="宋体" w:hAnsi="宋体" w:eastAsia="宋体"/>
          <w:color w:val="auto"/>
          <w:sz w:val="24"/>
          <w:szCs w:val="24"/>
          <w:highlight w:val="none"/>
        </w:rPr>
        <w:t>所述条件做如下承诺：</w:t>
      </w:r>
    </w:p>
    <w:p>
      <w:pPr>
        <w:pStyle w:val="37"/>
        <w:keepNext w:val="0"/>
        <w:keepLines w:val="0"/>
        <w:pageBreakBefore w:val="0"/>
        <w:numPr>
          <w:ilvl w:val="0"/>
          <w:numId w:val="15"/>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lang w:eastAsia="zh-CN"/>
        </w:rPr>
        <w:t>我方</w:t>
      </w:r>
      <w:r>
        <w:rPr>
          <w:rFonts w:hint="eastAsia" w:ascii="宋体" w:hAnsi="宋体" w:eastAsia="宋体"/>
          <w:color w:val="auto"/>
          <w:sz w:val="24"/>
          <w:szCs w:val="24"/>
          <w:highlight w:val="none"/>
        </w:rPr>
        <w:t>具有独立承担民事责任的能力；</w:t>
      </w:r>
    </w:p>
    <w:p>
      <w:pPr>
        <w:pStyle w:val="37"/>
        <w:keepNext w:val="0"/>
        <w:keepLines w:val="0"/>
        <w:pageBreakBefore w:val="0"/>
        <w:numPr>
          <w:ilvl w:val="0"/>
          <w:numId w:val="15"/>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我方具有良好的商业信誉和健全的财务会计制度；</w:t>
      </w:r>
    </w:p>
    <w:p>
      <w:pPr>
        <w:pStyle w:val="37"/>
        <w:keepNext w:val="0"/>
        <w:keepLines w:val="0"/>
        <w:pageBreakBefore w:val="0"/>
        <w:numPr>
          <w:ilvl w:val="0"/>
          <w:numId w:val="15"/>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我方具有履行合同所必需的设备和专业技术、售后保障等能力；</w:t>
      </w:r>
    </w:p>
    <w:p>
      <w:pPr>
        <w:pStyle w:val="37"/>
        <w:keepNext w:val="0"/>
        <w:keepLines w:val="0"/>
        <w:pageBreakBefore w:val="0"/>
        <w:numPr>
          <w:ilvl w:val="0"/>
          <w:numId w:val="15"/>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我方有依法缴纳税收和社会保障资金的良好记录；</w:t>
      </w:r>
    </w:p>
    <w:p>
      <w:pPr>
        <w:pStyle w:val="37"/>
        <w:keepNext w:val="0"/>
        <w:keepLines w:val="0"/>
        <w:pageBreakBefore w:val="0"/>
        <w:numPr>
          <w:ilvl w:val="0"/>
          <w:numId w:val="15"/>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r>
        <w:rPr>
          <w:rFonts w:hint="eastAsia" w:ascii="宋体" w:hAnsi="宋体" w:eastAsia="宋体"/>
          <w:color w:val="auto"/>
          <w:sz w:val="24"/>
          <w:szCs w:val="24"/>
          <w:highlight w:val="none"/>
          <w:lang w:eastAsia="zh-CN"/>
        </w:rPr>
        <w:t>。</w:t>
      </w:r>
    </w:p>
    <w:p>
      <w:pPr>
        <w:pStyle w:val="37"/>
        <w:keepNext w:val="0"/>
        <w:keepLines w:val="0"/>
        <w:pageBreakBefore w:val="0"/>
        <w:numPr>
          <w:ilvl w:val="0"/>
          <w:numId w:val="15"/>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我方与参加本次项目同一合同项下政府采购活动的其他供应商不存在单位负责人为同一人或者直接控股、管理关系</w:t>
      </w:r>
      <w:r>
        <w:rPr>
          <w:rFonts w:hint="eastAsia" w:ascii="宋体" w:hAnsi="宋体" w:eastAsia="宋体"/>
          <w:color w:val="auto"/>
          <w:sz w:val="24"/>
          <w:szCs w:val="24"/>
          <w:highlight w:val="none"/>
          <w:lang w:eastAsia="zh-CN"/>
        </w:rPr>
        <w:t>。</w:t>
      </w:r>
    </w:p>
    <w:p>
      <w:pPr>
        <w:pStyle w:val="37"/>
        <w:keepNext w:val="0"/>
        <w:keepLines w:val="0"/>
        <w:pageBreakBefore w:val="0"/>
        <w:numPr>
          <w:ilvl w:val="0"/>
          <w:numId w:val="15"/>
        </w:numPr>
        <w:shd w:val="clear" w:color="auto" w:fill="FFFFFF"/>
        <w:tabs>
          <w:tab w:val="clear" w:pos="312"/>
        </w:tabs>
        <w:kinsoku/>
        <w:wordWrap/>
        <w:overflowPunct/>
        <w:topLinePunct w:val="0"/>
        <w:autoSpaceDE/>
        <w:autoSpaceDN/>
        <w:bidi w:val="0"/>
        <w:snapToGrid/>
        <w:spacing w:before="0" w:beforeAutospacing="0" w:after="0" w:afterAutospacing="0" w:line="440" w:lineRule="exact"/>
        <w:ind w:left="-20" w:leftChars="0" w:firstLine="420" w:firstLineChars="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我方未被“信用中国”（www.creditchina.gov.cn）、中国政府采购网（www.ccgp.gov.cn）列入失信被执行人名单、重大税收违法案件当事人名单、政府采购严重违法失信行为记录名单</w:t>
      </w:r>
    </w:p>
    <w:p>
      <w:pPr>
        <w:pStyle w:val="37"/>
        <w:keepNext w:val="0"/>
        <w:keepLines w:val="0"/>
        <w:pageBreakBefore w:val="0"/>
        <w:kinsoku/>
        <w:wordWrap/>
        <w:overflowPunct/>
        <w:topLinePunct w:val="0"/>
        <w:autoSpaceDE/>
        <w:autoSpaceDN/>
        <w:bidi w:val="0"/>
        <w:snapToGrid/>
        <w:spacing w:before="0" w:beforeAutospacing="0" w:after="0" w:afterAutospacing="0" w:line="440" w:lineRule="exact"/>
        <w:ind w:firstLine="480" w:firstLineChars="200"/>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我方对上述承诺内容的真实性负责。我公司郑重声明，我公司参加</w:t>
      </w:r>
      <w:r>
        <w:rPr>
          <w:rFonts w:hint="eastAsia" w:ascii="宋体" w:hAnsi="宋体" w:eastAsia="宋体"/>
          <w:color w:val="auto"/>
          <w:sz w:val="24"/>
          <w:szCs w:val="24"/>
          <w:highlight w:val="none"/>
          <w:u w:val="none"/>
          <w:lang w:eastAsia="zh-CN"/>
        </w:rPr>
        <w:t>本次</w:t>
      </w:r>
      <w:r>
        <w:rPr>
          <w:rFonts w:hint="eastAsia" w:ascii="宋体" w:hAnsi="宋体" w:eastAsia="宋体"/>
          <w:color w:val="auto"/>
          <w:sz w:val="24"/>
          <w:szCs w:val="24"/>
          <w:highlight w:val="none"/>
        </w:rPr>
        <w:t>政府采购活动中所提交的《资格文件》所有内容真实、有效，不存在提供虚假材料的行为。如有违反，愿承担一切责任。如有虚假，将依法承担相应责任。</w:t>
      </w:r>
    </w:p>
    <w:p>
      <w:pPr>
        <w:spacing w:line="360" w:lineRule="auto"/>
        <w:rPr>
          <w:rFonts w:hint="eastAsia" w:ascii="仿宋" w:hAnsi="仿宋" w:eastAsia="仿宋"/>
          <w:color w:val="auto"/>
          <w:sz w:val="24"/>
          <w:szCs w:val="24"/>
          <w:highlight w:val="none"/>
        </w:rPr>
      </w:pPr>
    </w:p>
    <w:p>
      <w:pPr>
        <w:spacing w:line="36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供应商名称</w:t>
      </w:r>
      <w:r>
        <w:rPr>
          <w:rFonts w:hint="eastAsia" w:ascii="仿宋" w:hAnsi="仿宋" w:eastAsia="仿宋"/>
          <w:b/>
          <w:color w:val="auto"/>
          <w:sz w:val="28"/>
          <w:szCs w:val="28"/>
          <w:highlight w:val="none"/>
        </w:rPr>
        <w:t>（盖章）</w:t>
      </w:r>
      <w:r>
        <w:rPr>
          <w:rFonts w:hint="eastAsia" w:ascii="仿宋" w:hAnsi="仿宋" w:eastAsia="仿宋"/>
          <w:color w:val="auto"/>
          <w:sz w:val="28"/>
          <w:szCs w:val="28"/>
          <w:highlight w:val="none"/>
        </w:rPr>
        <w:t>：</w:t>
      </w:r>
      <w:r>
        <w:rPr>
          <w:rFonts w:ascii="仿宋" w:hAnsi="仿宋" w:eastAsia="仿宋"/>
          <w:color w:val="auto"/>
          <w:w w:val="90"/>
          <w:sz w:val="28"/>
          <w:szCs w:val="28"/>
          <w:highlight w:val="none"/>
        </w:rPr>
        <w:t>_________________________________________</w:t>
      </w:r>
    </w:p>
    <w:p>
      <w:pPr>
        <w:snapToGrid w:val="0"/>
        <w:spacing w:line="360" w:lineRule="auto"/>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法定代表人或授权代表</w:t>
      </w:r>
      <w:r>
        <w:rPr>
          <w:rFonts w:hint="eastAsia" w:ascii="仿宋" w:hAnsi="仿宋" w:eastAsia="仿宋"/>
          <w:b/>
          <w:color w:val="auto"/>
          <w:sz w:val="28"/>
          <w:szCs w:val="28"/>
          <w:highlight w:val="none"/>
        </w:rPr>
        <w:t>（签字或签章）</w:t>
      </w:r>
      <w:r>
        <w:rPr>
          <w:rFonts w:hint="eastAsia" w:ascii="仿宋" w:hAnsi="仿宋" w:eastAsia="仿宋"/>
          <w:color w:val="auto"/>
          <w:sz w:val="28"/>
          <w:szCs w:val="28"/>
          <w:highlight w:val="none"/>
        </w:rPr>
        <w:t>：</w:t>
      </w:r>
      <w:r>
        <w:rPr>
          <w:rFonts w:ascii="仿宋" w:hAnsi="仿宋" w:eastAsia="仿宋"/>
          <w:color w:val="auto"/>
          <w:w w:val="90"/>
          <w:sz w:val="28"/>
          <w:szCs w:val="28"/>
          <w:highlight w:val="none"/>
        </w:rPr>
        <w:t>__________________________</w:t>
      </w:r>
    </w:p>
    <w:p>
      <w:pPr>
        <w:rPr>
          <w:rFonts w:hint="eastAsia" w:ascii="仿宋" w:hAnsi="仿宋" w:eastAsia="仿宋"/>
          <w:color w:val="auto"/>
          <w:sz w:val="28"/>
          <w:szCs w:val="28"/>
          <w:highlight w:val="none"/>
        </w:rPr>
      </w:pPr>
      <w:r>
        <w:rPr>
          <w:rFonts w:hint="eastAsia" w:ascii="仿宋" w:hAnsi="仿宋" w:eastAsia="仿宋"/>
          <w:color w:val="auto"/>
          <w:sz w:val="28"/>
          <w:szCs w:val="28"/>
          <w:highlight w:val="none"/>
        </w:rPr>
        <w:t>日期：</w:t>
      </w:r>
      <w:r>
        <w:rPr>
          <w:rFonts w:ascii="仿宋" w:hAnsi="仿宋" w:eastAsia="仿宋"/>
          <w:color w:val="auto"/>
          <w:w w:val="90"/>
          <w:sz w:val="28"/>
          <w:szCs w:val="28"/>
          <w:highlight w:val="none"/>
        </w:rPr>
        <w:t>________</w:t>
      </w:r>
      <w:r>
        <w:rPr>
          <w:rFonts w:hint="eastAsia" w:ascii="仿宋" w:hAnsi="仿宋" w:eastAsia="仿宋"/>
          <w:color w:val="auto"/>
          <w:w w:val="90"/>
          <w:sz w:val="28"/>
          <w:szCs w:val="28"/>
          <w:highlight w:val="none"/>
        </w:rPr>
        <w:t>年</w:t>
      </w:r>
      <w:r>
        <w:rPr>
          <w:rFonts w:ascii="仿宋" w:hAnsi="仿宋" w:eastAsia="仿宋"/>
          <w:color w:val="auto"/>
          <w:w w:val="90"/>
          <w:sz w:val="28"/>
          <w:szCs w:val="28"/>
          <w:highlight w:val="none"/>
        </w:rPr>
        <w:t>____</w:t>
      </w:r>
      <w:r>
        <w:rPr>
          <w:rFonts w:hint="eastAsia" w:ascii="仿宋" w:hAnsi="仿宋" w:eastAsia="仿宋"/>
          <w:color w:val="auto"/>
          <w:w w:val="90"/>
          <w:sz w:val="28"/>
          <w:szCs w:val="28"/>
          <w:highlight w:val="none"/>
        </w:rPr>
        <w:t>月</w:t>
      </w:r>
      <w:r>
        <w:rPr>
          <w:rFonts w:ascii="仿宋" w:hAnsi="仿宋" w:eastAsia="仿宋"/>
          <w:color w:val="auto"/>
          <w:w w:val="90"/>
          <w:sz w:val="28"/>
          <w:szCs w:val="28"/>
          <w:highlight w:val="none"/>
        </w:rPr>
        <w:t>____</w:t>
      </w:r>
      <w:r>
        <w:rPr>
          <w:rFonts w:hint="eastAsia" w:ascii="仿宋" w:hAnsi="仿宋" w:eastAsia="仿宋"/>
          <w:color w:val="auto"/>
          <w:w w:val="90"/>
          <w:sz w:val="28"/>
          <w:szCs w:val="28"/>
          <w:highlight w:val="none"/>
        </w:rPr>
        <w:t>日</w:t>
      </w:r>
    </w:p>
    <w:p>
      <w:pPr>
        <w:rPr>
          <w:color w:val="auto"/>
          <w:sz w:val="24"/>
          <w:szCs w:val="24"/>
          <w:highlight w:val="none"/>
        </w:rPr>
      </w:pPr>
    </w:p>
    <w:p>
      <w:pPr>
        <w:pStyle w:val="13"/>
        <w:rPr>
          <w:color w:val="auto"/>
          <w:highlight w:val="none"/>
        </w:rPr>
      </w:pPr>
      <w:r>
        <w:rPr>
          <w:color w:val="auto"/>
          <w:highlight w:val="none"/>
        </w:rPr>
        <w:br w:type="page"/>
      </w:r>
      <w:r>
        <w:rPr>
          <w:rFonts w:hint="eastAsia"/>
          <w:color w:val="auto"/>
          <w:highlight w:val="none"/>
        </w:rPr>
        <w:t>1.3具有独立承担民事责任能力的证明材料</w:t>
      </w:r>
    </w:p>
    <w:p>
      <w:pP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8"/>
        <w:tblW w:w="0" w:type="auto"/>
        <w:tblInd w:w="-108"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9145"/>
      </w:tblGrid>
      <w:tr>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PrEx>
        <w:trPr>
          <w:trHeight w:val="10874" w:hRule="atLeast"/>
        </w:trPr>
        <w:tc>
          <w:tcPr>
            <w:tcW w:w="9145" w:type="dxa"/>
            <w:vAlign w:val="center"/>
          </w:tcPr>
          <w:p>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资格要求：具有独立承担民事责任能力</w:t>
            </w:r>
          </w:p>
          <w:p>
            <w:pPr>
              <w:spacing w:line="276" w:lineRule="auto"/>
              <w:rPr>
                <w:rFonts w:ascii="仿宋" w:hAnsi="仿宋" w:eastAsia="仿宋"/>
                <w:b/>
                <w:color w:val="auto"/>
                <w:sz w:val="22"/>
                <w:szCs w:val="28"/>
                <w:highlight w:val="none"/>
              </w:rPr>
            </w:pPr>
          </w:p>
          <w:p>
            <w:pPr>
              <w:spacing w:line="276" w:lineRule="auto"/>
              <w:rPr>
                <w:rFonts w:hint="eastAsia" w:ascii="仿宋" w:hAnsi="仿宋" w:eastAsia="仿宋"/>
                <w:b/>
                <w:color w:val="auto"/>
                <w:sz w:val="22"/>
                <w:szCs w:val="28"/>
                <w:highlight w:val="none"/>
              </w:rPr>
            </w:pPr>
            <w:r>
              <w:rPr>
                <w:rFonts w:hint="eastAsia" w:ascii="仿宋" w:hAnsi="仿宋" w:eastAsia="仿宋"/>
                <w:b/>
                <w:color w:val="auto"/>
                <w:sz w:val="22"/>
                <w:szCs w:val="28"/>
                <w:highlight w:val="none"/>
              </w:rPr>
              <w:t>证明材料：</w:t>
            </w:r>
            <w:r>
              <w:rPr>
                <w:rFonts w:hint="eastAsia" w:ascii="仿宋" w:hAnsi="仿宋" w:eastAsia="仿宋"/>
                <w:b/>
                <w:color w:val="auto"/>
                <w:sz w:val="22"/>
                <w:szCs w:val="28"/>
                <w:highlight w:val="none"/>
                <w:u w:val="single"/>
              </w:rPr>
              <w:t>企业营业执照</w:t>
            </w:r>
            <w:r>
              <w:rPr>
                <w:rFonts w:hint="eastAsia" w:ascii="仿宋" w:hAnsi="仿宋" w:eastAsia="仿宋"/>
                <w:color w:val="auto"/>
                <w:sz w:val="22"/>
                <w:szCs w:val="28"/>
                <w:highlight w:val="none"/>
              </w:rPr>
              <w:t>（提供复制件加盖供应商公章）或</w:t>
            </w:r>
            <w:r>
              <w:rPr>
                <w:rFonts w:hint="eastAsia" w:ascii="仿宋" w:hAnsi="仿宋" w:eastAsia="仿宋"/>
                <w:b/>
                <w:color w:val="auto"/>
                <w:sz w:val="22"/>
                <w:szCs w:val="28"/>
                <w:highlight w:val="none"/>
                <w:u w:val="single"/>
              </w:rPr>
              <w:t>供应商为依法允许经营的事业单位的，应提交事业单位法人证书</w:t>
            </w:r>
            <w:r>
              <w:rPr>
                <w:rFonts w:hint="eastAsia" w:ascii="仿宋" w:hAnsi="仿宋" w:eastAsia="仿宋"/>
                <w:color w:val="auto"/>
                <w:sz w:val="22"/>
                <w:szCs w:val="28"/>
                <w:highlight w:val="none"/>
              </w:rPr>
              <w:t>（提供复制件加盖供应商公章）</w:t>
            </w:r>
          </w:p>
          <w:p>
            <w:pPr>
              <w:spacing w:line="276" w:lineRule="auto"/>
              <w:rPr>
                <w:rFonts w:ascii="仿宋" w:hAnsi="仿宋" w:eastAsia="仿宋"/>
                <w:color w:val="auto"/>
                <w:sz w:val="22"/>
                <w:szCs w:val="28"/>
                <w:highlight w:val="none"/>
              </w:rPr>
            </w:pPr>
          </w:p>
          <w:p>
            <w:pPr>
              <w:spacing w:line="360" w:lineRule="auto"/>
              <w:rPr>
                <w:rFonts w:hint="eastAsia" w:ascii="仿宋" w:hAnsi="仿宋" w:eastAsia="仿宋"/>
                <w:color w:val="auto"/>
                <w:sz w:val="22"/>
                <w:szCs w:val="28"/>
                <w:highlight w:val="none"/>
              </w:rPr>
            </w:pPr>
            <w:r>
              <w:rPr>
                <w:rFonts w:hint="eastAsia" w:ascii="仿宋" w:hAnsi="仿宋" w:eastAsia="仿宋"/>
                <w:color w:val="auto"/>
                <w:sz w:val="22"/>
                <w:szCs w:val="28"/>
                <w:highlight w:val="none"/>
              </w:rPr>
              <w:t>备注：金融、保险、通讯等特定行业的全国性企业所设立的区域性分支机构，以及个体工商户、个人独资企业、合伙企业参加本项目投标的，除上述提供自身企业营业执照外，还须提供总公司（总机构）授权书或房产权证或其他有效财产证明材料（提供复制件加盖供应商公章）。</w:t>
            </w:r>
          </w:p>
        </w:tc>
      </w:tr>
    </w:tbl>
    <w:p>
      <w:pPr>
        <w:spacing w:line="360" w:lineRule="auto"/>
        <w:rPr>
          <w:rFonts w:ascii="Arial" w:hAnsi="Arial" w:eastAsia="新宋体"/>
          <w:i/>
          <w:color w:val="auto"/>
          <w:sz w:val="22"/>
          <w:szCs w:val="22"/>
          <w:highlight w:val="none"/>
        </w:rPr>
      </w:pPr>
    </w:p>
    <w:p>
      <w:pPr>
        <w:rPr>
          <w:rFonts w:hint="eastAsia" w:ascii="仿宋" w:hAnsi="仿宋" w:eastAsia="仿宋"/>
          <w:color w:val="auto"/>
          <w:w w:val="90"/>
          <w:sz w:val="28"/>
          <w:szCs w:val="28"/>
          <w:highlight w:val="none"/>
        </w:rPr>
      </w:pPr>
    </w:p>
    <w:p>
      <w:pPr>
        <w:shd w:val="clear" w:color="auto" w:fill="FFFFFF"/>
        <w:snapToGrid w:val="0"/>
        <w:spacing w:line="360" w:lineRule="auto"/>
        <w:jc w:val="both"/>
        <w:rPr>
          <w:color w:val="auto"/>
          <w:highlight w:val="none"/>
        </w:rPr>
      </w:pPr>
      <w:r>
        <w:rPr>
          <w:color w:val="auto"/>
          <w:highlight w:val="none"/>
        </w:rPr>
        <w:br w:type="page"/>
      </w:r>
    </w:p>
    <w:p>
      <w:pPr>
        <w:pStyle w:val="12"/>
        <w:rPr>
          <w:rFonts w:hint="eastAsia"/>
          <w:color w:val="auto"/>
          <w:highlight w:val="none"/>
        </w:rPr>
      </w:pPr>
      <w:r>
        <w:rPr>
          <w:rFonts w:hint="eastAsia"/>
          <w:color w:val="auto"/>
          <w:highlight w:val="none"/>
        </w:rPr>
        <w:t>二、“报价文件</w:t>
      </w:r>
      <w:r>
        <w:rPr>
          <w:color w:val="auto"/>
          <w:highlight w:val="none"/>
        </w:rPr>
        <w:t>”</w:t>
      </w:r>
      <w:r>
        <w:rPr>
          <w:rFonts w:hint="eastAsia"/>
          <w:color w:val="auto"/>
          <w:highlight w:val="none"/>
        </w:rPr>
        <w:t>格式</w:t>
      </w:r>
    </w:p>
    <w:p>
      <w:pPr>
        <w:pStyle w:val="14"/>
        <w:rPr>
          <w:rFonts w:hint="eastAsia"/>
          <w:color w:val="auto"/>
          <w:highlight w:val="none"/>
        </w:rPr>
      </w:pPr>
      <w:r>
        <w:rPr>
          <w:rFonts w:hint="eastAsia"/>
          <w:color w:val="auto"/>
          <w:highlight w:val="none"/>
        </w:rPr>
        <w:t>2.1 “报价文件”封面</w:t>
      </w:r>
    </w:p>
    <w:p>
      <w:pPr>
        <w:spacing w:line="276" w:lineRule="auto"/>
        <w:jc w:val="center"/>
        <w:rPr>
          <w:rFonts w:hint="eastAsia" w:ascii="华文中宋" w:hAnsi="华文中宋" w:eastAsia="华文中宋"/>
          <w:color w:val="auto"/>
          <w:sz w:val="52"/>
          <w:szCs w:val="18"/>
          <w:highlight w:val="none"/>
          <w:lang w:eastAsia="zh-CN"/>
        </w:rPr>
      </w:pPr>
      <w:r>
        <w:rPr>
          <w:rFonts w:hint="eastAsia" w:ascii="华文中宋" w:hAnsi="华文中宋" w:eastAsia="华文中宋"/>
          <w:color w:val="auto"/>
          <w:sz w:val="52"/>
          <w:szCs w:val="18"/>
          <w:highlight w:val="none"/>
          <w:lang w:eastAsia="zh-CN"/>
        </w:rPr>
        <w:t>平阳县瑞苍高速公路平阳段工程萧江镇淡浦安置地块（凤头B-15、凤头B-25）全过程咨询服务</w:t>
      </w:r>
    </w:p>
    <w:p>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（报价文件）</w:t>
      </w:r>
    </w:p>
    <w:p>
      <w:pPr>
        <w:spacing w:line="360" w:lineRule="auto"/>
        <w:jc w:val="center"/>
        <w:rPr>
          <w:rFonts w:ascii="华文中宋" w:hAnsi="华文中宋" w:eastAsia="华文中宋"/>
          <w:b/>
          <w:color w:val="auto"/>
          <w:sz w:val="52"/>
          <w:szCs w:val="22"/>
          <w:highlight w:val="none"/>
        </w:rPr>
      </w:pPr>
    </w:p>
    <w:tbl>
      <w:tblPr>
        <w:tblStyle w:val="8"/>
        <w:tblW w:w="0" w:type="auto"/>
        <w:tblInd w:w="142"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法定代表人或其授权代表（签字或签章）：</w:t>
            </w:r>
            <w:r>
              <w:rPr>
                <w:rFonts w:ascii="仿宋" w:hAnsi="仿宋" w:eastAsia="仿宋"/>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pPr>
        <w:autoSpaceDE w:val="0"/>
        <w:autoSpaceDN w:val="0"/>
        <w:snapToGrid w:val="0"/>
        <w:spacing w:line="360" w:lineRule="atLeast"/>
        <w:rPr>
          <w:color w:val="auto"/>
          <w:highlight w:val="none"/>
        </w:rPr>
        <w:sectPr>
          <w:headerReference r:id="rId5" w:type="first"/>
          <w:footerReference r:id="rId7" w:type="first"/>
          <w:headerReference r:id="rId4" w:type="default"/>
          <w:footerReference r:id="rId6" w:type="default"/>
          <w:pgSz w:w="11906" w:h="16838"/>
          <w:pgMar w:top="1440" w:right="748" w:bottom="1440" w:left="1361" w:header="720" w:footer="720" w:gutter="0"/>
          <w:cols w:space="720" w:num="1"/>
          <w:docGrid w:linePitch="286" w:charSpace="-3831"/>
        </w:sectPr>
      </w:pPr>
    </w:p>
    <w:p>
      <w:pPr>
        <w:pStyle w:val="24"/>
        <w:snapToGrid w:val="0"/>
        <w:spacing w:line="400" w:lineRule="exact"/>
        <w:rPr>
          <w:rFonts w:hint="eastAsia" w:hAnsi="宋体"/>
          <w:b/>
          <w:bCs/>
          <w:color w:val="auto"/>
          <w:sz w:val="28"/>
          <w:szCs w:val="28"/>
          <w:highlight w:val="none"/>
        </w:rPr>
      </w:pPr>
      <w:r>
        <w:rPr>
          <w:rFonts w:hint="eastAsia" w:hAnsi="宋体"/>
          <w:b/>
          <w:bCs/>
          <w:color w:val="auto"/>
          <w:sz w:val="28"/>
          <w:szCs w:val="28"/>
          <w:highlight w:val="none"/>
        </w:rPr>
        <w:t>2.2</w:t>
      </w:r>
      <w:r>
        <w:rPr>
          <w:rFonts w:hAnsi="宋体"/>
          <w:b/>
          <w:bCs/>
          <w:color w:val="auto"/>
          <w:sz w:val="28"/>
          <w:szCs w:val="28"/>
          <w:highlight w:val="none"/>
        </w:rPr>
        <w:t xml:space="preserve">  </w:t>
      </w:r>
      <w:r>
        <w:rPr>
          <w:rFonts w:hint="eastAsia" w:hAnsi="宋体"/>
          <w:b/>
          <w:bCs/>
          <w:color w:val="auto"/>
          <w:sz w:val="28"/>
          <w:szCs w:val="28"/>
          <w:highlight w:val="none"/>
        </w:rPr>
        <w:t xml:space="preserve"> </w:t>
      </w:r>
      <w:r>
        <w:rPr>
          <w:rFonts w:hint="eastAsia" w:hAnsi="宋体"/>
          <w:color w:val="auto"/>
          <w:sz w:val="36"/>
          <w:szCs w:val="36"/>
          <w:highlight w:val="none"/>
        </w:rPr>
        <w:t xml:space="preserve">  </w:t>
      </w:r>
    </w:p>
    <w:p>
      <w:pPr>
        <w:overflowPunct w:val="0"/>
        <w:spacing w:line="400" w:lineRule="exact"/>
        <w:jc w:val="center"/>
        <w:rPr>
          <w:rFonts w:hint="eastAsia" w:ascii="宋体" w:hAnsi="宋体"/>
          <w:b/>
          <w:bCs/>
          <w:color w:val="auto"/>
          <w:sz w:val="28"/>
          <w:szCs w:val="28"/>
          <w:highlight w:val="none"/>
        </w:rPr>
      </w:pPr>
      <w:r>
        <w:rPr>
          <w:rFonts w:hint="eastAsia" w:ascii="宋体" w:hAnsi="宋体"/>
          <w:b/>
          <w:bCs/>
          <w:color w:val="auto"/>
          <w:sz w:val="28"/>
          <w:szCs w:val="28"/>
          <w:highlight w:val="none"/>
        </w:rPr>
        <w:t>开标一览表</w:t>
      </w:r>
    </w:p>
    <w:p>
      <w:pPr>
        <w:overflowPunct w:val="0"/>
        <w:spacing w:line="380" w:lineRule="exact"/>
        <w:jc w:val="center"/>
        <w:rPr>
          <w:rFonts w:hint="eastAsia" w:ascii="宋体" w:hAnsi="宋体"/>
          <w:b/>
          <w:bCs/>
          <w:color w:val="auto"/>
          <w:highlight w:val="none"/>
        </w:rPr>
      </w:pPr>
      <w:r>
        <w:rPr>
          <w:rFonts w:hint="eastAsia" w:ascii="宋体" w:hAnsi="宋体"/>
          <w:b/>
          <w:bCs/>
          <w:color w:val="auto"/>
          <w:highlight w:val="none"/>
        </w:rPr>
        <w:t xml:space="preserve"> </w:t>
      </w:r>
    </w:p>
    <w:p>
      <w:pPr>
        <w:pStyle w:val="24"/>
        <w:snapToGrid w:val="0"/>
        <w:spacing w:line="400" w:lineRule="exact"/>
        <w:rPr>
          <w:rFonts w:hint="eastAsia" w:hAnsi="宋体"/>
          <w:color w:val="auto"/>
          <w:sz w:val="36"/>
          <w:szCs w:val="36"/>
          <w:highlight w:val="none"/>
        </w:rPr>
      </w:pPr>
    </w:p>
    <w:p>
      <w:pPr>
        <w:pStyle w:val="24"/>
        <w:snapToGrid w:val="0"/>
        <w:spacing w:line="400" w:lineRule="exact"/>
        <w:rPr>
          <w:rFonts w:hint="eastAsia" w:hAnsi="宋体"/>
          <w:color w:val="auto"/>
          <w:sz w:val="24"/>
          <w:highlight w:val="none"/>
        </w:rPr>
      </w:pPr>
      <w:r>
        <w:rPr>
          <w:rFonts w:hint="eastAsia" w:hAnsi="宋体"/>
          <w:color w:val="auto"/>
          <w:sz w:val="24"/>
          <w:highlight w:val="none"/>
        </w:rPr>
        <w:t xml:space="preserve">供应商名称：                                         招标编号：  </w:t>
      </w:r>
    </w:p>
    <w:p>
      <w:pPr>
        <w:pStyle w:val="24"/>
        <w:snapToGrid w:val="0"/>
        <w:spacing w:line="400" w:lineRule="exact"/>
        <w:rPr>
          <w:rFonts w:hint="eastAsia" w:hAnsi="宋体"/>
          <w:color w:val="auto"/>
          <w:sz w:val="24"/>
          <w:highlight w:val="none"/>
        </w:rPr>
      </w:pPr>
    </w:p>
    <w:tbl>
      <w:tblPr>
        <w:tblStyle w:val="8"/>
        <w:tblpPr w:leftFromText="180" w:rightFromText="180" w:vertAnchor="page" w:horzAnchor="margin" w:tblpY="3781"/>
        <w:tblW w:w="505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2"/>
        <w:gridCol w:w="1796"/>
        <w:gridCol w:w="1796"/>
        <w:gridCol w:w="1796"/>
        <w:gridCol w:w="1796"/>
        <w:gridCol w:w="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1422" w:type="dxa"/>
            <w:vAlign w:val="center"/>
          </w:tcPr>
          <w:p>
            <w:pPr>
              <w:jc w:val="center"/>
              <w:rPr>
                <w:rFonts w:hint="eastAsia" w:ascii="宋体" w:hAnsi="宋体" w:eastAsia="宋体"/>
                <w:color w:val="auto"/>
                <w:szCs w:val="22"/>
                <w:highlight w:val="none"/>
              </w:rPr>
            </w:pPr>
            <w:r>
              <w:rPr>
                <w:rFonts w:hint="eastAsia" w:ascii="宋体" w:hAnsi="宋体" w:eastAsia="宋体"/>
                <w:color w:val="auto"/>
                <w:szCs w:val="22"/>
                <w:highlight w:val="none"/>
              </w:rPr>
              <w:t>项目名称</w:t>
            </w:r>
          </w:p>
        </w:tc>
        <w:tc>
          <w:tcPr>
            <w:tcW w:w="1796" w:type="dxa"/>
            <w:vAlign w:val="center"/>
          </w:tcPr>
          <w:p>
            <w:pPr>
              <w:jc w:val="center"/>
              <w:rPr>
                <w:rFonts w:hint="eastAsia" w:ascii="宋体" w:hAnsi="宋体" w:eastAsia="宋体"/>
                <w:color w:val="auto"/>
                <w:szCs w:val="22"/>
                <w:highlight w:val="none"/>
                <w:lang w:val="en-US" w:eastAsia="zh-CN"/>
              </w:rPr>
            </w:pPr>
            <w:r>
              <w:rPr>
                <w:rFonts w:hint="eastAsia" w:ascii="宋体" w:hAnsi="宋体" w:eastAsia="宋体"/>
                <w:color w:val="auto"/>
                <w:szCs w:val="22"/>
                <w:highlight w:val="none"/>
                <w:lang w:val="en-US" w:eastAsia="zh-CN"/>
              </w:rPr>
              <w:t>子项</w:t>
            </w:r>
          </w:p>
        </w:tc>
        <w:tc>
          <w:tcPr>
            <w:tcW w:w="1796" w:type="dxa"/>
            <w:vAlign w:val="center"/>
          </w:tcPr>
          <w:p>
            <w:pPr>
              <w:jc w:val="center"/>
              <w:rPr>
                <w:rFonts w:hint="default" w:ascii="宋体" w:hAnsi="宋体" w:eastAsia="宋体"/>
                <w:color w:val="auto"/>
                <w:szCs w:val="22"/>
                <w:highlight w:val="none"/>
                <w:lang w:val="en-US" w:eastAsia="zh-CN"/>
              </w:rPr>
            </w:pPr>
            <w:r>
              <w:rPr>
                <w:rFonts w:hint="eastAsia" w:ascii="宋体" w:hAnsi="宋体"/>
                <w:color w:val="auto"/>
                <w:szCs w:val="22"/>
                <w:highlight w:val="none"/>
                <w:lang w:val="en-US" w:eastAsia="zh-CN"/>
              </w:rPr>
              <w:t>最高限价（万元）</w:t>
            </w:r>
          </w:p>
        </w:tc>
        <w:tc>
          <w:tcPr>
            <w:tcW w:w="1796" w:type="dxa"/>
            <w:vAlign w:val="center"/>
          </w:tcPr>
          <w:p>
            <w:pPr>
              <w:jc w:val="center"/>
              <w:rPr>
                <w:rFonts w:hint="default" w:ascii="宋体" w:hAnsi="宋体" w:eastAsia="宋体"/>
                <w:color w:val="auto"/>
                <w:szCs w:val="22"/>
                <w:highlight w:val="none"/>
                <w:lang w:val="en-US" w:eastAsia="zh-CN"/>
              </w:rPr>
            </w:pPr>
            <w:r>
              <w:rPr>
                <w:rFonts w:hint="eastAsia" w:ascii="宋体" w:hAnsi="宋体"/>
                <w:color w:val="auto"/>
                <w:szCs w:val="22"/>
                <w:highlight w:val="none"/>
                <w:lang w:val="en-US" w:eastAsia="zh-CN"/>
              </w:rPr>
              <w:t>投标折扣率</w:t>
            </w:r>
          </w:p>
        </w:tc>
        <w:tc>
          <w:tcPr>
            <w:tcW w:w="1796" w:type="dxa"/>
            <w:vAlign w:val="center"/>
          </w:tcPr>
          <w:p>
            <w:pPr>
              <w:jc w:val="center"/>
              <w:rPr>
                <w:rFonts w:hint="eastAsia" w:ascii="宋体" w:hAnsi="宋体" w:eastAsia="宋体"/>
                <w:color w:val="auto"/>
                <w:szCs w:val="22"/>
                <w:highlight w:val="none"/>
                <w:lang w:val="en-US" w:eastAsia="zh-CN"/>
              </w:rPr>
            </w:pPr>
            <w:r>
              <w:rPr>
                <w:rFonts w:hint="eastAsia" w:ascii="宋体" w:hAnsi="宋体" w:eastAsia="宋体"/>
                <w:color w:val="auto"/>
                <w:szCs w:val="22"/>
                <w:highlight w:val="none"/>
                <w:lang w:val="en-US" w:eastAsia="zh-CN"/>
              </w:rPr>
              <w:t>投标报价（</w:t>
            </w:r>
            <w:r>
              <w:rPr>
                <w:rFonts w:hint="eastAsia" w:ascii="宋体" w:hAnsi="宋体"/>
                <w:color w:val="auto"/>
                <w:szCs w:val="22"/>
                <w:highlight w:val="none"/>
                <w:lang w:val="en-US" w:eastAsia="zh-CN"/>
              </w:rPr>
              <w:t>万</w:t>
            </w:r>
            <w:r>
              <w:rPr>
                <w:rFonts w:hint="eastAsia" w:ascii="宋体" w:hAnsi="宋体" w:eastAsia="宋体"/>
                <w:color w:val="auto"/>
                <w:szCs w:val="22"/>
                <w:highlight w:val="none"/>
                <w:lang w:val="en-US" w:eastAsia="zh-CN"/>
              </w:rPr>
              <w:t>元）</w:t>
            </w:r>
          </w:p>
        </w:tc>
        <w:tc>
          <w:tcPr>
            <w:tcW w:w="896" w:type="dxa"/>
            <w:vAlign w:val="center"/>
          </w:tcPr>
          <w:p>
            <w:pPr>
              <w:ind w:right="-11"/>
              <w:jc w:val="center"/>
              <w:rPr>
                <w:rFonts w:hint="eastAsia" w:ascii="宋体" w:hAnsi="宋体"/>
                <w:color w:val="auto"/>
                <w:szCs w:val="22"/>
                <w:highlight w:val="none"/>
              </w:rPr>
            </w:pPr>
            <w:r>
              <w:rPr>
                <w:rFonts w:hint="eastAsia" w:ascii="宋体" w:hAnsi="宋体"/>
                <w:color w:val="auto"/>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422" w:type="dxa"/>
            <w:vMerge w:val="restart"/>
            <w:vAlign w:val="center"/>
          </w:tcPr>
          <w:p>
            <w:pPr>
              <w:jc w:val="center"/>
              <w:rPr>
                <w:rFonts w:hint="eastAsia" w:ascii="宋体" w:hAnsi="宋体" w:eastAsia="宋体"/>
                <w:color w:val="auto"/>
                <w:szCs w:val="22"/>
                <w:highlight w:val="none"/>
                <w:lang w:eastAsia="zh-CN"/>
              </w:rPr>
            </w:pPr>
            <w:r>
              <w:rPr>
                <w:rFonts w:hint="eastAsia" w:ascii="宋体" w:hAnsi="宋体" w:eastAsia="宋体"/>
                <w:color w:val="auto"/>
                <w:szCs w:val="22"/>
                <w:highlight w:val="none"/>
                <w:lang w:eastAsia="zh-CN"/>
              </w:rPr>
              <w:t>平阳县瑞苍高速公路平阳段工程萧江镇淡浦安置地块（凤头B-15、凤头B-25）全过程咨询服务</w:t>
            </w:r>
          </w:p>
        </w:tc>
        <w:tc>
          <w:tcPr>
            <w:tcW w:w="1796" w:type="dxa"/>
            <w:vAlign w:val="center"/>
          </w:tcPr>
          <w:p>
            <w:pPr>
              <w:keepNext w:val="0"/>
              <w:keepLines w:val="0"/>
              <w:widowControl/>
              <w:suppressLineNumbers w:val="0"/>
              <w:jc w:val="center"/>
              <w:rPr>
                <w:rFonts w:hint="eastAsia" w:ascii="宋体" w:hAnsi="宋体" w:eastAsia="宋体"/>
                <w:color w:val="auto"/>
                <w:szCs w:val="22"/>
                <w:highlight w:val="none"/>
                <w:lang w:eastAsia="zh-CN"/>
              </w:rPr>
            </w:pPr>
            <w:r>
              <w:rPr>
                <w:rFonts w:hint="eastAsia" w:ascii="宋体" w:hAnsi="宋体" w:eastAsia="宋体"/>
                <w:i w:val="0"/>
                <w:iCs w:val="0"/>
                <w:color w:val="auto"/>
                <w:kern w:val="0"/>
                <w:sz w:val="22"/>
                <w:szCs w:val="22"/>
                <w:highlight w:val="none"/>
                <w:u w:val="none"/>
                <w:lang w:val="en-US" w:eastAsia="zh-CN" w:bidi="ar"/>
              </w:rPr>
              <w:t>全过程造价咨询服务</w:t>
            </w:r>
          </w:p>
        </w:tc>
        <w:tc>
          <w:tcPr>
            <w:tcW w:w="1796" w:type="dxa"/>
            <w:vAlign w:val="center"/>
          </w:tcPr>
          <w:p>
            <w:pPr>
              <w:keepNext w:val="0"/>
              <w:keepLines w:val="0"/>
              <w:widowControl/>
              <w:suppressLineNumbers w:val="0"/>
              <w:jc w:val="center"/>
              <w:rPr>
                <w:rFonts w:hint="default" w:ascii="宋体" w:hAnsi="宋体" w:eastAsia="宋体"/>
                <w:color w:val="auto"/>
                <w:szCs w:val="22"/>
                <w:highlight w:val="none"/>
                <w:lang w:val="en-US"/>
              </w:rPr>
            </w:pPr>
            <w:r>
              <w:rPr>
                <w:rFonts w:hint="eastAsia" w:ascii="宋体" w:hAnsi="宋体"/>
                <w:i w:val="0"/>
                <w:iCs w:val="0"/>
                <w:color w:val="auto"/>
                <w:kern w:val="0"/>
                <w:sz w:val="22"/>
                <w:szCs w:val="22"/>
                <w:highlight w:val="none"/>
                <w:u w:val="none"/>
                <w:lang w:val="en-US" w:eastAsia="zh-CN" w:bidi="ar"/>
              </w:rPr>
              <w:t>515.47</w:t>
            </w:r>
          </w:p>
        </w:tc>
        <w:tc>
          <w:tcPr>
            <w:tcW w:w="1796" w:type="dxa"/>
            <w:vMerge w:val="restart"/>
            <w:vAlign w:val="center"/>
          </w:tcPr>
          <w:p>
            <w:pPr>
              <w:jc w:val="center"/>
              <w:rPr>
                <w:rFonts w:hint="eastAsia" w:ascii="宋体" w:hAnsi="宋体" w:eastAsia="宋体"/>
                <w:color w:val="auto"/>
                <w:szCs w:val="22"/>
                <w:highlight w:val="none"/>
                <w:lang w:val="en-US" w:eastAsia="zh-CN"/>
              </w:rPr>
            </w:pPr>
            <w:r>
              <w:rPr>
                <w:rFonts w:hint="eastAsia" w:ascii="宋体" w:hAnsi="宋体"/>
                <w:color w:val="auto"/>
                <w:szCs w:val="22"/>
                <w:highlight w:val="none"/>
                <w:u w:val="single"/>
                <w:lang w:val="en-US" w:eastAsia="zh-CN"/>
              </w:rPr>
              <w:t xml:space="preserve">       %</w:t>
            </w:r>
          </w:p>
        </w:tc>
        <w:tc>
          <w:tcPr>
            <w:tcW w:w="1796" w:type="dxa"/>
            <w:vAlign w:val="center"/>
          </w:tcPr>
          <w:p>
            <w:pPr>
              <w:jc w:val="center"/>
              <w:rPr>
                <w:rFonts w:hint="eastAsia" w:ascii="宋体" w:hAnsi="宋体" w:eastAsia="宋体"/>
                <w:color w:val="auto"/>
                <w:szCs w:val="22"/>
                <w:highlight w:val="none"/>
              </w:rPr>
            </w:pPr>
          </w:p>
        </w:tc>
        <w:tc>
          <w:tcPr>
            <w:tcW w:w="896" w:type="dxa"/>
            <w:vMerge w:val="restart"/>
            <w:vAlign w:val="center"/>
          </w:tcPr>
          <w:p>
            <w:pPr>
              <w:jc w:val="center"/>
              <w:rPr>
                <w:rFonts w:hint="eastAsia" w:ascii="宋体" w:hAnsi="宋体" w:eastAsia="宋体"/>
                <w:color w:val="auto"/>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422" w:type="dxa"/>
            <w:vMerge w:val="continue"/>
            <w:vAlign w:val="center"/>
          </w:tcPr>
          <w:p>
            <w:pPr>
              <w:jc w:val="center"/>
              <w:rPr>
                <w:rFonts w:hint="eastAsia" w:ascii="宋体" w:hAnsi="宋体" w:eastAsia="宋体"/>
                <w:color w:val="auto"/>
                <w:szCs w:val="22"/>
                <w:highlight w:val="none"/>
              </w:rPr>
            </w:pPr>
          </w:p>
        </w:tc>
        <w:tc>
          <w:tcPr>
            <w:tcW w:w="1796" w:type="dxa"/>
            <w:vAlign w:val="center"/>
          </w:tcPr>
          <w:p>
            <w:pPr>
              <w:keepNext w:val="0"/>
              <w:keepLines w:val="0"/>
              <w:widowControl/>
              <w:suppressLineNumbers w:val="0"/>
              <w:jc w:val="center"/>
              <w:rPr>
                <w:rFonts w:hint="eastAsia" w:ascii="宋体" w:hAnsi="宋体" w:eastAsia="宋体"/>
                <w:color w:val="auto"/>
                <w:szCs w:val="22"/>
                <w:highlight w:val="none"/>
                <w:lang w:eastAsia="zh-CN"/>
              </w:rPr>
            </w:pPr>
            <w:r>
              <w:rPr>
                <w:rFonts w:hint="eastAsia" w:ascii="宋体" w:hAnsi="宋体" w:eastAsia="宋体"/>
                <w:i w:val="0"/>
                <w:iCs w:val="0"/>
                <w:color w:val="auto"/>
                <w:kern w:val="0"/>
                <w:sz w:val="22"/>
                <w:szCs w:val="22"/>
                <w:highlight w:val="none"/>
                <w:u w:val="none"/>
                <w:lang w:val="en-US" w:eastAsia="zh-CN" w:bidi="ar"/>
              </w:rPr>
              <w:t>项目竣工财务决算</w:t>
            </w:r>
          </w:p>
        </w:tc>
        <w:tc>
          <w:tcPr>
            <w:tcW w:w="1796" w:type="dxa"/>
            <w:vAlign w:val="center"/>
          </w:tcPr>
          <w:p>
            <w:pPr>
              <w:keepNext w:val="0"/>
              <w:keepLines w:val="0"/>
              <w:widowControl/>
              <w:suppressLineNumbers w:val="0"/>
              <w:jc w:val="center"/>
              <w:rPr>
                <w:rFonts w:hint="default" w:ascii="宋体" w:hAnsi="宋体" w:eastAsia="宋体"/>
                <w:color w:val="auto"/>
                <w:szCs w:val="22"/>
                <w:highlight w:val="none"/>
                <w:lang w:val="en-US" w:eastAsia="zh-CN"/>
              </w:rPr>
            </w:pPr>
            <w:r>
              <w:rPr>
                <w:rFonts w:hint="eastAsia" w:ascii="宋体" w:hAnsi="宋体"/>
                <w:i w:val="0"/>
                <w:iCs w:val="0"/>
                <w:color w:val="auto"/>
                <w:kern w:val="0"/>
                <w:sz w:val="22"/>
                <w:szCs w:val="22"/>
                <w:highlight w:val="none"/>
                <w:u w:val="none"/>
                <w:lang w:val="en-US" w:eastAsia="zh-CN" w:bidi="ar"/>
              </w:rPr>
              <w:t>15.94</w:t>
            </w:r>
          </w:p>
        </w:tc>
        <w:tc>
          <w:tcPr>
            <w:tcW w:w="1796" w:type="dxa"/>
            <w:vMerge w:val="continue"/>
            <w:vAlign w:val="center"/>
          </w:tcPr>
          <w:p>
            <w:pPr>
              <w:jc w:val="center"/>
              <w:rPr>
                <w:rFonts w:hint="eastAsia" w:ascii="宋体" w:hAnsi="宋体" w:eastAsia="宋体"/>
                <w:color w:val="auto"/>
                <w:szCs w:val="22"/>
                <w:highlight w:val="none"/>
                <w:lang w:eastAsia="zh-CN"/>
              </w:rPr>
            </w:pPr>
          </w:p>
        </w:tc>
        <w:tc>
          <w:tcPr>
            <w:tcW w:w="1796" w:type="dxa"/>
            <w:vAlign w:val="center"/>
          </w:tcPr>
          <w:p>
            <w:pPr>
              <w:jc w:val="center"/>
              <w:rPr>
                <w:rFonts w:hint="eastAsia" w:ascii="宋体" w:hAnsi="宋体" w:eastAsia="宋体"/>
                <w:color w:val="auto"/>
                <w:szCs w:val="22"/>
                <w:highlight w:val="none"/>
                <w:lang w:eastAsia="zh-CN"/>
              </w:rPr>
            </w:pPr>
          </w:p>
        </w:tc>
        <w:tc>
          <w:tcPr>
            <w:tcW w:w="896" w:type="dxa"/>
            <w:vMerge w:val="continue"/>
            <w:vAlign w:val="center"/>
          </w:tcPr>
          <w:p>
            <w:pPr>
              <w:jc w:val="center"/>
              <w:rPr>
                <w:rFonts w:hint="eastAsia" w:ascii="宋体" w:hAnsi="宋体"/>
                <w:color w:val="auto"/>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422" w:type="dxa"/>
            <w:vMerge w:val="continue"/>
            <w:vAlign w:val="center"/>
          </w:tcPr>
          <w:p>
            <w:pPr>
              <w:jc w:val="center"/>
              <w:rPr>
                <w:rFonts w:hint="eastAsia" w:ascii="宋体" w:hAnsi="宋体" w:eastAsia="宋体"/>
                <w:color w:val="auto"/>
                <w:szCs w:val="22"/>
                <w:highlight w:val="none"/>
                <w:lang w:eastAsia="zh-CN"/>
              </w:rPr>
            </w:pPr>
          </w:p>
        </w:tc>
        <w:tc>
          <w:tcPr>
            <w:tcW w:w="1796" w:type="dxa"/>
            <w:vAlign w:val="center"/>
          </w:tcPr>
          <w:p>
            <w:pPr>
              <w:keepNext w:val="0"/>
              <w:keepLines w:val="0"/>
              <w:widowControl/>
              <w:suppressLineNumbers w:val="0"/>
              <w:jc w:val="center"/>
              <w:rPr>
                <w:rFonts w:hint="eastAsia" w:ascii="宋体" w:hAnsi="宋体" w:eastAsia="宋体"/>
                <w:color w:val="auto"/>
                <w:szCs w:val="22"/>
                <w:highlight w:val="none"/>
                <w:lang w:eastAsia="zh-CN"/>
              </w:rPr>
            </w:pPr>
            <w:r>
              <w:rPr>
                <w:rFonts w:hint="eastAsia" w:ascii="宋体" w:hAnsi="宋体"/>
                <w:i w:val="0"/>
                <w:iCs w:val="0"/>
                <w:color w:val="auto"/>
                <w:kern w:val="0"/>
                <w:sz w:val="22"/>
                <w:szCs w:val="22"/>
                <w:highlight w:val="none"/>
                <w:u w:val="none"/>
                <w:lang w:val="en-US" w:eastAsia="zh-CN" w:bidi="ar"/>
              </w:rPr>
              <w:t>项目管理-至施工代建进场并完成交接前</w:t>
            </w:r>
          </w:p>
        </w:tc>
        <w:tc>
          <w:tcPr>
            <w:tcW w:w="1796" w:type="dxa"/>
            <w:vAlign w:val="center"/>
          </w:tcPr>
          <w:p>
            <w:pPr>
              <w:keepNext w:val="0"/>
              <w:keepLines w:val="0"/>
              <w:widowControl/>
              <w:suppressLineNumbers w:val="0"/>
              <w:jc w:val="center"/>
              <w:rPr>
                <w:rFonts w:hint="default" w:ascii="宋体" w:hAnsi="宋体" w:eastAsia="宋体"/>
                <w:color w:val="auto"/>
                <w:szCs w:val="22"/>
                <w:highlight w:val="none"/>
                <w:lang w:val="en-US" w:eastAsia="zh-CN"/>
              </w:rPr>
            </w:pPr>
            <w:r>
              <w:rPr>
                <w:rFonts w:hint="eastAsia" w:ascii="宋体" w:hAnsi="宋体"/>
                <w:i w:val="0"/>
                <w:iCs w:val="0"/>
                <w:color w:val="auto"/>
                <w:kern w:val="0"/>
                <w:sz w:val="22"/>
                <w:szCs w:val="22"/>
                <w:highlight w:val="none"/>
                <w:u w:val="none"/>
                <w:lang w:val="en-US" w:eastAsia="zh-CN" w:bidi="ar"/>
              </w:rPr>
              <w:t>50</w:t>
            </w:r>
          </w:p>
        </w:tc>
        <w:tc>
          <w:tcPr>
            <w:tcW w:w="1796" w:type="dxa"/>
            <w:vMerge w:val="continue"/>
            <w:vAlign w:val="center"/>
          </w:tcPr>
          <w:p>
            <w:pPr>
              <w:jc w:val="center"/>
              <w:rPr>
                <w:rFonts w:hint="eastAsia" w:ascii="宋体" w:hAnsi="宋体" w:eastAsia="宋体"/>
                <w:color w:val="auto"/>
                <w:szCs w:val="22"/>
                <w:highlight w:val="none"/>
                <w:lang w:eastAsia="zh-CN"/>
              </w:rPr>
            </w:pPr>
          </w:p>
        </w:tc>
        <w:tc>
          <w:tcPr>
            <w:tcW w:w="1796" w:type="dxa"/>
            <w:vAlign w:val="center"/>
          </w:tcPr>
          <w:p>
            <w:pPr>
              <w:jc w:val="center"/>
              <w:rPr>
                <w:rFonts w:hint="eastAsia" w:ascii="宋体" w:hAnsi="宋体" w:eastAsia="宋体"/>
                <w:color w:val="auto"/>
                <w:szCs w:val="22"/>
                <w:highlight w:val="none"/>
                <w:lang w:eastAsia="zh-CN"/>
              </w:rPr>
            </w:pPr>
          </w:p>
        </w:tc>
        <w:tc>
          <w:tcPr>
            <w:tcW w:w="896" w:type="dxa"/>
            <w:vMerge w:val="continue"/>
            <w:vAlign w:val="center"/>
          </w:tcPr>
          <w:p>
            <w:pPr>
              <w:jc w:val="center"/>
              <w:rPr>
                <w:rFonts w:hint="eastAsia" w:ascii="宋体" w:hAnsi="宋体"/>
                <w:color w:val="auto"/>
                <w:szCs w:val="22"/>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3218" w:type="dxa"/>
            <w:gridSpan w:val="2"/>
            <w:vAlign w:val="center"/>
          </w:tcPr>
          <w:p>
            <w:pPr>
              <w:keepNext w:val="0"/>
              <w:keepLines w:val="0"/>
              <w:widowControl/>
              <w:suppressLineNumbers w:val="0"/>
              <w:jc w:val="center"/>
              <w:rPr>
                <w:rFonts w:hint="default" w:ascii="宋体" w:hAnsi="宋体"/>
                <w:i w:val="0"/>
                <w:iCs w:val="0"/>
                <w:color w:val="auto"/>
                <w:kern w:val="0"/>
                <w:sz w:val="22"/>
                <w:szCs w:val="22"/>
                <w:highlight w:val="none"/>
                <w:u w:val="none"/>
                <w:lang w:val="en-US" w:eastAsia="zh-CN" w:bidi="ar"/>
              </w:rPr>
            </w:pPr>
            <w:r>
              <w:rPr>
                <w:rFonts w:hint="eastAsia" w:ascii="宋体" w:hAnsi="宋体"/>
                <w:i w:val="0"/>
                <w:iCs w:val="0"/>
                <w:color w:val="auto"/>
                <w:kern w:val="0"/>
                <w:sz w:val="22"/>
                <w:szCs w:val="22"/>
                <w:highlight w:val="none"/>
                <w:u w:val="none"/>
                <w:lang w:val="en-US" w:eastAsia="zh-CN" w:bidi="ar"/>
              </w:rPr>
              <w:t>投标报价合计</w:t>
            </w:r>
          </w:p>
        </w:tc>
        <w:tc>
          <w:tcPr>
            <w:tcW w:w="1796" w:type="dxa"/>
            <w:vAlign w:val="center"/>
          </w:tcPr>
          <w:p>
            <w:pPr>
              <w:keepNext w:val="0"/>
              <w:keepLines w:val="0"/>
              <w:widowControl/>
              <w:suppressLineNumbers w:val="0"/>
              <w:jc w:val="center"/>
              <w:rPr>
                <w:rFonts w:hint="default" w:ascii="宋体" w:hAnsi="宋体"/>
                <w:i w:val="0"/>
                <w:iCs w:val="0"/>
                <w:color w:val="auto"/>
                <w:kern w:val="0"/>
                <w:sz w:val="22"/>
                <w:szCs w:val="22"/>
                <w:highlight w:val="none"/>
                <w:u w:val="none"/>
                <w:lang w:val="en-US" w:eastAsia="zh-CN" w:bidi="ar"/>
              </w:rPr>
            </w:pPr>
            <w:r>
              <w:rPr>
                <w:rFonts w:hint="eastAsia" w:ascii="宋体" w:hAnsi="宋体"/>
                <w:i w:val="0"/>
                <w:iCs w:val="0"/>
                <w:color w:val="auto"/>
                <w:kern w:val="0"/>
                <w:sz w:val="22"/>
                <w:szCs w:val="22"/>
                <w:highlight w:val="none"/>
                <w:u w:val="none"/>
                <w:lang w:val="en-US" w:eastAsia="zh-CN" w:bidi="ar"/>
              </w:rPr>
              <w:t>581.41</w:t>
            </w:r>
          </w:p>
        </w:tc>
        <w:tc>
          <w:tcPr>
            <w:tcW w:w="1796" w:type="dxa"/>
            <w:vAlign w:val="center"/>
          </w:tcPr>
          <w:p>
            <w:pPr>
              <w:jc w:val="center"/>
              <w:rPr>
                <w:rFonts w:hint="default" w:ascii="宋体" w:hAnsi="宋体" w:eastAsia="宋体"/>
                <w:color w:val="auto"/>
                <w:szCs w:val="22"/>
                <w:highlight w:val="none"/>
                <w:lang w:val="en-US" w:eastAsia="zh-CN"/>
              </w:rPr>
            </w:pPr>
            <w:r>
              <w:rPr>
                <w:rFonts w:hint="eastAsia" w:ascii="宋体" w:hAnsi="宋体"/>
                <w:color w:val="auto"/>
                <w:szCs w:val="22"/>
                <w:highlight w:val="none"/>
                <w:lang w:val="en-US" w:eastAsia="zh-CN"/>
              </w:rPr>
              <w:t>/</w:t>
            </w:r>
          </w:p>
        </w:tc>
        <w:tc>
          <w:tcPr>
            <w:tcW w:w="1796" w:type="dxa"/>
            <w:vAlign w:val="center"/>
          </w:tcPr>
          <w:p>
            <w:pPr>
              <w:jc w:val="center"/>
              <w:rPr>
                <w:rFonts w:hint="eastAsia" w:ascii="宋体" w:hAnsi="宋体" w:eastAsia="宋体"/>
                <w:color w:val="auto"/>
                <w:szCs w:val="22"/>
                <w:highlight w:val="none"/>
                <w:lang w:eastAsia="zh-CN"/>
              </w:rPr>
            </w:pPr>
          </w:p>
        </w:tc>
        <w:tc>
          <w:tcPr>
            <w:tcW w:w="896" w:type="dxa"/>
            <w:vAlign w:val="center"/>
          </w:tcPr>
          <w:p>
            <w:pPr>
              <w:jc w:val="center"/>
              <w:rPr>
                <w:rFonts w:hint="eastAsia" w:ascii="宋体" w:hAnsi="宋体"/>
                <w:color w:val="auto"/>
                <w:szCs w:val="22"/>
                <w:highlight w:val="none"/>
                <w:lang w:eastAsia="zh-CN"/>
              </w:rPr>
            </w:pPr>
          </w:p>
        </w:tc>
      </w:tr>
    </w:tbl>
    <w:p>
      <w:pPr>
        <w:autoSpaceDE w:val="0"/>
        <w:autoSpaceDN w:val="0"/>
        <w:spacing w:line="440" w:lineRule="atLeast"/>
        <w:rPr>
          <w:rFonts w:hint="eastAsia" w:ascii="宋体" w:hAnsi="宋体" w:eastAsia="宋体"/>
          <w:color w:val="auto"/>
          <w:szCs w:val="22"/>
          <w:highlight w:val="none"/>
          <w:lang w:val="en-US" w:eastAsia="zh-CN"/>
        </w:rPr>
      </w:pPr>
      <w:r>
        <w:rPr>
          <w:rFonts w:hint="eastAsia" w:ascii="宋体" w:hAnsi="宋体" w:eastAsia="宋体"/>
          <w:color w:val="auto"/>
          <w:szCs w:val="22"/>
          <w:highlight w:val="none"/>
          <w:lang w:val="en-US" w:eastAsia="zh-CN"/>
        </w:rPr>
        <w:t>1、</w:t>
      </w:r>
      <w:r>
        <w:rPr>
          <w:rFonts w:hint="eastAsia" w:ascii="宋体" w:hAnsi="宋体" w:eastAsia="宋体"/>
          <w:color w:val="auto"/>
          <w:szCs w:val="22"/>
          <w:highlight w:val="none"/>
          <w:lang w:val="zh-CN"/>
        </w:rPr>
        <w:t>▲开标一览表中报价为符合采购文件要求的项目投标</w:t>
      </w:r>
      <w:r>
        <w:rPr>
          <w:rFonts w:hint="eastAsia" w:ascii="宋体" w:hAnsi="宋体" w:eastAsia="宋体"/>
          <w:color w:val="auto"/>
          <w:szCs w:val="22"/>
          <w:highlight w:val="none"/>
          <w:lang w:val="en-US" w:eastAsia="zh-CN"/>
        </w:rPr>
        <w:t>总</w:t>
      </w:r>
      <w:r>
        <w:rPr>
          <w:rFonts w:hint="eastAsia" w:ascii="宋体" w:hAnsi="宋体" w:eastAsia="宋体"/>
          <w:color w:val="auto"/>
          <w:szCs w:val="22"/>
          <w:highlight w:val="none"/>
          <w:lang w:val="zh-CN"/>
        </w:rPr>
        <w:t>价，包括整个项目实施过程中所有费用。</w:t>
      </w:r>
    </w:p>
    <w:p>
      <w:pPr>
        <w:autoSpaceDE w:val="0"/>
        <w:autoSpaceDN w:val="0"/>
        <w:spacing w:line="440" w:lineRule="atLeast"/>
        <w:rPr>
          <w:rFonts w:hint="eastAsia" w:ascii="宋体" w:hAnsi="宋体" w:eastAsia="宋体"/>
          <w:color w:val="auto"/>
          <w:szCs w:val="22"/>
          <w:highlight w:val="none"/>
          <w:lang w:val="en-US" w:eastAsia="zh-CN"/>
        </w:rPr>
      </w:pPr>
      <w:r>
        <w:rPr>
          <w:rFonts w:hint="eastAsia" w:ascii="宋体" w:hAnsi="宋体" w:eastAsia="宋体"/>
          <w:color w:val="auto"/>
          <w:szCs w:val="22"/>
          <w:highlight w:val="none"/>
          <w:lang w:val="en-US" w:eastAsia="zh-CN"/>
        </w:rPr>
        <w:t>2</w:t>
      </w:r>
      <w:r>
        <w:rPr>
          <w:rFonts w:hint="eastAsia" w:ascii="宋体" w:hAnsi="宋体" w:eastAsia="宋体"/>
          <w:color w:val="auto"/>
          <w:szCs w:val="22"/>
          <w:highlight w:val="none"/>
          <w:lang w:val="zh-CN"/>
        </w:rPr>
        <w:t>、▲不提供此表格的将视为没有实质性响应采购文件。</w:t>
      </w:r>
    </w:p>
    <w:p>
      <w:pPr>
        <w:autoSpaceDE w:val="0"/>
        <w:autoSpaceDN w:val="0"/>
        <w:spacing w:line="440" w:lineRule="atLeast"/>
        <w:outlineLvl w:val="9"/>
        <w:rPr>
          <w:rFonts w:hint="eastAsia"/>
          <w:color w:val="auto"/>
          <w:sz w:val="24"/>
          <w:highlight w:val="none"/>
          <w:lang w:val="zh-CN"/>
        </w:rPr>
      </w:pPr>
    </w:p>
    <w:p>
      <w:pPr>
        <w:autoSpaceDE w:val="0"/>
        <w:autoSpaceDN w:val="0"/>
        <w:spacing w:line="440" w:lineRule="atLeast"/>
        <w:rPr>
          <w:rFonts w:hint="eastAsia" w:ascii="宋体" w:hAnsi="宋体"/>
          <w:color w:val="auto"/>
          <w:szCs w:val="22"/>
          <w:highlight w:val="none"/>
          <w:lang w:val="zh-CN"/>
        </w:rPr>
      </w:pPr>
    </w:p>
    <w:p>
      <w:pPr>
        <w:autoSpaceDE w:val="0"/>
        <w:autoSpaceDN w:val="0"/>
        <w:spacing w:line="440" w:lineRule="atLeast"/>
        <w:rPr>
          <w:rFonts w:hint="eastAsia" w:ascii="宋体" w:hAnsi="宋体"/>
          <w:color w:val="auto"/>
          <w:szCs w:val="22"/>
          <w:highlight w:val="none"/>
          <w:lang w:val="zh-CN"/>
        </w:rPr>
      </w:pPr>
      <w:r>
        <w:rPr>
          <w:rFonts w:hint="eastAsia" w:ascii="宋体" w:hAnsi="宋体"/>
          <w:color w:val="auto"/>
          <w:szCs w:val="22"/>
          <w:highlight w:val="none"/>
          <w:lang w:val="zh-CN"/>
        </w:rPr>
        <w:t>供应商全称（盖章）：</w:t>
      </w:r>
    </w:p>
    <w:p>
      <w:pPr>
        <w:autoSpaceDE w:val="0"/>
        <w:autoSpaceDN w:val="0"/>
        <w:spacing w:line="440" w:lineRule="atLeast"/>
        <w:rPr>
          <w:rFonts w:hint="eastAsia" w:ascii="宋体" w:hAnsi="宋体"/>
          <w:color w:val="auto"/>
          <w:szCs w:val="22"/>
          <w:highlight w:val="none"/>
          <w:lang w:val="zh-CN"/>
        </w:rPr>
      </w:pPr>
      <w:r>
        <w:rPr>
          <w:rFonts w:hint="eastAsia" w:ascii="宋体" w:hAnsi="宋体"/>
          <w:color w:val="auto"/>
          <w:szCs w:val="22"/>
          <w:highlight w:val="none"/>
          <w:lang w:val="zh-CN"/>
        </w:rPr>
        <w:t>法定代表人或授权代表</w:t>
      </w:r>
      <w:r>
        <w:rPr>
          <w:rFonts w:hint="eastAsia" w:ascii="宋体" w:hAnsi="宋体"/>
          <w:bCs/>
          <w:color w:val="auto"/>
          <w:szCs w:val="22"/>
          <w:highlight w:val="none"/>
        </w:rPr>
        <w:t>（签字或盖章）</w:t>
      </w:r>
      <w:r>
        <w:rPr>
          <w:rFonts w:hint="eastAsia" w:ascii="宋体" w:hAnsi="宋体"/>
          <w:color w:val="auto"/>
          <w:szCs w:val="22"/>
          <w:highlight w:val="none"/>
          <w:lang w:val="zh-CN"/>
        </w:rPr>
        <w:t>：</w:t>
      </w:r>
    </w:p>
    <w:p>
      <w:pPr>
        <w:autoSpaceDE w:val="0"/>
        <w:autoSpaceDN w:val="0"/>
        <w:spacing w:line="440" w:lineRule="atLeast"/>
        <w:rPr>
          <w:rFonts w:hint="eastAsia" w:ascii="宋体" w:hAnsi="宋体"/>
          <w:color w:val="auto"/>
          <w:szCs w:val="22"/>
          <w:highlight w:val="none"/>
          <w:lang w:val="zh-CN"/>
        </w:rPr>
      </w:pPr>
      <w:r>
        <w:rPr>
          <w:rFonts w:hint="eastAsia" w:ascii="宋体" w:hAnsi="宋体"/>
          <w:color w:val="auto"/>
          <w:szCs w:val="22"/>
          <w:highlight w:val="none"/>
          <w:lang w:val="zh-CN"/>
        </w:rPr>
        <w:t>日期：</w:t>
      </w: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p>
    <w:p>
      <w:pPr>
        <w:pStyle w:val="24"/>
        <w:snapToGrid w:val="0"/>
        <w:spacing w:line="400" w:lineRule="exact"/>
        <w:jc w:val="left"/>
        <w:rPr>
          <w:rFonts w:hint="eastAsia" w:hAnsi="宋体"/>
          <w:color w:val="auto"/>
          <w:sz w:val="24"/>
          <w:szCs w:val="24"/>
          <w:highlight w:val="none"/>
          <w:lang w:val="en-US" w:eastAsia="zh-CN"/>
        </w:rPr>
      </w:pPr>
      <w:r>
        <w:rPr>
          <w:rFonts w:hint="eastAsia" w:hAnsi="宋体"/>
          <w:color w:val="auto"/>
          <w:sz w:val="24"/>
          <w:szCs w:val="24"/>
          <w:highlight w:val="none"/>
          <w:lang w:val="en-US" w:eastAsia="zh-CN"/>
        </w:rPr>
        <w:t>2.3</w:t>
      </w:r>
    </w:p>
    <w:p>
      <w:pPr>
        <w:pStyle w:val="25"/>
        <w:rPr>
          <w:rFonts w:hint="eastAsia" w:hAnsi="宋体"/>
          <w:color w:val="auto"/>
          <w:sz w:val="24"/>
          <w:szCs w:val="24"/>
          <w:highlight w:val="none"/>
        </w:rPr>
      </w:pPr>
    </w:p>
    <w:p>
      <w:pPr>
        <w:overflowPunct w:val="0"/>
        <w:spacing w:line="400" w:lineRule="exact"/>
        <w:jc w:val="center"/>
        <w:rPr>
          <w:rFonts w:hint="eastAsia" w:ascii="宋体" w:hAnsi="宋体" w:eastAsia="宋体"/>
          <w:b/>
          <w:bCs/>
          <w:color w:val="auto"/>
          <w:sz w:val="28"/>
          <w:szCs w:val="28"/>
          <w:highlight w:val="none"/>
          <w:lang w:val="zh-CN"/>
        </w:rPr>
      </w:pPr>
      <w:r>
        <w:rPr>
          <w:rFonts w:hint="eastAsia" w:ascii="宋体" w:hAnsi="宋体" w:eastAsia="宋体"/>
          <w:b/>
          <w:bCs/>
          <w:color w:val="auto"/>
          <w:sz w:val="28"/>
          <w:szCs w:val="28"/>
          <w:highlight w:val="none"/>
          <w:lang w:val="zh-CN"/>
        </w:rPr>
        <w:t>报价分析明细表</w:t>
      </w:r>
    </w:p>
    <w:tbl>
      <w:tblPr>
        <w:tblStyle w:val="8"/>
        <w:tblpPr w:leftFromText="180" w:rightFromText="180" w:vertAnchor="text" w:horzAnchor="page" w:tblpX="1486" w:tblpY="449"/>
        <w:tblOverlap w:val="never"/>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04"/>
        <w:gridCol w:w="5631"/>
        <w:gridCol w:w="19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rPr>
            </w:pPr>
            <w:r>
              <w:rPr>
                <w:rFonts w:hint="eastAsia" w:hAnsi="宋体"/>
                <w:bCs/>
                <w:color w:val="auto"/>
                <w:highlight w:val="none"/>
              </w:rPr>
              <w:t>序号</w:t>
            </w:r>
          </w:p>
        </w:tc>
        <w:tc>
          <w:tcPr>
            <w:tcW w:w="5631" w:type="dxa"/>
            <w:vAlign w:val="center"/>
          </w:tcPr>
          <w:p>
            <w:pPr>
              <w:pStyle w:val="24"/>
              <w:spacing w:line="300" w:lineRule="auto"/>
              <w:jc w:val="center"/>
              <w:rPr>
                <w:rFonts w:hint="eastAsia" w:hAnsi="宋体"/>
                <w:bCs/>
                <w:color w:val="auto"/>
                <w:highlight w:val="none"/>
              </w:rPr>
            </w:pPr>
            <w:r>
              <w:rPr>
                <w:rFonts w:hint="eastAsia" w:hAnsi="宋体"/>
                <w:bCs/>
                <w:color w:val="auto"/>
                <w:highlight w:val="none"/>
              </w:rPr>
              <w:t>分项名称</w:t>
            </w:r>
          </w:p>
        </w:tc>
        <w:tc>
          <w:tcPr>
            <w:tcW w:w="1912" w:type="dxa"/>
            <w:vAlign w:val="center"/>
          </w:tcPr>
          <w:p>
            <w:pPr>
              <w:pStyle w:val="24"/>
              <w:spacing w:line="300" w:lineRule="auto"/>
              <w:jc w:val="center"/>
              <w:rPr>
                <w:rFonts w:hint="eastAsia" w:hAnsi="宋体"/>
                <w:bCs/>
                <w:color w:val="auto"/>
                <w:highlight w:val="none"/>
              </w:rPr>
            </w:pPr>
            <w:r>
              <w:rPr>
                <w:rFonts w:hint="eastAsia" w:hAnsi="宋体"/>
                <w:bCs/>
                <w:color w:val="auto"/>
                <w:highlight w:val="none"/>
              </w:rPr>
              <w:t>价格（元）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w:t>
            </w:r>
          </w:p>
        </w:tc>
        <w:tc>
          <w:tcPr>
            <w:tcW w:w="5631" w:type="dxa"/>
            <w:vAlign w:val="center"/>
          </w:tcPr>
          <w:p>
            <w:pPr>
              <w:jc w:val="center"/>
              <w:rPr>
                <w:rFonts w:hint="eastAsia" w:ascii="宋体" w:hAnsi="宋体" w:eastAsia="宋体"/>
                <w:i w:val="0"/>
                <w:iCs w:val="0"/>
                <w:color w:val="auto"/>
                <w:kern w:val="0"/>
                <w:sz w:val="22"/>
                <w:szCs w:val="22"/>
                <w:highlight w:val="none"/>
                <w:u w:val="none"/>
                <w:lang w:val="en-US" w:eastAsia="zh-CN" w:bidi="ar"/>
              </w:rPr>
            </w:pPr>
            <w:r>
              <w:rPr>
                <w:rFonts w:hint="eastAsia" w:ascii="宋体" w:hAnsi="宋体" w:eastAsia="宋体"/>
                <w:i w:val="0"/>
                <w:iCs w:val="0"/>
                <w:color w:val="auto"/>
                <w:kern w:val="0"/>
                <w:sz w:val="22"/>
                <w:szCs w:val="22"/>
                <w:highlight w:val="none"/>
                <w:u w:val="none"/>
                <w:lang w:val="en-US" w:eastAsia="zh-CN" w:bidi="ar"/>
              </w:rPr>
              <w:t>B15地块</w:t>
            </w: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1.1</w:t>
            </w:r>
          </w:p>
        </w:tc>
        <w:tc>
          <w:tcPr>
            <w:tcW w:w="5631" w:type="dxa"/>
            <w:vAlign w:val="center"/>
          </w:tcPr>
          <w:p>
            <w:pPr>
              <w:pStyle w:val="24"/>
              <w:spacing w:line="360" w:lineRule="auto"/>
              <w:jc w:val="center"/>
              <w:rPr>
                <w:rFonts w:hint="eastAsia" w:ascii="宋体" w:hAnsi="宋体"/>
                <w:bCs/>
                <w:color w:val="auto"/>
                <w:szCs w:val="21"/>
                <w:highlight w:val="none"/>
              </w:rPr>
            </w:pPr>
            <w:r>
              <w:rPr>
                <w:rFonts w:hint="eastAsia" w:ascii="宋体" w:hAnsi="宋体" w:eastAsia="宋体"/>
                <w:i w:val="0"/>
                <w:iCs w:val="0"/>
                <w:color w:val="auto"/>
                <w:kern w:val="0"/>
                <w:sz w:val="22"/>
                <w:szCs w:val="22"/>
                <w:highlight w:val="none"/>
                <w:u w:val="none"/>
                <w:lang w:val="en-US" w:eastAsia="zh-CN" w:bidi="ar"/>
              </w:rPr>
              <w:t>全过程造价咨询服务</w:t>
            </w: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1.1.1</w:t>
            </w:r>
          </w:p>
        </w:tc>
        <w:tc>
          <w:tcPr>
            <w:tcW w:w="5631" w:type="dxa"/>
            <w:vAlign w:val="center"/>
          </w:tcPr>
          <w:p>
            <w:pPr>
              <w:pStyle w:val="24"/>
              <w:spacing w:line="360" w:lineRule="auto"/>
              <w:jc w:val="center"/>
              <w:rPr>
                <w:rFonts w:hint="eastAsia" w:ascii="宋体" w:hAnsi="宋体"/>
                <w:bCs/>
                <w:color w:val="auto"/>
                <w:szCs w:val="21"/>
                <w:highlight w:val="none"/>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1.1.2</w:t>
            </w:r>
          </w:p>
        </w:tc>
        <w:tc>
          <w:tcPr>
            <w:tcW w:w="5631" w:type="dxa"/>
            <w:vAlign w:val="center"/>
          </w:tcPr>
          <w:p>
            <w:pPr>
              <w:pStyle w:val="24"/>
              <w:spacing w:line="360" w:lineRule="auto"/>
              <w:jc w:val="center"/>
              <w:rPr>
                <w:rFonts w:hint="eastAsia" w:ascii="宋体" w:hAnsi="宋体"/>
                <w:bCs/>
                <w:color w:val="auto"/>
                <w:szCs w:val="21"/>
                <w:highlight w:val="none"/>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w:t>
            </w:r>
          </w:p>
        </w:tc>
        <w:tc>
          <w:tcPr>
            <w:tcW w:w="5631" w:type="dxa"/>
            <w:vAlign w:val="center"/>
          </w:tcPr>
          <w:p>
            <w:pPr>
              <w:pStyle w:val="24"/>
              <w:spacing w:line="360" w:lineRule="auto"/>
              <w:jc w:val="center"/>
              <w:rPr>
                <w:rFonts w:hint="eastAsia" w:ascii="宋体" w:hAnsi="宋体"/>
                <w:bCs/>
                <w:color w:val="auto"/>
                <w:szCs w:val="21"/>
                <w:highlight w:val="none"/>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1.2</w:t>
            </w:r>
          </w:p>
        </w:tc>
        <w:tc>
          <w:tcPr>
            <w:tcW w:w="5631" w:type="dxa"/>
            <w:vAlign w:val="center"/>
          </w:tcPr>
          <w:p>
            <w:pPr>
              <w:pStyle w:val="24"/>
              <w:spacing w:line="360" w:lineRule="auto"/>
              <w:jc w:val="center"/>
              <w:rPr>
                <w:rFonts w:hint="eastAsia" w:ascii="宋体" w:hAnsi="宋体"/>
                <w:bCs/>
                <w:color w:val="auto"/>
                <w:szCs w:val="21"/>
                <w:highlight w:val="none"/>
              </w:rPr>
            </w:pPr>
            <w:r>
              <w:rPr>
                <w:rFonts w:hint="eastAsia" w:ascii="宋体" w:hAnsi="宋体" w:eastAsia="宋体"/>
                <w:i w:val="0"/>
                <w:iCs w:val="0"/>
                <w:color w:val="auto"/>
                <w:kern w:val="0"/>
                <w:sz w:val="22"/>
                <w:szCs w:val="22"/>
                <w:highlight w:val="none"/>
                <w:u w:val="none"/>
                <w:lang w:val="en-US" w:eastAsia="zh-CN" w:bidi="ar"/>
              </w:rPr>
              <w:t>项目竣工财务决算</w:t>
            </w: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1.2.1</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1.2.2</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1.3</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r>
              <w:rPr>
                <w:rFonts w:hint="eastAsia" w:ascii="宋体" w:hAnsi="宋体"/>
                <w:i w:val="0"/>
                <w:iCs w:val="0"/>
                <w:color w:val="auto"/>
                <w:kern w:val="0"/>
                <w:sz w:val="22"/>
                <w:szCs w:val="22"/>
                <w:highlight w:val="none"/>
                <w:u w:val="none"/>
                <w:lang w:val="en-US" w:eastAsia="zh-CN" w:bidi="ar"/>
              </w:rPr>
              <w:t>项目管理-至施工代建进场并完成交接前</w:t>
            </w: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1.3.1</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1.3.2</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2</w:t>
            </w:r>
          </w:p>
        </w:tc>
        <w:tc>
          <w:tcPr>
            <w:tcW w:w="5631" w:type="dxa"/>
            <w:vAlign w:val="center"/>
          </w:tcPr>
          <w:p>
            <w:pPr>
              <w:pStyle w:val="24"/>
              <w:spacing w:line="360" w:lineRule="auto"/>
              <w:jc w:val="center"/>
              <w:rPr>
                <w:rFonts w:hint="eastAsia" w:ascii="宋体" w:hAnsi="宋体" w:eastAsia="宋体"/>
                <w:i w:val="0"/>
                <w:iCs w:val="0"/>
                <w:color w:val="auto"/>
                <w:kern w:val="0"/>
                <w:sz w:val="22"/>
                <w:szCs w:val="22"/>
                <w:highlight w:val="none"/>
                <w:u w:val="none"/>
                <w:lang w:val="en-US" w:eastAsia="zh-CN" w:bidi="ar"/>
              </w:rPr>
            </w:pPr>
            <w:r>
              <w:rPr>
                <w:rFonts w:hint="eastAsia" w:ascii="宋体" w:hAnsi="宋体" w:eastAsia="宋体"/>
                <w:i w:val="0"/>
                <w:iCs w:val="0"/>
                <w:color w:val="auto"/>
                <w:kern w:val="0"/>
                <w:sz w:val="22"/>
                <w:szCs w:val="22"/>
                <w:highlight w:val="none"/>
                <w:u w:val="none"/>
                <w:lang w:val="en-US" w:eastAsia="zh-CN" w:bidi="ar"/>
              </w:rPr>
              <w:t>B25地块</w:t>
            </w: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w:t>
            </w:r>
          </w:p>
        </w:tc>
        <w:tc>
          <w:tcPr>
            <w:tcW w:w="5631" w:type="dxa"/>
            <w:vAlign w:val="center"/>
          </w:tcPr>
          <w:p>
            <w:pPr>
              <w:pStyle w:val="24"/>
              <w:spacing w:line="360" w:lineRule="auto"/>
              <w:jc w:val="center"/>
              <w:rPr>
                <w:rFonts w:hint="eastAsia" w:ascii="宋体" w:hAnsi="宋体" w:eastAsia="宋体"/>
                <w:color w:val="auto"/>
                <w:sz w:val="24"/>
                <w:szCs w:val="24"/>
                <w:highlight w:val="none"/>
                <w:lang w:val="en-US" w:eastAsia="zh-CN"/>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3</w:t>
            </w:r>
          </w:p>
        </w:tc>
        <w:tc>
          <w:tcPr>
            <w:tcW w:w="5631" w:type="dxa"/>
            <w:vAlign w:val="center"/>
          </w:tcPr>
          <w:p>
            <w:pPr>
              <w:pStyle w:val="24"/>
              <w:spacing w:line="360" w:lineRule="auto"/>
              <w:jc w:val="center"/>
              <w:rPr>
                <w:rFonts w:hint="eastAsia" w:ascii="宋体" w:hAnsi="宋体" w:eastAsia="宋体"/>
                <w:i w:val="0"/>
                <w:iCs w:val="0"/>
                <w:color w:val="auto"/>
                <w:kern w:val="0"/>
                <w:sz w:val="22"/>
                <w:szCs w:val="22"/>
                <w:highlight w:val="none"/>
                <w:u w:val="none"/>
                <w:lang w:val="en-US" w:eastAsia="zh-CN" w:bidi="ar"/>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Align w:val="center"/>
          </w:tcPr>
          <w:p>
            <w:pPr>
              <w:pStyle w:val="24"/>
              <w:spacing w:line="300" w:lineRule="auto"/>
              <w:jc w:val="center"/>
              <w:rPr>
                <w:rFonts w:hint="eastAsia" w:hAnsi="宋体"/>
                <w:bCs/>
                <w:color w:val="auto"/>
                <w:highlight w:val="none"/>
                <w:lang w:val="en-US" w:eastAsia="zh-CN"/>
              </w:rPr>
            </w:pPr>
            <w:r>
              <w:rPr>
                <w:rFonts w:hint="eastAsia" w:hAnsi="宋体"/>
                <w:bCs/>
                <w:color w:val="auto"/>
                <w:highlight w:val="none"/>
                <w:lang w:val="en-US" w:eastAsia="zh-CN"/>
              </w:rPr>
              <w:t>...</w:t>
            </w:r>
          </w:p>
        </w:tc>
        <w:tc>
          <w:tcPr>
            <w:tcW w:w="5631" w:type="dxa"/>
            <w:vAlign w:val="center"/>
          </w:tcPr>
          <w:p>
            <w:pPr>
              <w:pStyle w:val="24"/>
              <w:spacing w:line="360" w:lineRule="auto"/>
              <w:jc w:val="center"/>
              <w:rPr>
                <w:rFonts w:hint="eastAsia" w:ascii="宋体" w:hAnsi="宋体" w:eastAsia="宋体"/>
                <w:i w:val="0"/>
                <w:iCs w:val="0"/>
                <w:color w:val="auto"/>
                <w:kern w:val="0"/>
                <w:sz w:val="22"/>
                <w:szCs w:val="22"/>
                <w:highlight w:val="none"/>
                <w:u w:val="none"/>
                <w:lang w:val="en-US" w:eastAsia="zh-CN" w:bidi="ar"/>
              </w:rPr>
            </w:pPr>
          </w:p>
        </w:tc>
        <w:tc>
          <w:tcPr>
            <w:tcW w:w="1912" w:type="dxa"/>
            <w:vAlign w:val="center"/>
          </w:tcPr>
          <w:p>
            <w:pPr>
              <w:pStyle w:val="24"/>
              <w:spacing w:line="300" w:lineRule="auto"/>
              <w:jc w:val="center"/>
              <w:rPr>
                <w:rFonts w:hint="eastAsia" w:hAnsi="宋体"/>
                <w:bCs/>
                <w:color w:val="auto"/>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Merge w:val="restart"/>
            <w:vAlign w:val="center"/>
          </w:tcPr>
          <w:p>
            <w:pPr>
              <w:pStyle w:val="24"/>
              <w:spacing w:line="300" w:lineRule="auto"/>
              <w:jc w:val="center"/>
              <w:rPr>
                <w:rFonts w:hint="eastAsia" w:hAnsi="宋体"/>
                <w:bCs/>
                <w:color w:val="auto"/>
                <w:highlight w:val="none"/>
              </w:rPr>
            </w:pPr>
            <w:r>
              <w:rPr>
                <w:rFonts w:hint="eastAsia" w:ascii="宋体" w:hAnsi="宋体"/>
                <w:i w:val="0"/>
                <w:iCs w:val="0"/>
                <w:color w:val="auto"/>
                <w:kern w:val="0"/>
                <w:sz w:val="22"/>
                <w:szCs w:val="22"/>
                <w:highlight w:val="none"/>
                <w:u w:val="none"/>
                <w:lang w:val="en-US" w:eastAsia="zh-CN" w:bidi="ar"/>
              </w:rPr>
              <w:t>投标报价合计</w:t>
            </w:r>
            <w:r>
              <w:rPr>
                <w:rFonts w:hint="eastAsia" w:hAnsi="宋体"/>
                <w:bCs/>
                <w:color w:val="auto"/>
                <w:highlight w:val="none"/>
              </w:rPr>
              <w:t>（元）</w:t>
            </w:r>
          </w:p>
        </w:tc>
        <w:tc>
          <w:tcPr>
            <w:tcW w:w="7543" w:type="dxa"/>
            <w:gridSpan w:val="2"/>
            <w:vAlign w:val="bottom"/>
          </w:tcPr>
          <w:p>
            <w:pPr>
              <w:pStyle w:val="24"/>
              <w:spacing w:line="300" w:lineRule="auto"/>
              <w:rPr>
                <w:rFonts w:hint="eastAsia" w:hAnsi="宋体"/>
                <w:bCs/>
                <w:color w:val="auto"/>
                <w:highlight w:val="none"/>
              </w:rPr>
            </w:pPr>
            <w:r>
              <w:rPr>
                <w:rFonts w:hint="eastAsia" w:hAnsi="宋体"/>
                <w:bCs/>
                <w:color w:val="auto"/>
                <w:highlight w:val="none"/>
              </w:rPr>
              <w:t>大写：</w:t>
            </w:r>
            <w:r>
              <w:rPr>
                <w:rFonts w:hint="eastAsia" w:hAnsi="宋体"/>
                <w:bCs/>
                <w:color w:val="auto"/>
                <w:highlight w:val="none"/>
                <w:u w:val="singl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trPr>
        <w:tc>
          <w:tcPr>
            <w:tcW w:w="1604" w:type="dxa"/>
            <w:vMerge w:val="continue"/>
            <w:vAlign w:val="center"/>
          </w:tcPr>
          <w:p>
            <w:pPr>
              <w:pStyle w:val="24"/>
              <w:spacing w:line="300" w:lineRule="auto"/>
              <w:jc w:val="center"/>
              <w:rPr>
                <w:rFonts w:hint="eastAsia" w:hAnsi="宋体"/>
                <w:bCs/>
                <w:color w:val="auto"/>
                <w:highlight w:val="none"/>
              </w:rPr>
            </w:pPr>
          </w:p>
        </w:tc>
        <w:tc>
          <w:tcPr>
            <w:tcW w:w="7543" w:type="dxa"/>
            <w:gridSpan w:val="2"/>
            <w:vAlign w:val="bottom"/>
          </w:tcPr>
          <w:p>
            <w:pPr>
              <w:pStyle w:val="24"/>
              <w:spacing w:line="300" w:lineRule="auto"/>
              <w:rPr>
                <w:rFonts w:hint="eastAsia" w:hAnsi="宋体"/>
                <w:bCs/>
                <w:color w:val="auto"/>
                <w:highlight w:val="none"/>
              </w:rPr>
            </w:pPr>
            <w:r>
              <w:rPr>
                <w:rFonts w:hint="eastAsia" w:hAnsi="宋体"/>
                <w:bCs/>
                <w:color w:val="auto"/>
                <w:highlight w:val="none"/>
              </w:rPr>
              <w:t>小写：</w:t>
            </w:r>
            <w:r>
              <w:rPr>
                <w:rFonts w:hint="eastAsia" w:hAnsi="宋体"/>
                <w:bCs/>
                <w:color w:val="auto"/>
                <w:highlight w:val="none"/>
                <w:u w:val="single"/>
              </w:rPr>
              <w:t xml:space="preserve">                                                          </w:t>
            </w:r>
          </w:p>
        </w:tc>
      </w:tr>
    </w:tbl>
    <w:p>
      <w:pPr>
        <w:overflowPunct w:val="0"/>
        <w:spacing w:line="400" w:lineRule="exact"/>
        <w:jc w:val="center"/>
        <w:rPr>
          <w:rFonts w:hint="eastAsia" w:ascii="宋体"/>
          <w:color w:val="auto"/>
          <w:sz w:val="22"/>
          <w:szCs w:val="22"/>
          <w:highlight w:val="none"/>
        </w:rPr>
      </w:pPr>
    </w:p>
    <w:p>
      <w:pPr>
        <w:overflowPunct w:val="0"/>
        <w:spacing w:line="400" w:lineRule="exact"/>
        <w:jc w:val="left"/>
        <w:rPr>
          <w:rFonts w:hint="default" w:ascii="宋体" w:eastAsia="宋体"/>
          <w:color w:val="auto"/>
          <w:sz w:val="22"/>
          <w:szCs w:val="22"/>
          <w:highlight w:val="none"/>
          <w:lang w:val="en-US" w:eastAsia="zh-CN"/>
        </w:rPr>
      </w:pPr>
      <w:r>
        <w:rPr>
          <w:rFonts w:hint="eastAsia" w:ascii="宋体" w:hAnsi="宋体" w:eastAsia="宋体"/>
          <w:color w:val="auto"/>
          <w:szCs w:val="22"/>
          <w:highlight w:val="none"/>
          <w:lang w:val="zh-CN"/>
        </w:rPr>
        <w:t>▲</w:t>
      </w:r>
      <w:r>
        <w:rPr>
          <w:rFonts w:hint="eastAsia" w:ascii="宋体"/>
          <w:color w:val="auto"/>
          <w:sz w:val="22"/>
          <w:szCs w:val="22"/>
          <w:highlight w:val="none"/>
        </w:rPr>
        <w:t>注：表格可延续，供应商可根据</w:t>
      </w:r>
      <w:r>
        <w:rPr>
          <w:rFonts w:hint="eastAsia" w:ascii="宋体" w:hAnsi="宋体" w:eastAsia="宋体" w:cs="Times New Roman"/>
          <w:i w:val="0"/>
          <w:iCs w:val="0"/>
          <w:color w:val="auto"/>
          <w:kern w:val="0"/>
          <w:sz w:val="22"/>
          <w:szCs w:val="22"/>
          <w:highlight w:val="none"/>
          <w:u w:val="none"/>
          <w:lang w:val="en-US" w:eastAsia="zh-CN" w:bidi="ar"/>
        </w:rPr>
        <w:t>实际情况增减相关内容，投标报价合计需与开标一览表中的投标报价合计一致。</w:t>
      </w:r>
    </w:p>
    <w:p>
      <w:pPr>
        <w:snapToGrid w:val="0"/>
        <w:spacing w:line="500" w:lineRule="atLeast"/>
        <w:ind w:firstLine="550" w:firstLineChars="250"/>
        <w:rPr>
          <w:rFonts w:hint="eastAsia" w:ascii="宋体"/>
          <w:color w:val="auto"/>
          <w:sz w:val="22"/>
          <w:szCs w:val="22"/>
          <w:highlight w:val="none"/>
        </w:rPr>
      </w:pPr>
      <w:r>
        <w:rPr>
          <w:rFonts w:hint="eastAsia" w:ascii="宋体"/>
          <w:color w:val="auto"/>
          <w:sz w:val="22"/>
          <w:szCs w:val="22"/>
          <w:highlight w:val="none"/>
        </w:rPr>
        <w:t>供应商（盖章）：</w:t>
      </w:r>
    </w:p>
    <w:p>
      <w:pPr>
        <w:snapToGrid w:val="0"/>
        <w:spacing w:line="500" w:lineRule="atLeast"/>
        <w:ind w:firstLine="550" w:firstLineChars="250"/>
        <w:rPr>
          <w:rFonts w:hint="eastAsia" w:ascii="宋体" w:hAnsi="宋体"/>
          <w:color w:val="auto"/>
          <w:sz w:val="22"/>
          <w:szCs w:val="22"/>
          <w:highlight w:val="none"/>
          <w:lang w:val="zh-CN"/>
        </w:rPr>
      </w:pPr>
      <w:r>
        <w:rPr>
          <w:rFonts w:hint="eastAsia" w:ascii="宋体" w:hAnsi="宋体"/>
          <w:color w:val="auto"/>
          <w:sz w:val="22"/>
          <w:szCs w:val="22"/>
          <w:highlight w:val="none"/>
          <w:lang w:val="zh-CN"/>
        </w:rPr>
        <w:t>法定代表人或授权代表</w:t>
      </w:r>
      <w:r>
        <w:rPr>
          <w:rFonts w:hint="eastAsia" w:hAnsi="宋体"/>
          <w:bCs/>
          <w:color w:val="auto"/>
          <w:sz w:val="22"/>
          <w:szCs w:val="22"/>
          <w:highlight w:val="none"/>
        </w:rPr>
        <w:t>（签字或盖章）</w:t>
      </w:r>
      <w:r>
        <w:rPr>
          <w:rFonts w:hint="eastAsia" w:ascii="宋体"/>
          <w:color w:val="auto"/>
          <w:sz w:val="22"/>
          <w:szCs w:val="22"/>
          <w:highlight w:val="none"/>
        </w:rPr>
        <w:t xml:space="preserve">：                        </w:t>
      </w:r>
    </w:p>
    <w:p>
      <w:pPr>
        <w:snapToGrid w:val="0"/>
        <w:spacing w:line="500" w:lineRule="atLeast"/>
        <w:ind w:firstLine="550" w:firstLineChars="250"/>
        <w:rPr>
          <w:rFonts w:hint="eastAsia" w:ascii="宋体"/>
          <w:color w:val="auto"/>
          <w:sz w:val="22"/>
          <w:szCs w:val="22"/>
          <w:highlight w:val="none"/>
        </w:rPr>
      </w:pPr>
      <w:r>
        <w:rPr>
          <w:rFonts w:hint="eastAsia" w:ascii="宋体"/>
          <w:color w:val="auto"/>
          <w:sz w:val="22"/>
          <w:szCs w:val="22"/>
          <w:highlight w:val="none"/>
        </w:rPr>
        <w:t>日期：</w:t>
      </w:r>
    </w:p>
    <w:p>
      <w:pPr>
        <w:rPr>
          <w:rFonts w:hint="eastAsia"/>
          <w:color w:val="auto"/>
          <w:sz w:val="36"/>
          <w:szCs w:val="36"/>
          <w:highlight w:val="none"/>
        </w:rPr>
      </w:pPr>
    </w:p>
    <w:p>
      <w:pPr>
        <w:rPr>
          <w:rFonts w:hint="eastAsia"/>
          <w:color w:val="auto"/>
          <w:sz w:val="36"/>
          <w:szCs w:val="36"/>
          <w:highlight w:val="none"/>
        </w:rPr>
      </w:pPr>
      <w:r>
        <w:rPr>
          <w:rFonts w:hint="eastAsia"/>
          <w:color w:val="auto"/>
          <w:sz w:val="36"/>
          <w:szCs w:val="36"/>
          <w:highlight w:val="none"/>
        </w:rPr>
        <w:t>2.</w:t>
      </w:r>
      <w:r>
        <w:rPr>
          <w:rFonts w:hint="eastAsia"/>
          <w:color w:val="auto"/>
          <w:sz w:val="36"/>
          <w:szCs w:val="36"/>
          <w:highlight w:val="none"/>
          <w:lang w:val="en-US" w:eastAsia="zh-CN"/>
        </w:rPr>
        <w:t>4</w:t>
      </w:r>
      <w:r>
        <w:rPr>
          <w:rFonts w:hint="eastAsia"/>
          <w:color w:val="auto"/>
          <w:sz w:val="36"/>
          <w:szCs w:val="36"/>
          <w:highlight w:val="none"/>
        </w:rPr>
        <w:t>中小企业声明函、监狱企业、残疾人福利性单位及其他相关的充分的证明材料</w:t>
      </w:r>
    </w:p>
    <w:p>
      <w:pPr>
        <w:snapToGrid w:val="0"/>
        <w:spacing w:line="360" w:lineRule="auto"/>
        <w:jc w:val="center"/>
        <w:rPr>
          <w:rFonts w:hint="eastAsia"/>
          <w:b/>
          <w:color w:val="auto"/>
          <w:sz w:val="28"/>
          <w:szCs w:val="28"/>
          <w:highlight w:val="none"/>
        </w:rPr>
      </w:pPr>
      <w:r>
        <w:rPr>
          <w:rFonts w:hint="eastAsia"/>
          <w:b/>
          <w:color w:val="auto"/>
          <w:sz w:val="28"/>
          <w:szCs w:val="28"/>
          <w:highlight w:val="none"/>
        </w:rPr>
        <w:t>中小企业声明函及其相关的充分的证明材料中小企业声明函</w:t>
      </w:r>
    </w:p>
    <w:p>
      <w:pPr>
        <w:snapToGrid w:val="0"/>
        <w:spacing w:line="360" w:lineRule="auto"/>
        <w:ind w:firstLine="420" w:firstLineChars="200"/>
        <w:jc w:val="center"/>
        <w:rPr>
          <w:rFonts w:hint="eastAsia"/>
          <w:color w:val="auto"/>
          <w:highlight w:val="none"/>
        </w:rPr>
      </w:pPr>
      <w:r>
        <w:rPr>
          <w:rFonts w:hint="eastAsia"/>
          <w:color w:val="auto"/>
          <w:highlight w:val="none"/>
        </w:rPr>
        <w:t>【不属于中小企业的无需填写、递交】</w:t>
      </w:r>
    </w:p>
    <w:p>
      <w:pPr>
        <w:spacing w:line="440" w:lineRule="atLeast"/>
        <w:jc w:val="left"/>
        <w:rPr>
          <w:rFonts w:ascii="宋体" w:hAnsi="宋体"/>
          <w:color w:val="auto"/>
          <w:sz w:val="22"/>
          <w:szCs w:val="22"/>
          <w:highlight w:val="none"/>
        </w:rPr>
      </w:pPr>
    </w:p>
    <w:p>
      <w:pPr>
        <w:jc w:val="center"/>
        <w:rPr>
          <w:rFonts w:ascii="宋体" w:hAnsi="宋体"/>
          <w:b/>
          <w:bCs/>
          <w:color w:val="auto"/>
          <w:sz w:val="32"/>
          <w:szCs w:val="32"/>
          <w:highlight w:val="none"/>
        </w:rPr>
      </w:pPr>
      <w:r>
        <w:rPr>
          <w:rFonts w:ascii="宋体" w:hAnsi="宋体"/>
          <w:b/>
          <w:bCs/>
          <w:color w:val="auto"/>
          <w:sz w:val="32"/>
          <w:szCs w:val="32"/>
          <w:highlight w:val="none"/>
        </w:rPr>
        <w:t>中小企业声明函（工程、服务）</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 xml:space="preserve">本公司（联合体）郑重声明，根据《政府采购促进中小企业发展管理办法》（财库﹝2020﹞46 号）的规定，本公司 </w:t>
      </w:r>
      <w:r>
        <w:rPr>
          <w:rFonts w:ascii="宋体" w:hAnsi="宋体"/>
          <w:color w:val="auto"/>
          <w:sz w:val="22"/>
          <w:szCs w:val="22"/>
          <w:highlight w:val="none"/>
          <w:u w:val="single"/>
        </w:rPr>
        <w:t>（联合体）</w:t>
      </w:r>
      <w:r>
        <w:rPr>
          <w:rFonts w:ascii="宋体" w:hAnsi="宋体"/>
          <w:color w:val="auto"/>
          <w:sz w:val="22"/>
          <w:szCs w:val="22"/>
          <w:highlight w:val="none"/>
        </w:rPr>
        <w:t>参加</w:t>
      </w:r>
      <w:r>
        <w:rPr>
          <w:rFonts w:ascii="宋体" w:hAnsi="宋体"/>
          <w:color w:val="auto"/>
          <w:sz w:val="22"/>
          <w:szCs w:val="22"/>
          <w:highlight w:val="none"/>
          <w:u w:val="single"/>
        </w:rPr>
        <w:t>（单位名称）</w:t>
      </w:r>
      <w:r>
        <w:rPr>
          <w:rFonts w:ascii="宋体" w:hAnsi="宋体"/>
          <w:color w:val="auto"/>
          <w:sz w:val="22"/>
          <w:szCs w:val="22"/>
          <w:highlight w:val="none"/>
        </w:rPr>
        <w:t>的</w:t>
      </w:r>
      <w:r>
        <w:rPr>
          <w:rFonts w:ascii="宋体" w:hAnsi="宋体"/>
          <w:color w:val="auto"/>
          <w:sz w:val="22"/>
          <w:szCs w:val="22"/>
          <w:highlight w:val="none"/>
          <w:u w:val="single"/>
        </w:rPr>
        <w:t>（项目名称）</w:t>
      </w:r>
      <w:r>
        <w:rPr>
          <w:rFonts w:ascii="宋体" w:hAnsi="宋体"/>
          <w:color w:val="auto"/>
          <w:sz w:val="22"/>
          <w:szCs w:val="22"/>
          <w:highlight w:val="none"/>
        </w:rPr>
        <w:t>采购活动，工程的</w:t>
      </w:r>
      <w:r>
        <w:rPr>
          <w:rFonts w:hint="eastAsia" w:ascii="宋体" w:hAnsi="宋体"/>
          <w:color w:val="auto"/>
          <w:sz w:val="22"/>
          <w:szCs w:val="22"/>
          <w:highlight w:val="none"/>
          <w:lang w:eastAsia="zh-CN"/>
        </w:rPr>
        <w:t>供应商</w:t>
      </w:r>
      <w:r>
        <w:rPr>
          <w:rFonts w:ascii="宋体" w:hAnsi="宋体"/>
          <w:color w:val="auto"/>
          <w:sz w:val="22"/>
          <w:szCs w:val="22"/>
          <w:highlight w:val="none"/>
        </w:rPr>
        <w:t xml:space="preserve">全部为符合政策要求的中小企业（或者：服务全部由符合政策要求的中小企业承接）。相关企业（含联合体中的中小企业、签订分包意向协议的中小企业）的具体情 况如下： </w:t>
      </w:r>
    </w:p>
    <w:p>
      <w:pPr>
        <w:numPr>
          <w:ilvl w:val="0"/>
          <w:numId w:val="7"/>
        </w:numPr>
        <w:spacing w:line="400" w:lineRule="exact"/>
        <w:ind w:firstLine="440" w:firstLineChars="200"/>
        <w:rPr>
          <w:rFonts w:ascii="宋体" w:hAnsi="宋体"/>
          <w:color w:val="auto"/>
          <w:sz w:val="22"/>
          <w:szCs w:val="22"/>
          <w:highlight w:val="none"/>
          <w:u w:val="single"/>
        </w:rPr>
      </w:pPr>
      <w:r>
        <w:rPr>
          <w:rFonts w:ascii="宋体" w:hAnsi="宋体"/>
          <w:color w:val="auto"/>
          <w:sz w:val="22"/>
          <w:szCs w:val="22"/>
          <w:highlight w:val="none"/>
          <w:u w:val="single"/>
        </w:rPr>
        <w:t>（标的名称）</w:t>
      </w:r>
      <w:r>
        <w:rPr>
          <w:rFonts w:ascii="宋体" w:hAnsi="宋体"/>
          <w:color w:val="auto"/>
          <w:sz w:val="22"/>
          <w:szCs w:val="22"/>
          <w:highlight w:val="none"/>
        </w:rPr>
        <w:t xml:space="preserve"> ，属于</w:t>
      </w:r>
      <w:r>
        <w:rPr>
          <w:rFonts w:ascii="宋体" w:hAnsi="宋体"/>
          <w:color w:val="auto"/>
          <w:sz w:val="22"/>
          <w:szCs w:val="22"/>
          <w:highlight w:val="none"/>
          <w:u w:val="single"/>
        </w:rPr>
        <w:t>（采购文件中明确的所属行业）</w:t>
      </w:r>
      <w:r>
        <w:rPr>
          <w:rFonts w:ascii="宋体" w:hAnsi="宋体"/>
          <w:color w:val="auto"/>
          <w:sz w:val="22"/>
          <w:szCs w:val="22"/>
          <w:highlight w:val="none"/>
        </w:rPr>
        <w:t>； 承建（承接）企业为</w:t>
      </w:r>
      <w:r>
        <w:rPr>
          <w:rFonts w:ascii="宋体" w:hAnsi="宋体"/>
          <w:color w:val="auto"/>
          <w:sz w:val="22"/>
          <w:szCs w:val="22"/>
          <w:highlight w:val="none"/>
          <w:u w:val="single"/>
        </w:rPr>
        <w:t>（企业名称）</w:t>
      </w:r>
      <w:r>
        <w:rPr>
          <w:rFonts w:ascii="宋体" w:hAnsi="宋体"/>
          <w:color w:val="auto"/>
          <w:sz w:val="22"/>
          <w:szCs w:val="22"/>
          <w:highlight w:val="none"/>
        </w:rPr>
        <w:t>，从业人员</w:t>
      </w:r>
      <w:r>
        <w:rPr>
          <w:rFonts w:hint="eastAsia" w:ascii="宋体" w:hAnsi="宋体"/>
          <w:color w:val="auto"/>
          <w:sz w:val="22"/>
          <w:szCs w:val="22"/>
          <w:highlight w:val="none"/>
          <w:u w:val="single"/>
        </w:rPr>
        <w:t xml:space="preserve">   </w:t>
      </w:r>
      <w:r>
        <w:rPr>
          <w:rFonts w:ascii="宋体" w:hAnsi="宋体"/>
          <w:color w:val="auto"/>
          <w:sz w:val="22"/>
          <w:szCs w:val="22"/>
          <w:highlight w:val="none"/>
        </w:rPr>
        <w:t>人，营业收入为</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万元，资产总额为</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 ，属于</w:t>
      </w:r>
      <w:r>
        <w:rPr>
          <w:rFonts w:ascii="宋体" w:hAnsi="宋体"/>
          <w:color w:val="auto"/>
          <w:sz w:val="22"/>
          <w:szCs w:val="22"/>
          <w:highlight w:val="none"/>
          <w:u w:val="single"/>
        </w:rPr>
        <w:t>（中型企业、 小型企业、微型企业）</w:t>
      </w:r>
      <w:r>
        <w:rPr>
          <w:rFonts w:ascii="宋体" w:hAnsi="宋体"/>
          <w:color w:val="auto"/>
          <w:sz w:val="22"/>
          <w:szCs w:val="22"/>
          <w:highlight w:val="none"/>
        </w:rPr>
        <w:t xml:space="preserve">； </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2.</w:t>
      </w:r>
      <w:r>
        <w:rPr>
          <w:rFonts w:ascii="宋体" w:hAnsi="宋体"/>
          <w:color w:val="auto"/>
          <w:sz w:val="22"/>
          <w:szCs w:val="22"/>
          <w:highlight w:val="none"/>
          <w:u w:val="single"/>
        </w:rPr>
        <w:t xml:space="preserve"> （标的名称）</w:t>
      </w:r>
      <w:r>
        <w:rPr>
          <w:rFonts w:hint="eastAsia" w:ascii="宋体" w:hAnsi="宋体"/>
          <w:color w:val="auto"/>
          <w:sz w:val="22"/>
          <w:szCs w:val="22"/>
          <w:highlight w:val="none"/>
          <w:u w:val="single"/>
        </w:rPr>
        <w:t xml:space="preserve">  </w:t>
      </w:r>
      <w:r>
        <w:rPr>
          <w:rFonts w:ascii="宋体" w:hAnsi="宋体"/>
          <w:color w:val="auto"/>
          <w:sz w:val="22"/>
          <w:szCs w:val="22"/>
          <w:highlight w:val="none"/>
          <w:u w:val="single"/>
        </w:rPr>
        <w:t xml:space="preserve"> </w:t>
      </w:r>
      <w:r>
        <w:rPr>
          <w:rFonts w:ascii="宋体" w:hAnsi="宋体"/>
          <w:color w:val="auto"/>
          <w:sz w:val="22"/>
          <w:szCs w:val="22"/>
          <w:highlight w:val="none"/>
        </w:rPr>
        <w:t>，属于</w:t>
      </w:r>
      <w:r>
        <w:rPr>
          <w:rFonts w:ascii="宋体" w:hAnsi="宋体"/>
          <w:color w:val="auto"/>
          <w:sz w:val="22"/>
          <w:szCs w:val="22"/>
          <w:highlight w:val="none"/>
          <w:u w:val="single"/>
        </w:rPr>
        <w:t>（采购文件中明确的所属行业）</w:t>
      </w:r>
      <w:r>
        <w:rPr>
          <w:rFonts w:ascii="宋体" w:hAnsi="宋体"/>
          <w:color w:val="auto"/>
          <w:sz w:val="22"/>
          <w:szCs w:val="22"/>
          <w:highlight w:val="none"/>
        </w:rPr>
        <w:t>； 承建（承接）企业为</w:t>
      </w:r>
      <w:r>
        <w:rPr>
          <w:rFonts w:ascii="宋体" w:hAnsi="宋体"/>
          <w:color w:val="auto"/>
          <w:sz w:val="22"/>
          <w:szCs w:val="22"/>
          <w:highlight w:val="none"/>
          <w:u w:val="single"/>
        </w:rPr>
        <w:t>（企业名称）</w:t>
      </w:r>
      <w:r>
        <w:rPr>
          <w:rFonts w:ascii="宋体" w:hAnsi="宋体"/>
          <w:color w:val="auto"/>
          <w:sz w:val="22"/>
          <w:szCs w:val="22"/>
          <w:highlight w:val="none"/>
        </w:rPr>
        <w:t>，从业人员</w:t>
      </w:r>
      <w:r>
        <w:rPr>
          <w:rFonts w:hint="eastAsia" w:ascii="宋体" w:hAnsi="宋体"/>
          <w:color w:val="auto"/>
          <w:sz w:val="22"/>
          <w:szCs w:val="22"/>
          <w:highlight w:val="none"/>
          <w:u w:val="single"/>
        </w:rPr>
        <w:t xml:space="preserve">   </w:t>
      </w:r>
      <w:r>
        <w:rPr>
          <w:rFonts w:ascii="宋体" w:hAnsi="宋体"/>
          <w:color w:val="auto"/>
          <w:sz w:val="22"/>
          <w:szCs w:val="22"/>
          <w:highlight w:val="none"/>
        </w:rPr>
        <w:t xml:space="preserve">人，营业收入为 </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万元，资产总额为</w:t>
      </w:r>
      <w:r>
        <w:rPr>
          <w:rFonts w:hint="eastAsia" w:ascii="宋体" w:hAnsi="宋体"/>
          <w:color w:val="auto"/>
          <w:sz w:val="22"/>
          <w:szCs w:val="22"/>
          <w:highlight w:val="none"/>
          <w:u w:val="single"/>
        </w:rPr>
        <w:t xml:space="preserve">   </w:t>
      </w:r>
      <w:r>
        <w:rPr>
          <w:rFonts w:ascii="宋体" w:hAnsi="宋体"/>
          <w:color w:val="auto"/>
          <w:sz w:val="22"/>
          <w:szCs w:val="22"/>
          <w:highlight w:val="none"/>
        </w:rPr>
        <w:t>万元，属于</w:t>
      </w:r>
      <w:r>
        <w:rPr>
          <w:rFonts w:ascii="宋体" w:hAnsi="宋体"/>
          <w:color w:val="auto"/>
          <w:sz w:val="22"/>
          <w:szCs w:val="22"/>
          <w:highlight w:val="none"/>
          <w:u w:val="single"/>
        </w:rPr>
        <w:t>（中型企业、 小型企业、微型企业）</w:t>
      </w:r>
      <w:r>
        <w:rPr>
          <w:rFonts w:ascii="宋体" w:hAnsi="宋体"/>
          <w:color w:val="auto"/>
          <w:sz w:val="22"/>
          <w:szCs w:val="22"/>
          <w:highlight w:val="none"/>
        </w:rPr>
        <w:t xml:space="preserve">； </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 xml:space="preserve">…… 以上企业，不属于大企业的分支机构，不存在控股股东 为大企业的情形，也不存在与大企业的负责人为同一人的情形。 本企业对上述声明内容的真实性负责。如有虚假，将依法承担相应责任。 </w:t>
      </w:r>
    </w:p>
    <w:p>
      <w:pPr>
        <w:spacing w:line="400" w:lineRule="exact"/>
        <w:ind w:firstLine="440" w:firstLineChars="200"/>
        <w:rPr>
          <w:rFonts w:ascii="宋体" w:hAnsi="宋体"/>
          <w:color w:val="auto"/>
          <w:sz w:val="22"/>
          <w:szCs w:val="22"/>
          <w:highlight w:val="none"/>
        </w:rPr>
      </w:pP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 xml:space="preserve">企业名称（盖章）： </w:t>
      </w:r>
    </w:p>
    <w:p>
      <w:pPr>
        <w:spacing w:line="400" w:lineRule="exact"/>
        <w:ind w:firstLine="440" w:firstLineChars="200"/>
        <w:rPr>
          <w:rFonts w:ascii="宋体" w:hAnsi="宋体"/>
          <w:color w:val="auto"/>
          <w:sz w:val="22"/>
          <w:szCs w:val="22"/>
          <w:highlight w:val="none"/>
        </w:rPr>
      </w:pPr>
      <w:r>
        <w:rPr>
          <w:rFonts w:ascii="宋体" w:hAnsi="宋体"/>
          <w:color w:val="auto"/>
          <w:sz w:val="22"/>
          <w:szCs w:val="22"/>
          <w:highlight w:val="none"/>
        </w:rPr>
        <w:t>日 期：</w:t>
      </w:r>
    </w:p>
    <w:p>
      <w:pPr>
        <w:pStyle w:val="21"/>
        <w:rPr>
          <w:rFonts w:hint="eastAsia"/>
          <w:color w:val="auto"/>
          <w:highlight w:val="none"/>
          <w:lang w:eastAsia="zh-CN"/>
        </w:rPr>
      </w:pPr>
    </w:p>
    <w:p>
      <w:pPr>
        <w:spacing w:line="400" w:lineRule="exac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注：</w:t>
      </w:r>
      <w:r>
        <w:rPr>
          <w:rFonts w:ascii="宋体" w:hAnsi="宋体"/>
          <w:color w:val="auto"/>
          <w:sz w:val="22"/>
          <w:szCs w:val="22"/>
          <w:highlight w:val="none"/>
        </w:rPr>
        <w:t xml:space="preserve"> 从业人员、营业收入、资产总额填报上一年度数据，无上一年度数据的新成立企业可不填报。</w:t>
      </w:r>
    </w:p>
    <w:p>
      <w:pPr>
        <w:snapToGrid w:val="0"/>
        <w:spacing w:line="360" w:lineRule="auto"/>
        <w:rPr>
          <w:b/>
          <w:bCs/>
          <w:color w:val="auto"/>
          <w:highlight w:val="none"/>
        </w:rPr>
      </w:pPr>
    </w:p>
    <w:p>
      <w:pPr>
        <w:snapToGrid w:val="0"/>
        <w:spacing w:line="360" w:lineRule="auto"/>
        <w:ind w:firstLine="422" w:firstLineChars="200"/>
        <w:rPr>
          <w:rFonts w:hint="eastAsia"/>
          <w:b/>
          <w:bCs/>
          <w:color w:val="auto"/>
          <w:highlight w:val="none"/>
        </w:rPr>
      </w:pPr>
      <w:r>
        <w:rPr>
          <w:rFonts w:hint="eastAsia"/>
          <w:b/>
          <w:bCs/>
          <w:color w:val="auto"/>
          <w:highlight w:val="none"/>
        </w:rPr>
        <w:t>▲投标人提供的中小企业声明函与实际情况不符的，视为投标人提供虚假材料投标的，投标无效。</w:t>
      </w:r>
    </w:p>
    <w:p>
      <w:pPr>
        <w:snapToGrid w:val="0"/>
        <w:spacing w:line="360" w:lineRule="auto"/>
        <w:jc w:val="center"/>
        <w:rPr>
          <w:b/>
          <w:color w:val="auto"/>
          <w:highlight w:val="none"/>
        </w:rPr>
      </w:pPr>
    </w:p>
    <w:p>
      <w:pPr>
        <w:snapToGrid w:val="0"/>
        <w:spacing w:line="360" w:lineRule="auto"/>
        <w:jc w:val="center"/>
        <w:rPr>
          <w:b/>
          <w:color w:val="auto"/>
          <w:highlight w:val="none"/>
        </w:rPr>
      </w:pPr>
    </w:p>
    <w:p>
      <w:pPr>
        <w:snapToGrid w:val="0"/>
        <w:spacing w:line="360" w:lineRule="auto"/>
        <w:jc w:val="center"/>
        <w:rPr>
          <w:rFonts w:hint="eastAsia"/>
          <w:b/>
          <w:color w:val="auto"/>
          <w:sz w:val="28"/>
          <w:szCs w:val="36"/>
          <w:highlight w:val="none"/>
        </w:rPr>
      </w:pPr>
    </w:p>
    <w:p>
      <w:pPr>
        <w:snapToGrid w:val="0"/>
        <w:spacing w:line="360" w:lineRule="auto"/>
        <w:jc w:val="center"/>
        <w:rPr>
          <w:rFonts w:hint="eastAsia"/>
          <w:b/>
          <w:color w:val="auto"/>
          <w:sz w:val="28"/>
          <w:szCs w:val="36"/>
          <w:highlight w:val="none"/>
        </w:rPr>
      </w:pPr>
    </w:p>
    <w:p>
      <w:pPr>
        <w:snapToGrid w:val="0"/>
        <w:spacing w:line="360" w:lineRule="auto"/>
        <w:jc w:val="center"/>
        <w:rPr>
          <w:rFonts w:hint="eastAsia"/>
          <w:b/>
          <w:color w:val="auto"/>
          <w:sz w:val="28"/>
          <w:szCs w:val="36"/>
          <w:highlight w:val="none"/>
        </w:rPr>
      </w:pPr>
    </w:p>
    <w:p>
      <w:pPr>
        <w:snapToGrid w:val="0"/>
        <w:spacing w:line="360" w:lineRule="auto"/>
        <w:jc w:val="center"/>
        <w:rPr>
          <w:rFonts w:hint="eastAsia"/>
          <w:b/>
          <w:color w:val="auto"/>
          <w:sz w:val="28"/>
          <w:szCs w:val="36"/>
          <w:highlight w:val="none"/>
        </w:rPr>
      </w:pPr>
    </w:p>
    <w:p>
      <w:pPr>
        <w:snapToGrid w:val="0"/>
        <w:spacing w:line="360" w:lineRule="auto"/>
        <w:jc w:val="center"/>
        <w:rPr>
          <w:rFonts w:hint="eastAsia"/>
          <w:b/>
          <w:color w:val="auto"/>
          <w:sz w:val="28"/>
          <w:szCs w:val="36"/>
          <w:highlight w:val="none"/>
        </w:rPr>
      </w:pPr>
      <w:r>
        <w:rPr>
          <w:rFonts w:hint="eastAsia"/>
          <w:b/>
          <w:color w:val="auto"/>
          <w:sz w:val="28"/>
          <w:szCs w:val="36"/>
          <w:highlight w:val="none"/>
        </w:rPr>
        <w:t>监狱企业声明函</w:t>
      </w:r>
    </w:p>
    <w:p>
      <w:pPr>
        <w:snapToGrid w:val="0"/>
        <w:spacing w:line="360" w:lineRule="auto"/>
        <w:ind w:firstLine="420" w:firstLineChars="200"/>
        <w:jc w:val="center"/>
        <w:rPr>
          <w:rFonts w:hint="eastAsia"/>
          <w:color w:val="auto"/>
          <w:highlight w:val="none"/>
        </w:rPr>
      </w:pPr>
      <w:r>
        <w:rPr>
          <w:rFonts w:hint="eastAsia"/>
          <w:color w:val="auto"/>
          <w:highlight w:val="none"/>
        </w:rPr>
        <w:t>【不属于监狱企业的无需填写、递交】</w:t>
      </w:r>
    </w:p>
    <w:p>
      <w:pPr>
        <w:snapToGrid w:val="0"/>
        <w:spacing w:line="360" w:lineRule="auto"/>
        <w:ind w:firstLine="420" w:firstLineChars="200"/>
        <w:rPr>
          <w:color w:val="auto"/>
          <w:highlight w:val="none"/>
        </w:rPr>
      </w:pPr>
    </w:p>
    <w:p>
      <w:pPr>
        <w:snapToGrid w:val="0"/>
        <w:spacing w:line="360" w:lineRule="auto"/>
        <w:ind w:firstLine="420" w:firstLineChars="200"/>
        <w:rPr>
          <w:rFonts w:hint="eastAsia"/>
          <w:color w:val="auto"/>
          <w:highlight w:val="none"/>
        </w:rPr>
      </w:pPr>
      <w:r>
        <w:rPr>
          <w:rFonts w:hint="eastAsia"/>
          <w:color w:val="auto"/>
          <w:highlight w:val="none"/>
        </w:rPr>
        <w:t>本公司郑重声明，根据《关于政府采购支持监狱企业发展有关问题的通知》 （财库[2014]68 号）的规定，本公司为</w:t>
      </w:r>
      <w:r>
        <w:rPr>
          <w:rFonts w:hint="eastAsia"/>
          <w:color w:val="auto"/>
          <w:highlight w:val="none"/>
          <w:u w:val="single"/>
        </w:rPr>
        <w:t>监狱企业</w:t>
      </w:r>
      <w:r>
        <w:rPr>
          <w:rFonts w:hint="eastAsia"/>
          <w:color w:val="auto"/>
          <w:highlight w:val="none"/>
        </w:rPr>
        <w:t>。</w:t>
      </w:r>
    </w:p>
    <w:p>
      <w:pPr>
        <w:snapToGrid w:val="0"/>
        <w:spacing w:line="360" w:lineRule="auto"/>
        <w:ind w:firstLine="420" w:firstLineChars="200"/>
        <w:rPr>
          <w:rFonts w:hint="eastAsia"/>
          <w:color w:val="auto"/>
          <w:highlight w:val="none"/>
        </w:rPr>
      </w:pPr>
      <w:r>
        <w:rPr>
          <w:rFonts w:hint="eastAsia"/>
          <w:color w:val="auto"/>
          <w:highlight w:val="none"/>
        </w:rPr>
        <w:t>根据上述标准，我公司属于监狱企业的理由为：</w:t>
      </w:r>
      <w:r>
        <w:rPr>
          <w:rFonts w:hint="eastAsia"/>
          <w:color w:val="auto"/>
          <w:highlight w:val="none"/>
          <w:u w:val="single"/>
        </w:rPr>
        <w:t xml:space="preserve">         </w:t>
      </w:r>
      <w:r>
        <w:rPr>
          <w:rFonts w:hint="eastAsia"/>
          <w:color w:val="auto"/>
          <w:highlight w:val="none"/>
        </w:rPr>
        <w:t>。</w:t>
      </w:r>
    </w:p>
    <w:p>
      <w:pPr>
        <w:snapToGrid w:val="0"/>
        <w:spacing w:line="360" w:lineRule="auto"/>
        <w:ind w:firstLine="420" w:firstLineChars="200"/>
        <w:rPr>
          <w:rFonts w:hint="eastAsia"/>
          <w:color w:val="auto"/>
          <w:highlight w:val="none"/>
        </w:rPr>
      </w:pPr>
      <w:r>
        <w:rPr>
          <w:rFonts w:hint="eastAsia"/>
          <w:color w:val="auto"/>
          <w:highlight w:val="none"/>
        </w:rPr>
        <w:t>本公司为参加（</w:t>
      </w:r>
      <w:r>
        <w:rPr>
          <w:rFonts w:hint="eastAsia"/>
          <w:color w:val="auto"/>
          <w:highlight w:val="none"/>
          <w:u w:val="single"/>
        </w:rPr>
        <w:t xml:space="preserve">    项目名称    </w:t>
      </w:r>
      <w:r>
        <w:rPr>
          <w:rFonts w:hint="eastAsia"/>
          <w:color w:val="auto"/>
          <w:highlight w:val="none"/>
        </w:rPr>
        <w:t>） （项目编号：</w:t>
      </w:r>
      <w:r>
        <w:rPr>
          <w:rFonts w:hint="eastAsia"/>
          <w:color w:val="auto"/>
          <w:highlight w:val="none"/>
          <w:u w:val="single"/>
        </w:rPr>
        <w:t xml:space="preserve">      </w:t>
      </w:r>
      <w:r>
        <w:rPr>
          <w:rFonts w:hint="eastAsia"/>
          <w:color w:val="auto"/>
          <w:highlight w:val="none"/>
        </w:rPr>
        <w:t>）采购活动提供本企业提供服务。</w:t>
      </w:r>
    </w:p>
    <w:p>
      <w:pPr>
        <w:snapToGrid w:val="0"/>
        <w:spacing w:line="360" w:lineRule="auto"/>
        <w:ind w:firstLine="420" w:firstLineChars="200"/>
        <w:rPr>
          <w:rFonts w:hint="eastAsia"/>
          <w:color w:val="auto"/>
          <w:highlight w:val="none"/>
        </w:rPr>
      </w:pPr>
      <w:r>
        <w:rPr>
          <w:rFonts w:hint="eastAsia"/>
          <w:color w:val="auto"/>
          <w:highlight w:val="none"/>
        </w:rPr>
        <w:t>本公司对上述声明的真实性负责。如有虚假，将依法承担相应责任。</w:t>
      </w:r>
    </w:p>
    <w:p>
      <w:pPr>
        <w:snapToGrid w:val="0"/>
        <w:spacing w:line="360" w:lineRule="auto"/>
        <w:ind w:firstLine="420" w:firstLineChars="200"/>
        <w:rPr>
          <w:color w:val="auto"/>
          <w:highlight w:val="none"/>
        </w:rPr>
      </w:pPr>
    </w:p>
    <w:p>
      <w:pPr>
        <w:snapToGrid w:val="0"/>
        <w:spacing w:line="360" w:lineRule="auto"/>
        <w:ind w:firstLine="420" w:firstLineChars="200"/>
        <w:rPr>
          <w:rFonts w:hint="eastAsia"/>
          <w:color w:val="auto"/>
          <w:highlight w:val="none"/>
        </w:rPr>
      </w:pPr>
      <w:r>
        <w:rPr>
          <w:rFonts w:hint="eastAsia"/>
          <w:color w:val="auto"/>
          <w:highlight w:val="none"/>
        </w:rPr>
        <w:t>投标人名称（盖章）：</w:t>
      </w:r>
    </w:p>
    <w:p>
      <w:pPr>
        <w:snapToGrid w:val="0"/>
        <w:spacing w:line="360" w:lineRule="auto"/>
        <w:ind w:firstLine="420" w:firstLineChars="200"/>
        <w:rPr>
          <w:rFonts w:hint="eastAsia"/>
          <w:color w:val="auto"/>
          <w:highlight w:val="none"/>
        </w:rPr>
      </w:pPr>
      <w:r>
        <w:rPr>
          <w:rFonts w:hint="eastAsia"/>
          <w:color w:val="auto"/>
          <w:highlight w:val="none"/>
        </w:rPr>
        <w:t>日期：    年  月  日</w:t>
      </w: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snapToGrid w:val="0"/>
        <w:spacing w:line="360" w:lineRule="auto"/>
        <w:rPr>
          <w:b/>
          <w:color w:val="auto"/>
          <w:spacing w:val="6"/>
          <w:highlight w:val="none"/>
        </w:rPr>
      </w:pPr>
    </w:p>
    <w:p>
      <w:pPr>
        <w:snapToGrid w:val="0"/>
        <w:spacing w:line="360" w:lineRule="auto"/>
        <w:rPr>
          <w:b/>
          <w:color w:val="auto"/>
          <w:spacing w:val="6"/>
          <w:highlight w:val="none"/>
        </w:rPr>
      </w:pPr>
    </w:p>
    <w:p>
      <w:pPr>
        <w:snapToGrid w:val="0"/>
        <w:spacing w:line="360" w:lineRule="auto"/>
        <w:jc w:val="center"/>
        <w:rPr>
          <w:b/>
          <w:color w:val="auto"/>
          <w:spacing w:val="6"/>
          <w:highlight w:val="none"/>
        </w:rPr>
      </w:pPr>
    </w:p>
    <w:p>
      <w:pPr>
        <w:snapToGrid w:val="0"/>
        <w:spacing w:line="360" w:lineRule="auto"/>
        <w:jc w:val="center"/>
        <w:rPr>
          <w:b/>
          <w:color w:val="auto"/>
          <w:spacing w:val="6"/>
          <w:highlight w:val="none"/>
        </w:rPr>
      </w:pPr>
    </w:p>
    <w:p>
      <w:pPr>
        <w:pageBreakBefore/>
        <w:snapToGrid w:val="0"/>
        <w:spacing w:line="360" w:lineRule="auto"/>
        <w:jc w:val="center"/>
        <w:rPr>
          <w:rFonts w:hint="eastAsia"/>
          <w:b/>
          <w:color w:val="auto"/>
          <w:spacing w:val="6"/>
          <w:sz w:val="28"/>
          <w:szCs w:val="36"/>
          <w:highlight w:val="none"/>
        </w:rPr>
      </w:pPr>
      <w:r>
        <w:rPr>
          <w:rFonts w:hint="eastAsia"/>
          <w:b/>
          <w:color w:val="auto"/>
          <w:spacing w:val="6"/>
          <w:sz w:val="28"/>
          <w:szCs w:val="36"/>
          <w:highlight w:val="none"/>
        </w:rPr>
        <w:t>残疾人福利性单位声明函</w:t>
      </w:r>
    </w:p>
    <w:p>
      <w:pPr>
        <w:snapToGrid w:val="0"/>
        <w:spacing w:line="360" w:lineRule="auto"/>
        <w:ind w:firstLine="420" w:firstLineChars="200"/>
        <w:rPr>
          <w:color w:val="auto"/>
          <w:highlight w:val="none"/>
        </w:rPr>
      </w:pPr>
    </w:p>
    <w:p>
      <w:pPr>
        <w:snapToGrid w:val="0"/>
        <w:spacing w:line="360" w:lineRule="auto"/>
        <w:ind w:firstLine="420" w:firstLineChars="200"/>
        <w:rPr>
          <w:rFonts w:hint="eastAsia"/>
          <w:color w:val="auto"/>
          <w:highlight w:val="none"/>
        </w:rPr>
      </w:pPr>
      <w:r>
        <w:rPr>
          <w:rFonts w:hint="eastAsia"/>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rFonts w:hint="eastAsia"/>
          <w:color w:val="auto"/>
          <w:highlight w:val="none"/>
        </w:rPr>
      </w:pPr>
      <w:r>
        <w:rPr>
          <w:rFonts w:hint="eastAsia"/>
          <w:color w:val="auto"/>
          <w:highlight w:val="none"/>
        </w:rPr>
        <w:t>本单位对上述声明的真实性负责。如有虚假，将依法承担相应责任。</w:t>
      </w:r>
    </w:p>
    <w:p>
      <w:pPr>
        <w:snapToGrid w:val="0"/>
        <w:spacing w:line="360" w:lineRule="auto"/>
        <w:ind w:firstLine="420" w:firstLineChars="200"/>
        <w:rPr>
          <w:color w:val="auto"/>
          <w:highlight w:val="none"/>
        </w:rPr>
      </w:pPr>
    </w:p>
    <w:p>
      <w:pPr>
        <w:snapToGrid w:val="0"/>
        <w:spacing w:line="360" w:lineRule="auto"/>
        <w:ind w:firstLine="420" w:firstLineChars="200"/>
        <w:rPr>
          <w:color w:val="auto"/>
          <w:highlight w:val="none"/>
        </w:rPr>
      </w:pPr>
    </w:p>
    <w:p>
      <w:pPr>
        <w:tabs>
          <w:tab w:val="left" w:pos="4860"/>
        </w:tabs>
        <w:snapToGrid w:val="0"/>
        <w:spacing w:line="360" w:lineRule="auto"/>
        <w:ind w:right="1560" w:firstLine="420" w:firstLineChars="200"/>
        <w:rPr>
          <w:rFonts w:hint="eastAsia"/>
          <w:color w:val="auto"/>
          <w:highlight w:val="none"/>
        </w:rPr>
      </w:pPr>
      <w:r>
        <w:rPr>
          <w:rFonts w:hint="eastAsia"/>
          <w:color w:val="auto"/>
          <w:highlight w:val="none"/>
        </w:rPr>
        <w:t xml:space="preserve">       单位名称（盖章）：</w:t>
      </w:r>
    </w:p>
    <w:p>
      <w:pPr>
        <w:tabs>
          <w:tab w:val="left" w:pos="4860"/>
        </w:tabs>
        <w:snapToGrid w:val="0"/>
        <w:spacing w:line="360" w:lineRule="auto"/>
        <w:ind w:right="1560" w:firstLine="420" w:firstLineChars="200"/>
        <w:rPr>
          <w:rFonts w:hint="eastAsia"/>
          <w:color w:val="auto"/>
          <w:highlight w:val="none"/>
        </w:rPr>
      </w:pPr>
      <w:r>
        <w:rPr>
          <w:rFonts w:hint="eastAsia"/>
          <w:color w:val="auto"/>
          <w:highlight w:val="none"/>
        </w:rPr>
        <w:t xml:space="preserve">       日  期：</w:t>
      </w:r>
    </w:p>
    <w:p>
      <w:pPr>
        <w:pStyle w:val="66"/>
        <w:snapToGrid w:val="0"/>
        <w:spacing w:line="360" w:lineRule="auto"/>
        <w:ind w:left="360" w:firstLine="0" w:firstLineChars="0"/>
        <w:rPr>
          <w:rFonts w:hint="eastAsia"/>
          <w:color w:val="auto"/>
          <w:highlight w:val="none"/>
        </w:rPr>
      </w:pPr>
      <w:r>
        <w:rPr>
          <w:rFonts w:hint="eastAsia"/>
          <w:color w:val="auto"/>
          <w:highlight w:val="none"/>
        </w:rPr>
        <w:t>扶持政策说明：</w:t>
      </w:r>
    </w:p>
    <w:p>
      <w:pPr>
        <w:pStyle w:val="66"/>
        <w:snapToGrid w:val="0"/>
        <w:spacing w:line="360" w:lineRule="auto"/>
        <w:rPr>
          <w:rFonts w:hint="eastAsia"/>
          <w:color w:val="auto"/>
          <w:highlight w:val="none"/>
        </w:rPr>
      </w:pPr>
      <w:r>
        <w:rPr>
          <w:rFonts w:hint="eastAsia"/>
          <w:color w:val="auto"/>
          <w:highlight w:val="none"/>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olor w:val="auto"/>
          <w:highlight w:val="none"/>
          <w:u w:val="single"/>
        </w:rPr>
        <w:t>6%</w:t>
      </w:r>
      <w:r>
        <w:rPr>
          <w:rFonts w:hint="eastAsia"/>
          <w:color w:val="auto"/>
          <w:highlight w:val="none"/>
        </w:rPr>
        <w:t>的扣除，并用扣除后的价格计算价格评分。</w:t>
      </w:r>
    </w:p>
    <w:p>
      <w:pPr>
        <w:snapToGrid w:val="0"/>
        <w:spacing w:line="360" w:lineRule="auto"/>
        <w:ind w:firstLine="210" w:firstLineChars="100"/>
        <w:rPr>
          <w:rFonts w:hint="eastAsia"/>
          <w:color w:val="auto"/>
          <w:highlight w:val="none"/>
        </w:rPr>
      </w:pPr>
      <w:r>
        <w:rPr>
          <w:rFonts w:hint="eastAsia"/>
          <w:color w:val="auto"/>
          <w:highlight w:val="none"/>
        </w:rPr>
        <w:t>2、监狱企业视同小微企业，参加本项目投标的，享受小微企业同等的价格扣除。【注：提供《监狱企业声明函》及其相关的充分的证明材料】。</w:t>
      </w:r>
    </w:p>
    <w:p>
      <w:pPr>
        <w:pStyle w:val="66"/>
        <w:snapToGrid w:val="0"/>
        <w:spacing w:line="360" w:lineRule="auto"/>
        <w:ind w:firstLine="210" w:firstLineChars="100"/>
        <w:rPr>
          <w:rFonts w:hint="eastAsia"/>
          <w:color w:val="auto"/>
          <w:highlight w:val="none"/>
        </w:rPr>
      </w:pPr>
      <w:r>
        <w:rPr>
          <w:rFonts w:hint="eastAsia"/>
          <w:color w:val="auto"/>
          <w:highlight w:val="none"/>
        </w:rPr>
        <w:t>3、残疾人福利性单位参加投标【提供《残疾人福利性单位声明函》】，视为小型、微型企业，享受小微企业政策扶持。</w:t>
      </w: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pStyle w:val="12"/>
        <w:rPr>
          <w:rFonts w:hint="eastAsia"/>
          <w:color w:val="auto"/>
          <w:highlight w:val="none"/>
        </w:rPr>
      </w:pPr>
      <w:bookmarkStart w:id="592" w:name="_Toc30408915"/>
      <w:bookmarkEnd w:id="592"/>
      <w:bookmarkStart w:id="593" w:name="_Toc7988414"/>
      <w:bookmarkEnd w:id="593"/>
      <w:bookmarkStart w:id="594" w:name="_Toc424164168"/>
      <w:bookmarkEnd w:id="594"/>
      <w:bookmarkStart w:id="595" w:name="_Toc24550050"/>
      <w:bookmarkEnd w:id="595"/>
      <w:bookmarkStart w:id="596" w:name="_Toc8008423"/>
      <w:bookmarkEnd w:id="596"/>
      <w:bookmarkStart w:id="597" w:name="_Toc440162800"/>
      <w:bookmarkEnd w:id="597"/>
      <w:bookmarkStart w:id="598" w:name="_Toc7988468"/>
      <w:bookmarkEnd w:id="598"/>
      <w:r>
        <w:rPr>
          <w:rFonts w:hint="eastAsia"/>
          <w:color w:val="auto"/>
          <w:highlight w:val="none"/>
        </w:rPr>
        <w:t>三、“商务技术文件</w:t>
      </w:r>
      <w:r>
        <w:rPr>
          <w:color w:val="auto"/>
          <w:highlight w:val="none"/>
        </w:rPr>
        <w:t>”</w:t>
      </w:r>
      <w:r>
        <w:rPr>
          <w:rFonts w:hint="eastAsia"/>
          <w:color w:val="auto"/>
          <w:highlight w:val="none"/>
        </w:rPr>
        <w:t>格式</w:t>
      </w:r>
    </w:p>
    <w:p>
      <w:pPr>
        <w:pStyle w:val="13"/>
        <w:rPr>
          <w:rFonts w:hint="eastAsia"/>
          <w:color w:val="auto"/>
          <w:highlight w:val="none"/>
        </w:rPr>
      </w:pPr>
      <w:r>
        <w:rPr>
          <w:rFonts w:hint="eastAsia"/>
          <w:color w:val="auto"/>
          <w:highlight w:val="none"/>
        </w:rPr>
        <w:t>3.1 “商务技术文件”封面</w:t>
      </w:r>
    </w:p>
    <w:p>
      <w:pPr>
        <w:spacing w:line="360" w:lineRule="auto"/>
        <w:jc w:val="right"/>
        <w:rPr>
          <w:rFonts w:ascii="Arial" w:hAnsi="Arial" w:eastAsia="新宋体"/>
          <w:b/>
          <w:color w:val="auto"/>
          <w:sz w:val="32"/>
          <w:szCs w:val="22"/>
          <w:highlight w:val="none"/>
        </w:rPr>
      </w:pPr>
    </w:p>
    <w:p>
      <w:pPr>
        <w:spacing w:line="360" w:lineRule="auto"/>
        <w:jc w:val="center"/>
        <w:rPr>
          <w:rFonts w:hint="eastAsia" w:ascii="华文中宋" w:hAnsi="华文中宋" w:eastAsia="华文中宋"/>
          <w:b/>
          <w:color w:val="auto"/>
          <w:w w:val="90"/>
          <w:sz w:val="44"/>
          <w:szCs w:val="22"/>
          <w:highlight w:val="none"/>
          <w:lang w:eastAsia="zh-CN"/>
        </w:rPr>
      </w:pPr>
      <w:r>
        <w:rPr>
          <w:rFonts w:hint="eastAsia" w:ascii="华文中宋" w:hAnsi="华文中宋" w:eastAsia="华文中宋"/>
          <w:b/>
          <w:color w:val="auto"/>
          <w:w w:val="90"/>
          <w:sz w:val="44"/>
          <w:szCs w:val="22"/>
          <w:highlight w:val="none"/>
          <w:lang w:eastAsia="zh-CN"/>
        </w:rPr>
        <w:t>平阳县瑞苍高速公路平阳段工程萧江镇淡浦安置地块（凤头B-15、凤头B-25）全过程咨询服务</w:t>
      </w:r>
    </w:p>
    <w:p>
      <w:pPr>
        <w:spacing w:line="276" w:lineRule="auto"/>
        <w:jc w:val="center"/>
        <w:rPr>
          <w:rFonts w:hint="eastAsia" w:ascii="华文中宋" w:hAnsi="华文中宋" w:eastAsia="华文中宋"/>
          <w:color w:val="auto"/>
          <w:sz w:val="96"/>
          <w:szCs w:val="22"/>
          <w:highlight w:val="none"/>
        </w:rPr>
      </w:pPr>
      <w:r>
        <w:rPr>
          <w:rFonts w:hint="eastAsia" w:ascii="华文中宋" w:hAnsi="华文中宋" w:eastAsia="华文中宋"/>
          <w:color w:val="auto"/>
          <w:sz w:val="96"/>
          <w:szCs w:val="22"/>
          <w:highlight w:val="none"/>
        </w:rPr>
        <w:t>投 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文</w:t>
      </w:r>
      <w:r>
        <w:rPr>
          <w:rFonts w:ascii="华文中宋" w:hAnsi="华文中宋" w:eastAsia="华文中宋"/>
          <w:color w:val="auto"/>
          <w:sz w:val="96"/>
          <w:szCs w:val="22"/>
          <w:highlight w:val="none"/>
        </w:rPr>
        <w:t xml:space="preserve"> </w:t>
      </w:r>
      <w:r>
        <w:rPr>
          <w:rFonts w:hint="eastAsia" w:ascii="华文中宋" w:hAnsi="华文中宋" w:eastAsia="华文中宋"/>
          <w:color w:val="auto"/>
          <w:sz w:val="96"/>
          <w:szCs w:val="22"/>
          <w:highlight w:val="none"/>
        </w:rPr>
        <w:t>件</w:t>
      </w:r>
    </w:p>
    <w:p>
      <w:pPr>
        <w:spacing w:line="360" w:lineRule="auto"/>
        <w:jc w:val="center"/>
        <w:rPr>
          <w:rFonts w:hint="eastAsia" w:ascii="华文中宋" w:hAnsi="华文中宋" w:eastAsia="华文中宋"/>
          <w:b/>
          <w:color w:val="auto"/>
          <w:sz w:val="52"/>
          <w:szCs w:val="22"/>
          <w:highlight w:val="none"/>
        </w:rPr>
      </w:pPr>
      <w:r>
        <w:rPr>
          <w:rFonts w:hint="eastAsia" w:ascii="华文中宋" w:hAnsi="华文中宋" w:eastAsia="华文中宋"/>
          <w:b/>
          <w:color w:val="auto"/>
          <w:sz w:val="52"/>
          <w:szCs w:val="22"/>
          <w:highlight w:val="none"/>
        </w:rPr>
        <w:t>（商务技术文件）</w:t>
      </w:r>
    </w:p>
    <w:p>
      <w:pPr>
        <w:spacing w:line="360" w:lineRule="auto"/>
        <w:jc w:val="center"/>
        <w:rPr>
          <w:rFonts w:hint="eastAsia" w:ascii="华文中宋" w:hAnsi="华文中宋" w:eastAsia="华文中宋"/>
          <w:b/>
          <w:color w:val="auto"/>
          <w:sz w:val="52"/>
          <w:szCs w:val="22"/>
          <w:highlight w:val="none"/>
        </w:rPr>
      </w:pPr>
    </w:p>
    <w:tbl>
      <w:tblPr>
        <w:tblStyle w:val="8"/>
        <w:tblW w:w="0" w:type="auto"/>
        <w:tblInd w:w="142"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hint="eastAsia" w:ascii="仿宋" w:hAnsi="仿宋" w:eastAsia="仿宋"/>
                <w:color w:val="auto"/>
                <w:sz w:val="28"/>
                <w:szCs w:val="28"/>
                <w:highlight w:val="none"/>
              </w:rPr>
            </w:pPr>
          </w:p>
        </w:tc>
      </w:tr>
    </w:tbl>
    <w:p>
      <w:pPr>
        <w:rPr>
          <w:rFonts w:hint="eastAsia"/>
          <w:color w:val="auto"/>
          <w:highlight w:val="none"/>
        </w:rPr>
      </w:pPr>
    </w:p>
    <w:p>
      <w:pPr>
        <w:pStyle w:val="13"/>
        <w:rPr>
          <w:color w:val="auto"/>
          <w:highlight w:val="none"/>
        </w:rPr>
      </w:pPr>
      <w:r>
        <w:rPr>
          <w:color w:val="auto"/>
          <w:highlight w:val="none"/>
        </w:rPr>
        <w:br w:type="page"/>
      </w:r>
      <w:r>
        <w:rPr>
          <w:rFonts w:hint="eastAsia"/>
          <w:color w:val="auto"/>
          <w:highlight w:val="none"/>
        </w:rPr>
        <w:t>3.2供应商自评分指引表</w:t>
      </w:r>
    </w:p>
    <w:tbl>
      <w:tblPr>
        <w:tblStyle w:val="8"/>
        <w:tblW w:w="0" w:type="auto"/>
        <w:tblInd w:w="-108" w:type="dxa"/>
        <w:tblLayout w:type="fixed"/>
        <w:tblCellMar>
          <w:top w:w="0" w:type="dxa"/>
          <w:left w:w="108" w:type="dxa"/>
          <w:bottom w:w="0" w:type="dxa"/>
          <w:right w:w="108" w:type="dxa"/>
        </w:tblCellMar>
      </w:tblPr>
      <w:tblGrid>
        <w:gridCol w:w="1095"/>
        <w:gridCol w:w="7470"/>
        <w:gridCol w:w="1340"/>
      </w:tblGrid>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投标文件索引（页码）</w:t>
            </w: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108" w:type="dxa"/>
            <w:bottom w:w="0" w:type="dxa"/>
            <w:right w:w="108"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color w:val="auto"/>
                <w:sz w:val="22"/>
                <w:highlight w:val="none"/>
              </w:rPr>
            </w:pPr>
          </w:p>
        </w:tc>
      </w:tr>
    </w:tbl>
    <w:p>
      <w:pPr>
        <w:rPr>
          <w:rFonts w:hint="eastAsia"/>
          <w:color w:val="auto"/>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pStyle w:val="11"/>
        <w:rPr>
          <w:rFonts w:hint="eastAsia"/>
          <w:color w:val="auto"/>
          <w:highlight w:val="none"/>
        </w:rPr>
      </w:pPr>
    </w:p>
    <w:p>
      <w:pPr>
        <w:rPr>
          <w:rFonts w:hint="eastAsia"/>
          <w:color w:val="auto"/>
          <w:sz w:val="32"/>
          <w:highlight w:val="none"/>
        </w:rPr>
      </w:pPr>
    </w:p>
    <w:p>
      <w:pPr>
        <w:rPr>
          <w:rFonts w:hint="eastAsia"/>
          <w:color w:val="auto"/>
          <w:sz w:val="32"/>
          <w:highlight w:val="none"/>
        </w:rPr>
      </w:pPr>
      <w:r>
        <w:rPr>
          <w:rFonts w:hint="eastAsia"/>
          <w:color w:val="auto"/>
          <w:sz w:val="32"/>
          <w:highlight w:val="none"/>
        </w:rPr>
        <w:t>3.3</w:t>
      </w:r>
      <w:r>
        <w:rPr>
          <w:color w:val="auto"/>
          <w:sz w:val="32"/>
          <w:highlight w:val="none"/>
        </w:rPr>
        <w:t>供应商参与政府采购活动投标资格声明函</w:t>
      </w:r>
    </w:p>
    <w:p>
      <w:pPr>
        <w:snapToGrid w:val="0"/>
        <w:spacing w:line="360" w:lineRule="exact"/>
        <w:jc w:val="center"/>
        <w:rPr>
          <w:b/>
          <w:color w:val="auto"/>
          <w:sz w:val="32"/>
          <w:highlight w:val="none"/>
        </w:rPr>
      </w:pPr>
      <w:r>
        <w:rPr>
          <w:b/>
          <w:color w:val="auto"/>
          <w:sz w:val="32"/>
          <w:highlight w:val="none"/>
        </w:rPr>
        <w:t>供应商参与政府采购活动投标资格声明函</w:t>
      </w:r>
    </w:p>
    <w:tbl>
      <w:tblPr>
        <w:tblStyle w:val="8"/>
        <w:tblW w:w="0" w:type="auto"/>
        <w:tblInd w:w="0" w:type="dxa"/>
        <w:tblLayout w:type="fixed"/>
        <w:tblCellMar>
          <w:top w:w="0" w:type="dxa"/>
          <w:left w:w="108" w:type="dxa"/>
          <w:bottom w:w="0" w:type="dxa"/>
          <w:right w:w="108" w:type="dxa"/>
        </w:tblCellMar>
      </w:tblPr>
      <w:tblGrid>
        <w:gridCol w:w="1620"/>
        <w:gridCol w:w="7992"/>
      </w:tblGrid>
      <w:tr>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napToGrid w:val="0"/>
              <w:spacing w:line="400" w:lineRule="exact"/>
              <w:ind w:left="422" w:firstLine="331"/>
              <w:rPr>
                <w:color w:val="auto"/>
                <w:sz w:val="22"/>
                <w:highlight w:val="none"/>
              </w:rPr>
            </w:pPr>
          </w:p>
        </w:tc>
      </w:tr>
      <w:tr>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napToGrid w:val="0"/>
              <w:spacing w:line="400" w:lineRule="exact"/>
              <w:ind w:left="422" w:firstLine="361"/>
              <w:rPr>
                <w:color w:val="auto"/>
                <w:sz w:val="22"/>
                <w:highlight w:val="none"/>
              </w:rPr>
            </w:pPr>
          </w:p>
        </w:tc>
      </w:tr>
      <w:tr>
        <w:tblPrEx>
          <w:tblCellMar>
            <w:top w:w="0" w:type="dxa"/>
            <w:left w:w="108" w:type="dxa"/>
            <w:bottom w:w="0" w:type="dxa"/>
            <w:right w:w="108"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投标截止时间：</w:t>
            </w:r>
          </w:p>
        </w:tc>
      </w:tr>
      <w:tr>
        <w:tblPrEx>
          <w:tblCellMar>
            <w:top w:w="0" w:type="dxa"/>
            <w:left w:w="108" w:type="dxa"/>
            <w:bottom w:w="0" w:type="dxa"/>
            <w:right w:w="108"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top"/>
          </w:tcPr>
          <w:p>
            <w:pPr>
              <w:snapToGrid w:val="0"/>
              <w:spacing w:line="400" w:lineRule="exact"/>
              <w:ind w:firstLine="450"/>
              <w:rPr>
                <w:color w:val="auto"/>
                <w:sz w:val="22"/>
                <w:highlight w:val="none"/>
              </w:rPr>
            </w:pPr>
            <w:r>
              <w:rPr>
                <w:color w:val="auto"/>
                <w:sz w:val="22"/>
                <w:highlight w:val="none"/>
              </w:rPr>
              <w:t>1、根据</w:t>
            </w:r>
            <w:r>
              <w:rPr>
                <w:rFonts w:hint="eastAsia"/>
                <w:color w:val="auto"/>
                <w:sz w:val="22"/>
                <w:highlight w:val="none"/>
              </w:rPr>
              <w:t>平阳县县属国有企业采购管理办法（试行）</w:t>
            </w:r>
            <w:r>
              <w:rPr>
                <w:color w:val="auto"/>
                <w:sz w:val="22"/>
                <w:highlight w:val="none"/>
              </w:rPr>
              <w:t>第十</w:t>
            </w:r>
            <w:r>
              <w:rPr>
                <w:rFonts w:hint="eastAsia"/>
                <w:color w:val="auto"/>
                <w:sz w:val="22"/>
                <w:highlight w:val="none"/>
              </w:rPr>
              <w:t>四</w:t>
            </w:r>
            <w:r>
              <w:rPr>
                <w:color w:val="auto"/>
                <w:sz w:val="22"/>
                <w:highlight w:val="none"/>
              </w:rPr>
              <w:t>条规定，我单位满足以下条件：</w:t>
            </w:r>
          </w:p>
          <w:p>
            <w:pPr>
              <w:pStyle w:val="37"/>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（一）具有独立承担民事责任的能力；</w:t>
            </w:r>
          </w:p>
          <w:p>
            <w:pPr>
              <w:pStyle w:val="37"/>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（二）具有良好的商业信誉和健全的财务会计制度；</w:t>
            </w:r>
          </w:p>
          <w:p>
            <w:pPr>
              <w:pStyle w:val="37"/>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（三）具有履行合同所必需的设备和专业技术、售后保障等能力；</w:t>
            </w:r>
          </w:p>
          <w:p>
            <w:pPr>
              <w:pStyle w:val="37"/>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（四）有依法缴纳税收和社会保障资金的良好记录；</w:t>
            </w:r>
          </w:p>
          <w:p>
            <w:pPr>
              <w:pStyle w:val="37"/>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（五）参加采购、招投标等活动前三年内，在经营活动中没有重大违法记录、严重失信行为和行贿记录；</w:t>
            </w:r>
          </w:p>
          <w:p>
            <w:pPr>
              <w:pStyle w:val="37"/>
              <w:keepNext w:val="0"/>
              <w:keepLines w:val="0"/>
              <w:pageBreakBefore w:val="0"/>
              <w:kinsoku/>
              <w:wordWrap/>
              <w:overflowPunct/>
              <w:topLinePunct w:val="0"/>
              <w:autoSpaceDE/>
              <w:autoSpaceDN/>
              <w:bidi w:val="0"/>
              <w:snapToGrid/>
              <w:spacing w:before="0" w:beforeAutospacing="0" w:after="0" w:afterAutospacing="0" w:line="440" w:lineRule="exact"/>
              <w:ind w:firstLine="440" w:firstLineChars="20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（六）法律、行政法规规定的其他条件。</w:t>
            </w:r>
            <w:r>
              <w:rPr>
                <w:color w:val="auto"/>
                <w:sz w:val="22"/>
                <w:highlight w:val="none"/>
              </w:rPr>
              <w:t xml:space="preserve"> </w:t>
            </w:r>
          </w:p>
          <w:p>
            <w:pPr>
              <w:snapToGrid w:val="0"/>
              <w:spacing w:line="400" w:lineRule="exact"/>
              <w:ind w:firstLine="450"/>
              <w:rPr>
                <w:color w:val="auto"/>
                <w:sz w:val="22"/>
                <w:highlight w:val="none"/>
              </w:rPr>
            </w:pPr>
            <w:r>
              <w:rPr>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highlight w:val="none"/>
              </w:rPr>
              <w:t>我单位承诺不存在上述文件规定依法限制参与政府采购的情况。</w:t>
            </w:r>
          </w:p>
          <w:p>
            <w:pPr>
              <w:snapToGrid w:val="0"/>
              <w:spacing w:line="400" w:lineRule="exact"/>
              <w:ind w:firstLine="450"/>
              <w:rPr>
                <w:color w:val="auto"/>
                <w:sz w:val="22"/>
                <w:highlight w:val="none"/>
              </w:rPr>
            </w:pPr>
            <w:r>
              <w:rPr>
                <w:color w:val="auto"/>
                <w:sz w:val="22"/>
                <w:highlight w:val="none"/>
              </w:rPr>
              <w:t>3、我单位承诺没有被各地、各级财政部门限制参加政府采购活动。</w:t>
            </w:r>
          </w:p>
          <w:p>
            <w:pPr>
              <w:tabs>
                <w:tab w:val="center" w:pos="4483"/>
              </w:tabs>
              <w:snapToGrid w:val="0"/>
              <w:spacing w:line="360" w:lineRule="auto"/>
              <w:ind w:firstLine="400"/>
              <w:rPr>
                <w:color w:val="auto"/>
                <w:sz w:val="22"/>
                <w:highlight w:val="none"/>
              </w:rPr>
            </w:pPr>
            <w:r>
              <w:rPr>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auto"/>
                <w:sz w:val="22"/>
                <w:highlight w:val="none"/>
                <w:u w:val="single"/>
              </w:rPr>
            </w:pPr>
            <w:r>
              <w:rPr>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108" w:type="dxa"/>
            <w:bottom w:w="0" w:type="dxa"/>
            <w:right w:w="108"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供应商名称（加盖盖章）：</w:t>
            </w:r>
          </w:p>
        </w:tc>
      </w:tr>
      <w:tr>
        <w:tblPrEx>
          <w:tblCellMar>
            <w:top w:w="0" w:type="dxa"/>
            <w:left w:w="108" w:type="dxa"/>
            <w:bottom w:w="0" w:type="dxa"/>
            <w:right w:w="108"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color w:val="auto"/>
                <w:sz w:val="22"/>
                <w:highlight w:val="none"/>
              </w:rPr>
            </w:pPr>
            <w:r>
              <w:rPr>
                <w:color w:val="auto"/>
                <w:sz w:val="22"/>
                <w:highlight w:val="none"/>
              </w:rPr>
              <w:t>法定代表人或授权代表（签字或盖章）：</w:t>
            </w:r>
          </w:p>
        </w:tc>
      </w:tr>
      <w:tr>
        <w:tblPrEx>
          <w:tblCellMar>
            <w:top w:w="0" w:type="dxa"/>
            <w:left w:w="108" w:type="dxa"/>
            <w:bottom w:w="0" w:type="dxa"/>
            <w:right w:w="108"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签署日期：</w:t>
            </w:r>
          </w:p>
        </w:tc>
      </w:tr>
    </w:tbl>
    <w:p>
      <w:pPr>
        <w:tabs>
          <w:tab w:val="center" w:pos="4483"/>
        </w:tabs>
        <w:snapToGrid w:val="0"/>
        <w:spacing w:line="360" w:lineRule="auto"/>
        <w:ind w:firstLine="440"/>
        <w:rPr>
          <w:rFonts w:hint="eastAsia" w:ascii="Times New Roman" w:hAnsi="Times New Roman" w:eastAsia="宋体"/>
          <w:color w:val="auto"/>
          <w:sz w:val="22"/>
          <w:highlight w:val="none"/>
          <w:u w:val="single"/>
        </w:rPr>
      </w:pPr>
      <w:r>
        <w:rPr>
          <w:rFonts w:hint="eastAsia" w:ascii="Times New Roman" w:hAnsi="Times New Roman" w:eastAsia="宋体"/>
          <w:color w:val="auto"/>
          <w:sz w:val="22"/>
          <w:highlight w:val="none"/>
          <w:u w:val="single"/>
        </w:rPr>
        <w:t xml:space="preserve"> 备注：▲投标供应商必须提供本声明，不提供按无效投标处理。</w:t>
      </w:r>
    </w:p>
    <w:p>
      <w:pPr>
        <w:rPr>
          <w:rFonts w:hint="eastAsia"/>
          <w:color w:val="auto"/>
          <w:sz w:val="36"/>
          <w:highlight w:val="none"/>
        </w:rPr>
      </w:pPr>
    </w:p>
    <w:p>
      <w:pPr>
        <w:rPr>
          <w:rFonts w:hint="eastAsia"/>
          <w:color w:val="auto"/>
          <w:sz w:val="36"/>
          <w:highlight w:val="none"/>
        </w:rPr>
      </w:pPr>
    </w:p>
    <w:p>
      <w:pPr>
        <w:rPr>
          <w:rFonts w:hint="eastAsia"/>
          <w:color w:val="auto"/>
          <w:sz w:val="36"/>
          <w:highlight w:val="none"/>
        </w:rPr>
      </w:pPr>
    </w:p>
    <w:p>
      <w:pPr>
        <w:pStyle w:val="24"/>
        <w:snapToGrid w:val="0"/>
        <w:spacing w:line="500" w:lineRule="exact"/>
        <w:rPr>
          <w:rFonts w:hint="eastAsia" w:hAnsi="宋体"/>
          <w:color w:val="auto"/>
          <w:kern w:val="0"/>
          <w:sz w:val="32"/>
          <w:szCs w:val="24"/>
          <w:highlight w:val="none"/>
        </w:rPr>
      </w:pPr>
      <w:r>
        <w:rPr>
          <w:rFonts w:hint="eastAsia" w:hAnsi="宋体"/>
          <w:color w:val="auto"/>
          <w:kern w:val="0"/>
          <w:sz w:val="32"/>
          <w:szCs w:val="24"/>
          <w:highlight w:val="none"/>
        </w:rPr>
        <w:t>3.4投标函</w:t>
      </w:r>
    </w:p>
    <w:p>
      <w:pPr>
        <w:pStyle w:val="24"/>
        <w:snapToGrid w:val="0"/>
        <w:spacing w:line="500" w:lineRule="exact"/>
        <w:rPr>
          <w:rFonts w:hint="eastAsia" w:hAnsi="宋体"/>
          <w:color w:val="auto"/>
          <w:sz w:val="32"/>
          <w:highlight w:val="none"/>
        </w:rPr>
      </w:pPr>
      <w:r>
        <w:rPr>
          <w:rFonts w:hint="eastAsia" w:hAnsi="宋体"/>
          <w:color w:val="auto"/>
          <w:sz w:val="32"/>
          <w:highlight w:val="none"/>
        </w:rPr>
        <w:t xml:space="preserve">                         </w:t>
      </w:r>
      <w:r>
        <w:rPr>
          <w:rFonts w:hint="eastAsia" w:hAnsi="宋体"/>
          <w:color w:val="auto"/>
          <w:sz w:val="36"/>
          <w:highlight w:val="none"/>
        </w:rPr>
        <w:t>投  标  函</w:t>
      </w:r>
    </w:p>
    <w:p>
      <w:pPr>
        <w:pStyle w:val="24"/>
        <w:snapToGrid w:val="0"/>
        <w:spacing w:line="360" w:lineRule="atLeast"/>
        <w:ind w:firstLine="450"/>
        <w:rPr>
          <w:rFonts w:hint="eastAsia" w:hAnsi="宋体"/>
          <w:color w:val="auto"/>
          <w:sz w:val="22"/>
          <w:szCs w:val="22"/>
          <w:highlight w:val="none"/>
          <w:u w:val="single"/>
          <w:lang w:eastAsia="zh-CN"/>
        </w:rPr>
      </w:pPr>
      <w:r>
        <w:rPr>
          <w:rFonts w:hint="eastAsia" w:hAnsi="宋体"/>
          <w:color w:val="auto"/>
          <w:sz w:val="22"/>
          <w:szCs w:val="22"/>
          <w:highlight w:val="none"/>
          <w:u w:val="single"/>
          <w:lang w:eastAsia="zh-CN"/>
        </w:rPr>
        <w:t>平阳县萧江新农村建设投资有限公司</w:t>
      </w:r>
      <w:r>
        <w:rPr>
          <w:rFonts w:hint="eastAsia" w:hAnsi="宋体"/>
          <w:color w:val="auto"/>
          <w:sz w:val="22"/>
          <w:szCs w:val="22"/>
          <w:highlight w:val="none"/>
          <w:u w:val="single"/>
        </w:rPr>
        <w:t>：</w:t>
      </w:r>
    </w:p>
    <w:p>
      <w:pPr>
        <w:pStyle w:val="24"/>
        <w:snapToGrid w:val="0"/>
        <w:spacing w:line="360" w:lineRule="atLeast"/>
        <w:ind w:firstLine="450"/>
        <w:rPr>
          <w:rFonts w:hint="eastAsia" w:hAnsi="宋体"/>
          <w:color w:val="auto"/>
          <w:sz w:val="22"/>
          <w:szCs w:val="22"/>
          <w:highlight w:val="none"/>
        </w:rPr>
      </w:pPr>
    </w:p>
    <w:p>
      <w:pPr>
        <w:autoSpaceDE w:val="0"/>
        <w:autoSpaceDN w:val="0"/>
        <w:snapToGrid w:val="0"/>
        <w:spacing w:line="360" w:lineRule="atLeast"/>
        <w:rPr>
          <w:rFonts w:hint="eastAsia"/>
          <w:color w:val="auto"/>
          <w:sz w:val="22"/>
          <w:szCs w:val="22"/>
          <w:highlight w:val="none"/>
        </w:rPr>
      </w:pPr>
      <w:r>
        <w:rPr>
          <w:rFonts w:hint="eastAsia"/>
          <w:color w:val="auto"/>
          <w:sz w:val="22"/>
          <w:szCs w:val="22"/>
          <w:highlight w:val="none"/>
        </w:rPr>
        <w:t xml:space="preserve">     </w:t>
      </w:r>
      <w:r>
        <w:rPr>
          <w:color w:val="auto"/>
          <w:sz w:val="22"/>
          <w:szCs w:val="22"/>
          <w:highlight w:val="none"/>
          <w:lang w:val="zh-CN"/>
        </w:rPr>
        <w:t xml:space="preserve"> </w:t>
      </w:r>
      <w:r>
        <w:rPr>
          <w:color w:val="auto"/>
          <w:sz w:val="22"/>
          <w:szCs w:val="22"/>
          <w:highlight w:val="none"/>
          <w:u w:val="single"/>
          <w:lang w:val="zh-CN"/>
        </w:rPr>
        <w:t xml:space="preserve">                    </w:t>
      </w:r>
      <w:r>
        <w:rPr>
          <w:rFonts w:hint="eastAsia"/>
          <w:color w:val="auto"/>
          <w:sz w:val="22"/>
          <w:szCs w:val="22"/>
          <w:highlight w:val="none"/>
          <w:lang w:val="zh-CN"/>
        </w:rPr>
        <w:t>（供应商全称）授权</w:t>
      </w:r>
      <w:r>
        <w:rPr>
          <w:color w:val="auto"/>
          <w:sz w:val="22"/>
          <w:szCs w:val="22"/>
          <w:highlight w:val="none"/>
          <w:u w:val="single"/>
          <w:lang w:val="zh-CN"/>
        </w:rPr>
        <w:t xml:space="preserve">              </w:t>
      </w:r>
      <w:r>
        <w:rPr>
          <w:color w:val="auto"/>
          <w:sz w:val="22"/>
          <w:szCs w:val="22"/>
          <w:highlight w:val="none"/>
          <w:lang w:val="zh-CN"/>
        </w:rPr>
        <w:t xml:space="preserve"> </w:t>
      </w:r>
      <w:r>
        <w:rPr>
          <w:rFonts w:hint="eastAsia"/>
          <w:color w:val="auto"/>
          <w:sz w:val="22"/>
          <w:szCs w:val="22"/>
          <w:highlight w:val="none"/>
          <w:lang w:val="zh-CN"/>
        </w:rPr>
        <w:t>（授权代表名称）</w:t>
      </w:r>
      <w:r>
        <w:rPr>
          <w:color w:val="auto"/>
          <w:sz w:val="22"/>
          <w:szCs w:val="22"/>
          <w:highlight w:val="none"/>
          <w:u w:val="single"/>
          <w:lang w:val="zh-CN"/>
        </w:rPr>
        <w:t xml:space="preserve">         </w:t>
      </w:r>
      <w:r>
        <w:rPr>
          <w:rFonts w:hint="eastAsia"/>
          <w:color w:val="auto"/>
          <w:sz w:val="22"/>
          <w:szCs w:val="22"/>
          <w:highlight w:val="none"/>
          <w:lang w:val="zh-CN"/>
        </w:rPr>
        <w:t>（职务、职称）为授权代表，参加贵方组织的</w:t>
      </w:r>
      <w:r>
        <w:rPr>
          <w:color w:val="auto"/>
          <w:sz w:val="22"/>
          <w:szCs w:val="22"/>
          <w:highlight w:val="none"/>
          <w:u w:val="single"/>
          <w:lang w:val="zh-CN"/>
        </w:rPr>
        <w:t xml:space="preserve">       </w:t>
      </w:r>
      <w:r>
        <w:rPr>
          <w:rFonts w:hint="eastAsia"/>
          <w:color w:val="auto"/>
          <w:sz w:val="22"/>
          <w:szCs w:val="22"/>
          <w:highlight w:val="none"/>
          <w:u w:val="single"/>
        </w:rPr>
        <w:t xml:space="preserve">    </w:t>
      </w:r>
      <w:r>
        <w:rPr>
          <w:color w:val="auto"/>
          <w:sz w:val="22"/>
          <w:szCs w:val="22"/>
          <w:highlight w:val="none"/>
          <w:u w:val="single"/>
          <w:lang w:val="zh-CN"/>
        </w:rPr>
        <w:t xml:space="preserve">    </w:t>
      </w:r>
      <w:r>
        <w:rPr>
          <w:rFonts w:hint="eastAsia"/>
          <w:color w:val="auto"/>
          <w:sz w:val="22"/>
          <w:szCs w:val="22"/>
          <w:highlight w:val="none"/>
          <w:lang w:val="zh-CN"/>
        </w:rPr>
        <w:t>（招标项目名称）（括号内填投标编号）招标的有关活动，为此：并对</w:t>
      </w:r>
      <w:r>
        <w:rPr>
          <w:rFonts w:hint="eastAsia"/>
          <w:color w:val="auto"/>
          <w:sz w:val="22"/>
          <w:szCs w:val="22"/>
          <w:highlight w:val="none"/>
          <w:u w:val="single"/>
          <w:lang w:val="zh-CN"/>
        </w:rPr>
        <w:t xml:space="preserve">            </w:t>
      </w:r>
      <w:r>
        <w:rPr>
          <w:rFonts w:hint="eastAsia"/>
          <w:color w:val="auto"/>
          <w:sz w:val="22"/>
          <w:szCs w:val="22"/>
          <w:highlight w:val="none"/>
          <w:lang w:val="zh-CN"/>
        </w:rPr>
        <w:t>项目（采购项目名称）进行投标。</w:t>
      </w:r>
      <w:r>
        <w:rPr>
          <w:color w:val="auto"/>
          <w:sz w:val="22"/>
          <w:szCs w:val="22"/>
          <w:highlight w:val="none"/>
          <w:lang w:val="zh-CN"/>
        </w:rPr>
        <w:t xml:space="preserve">   </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1、提供供应商须知规定的全部投标文件。</w:t>
      </w:r>
    </w:p>
    <w:p>
      <w:pPr>
        <w:autoSpaceDE w:val="0"/>
        <w:autoSpaceDN w:val="0"/>
        <w:snapToGrid w:val="0"/>
        <w:spacing w:line="360" w:lineRule="atLeast"/>
        <w:ind w:left="1" w:firstLine="585" w:firstLineChars="266"/>
        <w:rPr>
          <w:color w:val="auto"/>
          <w:sz w:val="22"/>
          <w:szCs w:val="22"/>
          <w:highlight w:val="none"/>
          <w:lang w:val="zh-CN"/>
        </w:rPr>
      </w:pPr>
      <w:r>
        <w:rPr>
          <w:color w:val="auto"/>
          <w:sz w:val="22"/>
          <w:szCs w:val="22"/>
          <w:highlight w:val="none"/>
          <w:lang w:val="zh-CN"/>
        </w:rPr>
        <w:t>2</w:t>
      </w:r>
      <w:r>
        <w:rPr>
          <w:rFonts w:hint="eastAsia"/>
          <w:color w:val="auto"/>
          <w:sz w:val="22"/>
          <w:szCs w:val="22"/>
          <w:highlight w:val="none"/>
          <w:lang w:val="zh-CN"/>
        </w:rPr>
        <w:t>、保证遵守招标文件中的有关规定和收费标准。</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3、保证忠实地执行采购人、中标供应商双方所签的合同，</w:t>
      </w:r>
      <w:r>
        <w:rPr>
          <w:color w:val="auto"/>
          <w:sz w:val="22"/>
          <w:szCs w:val="22"/>
          <w:highlight w:val="none"/>
          <w:lang w:val="zh-CN"/>
        </w:rPr>
        <w:t xml:space="preserve"> </w:t>
      </w:r>
      <w:r>
        <w:rPr>
          <w:rFonts w:hint="eastAsia"/>
          <w:color w:val="auto"/>
          <w:sz w:val="22"/>
          <w:szCs w:val="22"/>
          <w:highlight w:val="none"/>
          <w:lang w:val="zh-CN"/>
        </w:rPr>
        <w:t>并承担合同规定的责任义务。</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4、我方承诺在合同生效后</w:t>
      </w:r>
      <w:r>
        <w:rPr>
          <w:rFonts w:hint="eastAsia"/>
          <w:b/>
          <w:color w:val="auto"/>
          <w:sz w:val="22"/>
          <w:szCs w:val="22"/>
          <w:highlight w:val="none"/>
          <w:u w:val="single"/>
          <w:lang w:val="zh-CN"/>
        </w:rPr>
        <w:t>按招标文件要求完成本项目</w:t>
      </w:r>
      <w:r>
        <w:rPr>
          <w:rFonts w:hint="eastAsia"/>
          <w:color w:val="auto"/>
          <w:sz w:val="22"/>
          <w:szCs w:val="22"/>
          <w:highlight w:val="none"/>
          <w:lang w:val="zh-CN"/>
        </w:rPr>
        <w:t>。</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6、利益冲突：近三年内直至目前，我公司与本项目的采购人、采购机构没有任何的利害关系。</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7、我公司近三年内没有行贿受贿记录；我公司符合</w:t>
      </w:r>
      <w:r>
        <w:rPr>
          <w:color w:val="auto"/>
          <w:sz w:val="22"/>
          <w:szCs w:val="22"/>
          <w:highlight w:val="none"/>
        </w:rPr>
        <w:t>《平阳县县属国有企业采购管理办法（试行）》</w:t>
      </w:r>
      <w:r>
        <w:rPr>
          <w:rFonts w:hint="eastAsia"/>
          <w:color w:val="auto"/>
          <w:sz w:val="22"/>
          <w:szCs w:val="22"/>
          <w:highlight w:val="none"/>
        </w:rPr>
        <w:t>第十四条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olor w:val="auto"/>
          <w:sz w:val="22"/>
          <w:szCs w:val="22"/>
          <w:highlight w:val="none"/>
          <w:lang w:val="zh-CN"/>
        </w:rPr>
        <w:t>我公司没有被政府采购管理部门限制参加投标。</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8、愿意向贵方提供任何与该项投标有关的数据、情况和技术资料，完全理解贵方不一定接受最低价的投标或收到的任何投标。</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9、本投标自开标之日起9</w:t>
      </w:r>
      <w:r>
        <w:rPr>
          <w:color w:val="auto"/>
          <w:sz w:val="22"/>
          <w:szCs w:val="22"/>
          <w:highlight w:val="none"/>
          <w:lang w:val="zh-CN"/>
        </w:rPr>
        <w:t>0</w:t>
      </w:r>
      <w:r>
        <w:rPr>
          <w:rFonts w:hint="eastAsia"/>
          <w:color w:val="auto"/>
          <w:sz w:val="22"/>
          <w:szCs w:val="22"/>
          <w:highlight w:val="none"/>
          <w:lang w:val="zh-CN"/>
        </w:rPr>
        <w:t>天内有效。</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10、与本投标有关的一切往来通讯请寄：</w:t>
      </w:r>
    </w:p>
    <w:p>
      <w:pPr>
        <w:autoSpaceDE w:val="0"/>
        <w:autoSpaceDN w:val="0"/>
        <w:snapToGrid w:val="0"/>
        <w:spacing w:line="360" w:lineRule="atLeast"/>
        <w:ind w:firstLine="585" w:firstLineChars="266"/>
        <w:rPr>
          <w:rFonts w:hint="eastAsia"/>
          <w:color w:val="auto"/>
          <w:sz w:val="22"/>
          <w:szCs w:val="22"/>
          <w:highlight w:val="none"/>
          <w:lang w:val="zh-CN"/>
        </w:rPr>
      </w:pPr>
      <w:r>
        <w:rPr>
          <w:rFonts w:hint="eastAsia"/>
          <w:color w:val="auto"/>
          <w:sz w:val="22"/>
          <w:szCs w:val="22"/>
          <w:highlight w:val="none"/>
          <w:lang w:val="zh-CN"/>
        </w:rPr>
        <w:t>地址：</w:t>
      </w:r>
      <w:r>
        <w:rPr>
          <w:color w:val="auto"/>
          <w:sz w:val="22"/>
          <w:szCs w:val="22"/>
          <w:highlight w:val="none"/>
          <w:u w:val="single"/>
          <w:lang w:val="zh-CN"/>
        </w:rPr>
        <w:t xml:space="preserve">                                 </w:t>
      </w:r>
    </w:p>
    <w:p>
      <w:pPr>
        <w:autoSpaceDE w:val="0"/>
        <w:autoSpaceDN w:val="0"/>
        <w:snapToGrid w:val="0"/>
        <w:spacing w:line="360" w:lineRule="atLeast"/>
        <w:ind w:firstLine="585" w:firstLineChars="266"/>
        <w:rPr>
          <w:rFonts w:hint="eastAsia"/>
          <w:color w:val="auto"/>
          <w:sz w:val="22"/>
          <w:szCs w:val="22"/>
          <w:highlight w:val="none"/>
          <w:lang w:val="zh-CN"/>
        </w:rPr>
      </w:pPr>
      <w:r>
        <w:rPr>
          <w:rFonts w:hint="eastAsia"/>
          <w:color w:val="auto"/>
          <w:sz w:val="22"/>
          <w:szCs w:val="22"/>
          <w:highlight w:val="none"/>
          <w:lang w:val="zh-CN"/>
        </w:rPr>
        <w:t>邮编：</w:t>
      </w:r>
      <w:r>
        <w:rPr>
          <w:color w:val="auto"/>
          <w:sz w:val="22"/>
          <w:szCs w:val="22"/>
          <w:highlight w:val="none"/>
          <w:u w:val="single"/>
          <w:lang w:val="zh-CN"/>
        </w:rPr>
        <w:t xml:space="preserve">               </w:t>
      </w:r>
      <w:r>
        <w:rPr>
          <w:rFonts w:hint="eastAsia"/>
          <w:color w:val="auto"/>
          <w:sz w:val="22"/>
          <w:szCs w:val="22"/>
          <w:highlight w:val="none"/>
          <w:lang w:val="zh-CN"/>
        </w:rPr>
        <w:t>电话：</w:t>
      </w:r>
      <w:r>
        <w:rPr>
          <w:color w:val="auto"/>
          <w:sz w:val="22"/>
          <w:szCs w:val="22"/>
          <w:highlight w:val="none"/>
          <w:u w:val="single"/>
          <w:lang w:val="zh-CN"/>
        </w:rPr>
        <w:t xml:space="preserve">                 </w:t>
      </w:r>
      <w:r>
        <w:rPr>
          <w:rFonts w:hint="eastAsia"/>
          <w:color w:val="auto"/>
          <w:sz w:val="22"/>
          <w:szCs w:val="22"/>
          <w:highlight w:val="none"/>
          <w:lang w:val="zh-CN"/>
        </w:rPr>
        <w:t>传真：</w:t>
      </w:r>
      <w:r>
        <w:rPr>
          <w:color w:val="auto"/>
          <w:sz w:val="22"/>
          <w:szCs w:val="22"/>
          <w:highlight w:val="none"/>
          <w:u w:val="single"/>
          <w:lang w:val="zh-CN"/>
        </w:rPr>
        <w:t xml:space="preserve">                 </w:t>
      </w:r>
    </w:p>
    <w:p>
      <w:pPr>
        <w:autoSpaceDE w:val="0"/>
        <w:autoSpaceDN w:val="0"/>
        <w:snapToGrid w:val="0"/>
        <w:spacing w:line="360" w:lineRule="atLeast"/>
        <w:ind w:firstLine="26" w:firstLineChars="12"/>
        <w:rPr>
          <w:rFonts w:hint="eastAsia"/>
          <w:color w:val="auto"/>
          <w:sz w:val="22"/>
          <w:szCs w:val="22"/>
          <w:highlight w:val="none"/>
          <w:lang w:val="zh-CN"/>
        </w:rPr>
      </w:pP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供应商全称（盖章）：</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法定代表人（负责人）或授权代表（签字或签章）：</w:t>
      </w:r>
    </w:p>
    <w:p>
      <w:pPr>
        <w:autoSpaceDE w:val="0"/>
        <w:autoSpaceDN w:val="0"/>
        <w:snapToGrid w:val="0"/>
        <w:spacing w:line="360" w:lineRule="atLeast"/>
        <w:ind w:left="1" w:firstLine="585" w:firstLineChars="266"/>
        <w:rPr>
          <w:rFonts w:hint="eastAsia"/>
          <w:color w:val="auto"/>
          <w:sz w:val="22"/>
          <w:szCs w:val="22"/>
          <w:highlight w:val="none"/>
          <w:lang w:val="zh-CN"/>
        </w:rPr>
      </w:pPr>
      <w:r>
        <w:rPr>
          <w:rFonts w:hint="eastAsia"/>
          <w:color w:val="auto"/>
          <w:sz w:val="22"/>
          <w:szCs w:val="22"/>
          <w:highlight w:val="none"/>
          <w:lang w:val="zh-CN"/>
        </w:rPr>
        <w:t>日期：</w:t>
      </w:r>
    </w:p>
    <w:p>
      <w:pPr>
        <w:autoSpaceDE w:val="0"/>
        <w:autoSpaceDN w:val="0"/>
        <w:snapToGrid w:val="0"/>
        <w:spacing w:line="360" w:lineRule="atLeast"/>
        <w:ind w:left="1" w:firstLine="585" w:firstLineChars="266"/>
        <w:rPr>
          <w:rFonts w:hint="eastAsia"/>
          <w:color w:val="auto"/>
          <w:sz w:val="22"/>
          <w:szCs w:val="22"/>
          <w:highlight w:val="none"/>
          <w:lang w:val="zh-CN"/>
        </w:rPr>
      </w:pPr>
    </w:p>
    <w:p>
      <w:pPr>
        <w:autoSpaceDE w:val="0"/>
        <w:autoSpaceDN w:val="0"/>
        <w:snapToGrid w:val="0"/>
        <w:spacing w:line="360" w:lineRule="atLeast"/>
        <w:ind w:firstLine="601" w:firstLineChars="285"/>
        <w:rPr>
          <w:rFonts w:hint="eastAsia"/>
          <w:b/>
          <w:color w:val="auto"/>
          <w:highlight w:val="none"/>
          <w:u w:val="single"/>
        </w:rPr>
      </w:pPr>
      <w:r>
        <w:rPr>
          <w:rFonts w:hint="eastAsia"/>
          <w:b/>
          <w:color w:val="auto"/>
          <w:highlight w:val="none"/>
          <w:u w:val="single"/>
        </w:rPr>
        <w:t>不提供本函做无效投标处理。</w:t>
      </w:r>
    </w:p>
    <w:p>
      <w:pPr>
        <w:pStyle w:val="24"/>
        <w:spacing w:line="400" w:lineRule="atLeast"/>
        <w:rPr>
          <w:rFonts w:hint="eastAsia" w:hAnsi="宋体"/>
          <w:b/>
          <w:color w:val="auto"/>
          <w:sz w:val="32"/>
          <w:szCs w:val="32"/>
          <w:highlight w:val="none"/>
        </w:rPr>
      </w:pPr>
    </w:p>
    <w:p>
      <w:pPr>
        <w:pStyle w:val="24"/>
        <w:spacing w:line="400" w:lineRule="atLeast"/>
        <w:rPr>
          <w:rFonts w:hint="eastAsia" w:hAnsi="宋体"/>
          <w:b/>
          <w:color w:val="auto"/>
          <w:sz w:val="32"/>
          <w:szCs w:val="32"/>
          <w:highlight w:val="none"/>
        </w:rPr>
      </w:pPr>
    </w:p>
    <w:p>
      <w:pPr>
        <w:pStyle w:val="24"/>
        <w:spacing w:line="400" w:lineRule="atLeast"/>
        <w:rPr>
          <w:rFonts w:hint="eastAsia" w:hAnsi="宋体"/>
          <w:b/>
          <w:color w:val="auto"/>
          <w:sz w:val="32"/>
          <w:szCs w:val="32"/>
          <w:highlight w:val="none"/>
        </w:rPr>
      </w:pPr>
    </w:p>
    <w:p>
      <w:pPr>
        <w:pStyle w:val="24"/>
        <w:spacing w:line="400" w:lineRule="atLeast"/>
        <w:rPr>
          <w:rFonts w:hint="eastAsia" w:hAnsi="宋体"/>
          <w:b/>
          <w:color w:val="auto"/>
          <w:sz w:val="32"/>
          <w:szCs w:val="32"/>
          <w:highlight w:val="none"/>
        </w:rPr>
      </w:pPr>
    </w:p>
    <w:p>
      <w:pPr>
        <w:pStyle w:val="24"/>
        <w:spacing w:line="400" w:lineRule="atLeast"/>
        <w:rPr>
          <w:rFonts w:hint="eastAsia" w:hAnsi="宋体"/>
          <w:b/>
          <w:color w:val="auto"/>
          <w:sz w:val="32"/>
          <w:szCs w:val="32"/>
          <w:highlight w:val="none"/>
        </w:rPr>
      </w:pPr>
    </w:p>
    <w:p>
      <w:pPr>
        <w:tabs>
          <w:tab w:val="left" w:pos="1080"/>
        </w:tabs>
        <w:autoSpaceDE w:val="0"/>
        <w:autoSpaceDN w:val="0"/>
        <w:spacing w:line="440" w:lineRule="atLeast"/>
        <w:outlineLvl w:val="0"/>
        <w:rPr>
          <w:rFonts w:hint="eastAsia"/>
          <w:color w:val="auto"/>
          <w:sz w:val="32"/>
          <w:highlight w:val="none"/>
        </w:rPr>
      </w:pPr>
    </w:p>
    <w:p>
      <w:pPr>
        <w:tabs>
          <w:tab w:val="left" w:pos="1080"/>
        </w:tabs>
        <w:autoSpaceDE w:val="0"/>
        <w:autoSpaceDN w:val="0"/>
        <w:spacing w:line="440" w:lineRule="atLeast"/>
        <w:outlineLvl w:val="0"/>
        <w:rPr>
          <w:rFonts w:hint="eastAsia"/>
          <w:color w:val="auto"/>
          <w:sz w:val="32"/>
          <w:highlight w:val="none"/>
        </w:rPr>
      </w:pPr>
      <w:r>
        <w:rPr>
          <w:rFonts w:hint="eastAsia"/>
          <w:color w:val="auto"/>
          <w:sz w:val="32"/>
          <w:highlight w:val="none"/>
        </w:rPr>
        <w:t>3.5法定代表人授权书</w:t>
      </w:r>
    </w:p>
    <w:p>
      <w:pPr>
        <w:tabs>
          <w:tab w:val="left" w:pos="1080"/>
        </w:tabs>
        <w:autoSpaceDE w:val="0"/>
        <w:autoSpaceDN w:val="0"/>
        <w:spacing w:line="440" w:lineRule="atLeast"/>
        <w:jc w:val="center"/>
        <w:outlineLvl w:val="0"/>
        <w:rPr>
          <w:rFonts w:hint="eastAsia"/>
          <w:b/>
          <w:color w:val="auto"/>
          <w:sz w:val="36"/>
          <w:highlight w:val="none"/>
          <w:lang w:val="zh-CN"/>
        </w:rPr>
      </w:pPr>
      <w:r>
        <w:rPr>
          <w:rFonts w:hint="eastAsia"/>
          <w:b/>
          <w:color w:val="auto"/>
          <w:sz w:val="36"/>
          <w:highlight w:val="none"/>
          <w:lang w:val="zh-CN"/>
        </w:rPr>
        <w:t>法定代表人授权书</w:t>
      </w:r>
    </w:p>
    <w:p>
      <w:pPr>
        <w:spacing w:line="360" w:lineRule="auto"/>
        <w:rPr>
          <w:rFonts w:hint="eastAsia"/>
          <w:color w:val="auto"/>
          <w:highlight w:val="none"/>
          <w:u w:val="single"/>
        </w:rPr>
      </w:pPr>
    </w:p>
    <w:p>
      <w:pPr>
        <w:pStyle w:val="24"/>
        <w:snapToGrid w:val="0"/>
        <w:spacing w:line="340" w:lineRule="atLeast"/>
        <w:rPr>
          <w:rFonts w:hint="eastAsia" w:hAnsi="宋体"/>
          <w:color w:val="auto"/>
          <w:sz w:val="22"/>
          <w:szCs w:val="22"/>
          <w:highlight w:val="none"/>
          <w:u w:val="single"/>
          <w:lang w:eastAsia="zh-CN"/>
        </w:rPr>
      </w:pPr>
      <w:r>
        <w:rPr>
          <w:rFonts w:hint="eastAsia" w:hAnsi="宋体"/>
          <w:color w:val="auto"/>
          <w:sz w:val="22"/>
          <w:szCs w:val="22"/>
          <w:highlight w:val="none"/>
          <w:u w:val="single"/>
          <w:lang w:eastAsia="zh-CN"/>
        </w:rPr>
        <w:t>平阳县萧江新农村建设投资有限公司</w:t>
      </w:r>
      <w:r>
        <w:rPr>
          <w:rFonts w:hint="eastAsia" w:hAnsi="宋体"/>
          <w:color w:val="auto"/>
          <w:sz w:val="22"/>
          <w:szCs w:val="22"/>
          <w:highlight w:val="none"/>
        </w:rPr>
        <w:t>：</w:t>
      </w:r>
    </w:p>
    <w:p>
      <w:pPr>
        <w:pStyle w:val="24"/>
        <w:snapToGrid w:val="0"/>
        <w:spacing w:line="340" w:lineRule="atLeast"/>
        <w:rPr>
          <w:rFonts w:hint="eastAsia" w:hAnsi="宋体"/>
          <w:color w:val="auto"/>
          <w:sz w:val="22"/>
          <w:szCs w:val="22"/>
          <w:highlight w:val="none"/>
          <w:u w:val="single"/>
        </w:rPr>
      </w:pPr>
    </w:p>
    <w:p>
      <w:pPr>
        <w:snapToGrid w:val="0"/>
        <w:spacing w:line="440" w:lineRule="atLeast"/>
        <w:ind w:firstLine="420" w:firstLineChars="200"/>
        <w:rPr>
          <w:rFonts w:hint="eastAsia"/>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pPr>
        <w:snapToGrid w:val="0"/>
        <w:spacing w:line="440" w:lineRule="atLeast"/>
        <w:ind w:firstLine="420" w:firstLineChars="200"/>
        <w:rPr>
          <w:rFonts w:hint="eastAsia"/>
          <w:color w:val="auto"/>
          <w:highlight w:val="none"/>
        </w:rPr>
      </w:pPr>
      <w:r>
        <w:rPr>
          <w:rFonts w:hint="eastAsia"/>
          <w:color w:val="auto"/>
          <w:highlight w:val="none"/>
        </w:rPr>
        <w:t>授权代表无转授权，特此授权</w:t>
      </w:r>
    </w:p>
    <w:p>
      <w:pPr>
        <w:snapToGrid w:val="0"/>
        <w:spacing w:line="440" w:lineRule="atLeast"/>
        <w:ind w:left="1260"/>
        <w:rPr>
          <w:rFonts w:hint="eastAsia"/>
          <w:color w:val="auto"/>
          <w:highlight w:val="none"/>
        </w:rPr>
      </w:pPr>
    </w:p>
    <w:p>
      <w:pPr>
        <w:snapToGrid w:val="0"/>
        <w:spacing w:line="440" w:lineRule="atLeast"/>
        <w:ind w:left="1902" w:leftChars="247" w:hanging="1383" w:hangingChars="659"/>
        <w:rPr>
          <w:rFonts w:hint="eastAsia"/>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pPr>
        <w:snapToGrid w:val="0"/>
        <w:spacing w:line="440" w:lineRule="atLeast"/>
        <w:ind w:left="1902" w:leftChars="247" w:hanging="1383" w:hangingChars="659"/>
        <w:rPr>
          <w:rFonts w:hint="eastAsia"/>
          <w:color w:val="auto"/>
          <w:highlight w:val="non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pPr>
        <w:snapToGrid w:val="0"/>
        <w:spacing w:line="440" w:lineRule="atLeast"/>
        <w:ind w:left="1902" w:leftChars="247" w:hanging="1383" w:hangingChars="659"/>
        <w:rPr>
          <w:rFonts w:hint="eastAsia"/>
          <w:color w:val="auto"/>
          <w:highlight w:val="non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pPr>
        <w:snapToGrid w:val="0"/>
        <w:spacing w:line="440" w:lineRule="atLeast"/>
        <w:ind w:left="1902" w:leftChars="247" w:hanging="1383" w:hangingChars="659"/>
        <w:rPr>
          <w:rFonts w:hint="eastAsia"/>
          <w:color w:val="auto"/>
          <w:highlight w:val="non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pPr>
        <w:snapToGrid w:val="0"/>
        <w:spacing w:line="440" w:lineRule="atLeast"/>
        <w:ind w:left="1902" w:leftChars="247" w:hanging="1383" w:hangingChars="659"/>
        <w:rPr>
          <w:rFonts w:hint="eastAsia"/>
          <w:color w:val="auto"/>
          <w:highlight w:val="none"/>
        </w:rPr>
      </w:pPr>
      <w:r>
        <w:rPr>
          <w:rFonts w:hint="eastAsia"/>
          <w:color w:val="auto"/>
          <w:highlight w:val="none"/>
        </w:rPr>
        <w:t>供应商：</w:t>
      </w:r>
      <w:r>
        <w:rPr>
          <w:rFonts w:hint="eastAsia"/>
          <w:color w:val="auto"/>
          <w:highlight w:val="none"/>
          <w:u w:val="single"/>
        </w:rPr>
        <w:t xml:space="preserve">                                      （盖章）</w:t>
      </w:r>
    </w:p>
    <w:p>
      <w:pPr>
        <w:snapToGrid w:val="0"/>
        <w:spacing w:line="440" w:lineRule="atLeast"/>
        <w:ind w:left="1902" w:leftChars="247" w:hanging="1383" w:hangingChars="659"/>
        <w:rPr>
          <w:rFonts w:hint="eastAsia"/>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pPr>
        <w:snapToGrid w:val="0"/>
        <w:spacing w:line="440" w:lineRule="atLeast"/>
        <w:ind w:left="2699"/>
        <w:rPr>
          <w:rFonts w:hint="eastAsia"/>
          <w:color w:val="auto"/>
          <w:highlight w:val="none"/>
        </w:rPr>
      </w:pPr>
    </w:p>
    <w:p>
      <w:pPr>
        <w:snapToGrid w:val="0"/>
        <w:spacing w:line="440" w:lineRule="atLeast"/>
        <w:ind w:left="2833" w:leftChars="1349" w:firstLine="2100" w:firstLineChars="1000"/>
        <w:rPr>
          <w:rFonts w:hint="eastAsia"/>
          <w:color w:val="auto"/>
          <w:highlight w:val="none"/>
        </w:rPr>
      </w:pPr>
    </w:p>
    <w:p>
      <w:pPr>
        <w:snapToGrid w:val="0"/>
        <w:spacing w:line="440" w:lineRule="atLeast"/>
        <w:ind w:firstLine="3150" w:firstLineChars="1500"/>
        <w:jc w:val="right"/>
        <w:rPr>
          <w:rFonts w:hint="eastAsia"/>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spacing w:line="360" w:lineRule="auto"/>
        <w:ind w:firstLine="3162" w:firstLineChars="1500"/>
        <w:jc w:val="right"/>
        <w:rPr>
          <w:rFonts w:hint="eastAsia"/>
          <w:b/>
          <w:color w:val="auto"/>
          <w:highlight w:val="none"/>
        </w:rPr>
      </w:pP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5" w:hRule="atLeast"/>
        </w:trPr>
        <w:tc>
          <w:tcPr>
            <w:tcW w:w="9075" w:type="dxa"/>
            <w:vAlign w:val="top"/>
          </w:tcPr>
          <w:p>
            <w:pPr>
              <w:pStyle w:val="24"/>
              <w:snapToGrid w:val="0"/>
              <w:spacing w:line="320" w:lineRule="atLeast"/>
              <w:rPr>
                <w:rFonts w:hint="eastAsia" w:hAnsi="宋体"/>
                <w:color w:val="auto"/>
                <w:sz w:val="36"/>
                <w:szCs w:val="24"/>
                <w:highlight w:val="none"/>
                <w:u w:val="single"/>
              </w:rPr>
            </w:pPr>
          </w:p>
          <w:p>
            <w:pPr>
              <w:pStyle w:val="24"/>
              <w:snapToGrid w:val="0"/>
              <w:spacing w:line="320" w:lineRule="atLeast"/>
              <w:rPr>
                <w:rFonts w:hint="eastAsia" w:hAnsi="宋体"/>
                <w:color w:val="auto"/>
                <w:sz w:val="36"/>
                <w:szCs w:val="24"/>
                <w:highlight w:val="none"/>
                <w:u w:val="single"/>
              </w:rPr>
            </w:pPr>
          </w:p>
          <w:p>
            <w:pPr>
              <w:pStyle w:val="24"/>
              <w:snapToGrid w:val="0"/>
              <w:spacing w:line="320" w:lineRule="atLeast"/>
              <w:jc w:val="center"/>
              <w:rPr>
                <w:rFonts w:hint="eastAsia"/>
                <w:b/>
                <w:color w:val="auto"/>
                <w:sz w:val="24"/>
                <w:szCs w:val="24"/>
                <w:highlight w:val="none"/>
              </w:rPr>
            </w:pPr>
            <w:r>
              <w:rPr>
                <w:rFonts w:hint="eastAsia"/>
                <w:b/>
                <w:color w:val="auto"/>
                <w:sz w:val="24"/>
                <w:szCs w:val="24"/>
                <w:highlight w:val="none"/>
              </w:rPr>
              <w:t>（授权代表身份证复印件或影印件）</w:t>
            </w:r>
          </w:p>
        </w:tc>
      </w:tr>
    </w:tbl>
    <w:p>
      <w:pPr>
        <w:spacing w:line="360" w:lineRule="auto"/>
        <w:ind w:firstLine="3162" w:firstLineChars="1500"/>
        <w:jc w:val="right"/>
        <w:rPr>
          <w:rFonts w:hint="eastAsia"/>
          <w:b/>
          <w:color w:val="auto"/>
          <w:highlight w:val="none"/>
        </w:rPr>
      </w:pPr>
    </w:p>
    <w:p>
      <w:pPr>
        <w:pStyle w:val="24"/>
        <w:snapToGrid w:val="0"/>
        <w:spacing w:line="320" w:lineRule="atLeast"/>
        <w:jc w:val="center"/>
        <w:outlineLvl w:val="0"/>
        <w:rPr>
          <w:rFonts w:hint="eastAsia" w:hAnsi="宋体"/>
          <w:b/>
          <w:color w:val="auto"/>
          <w:sz w:val="36"/>
          <w:highlight w:val="none"/>
        </w:rPr>
      </w:pPr>
    </w:p>
    <w:p>
      <w:pPr>
        <w:pStyle w:val="25"/>
        <w:rPr>
          <w:rFonts w:hint="eastAsia" w:hAnsi="宋体"/>
          <w:b/>
          <w:color w:val="auto"/>
          <w:sz w:val="36"/>
          <w:highlight w:val="none"/>
        </w:rPr>
      </w:pPr>
    </w:p>
    <w:p>
      <w:pPr>
        <w:rPr>
          <w:rFonts w:hint="eastAsia"/>
          <w:color w:val="auto"/>
          <w:highlight w:val="none"/>
        </w:rPr>
      </w:pPr>
    </w:p>
    <w:p>
      <w:pPr>
        <w:pStyle w:val="24"/>
        <w:snapToGrid w:val="0"/>
        <w:spacing w:line="320" w:lineRule="atLeast"/>
        <w:outlineLvl w:val="0"/>
        <w:rPr>
          <w:rFonts w:hint="eastAsia" w:hAnsi="宋体"/>
          <w:color w:val="auto"/>
          <w:kern w:val="0"/>
          <w:sz w:val="32"/>
          <w:szCs w:val="24"/>
          <w:highlight w:val="none"/>
        </w:rPr>
      </w:pPr>
      <w:r>
        <w:rPr>
          <w:rFonts w:hint="eastAsia" w:hAnsi="宋体"/>
          <w:color w:val="auto"/>
          <w:kern w:val="0"/>
          <w:sz w:val="32"/>
          <w:szCs w:val="24"/>
          <w:highlight w:val="none"/>
        </w:rPr>
        <w:t>3.</w:t>
      </w:r>
      <w:r>
        <w:rPr>
          <w:rFonts w:hint="eastAsia"/>
          <w:color w:val="auto"/>
          <w:sz w:val="32"/>
          <w:highlight w:val="none"/>
        </w:rPr>
        <w:t>6投标供应商情况声明</w:t>
      </w:r>
    </w:p>
    <w:p>
      <w:pPr>
        <w:pStyle w:val="24"/>
        <w:snapToGrid w:val="0"/>
        <w:spacing w:line="320" w:lineRule="atLeast"/>
        <w:jc w:val="center"/>
        <w:outlineLvl w:val="0"/>
        <w:rPr>
          <w:rFonts w:hint="eastAsia" w:hAnsi="宋体"/>
          <w:b/>
          <w:color w:val="auto"/>
          <w:sz w:val="36"/>
          <w:highlight w:val="none"/>
        </w:rPr>
      </w:pPr>
      <w:r>
        <w:rPr>
          <w:rFonts w:hint="eastAsia" w:hAnsi="宋体"/>
          <w:b/>
          <w:color w:val="auto"/>
          <w:sz w:val="36"/>
          <w:highlight w:val="none"/>
        </w:rPr>
        <w:t>投标供应商情况声明</w:t>
      </w:r>
    </w:p>
    <w:p>
      <w:pPr>
        <w:spacing w:line="400" w:lineRule="exact"/>
        <w:outlineLvl w:val="0"/>
        <w:rPr>
          <w:rFonts w:hint="eastAsia"/>
          <w:color w:val="auto"/>
          <w:sz w:val="22"/>
          <w:highlight w:val="none"/>
        </w:rPr>
      </w:pPr>
      <w:r>
        <w:rPr>
          <w:rFonts w:hint="eastAsia"/>
          <w:color w:val="auto"/>
          <w:sz w:val="22"/>
          <w:highlight w:val="none"/>
        </w:rPr>
        <w:t>1. 名称及概况：</w:t>
      </w:r>
    </w:p>
    <w:p>
      <w:pPr>
        <w:spacing w:line="400" w:lineRule="exact"/>
        <w:rPr>
          <w:rFonts w:hint="eastAsia"/>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pPr>
        <w:spacing w:line="400" w:lineRule="exact"/>
        <w:ind w:firstLine="600"/>
        <w:rPr>
          <w:rFonts w:hint="eastAsia"/>
          <w:color w:val="auto"/>
          <w:sz w:val="22"/>
          <w:highlight w:val="none"/>
        </w:rPr>
      </w:pPr>
      <w:r>
        <w:rPr>
          <w:rFonts w:hint="eastAsia"/>
          <w:color w:val="auto"/>
          <w:sz w:val="22"/>
          <w:highlight w:val="none"/>
        </w:rPr>
        <w:t>传真/电话号码：</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pPr>
        <w:spacing w:line="400" w:lineRule="exact"/>
        <w:rPr>
          <w:rFonts w:hint="eastAsia"/>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pPr>
        <w:spacing w:line="360" w:lineRule="exact"/>
        <w:ind w:left="660" w:hanging="660" w:hangingChars="300"/>
        <w:rPr>
          <w:rFonts w:hint="eastAsia"/>
          <w:color w:val="auto"/>
          <w:sz w:val="22"/>
          <w:highlight w:val="none"/>
        </w:rPr>
      </w:pPr>
      <w:r>
        <w:rPr>
          <w:rFonts w:hint="eastAsia"/>
          <w:color w:val="auto"/>
          <w:sz w:val="22"/>
          <w:highlight w:val="none"/>
        </w:rPr>
        <w:t>2．企业生产设备及规模：</w:t>
      </w:r>
    </w:p>
    <w:p>
      <w:pPr>
        <w:spacing w:line="360" w:lineRule="exact"/>
        <w:ind w:left="660" w:hanging="660" w:hangingChars="300"/>
        <w:outlineLvl w:val="0"/>
        <w:rPr>
          <w:rFonts w:hint="eastAsia"/>
          <w:color w:val="auto"/>
          <w:sz w:val="22"/>
          <w:highlight w:val="none"/>
        </w:rPr>
      </w:pPr>
      <w:r>
        <w:rPr>
          <w:rFonts w:hint="eastAsia"/>
          <w:color w:val="auto"/>
          <w:sz w:val="22"/>
          <w:highlight w:val="none"/>
        </w:rPr>
        <w:t>3. 企业人员情况：</w:t>
      </w:r>
    </w:p>
    <w:p>
      <w:pPr>
        <w:spacing w:line="400" w:lineRule="exact"/>
        <w:rPr>
          <w:rFonts w:hint="eastAsia"/>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pPr>
        <w:spacing w:line="360" w:lineRule="exact"/>
        <w:ind w:left="660" w:hanging="660" w:hangingChars="300"/>
        <w:outlineLvl w:val="0"/>
        <w:rPr>
          <w:rFonts w:hint="eastAsia"/>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pPr>
        <w:spacing w:line="400" w:lineRule="exact"/>
        <w:ind w:firstLine="220" w:firstLineChars="100"/>
        <w:rPr>
          <w:rFonts w:hint="eastAsia"/>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pPr>
        <w:spacing w:line="400" w:lineRule="exact"/>
        <w:rPr>
          <w:rFonts w:hint="eastAsia"/>
          <w:color w:val="auto"/>
          <w:sz w:val="22"/>
          <w:highlight w:val="none"/>
        </w:rPr>
      </w:pPr>
    </w:p>
    <w:p>
      <w:pPr>
        <w:spacing w:line="400" w:lineRule="exact"/>
        <w:rPr>
          <w:rFonts w:hint="eastAsia"/>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pPr>
        <w:spacing w:line="400" w:lineRule="exact"/>
        <w:rPr>
          <w:rFonts w:hint="eastAsia"/>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pPr>
        <w:spacing w:line="400" w:lineRule="exact"/>
        <w:rPr>
          <w:rFonts w:hint="eastAsia"/>
          <w:color w:val="auto"/>
          <w:highlight w:val="none"/>
        </w:rPr>
      </w:pPr>
      <w:r>
        <w:rPr>
          <w:rFonts w:hint="eastAsia"/>
          <w:color w:val="auto"/>
          <w:highlight w:val="none"/>
        </w:rPr>
        <w:t>法定代表人（负责人）或</w:t>
      </w:r>
      <w:r>
        <w:rPr>
          <w:rFonts w:hint="eastAsia"/>
          <w:color w:val="auto"/>
          <w:sz w:val="22"/>
          <w:szCs w:val="22"/>
          <w:highlight w:val="none"/>
          <w:lang w:val="zh-CN"/>
        </w:rPr>
        <w:t>授权代表（签字或签章）</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pPr>
        <w:spacing w:line="360" w:lineRule="exact"/>
        <w:rPr>
          <w:rFonts w:hint="eastAsia"/>
          <w:color w:val="auto"/>
          <w:sz w:val="22"/>
          <w:highlight w:val="none"/>
        </w:rPr>
      </w:pPr>
      <w:r>
        <w:rPr>
          <w:rFonts w:hint="eastAsia"/>
          <w:color w:val="auto"/>
          <w:sz w:val="22"/>
          <w:highlight w:val="none"/>
        </w:rPr>
        <w:t>电子邮件</w:t>
      </w:r>
      <w:r>
        <w:rPr>
          <w:rFonts w:hint="eastAsia"/>
          <w:color w:val="auto"/>
          <w:sz w:val="22"/>
          <w:highlight w:val="none"/>
          <w:u w:val="single"/>
        </w:rPr>
        <w:t xml:space="preserve">                                 </w:t>
      </w:r>
    </w:p>
    <w:p>
      <w:pPr>
        <w:pStyle w:val="24"/>
        <w:spacing w:line="400" w:lineRule="atLeast"/>
        <w:rPr>
          <w:rFonts w:hint="eastAsia" w:hAnsi="宋体"/>
          <w:b/>
          <w:color w:val="auto"/>
          <w:sz w:val="32"/>
          <w:szCs w:val="32"/>
          <w:highlight w:val="none"/>
        </w:rPr>
      </w:pPr>
    </w:p>
    <w:p>
      <w:pPr>
        <w:pStyle w:val="24"/>
        <w:spacing w:line="400" w:lineRule="atLeast"/>
        <w:rPr>
          <w:rFonts w:hint="eastAsia" w:hAnsi="宋体"/>
          <w:b/>
          <w:color w:val="auto"/>
          <w:sz w:val="32"/>
          <w:szCs w:val="32"/>
          <w:highlight w:val="none"/>
        </w:rPr>
      </w:pPr>
    </w:p>
    <w:p>
      <w:pPr>
        <w:pStyle w:val="24"/>
        <w:spacing w:line="400" w:lineRule="atLeast"/>
        <w:rPr>
          <w:rFonts w:hint="eastAsia" w:hAnsi="宋体"/>
          <w:b/>
          <w:color w:val="auto"/>
          <w:sz w:val="32"/>
          <w:szCs w:val="32"/>
          <w:highlight w:val="none"/>
        </w:rPr>
      </w:pPr>
    </w:p>
    <w:p>
      <w:pPr>
        <w:pStyle w:val="24"/>
        <w:spacing w:line="400" w:lineRule="atLeast"/>
        <w:rPr>
          <w:rFonts w:hint="eastAsia" w:hAnsi="宋体"/>
          <w:b/>
          <w:color w:val="auto"/>
          <w:sz w:val="32"/>
          <w:szCs w:val="32"/>
          <w:highlight w:val="none"/>
        </w:rPr>
      </w:pPr>
    </w:p>
    <w:p>
      <w:pPr>
        <w:autoSpaceDE w:val="0"/>
        <w:autoSpaceDN w:val="0"/>
        <w:rPr>
          <w:b/>
          <w:color w:val="auto"/>
          <w:sz w:val="32"/>
          <w:highlight w:val="none"/>
          <w:lang w:val="zh-CN"/>
        </w:rPr>
        <w:sectPr>
          <w:headerReference r:id="rId8" w:type="default"/>
          <w:footerReference r:id="rId9" w:type="default"/>
          <w:pgSz w:w="11906" w:h="16838"/>
          <w:pgMar w:top="1440" w:right="1361" w:bottom="1440" w:left="1361" w:header="851" w:footer="992" w:gutter="0"/>
          <w:cols w:space="720" w:num="1"/>
          <w:docGrid w:linePitch="312" w:charSpace="0"/>
        </w:sectPr>
      </w:pPr>
    </w:p>
    <w:p>
      <w:pPr>
        <w:autoSpaceDE w:val="0"/>
        <w:autoSpaceDN w:val="0"/>
        <w:outlineLvl w:val="0"/>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7</w:t>
      </w:r>
      <w:r>
        <w:rPr>
          <w:rFonts w:hint="eastAsia"/>
          <w:b/>
          <w:color w:val="auto"/>
          <w:sz w:val="32"/>
          <w:highlight w:val="none"/>
          <w:lang w:val="zh-CN"/>
        </w:rPr>
        <w:t>商务偏离表、技术偏离表（未提供此表视为默认）</w:t>
      </w:r>
    </w:p>
    <w:p>
      <w:pPr>
        <w:autoSpaceDE w:val="0"/>
        <w:autoSpaceDN w:val="0"/>
        <w:spacing w:line="440" w:lineRule="atLeast"/>
        <w:ind w:firstLine="3413"/>
        <w:outlineLvl w:val="0"/>
        <w:rPr>
          <w:rFonts w:hint="eastAsia"/>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lang w:val="zh-CN"/>
        </w:rPr>
        <w:t>偏</w:t>
      </w:r>
      <w:r>
        <w:rPr>
          <w:b/>
          <w:color w:val="auto"/>
          <w:sz w:val="36"/>
          <w:highlight w:val="none"/>
          <w:lang w:val="zh-CN"/>
        </w:rPr>
        <w:t xml:space="preserve"> </w:t>
      </w:r>
      <w:r>
        <w:rPr>
          <w:rFonts w:hint="eastAsia"/>
          <w:b/>
          <w:color w:val="auto"/>
          <w:sz w:val="36"/>
          <w:highlight w:val="none"/>
          <w:lang w:val="zh-CN"/>
        </w:rPr>
        <w:t>离</w:t>
      </w:r>
      <w:r>
        <w:rPr>
          <w:b/>
          <w:color w:val="auto"/>
          <w:sz w:val="36"/>
          <w:highlight w:val="none"/>
          <w:lang w:val="zh-CN"/>
        </w:rPr>
        <w:t xml:space="preserve"> </w:t>
      </w:r>
      <w:r>
        <w:rPr>
          <w:rFonts w:hint="eastAsia"/>
          <w:b/>
          <w:color w:val="auto"/>
          <w:sz w:val="36"/>
          <w:highlight w:val="none"/>
          <w:lang w:val="zh-CN"/>
        </w:rPr>
        <w:t>表</w:t>
      </w:r>
    </w:p>
    <w:p>
      <w:pPr>
        <w:autoSpaceDE w:val="0"/>
        <w:autoSpaceDN w:val="0"/>
        <w:spacing w:line="440" w:lineRule="atLeast"/>
        <w:ind w:firstLine="3413"/>
        <w:rPr>
          <w:b/>
          <w:color w:val="auto"/>
          <w:sz w:val="36"/>
          <w:highlight w:val="none"/>
          <w:lang w:val="zh-CN"/>
        </w:rPr>
      </w:pPr>
    </w:p>
    <w:tbl>
      <w:tblPr>
        <w:tblStyle w:val="8"/>
        <w:tblW w:w="0" w:type="auto"/>
        <w:tblInd w:w="-108"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内容</w:t>
            </w:r>
          </w:p>
        </w:tc>
        <w:tc>
          <w:tcPr>
            <w:tcW w:w="2664"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招标文件规范要求</w:t>
            </w:r>
          </w:p>
        </w:tc>
        <w:tc>
          <w:tcPr>
            <w:tcW w:w="211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投标文件</w:t>
            </w:r>
          </w:p>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对应规范</w:t>
            </w:r>
          </w:p>
        </w:tc>
        <w:tc>
          <w:tcPr>
            <w:tcW w:w="2126"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664"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1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126"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bl>
    <w:p>
      <w:pPr>
        <w:autoSpaceDE w:val="0"/>
        <w:autoSpaceDN w:val="0"/>
        <w:spacing w:line="440" w:lineRule="atLeast"/>
        <w:rPr>
          <w:rFonts w:hint="eastAsia"/>
          <w:b/>
          <w:color w:val="auto"/>
          <w:highlight w:val="none"/>
          <w:lang w:val="zh-CN"/>
        </w:rPr>
      </w:pPr>
      <w:r>
        <w:rPr>
          <w:rFonts w:hint="eastAsia"/>
          <w:b/>
          <w:color w:val="auto"/>
          <w:highlight w:val="none"/>
          <w:lang w:val="zh-CN"/>
        </w:rPr>
        <w:t>供应商盖章：</w:t>
      </w:r>
    </w:p>
    <w:p>
      <w:pPr>
        <w:autoSpaceDE w:val="0"/>
        <w:autoSpaceDN w:val="0"/>
        <w:spacing w:line="440" w:lineRule="atLeast"/>
        <w:rPr>
          <w:rFonts w:hint="eastAsia"/>
          <w:b/>
          <w:color w:val="auto"/>
          <w:sz w:val="32"/>
          <w:highlight w:val="none"/>
          <w:lang w:val="zh-CN"/>
        </w:rPr>
      </w:pPr>
    </w:p>
    <w:p>
      <w:pPr>
        <w:autoSpaceDE w:val="0"/>
        <w:autoSpaceDN w:val="0"/>
        <w:spacing w:line="440" w:lineRule="atLeast"/>
        <w:rPr>
          <w:rFonts w:hint="eastAsia"/>
          <w:b/>
          <w:color w:val="auto"/>
          <w:sz w:val="32"/>
          <w:highlight w:val="none"/>
          <w:lang w:val="zh-CN"/>
        </w:rPr>
      </w:pPr>
    </w:p>
    <w:p>
      <w:pPr>
        <w:autoSpaceDE w:val="0"/>
        <w:autoSpaceDN w:val="0"/>
        <w:spacing w:line="440" w:lineRule="atLeast"/>
        <w:outlineLvl w:val="0"/>
        <w:rPr>
          <w:b/>
          <w:color w:val="auto"/>
          <w:sz w:val="32"/>
          <w:highlight w:val="none"/>
          <w:lang w:val="zh-CN"/>
        </w:rPr>
      </w:pPr>
    </w:p>
    <w:p>
      <w:pPr>
        <w:autoSpaceDE w:val="0"/>
        <w:autoSpaceDN w:val="0"/>
        <w:spacing w:line="440" w:lineRule="atLeast"/>
        <w:ind w:firstLine="3614" w:firstLineChars="1000"/>
        <w:outlineLvl w:val="0"/>
        <w:rPr>
          <w:rFonts w:hint="eastAsia"/>
          <w:b/>
          <w:color w:val="auto"/>
          <w:sz w:val="36"/>
          <w:highlight w:val="none"/>
          <w:lang w:val="zh-CN"/>
        </w:rPr>
      </w:pPr>
      <w:r>
        <w:rPr>
          <w:rFonts w:hint="eastAsia"/>
          <w:b/>
          <w:color w:val="auto"/>
          <w:sz w:val="36"/>
          <w:highlight w:val="none"/>
          <w:lang w:val="zh-CN"/>
        </w:rPr>
        <w:t>技术偏离表</w:t>
      </w:r>
    </w:p>
    <w:tbl>
      <w:tblPr>
        <w:tblStyle w:val="8"/>
        <w:tblW w:w="0" w:type="auto"/>
        <w:tblInd w:w="-300"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内容</w:t>
            </w:r>
          </w:p>
        </w:tc>
        <w:tc>
          <w:tcPr>
            <w:tcW w:w="230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招标文件规范要求</w:t>
            </w:r>
          </w:p>
        </w:tc>
        <w:tc>
          <w:tcPr>
            <w:tcW w:w="200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投标文件</w:t>
            </w:r>
          </w:p>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对应规范</w:t>
            </w:r>
          </w:p>
        </w:tc>
        <w:tc>
          <w:tcPr>
            <w:tcW w:w="2800" w:type="dxa"/>
            <w:tcBorders>
              <w:top w:val="single" w:color="000000" w:sz="6" w:space="0"/>
              <w:left w:val="single" w:color="000000" w:sz="6" w:space="0"/>
              <w:bottom w:val="single" w:color="000000" w:sz="6" w:space="0"/>
              <w:right w:val="single" w:color="000000" w:sz="6" w:space="0"/>
            </w:tcBorders>
            <w:vAlign w:val="center"/>
          </w:tcPr>
          <w:p>
            <w:pPr>
              <w:autoSpaceDE w:val="0"/>
              <w:autoSpaceDN w:val="0"/>
              <w:spacing w:line="440" w:lineRule="atLeast"/>
              <w:jc w:val="center"/>
              <w:rPr>
                <w:rFonts w:hint="eastAsia"/>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1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3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0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c>
          <w:tcPr>
            <w:tcW w:w="2800" w:type="dxa"/>
            <w:tcBorders>
              <w:top w:val="single" w:color="000000" w:sz="6" w:space="0"/>
              <w:left w:val="single" w:color="000000" w:sz="6" w:space="0"/>
              <w:bottom w:val="single" w:color="000000" w:sz="6" w:space="0"/>
              <w:right w:val="single" w:color="000000" w:sz="6" w:space="0"/>
            </w:tcBorders>
            <w:vAlign w:val="top"/>
          </w:tcPr>
          <w:p>
            <w:pPr>
              <w:autoSpaceDE w:val="0"/>
              <w:autoSpaceDN w:val="0"/>
              <w:spacing w:line="440" w:lineRule="atLeast"/>
              <w:jc w:val="center"/>
              <w:rPr>
                <w:b/>
                <w:color w:val="auto"/>
                <w:highlight w:val="none"/>
                <w:lang w:val="zh-CN"/>
              </w:rPr>
            </w:pPr>
          </w:p>
        </w:tc>
      </w:tr>
    </w:tbl>
    <w:p>
      <w:pPr>
        <w:autoSpaceDE w:val="0"/>
        <w:autoSpaceDN w:val="0"/>
        <w:spacing w:line="440" w:lineRule="atLeast"/>
        <w:rPr>
          <w:rFonts w:hint="eastAsia"/>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pPr>
        <w:autoSpaceDE w:val="0"/>
        <w:autoSpaceDN w:val="0"/>
        <w:rPr>
          <w:b/>
          <w:color w:val="auto"/>
          <w:sz w:val="32"/>
          <w:highlight w:val="none"/>
        </w:rPr>
        <w:sectPr>
          <w:pgSz w:w="11906" w:h="16838"/>
          <w:pgMar w:top="1440" w:right="1361" w:bottom="1440" w:left="1361" w:header="851" w:footer="992" w:gutter="0"/>
          <w:cols w:space="720" w:num="1"/>
          <w:docGrid w:linePitch="312" w:charSpace="0"/>
        </w:sectPr>
      </w:pPr>
    </w:p>
    <w:p>
      <w:pPr>
        <w:autoSpaceDE w:val="0"/>
        <w:autoSpaceDN w:val="0"/>
        <w:outlineLvl w:val="0"/>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 xml:space="preserve">8   </w:t>
      </w:r>
      <w:r>
        <w:rPr>
          <w:rFonts w:hint="eastAsia"/>
          <w:b/>
          <w:color w:val="auto"/>
          <w:sz w:val="32"/>
          <w:highlight w:val="none"/>
          <w:lang w:val="zh-CN"/>
        </w:rPr>
        <w:t>类似项目业绩证明</w:t>
      </w:r>
    </w:p>
    <w:p>
      <w:pPr>
        <w:pStyle w:val="24"/>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类似项目业绩证明</w:t>
      </w:r>
    </w:p>
    <w:p>
      <w:pPr>
        <w:pStyle w:val="24"/>
        <w:snapToGrid w:val="0"/>
        <w:spacing w:line="400" w:lineRule="exact"/>
        <w:jc w:val="center"/>
        <w:rPr>
          <w:rFonts w:hint="eastAsia" w:hAnsi="宋体"/>
          <w:color w:val="auto"/>
          <w:sz w:val="36"/>
          <w:szCs w:val="36"/>
          <w:highlight w:val="none"/>
        </w:rPr>
      </w:pPr>
      <w:r>
        <w:rPr>
          <w:rFonts w:hint="eastAsia" w:hAnsi="宋体"/>
          <w:color w:val="auto"/>
          <w:sz w:val="36"/>
          <w:szCs w:val="36"/>
          <w:highlight w:val="none"/>
        </w:rPr>
        <w:t>（按评标细则要求提供）（复印件加盖公章）</w:t>
      </w:r>
    </w:p>
    <w:tbl>
      <w:tblPr>
        <w:tblStyle w:val="8"/>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序号</w:t>
            </w:r>
          </w:p>
        </w:tc>
        <w:tc>
          <w:tcPr>
            <w:tcW w:w="1041"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项目名称</w:t>
            </w:r>
          </w:p>
        </w:tc>
        <w:tc>
          <w:tcPr>
            <w:tcW w:w="1199"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项目地址</w:t>
            </w:r>
          </w:p>
        </w:tc>
        <w:tc>
          <w:tcPr>
            <w:tcW w:w="970"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合同内容</w:t>
            </w:r>
          </w:p>
        </w:tc>
        <w:tc>
          <w:tcPr>
            <w:tcW w:w="966"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合同总价</w:t>
            </w:r>
          </w:p>
        </w:tc>
        <w:tc>
          <w:tcPr>
            <w:tcW w:w="1034"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签约日期</w:t>
            </w:r>
          </w:p>
        </w:tc>
        <w:tc>
          <w:tcPr>
            <w:tcW w:w="1695"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发包方联系人</w:t>
            </w:r>
          </w:p>
        </w:tc>
        <w:tc>
          <w:tcPr>
            <w:tcW w:w="1174"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联系电话</w:t>
            </w:r>
          </w:p>
        </w:tc>
        <w:tc>
          <w:tcPr>
            <w:tcW w:w="1407" w:type="dxa"/>
            <w:vAlign w:val="center"/>
          </w:tcPr>
          <w:p>
            <w:pPr>
              <w:autoSpaceDE w:val="0"/>
              <w:autoSpaceDN w:val="0"/>
              <w:jc w:val="center"/>
              <w:rPr>
                <w:rFonts w:hint="eastAsia"/>
                <w:b/>
                <w:color w:val="auto"/>
                <w:sz w:val="22"/>
                <w:szCs w:val="22"/>
                <w:highlight w:val="none"/>
              </w:rPr>
            </w:pPr>
            <w:r>
              <w:rPr>
                <w:rFonts w:hint="eastAsia"/>
                <w:b/>
                <w:color w:val="auto"/>
                <w:sz w:val="22"/>
                <w:szCs w:val="22"/>
                <w:highlight w:val="none"/>
              </w:rPr>
              <w:t>获奖情况</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color w:val="auto"/>
                <w:highlight w:val="none"/>
              </w:rPr>
            </w:pPr>
          </w:p>
        </w:tc>
        <w:tc>
          <w:tcPr>
            <w:tcW w:w="1041" w:type="dxa"/>
            <w:vAlign w:val="center"/>
          </w:tcPr>
          <w:p>
            <w:pPr>
              <w:autoSpaceDE w:val="0"/>
              <w:autoSpaceDN w:val="0"/>
              <w:jc w:val="center"/>
              <w:rPr>
                <w:rFonts w:hint="eastAsia"/>
                <w:color w:val="auto"/>
                <w:highlight w:val="none"/>
              </w:rPr>
            </w:pPr>
          </w:p>
        </w:tc>
        <w:tc>
          <w:tcPr>
            <w:tcW w:w="1199" w:type="dxa"/>
            <w:vAlign w:val="center"/>
          </w:tcPr>
          <w:p>
            <w:pPr>
              <w:autoSpaceDE w:val="0"/>
              <w:autoSpaceDN w:val="0"/>
              <w:jc w:val="center"/>
              <w:rPr>
                <w:rFonts w:hint="eastAsia"/>
                <w:color w:val="auto"/>
                <w:highlight w:val="none"/>
              </w:rPr>
            </w:pPr>
          </w:p>
        </w:tc>
        <w:tc>
          <w:tcPr>
            <w:tcW w:w="970" w:type="dxa"/>
            <w:vAlign w:val="center"/>
          </w:tcPr>
          <w:p>
            <w:pPr>
              <w:autoSpaceDE w:val="0"/>
              <w:autoSpaceDN w:val="0"/>
              <w:jc w:val="center"/>
              <w:rPr>
                <w:rFonts w:hint="eastAsia"/>
                <w:color w:val="auto"/>
                <w:highlight w:val="none"/>
              </w:rPr>
            </w:pPr>
          </w:p>
        </w:tc>
        <w:tc>
          <w:tcPr>
            <w:tcW w:w="966" w:type="dxa"/>
            <w:vAlign w:val="center"/>
          </w:tcPr>
          <w:p>
            <w:pPr>
              <w:autoSpaceDE w:val="0"/>
              <w:autoSpaceDN w:val="0"/>
              <w:jc w:val="center"/>
              <w:rPr>
                <w:rFonts w:hint="eastAsia"/>
                <w:color w:val="auto"/>
                <w:highlight w:val="none"/>
              </w:rPr>
            </w:pPr>
          </w:p>
        </w:tc>
        <w:tc>
          <w:tcPr>
            <w:tcW w:w="1034" w:type="dxa"/>
            <w:vAlign w:val="center"/>
          </w:tcPr>
          <w:p>
            <w:pPr>
              <w:autoSpaceDE w:val="0"/>
              <w:autoSpaceDN w:val="0"/>
              <w:jc w:val="center"/>
              <w:rPr>
                <w:rFonts w:hint="eastAsia"/>
                <w:color w:val="auto"/>
                <w:highlight w:val="none"/>
              </w:rPr>
            </w:pPr>
          </w:p>
        </w:tc>
        <w:tc>
          <w:tcPr>
            <w:tcW w:w="1695" w:type="dxa"/>
            <w:vAlign w:val="center"/>
          </w:tcPr>
          <w:p>
            <w:pPr>
              <w:autoSpaceDE w:val="0"/>
              <w:autoSpaceDN w:val="0"/>
              <w:jc w:val="center"/>
              <w:rPr>
                <w:rFonts w:hint="eastAsia"/>
                <w:color w:val="auto"/>
                <w:highlight w:val="none"/>
              </w:rPr>
            </w:pPr>
          </w:p>
        </w:tc>
        <w:tc>
          <w:tcPr>
            <w:tcW w:w="1174" w:type="dxa"/>
            <w:vAlign w:val="center"/>
          </w:tcPr>
          <w:p>
            <w:pPr>
              <w:autoSpaceDE w:val="0"/>
              <w:autoSpaceDN w:val="0"/>
              <w:jc w:val="center"/>
              <w:rPr>
                <w:rFonts w:hint="eastAsia"/>
                <w:color w:val="auto"/>
                <w:highlight w:val="none"/>
              </w:rPr>
            </w:pPr>
          </w:p>
        </w:tc>
        <w:tc>
          <w:tcPr>
            <w:tcW w:w="1407" w:type="dxa"/>
            <w:vAlign w:val="center"/>
          </w:tcPr>
          <w:p>
            <w:pPr>
              <w:autoSpaceDE w:val="0"/>
              <w:autoSpaceDN w:val="0"/>
              <w:jc w:val="center"/>
              <w:rPr>
                <w:rFonts w:hint="eastAsia"/>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color w:val="auto"/>
                <w:highlight w:val="none"/>
              </w:rPr>
            </w:pPr>
          </w:p>
        </w:tc>
        <w:tc>
          <w:tcPr>
            <w:tcW w:w="1041" w:type="dxa"/>
            <w:vAlign w:val="center"/>
          </w:tcPr>
          <w:p>
            <w:pPr>
              <w:autoSpaceDE w:val="0"/>
              <w:autoSpaceDN w:val="0"/>
              <w:jc w:val="center"/>
              <w:rPr>
                <w:rFonts w:hint="eastAsia"/>
                <w:color w:val="auto"/>
                <w:highlight w:val="none"/>
              </w:rPr>
            </w:pPr>
          </w:p>
        </w:tc>
        <w:tc>
          <w:tcPr>
            <w:tcW w:w="1199" w:type="dxa"/>
            <w:vAlign w:val="center"/>
          </w:tcPr>
          <w:p>
            <w:pPr>
              <w:autoSpaceDE w:val="0"/>
              <w:autoSpaceDN w:val="0"/>
              <w:jc w:val="center"/>
              <w:rPr>
                <w:rFonts w:hint="eastAsia"/>
                <w:color w:val="auto"/>
                <w:highlight w:val="none"/>
              </w:rPr>
            </w:pPr>
          </w:p>
        </w:tc>
        <w:tc>
          <w:tcPr>
            <w:tcW w:w="970" w:type="dxa"/>
            <w:vAlign w:val="center"/>
          </w:tcPr>
          <w:p>
            <w:pPr>
              <w:autoSpaceDE w:val="0"/>
              <w:autoSpaceDN w:val="0"/>
              <w:jc w:val="center"/>
              <w:rPr>
                <w:rFonts w:hint="eastAsia"/>
                <w:color w:val="auto"/>
                <w:highlight w:val="none"/>
              </w:rPr>
            </w:pPr>
          </w:p>
        </w:tc>
        <w:tc>
          <w:tcPr>
            <w:tcW w:w="966" w:type="dxa"/>
            <w:vAlign w:val="center"/>
          </w:tcPr>
          <w:p>
            <w:pPr>
              <w:autoSpaceDE w:val="0"/>
              <w:autoSpaceDN w:val="0"/>
              <w:jc w:val="center"/>
              <w:rPr>
                <w:rFonts w:hint="eastAsia"/>
                <w:color w:val="auto"/>
                <w:highlight w:val="none"/>
              </w:rPr>
            </w:pPr>
          </w:p>
        </w:tc>
        <w:tc>
          <w:tcPr>
            <w:tcW w:w="1034" w:type="dxa"/>
            <w:vAlign w:val="center"/>
          </w:tcPr>
          <w:p>
            <w:pPr>
              <w:autoSpaceDE w:val="0"/>
              <w:autoSpaceDN w:val="0"/>
              <w:jc w:val="center"/>
              <w:rPr>
                <w:rFonts w:hint="eastAsia"/>
                <w:color w:val="auto"/>
                <w:highlight w:val="none"/>
              </w:rPr>
            </w:pPr>
          </w:p>
        </w:tc>
        <w:tc>
          <w:tcPr>
            <w:tcW w:w="1695" w:type="dxa"/>
            <w:vAlign w:val="center"/>
          </w:tcPr>
          <w:p>
            <w:pPr>
              <w:autoSpaceDE w:val="0"/>
              <w:autoSpaceDN w:val="0"/>
              <w:jc w:val="center"/>
              <w:rPr>
                <w:rFonts w:hint="eastAsia"/>
                <w:color w:val="auto"/>
                <w:highlight w:val="none"/>
              </w:rPr>
            </w:pPr>
          </w:p>
        </w:tc>
        <w:tc>
          <w:tcPr>
            <w:tcW w:w="1174" w:type="dxa"/>
            <w:vAlign w:val="center"/>
          </w:tcPr>
          <w:p>
            <w:pPr>
              <w:autoSpaceDE w:val="0"/>
              <w:autoSpaceDN w:val="0"/>
              <w:jc w:val="center"/>
              <w:rPr>
                <w:rFonts w:hint="eastAsia"/>
                <w:color w:val="auto"/>
                <w:highlight w:val="none"/>
              </w:rPr>
            </w:pPr>
          </w:p>
        </w:tc>
        <w:tc>
          <w:tcPr>
            <w:tcW w:w="1407" w:type="dxa"/>
            <w:vAlign w:val="center"/>
          </w:tcPr>
          <w:p>
            <w:pPr>
              <w:autoSpaceDE w:val="0"/>
              <w:autoSpaceDN w:val="0"/>
              <w:jc w:val="center"/>
              <w:rPr>
                <w:rFonts w:hint="eastAsia"/>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color w:val="auto"/>
                <w:highlight w:val="none"/>
              </w:rPr>
            </w:pPr>
          </w:p>
        </w:tc>
        <w:tc>
          <w:tcPr>
            <w:tcW w:w="1041" w:type="dxa"/>
            <w:vAlign w:val="center"/>
          </w:tcPr>
          <w:p>
            <w:pPr>
              <w:autoSpaceDE w:val="0"/>
              <w:autoSpaceDN w:val="0"/>
              <w:jc w:val="center"/>
              <w:rPr>
                <w:rFonts w:hint="eastAsia"/>
                <w:color w:val="auto"/>
                <w:highlight w:val="none"/>
              </w:rPr>
            </w:pPr>
          </w:p>
        </w:tc>
        <w:tc>
          <w:tcPr>
            <w:tcW w:w="1199" w:type="dxa"/>
            <w:vAlign w:val="center"/>
          </w:tcPr>
          <w:p>
            <w:pPr>
              <w:autoSpaceDE w:val="0"/>
              <w:autoSpaceDN w:val="0"/>
              <w:jc w:val="center"/>
              <w:rPr>
                <w:rFonts w:hint="eastAsia"/>
                <w:color w:val="auto"/>
                <w:highlight w:val="none"/>
              </w:rPr>
            </w:pPr>
          </w:p>
        </w:tc>
        <w:tc>
          <w:tcPr>
            <w:tcW w:w="970" w:type="dxa"/>
            <w:vAlign w:val="center"/>
          </w:tcPr>
          <w:p>
            <w:pPr>
              <w:autoSpaceDE w:val="0"/>
              <w:autoSpaceDN w:val="0"/>
              <w:jc w:val="center"/>
              <w:rPr>
                <w:rFonts w:hint="eastAsia"/>
                <w:color w:val="auto"/>
                <w:highlight w:val="none"/>
              </w:rPr>
            </w:pPr>
          </w:p>
        </w:tc>
        <w:tc>
          <w:tcPr>
            <w:tcW w:w="966" w:type="dxa"/>
            <w:vAlign w:val="center"/>
          </w:tcPr>
          <w:p>
            <w:pPr>
              <w:autoSpaceDE w:val="0"/>
              <w:autoSpaceDN w:val="0"/>
              <w:jc w:val="center"/>
              <w:rPr>
                <w:rFonts w:hint="eastAsia"/>
                <w:color w:val="auto"/>
                <w:highlight w:val="none"/>
              </w:rPr>
            </w:pPr>
          </w:p>
        </w:tc>
        <w:tc>
          <w:tcPr>
            <w:tcW w:w="1034" w:type="dxa"/>
            <w:vAlign w:val="center"/>
          </w:tcPr>
          <w:p>
            <w:pPr>
              <w:autoSpaceDE w:val="0"/>
              <w:autoSpaceDN w:val="0"/>
              <w:jc w:val="center"/>
              <w:rPr>
                <w:rFonts w:hint="eastAsia"/>
                <w:color w:val="auto"/>
                <w:highlight w:val="none"/>
              </w:rPr>
            </w:pPr>
          </w:p>
        </w:tc>
        <w:tc>
          <w:tcPr>
            <w:tcW w:w="1695" w:type="dxa"/>
            <w:vAlign w:val="center"/>
          </w:tcPr>
          <w:p>
            <w:pPr>
              <w:autoSpaceDE w:val="0"/>
              <w:autoSpaceDN w:val="0"/>
              <w:jc w:val="center"/>
              <w:rPr>
                <w:rFonts w:hint="eastAsia"/>
                <w:color w:val="auto"/>
                <w:highlight w:val="none"/>
              </w:rPr>
            </w:pPr>
          </w:p>
        </w:tc>
        <w:tc>
          <w:tcPr>
            <w:tcW w:w="1174" w:type="dxa"/>
            <w:vAlign w:val="center"/>
          </w:tcPr>
          <w:p>
            <w:pPr>
              <w:autoSpaceDE w:val="0"/>
              <w:autoSpaceDN w:val="0"/>
              <w:jc w:val="center"/>
              <w:rPr>
                <w:rFonts w:hint="eastAsia"/>
                <w:color w:val="auto"/>
                <w:highlight w:val="none"/>
              </w:rPr>
            </w:pPr>
          </w:p>
        </w:tc>
        <w:tc>
          <w:tcPr>
            <w:tcW w:w="1407" w:type="dxa"/>
            <w:vAlign w:val="center"/>
          </w:tcPr>
          <w:p>
            <w:pPr>
              <w:autoSpaceDE w:val="0"/>
              <w:autoSpaceDN w:val="0"/>
              <w:jc w:val="center"/>
              <w:rPr>
                <w:rFonts w:hint="eastAsia"/>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color w:val="auto"/>
                <w:highlight w:val="none"/>
              </w:rPr>
            </w:pPr>
          </w:p>
        </w:tc>
        <w:tc>
          <w:tcPr>
            <w:tcW w:w="1041" w:type="dxa"/>
            <w:vAlign w:val="center"/>
          </w:tcPr>
          <w:p>
            <w:pPr>
              <w:autoSpaceDE w:val="0"/>
              <w:autoSpaceDN w:val="0"/>
              <w:jc w:val="center"/>
              <w:rPr>
                <w:rFonts w:hint="eastAsia"/>
                <w:color w:val="auto"/>
                <w:highlight w:val="none"/>
              </w:rPr>
            </w:pPr>
          </w:p>
        </w:tc>
        <w:tc>
          <w:tcPr>
            <w:tcW w:w="1199" w:type="dxa"/>
            <w:vAlign w:val="center"/>
          </w:tcPr>
          <w:p>
            <w:pPr>
              <w:autoSpaceDE w:val="0"/>
              <w:autoSpaceDN w:val="0"/>
              <w:jc w:val="center"/>
              <w:rPr>
                <w:rFonts w:hint="eastAsia"/>
                <w:color w:val="auto"/>
                <w:highlight w:val="none"/>
              </w:rPr>
            </w:pPr>
          </w:p>
        </w:tc>
        <w:tc>
          <w:tcPr>
            <w:tcW w:w="970" w:type="dxa"/>
            <w:vAlign w:val="center"/>
          </w:tcPr>
          <w:p>
            <w:pPr>
              <w:autoSpaceDE w:val="0"/>
              <w:autoSpaceDN w:val="0"/>
              <w:jc w:val="center"/>
              <w:rPr>
                <w:rFonts w:hint="eastAsia"/>
                <w:color w:val="auto"/>
                <w:highlight w:val="none"/>
              </w:rPr>
            </w:pPr>
          </w:p>
        </w:tc>
        <w:tc>
          <w:tcPr>
            <w:tcW w:w="966" w:type="dxa"/>
            <w:vAlign w:val="center"/>
          </w:tcPr>
          <w:p>
            <w:pPr>
              <w:autoSpaceDE w:val="0"/>
              <w:autoSpaceDN w:val="0"/>
              <w:jc w:val="center"/>
              <w:rPr>
                <w:rFonts w:hint="eastAsia"/>
                <w:color w:val="auto"/>
                <w:highlight w:val="none"/>
              </w:rPr>
            </w:pPr>
          </w:p>
        </w:tc>
        <w:tc>
          <w:tcPr>
            <w:tcW w:w="1034" w:type="dxa"/>
            <w:vAlign w:val="center"/>
          </w:tcPr>
          <w:p>
            <w:pPr>
              <w:autoSpaceDE w:val="0"/>
              <w:autoSpaceDN w:val="0"/>
              <w:jc w:val="center"/>
              <w:rPr>
                <w:rFonts w:hint="eastAsia"/>
                <w:color w:val="auto"/>
                <w:highlight w:val="none"/>
              </w:rPr>
            </w:pPr>
          </w:p>
        </w:tc>
        <w:tc>
          <w:tcPr>
            <w:tcW w:w="1695" w:type="dxa"/>
            <w:vAlign w:val="center"/>
          </w:tcPr>
          <w:p>
            <w:pPr>
              <w:autoSpaceDE w:val="0"/>
              <w:autoSpaceDN w:val="0"/>
              <w:jc w:val="center"/>
              <w:rPr>
                <w:rFonts w:hint="eastAsia"/>
                <w:color w:val="auto"/>
                <w:highlight w:val="none"/>
              </w:rPr>
            </w:pPr>
          </w:p>
        </w:tc>
        <w:tc>
          <w:tcPr>
            <w:tcW w:w="1174" w:type="dxa"/>
            <w:vAlign w:val="center"/>
          </w:tcPr>
          <w:p>
            <w:pPr>
              <w:autoSpaceDE w:val="0"/>
              <w:autoSpaceDN w:val="0"/>
              <w:jc w:val="center"/>
              <w:rPr>
                <w:rFonts w:hint="eastAsia"/>
                <w:color w:val="auto"/>
                <w:highlight w:val="none"/>
              </w:rPr>
            </w:pPr>
          </w:p>
        </w:tc>
        <w:tc>
          <w:tcPr>
            <w:tcW w:w="1407" w:type="dxa"/>
            <w:vAlign w:val="center"/>
          </w:tcPr>
          <w:p>
            <w:pPr>
              <w:autoSpaceDE w:val="0"/>
              <w:autoSpaceDN w:val="0"/>
              <w:jc w:val="center"/>
              <w:rPr>
                <w:rFonts w:hint="eastAsia"/>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color w:val="auto"/>
                <w:highlight w:val="none"/>
              </w:rPr>
            </w:pPr>
          </w:p>
        </w:tc>
        <w:tc>
          <w:tcPr>
            <w:tcW w:w="1041" w:type="dxa"/>
            <w:vAlign w:val="center"/>
          </w:tcPr>
          <w:p>
            <w:pPr>
              <w:autoSpaceDE w:val="0"/>
              <w:autoSpaceDN w:val="0"/>
              <w:jc w:val="center"/>
              <w:rPr>
                <w:rFonts w:hint="eastAsia"/>
                <w:color w:val="auto"/>
                <w:highlight w:val="none"/>
              </w:rPr>
            </w:pPr>
          </w:p>
        </w:tc>
        <w:tc>
          <w:tcPr>
            <w:tcW w:w="1199" w:type="dxa"/>
            <w:vAlign w:val="center"/>
          </w:tcPr>
          <w:p>
            <w:pPr>
              <w:autoSpaceDE w:val="0"/>
              <w:autoSpaceDN w:val="0"/>
              <w:jc w:val="center"/>
              <w:rPr>
                <w:rFonts w:hint="eastAsia"/>
                <w:color w:val="auto"/>
                <w:highlight w:val="none"/>
              </w:rPr>
            </w:pPr>
          </w:p>
        </w:tc>
        <w:tc>
          <w:tcPr>
            <w:tcW w:w="970" w:type="dxa"/>
            <w:vAlign w:val="center"/>
          </w:tcPr>
          <w:p>
            <w:pPr>
              <w:autoSpaceDE w:val="0"/>
              <w:autoSpaceDN w:val="0"/>
              <w:jc w:val="center"/>
              <w:rPr>
                <w:rFonts w:hint="eastAsia"/>
                <w:color w:val="auto"/>
                <w:highlight w:val="none"/>
              </w:rPr>
            </w:pPr>
          </w:p>
        </w:tc>
        <w:tc>
          <w:tcPr>
            <w:tcW w:w="966" w:type="dxa"/>
            <w:vAlign w:val="center"/>
          </w:tcPr>
          <w:p>
            <w:pPr>
              <w:autoSpaceDE w:val="0"/>
              <w:autoSpaceDN w:val="0"/>
              <w:jc w:val="center"/>
              <w:rPr>
                <w:rFonts w:hint="eastAsia"/>
                <w:color w:val="auto"/>
                <w:highlight w:val="none"/>
              </w:rPr>
            </w:pPr>
          </w:p>
        </w:tc>
        <w:tc>
          <w:tcPr>
            <w:tcW w:w="1034" w:type="dxa"/>
            <w:vAlign w:val="center"/>
          </w:tcPr>
          <w:p>
            <w:pPr>
              <w:autoSpaceDE w:val="0"/>
              <w:autoSpaceDN w:val="0"/>
              <w:jc w:val="center"/>
              <w:rPr>
                <w:rFonts w:hint="eastAsia"/>
                <w:color w:val="auto"/>
                <w:highlight w:val="none"/>
              </w:rPr>
            </w:pPr>
          </w:p>
        </w:tc>
        <w:tc>
          <w:tcPr>
            <w:tcW w:w="1695" w:type="dxa"/>
            <w:vAlign w:val="center"/>
          </w:tcPr>
          <w:p>
            <w:pPr>
              <w:autoSpaceDE w:val="0"/>
              <w:autoSpaceDN w:val="0"/>
              <w:jc w:val="center"/>
              <w:rPr>
                <w:rFonts w:hint="eastAsia"/>
                <w:color w:val="auto"/>
                <w:highlight w:val="none"/>
              </w:rPr>
            </w:pPr>
          </w:p>
        </w:tc>
        <w:tc>
          <w:tcPr>
            <w:tcW w:w="1174" w:type="dxa"/>
            <w:vAlign w:val="center"/>
          </w:tcPr>
          <w:p>
            <w:pPr>
              <w:autoSpaceDE w:val="0"/>
              <w:autoSpaceDN w:val="0"/>
              <w:jc w:val="center"/>
              <w:rPr>
                <w:rFonts w:hint="eastAsia"/>
                <w:color w:val="auto"/>
                <w:highlight w:val="none"/>
              </w:rPr>
            </w:pPr>
          </w:p>
        </w:tc>
        <w:tc>
          <w:tcPr>
            <w:tcW w:w="1407" w:type="dxa"/>
            <w:vAlign w:val="center"/>
          </w:tcPr>
          <w:p>
            <w:pPr>
              <w:autoSpaceDE w:val="0"/>
              <w:autoSpaceDN w:val="0"/>
              <w:jc w:val="center"/>
              <w:rPr>
                <w:rFonts w:hint="eastAsia"/>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color w:val="auto"/>
                <w:highlight w:val="none"/>
              </w:rPr>
            </w:pPr>
          </w:p>
        </w:tc>
        <w:tc>
          <w:tcPr>
            <w:tcW w:w="1041" w:type="dxa"/>
            <w:vAlign w:val="center"/>
          </w:tcPr>
          <w:p>
            <w:pPr>
              <w:autoSpaceDE w:val="0"/>
              <w:autoSpaceDN w:val="0"/>
              <w:jc w:val="center"/>
              <w:rPr>
                <w:rFonts w:hint="eastAsia"/>
                <w:color w:val="auto"/>
                <w:highlight w:val="none"/>
              </w:rPr>
            </w:pPr>
          </w:p>
        </w:tc>
        <w:tc>
          <w:tcPr>
            <w:tcW w:w="1199" w:type="dxa"/>
            <w:vAlign w:val="center"/>
          </w:tcPr>
          <w:p>
            <w:pPr>
              <w:autoSpaceDE w:val="0"/>
              <w:autoSpaceDN w:val="0"/>
              <w:jc w:val="center"/>
              <w:rPr>
                <w:rFonts w:hint="eastAsia"/>
                <w:color w:val="auto"/>
                <w:highlight w:val="none"/>
              </w:rPr>
            </w:pPr>
          </w:p>
        </w:tc>
        <w:tc>
          <w:tcPr>
            <w:tcW w:w="970" w:type="dxa"/>
            <w:vAlign w:val="center"/>
          </w:tcPr>
          <w:p>
            <w:pPr>
              <w:autoSpaceDE w:val="0"/>
              <w:autoSpaceDN w:val="0"/>
              <w:jc w:val="center"/>
              <w:rPr>
                <w:rFonts w:hint="eastAsia"/>
                <w:color w:val="auto"/>
                <w:highlight w:val="none"/>
              </w:rPr>
            </w:pPr>
          </w:p>
        </w:tc>
        <w:tc>
          <w:tcPr>
            <w:tcW w:w="966" w:type="dxa"/>
            <w:vAlign w:val="center"/>
          </w:tcPr>
          <w:p>
            <w:pPr>
              <w:autoSpaceDE w:val="0"/>
              <w:autoSpaceDN w:val="0"/>
              <w:jc w:val="center"/>
              <w:rPr>
                <w:rFonts w:hint="eastAsia"/>
                <w:color w:val="auto"/>
                <w:highlight w:val="none"/>
              </w:rPr>
            </w:pPr>
          </w:p>
        </w:tc>
        <w:tc>
          <w:tcPr>
            <w:tcW w:w="1034" w:type="dxa"/>
            <w:vAlign w:val="center"/>
          </w:tcPr>
          <w:p>
            <w:pPr>
              <w:autoSpaceDE w:val="0"/>
              <w:autoSpaceDN w:val="0"/>
              <w:jc w:val="center"/>
              <w:rPr>
                <w:rFonts w:hint="eastAsia"/>
                <w:color w:val="auto"/>
                <w:highlight w:val="none"/>
              </w:rPr>
            </w:pPr>
          </w:p>
        </w:tc>
        <w:tc>
          <w:tcPr>
            <w:tcW w:w="1695" w:type="dxa"/>
            <w:vAlign w:val="center"/>
          </w:tcPr>
          <w:p>
            <w:pPr>
              <w:autoSpaceDE w:val="0"/>
              <w:autoSpaceDN w:val="0"/>
              <w:jc w:val="center"/>
              <w:rPr>
                <w:rFonts w:hint="eastAsia"/>
                <w:color w:val="auto"/>
                <w:highlight w:val="none"/>
              </w:rPr>
            </w:pPr>
          </w:p>
        </w:tc>
        <w:tc>
          <w:tcPr>
            <w:tcW w:w="1174" w:type="dxa"/>
            <w:vAlign w:val="center"/>
          </w:tcPr>
          <w:p>
            <w:pPr>
              <w:autoSpaceDE w:val="0"/>
              <w:autoSpaceDN w:val="0"/>
              <w:jc w:val="center"/>
              <w:rPr>
                <w:rFonts w:hint="eastAsia"/>
                <w:color w:val="auto"/>
                <w:highlight w:val="none"/>
              </w:rPr>
            </w:pPr>
          </w:p>
        </w:tc>
        <w:tc>
          <w:tcPr>
            <w:tcW w:w="1407" w:type="dxa"/>
            <w:vAlign w:val="center"/>
          </w:tcPr>
          <w:p>
            <w:pPr>
              <w:autoSpaceDE w:val="0"/>
              <w:autoSpaceDN w:val="0"/>
              <w:jc w:val="center"/>
              <w:rPr>
                <w:rFonts w:hint="eastAsia"/>
                <w:color w:val="auto"/>
                <w:highlight w:val="none"/>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jc w:val="center"/>
              <w:rPr>
                <w:rFonts w:hint="eastAsia"/>
                <w:color w:val="auto"/>
                <w:highlight w:val="none"/>
              </w:rPr>
            </w:pPr>
          </w:p>
        </w:tc>
        <w:tc>
          <w:tcPr>
            <w:tcW w:w="1041" w:type="dxa"/>
            <w:vAlign w:val="center"/>
          </w:tcPr>
          <w:p>
            <w:pPr>
              <w:autoSpaceDE w:val="0"/>
              <w:autoSpaceDN w:val="0"/>
              <w:jc w:val="center"/>
              <w:rPr>
                <w:rFonts w:hint="eastAsia"/>
                <w:color w:val="auto"/>
                <w:highlight w:val="none"/>
              </w:rPr>
            </w:pPr>
          </w:p>
        </w:tc>
        <w:tc>
          <w:tcPr>
            <w:tcW w:w="1199" w:type="dxa"/>
            <w:vAlign w:val="center"/>
          </w:tcPr>
          <w:p>
            <w:pPr>
              <w:autoSpaceDE w:val="0"/>
              <w:autoSpaceDN w:val="0"/>
              <w:jc w:val="center"/>
              <w:rPr>
                <w:rFonts w:hint="eastAsia"/>
                <w:color w:val="auto"/>
                <w:highlight w:val="none"/>
              </w:rPr>
            </w:pPr>
          </w:p>
        </w:tc>
        <w:tc>
          <w:tcPr>
            <w:tcW w:w="970" w:type="dxa"/>
            <w:vAlign w:val="center"/>
          </w:tcPr>
          <w:p>
            <w:pPr>
              <w:autoSpaceDE w:val="0"/>
              <w:autoSpaceDN w:val="0"/>
              <w:jc w:val="center"/>
              <w:rPr>
                <w:rFonts w:hint="eastAsia"/>
                <w:color w:val="auto"/>
                <w:highlight w:val="none"/>
              </w:rPr>
            </w:pPr>
          </w:p>
        </w:tc>
        <w:tc>
          <w:tcPr>
            <w:tcW w:w="966" w:type="dxa"/>
            <w:vAlign w:val="center"/>
          </w:tcPr>
          <w:p>
            <w:pPr>
              <w:autoSpaceDE w:val="0"/>
              <w:autoSpaceDN w:val="0"/>
              <w:jc w:val="center"/>
              <w:rPr>
                <w:rFonts w:hint="eastAsia"/>
                <w:color w:val="auto"/>
                <w:highlight w:val="none"/>
              </w:rPr>
            </w:pPr>
          </w:p>
        </w:tc>
        <w:tc>
          <w:tcPr>
            <w:tcW w:w="1034" w:type="dxa"/>
            <w:vAlign w:val="center"/>
          </w:tcPr>
          <w:p>
            <w:pPr>
              <w:autoSpaceDE w:val="0"/>
              <w:autoSpaceDN w:val="0"/>
              <w:jc w:val="center"/>
              <w:rPr>
                <w:rFonts w:hint="eastAsia"/>
                <w:color w:val="auto"/>
                <w:highlight w:val="none"/>
              </w:rPr>
            </w:pPr>
          </w:p>
        </w:tc>
        <w:tc>
          <w:tcPr>
            <w:tcW w:w="1695" w:type="dxa"/>
            <w:vAlign w:val="center"/>
          </w:tcPr>
          <w:p>
            <w:pPr>
              <w:autoSpaceDE w:val="0"/>
              <w:autoSpaceDN w:val="0"/>
              <w:jc w:val="center"/>
              <w:rPr>
                <w:rFonts w:hint="eastAsia"/>
                <w:color w:val="auto"/>
                <w:highlight w:val="none"/>
              </w:rPr>
            </w:pPr>
          </w:p>
        </w:tc>
        <w:tc>
          <w:tcPr>
            <w:tcW w:w="1174" w:type="dxa"/>
            <w:vAlign w:val="center"/>
          </w:tcPr>
          <w:p>
            <w:pPr>
              <w:autoSpaceDE w:val="0"/>
              <w:autoSpaceDN w:val="0"/>
              <w:jc w:val="center"/>
              <w:rPr>
                <w:rFonts w:hint="eastAsia"/>
                <w:color w:val="auto"/>
                <w:highlight w:val="none"/>
              </w:rPr>
            </w:pPr>
          </w:p>
        </w:tc>
        <w:tc>
          <w:tcPr>
            <w:tcW w:w="1407" w:type="dxa"/>
            <w:vAlign w:val="center"/>
          </w:tcPr>
          <w:p>
            <w:pPr>
              <w:autoSpaceDE w:val="0"/>
              <w:autoSpaceDN w:val="0"/>
              <w:jc w:val="center"/>
              <w:rPr>
                <w:rFonts w:hint="eastAsia"/>
                <w:color w:val="auto"/>
                <w:highlight w:val="none"/>
              </w:rPr>
            </w:pPr>
          </w:p>
        </w:tc>
      </w:tr>
    </w:tbl>
    <w:p>
      <w:pPr>
        <w:rPr>
          <w:rFonts w:hint="eastAsia"/>
          <w:b/>
          <w:color w:val="auto"/>
          <w:sz w:val="22"/>
          <w:szCs w:val="22"/>
          <w:highlight w:val="none"/>
        </w:rPr>
      </w:pPr>
      <w:r>
        <w:rPr>
          <w:rFonts w:hint="eastAsia"/>
          <w:b/>
          <w:color w:val="auto"/>
          <w:sz w:val="22"/>
          <w:szCs w:val="22"/>
          <w:highlight w:val="none"/>
        </w:rPr>
        <w:t>注：1、按评标细则要求提供（加盖单位公章）须附在商务技术投标文件中</w:t>
      </w:r>
      <w:r>
        <w:rPr>
          <w:rFonts w:hint="eastAsia"/>
          <w:color w:val="auto"/>
          <w:sz w:val="22"/>
          <w:szCs w:val="22"/>
          <w:highlight w:val="none"/>
        </w:rPr>
        <w:t>。</w:t>
      </w:r>
    </w:p>
    <w:p>
      <w:pPr>
        <w:pStyle w:val="24"/>
        <w:spacing w:line="400" w:lineRule="atLeast"/>
        <w:rPr>
          <w:rFonts w:hint="eastAsia" w:hAnsi="宋体"/>
          <w:b/>
          <w:color w:val="auto"/>
          <w:sz w:val="22"/>
          <w:szCs w:val="22"/>
          <w:highlight w:val="none"/>
        </w:rPr>
      </w:pPr>
    </w:p>
    <w:p>
      <w:pPr>
        <w:pStyle w:val="24"/>
        <w:spacing w:line="400" w:lineRule="atLeast"/>
        <w:rPr>
          <w:rFonts w:hint="eastAsia" w:hAnsi="宋体"/>
          <w:b/>
          <w:color w:val="auto"/>
          <w:sz w:val="22"/>
          <w:szCs w:val="22"/>
          <w:highlight w:val="none"/>
        </w:rPr>
      </w:pPr>
    </w:p>
    <w:p>
      <w:pPr>
        <w:pStyle w:val="24"/>
        <w:spacing w:line="400" w:lineRule="atLeast"/>
        <w:rPr>
          <w:rFonts w:hint="eastAsia" w:hAnsi="宋体"/>
          <w:b/>
          <w:color w:val="auto"/>
          <w:sz w:val="22"/>
          <w:szCs w:val="22"/>
          <w:highlight w:val="none"/>
        </w:rPr>
      </w:pPr>
    </w:p>
    <w:p>
      <w:pPr>
        <w:pStyle w:val="24"/>
        <w:spacing w:line="400" w:lineRule="exact"/>
        <w:rPr>
          <w:rFonts w:hint="eastAsia" w:hAnsi="宋体"/>
          <w:b/>
          <w:color w:val="auto"/>
          <w:sz w:val="22"/>
          <w:highlight w:val="none"/>
        </w:rPr>
      </w:pPr>
      <w:r>
        <w:rPr>
          <w:rFonts w:hint="eastAsia" w:hAnsi="宋体"/>
          <w:b/>
          <w:color w:val="auto"/>
          <w:sz w:val="22"/>
          <w:highlight w:val="none"/>
        </w:rPr>
        <w:t>供应商名称（盖章）：</w:t>
      </w:r>
    </w:p>
    <w:p>
      <w:pPr>
        <w:pStyle w:val="24"/>
        <w:spacing w:line="400" w:lineRule="exact"/>
        <w:rPr>
          <w:rFonts w:hAnsi="宋体"/>
          <w:b/>
          <w:color w:val="auto"/>
          <w:sz w:val="22"/>
          <w:highlight w:val="none"/>
        </w:rPr>
      </w:pPr>
      <w:r>
        <w:rPr>
          <w:rFonts w:hAnsi="宋体"/>
          <w:b/>
          <w:color w:val="auto"/>
          <w:sz w:val="22"/>
          <w:highlight w:val="none"/>
        </w:rPr>
        <w:t>法定代表人或授权代表（签字或盖章）</w:t>
      </w:r>
      <w:r>
        <w:rPr>
          <w:rFonts w:hint="eastAsia" w:hAnsi="宋体"/>
          <w:b/>
          <w:color w:val="auto"/>
          <w:sz w:val="22"/>
          <w:highlight w:val="none"/>
        </w:rPr>
        <w:t>：</w:t>
      </w:r>
    </w:p>
    <w:p>
      <w:pPr>
        <w:pStyle w:val="24"/>
        <w:spacing w:line="400" w:lineRule="exact"/>
        <w:rPr>
          <w:rFonts w:hint="eastAsia" w:hAnsi="宋体"/>
          <w:b/>
          <w:color w:val="auto"/>
          <w:sz w:val="22"/>
          <w:highlight w:val="none"/>
        </w:rPr>
      </w:pPr>
      <w:r>
        <w:rPr>
          <w:rFonts w:hint="eastAsia" w:hAnsi="宋体"/>
          <w:b/>
          <w:color w:val="auto"/>
          <w:sz w:val="22"/>
          <w:highlight w:val="none"/>
        </w:rPr>
        <w:t>日    期：</w:t>
      </w: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pStyle w:val="24"/>
        <w:spacing w:line="400" w:lineRule="exact"/>
        <w:rPr>
          <w:rFonts w:hint="eastAsia" w:hAnsi="宋体"/>
          <w:b/>
          <w:color w:val="auto"/>
          <w:sz w:val="22"/>
          <w:highlight w:val="none"/>
        </w:rPr>
      </w:pPr>
    </w:p>
    <w:p>
      <w:pPr>
        <w:autoSpaceDE w:val="0"/>
        <w:autoSpaceDN w:val="0"/>
        <w:snapToGrid w:val="0"/>
        <w:spacing w:line="360" w:lineRule="atLeast"/>
        <w:rPr>
          <w:rFonts w:hint="eastAsia"/>
          <w:b/>
          <w:color w:val="auto"/>
          <w:highlight w:val="none"/>
        </w:rPr>
      </w:pPr>
    </w:p>
    <w:p>
      <w:pPr>
        <w:rPr>
          <w:rFonts w:hint="eastAsia"/>
          <w:color w:val="auto"/>
          <w:highlight w:val="none"/>
        </w:rPr>
      </w:pPr>
    </w:p>
    <w:p>
      <w:pPr>
        <w:rPr>
          <w:color w:val="auto"/>
          <w:highlight w:val="none"/>
        </w:rPr>
      </w:pPr>
    </w:p>
    <w:p>
      <w:pPr>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9</w:t>
      </w:r>
      <w:r>
        <w:rPr>
          <w:rFonts w:hint="eastAsia"/>
          <w:b/>
          <w:color w:val="auto"/>
          <w:sz w:val="32"/>
          <w:highlight w:val="none"/>
          <w:lang w:val="zh-CN"/>
        </w:rPr>
        <w:t>针对本项目拟派人员名单</w:t>
      </w:r>
    </w:p>
    <w:p>
      <w:pPr>
        <w:pStyle w:val="38"/>
        <w:ind w:firstLine="723"/>
        <w:rPr>
          <w:rFonts w:hint="eastAsia" w:ascii="宋体" w:hAnsi="宋体"/>
          <w:b w:val="0"/>
          <w:color w:val="auto"/>
          <w:sz w:val="36"/>
          <w:szCs w:val="36"/>
          <w:highlight w:val="none"/>
        </w:rPr>
      </w:pPr>
      <w:r>
        <w:rPr>
          <w:rFonts w:hint="eastAsia" w:ascii="宋体" w:hAnsi="宋体"/>
          <w:b w:val="0"/>
          <w:color w:val="auto"/>
          <w:sz w:val="36"/>
          <w:szCs w:val="36"/>
          <w:highlight w:val="none"/>
        </w:rPr>
        <w:t>针对本项目拟派人员名单</w:t>
      </w:r>
    </w:p>
    <w:tbl>
      <w:tblPr>
        <w:tblStyle w:val="8"/>
        <w:tblW w:w="0" w:type="auto"/>
        <w:tblInd w:w="-14"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jc w:val="center"/>
              <w:rPr>
                <w:b/>
                <w:bCs/>
                <w:color w:val="auto"/>
                <w:sz w:val="22"/>
                <w:highlight w:val="none"/>
              </w:rPr>
            </w:pPr>
            <w:r>
              <w:rPr>
                <w:b/>
                <w:bCs/>
                <w:color w:val="auto"/>
                <w:sz w:val="22"/>
                <w:highlight w:val="none"/>
              </w:rPr>
              <w:t>姓名</w:t>
            </w:r>
          </w:p>
        </w:tc>
        <w:tc>
          <w:tcPr>
            <w:tcW w:w="2520" w:type="dxa"/>
            <w:vAlign w:val="center"/>
          </w:tcPr>
          <w:p>
            <w:pPr>
              <w:jc w:val="center"/>
              <w:rPr>
                <w:b/>
                <w:bCs/>
                <w:color w:val="auto"/>
                <w:sz w:val="22"/>
                <w:highlight w:val="none"/>
              </w:rPr>
            </w:pPr>
            <w:r>
              <w:rPr>
                <w:b/>
                <w:bCs/>
                <w:color w:val="auto"/>
                <w:sz w:val="22"/>
                <w:highlight w:val="none"/>
              </w:rPr>
              <w:t>本项目主要工作</w:t>
            </w:r>
          </w:p>
        </w:tc>
        <w:tc>
          <w:tcPr>
            <w:tcW w:w="720" w:type="dxa"/>
            <w:vAlign w:val="center"/>
          </w:tcPr>
          <w:p>
            <w:pPr>
              <w:jc w:val="center"/>
              <w:rPr>
                <w:b/>
                <w:bCs/>
                <w:color w:val="auto"/>
                <w:sz w:val="22"/>
                <w:highlight w:val="none"/>
              </w:rPr>
            </w:pPr>
            <w:r>
              <w:rPr>
                <w:b/>
                <w:bCs/>
                <w:color w:val="auto"/>
                <w:sz w:val="22"/>
                <w:highlight w:val="none"/>
              </w:rPr>
              <w:t>年龄</w:t>
            </w:r>
          </w:p>
        </w:tc>
        <w:tc>
          <w:tcPr>
            <w:tcW w:w="720" w:type="dxa"/>
            <w:vAlign w:val="center"/>
          </w:tcPr>
          <w:p>
            <w:pPr>
              <w:jc w:val="center"/>
              <w:rPr>
                <w:b/>
                <w:bCs/>
                <w:color w:val="auto"/>
                <w:sz w:val="22"/>
                <w:highlight w:val="none"/>
              </w:rPr>
            </w:pPr>
            <w:r>
              <w:rPr>
                <w:b/>
                <w:bCs/>
                <w:color w:val="auto"/>
                <w:sz w:val="22"/>
                <w:highlight w:val="none"/>
              </w:rPr>
              <w:t>性别</w:t>
            </w:r>
          </w:p>
        </w:tc>
        <w:tc>
          <w:tcPr>
            <w:tcW w:w="720" w:type="dxa"/>
            <w:vAlign w:val="center"/>
          </w:tcPr>
          <w:p>
            <w:pPr>
              <w:jc w:val="center"/>
              <w:rPr>
                <w:b/>
                <w:bCs/>
                <w:color w:val="auto"/>
                <w:sz w:val="22"/>
                <w:highlight w:val="none"/>
              </w:rPr>
            </w:pPr>
            <w:r>
              <w:rPr>
                <w:b/>
                <w:bCs/>
                <w:color w:val="auto"/>
                <w:sz w:val="22"/>
                <w:highlight w:val="none"/>
              </w:rPr>
              <w:t>专业</w:t>
            </w:r>
          </w:p>
        </w:tc>
        <w:tc>
          <w:tcPr>
            <w:tcW w:w="1080" w:type="dxa"/>
            <w:vAlign w:val="center"/>
          </w:tcPr>
          <w:p>
            <w:pPr>
              <w:jc w:val="center"/>
              <w:rPr>
                <w:b/>
                <w:bCs/>
                <w:color w:val="auto"/>
                <w:sz w:val="22"/>
                <w:highlight w:val="none"/>
              </w:rPr>
            </w:pPr>
            <w:r>
              <w:rPr>
                <w:b/>
                <w:bCs/>
                <w:color w:val="auto"/>
                <w:sz w:val="22"/>
                <w:highlight w:val="none"/>
              </w:rPr>
              <w:t>专业</w:t>
            </w:r>
          </w:p>
          <w:p>
            <w:pPr>
              <w:jc w:val="center"/>
              <w:rPr>
                <w:b/>
                <w:bCs/>
                <w:color w:val="auto"/>
                <w:sz w:val="22"/>
                <w:highlight w:val="none"/>
              </w:rPr>
            </w:pPr>
            <w:r>
              <w:rPr>
                <w:b/>
                <w:bCs/>
                <w:color w:val="auto"/>
                <w:sz w:val="22"/>
                <w:highlight w:val="none"/>
              </w:rPr>
              <w:t>年限</w:t>
            </w:r>
          </w:p>
        </w:tc>
        <w:tc>
          <w:tcPr>
            <w:tcW w:w="1080" w:type="dxa"/>
            <w:vAlign w:val="center"/>
          </w:tcPr>
          <w:p>
            <w:pPr>
              <w:jc w:val="center"/>
              <w:rPr>
                <w:b/>
                <w:bCs/>
                <w:color w:val="auto"/>
                <w:sz w:val="22"/>
                <w:highlight w:val="none"/>
              </w:rPr>
            </w:pPr>
            <w:r>
              <w:rPr>
                <w:b/>
                <w:bCs/>
                <w:color w:val="auto"/>
                <w:sz w:val="22"/>
                <w:highlight w:val="none"/>
              </w:rPr>
              <w:t>职务</w:t>
            </w:r>
          </w:p>
          <w:p>
            <w:pPr>
              <w:jc w:val="center"/>
              <w:rPr>
                <w:b/>
                <w:bCs/>
                <w:color w:val="auto"/>
                <w:sz w:val="22"/>
                <w:highlight w:val="none"/>
              </w:rPr>
            </w:pPr>
            <w:r>
              <w:rPr>
                <w:b/>
                <w:bCs/>
                <w:color w:val="auto"/>
                <w:sz w:val="22"/>
                <w:highlight w:val="none"/>
              </w:rPr>
              <w:t>和职称</w:t>
            </w:r>
          </w:p>
        </w:tc>
        <w:tc>
          <w:tcPr>
            <w:tcW w:w="1651" w:type="dxa"/>
            <w:vAlign w:val="center"/>
          </w:tcPr>
          <w:p>
            <w:pPr>
              <w:jc w:val="center"/>
              <w:rPr>
                <w:b/>
                <w:bCs/>
                <w:color w:val="auto"/>
                <w:sz w:val="22"/>
                <w:highlight w:val="none"/>
              </w:rPr>
            </w:pPr>
            <w:r>
              <w:rPr>
                <w:b/>
                <w:bCs/>
                <w:color w:val="auto"/>
                <w:sz w:val="22"/>
                <w:highlight w:val="none"/>
              </w:rPr>
              <w:t>联系方式</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jc w:val="center"/>
              <w:rPr>
                <w:color w:val="auto"/>
                <w:sz w:val="22"/>
                <w:highlight w:val="none"/>
              </w:rPr>
            </w:pPr>
          </w:p>
        </w:tc>
        <w:tc>
          <w:tcPr>
            <w:tcW w:w="2520" w:type="dxa"/>
            <w:vAlign w:val="center"/>
          </w:tcPr>
          <w:p>
            <w:pPr>
              <w:jc w:val="center"/>
              <w:rPr>
                <w:rFonts w:hint="eastAsia"/>
                <w:b/>
                <w:bCs/>
                <w:color w:val="auto"/>
                <w:sz w:val="22"/>
                <w:highlight w:val="none"/>
              </w:rPr>
            </w:pPr>
            <w:r>
              <w:rPr>
                <w:rFonts w:hint="eastAsia"/>
                <w:b/>
                <w:bCs/>
                <w:color w:val="auto"/>
                <w:sz w:val="22"/>
                <w:highlight w:val="none"/>
              </w:rPr>
              <w:t>项目负责人</w:t>
            </w:r>
          </w:p>
        </w:tc>
        <w:tc>
          <w:tcPr>
            <w:tcW w:w="720" w:type="dxa"/>
            <w:vAlign w:val="center"/>
          </w:tcPr>
          <w:p>
            <w:pPr>
              <w:spacing w:line="360" w:lineRule="auto"/>
              <w:jc w:val="center"/>
              <w:rPr>
                <w:color w:val="auto"/>
                <w:sz w:val="22"/>
                <w:highlight w:val="none"/>
              </w:rPr>
            </w:pPr>
          </w:p>
        </w:tc>
        <w:tc>
          <w:tcPr>
            <w:tcW w:w="720" w:type="dxa"/>
            <w:vAlign w:val="center"/>
          </w:tcPr>
          <w:p>
            <w:pPr>
              <w:spacing w:line="360" w:lineRule="auto"/>
              <w:jc w:val="center"/>
              <w:rPr>
                <w:color w:val="auto"/>
                <w:sz w:val="22"/>
                <w:highlight w:val="none"/>
              </w:rPr>
            </w:pPr>
          </w:p>
        </w:tc>
        <w:tc>
          <w:tcPr>
            <w:tcW w:w="720" w:type="dxa"/>
            <w:vAlign w:val="center"/>
          </w:tcPr>
          <w:p>
            <w:pPr>
              <w:spacing w:line="360" w:lineRule="auto"/>
              <w:jc w:val="center"/>
              <w:rPr>
                <w:color w:val="auto"/>
                <w:sz w:val="22"/>
                <w:highlight w:val="none"/>
              </w:rPr>
            </w:pPr>
          </w:p>
        </w:tc>
        <w:tc>
          <w:tcPr>
            <w:tcW w:w="1080" w:type="dxa"/>
            <w:vAlign w:val="center"/>
          </w:tcPr>
          <w:p>
            <w:pPr>
              <w:spacing w:line="360" w:lineRule="auto"/>
              <w:jc w:val="center"/>
              <w:rPr>
                <w:color w:val="auto"/>
                <w:sz w:val="22"/>
                <w:highlight w:val="none"/>
              </w:rPr>
            </w:pPr>
          </w:p>
        </w:tc>
        <w:tc>
          <w:tcPr>
            <w:tcW w:w="1080" w:type="dxa"/>
            <w:vAlign w:val="center"/>
          </w:tcPr>
          <w:p>
            <w:pPr>
              <w:pStyle w:val="26"/>
              <w:spacing w:line="360" w:lineRule="auto"/>
              <w:ind w:left="5250"/>
              <w:jc w:val="center"/>
              <w:rPr>
                <w:color w:val="auto"/>
                <w:sz w:val="22"/>
                <w:highlight w:val="none"/>
              </w:rPr>
            </w:pPr>
          </w:p>
        </w:tc>
        <w:tc>
          <w:tcPr>
            <w:tcW w:w="1651" w:type="dxa"/>
            <w:vAlign w:val="center"/>
          </w:tcPr>
          <w:p>
            <w:pPr>
              <w:spacing w:line="360" w:lineRule="auto"/>
              <w:jc w:val="center"/>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6" w:hRule="atLeast"/>
        </w:trPr>
        <w:tc>
          <w:tcPr>
            <w:tcW w:w="734" w:type="dxa"/>
            <w:vAlign w:val="center"/>
          </w:tcPr>
          <w:p>
            <w:pPr>
              <w:spacing w:line="360" w:lineRule="auto"/>
              <w:rPr>
                <w:color w:val="auto"/>
                <w:sz w:val="22"/>
                <w:highlight w:val="none"/>
              </w:rPr>
            </w:pPr>
          </w:p>
        </w:tc>
        <w:tc>
          <w:tcPr>
            <w:tcW w:w="25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72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080" w:type="dxa"/>
            <w:vAlign w:val="center"/>
          </w:tcPr>
          <w:p>
            <w:pPr>
              <w:spacing w:line="360" w:lineRule="auto"/>
              <w:rPr>
                <w:color w:val="auto"/>
                <w:sz w:val="22"/>
                <w:highlight w:val="none"/>
              </w:rPr>
            </w:pPr>
          </w:p>
        </w:tc>
        <w:tc>
          <w:tcPr>
            <w:tcW w:w="1651" w:type="dxa"/>
            <w:vAlign w:val="center"/>
          </w:tcPr>
          <w:p>
            <w:pPr>
              <w:spacing w:line="360" w:lineRule="auto"/>
              <w:rPr>
                <w:color w:val="auto"/>
                <w:sz w:val="22"/>
                <w:highlight w:val="none"/>
              </w:rPr>
            </w:pPr>
          </w:p>
        </w:tc>
      </w:tr>
    </w:tbl>
    <w:p>
      <w:pPr>
        <w:snapToGrid w:val="0"/>
        <w:spacing w:line="460" w:lineRule="atLeast"/>
        <w:rPr>
          <w:color w:val="auto"/>
          <w:sz w:val="22"/>
          <w:szCs w:val="22"/>
          <w:highlight w:val="none"/>
        </w:rPr>
      </w:pPr>
      <w:r>
        <w:rPr>
          <w:color w:val="auto"/>
          <w:sz w:val="22"/>
          <w:szCs w:val="22"/>
          <w:highlight w:val="none"/>
        </w:rPr>
        <w:t>注：</w:t>
      </w:r>
      <w:r>
        <w:rPr>
          <w:rFonts w:hint="eastAsia"/>
          <w:color w:val="auto"/>
          <w:sz w:val="22"/>
          <w:szCs w:val="22"/>
          <w:highlight w:val="none"/>
        </w:rPr>
        <w:t xml:space="preserve"> </w:t>
      </w:r>
      <w:r>
        <w:rPr>
          <w:color w:val="auto"/>
          <w:sz w:val="22"/>
          <w:szCs w:val="22"/>
          <w:highlight w:val="none"/>
        </w:rPr>
        <w:t>1、本表人员有</w:t>
      </w:r>
      <w:r>
        <w:rPr>
          <w:rFonts w:hint="eastAsia"/>
          <w:color w:val="auto"/>
          <w:sz w:val="22"/>
          <w:szCs w:val="22"/>
          <w:highlight w:val="none"/>
        </w:rPr>
        <w:t>相关</w:t>
      </w:r>
      <w:r>
        <w:rPr>
          <w:color w:val="auto"/>
          <w:sz w:val="22"/>
          <w:szCs w:val="22"/>
          <w:highlight w:val="none"/>
        </w:rPr>
        <w:t>证书的应随表提交</w:t>
      </w:r>
      <w:r>
        <w:rPr>
          <w:rFonts w:hint="eastAsia"/>
          <w:color w:val="auto"/>
          <w:sz w:val="22"/>
          <w:szCs w:val="22"/>
          <w:highlight w:val="none"/>
        </w:rPr>
        <w:t>相关</w:t>
      </w:r>
      <w:r>
        <w:rPr>
          <w:color w:val="auto"/>
          <w:sz w:val="22"/>
          <w:szCs w:val="22"/>
          <w:highlight w:val="none"/>
        </w:rPr>
        <w:t>证书复印件加盖公章。</w:t>
      </w:r>
    </w:p>
    <w:p>
      <w:pPr>
        <w:snapToGrid w:val="0"/>
        <w:spacing w:line="460" w:lineRule="atLeast"/>
        <w:ind w:firstLine="550" w:firstLineChars="250"/>
        <w:rPr>
          <w:rFonts w:hint="eastAsia"/>
          <w:color w:val="auto"/>
          <w:sz w:val="22"/>
          <w:szCs w:val="22"/>
          <w:highlight w:val="none"/>
        </w:rPr>
      </w:pPr>
      <w:r>
        <w:rPr>
          <w:rFonts w:hint="eastAsia"/>
          <w:color w:val="auto"/>
          <w:sz w:val="22"/>
          <w:szCs w:val="22"/>
          <w:highlight w:val="none"/>
        </w:rPr>
        <w:t>2</w:t>
      </w:r>
      <w:r>
        <w:rPr>
          <w:color w:val="auto"/>
          <w:sz w:val="22"/>
          <w:szCs w:val="22"/>
          <w:highlight w:val="none"/>
        </w:rPr>
        <w:t>、列入本表人员如要更换，需经</w:t>
      </w:r>
      <w:r>
        <w:rPr>
          <w:rFonts w:hint="eastAsia"/>
          <w:color w:val="auto"/>
          <w:sz w:val="22"/>
          <w:szCs w:val="22"/>
          <w:highlight w:val="none"/>
        </w:rPr>
        <w:t>采购</w:t>
      </w:r>
      <w:r>
        <w:rPr>
          <w:color w:val="auto"/>
          <w:sz w:val="22"/>
          <w:szCs w:val="22"/>
          <w:highlight w:val="none"/>
        </w:rPr>
        <w:t>人同意</w:t>
      </w:r>
      <w:r>
        <w:rPr>
          <w:rFonts w:hint="eastAsia"/>
          <w:color w:val="auto"/>
          <w:sz w:val="22"/>
          <w:szCs w:val="22"/>
          <w:highlight w:val="none"/>
        </w:rPr>
        <w:t>，</w:t>
      </w:r>
      <w:r>
        <w:rPr>
          <w:color w:val="auto"/>
          <w:sz w:val="22"/>
          <w:szCs w:val="22"/>
          <w:highlight w:val="none"/>
        </w:rPr>
        <w:t>擅自更换或不到位属违约行为。</w:t>
      </w:r>
    </w:p>
    <w:p>
      <w:pPr>
        <w:snapToGrid w:val="0"/>
        <w:spacing w:line="460" w:lineRule="atLeast"/>
        <w:ind w:firstLine="550" w:firstLineChars="250"/>
        <w:rPr>
          <w:rFonts w:hint="eastAsia"/>
          <w:color w:val="auto"/>
          <w:sz w:val="22"/>
          <w:szCs w:val="22"/>
          <w:highlight w:val="none"/>
        </w:rPr>
      </w:pPr>
      <w:r>
        <w:rPr>
          <w:rFonts w:hint="eastAsia"/>
          <w:color w:val="auto"/>
          <w:sz w:val="22"/>
          <w:szCs w:val="22"/>
          <w:highlight w:val="none"/>
        </w:rPr>
        <w:t>3、表格可以延续</w:t>
      </w:r>
      <w:r>
        <w:rPr>
          <w:color w:val="auto"/>
          <w:sz w:val="22"/>
          <w:szCs w:val="22"/>
          <w:highlight w:val="none"/>
        </w:rPr>
        <w:t>。</w:t>
      </w:r>
    </w:p>
    <w:p>
      <w:pPr>
        <w:spacing w:line="460" w:lineRule="atLeast"/>
        <w:ind w:firstLine="480"/>
        <w:rPr>
          <w:color w:val="auto"/>
          <w:spacing w:val="20"/>
          <w:sz w:val="22"/>
          <w:szCs w:val="22"/>
          <w:highlight w:val="none"/>
        </w:rPr>
      </w:pPr>
    </w:p>
    <w:p>
      <w:pPr>
        <w:autoSpaceDE w:val="0"/>
        <w:autoSpaceDN w:val="0"/>
        <w:spacing w:line="460" w:lineRule="atLeast"/>
        <w:rPr>
          <w:rFonts w:hint="eastAsia"/>
          <w:color w:val="auto"/>
          <w:sz w:val="22"/>
          <w:highlight w:val="none"/>
          <w:lang w:val="zh-CN"/>
        </w:rPr>
      </w:pPr>
      <w:r>
        <w:rPr>
          <w:rFonts w:hint="eastAsia"/>
          <w:color w:val="auto"/>
          <w:sz w:val="22"/>
          <w:highlight w:val="none"/>
          <w:lang w:val="zh-CN"/>
        </w:rPr>
        <w:t>投标供应商盖章：</w:t>
      </w:r>
    </w:p>
    <w:p>
      <w:pPr>
        <w:autoSpaceDE w:val="0"/>
        <w:autoSpaceDN w:val="0"/>
        <w:spacing w:line="460" w:lineRule="atLeast"/>
        <w:rPr>
          <w:rFonts w:hint="eastAsia"/>
          <w:color w:val="auto"/>
          <w:sz w:val="22"/>
          <w:highlight w:val="none"/>
          <w:lang w:val="zh-CN"/>
        </w:rPr>
      </w:pPr>
      <w:r>
        <w:rPr>
          <w:rFonts w:hint="eastAsia"/>
          <w:color w:val="auto"/>
          <w:sz w:val="22"/>
          <w:highlight w:val="none"/>
          <w:lang w:val="zh-CN"/>
        </w:rPr>
        <w:t>法定代表人（负责人）或授权代表（签字或盖章）：</w:t>
      </w:r>
      <w:r>
        <w:rPr>
          <w:color w:val="auto"/>
          <w:sz w:val="22"/>
          <w:highlight w:val="none"/>
          <w:lang w:val="zh-CN"/>
        </w:rPr>
        <w:t xml:space="preserve">            </w:t>
      </w:r>
    </w:p>
    <w:p>
      <w:pPr>
        <w:autoSpaceDE w:val="0"/>
        <w:autoSpaceDN w:val="0"/>
        <w:spacing w:line="460" w:lineRule="atLeast"/>
        <w:rPr>
          <w:rFonts w:hint="eastAsia"/>
          <w:color w:val="auto"/>
          <w:sz w:val="22"/>
          <w:highlight w:val="none"/>
          <w:lang w:val="zh-CN"/>
        </w:rPr>
      </w:pPr>
      <w:r>
        <w:rPr>
          <w:rFonts w:hint="eastAsia"/>
          <w:color w:val="auto"/>
          <w:sz w:val="22"/>
          <w:highlight w:val="none"/>
          <w:lang w:val="zh-CN"/>
        </w:rPr>
        <w:t>日期：</w:t>
      </w:r>
    </w:p>
    <w:p>
      <w:pPr>
        <w:rPr>
          <w:rFonts w:hint="eastAsia"/>
          <w:color w:val="auto"/>
          <w:sz w:val="36"/>
          <w:szCs w:val="36"/>
          <w:highlight w:val="none"/>
        </w:rPr>
      </w:pPr>
    </w:p>
    <w:p>
      <w:pPr>
        <w:rPr>
          <w:rFonts w:hint="eastAsia"/>
          <w:color w:val="auto"/>
          <w:sz w:val="36"/>
          <w:szCs w:val="36"/>
          <w:highlight w:val="none"/>
        </w:rPr>
      </w:pPr>
    </w:p>
    <w:p>
      <w:pPr>
        <w:tabs>
          <w:tab w:val="left" w:pos="1575"/>
        </w:tabs>
        <w:snapToGrid w:val="0"/>
        <w:spacing w:line="360" w:lineRule="auto"/>
        <w:jc w:val="center"/>
        <w:rPr>
          <w:rFonts w:hint="eastAsia" w:eastAsia="新宋体"/>
          <w:b/>
          <w:color w:val="auto"/>
          <w:sz w:val="36"/>
          <w:szCs w:val="36"/>
          <w:highlight w:val="none"/>
        </w:rPr>
      </w:pPr>
    </w:p>
    <w:p>
      <w:pPr>
        <w:pStyle w:val="11"/>
        <w:rPr>
          <w:rFonts w:hint="eastAsia" w:eastAsia="新宋体"/>
          <w:color w:val="auto"/>
          <w:sz w:val="36"/>
          <w:szCs w:val="36"/>
          <w:highlight w:val="none"/>
        </w:rPr>
      </w:pPr>
    </w:p>
    <w:p>
      <w:pPr>
        <w:rPr>
          <w:rFonts w:hint="eastAsia"/>
          <w:color w:val="auto"/>
          <w:highlight w:val="none"/>
        </w:rPr>
      </w:pPr>
    </w:p>
    <w:p>
      <w:pPr>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1</w:t>
      </w:r>
      <w:r>
        <w:rPr>
          <w:rFonts w:hint="eastAsia"/>
          <w:b/>
          <w:color w:val="auto"/>
          <w:sz w:val="32"/>
          <w:highlight w:val="none"/>
          <w:lang w:val="en-US" w:eastAsia="zh-CN"/>
        </w:rPr>
        <w:t>0</w:t>
      </w:r>
      <w:r>
        <w:rPr>
          <w:rFonts w:hint="eastAsia"/>
          <w:b/>
          <w:color w:val="auto"/>
          <w:sz w:val="32"/>
          <w:highlight w:val="none"/>
          <w:lang w:val="zh-CN"/>
        </w:rPr>
        <w:t>供应商认为有必要提供的其他材料或说明（如有）</w:t>
      </w:r>
    </w:p>
    <w:p>
      <w:pPr>
        <w:pStyle w:val="14"/>
        <w:rPr>
          <w:color w:val="auto"/>
          <w:highlight w:val="none"/>
        </w:rPr>
      </w:pPr>
    </w:p>
    <w:p>
      <w:pPr>
        <w:spacing w:line="360" w:lineRule="auto"/>
        <w:jc w:val="center"/>
        <w:rPr>
          <w:rFonts w:hint="eastAsia"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rPr>
          <w:rFonts w:hint="eastAsia" w:ascii="仿宋" w:hAnsi="仿宋" w:eastAsia="仿宋"/>
          <w:b/>
          <w:color w:val="auto"/>
          <w:szCs w:val="22"/>
          <w:highlight w:val="none"/>
        </w:rPr>
      </w:pPr>
      <w:r>
        <w:rPr>
          <w:rFonts w:hint="eastAsia" w:ascii="仿宋" w:hAnsi="仿宋" w:eastAsia="仿宋"/>
          <w:b/>
          <w:color w:val="auto"/>
          <w:szCs w:val="22"/>
          <w:highlight w:val="none"/>
        </w:rPr>
        <w:t>项目</w:t>
      </w:r>
      <w:r>
        <w:rPr>
          <w:rFonts w:ascii="仿宋" w:hAnsi="仿宋" w:eastAsia="仿宋"/>
          <w:b/>
          <w:color w:val="auto"/>
          <w:szCs w:val="22"/>
          <w:highlight w:val="none"/>
        </w:rPr>
        <w:t>名称：</w:t>
      </w:r>
      <w:r>
        <w:rPr>
          <w:rFonts w:hint="eastAsia" w:ascii="仿宋" w:hAnsi="仿宋" w:eastAsia="仿宋"/>
          <w:b/>
          <w:color w:val="auto"/>
          <w:szCs w:val="22"/>
          <w:highlight w:val="none"/>
          <w:u w:val="single"/>
        </w:rPr>
        <w:t xml:space="preserve">     </w:t>
      </w:r>
      <w:r>
        <w:rPr>
          <w:rFonts w:hint="eastAsia" w:ascii="仿宋" w:hAnsi="仿宋" w:eastAsia="仿宋"/>
          <w:b/>
          <w:color w:val="auto"/>
          <w:highlight w:val="none"/>
          <w:u w:val="single"/>
        </w:rPr>
        <w:t xml:space="preserve"> </w:t>
      </w:r>
      <w:r>
        <w:rPr>
          <w:rFonts w:hint="eastAsia" w:ascii="仿宋" w:hAnsi="仿宋" w:eastAsia="仿宋"/>
          <w:b/>
          <w:color w:val="auto"/>
          <w:szCs w:val="22"/>
          <w:highlight w:val="none"/>
          <w:lang w:val="en-US" w:eastAsia="zh-CN"/>
        </w:rPr>
        <w:t xml:space="preserve">  </w:t>
      </w:r>
    </w:p>
    <w:p>
      <w:pPr>
        <w:spacing w:line="360" w:lineRule="auto"/>
        <w:rPr>
          <w:rFonts w:ascii="仿宋" w:hAnsi="仿宋" w:eastAsia="仿宋"/>
          <w:b/>
          <w:color w:val="auto"/>
          <w:szCs w:val="22"/>
          <w:highlight w:val="none"/>
        </w:rPr>
      </w:pPr>
      <w:r>
        <w:rPr>
          <w:rFonts w:ascii="仿宋" w:hAnsi="仿宋" w:eastAsia="仿宋"/>
          <w:b/>
          <w:color w:val="auto"/>
          <w:szCs w:val="22"/>
          <w:highlight w:val="none"/>
        </w:rPr>
        <w:t>项目编号：</w:t>
      </w:r>
      <w:r>
        <w:rPr>
          <w:rFonts w:hint="eastAsia" w:ascii="仿宋" w:hAnsi="仿宋" w:eastAsia="仿宋"/>
          <w:b/>
          <w:color w:val="auto"/>
          <w:szCs w:val="22"/>
          <w:highlight w:val="none"/>
          <w:u w:val="single"/>
        </w:rPr>
        <w:t xml:space="preserve">     </w:t>
      </w:r>
      <w:r>
        <w:rPr>
          <w:rFonts w:hint="eastAsia" w:ascii="仿宋" w:hAnsi="仿宋" w:eastAsia="仿宋"/>
          <w:b/>
          <w:color w:val="auto"/>
          <w:highlight w:val="none"/>
          <w:u w:val="single"/>
        </w:rPr>
        <w:t xml:space="preserve"> </w:t>
      </w:r>
    </w:p>
    <w:tbl>
      <w:tblPr>
        <w:tblStyle w:val="8"/>
        <w:tblW w:w="0" w:type="auto"/>
        <w:tblInd w:w="-108"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9145"/>
      </w:tblGrid>
      <w:tr>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PrEx>
        <w:trPr>
          <w:trHeight w:val="8632" w:hRule="atLeast"/>
        </w:trPr>
        <w:tc>
          <w:tcPr>
            <w:tcW w:w="9145" w:type="dxa"/>
            <w:vAlign w:val="top"/>
          </w:tcPr>
          <w:p>
            <w:pPr>
              <w:spacing w:line="360" w:lineRule="auto"/>
              <w:rPr>
                <w:rFonts w:ascii="Arial" w:hAnsi="新宋体" w:eastAsia="新宋体"/>
                <w:color w:val="auto"/>
                <w:szCs w:val="21"/>
                <w:highlight w:val="none"/>
              </w:rPr>
            </w:pPr>
          </w:p>
        </w:tc>
      </w:tr>
    </w:tbl>
    <w:p>
      <w:pPr>
        <w:snapToGrid w:val="0"/>
        <w:spacing w:line="360" w:lineRule="auto"/>
        <w:rPr>
          <w:rFonts w:hint="eastAsia" w:ascii="仿宋" w:hAnsi="仿宋" w:eastAsia="仿宋"/>
          <w:color w:val="auto"/>
          <w:highlight w:val="none"/>
        </w:rPr>
      </w:pPr>
      <w:r>
        <w:rPr>
          <w:rFonts w:hint="eastAsia" w:ascii="仿宋" w:hAnsi="仿宋" w:eastAsia="仿宋"/>
          <w:color w:val="auto"/>
          <w:highlight w:val="none"/>
        </w:rPr>
        <w:t>供应商名称（盖章）：</w:t>
      </w:r>
      <w:r>
        <w:rPr>
          <w:rFonts w:ascii="仿宋" w:hAnsi="仿宋" w:eastAsia="仿宋"/>
          <w:color w:val="auto"/>
          <w:highlight w:val="none"/>
        </w:rPr>
        <w:t>____________________________________________</w:t>
      </w:r>
    </w:p>
    <w:p>
      <w:pPr>
        <w:snapToGrid w:val="0"/>
        <w:spacing w:line="360" w:lineRule="auto"/>
        <w:rPr>
          <w:rFonts w:hint="eastAsia" w:ascii="仿宋" w:hAnsi="仿宋" w:eastAsia="仿宋"/>
          <w:color w:val="auto"/>
          <w:highlight w:val="none"/>
        </w:rPr>
      </w:pPr>
      <w:r>
        <w:rPr>
          <w:rFonts w:hint="eastAsia" w:ascii="仿宋" w:hAnsi="仿宋" w:eastAsia="仿宋"/>
          <w:color w:val="auto"/>
          <w:highlight w:val="none"/>
        </w:rPr>
        <w:t>法定代表人或其授权代表（签字或盖章）：</w:t>
      </w:r>
      <w:r>
        <w:rPr>
          <w:rFonts w:ascii="仿宋" w:hAnsi="仿宋" w:eastAsia="仿宋"/>
          <w:color w:val="auto"/>
          <w:highlight w:val="none"/>
        </w:rPr>
        <w:t>____________________________</w:t>
      </w:r>
    </w:p>
    <w:p>
      <w:pPr>
        <w:spacing w:line="360" w:lineRule="auto"/>
        <w:rPr>
          <w:rFonts w:hint="eastAsia" w:ascii="仿宋" w:hAnsi="仿宋" w:eastAsia="仿宋"/>
          <w:color w:val="auto"/>
          <w:highlight w:val="none"/>
        </w:rPr>
      </w:pPr>
      <w:r>
        <w:rPr>
          <w:rFonts w:hint="eastAsia" w:ascii="仿宋" w:hAnsi="仿宋" w:eastAsia="仿宋"/>
          <w:color w:val="auto"/>
          <w:highlight w:val="none"/>
        </w:rPr>
        <w:t>日期：</w:t>
      </w:r>
      <w:r>
        <w:rPr>
          <w:rFonts w:ascii="仿宋" w:hAnsi="仿宋" w:eastAsia="仿宋"/>
          <w:color w:val="auto"/>
          <w:highlight w:val="none"/>
        </w:rPr>
        <w:t>________</w:t>
      </w:r>
      <w:r>
        <w:rPr>
          <w:rFonts w:hint="eastAsia" w:ascii="仿宋" w:hAnsi="仿宋" w:eastAsia="仿宋"/>
          <w:color w:val="auto"/>
          <w:highlight w:val="none"/>
        </w:rPr>
        <w:t>年</w:t>
      </w:r>
      <w:r>
        <w:rPr>
          <w:rFonts w:ascii="仿宋" w:hAnsi="仿宋" w:eastAsia="仿宋"/>
          <w:color w:val="auto"/>
          <w:highlight w:val="none"/>
        </w:rPr>
        <w:t>____</w:t>
      </w:r>
      <w:r>
        <w:rPr>
          <w:rFonts w:hint="eastAsia" w:ascii="仿宋" w:hAnsi="仿宋" w:eastAsia="仿宋"/>
          <w:color w:val="auto"/>
          <w:highlight w:val="none"/>
        </w:rPr>
        <w:t>月</w:t>
      </w:r>
      <w:r>
        <w:rPr>
          <w:rFonts w:ascii="仿宋" w:hAnsi="仿宋" w:eastAsia="仿宋"/>
          <w:color w:val="auto"/>
          <w:highlight w:val="none"/>
        </w:rPr>
        <w:t>____</w:t>
      </w:r>
      <w:r>
        <w:rPr>
          <w:rFonts w:hint="eastAsia" w:ascii="仿宋" w:hAnsi="仿宋" w:eastAsia="仿宋"/>
          <w:color w:val="auto"/>
          <w:highlight w:val="none"/>
        </w:rPr>
        <w:t>日</w:t>
      </w:r>
    </w:p>
    <w:p>
      <w:pPr>
        <w:tabs>
          <w:tab w:val="left" w:pos="1575"/>
        </w:tabs>
        <w:snapToGrid w:val="0"/>
        <w:spacing w:line="360" w:lineRule="auto"/>
        <w:jc w:val="center"/>
        <w:rPr>
          <w:rFonts w:hint="eastAsia" w:eastAsia="新宋体"/>
          <w:b/>
          <w:color w:val="auto"/>
          <w:sz w:val="36"/>
          <w:szCs w:val="36"/>
          <w:highlight w:val="none"/>
        </w:rPr>
      </w:pPr>
    </w:p>
    <w:p>
      <w:pPr>
        <w:tabs>
          <w:tab w:val="left" w:pos="1575"/>
        </w:tabs>
        <w:snapToGrid w:val="0"/>
        <w:spacing w:line="360" w:lineRule="auto"/>
        <w:jc w:val="center"/>
        <w:rPr>
          <w:rFonts w:hint="eastAsia"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hint="eastAsia" w:hAnsi="新宋体"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pPr>
        <w:spacing w:line="360" w:lineRule="auto"/>
        <w:rPr>
          <w:rFonts w:hint="eastAsia" w:hAnsi="新宋体"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pPr>
        <w:spacing w:line="360" w:lineRule="auto"/>
        <w:ind w:firstLine="420" w:firstLineChars="200"/>
        <w:rPr>
          <w:rFonts w:hint="eastAsia" w:hAnsi="新宋体" w:eastAsia="新宋体"/>
          <w:color w:val="auto"/>
          <w:highlight w:val="none"/>
        </w:rPr>
      </w:pPr>
    </w:p>
    <w:p>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一、本公司所提供的服务均符合法律法规以及行业相关质量标准；</w:t>
      </w:r>
    </w:p>
    <w:p>
      <w:pPr>
        <w:spacing w:line="360" w:lineRule="auto"/>
        <w:rPr>
          <w:rFonts w:hint="eastAsia" w:eastAsia="新宋体"/>
          <w:color w:val="auto"/>
          <w:highlight w:val="none"/>
        </w:rPr>
      </w:pPr>
    </w:p>
    <w:p>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二、在招标文件要求的质保期内，无条件服务直至满足使用方的项目使用需求；</w:t>
      </w:r>
    </w:p>
    <w:p>
      <w:pPr>
        <w:spacing w:line="360" w:lineRule="auto"/>
        <w:rPr>
          <w:rFonts w:hint="eastAsia" w:eastAsia="新宋体"/>
          <w:color w:val="auto"/>
          <w:highlight w:val="none"/>
        </w:rPr>
      </w:pPr>
    </w:p>
    <w:p>
      <w:pPr>
        <w:spacing w:line="360" w:lineRule="auto"/>
        <w:ind w:firstLine="420" w:firstLineChars="200"/>
        <w:rPr>
          <w:rFonts w:hint="eastAsia"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pPr>
        <w:spacing w:line="360" w:lineRule="auto"/>
        <w:ind w:firstLine="420" w:firstLineChars="200"/>
        <w:rPr>
          <w:rFonts w:hint="eastAsia" w:hAnsi="新宋体" w:eastAsia="新宋体"/>
          <w:color w:val="auto"/>
          <w:highlight w:val="none"/>
        </w:rPr>
      </w:pPr>
    </w:p>
    <w:p>
      <w:pPr>
        <w:spacing w:line="360" w:lineRule="auto"/>
        <w:ind w:firstLine="420" w:firstLineChars="200"/>
        <w:rPr>
          <w:rFonts w:hint="eastAsia" w:eastAsia="新宋体"/>
          <w:color w:val="auto"/>
          <w:highlight w:val="none"/>
        </w:rPr>
      </w:pPr>
    </w:p>
    <w:p>
      <w:pPr>
        <w:spacing w:line="360" w:lineRule="auto"/>
        <w:ind w:firstLine="420" w:firstLineChars="200"/>
        <w:rPr>
          <w:rFonts w:hint="eastAsia" w:eastAsia="新宋体"/>
          <w:color w:val="auto"/>
          <w:highlight w:val="none"/>
        </w:rPr>
      </w:pPr>
    </w:p>
    <w:p>
      <w:pPr>
        <w:spacing w:line="360" w:lineRule="auto"/>
        <w:ind w:firstLine="420" w:firstLineChars="200"/>
        <w:rPr>
          <w:rFonts w:hint="eastAsia" w:eastAsia="新宋体"/>
          <w:color w:val="auto"/>
          <w:highlight w:val="none"/>
        </w:rPr>
      </w:pPr>
    </w:p>
    <w:p>
      <w:pP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pP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hint="eastAsia" w:hAnsi="新宋体"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pPr>
        <w:tabs>
          <w:tab w:val="left" w:pos="1260"/>
        </w:tabs>
        <w:spacing w:line="360" w:lineRule="auto"/>
        <w:ind w:right="480"/>
        <w:rPr>
          <w:rFonts w:hint="eastAsia" w:hAnsi="新宋体" w:eastAsia="新宋体"/>
          <w:color w:val="auto"/>
          <w:highlight w:val="none"/>
        </w:rPr>
      </w:pPr>
      <w:r>
        <w:rPr>
          <w:rFonts w:hint="eastAsia" w:hAnsi="新宋体" w:eastAsia="新宋体"/>
          <w:color w:val="auto"/>
          <w:highlight w:val="none"/>
        </w:rPr>
        <w:t>供应商名称（公章）：</w:t>
      </w:r>
      <w:r>
        <w:rPr>
          <w:rFonts w:hint="eastAsia" w:hAnsi="新宋体" w:eastAsia="新宋体"/>
          <w:color w:val="auto"/>
          <w:highlight w:val="none"/>
          <w:u w:val="single"/>
        </w:rPr>
        <w:t>　　　　　　</w:t>
      </w:r>
    </w:p>
    <w:p>
      <w:pPr>
        <w:tabs>
          <w:tab w:val="left" w:pos="1260"/>
        </w:tabs>
        <w:spacing w:line="360" w:lineRule="auto"/>
        <w:ind w:right="480"/>
        <w:rPr>
          <w:rFonts w:hint="eastAsia" w:hAnsi="新宋体" w:eastAsia="新宋体"/>
          <w:color w:val="auto"/>
          <w:highlight w:val="none"/>
        </w:rPr>
      </w:pPr>
      <w:r>
        <w:rPr>
          <w:rFonts w:hint="eastAsia" w:hAnsi="新宋体" w:eastAsia="新宋体"/>
          <w:color w:val="auto"/>
          <w:highlight w:val="none"/>
        </w:rPr>
        <w:t>法定代表人（负责人）或授权代表（签字或盖章）：</w:t>
      </w: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4"/>
        <w:snapToGrid w:val="0"/>
        <w:spacing w:line="400" w:lineRule="exact"/>
        <w:rPr>
          <w:rFonts w:hint="eastAsia" w:hAnsi="宋体" w:eastAsia="新宋体"/>
          <w:color w:val="auto"/>
          <w:sz w:val="24"/>
          <w:highlight w:val="none"/>
        </w:rPr>
      </w:pPr>
    </w:p>
    <w:p>
      <w:pPr>
        <w:pStyle w:val="25"/>
        <w:rPr>
          <w:rFonts w:hint="eastAsia" w:hAnsi="宋体" w:eastAsia="新宋体"/>
          <w:color w:val="auto"/>
          <w:sz w:val="24"/>
          <w:highlight w:val="none"/>
        </w:rPr>
      </w:pPr>
    </w:p>
    <w:p>
      <w:pPr>
        <w:rPr>
          <w:rFonts w:hint="eastAsia" w:hAnsi="宋体" w:eastAsia="新宋体"/>
          <w:color w:val="auto"/>
          <w:sz w:val="24"/>
          <w:highlight w:val="none"/>
        </w:rPr>
      </w:pPr>
    </w:p>
    <w:p>
      <w:pPr>
        <w:pStyle w:val="11"/>
        <w:rPr>
          <w:rFonts w:hint="eastAsia" w:hAnsi="宋体" w:eastAsia="新宋体"/>
          <w:color w:val="auto"/>
          <w:sz w:val="24"/>
          <w:highlight w:val="none"/>
        </w:rPr>
      </w:pPr>
    </w:p>
    <w:p>
      <w:pPr>
        <w:rPr>
          <w:rFonts w:hint="eastAsia" w:hAnsi="宋体" w:eastAsia="新宋体"/>
          <w:color w:val="auto"/>
          <w:sz w:val="24"/>
          <w:highlight w:val="none"/>
        </w:rPr>
      </w:pPr>
    </w:p>
    <w:p>
      <w:pPr>
        <w:pStyle w:val="11"/>
        <w:rPr>
          <w:rFonts w:hint="eastAsia"/>
          <w:color w:val="auto"/>
          <w:highlight w:val="none"/>
        </w:rPr>
      </w:pPr>
    </w:p>
    <w:p>
      <w:pPr>
        <w:spacing w:line="360" w:lineRule="auto"/>
        <w:jc w:val="center"/>
        <w:rPr>
          <w:rFonts w:hint="eastAsia" w:ascii="新宋体" w:hAnsi="新宋体" w:eastAsia="新宋体"/>
          <w:b/>
          <w:color w:val="auto"/>
          <w:sz w:val="28"/>
          <w:szCs w:val="28"/>
          <w:highlight w:val="none"/>
        </w:rPr>
      </w:pPr>
    </w:p>
    <w:p>
      <w:pPr>
        <w:spacing w:line="360" w:lineRule="auto"/>
        <w:jc w:val="center"/>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pPr>
        <w:spacing w:line="520" w:lineRule="exact"/>
        <w:ind w:right="-153" w:rightChars="-73"/>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pPr>
        <w:spacing w:line="500" w:lineRule="exact"/>
        <w:ind w:firstLine="440" w:firstLineChars="200"/>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平阳县县属国有企业采购管理办法（试行）》等法律及有关法规相关规定以及有关廉洁要求，特承诺如下事项：</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pPr>
        <w:snapToGrid w:val="0"/>
        <w:spacing w:line="500" w:lineRule="exact"/>
        <w:ind w:firstLine="385" w:firstLineChars="175"/>
        <w:rPr>
          <w:rFonts w:hint="eastAsia" w:ascii="新宋体" w:hAnsi="新宋体" w:eastAsia="新宋体"/>
          <w:color w:val="auto"/>
          <w:sz w:val="22"/>
          <w:szCs w:val="22"/>
          <w:highlight w:val="none"/>
        </w:rPr>
      </w:pPr>
    </w:p>
    <w:p>
      <w:pP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供应商全称(盖章)</w:t>
      </w:r>
      <w:r>
        <w:rPr>
          <w:rFonts w:hint="eastAsia" w:ascii="新宋体" w:hAnsi="新宋体" w:eastAsia="新宋体"/>
          <w:color w:val="auto"/>
          <w:sz w:val="22"/>
          <w:szCs w:val="22"/>
          <w:highlight w:val="none"/>
          <w:u w:val="single"/>
        </w:rPr>
        <w:t xml:space="preserve">                    </w:t>
      </w:r>
    </w:p>
    <w:p>
      <w:pP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法定代表人（负责人）或授权代表（签字或签章）</w:t>
      </w:r>
      <w:r>
        <w:rPr>
          <w:rFonts w:hint="eastAsia" w:ascii="新宋体" w:hAnsi="新宋体" w:eastAsia="新宋体"/>
          <w:color w:val="auto"/>
          <w:sz w:val="22"/>
          <w:szCs w:val="22"/>
          <w:highlight w:val="none"/>
          <w:u w:val="single"/>
        </w:rPr>
        <w:t xml:space="preserve">          </w:t>
      </w:r>
    </w:p>
    <w:p>
      <w:pPr>
        <w:spacing w:line="440" w:lineRule="exact"/>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日 期</w:t>
      </w:r>
      <w:r>
        <w:rPr>
          <w:rFonts w:hint="eastAsia" w:ascii="新宋体" w:hAnsi="新宋体" w:eastAsia="新宋体"/>
          <w:color w:val="auto"/>
          <w:sz w:val="22"/>
          <w:szCs w:val="22"/>
          <w:highlight w:val="none"/>
          <w:u w:val="single"/>
        </w:rPr>
        <w:t xml:space="preserve">                               </w:t>
      </w:r>
    </w:p>
    <w:p>
      <w:pPr>
        <w:pStyle w:val="24"/>
        <w:snapToGrid w:val="0"/>
        <w:spacing w:line="460" w:lineRule="atLeast"/>
        <w:rPr>
          <w:rFonts w:hAnsi="宋体"/>
          <w:color w:val="auto"/>
          <w:sz w:val="30"/>
          <w:highlight w:val="none"/>
        </w:rPr>
      </w:pPr>
    </w:p>
    <w:p>
      <w:pPr>
        <w:pStyle w:val="24"/>
        <w:snapToGrid w:val="0"/>
        <w:spacing w:line="460" w:lineRule="atLeast"/>
        <w:rPr>
          <w:rFonts w:hAnsi="宋体"/>
          <w:color w:val="auto"/>
          <w:sz w:val="30"/>
          <w:highlight w:val="none"/>
        </w:rPr>
      </w:pPr>
    </w:p>
    <w:p>
      <w:pPr>
        <w:autoSpaceDE w:val="0"/>
        <w:autoSpaceDN w:val="0"/>
        <w:snapToGrid w:val="0"/>
        <w:spacing w:line="400" w:lineRule="exact"/>
        <w:jc w:val="both"/>
        <w:rPr>
          <w:rFonts w:hint="eastAsia" w:ascii="宋体" w:hAnsi="宋体"/>
          <w:color w:val="auto"/>
          <w:sz w:val="36"/>
          <w:highlight w:val="none"/>
        </w:rPr>
      </w:pPr>
      <w:r>
        <w:rPr>
          <w:rFonts w:hint="eastAsia" w:ascii="宋体" w:hAnsi="宋体"/>
          <w:color w:val="auto"/>
          <w:sz w:val="36"/>
          <w:highlight w:val="none"/>
        </w:rPr>
        <w:br w:type="page"/>
      </w:r>
    </w:p>
    <w:p>
      <w:pPr>
        <w:autoSpaceDE w:val="0"/>
        <w:autoSpaceDN w:val="0"/>
        <w:snapToGrid w:val="0"/>
        <w:spacing w:line="400" w:lineRule="exact"/>
        <w:jc w:val="center"/>
        <w:rPr>
          <w:rFonts w:hint="eastAsia" w:ascii="宋体" w:hAnsi="宋体"/>
          <w:color w:val="auto"/>
          <w:sz w:val="36"/>
          <w:highlight w:val="none"/>
        </w:rPr>
      </w:pPr>
      <w:r>
        <w:rPr>
          <w:rFonts w:hint="eastAsia" w:ascii="宋体" w:hAnsi="宋体"/>
          <w:color w:val="auto"/>
          <w:sz w:val="36"/>
          <w:highlight w:val="none"/>
        </w:rPr>
        <w:t>第七部分   评标办法</w:t>
      </w:r>
    </w:p>
    <w:p>
      <w:pPr>
        <w:pStyle w:val="27"/>
        <w:snapToGrid w:val="0"/>
        <w:spacing w:line="400" w:lineRule="exact"/>
        <w:rPr>
          <w:rFonts w:hint="eastAsia" w:hAnsi="宋体"/>
          <w:color w:val="auto"/>
          <w:sz w:val="22"/>
          <w:szCs w:val="22"/>
          <w:highlight w:val="none"/>
        </w:rPr>
      </w:pPr>
      <w:r>
        <w:rPr>
          <w:rFonts w:hint="eastAsia" w:hAnsi="宋体"/>
          <w:color w:val="auto"/>
          <w:sz w:val="22"/>
          <w:szCs w:val="22"/>
          <w:highlight w:val="none"/>
        </w:rPr>
        <w:t>根据《平阳县县属国有企业采购管理办法（试行）》等有关政府采购法规，结合本次采购的实际，按照公平、公正、科学、择优的原则选择中标供应商，特制定本评标办法。</w:t>
      </w:r>
    </w:p>
    <w:p>
      <w:pPr>
        <w:pStyle w:val="27"/>
        <w:snapToGrid w:val="0"/>
        <w:spacing w:line="400" w:lineRule="exact"/>
        <w:jc w:val="center"/>
        <w:rPr>
          <w:rFonts w:hint="eastAsia" w:hAnsi="宋体"/>
          <w:color w:val="auto"/>
          <w:sz w:val="22"/>
          <w:szCs w:val="22"/>
          <w:highlight w:val="none"/>
        </w:rPr>
      </w:pPr>
      <w:r>
        <w:rPr>
          <w:rFonts w:hint="eastAsia" w:hAnsi="宋体"/>
          <w:color w:val="auto"/>
          <w:sz w:val="22"/>
          <w:szCs w:val="22"/>
          <w:highlight w:val="none"/>
        </w:rPr>
        <w:t>一、总则</w:t>
      </w:r>
    </w:p>
    <w:p>
      <w:pPr>
        <w:pStyle w:val="27"/>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snapToGrid w:val="0"/>
        <w:spacing w:line="420" w:lineRule="atLeast"/>
        <w:jc w:val="center"/>
        <w:outlineLvl w:val="0"/>
        <w:rPr>
          <w:rFonts w:hint="eastAsia" w:ascii="宋体" w:hAnsi="宋体"/>
          <w:bCs/>
          <w:color w:val="auto"/>
          <w:sz w:val="22"/>
          <w:szCs w:val="22"/>
          <w:highlight w:val="none"/>
        </w:rPr>
      </w:pPr>
      <w:r>
        <w:rPr>
          <w:rFonts w:hint="eastAsia" w:ascii="宋体" w:hAnsi="宋体"/>
          <w:bCs/>
          <w:color w:val="auto"/>
          <w:sz w:val="22"/>
          <w:szCs w:val="22"/>
          <w:highlight w:val="none"/>
        </w:rPr>
        <w:t>二．评标组织</w:t>
      </w:r>
    </w:p>
    <w:p>
      <w:pPr>
        <w:pStyle w:val="27"/>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评标工作由采购机构依法组建的评标委员会负责，评标委员会由采购人依法组建，成员人数应当为</w:t>
      </w:r>
      <w:r>
        <w:rPr>
          <w:rFonts w:hint="eastAsia" w:hAnsi="宋体"/>
          <w:color w:val="auto"/>
          <w:sz w:val="22"/>
          <w:szCs w:val="22"/>
          <w:highlight w:val="none"/>
          <w:lang w:val="en-US" w:eastAsia="zh-CN"/>
        </w:rPr>
        <w:t>5</w:t>
      </w:r>
      <w:r>
        <w:rPr>
          <w:rFonts w:hint="eastAsia" w:hAnsi="宋体"/>
          <w:color w:val="auto"/>
          <w:sz w:val="22"/>
          <w:szCs w:val="22"/>
          <w:highlight w:val="none"/>
        </w:rPr>
        <w:t>人及以上单数，其中评审专家不得少于成员总数的三分之二；评审专家确定方式：按相关规定从专家库中抽取。评标全过程由招标管理部门监督整个开标、评标和定标过程。</w:t>
      </w:r>
    </w:p>
    <w:p>
      <w:pPr>
        <w:pStyle w:val="69"/>
        <w:widowControl w:val="0"/>
        <w:pBdr>
          <w:left w:val="none" w:color="000000" w:sz="0" w:space="0"/>
          <w:bottom w:val="none" w:color="000000" w:sz="0" w:space="0"/>
          <w:right w:val="none" w:color="000000" w:sz="0" w:space="0"/>
        </w:pBdr>
        <w:snapToGrid w:val="0"/>
        <w:spacing w:before="0" w:beforeAutospacing="0" w:after="0" w:afterAutospacing="0" w:line="420" w:lineRule="atLeast"/>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三、评标程序</w:t>
      </w:r>
    </w:p>
    <w:p>
      <w:pPr>
        <w:pStyle w:val="18"/>
        <w:snapToGrid w:val="0"/>
        <w:spacing w:line="420" w:lineRule="atLeast"/>
        <w:ind w:firstLine="440"/>
        <w:rPr>
          <w:rFonts w:hint="eastAsia" w:ascii="宋体" w:hAnsi="宋体"/>
          <w:color w:val="auto"/>
          <w:sz w:val="22"/>
          <w:szCs w:val="22"/>
          <w:highlight w:val="none"/>
        </w:rPr>
      </w:pPr>
      <w:r>
        <w:rPr>
          <w:rFonts w:hint="eastAsia" w:ascii="宋体" w:hAnsi="宋体"/>
          <w:color w:val="auto"/>
          <w:sz w:val="22"/>
          <w:szCs w:val="22"/>
          <w:highlight w:val="none"/>
        </w:rPr>
        <w:t>本次开标，资格审核部分、商务技术文件和报价文件分别开启</w:t>
      </w:r>
      <w:r>
        <w:rPr>
          <w:rFonts w:hint="eastAsia" w:ascii="宋体" w:hAnsi="宋体"/>
          <w:b/>
          <w:color w:val="auto"/>
          <w:sz w:val="22"/>
          <w:szCs w:val="22"/>
          <w:highlight w:val="none"/>
        </w:rPr>
        <w:t>。</w:t>
      </w:r>
      <w:r>
        <w:rPr>
          <w:rFonts w:hint="eastAsia" w:ascii="宋体" w:hAnsi="宋体"/>
          <w:color w:val="auto"/>
          <w:sz w:val="22"/>
          <w:szCs w:val="22"/>
          <w:highlight w:val="none"/>
        </w:rPr>
        <w:t>开标程序如下：</w:t>
      </w:r>
    </w:p>
    <w:p>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第一步：</w:t>
      </w:r>
      <w:r>
        <w:rPr>
          <w:rFonts w:hint="eastAsia" w:ascii="宋体" w:hAnsi="宋体"/>
          <w:color w:val="auto"/>
          <w:sz w:val="22"/>
          <w:szCs w:val="22"/>
          <w:highlight w:val="none"/>
          <w:u w:val="single"/>
        </w:rPr>
        <w:t>首先开启资格审核资料部分及商务技术文件投标文件，</w:t>
      </w:r>
      <w:r>
        <w:rPr>
          <w:rFonts w:hint="eastAsia" w:ascii="宋体" w:hAnsi="宋体"/>
          <w:color w:val="auto"/>
          <w:sz w:val="22"/>
          <w:szCs w:val="22"/>
          <w:highlight w:val="none"/>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snapToGrid w:val="0"/>
        <w:spacing w:line="420" w:lineRule="atLeast"/>
        <w:ind w:firstLine="440" w:firstLineChars="200"/>
        <w:rPr>
          <w:rFonts w:hint="eastAsia" w:ascii="宋体" w:hAnsi="宋体"/>
          <w:color w:val="auto"/>
          <w:sz w:val="22"/>
          <w:szCs w:val="22"/>
          <w:highlight w:val="none"/>
        </w:rPr>
      </w:pPr>
      <w:r>
        <w:rPr>
          <w:rFonts w:hint="eastAsia" w:ascii="宋体" w:hAnsi="宋体"/>
          <w:color w:val="auto"/>
          <w:sz w:val="22"/>
          <w:szCs w:val="22"/>
          <w:highlight w:val="none"/>
        </w:rPr>
        <w:t>第二步：</w:t>
      </w:r>
      <w:r>
        <w:rPr>
          <w:rFonts w:hint="eastAsia" w:ascii="宋体" w:hAnsi="宋体"/>
          <w:color w:val="auto"/>
          <w:sz w:val="22"/>
          <w:szCs w:val="22"/>
          <w:highlight w:val="none"/>
          <w:u w:val="single"/>
        </w:rPr>
        <w:t>公布资格审核情况及技术资信标得分</w:t>
      </w:r>
      <w:r>
        <w:rPr>
          <w:rFonts w:hint="eastAsia" w:ascii="宋体" w:hAnsi="宋体"/>
          <w:color w:val="auto"/>
          <w:sz w:val="22"/>
          <w:szCs w:val="22"/>
          <w:highlight w:val="none"/>
        </w:rPr>
        <w:t>，开启合格供应商的报价文件。</w:t>
      </w:r>
    </w:p>
    <w:p>
      <w:pPr>
        <w:pStyle w:val="35"/>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第三步：</w:t>
      </w: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以技术资信标和商务报价标合计分值由高到低的顺序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w:t>
      </w:r>
    </w:p>
    <w:p>
      <w:pPr>
        <w:pStyle w:val="35"/>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color w:val="auto"/>
          <w:sz w:val="22"/>
          <w:szCs w:val="22"/>
          <w:highlight w:val="none"/>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snapToGrid w:val="0"/>
        <w:spacing w:line="420" w:lineRule="atLeast"/>
        <w:ind w:firstLine="420"/>
        <w:rPr>
          <w:rFonts w:hint="eastAsia" w:ascii="宋体" w:hAnsi="宋体"/>
          <w:color w:val="auto"/>
          <w:sz w:val="22"/>
          <w:szCs w:val="22"/>
          <w:highlight w:val="none"/>
        </w:rPr>
      </w:pPr>
      <w:r>
        <w:rPr>
          <w:rFonts w:hint="eastAsia" w:ascii="宋体" w:hAnsi="宋体"/>
          <w:color w:val="auto"/>
          <w:sz w:val="22"/>
          <w:szCs w:val="22"/>
          <w:highlight w:val="none"/>
        </w:rPr>
        <w:t>中标供应商放弃中标，或者因不可抗力提出不能履行合同，采购机构可以取消其中标资格。本次采购失败，依法重新组织采购。</w:t>
      </w:r>
    </w:p>
    <w:p>
      <w:pPr>
        <w:snapToGrid w:val="0"/>
        <w:spacing w:before="100" w:after="50"/>
        <w:ind w:firstLine="420"/>
        <w:rPr>
          <w:rFonts w:hint="eastAsia" w:ascii="宋体" w:hAnsi="宋体"/>
          <w:b/>
          <w:color w:val="auto"/>
          <w:sz w:val="22"/>
          <w:szCs w:val="22"/>
          <w:highlight w:val="none"/>
        </w:rPr>
      </w:pPr>
      <w:r>
        <w:rPr>
          <w:rFonts w:hint="eastAsia" w:ascii="宋体" w:hAnsi="宋体"/>
          <w:b/>
          <w:color w:val="auto"/>
          <w:sz w:val="22"/>
          <w:szCs w:val="22"/>
          <w:highlight w:val="none"/>
        </w:rPr>
        <w:t>其它参见本采购文件第三部分：“供应商须知” 中的相关内容。</w:t>
      </w:r>
    </w:p>
    <w:p>
      <w:pPr>
        <w:snapToGrid w:val="0"/>
        <w:spacing w:line="420" w:lineRule="atLeast"/>
        <w:rPr>
          <w:rFonts w:ascii="宋体" w:hAnsi="宋体"/>
          <w:color w:val="auto"/>
          <w:sz w:val="24"/>
          <w:highlight w:val="none"/>
        </w:rPr>
        <w:sectPr>
          <w:headerReference r:id="rId10" w:type="default"/>
          <w:footerReference r:id="rId11" w:type="default"/>
          <w:pgSz w:w="11907" w:h="16840"/>
          <w:pgMar w:top="1440" w:right="1106" w:bottom="1440" w:left="1157" w:header="720" w:footer="720" w:gutter="0"/>
          <w:cols w:space="720" w:num="1"/>
          <w:docGrid w:linePitch="312" w:charSpace="0"/>
        </w:sectPr>
      </w:pPr>
    </w:p>
    <w:p>
      <w:pPr>
        <w:pStyle w:val="24"/>
        <w:snapToGrid w:val="0"/>
        <w:jc w:val="center"/>
        <w:rPr>
          <w:rFonts w:hint="eastAsia" w:hAnsi="宋体"/>
          <w:b/>
          <w:color w:val="auto"/>
          <w:sz w:val="36"/>
          <w:szCs w:val="36"/>
          <w:highlight w:val="none"/>
        </w:rPr>
      </w:pPr>
      <w:r>
        <w:rPr>
          <w:rFonts w:hint="eastAsia" w:hAnsi="宋体"/>
          <w:b/>
          <w:color w:val="auto"/>
          <w:sz w:val="36"/>
          <w:szCs w:val="36"/>
          <w:highlight w:val="none"/>
        </w:rPr>
        <w:t>评标细则</w:t>
      </w:r>
    </w:p>
    <w:p>
      <w:pPr>
        <w:pStyle w:val="24"/>
        <w:snapToGrid w:val="0"/>
        <w:spacing w:line="420" w:lineRule="exact"/>
        <w:rPr>
          <w:rFonts w:hint="eastAsia" w:hAnsi="宋体"/>
          <w:b/>
          <w:color w:val="auto"/>
          <w:sz w:val="22"/>
          <w:szCs w:val="22"/>
          <w:highlight w:val="none"/>
        </w:rPr>
      </w:pPr>
      <w:r>
        <w:rPr>
          <w:rFonts w:hint="eastAsia" w:hAnsi="宋体"/>
          <w:b/>
          <w:color w:val="auto"/>
          <w:sz w:val="22"/>
          <w:szCs w:val="22"/>
          <w:highlight w:val="none"/>
        </w:rPr>
        <w:t>一、商务报价评分</w:t>
      </w:r>
      <w:r>
        <w:rPr>
          <w:rFonts w:hint="eastAsia" w:hAnsi="宋体"/>
          <w:b/>
          <w:color w:val="auto"/>
          <w:sz w:val="22"/>
          <w:szCs w:val="22"/>
          <w:highlight w:val="none"/>
          <w:lang w:val="en-US" w:eastAsia="zh-CN"/>
        </w:rPr>
        <w:t>15</w:t>
      </w:r>
      <w:r>
        <w:rPr>
          <w:rFonts w:hint="eastAsia" w:hAnsi="宋体"/>
          <w:b/>
          <w:color w:val="auto"/>
          <w:sz w:val="22"/>
          <w:szCs w:val="22"/>
          <w:highlight w:val="none"/>
        </w:rPr>
        <w:t>分</w:t>
      </w:r>
    </w:p>
    <w:p>
      <w:pPr>
        <w:pStyle w:val="6"/>
        <w:adjustRightInd w:val="0"/>
        <w:snapToGrid w:val="0"/>
        <w:spacing w:line="420" w:lineRule="exact"/>
        <w:ind w:firstLine="440" w:firstLineChars="200"/>
        <w:rPr>
          <w:rFonts w:hint="eastAsia" w:hAnsi="宋体"/>
          <w:color w:val="auto"/>
          <w:sz w:val="22"/>
          <w:szCs w:val="22"/>
          <w:highlight w:val="none"/>
        </w:rPr>
      </w:pPr>
      <w:r>
        <w:rPr>
          <w:rFonts w:hint="eastAsia" w:hAnsi="宋体" w:eastAsia="宋体" w:cs="宋体"/>
          <w:b w:val="0"/>
          <w:bCs/>
          <w:color w:val="auto"/>
          <w:sz w:val="22"/>
          <w:szCs w:val="22"/>
          <w:highlight w:val="none"/>
        </w:rPr>
        <w:t>1、以供应商有效投标</w:t>
      </w:r>
      <w:r>
        <w:rPr>
          <w:rFonts w:hint="eastAsia" w:hAnsi="宋体" w:eastAsia="宋体" w:cs="宋体"/>
          <w:b w:val="0"/>
          <w:bCs/>
          <w:color w:val="auto"/>
          <w:sz w:val="22"/>
          <w:szCs w:val="22"/>
          <w:highlight w:val="none"/>
          <w:lang w:eastAsia="zh-CN"/>
        </w:rPr>
        <w:t>报价</w:t>
      </w:r>
      <w:r>
        <w:rPr>
          <w:rFonts w:hint="eastAsia" w:hAnsi="宋体" w:eastAsia="宋体" w:cs="宋体"/>
          <w:b w:val="0"/>
          <w:bCs/>
          <w:color w:val="auto"/>
          <w:sz w:val="22"/>
          <w:szCs w:val="22"/>
          <w:highlight w:val="none"/>
        </w:rPr>
        <w:t>中的最低</w:t>
      </w:r>
      <w:r>
        <w:rPr>
          <w:rFonts w:hint="eastAsia" w:hAnsi="宋体" w:eastAsia="宋体" w:cs="宋体"/>
          <w:b w:val="0"/>
          <w:bCs/>
          <w:color w:val="auto"/>
          <w:sz w:val="22"/>
          <w:szCs w:val="22"/>
          <w:highlight w:val="none"/>
          <w:lang w:eastAsia="zh-CN"/>
        </w:rPr>
        <w:t>折扣率</w:t>
      </w:r>
      <w:r>
        <w:rPr>
          <w:rFonts w:hint="eastAsia" w:hAnsi="宋体" w:eastAsia="宋体" w:cs="宋体"/>
          <w:b w:val="0"/>
          <w:bCs/>
          <w:color w:val="auto"/>
          <w:sz w:val="22"/>
          <w:szCs w:val="22"/>
          <w:highlight w:val="none"/>
        </w:rPr>
        <w:t>为评标基准</w:t>
      </w:r>
      <w:r>
        <w:rPr>
          <w:rFonts w:hint="eastAsia" w:hAnsi="宋体" w:eastAsia="宋体" w:cs="宋体"/>
          <w:b w:val="0"/>
          <w:bCs/>
          <w:color w:val="auto"/>
          <w:sz w:val="22"/>
          <w:szCs w:val="22"/>
          <w:highlight w:val="none"/>
          <w:lang w:eastAsia="zh-CN"/>
        </w:rPr>
        <w:t>折扣率</w:t>
      </w:r>
      <w:r>
        <w:rPr>
          <w:rFonts w:hint="eastAsia" w:hAnsi="宋体" w:eastAsia="宋体" w:cs="宋体"/>
          <w:b w:val="0"/>
          <w:bCs/>
          <w:color w:val="auto"/>
          <w:sz w:val="22"/>
          <w:szCs w:val="22"/>
          <w:highlight w:val="none"/>
        </w:rPr>
        <w:t>，得满分</w:t>
      </w:r>
      <w:r>
        <w:rPr>
          <w:rFonts w:hint="eastAsia" w:hAnsi="宋体" w:cs="宋体"/>
          <w:b w:val="0"/>
          <w:bCs/>
          <w:color w:val="auto"/>
          <w:sz w:val="22"/>
          <w:szCs w:val="22"/>
          <w:highlight w:val="none"/>
          <w:lang w:val="en-US" w:eastAsia="zh-CN"/>
        </w:rPr>
        <w:t>15</w:t>
      </w:r>
      <w:r>
        <w:rPr>
          <w:rFonts w:hint="eastAsia" w:hAnsi="宋体" w:eastAsia="宋体" w:cs="宋体"/>
          <w:b w:val="0"/>
          <w:bCs/>
          <w:color w:val="auto"/>
          <w:sz w:val="22"/>
          <w:szCs w:val="22"/>
          <w:highlight w:val="none"/>
        </w:rPr>
        <w:t>分。商务报价评分结算公式为:投标报价得分=(评标基准</w:t>
      </w:r>
      <w:r>
        <w:rPr>
          <w:rFonts w:hint="eastAsia" w:hAnsi="宋体" w:eastAsia="宋体" w:cs="宋体"/>
          <w:b w:val="0"/>
          <w:bCs/>
          <w:color w:val="auto"/>
          <w:sz w:val="22"/>
          <w:szCs w:val="22"/>
          <w:highlight w:val="none"/>
          <w:lang w:eastAsia="zh-CN"/>
        </w:rPr>
        <w:t>折扣率</w:t>
      </w:r>
      <w:r>
        <w:rPr>
          <w:rFonts w:hint="eastAsia" w:hAnsi="宋体" w:eastAsia="宋体" w:cs="宋体"/>
          <w:b w:val="0"/>
          <w:bCs/>
          <w:color w:val="auto"/>
          <w:sz w:val="22"/>
          <w:szCs w:val="22"/>
          <w:highlight w:val="none"/>
        </w:rPr>
        <w:t>／投标</w:t>
      </w:r>
      <w:r>
        <w:rPr>
          <w:rFonts w:hint="eastAsia" w:hAnsi="宋体" w:eastAsia="宋体" w:cs="宋体"/>
          <w:b w:val="0"/>
          <w:bCs/>
          <w:color w:val="auto"/>
          <w:sz w:val="22"/>
          <w:szCs w:val="22"/>
          <w:highlight w:val="none"/>
          <w:lang w:eastAsia="zh-CN"/>
        </w:rPr>
        <w:t>折扣率</w:t>
      </w:r>
      <w:r>
        <w:rPr>
          <w:rFonts w:hint="eastAsia" w:hAnsi="宋体" w:eastAsia="宋体" w:cs="宋体"/>
          <w:b w:val="0"/>
          <w:bCs/>
          <w:color w:val="auto"/>
          <w:sz w:val="22"/>
          <w:szCs w:val="22"/>
          <w:highlight w:val="none"/>
        </w:rPr>
        <w:t>)×</w:t>
      </w:r>
      <w:r>
        <w:rPr>
          <w:rFonts w:hint="eastAsia" w:hAnsi="宋体" w:cs="宋体"/>
          <w:b w:val="0"/>
          <w:bCs/>
          <w:color w:val="auto"/>
          <w:sz w:val="22"/>
          <w:szCs w:val="22"/>
          <w:highlight w:val="none"/>
          <w:lang w:val="en-US" w:eastAsia="zh-CN"/>
        </w:rPr>
        <w:t>15</w:t>
      </w:r>
      <w:r>
        <w:rPr>
          <w:rFonts w:hint="eastAsia" w:hAnsi="宋体" w:eastAsia="宋体" w:cs="宋体"/>
          <w:b w:val="0"/>
          <w:bCs/>
          <w:color w:val="auto"/>
          <w:sz w:val="22"/>
          <w:szCs w:val="22"/>
          <w:highlight w:val="none"/>
        </w:rPr>
        <w:t>%×100。</w:t>
      </w:r>
    </w:p>
    <w:p>
      <w:pPr>
        <w:pStyle w:val="24"/>
        <w:snapToGrid w:val="0"/>
        <w:spacing w:line="460" w:lineRule="atLeast"/>
        <w:ind w:firstLine="440" w:firstLineChars="200"/>
        <w:rPr>
          <w:rFonts w:hint="eastAsia" w:hAnsi="宋体"/>
          <w:color w:val="auto"/>
          <w:sz w:val="22"/>
          <w:szCs w:val="22"/>
          <w:highlight w:val="none"/>
        </w:rPr>
      </w:pPr>
      <w:r>
        <w:rPr>
          <w:rFonts w:hint="eastAsia" w:hAnsi="宋体"/>
          <w:color w:val="auto"/>
          <w:sz w:val="22"/>
          <w:szCs w:val="22"/>
          <w:highlight w:val="none"/>
        </w:rPr>
        <w:t>2、如果供应商的报价均超出采购最高限价且采购人确认不能支付的情况，则本项目做流（废）标处理。如果仅仅某些（个）供应商投标报价超出最高限价的，则拒绝接受其投标报价，该供应商投标按无效投标处理。</w:t>
      </w:r>
    </w:p>
    <w:p>
      <w:pPr>
        <w:pStyle w:val="24"/>
        <w:snapToGrid w:val="0"/>
        <w:spacing w:line="420" w:lineRule="exact"/>
        <w:rPr>
          <w:rFonts w:hint="eastAsia" w:ascii="宋体" w:hAnsi="宋体" w:eastAsia="宋体"/>
          <w:b/>
          <w:color w:val="auto"/>
          <w:sz w:val="22"/>
          <w:szCs w:val="22"/>
          <w:highlight w:val="none"/>
        </w:rPr>
      </w:pPr>
      <w:r>
        <w:rPr>
          <w:rFonts w:hint="eastAsia" w:ascii="宋体" w:hAnsi="宋体" w:eastAsia="宋体"/>
          <w:b/>
          <w:color w:val="auto"/>
          <w:sz w:val="22"/>
          <w:szCs w:val="22"/>
          <w:highlight w:val="none"/>
        </w:rPr>
        <w:t>二、技术、服务、资信业绩等综合评分85分</w:t>
      </w:r>
    </w:p>
    <w:tbl>
      <w:tblPr>
        <w:tblStyle w:val="8"/>
        <w:tblW w:w="9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4"/>
        <w:gridCol w:w="1575"/>
        <w:gridCol w:w="802"/>
        <w:gridCol w:w="68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spacing w:line="440" w:lineRule="exact"/>
              <w:ind w:left="-50"/>
              <w:jc w:val="center"/>
              <w:rPr>
                <w:rFonts w:hint="eastAsia" w:ascii="宋体" w:hAnsi="宋体"/>
                <w:color w:val="auto"/>
                <w:szCs w:val="21"/>
                <w:highlight w:val="none"/>
              </w:rPr>
            </w:pPr>
            <w:r>
              <w:rPr>
                <w:rFonts w:hint="eastAsia" w:ascii="宋体" w:hAnsi="宋体"/>
                <w:color w:val="auto"/>
                <w:szCs w:val="21"/>
                <w:highlight w:val="none"/>
              </w:rPr>
              <w:t>序号</w:t>
            </w:r>
          </w:p>
        </w:tc>
        <w:tc>
          <w:tcPr>
            <w:tcW w:w="1575" w:type="dxa"/>
            <w:vAlign w:val="center"/>
          </w:tcPr>
          <w:p>
            <w:pPr>
              <w:keepNext w:val="0"/>
              <w:keepLines w:val="0"/>
              <w:pageBreakBefore w:val="0"/>
              <w:kinsoku/>
              <w:wordWrap w:val="0"/>
              <w:overflowPunct/>
              <w:topLinePunct w:val="0"/>
              <w:autoSpaceDE/>
              <w:autoSpaceDN/>
              <w:bidi w:val="0"/>
              <w:snapToGrid/>
              <w:spacing w:line="440" w:lineRule="exact"/>
              <w:ind w:left="-50"/>
              <w:jc w:val="center"/>
              <w:rPr>
                <w:rFonts w:hint="eastAsia" w:ascii="宋体" w:hAnsi="宋体"/>
                <w:color w:val="auto"/>
                <w:szCs w:val="21"/>
                <w:highlight w:val="none"/>
              </w:rPr>
            </w:pPr>
            <w:r>
              <w:rPr>
                <w:rFonts w:hint="eastAsia" w:ascii="宋体" w:hAnsi="宋体"/>
                <w:color w:val="auto"/>
                <w:szCs w:val="21"/>
                <w:highlight w:val="none"/>
              </w:rPr>
              <w:t>评分内容</w:t>
            </w:r>
          </w:p>
        </w:tc>
        <w:tc>
          <w:tcPr>
            <w:tcW w:w="802" w:type="dxa"/>
            <w:vAlign w:val="center"/>
          </w:tcPr>
          <w:p>
            <w:pPr>
              <w:keepNext w:val="0"/>
              <w:keepLines w:val="0"/>
              <w:pageBreakBefore w:val="0"/>
              <w:kinsoku/>
              <w:wordWrap w:val="0"/>
              <w:overflowPunct/>
              <w:topLinePunct w:val="0"/>
              <w:autoSpaceDE/>
              <w:autoSpaceDN/>
              <w:bidi w:val="0"/>
              <w:snapToGrid/>
              <w:jc w:val="center"/>
              <w:rPr>
                <w:rFonts w:hint="eastAsia" w:ascii="宋体" w:hAnsi="宋体"/>
                <w:color w:val="auto"/>
                <w:szCs w:val="21"/>
                <w:highlight w:val="none"/>
              </w:rPr>
            </w:pPr>
            <w:r>
              <w:rPr>
                <w:rFonts w:hint="eastAsia" w:ascii="宋体" w:hAnsi="宋体"/>
                <w:color w:val="auto"/>
                <w:szCs w:val="21"/>
                <w:highlight w:val="none"/>
              </w:rPr>
              <w:t>分值</w:t>
            </w:r>
          </w:p>
          <w:p>
            <w:pPr>
              <w:keepNext w:val="0"/>
              <w:keepLines w:val="0"/>
              <w:pageBreakBefore w:val="0"/>
              <w:kinsoku/>
              <w:wordWrap w:val="0"/>
              <w:overflowPunct/>
              <w:topLinePunct w:val="0"/>
              <w:autoSpaceDE/>
              <w:autoSpaceDN/>
              <w:bidi w:val="0"/>
              <w:snapToGrid/>
              <w:jc w:val="center"/>
              <w:rPr>
                <w:rFonts w:hint="eastAsia" w:ascii="宋体" w:hAnsi="宋体"/>
                <w:color w:val="auto"/>
                <w:szCs w:val="21"/>
                <w:highlight w:val="none"/>
              </w:rPr>
            </w:pPr>
            <w:r>
              <w:rPr>
                <w:rFonts w:hint="eastAsia" w:ascii="宋体" w:hAnsi="宋体"/>
                <w:color w:val="auto"/>
                <w:szCs w:val="21"/>
                <w:highlight w:val="none"/>
              </w:rPr>
              <w:t>范围</w:t>
            </w:r>
          </w:p>
        </w:tc>
        <w:tc>
          <w:tcPr>
            <w:tcW w:w="6829" w:type="dxa"/>
            <w:vAlign w:val="center"/>
          </w:tcPr>
          <w:p>
            <w:pPr>
              <w:keepNext w:val="0"/>
              <w:keepLines w:val="0"/>
              <w:pageBreakBefore w:val="0"/>
              <w:kinsoku/>
              <w:wordWrap w:val="0"/>
              <w:overflowPunct/>
              <w:topLinePunct w:val="0"/>
              <w:autoSpaceDE/>
              <w:autoSpaceDN/>
              <w:bidi w:val="0"/>
              <w:snapToGrid/>
              <w:spacing w:line="440" w:lineRule="exact"/>
              <w:ind w:left="-50"/>
              <w:jc w:val="center"/>
              <w:rPr>
                <w:rFonts w:hint="eastAsia" w:ascii="宋体" w:hAnsi="宋体"/>
                <w:bCs/>
                <w:color w:val="auto"/>
                <w:sz w:val="22"/>
                <w:szCs w:val="22"/>
                <w:highlight w:val="none"/>
              </w:rPr>
            </w:pPr>
            <w:r>
              <w:rPr>
                <w:rFonts w:hint="eastAsia" w:ascii="宋体" w:hAnsi="宋体"/>
                <w:bCs/>
                <w:color w:val="auto"/>
                <w:sz w:val="22"/>
                <w:szCs w:val="22"/>
                <w:highlight w:val="none"/>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color w:val="auto"/>
                <w:sz w:val="22"/>
                <w:szCs w:val="22"/>
                <w:highlight w:val="none"/>
              </w:rPr>
            </w:pPr>
            <w:r>
              <w:rPr>
                <w:rFonts w:hint="eastAsia" w:ascii="宋体" w:hAnsi="宋体"/>
                <w:color w:val="auto"/>
                <w:sz w:val="22"/>
                <w:szCs w:val="22"/>
                <w:highlight w:val="none"/>
              </w:rPr>
              <w:t>1</w:t>
            </w:r>
          </w:p>
        </w:tc>
        <w:tc>
          <w:tcPr>
            <w:tcW w:w="1575"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团队</w:t>
            </w:r>
            <w:r>
              <w:rPr>
                <w:rFonts w:hint="eastAsia" w:ascii="宋体" w:hAnsi="宋体"/>
                <w:color w:val="auto"/>
                <w:sz w:val="22"/>
                <w:highlight w:val="none"/>
                <w:u w:val="none"/>
              </w:rPr>
              <w:t>实力</w:t>
            </w:r>
          </w:p>
        </w:tc>
        <w:tc>
          <w:tcPr>
            <w:tcW w:w="802"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0</w:t>
            </w:r>
            <w:r>
              <w:rPr>
                <w:rFonts w:hint="eastAsia" w:ascii="宋体" w:hAnsi="宋体"/>
                <w:bCs/>
                <w:color w:val="auto"/>
                <w:sz w:val="22"/>
                <w:szCs w:val="22"/>
                <w:highlight w:val="none"/>
                <w:lang w:val="en-US" w:eastAsia="zh-CN"/>
              </w:rPr>
              <w:t>-25</w:t>
            </w:r>
            <w:r>
              <w:rPr>
                <w:rFonts w:hint="eastAsia" w:ascii="宋体" w:hAnsi="宋体"/>
                <w:bCs/>
                <w:color w:val="auto"/>
                <w:sz w:val="22"/>
                <w:szCs w:val="22"/>
                <w:highlight w:val="none"/>
              </w:rPr>
              <w:t>分</w:t>
            </w:r>
          </w:p>
        </w:tc>
        <w:tc>
          <w:tcPr>
            <w:tcW w:w="6829" w:type="dxa"/>
            <w:vAlign w:val="center"/>
          </w:tcPr>
          <w:p>
            <w:pPr>
              <w:keepNext w:val="0"/>
              <w:keepLines w:val="0"/>
              <w:pageBreakBefore w:val="0"/>
              <w:numPr>
                <w:ilvl w:val="0"/>
                <w:numId w:val="0"/>
              </w:numPr>
              <w:kinsoku/>
              <w:wordWrap w:val="0"/>
              <w:overflowPunct/>
              <w:topLinePunct w:val="0"/>
              <w:autoSpaceDE/>
              <w:autoSpaceDN/>
              <w:bidi w:val="0"/>
              <w:snapToGrid/>
              <w:rPr>
                <w:rFonts w:hint="eastAsia" w:ascii="宋体" w:hAnsi="宋体" w:eastAsia="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在满足招标文件</w:t>
            </w:r>
            <w:r>
              <w:rPr>
                <w:rFonts w:hint="eastAsia" w:ascii="宋体" w:hAnsi="宋体"/>
                <w:bCs/>
                <w:color w:val="auto"/>
                <w:sz w:val="22"/>
                <w:szCs w:val="22"/>
                <w:highlight w:val="none"/>
                <w:lang w:val="en-US" w:eastAsia="zh-CN"/>
              </w:rPr>
              <w:t>资格条件</w:t>
            </w:r>
            <w:r>
              <w:rPr>
                <w:rFonts w:hint="eastAsia" w:ascii="宋体" w:hAnsi="宋体" w:eastAsia="宋体"/>
                <w:bCs/>
                <w:color w:val="auto"/>
                <w:sz w:val="22"/>
                <w:szCs w:val="22"/>
                <w:highlight w:val="none"/>
                <w:lang w:val="en-US" w:eastAsia="zh-CN"/>
              </w:rPr>
              <w:t>要求外：</w:t>
            </w:r>
          </w:p>
          <w:p>
            <w:pPr>
              <w:keepNext w:val="0"/>
              <w:keepLines w:val="0"/>
              <w:pageBreakBefore w:val="0"/>
              <w:numPr>
                <w:ilvl w:val="0"/>
                <w:numId w:val="0"/>
              </w:numPr>
              <w:kinsoku/>
              <w:wordWrap w:val="0"/>
              <w:overflowPunct/>
              <w:topLinePunct w:val="0"/>
              <w:autoSpaceDE/>
              <w:autoSpaceDN/>
              <w:bidi w:val="0"/>
              <w:snapToGrid/>
              <w:rPr>
                <w:rFonts w:hint="eastAsia" w:ascii="宋体" w:hAnsi="宋体" w:eastAsia="宋体"/>
                <w:color w:val="auto"/>
                <w:sz w:val="22"/>
                <w:highlight w:val="none"/>
                <w:u w:val="none"/>
              </w:rPr>
            </w:pPr>
            <w:r>
              <w:rPr>
                <w:rFonts w:hint="eastAsia" w:ascii="宋体" w:hAnsi="宋体" w:eastAsia="宋体"/>
                <w:bCs/>
                <w:color w:val="auto"/>
                <w:sz w:val="22"/>
                <w:szCs w:val="22"/>
                <w:highlight w:val="none"/>
                <w:lang w:val="en-US" w:eastAsia="zh-CN"/>
              </w:rPr>
              <w:t>1、</w:t>
            </w:r>
            <w:r>
              <w:rPr>
                <w:rFonts w:hint="eastAsia" w:ascii="宋体" w:hAnsi="宋体" w:eastAsia="宋体"/>
                <w:bCs/>
                <w:color w:val="auto"/>
                <w:sz w:val="22"/>
                <w:szCs w:val="22"/>
                <w:highlight w:val="none"/>
              </w:rPr>
              <w:t>项目负责人</w:t>
            </w:r>
            <w:r>
              <w:rPr>
                <w:rFonts w:hint="eastAsia" w:ascii="宋体" w:hAnsi="宋体" w:eastAsia="宋体"/>
                <w:bCs/>
                <w:color w:val="auto"/>
                <w:sz w:val="22"/>
                <w:szCs w:val="22"/>
                <w:highlight w:val="none"/>
                <w:lang w:val="en-US" w:eastAsia="zh-CN"/>
              </w:rPr>
              <w:t>1名</w:t>
            </w:r>
            <w:r>
              <w:rPr>
                <w:rFonts w:hint="eastAsia" w:ascii="宋体" w:hAnsi="宋体"/>
                <w:bCs/>
                <w:color w:val="auto"/>
                <w:sz w:val="22"/>
                <w:szCs w:val="22"/>
                <w:highlight w:val="none"/>
                <w:lang w:val="en-US" w:eastAsia="zh-CN"/>
              </w:rPr>
              <w:t>（6分）</w:t>
            </w:r>
            <w:r>
              <w:rPr>
                <w:rFonts w:hint="eastAsia" w:ascii="宋体" w:hAnsi="宋体" w:eastAsia="宋体"/>
                <w:bCs/>
                <w:color w:val="auto"/>
                <w:sz w:val="22"/>
                <w:szCs w:val="22"/>
                <w:highlight w:val="none"/>
              </w:rPr>
              <w:t>：具有【一级注册造价工程师资格（专业：土木建筑）】、【咨询工程师（投资）执业资格</w:t>
            </w:r>
            <w:r>
              <w:rPr>
                <w:rFonts w:hint="eastAsia" w:ascii="宋体" w:hAnsi="宋体"/>
                <w:bCs/>
                <w:color w:val="auto"/>
                <w:sz w:val="22"/>
                <w:szCs w:val="22"/>
                <w:highlight w:val="none"/>
                <w:lang w:eastAsia="zh-CN"/>
              </w:rPr>
              <w:t>（</w:t>
            </w:r>
            <w:r>
              <w:rPr>
                <w:rFonts w:hint="eastAsia" w:ascii="宋体" w:hAnsi="宋体"/>
                <w:bCs/>
                <w:color w:val="auto"/>
                <w:sz w:val="22"/>
                <w:szCs w:val="22"/>
                <w:highlight w:val="none"/>
                <w:lang w:val="en-US" w:eastAsia="zh-CN"/>
              </w:rPr>
              <w:t>专业：建筑</w:t>
            </w:r>
            <w:r>
              <w:rPr>
                <w:rFonts w:hint="eastAsia" w:ascii="宋体" w:hAnsi="宋体"/>
                <w:bCs/>
                <w:color w:val="auto"/>
                <w:sz w:val="22"/>
                <w:szCs w:val="22"/>
                <w:highlight w:val="none"/>
                <w:lang w:eastAsia="zh-CN"/>
              </w:rPr>
              <w:t>）</w:t>
            </w:r>
            <w:r>
              <w:rPr>
                <w:rFonts w:hint="eastAsia" w:ascii="宋体" w:hAnsi="宋体" w:eastAsia="宋体"/>
                <w:bCs/>
                <w:color w:val="auto"/>
                <w:sz w:val="22"/>
                <w:szCs w:val="22"/>
                <w:highlight w:val="none"/>
              </w:rPr>
              <w:t>】</w:t>
            </w:r>
            <w:r>
              <w:rPr>
                <w:rFonts w:hint="eastAsia" w:ascii="宋体" w:hAnsi="宋体"/>
                <w:bCs/>
                <w:color w:val="auto"/>
                <w:sz w:val="22"/>
                <w:szCs w:val="22"/>
                <w:highlight w:val="none"/>
                <w:lang w:eastAsia="zh-CN"/>
              </w:rPr>
              <w:t>、【</w:t>
            </w:r>
            <w:r>
              <w:rPr>
                <w:rFonts w:hint="eastAsia" w:ascii="宋体" w:hAnsi="宋体"/>
                <w:bCs/>
                <w:color w:val="auto"/>
                <w:sz w:val="22"/>
                <w:szCs w:val="22"/>
                <w:highlight w:val="none"/>
                <w:lang w:val="en-US" w:eastAsia="zh-CN"/>
              </w:rPr>
              <w:t>注册一级建造师资格（专业：建筑工程）】、</w:t>
            </w:r>
            <w:r>
              <w:rPr>
                <w:rFonts w:hint="eastAsia" w:ascii="宋体" w:hAnsi="宋体" w:eastAsia="宋体"/>
                <w:bCs/>
                <w:color w:val="auto"/>
                <w:sz w:val="22"/>
                <w:szCs w:val="22"/>
                <w:highlight w:val="none"/>
              </w:rPr>
              <w:t>【</w:t>
            </w:r>
            <w:r>
              <w:rPr>
                <w:rFonts w:hint="eastAsia" w:ascii="宋体" w:hAnsi="宋体"/>
                <w:bCs/>
                <w:color w:val="auto"/>
                <w:sz w:val="22"/>
                <w:szCs w:val="22"/>
                <w:highlight w:val="none"/>
                <w:lang w:val="en-US" w:eastAsia="zh-CN"/>
              </w:rPr>
              <w:t>全国注册监理工程师</w:t>
            </w:r>
            <w:r>
              <w:rPr>
                <w:rFonts w:hint="eastAsia" w:ascii="宋体" w:hAnsi="宋体" w:eastAsia="宋体"/>
                <w:bCs/>
                <w:color w:val="auto"/>
                <w:sz w:val="22"/>
                <w:szCs w:val="22"/>
                <w:highlight w:val="none"/>
              </w:rPr>
              <w:t>资格（专业：</w:t>
            </w:r>
            <w:r>
              <w:rPr>
                <w:rFonts w:hint="eastAsia" w:ascii="宋体" w:hAnsi="宋体"/>
                <w:bCs/>
                <w:color w:val="auto"/>
                <w:sz w:val="22"/>
                <w:szCs w:val="22"/>
                <w:highlight w:val="none"/>
                <w:lang w:val="en-US" w:eastAsia="zh-CN"/>
              </w:rPr>
              <w:t>房屋建筑工程</w:t>
            </w:r>
            <w:r>
              <w:rPr>
                <w:rFonts w:hint="eastAsia" w:ascii="宋体" w:hAnsi="宋体" w:eastAsia="宋体"/>
                <w:bCs/>
                <w:color w:val="auto"/>
                <w:sz w:val="22"/>
                <w:szCs w:val="22"/>
                <w:highlight w:val="none"/>
              </w:rPr>
              <w:t>）】</w:t>
            </w:r>
            <w:r>
              <w:rPr>
                <w:rFonts w:hint="eastAsia" w:ascii="宋体" w:hAnsi="宋体"/>
                <w:bCs/>
                <w:color w:val="auto"/>
                <w:sz w:val="22"/>
                <w:szCs w:val="22"/>
                <w:highlight w:val="none"/>
                <w:lang w:eastAsia="zh-CN"/>
              </w:rPr>
              <w:t>、【</w:t>
            </w:r>
            <w:r>
              <w:rPr>
                <w:rFonts w:hint="eastAsia" w:ascii="宋体" w:hAnsi="宋体"/>
                <w:bCs/>
                <w:color w:val="auto"/>
                <w:sz w:val="22"/>
                <w:szCs w:val="22"/>
                <w:highlight w:val="none"/>
                <w:lang w:val="en-US" w:eastAsia="zh-CN"/>
              </w:rPr>
              <w:t>高级工程师职称（房屋建筑类）</w:t>
            </w:r>
            <w:r>
              <w:rPr>
                <w:rFonts w:hint="eastAsia" w:ascii="宋体" w:hAnsi="宋体"/>
                <w:bCs/>
                <w:color w:val="auto"/>
                <w:sz w:val="22"/>
                <w:szCs w:val="22"/>
                <w:highlight w:val="none"/>
                <w:lang w:eastAsia="zh-CN"/>
              </w:rPr>
              <w:t>】</w:t>
            </w:r>
            <w:r>
              <w:rPr>
                <w:rFonts w:hint="eastAsia" w:ascii="宋体" w:hAnsi="宋体" w:eastAsia="宋体"/>
                <w:bCs/>
                <w:color w:val="auto"/>
                <w:sz w:val="22"/>
                <w:szCs w:val="22"/>
                <w:highlight w:val="none"/>
                <w:lang w:val="en-US" w:eastAsia="zh-CN"/>
              </w:rPr>
              <w:t>五</w:t>
            </w:r>
            <w:r>
              <w:rPr>
                <w:rFonts w:hint="eastAsia" w:ascii="宋体" w:hAnsi="宋体" w:eastAsia="宋体"/>
                <w:bCs/>
                <w:color w:val="auto"/>
                <w:sz w:val="22"/>
                <w:szCs w:val="22"/>
                <w:highlight w:val="none"/>
              </w:rPr>
              <w:t>项资格的得</w:t>
            </w:r>
            <w:r>
              <w:rPr>
                <w:rFonts w:hint="eastAsia" w:ascii="宋体" w:hAnsi="宋体"/>
                <w:bCs/>
                <w:color w:val="auto"/>
                <w:sz w:val="22"/>
                <w:szCs w:val="22"/>
                <w:highlight w:val="none"/>
                <w:lang w:val="en-US" w:eastAsia="zh-CN"/>
              </w:rPr>
              <w:t>6</w:t>
            </w:r>
            <w:r>
              <w:rPr>
                <w:rFonts w:hint="eastAsia" w:ascii="宋体" w:hAnsi="宋体" w:eastAsia="宋体"/>
                <w:color w:val="auto"/>
                <w:sz w:val="22"/>
                <w:highlight w:val="none"/>
              </w:rPr>
              <w:t>分；</w:t>
            </w:r>
            <w:r>
              <w:rPr>
                <w:rFonts w:hint="eastAsia" w:ascii="宋体" w:hAnsi="宋体" w:eastAsia="宋体"/>
                <w:color w:val="auto"/>
                <w:sz w:val="22"/>
                <w:highlight w:val="none"/>
                <w:u w:val="none"/>
                <w:lang w:val="en-US" w:eastAsia="zh-CN"/>
              </w:rPr>
              <w:t>四</w:t>
            </w:r>
            <w:r>
              <w:rPr>
                <w:rFonts w:hint="eastAsia" w:ascii="宋体" w:hAnsi="宋体" w:eastAsia="宋体"/>
                <w:color w:val="auto"/>
                <w:sz w:val="22"/>
                <w:highlight w:val="none"/>
                <w:u w:val="none"/>
              </w:rPr>
              <w:t>项资格得</w:t>
            </w:r>
            <w:r>
              <w:rPr>
                <w:rFonts w:hint="eastAsia" w:ascii="宋体" w:hAnsi="宋体" w:eastAsia="宋体"/>
                <w:color w:val="auto"/>
                <w:sz w:val="22"/>
                <w:highlight w:val="none"/>
                <w:u w:val="none"/>
                <w:lang w:val="en-US" w:eastAsia="zh-CN"/>
              </w:rPr>
              <w:t>4</w:t>
            </w:r>
            <w:r>
              <w:rPr>
                <w:rFonts w:hint="eastAsia" w:ascii="宋体" w:hAnsi="宋体" w:eastAsia="宋体"/>
                <w:color w:val="auto"/>
                <w:sz w:val="22"/>
                <w:highlight w:val="none"/>
                <w:u w:val="none"/>
              </w:rPr>
              <w:t>分；</w:t>
            </w:r>
            <w:r>
              <w:rPr>
                <w:rFonts w:hint="eastAsia" w:ascii="宋体" w:hAnsi="宋体" w:eastAsia="宋体"/>
                <w:color w:val="auto"/>
                <w:sz w:val="22"/>
                <w:highlight w:val="none"/>
                <w:u w:val="none"/>
                <w:lang w:val="en-US" w:eastAsia="zh-CN"/>
              </w:rPr>
              <w:t>三</w:t>
            </w:r>
            <w:r>
              <w:rPr>
                <w:rFonts w:hint="eastAsia" w:ascii="宋体" w:hAnsi="宋体" w:eastAsia="宋体"/>
                <w:color w:val="auto"/>
                <w:sz w:val="22"/>
                <w:highlight w:val="none"/>
                <w:u w:val="none"/>
              </w:rPr>
              <w:t>项资格得</w:t>
            </w:r>
            <w:r>
              <w:rPr>
                <w:rFonts w:hint="eastAsia" w:ascii="宋体" w:hAnsi="宋体" w:eastAsia="宋体"/>
                <w:color w:val="auto"/>
                <w:sz w:val="22"/>
                <w:highlight w:val="none"/>
                <w:u w:val="none"/>
                <w:lang w:val="en-US" w:eastAsia="zh-CN"/>
              </w:rPr>
              <w:t>3</w:t>
            </w:r>
            <w:r>
              <w:rPr>
                <w:rFonts w:hint="eastAsia" w:ascii="宋体" w:hAnsi="宋体" w:eastAsia="宋体"/>
                <w:color w:val="auto"/>
                <w:sz w:val="22"/>
                <w:highlight w:val="none"/>
                <w:u w:val="none"/>
              </w:rPr>
              <w:t>分</w:t>
            </w:r>
            <w:r>
              <w:rPr>
                <w:rFonts w:hint="eastAsia" w:ascii="宋体" w:hAnsi="宋体"/>
                <w:color w:val="auto"/>
                <w:sz w:val="22"/>
                <w:highlight w:val="none"/>
                <w:u w:val="none"/>
                <w:lang w:eastAsia="zh-CN"/>
              </w:rPr>
              <w:t>；</w:t>
            </w:r>
            <w:r>
              <w:rPr>
                <w:rFonts w:hint="eastAsia" w:ascii="宋体" w:hAnsi="宋体"/>
                <w:color w:val="auto"/>
                <w:sz w:val="22"/>
                <w:highlight w:val="none"/>
                <w:u w:val="none"/>
                <w:lang w:val="en-US" w:eastAsia="zh-CN"/>
              </w:rPr>
              <w:t>二</w:t>
            </w:r>
            <w:r>
              <w:rPr>
                <w:rFonts w:hint="eastAsia" w:ascii="宋体" w:hAnsi="宋体" w:eastAsia="宋体"/>
                <w:color w:val="auto"/>
                <w:sz w:val="22"/>
                <w:highlight w:val="none"/>
                <w:u w:val="none"/>
              </w:rPr>
              <w:t>项资格得</w:t>
            </w:r>
            <w:r>
              <w:rPr>
                <w:rFonts w:hint="eastAsia" w:ascii="宋体" w:hAnsi="宋体"/>
                <w:color w:val="auto"/>
                <w:sz w:val="22"/>
                <w:highlight w:val="none"/>
                <w:u w:val="none"/>
                <w:lang w:val="en-US" w:eastAsia="zh-CN"/>
              </w:rPr>
              <w:t>2</w:t>
            </w:r>
            <w:r>
              <w:rPr>
                <w:rFonts w:hint="eastAsia" w:ascii="宋体" w:hAnsi="宋体" w:eastAsia="宋体"/>
                <w:color w:val="auto"/>
                <w:sz w:val="22"/>
                <w:highlight w:val="none"/>
                <w:u w:val="none"/>
              </w:rPr>
              <w:t>分；</w:t>
            </w:r>
            <w:r>
              <w:rPr>
                <w:rFonts w:hint="eastAsia" w:ascii="宋体" w:hAnsi="宋体"/>
                <w:color w:val="auto"/>
                <w:sz w:val="22"/>
                <w:highlight w:val="none"/>
                <w:u w:val="none"/>
                <w:lang w:val="en-US" w:eastAsia="zh-CN"/>
              </w:rPr>
              <w:t>一</w:t>
            </w:r>
            <w:r>
              <w:rPr>
                <w:rFonts w:hint="eastAsia" w:ascii="宋体" w:hAnsi="宋体" w:eastAsia="宋体"/>
                <w:color w:val="auto"/>
                <w:sz w:val="22"/>
                <w:highlight w:val="none"/>
                <w:u w:val="none"/>
              </w:rPr>
              <w:t>项资格得</w:t>
            </w:r>
            <w:r>
              <w:rPr>
                <w:rFonts w:hint="eastAsia" w:ascii="宋体" w:hAnsi="宋体"/>
                <w:color w:val="auto"/>
                <w:sz w:val="22"/>
                <w:highlight w:val="none"/>
                <w:u w:val="none"/>
                <w:lang w:val="en-US" w:eastAsia="zh-CN"/>
              </w:rPr>
              <w:t>1</w:t>
            </w:r>
            <w:r>
              <w:rPr>
                <w:rFonts w:hint="eastAsia" w:ascii="宋体" w:hAnsi="宋体" w:eastAsia="宋体"/>
                <w:color w:val="auto"/>
                <w:sz w:val="22"/>
                <w:highlight w:val="none"/>
                <w:u w:val="none"/>
              </w:rPr>
              <w:t>分；</w:t>
            </w:r>
          </w:p>
          <w:p>
            <w:pPr>
              <w:numPr>
                <w:ilvl w:val="0"/>
                <w:numId w:val="16"/>
              </w:numPr>
              <w:bidi w:val="0"/>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设计管理</w:t>
            </w:r>
            <w:r>
              <w:rPr>
                <w:rFonts w:hint="eastAsia" w:ascii="宋体" w:hAnsi="宋体"/>
                <w:bCs/>
                <w:color w:val="auto"/>
                <w:sz w:val="22"/>
                <w:szCs w:val="22"/>
                <w:highlight w:val="none"/>
                <w:lang w:val="en-US" w:eastAsia="zh-CN"/>
              </w:rPr>
              <w:t>工程师1名（5分）：</w:t>
            </w:r>
            <w:r>
              <w:rPr>
                <w:rFonts w:hint="eastAsia" w:ascii="宋体" w:hAnsi="宋体" w:eastAsia="宋体"/>
                <w:bCs/>
                <w:color w:val="auto"/>
                <w:sz w:val="22"/>
                <w:szCs w:val="22"/>
                <w:highlight w:val="none"/>
              </w:rPr>
              <w:t>同时具有</w:t>
            </w:r>
            <w:r>
              <w:rPr>
                <w:rFonts w:hint="eastAsia" w:ascii="宋体" w:hAnsi="宋体" w:eastAsia="宋体"/>
                <w:bCs/>
                <w:color w:val="auto"/>
                <w:sz w:val="22"/>
                <w:szCs w:val="22"/>
                <w:highlight w:val="none"/>
                <w:lang w:val="en-US" w:eastAsia="zh-CN"/>
              </w:rPr>
              <w:t>国家</w:t>
            </w:r>
            <w:r>
              <w:rPr>
                <w:rFonts w:hint="eastAsia" w:ascii="宋体" w:hAnsi="宋体" w:eastAsia="宋体"/>
                <w:bCs/>
                <w:color w:val="auto"/>
                <w:sz w:val="22"/>
                <w:szCs w:val="22"/>
                <w:highlight w:val="none"/>
              </w:rPr>
              <w:t>注册一级结构工程师和注册一级建筑师资格</w:t>
            </w:r>
            <w:r>
              <w:rPr>
                <w:rFonts w:hint="eastAsia" w:ascii="宋体" w:hAnsi="宋体"/>
                <w:bCs/>
                <w:color w:val="auto"/>
                <w:sz w:val="22"/>
                <w:szCs w:val="22"/>
                <w:highlight w:val="none"/>
                <w:lang w:val="en-US" w:eastAsia="zh-CN"/>
              </w:rPr>
              <w:t>和土建专业高级工程师职称得5分；</w:t>
            </w:r>
            <w:r>
              <w:rPr>
                <w:rFonts w:hint="eastAsia" w:ascii="宋体" w:hAnsi="宋体"/>
                <w:color w:val="auto"/>
                <w:sz w:val="22"/>
                <w:highlight w:val="none"/>
                <w:u w:val="none"/>
                <w:lang w:val="en-US" w:eastAsia="zh-CN"/>
              </w:rPr>
              <w:t>二项资格得3分；一项得1分。</w:t>
            </w:r>
          </w:p>
          <w:p>
            <w:pPr>
              <w:numPr>
                <w:ilvl w:val="0"/>
                <w:numId w:val="16"/>
              </w:numPr>
              <w:bidi w:val="0"/>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质量管理工程师</w:t>
            </w:r>
            <w:r>
              <w:rPr>
                <w:rFonts w:hint="eastAsia" w:ascii="宋体" w:hAnsi="宋体" w:eastAsia="宋体"/>
                <w:bCs/>
                <w:color w:val="auto"/>
                <w:sz w:val="22"/>
                <w:szCs w:val="22"/>
                <w:highlight w:val="none"/>
                <w:lang w:val="en-US" w:eastAsia="zh-CN"/>
              </w:rPr>
              <w:t>1名（5分）：</w:t>
            </w:r>
            <w:r>
              <w:rPr>
                <w:rFonts w:hint="eastAsia" w:ascii="宋体" w:hAnsi="宋体" w:eastAsia="宋体"/>
                <w:bCs/>
                <w:color w:val="auto"/>
                <w:sz w:val="22"/>
                <w:szCs w:val="22"/>
                <w:highlight w:val="none"/>
              </w:rPr>
              <w:t>同时具有全国注册土木工程师（岩土）和全国注册一级结构工程师</w:t>
            </w:r>
            <w:r>
              <w:rPr>
                <w:rFonts w:hint="eastAsia" w:ascii="宋体" w:hAnsi="宋体" w:eastAsia="宋体"/>
                <w:bCs/>
                <w:color w:val="auto"/>
                <w:sz w:val="22"/>
                <w:szCs w:val="22"/>
                <w:highlight w:val="none"/>
                <w:lang w:val="en-US" w:eastAsia="zh-CN"/>
              </w:rPr>
              <w:t>和全国注册一级建造师（建筑工程）得5分；二项资格得3分；一项得1分。</w:t>
            </w:r>
          </w:p>
          <w:p>
            <w:pPr>
              <w:numPr>
                <w:ilvl w:val="0"/>
                <w:numId w:val="16"/>
              </w:numPr>
              <w:bidi w:val="0"/>
              <w:ind w:left="0" w:leftChars="0" w:firstLine="0" w:firstLineChars="0"/>
              <w:rPr>
                <w:rFonts w:hint="eastAsia" w:ascii="宋体" w:hAnsi="宋体"/>
                <w:bCs/>
                <w:color w:val="auto"/>
                <w:sz w:val="22"/>
                <w:szCs w:val="22"/>
                <w:highlight w:val="none"/>
                <w:lang w:val="en-US" w:eastAsia="zh-CN"/>
              </w:rPr>
            </w:pPr>
            <w:r>
              <w:rPr>
                <w:rFonts w:hint="eastAsia" w:ascii="宋体" w:hAnsi="宋体" w:eastAsia="宋体"/>
                <w:bCs/>
                <w:color w:val="auto"/>
                <w:sz w:val="22"/>
                <w:szCs w:val="22"/>
                <w:highlight w:val="none"/>
                <w:lang w:val="en-US" w:eastAsia="zh-CN"/>
              </w:rPr>
              <w:t>造价负责人1名（</w:t>
            </w:r>
            <w:r>
              <w:rPr>
                <w:rFonts w:hint="eastAsia" w:ascii="宋体" w:hAnsi="宋体"/>
                <w:bCs/>
                <w:color w:val="auto"/>
                <w:sz w:val="22"/>
                <w:szCs w:val="22"/>
                <w:highlight w:val="none"/>
                <w:lang w:val="en-US" w:eastAsia="zh-CN"/>
              </w:rPr>
              <w:t>5</w:t>
            </w:r>
            <w:r>
              <w:rPr>
                <w:rFonts w:hint="eastAsia" w:ascii="宋体" w:hAnsi="宋体" w:eastAsia="宋体"/>
                <w:bCs/>
                <w:color w:val="auto"/>
                <w:sz w:val="22"/>
                <w:szCs w:val="22"/>
                <w:highlight w:val="none"/>
                <w:lang w:val="en-US" w:eastAsia="zh-CN"/>
              </w:rPr>
              <w:t>分）：同时具有全国注册一级造价工程师（土木建筑专业）和咨询工程师（投资）执业资格和高级工程师职称得</w:t>
            </w:r>
            <w:r>
              <w:rPr>
                <w:rFonts w:hint="eastAsia" w:ascii="宋体" w:hAnsi="宋体"/>
                <w:bCs/>
                <w:color w:val="auto"/>
                <w:sz w:val="22"/>
                <w:szCs w:val="22"/>
                <w:highlight w:val="none"/>
                <w:lang w:val="en-US" w:eastAsia="zh-CN"/>
              </w:rPr>
              <w:t>5</w:t>
            </w:r>
            <w:r>
              <w:rPr>
                <w:rFonts w:hint="eastAsia" w:ascii="宋体" w:hAnsi="宋体" w:eastAsia="宋体"/>
                <w:bCs/>
                <w:color w:val="auto"/>
                <w:sz w:val="22"/>
                <w:szCs w:val="22"/>
                <w:highlight w:val="none"/>
                <w:lang w:val="en-US" w:eastAsia="zh-CN"/>
              </w:rPr>
              <w:t>分；二项资格得</w:t>
            </w:r>
            <w:r>
              <w:rPr>
                <w:rFonts w:hint="eastAsia" w:ascii="宋体" w:hAnsi="宋体"/>
                <w:bCs/>
                <w:color w:val="auto"/>
                <w:sz w:val="22"/>
                <w:szCs w:val="22"/>
                <w:highlight w:val="none"/>
                <w:lang w:val="en-US" w:eastAsia="zh-CN"/>
              </w:rPr>
              <w:t>3</w:t>
            </w:r>
            <w:r>
              <w:rPr>
                <w:rFonts w:hint="eastAsia" w:ascii="宋体" w:hAnsi="宋体" w:eastAsia="宋体"/>
                <w:bCs/>
                <w:color w:val="auto"/>
                <w:sz w:val="22"/>
                <w:szCs w:val="22"/>
                <w:highlight w:val="none"/>
                <w:lang w:val="en-US" w:eastAsia="zh-CN"/>
              </w:rPr>
              <w:t>分；一项得1分。</w:t>
            </w:r>
          </w:p>
          <w:p>
            <w:pPr>
              <w:numPr>
                <w:ilvl w:val="0"/>
                <w:numId w:val="0"/>
              </w:numPr>
              <w:bidi w:val="0"/>
              <w:ind w:leftChars="0"/>
              <w:rPr>
                <w:rFonts w:hint="eastAsia" w:ascii="宋体" w:hAnsi="宋体" w:eastAsia="宋体"/>
                <w:bCs/>
                <w:color w:val="auto"/>
                <w:sz w:val="22"/>
                <w:szCs w:val="22"/>
                <w:highlight w:val="none"/>
                <w:lang w:val="en-US" w:eastAsia="zh-CN"/>
              </w:rPr>
            </w:pPr>
            <w:r>
              <w:rPr>
                <w:rFonts w:hint="eastAsia" w:ascii="宋体" w:hAnsi="宋体"/>
                <w:bCs/>
                <w:color w:val="auto"/>
                <w:sz w:val="22"/>
                <w:szCs w:val="22"/>
                <w:highlight w:val="none"/>
                <w:lang w:val="en-US" w:eastAsia="zh-CN"/>
              </w:rPr>
              <w:t>5</w:t>
            </w:r>
            <w:r>
              <w:rPr>
                <w:rFonts w:hint="eastAsia" w:ascii="宋体" w:hAnsi="宋体" w:eastAsia="宋体"/>
                <w:bCs/>
                <w:color w:val="auto"/>
                <w:sz w:val="22"/>
                <w:szCs w:val="22"/>
                <w:highlight w:val="none"/>
                <w:lang w:val="en-US" w:eastAsia="zh-CN"/>
              </w:rPr>
              <w:t>、投资控制工程师1名（4分）：</w:t>
            </w:r>
            <w:r>
              <w:rPr>
                <w:rFonts w:hint="eastAsia" w:ascii="宋体" w:hAnsi="宋体" w:eastAsia="宋体"/>
                <w:bCs/>
                <w:color w:val="auto"/>
                <w:sz w:val="22"/>
                <w:szCs w:val="22"/>
                <w:highlight w:val="none"/>
              </w:rPr>
              <w:t>同时具有全国注册</w:t>
            </w:r>
            <w:r>
              <w:rPr>
                <w:rFonts w:hint="eastAsia" w:ascii="宋体" w:hAnsi="宋体" w:eastAsia="宋体"/>
                <w:bCs/>
                <w:color w:val="auto"/>
                <w:sz w:val="22"/>
                <w:szCs w:val="22"/>
                <w:highlight w:val="none"/>
                <w:lang w:val="en-US" w:eastAsia="zh-CN"/>
              </w:rPr>
              <w:t>一级</w:t>
            </w:r>
            <w:r>
              <w:rPr>
                <w:rFonts w:hint="eastAsia" w:ascii="宋体" w:hAnsi="宋体" w:eastAsia="宋体"/>
                <w:bCs/>
                <w:color w:val="auto"/>
                <w:sz w:val="22"/>
                <w:szCs w:val="22"/>
                <w:highlight w:val="none"/>
              </w:rPr>
              <w:t>造价工程师（</w:t>
            </w:r>
            <w:r>
              <w:rPr>
                <w:rFonts w:hint="eastAsia" w:ascii="宋体" w:hAnsi="宋体" w:eastAsia="宋体"/>
                <w:bCs/>
                <w:color w:val="auto"/>
                <w:sz w:val="22"/>
                <w:szCs w:val="22"/>
                <w:highlight w:val="none"/>
                <w:lang w:val="en-US" w:eastAsia="zh-CN"/>
              </w:rPr>
              <w:t>土木建筑、安装工程双专业</w:t>
            </w:r>
            <w:r>
              <w:rPr>
                <w:rFonts w:hint="eastAsia" w:ascii="宋体" w:hAnsi="宋体" w:eastAsia="宋体"/>
                <w:bCs/>
                <w:color w:val="auto"/>
                <w:sz w:val="22"/>
                <w:szCs w:val="22"/>
                <w:highlight w:val="none"/>
              </w:rPr>
              <w:t>）</w:t>
            </w:r>
            <w:r>
              <w:rPr>
                <w:rFonts w:hint="eastAsia" w:ascii="宋体" w:hAnsi="宋体" w:eastAsia="宋体"/>
                <w:color w:val="auto"/>
                <w:sz w:val="22"/>
                <w:highlight w:val="none"/>
                <w:u w:val="none"/>
              </w:rPr>
              <w:t>得</w:t>
            </w:r>
            <w:r>
              <w:rPr>
                <w:rFonts w:hint="eastAsia" w:ascii="宋体" w:hAnsi="宋体" w:eastAsia="宋体"/>
                <w:color w:val="auto"/>
                <w:sz w:val="22"/>
                <w:highlight w:val="none"/>
                <w:lang w:val="en-US" w:eastAsia="zh-CN"/>
              </w:rPr>
              <w:t>4分；</w:t>
            </w:r>
            <w:r>
              <w:rPr>
                <w:rFonts w:hint="eastAsia" w:ascii="宋体" w:hAnsi="宋体" w:eastAsia="宋体"/>
                <w:color w:val="auto"/>
                <w:sz w:val="22"/>
                <w:highlight w:val="none"/>
                <w:u w:val="none"/>
                <w:lang w:val="en-US" w:eastAsia="zh-CN"/>
              </w:rPr>
              <w:t>一项专业得2分</w:t>
            </w:r>
            <w:r>
              <w:rPr>
                <w:rFonts w:hint="eastAsia" w:ascii="宋体" w:hAnsi="宋体" w:eastAsia="宋体"/>
                <w:bCs/>
                <w:color w:val="auto"/>
                <w:sz w:val="22"/>
                <w:szCs w:val="22"/>
                <w:highlight w:val="none"/>
                <w:lang w:val="en-US" w:eastAsia="zh-CN"/>
              </w:rPr>
              <w:t>。</w:t>
            </w:r>
          </w:p>
          <w:p>
            <w:pPr>
              <w:keepNext w:val="0"/>
              <w:keepLines w:val="0"/>
              <w:pageBreakBefore w:val="0"/>
              <w:kinsoku/>
              <w:wordWrap w:val="0"/>
              <w:overflowPunct/>
              <w:topLinePunct w:val="0"/>
              <w:autoSpaceDE/>
              <w:autoSpaceDN/>
              <w:bidi w:val="0"/>
              <w:snapToGrid/>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【注：</w:t>
            </w:r>
            <w:r>
              <w:rPr>
                <w:rFonts w:hint="eastAsia" w:ascii="宋体" w:hAnsi="宋体"/>
                <w:bCs/>
                <w:color w:val="auto"/>
                <w:sz w:val="22"/>
                <w:szCs w:val="22"/>
                <w:highlight w:val="none"/>
                <w:lang w:eastAsia="zh-CN"/>
              </w:rPr>
              <w:t>以上岗位不兼任，</w:t>
            </w:r>
            <w:r>
              <w:rPr>
                <w:rFonts w:hint="eastAsia" w:ascii="宋体" w:hAnsi="宋体" w:eastAsia="宋体"/>
                <w:bCs/>
                <w:color w:val="auto"/>
                <w:sz w:val="22"/>
                <w:szCs w:val="22"/>
                <w:highlight w:val="none"/>
              </w:rPr>
              <w:t>提供相关的证书扫描件、投标截止日期前的近6个月的社保证明（加盖投标人公章）</w:t>
            </w:r>
            <w:r>
              <w:rPr>
                <w:rFonts w:hint="eastAsia" w:ascii="宋体" w:hAnsi="宋体" w:eastAsia="宋体"/>
                <w:bCs/>
                <w:color w:val="auto"/>
                <w:sz w:val="22"/>
                <w:szCs w:val="22"/>
                <w:highlight w:val="none"/>
                <w:lang w:val="en-US" w:eastAsia="zh-CN"/>
              </w:rPr>
              <w:t>。</w:t>
            </w:r>
            <w:r>
              <w:rPr>
                <w:rFonts w:hint="eastAsia" w:ascii="宋体" w:hAnsi="宋体" w:eastAsia="宋体"/>
                <w:bCs/>
                <w:color w:val="auto"/>
                <w:sz w:val="22"/>
                <w:szCs w:val="22"/>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color w:val="auto"/>
                <w:sz w:val="22"/>
                <w:szCs w:val="22"/>
                <w:highlight w:val="none"/>
              </w:rPr>
            </w:pPr>
            <w:r>
              <w:rPr>
                <w:rFonts w:hint="eastAsia" w:ascii="宋体" w:hAnsi="宋体"/>
                <w:color w:val="auto"/>
                <w:sz w:val="22"/>
                <w:szCs w:val="22"/>
                <w:highlight w:val="none"/>
              </w:rPr>
              <w:t>2</w:t>
            </w:r>
          </w:p>
        </w:tc>
        <w:tc>
          <w:tcPr>
            <w:tcW w:w="1575"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企业实力</w:t>
            </w:r>
          </w:p>
        </w:tc>
        <w:tc>
          <w:tcPr>
            <w:tcW w:w="802"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0-</w:t>
            </w:r>
            <w:r>
              <w:rPr>
                <w:rFonts w:hint="eastAsia" w:ascii="宋体" w:hAnsi="宋体"/>
                <w:bCs/>
                <w:color w:val="auto"/>
                <w:sz w:val="22"/>
                <w:szCs w:val="22"/>
                <w:highlight w:val="none"/>
                <w:lang w:val="en-US" w:eastAsia="zh-CN"/>
              </w:rPr>
              <w:t>8</w:t>
            </w:r>
            <w:r>
              <w:rPr>
                <w:rFonts w:hint="eastAsia" w:ascii="宋体" w:hAnsi="宋体"/>
                <w:bCs/>
                <w:color w:val="auto"/>
                <w:sz w:val="22"/>
                <w:szCs w:val="22"/>
                <w:highlight w:val="none"/>
              </w:rPr>
              <w:t>分</w:t>
            </w:r>
          </w:p>
        </w:tc>
        <w:tc>
          <w:tcPr>
            <w:tcW w:w="6829" w:type="dxa"/>
            <w:vAlign w:val="center"/>
          </w:tcPr>
          <w:p>
            <w:pPr>
              <w:keepNext w:val="0"/>
              <w:keepLines w:val="0"/>
              <w:pageBreakBefore w:val="0"/>
              <w:numPr>
                <w:ilvl w:val="0"/>
                <w:numId w:val="0"/>
              </w:numPr>
              <w:kinsoku/>
              <w:wordWrap w:val="0"/>
              <w:overflowPunct/>
              <w:topLinePunct w:val="0"/>
              <w:autoSpaceDE/>
              <w:autoSpaceDN/>
              <w:bidi w:val="0"/>
              <w:snapToGrid/>
              <w:rPr>
                <w:rFonts w:hint="eastAsia"/>
                <w:color w:val="auto"/>
                <w:sz w:val="22"/>
                <w:szCs w:val="22"/>
                <w:highlight w:val="none"/>
                <w:lang w:val="en-US" w:eastAsia="zh-CN"/>
              </w:rPr>
            </w:pPr>
            <w:r>
              <w:rPr>
                <w:rFonts w:hint="eastAsia"/>
                <w:color w:val="auto"/>
                <w:sz w:val="22"/>
                <w:szCs w:val="22"/>
                <w:highlight w:val="none"/>
                <w:lang w:val="en-US" w:eastAsia="zh-CN"/>
              </w:rPr>
              <w:t>1、</w:t>
            </w:r>
            <w:r>
              <w:rPr>
                <w:rFonts w:hint="eastAsia"/>
                <w:color w:val="auto"/>
                <w:sz w:val="22"/>
                <w:szCs w:val="22"/>
                <w:highlight w:val="none"/>
              </w:rPr>
              <w:t>投标人</w:t>
            </w:r>
            <w:r>
              <w:rPr>
                <w:rFonts w:hint="eastAsia"/>
                <w:color w:val="auto"/>
                <w:sz w:val="22"/>
                <w:highlight w:val="none"/>
                <w:lang w:val="en-US" w:eastAsia="zh-CN"/>
              </w:rPr>
              <w:t>具备国</w:t>
            </w:r>
            <w:r>
              <w:rPr>
                <w:rFonts w:hint="eastAsia"/>
                <w:color w:val="auto"/>
                <w:sz w:val="22"/>
                <w:highlight w:val="none"/>
                <w:u w:val="none"/>
                <w:lang w:val="en-US" w:eastAsia="zh-CN"/>
              </w:rPr>
              <w:t>家</w:t>
            </w:r>
            <w:r>
              <w:rPr>
                <w:rFonts w:hint="eastAsia"/>
                <w:color w:val="auto"/>
                <w:sz w:val="22"/>
                <w:highlight w:val="none"/>
                <w:lang w:val="en-US" w:eastAsia="zh-CN"/>
              </w:rPr>
              <w:t>建设工程造价管理协会AAA级信用评价且在有效期内的得3分。投标人具备</w:t>
            </w:r>
            <w:r>
              <w:rPr>
                <w:rFonts w:hint="eastAsia"/>
                <w:color w:val="auto"/>
                <w:sz w:val="22"/>
                <w:highlight w:val="none"/>
                <w:u w:val="none"/>
                <w:lang w:val="en-US" w:eastAsia="zh-CN"/>
              </w:rPr>
              <w:t>省</w:t>
            </w:r>
            <w:r>
              <w:rPr>
                <w:rFonts w:hint="eastAsia"/>
                <w:color w:val="auto"/>
                <w:sz w:val="22"/>
                <w:szCs w:val="22"/>
                <w:highlight w:val="none"/>
                <w:lang w:val="en-US" w:eastAsia="zh-CN"/>
              </w:rPr>
              <w:t>建设工程造价管理协会AAA级信用评价且在有效期内的</w:t>
            </w:r>
            <w:r>
              <w:rPr>
                <w:rFonts w:hint="eastAsia"/>
                <w:color w:val="auto"/>
                <w:sz w:val="22"/>
                <w:highlight w:val="none"/>
                <w:u w:val="none"/>
                <w:lang w:val="en-US" w:eastAsia="zh-CN"/>
              </w:rPr>
              <w:t>得2分</w:t>
            </w:r>
          </w:p>
          <w:p>
            <w:pPr>
              <w:keepNext w:val="0"/>
              <w:keepLines w:val="0"/>
              <w:pageBreakBefore w:val="0"/>
              <w:kinsoku/>
              <w:wordWrap w:val="0"/>
              <w:overflowPunct/>
              <w:topLinePunct w:val="0"/>
              <w:autoSpaceDE/>
              <w:autoSpaceDN/>
              <w:bidi w:val="0"/>
              <w:snapToGrid/>
              <w:rPr>
                <w:rFonts w:hint="eastAsia"/>
                <w:color w:val="auto"/>
                <w:sz w:val="22"/>
                <w:szCs w:val="22"/>
                <w:highlight w:val="none"/>
                <w:lang w:val="en-US" w:eastAsia="zh-CN"/>
              </w:rPr>
            </w:pPr>
            <w:r>
              <w:rPr>
                <w:rFonts w:hint="eastAsia"/>
                <w:color w:val="auto"/>
                <w:sz w:val="22"/>
                <w:szCs w:val="22"/>
                <w:highlight w:val="none"/>
                <w:lang w:val="en-US" w:eastAsia="zh-CN"/>
              </w:rPr>
              <w:t>2</w:t>
            </w:r>
            <w:r>
              <w:rPr>
                <w:rFonts w:hint="eastAsia"/>
                <w:color w:val="auto"/>
                <w:sz w:val="22"/>
                <w:szCs w:val="22"/>
                <w:highlight w:val="none"/>
              </w:rPr>
              <w:t>、投标人</w:t>
            </w:r>
            <w:r>
              <w:rPr>
                <w:rFonts w:hint="eastAsia"/>
                <w:color w:val="auto"/>
                <w:sz w:val="22"/>
                <w:szCs w:val="22"/>
                <w:highlight w:val="none"/>
                <w:lang w:val="en-US" w:eastAsia="zh-CN"/>
              </w:rPr>
              <w:t>同时</w:t>
            </w:r>
            <w:r>
              <w:rPr>
                <w:rFonts w:hint="eastAsia"/>
                <w:color w:val="auto"/>
                <w:sz w:val="22"/>
                <w:szCs w:val="22"/>
                <w:highlight w:val="none"/>
              </w:rPr>
              <w:t>有效期内</w:t>
            </w:r>
            <w:r>
              <w:rPr>
                <w:rFonts w:hint="eastAsia"/>
                <w:color w:val="auto"/>
                <w:sz w:val="22"/>
                <w:szCs w:val="22"/>
                <w:highlight w:val="none"/>
                <w:lang w:val="en-US" w:eastAsia="zh-CN"/>
              </w:rPr>
              <w:t>的</w:t>
            </w:r>
            <w:r>
              <w:rPr>
                <w:rFonts w:hint="eastAsia"/>
                <w:color w:val="auto"/>
                <w:sz w:val="22"/>
                <w:szCs w:val="22"/>
                <w:highlight w:val="none"/>
              </w:rPr>
              <w:t>质量管理体系、环境管理体系、职业健康安全管理体系</w:t>
            </w:r>
            <w:r>
              <w:rPr>
                <w:rFonts w:hint="eastAsia"/>
                <w:color w:val="auto"/>
                <w:sz w:val="22"/>
                <w:szCs w:val="22"/>
                <w:highlight w:val="none"/>
                <w:lang w:eastAsia="zh-CN"/>
              </w:rPr>
              <w:t>、信息安全管理体系</w:t>
            </w:r>
            <w:r>
              <w:rPr>
                <w:rFonts w:hint="eastAsia"/>
                <w:color w:val="auto"/>
                <w:sz w:val="22"/>
                <w:szCs w:val="22"/>
                <w:highlight w:val="none"/>
                <w:lang w:val="en-US" w:eastAsia="zh-CN"/>
              </w:rPr>
              <w:t>四项</w:t>
            </w:r>
            <w:r>
              <w:rPr>
                <w:rFonts w:hint="eastAsia"/>
                <w:color w:val="auto"/>
                <w:sz w:val="22"/>
                <w:szCs w:val="22"/>
                <w:highlight w:val="none"/>
                <w:lang w:eastAsia="zh-CN"/>
              </w:rPr>
              <w:t>认证证书，</w:t>
            </w:r>
            <w:r>
              <w:rPr>
                <w:rFonts w:hint="eastAsia"/>
                <w:color w:val="auto"/>
                <w:sz w:val="22"/>
                <w:highlight w:val="none"/>
                <w:lang w:val="en-US" w:eastAsia="zh-CN"/>
              </w:rPr>
              <w:t>得5分；</w:t>
            </w:r>
            <w:r>
              <w:rPr>
                <w:rFonts w:hint="eastAsia"/>
                <w:color w:val="auto"/>
                <w:sz w:val="22"/>
                <w:highlight w:val="none"/>
                <w:u w:val="none"/>
                <w:lang w:val="en-US" w:eastAsia="zh-CN"/>
              </w:rPr>
              <w:t>三证</w:t>
            </w:r>
            <w:r>
              <w:rPr>
                <w:rFonts w:hint="eastAsia"/>
                <w:color w:val="auto"/>
                <w:sz w:val="22"/>
                <w:highlight w:val="none"/>
                <w:lang w:val="en-US" w:eastAsia="zh-CN"/>
              </w:rPr>
              <w:t>得3分；</w:t>
            </w:r>
            <w:r>
              <w:rPr>
                <w:rFonts w:hint="eastAsia"/>
                <w:color w:val="auto"/>
                <w:sz w:val="22"/>
                <w:highlight w:val="none"/>
                <w:u w:val="none"/>
                <w:lang w:val="en-US" w:eastAsia="zh-CN"/>
              </w:rPr>
              <w:t>二证得2分；一证得1分；</w:t>
            </w:r>
            <w:r>
              <w:rPr>
                <w:rFonts w:hint="eastAsia"/>
                <w:color w:val="auto"/>
                <w:sz w:val="22"/>
                <w:szCs w:val="22"/>
                <w:highlight w:val="none"/>
                <w:lang w:val="en-US" w:eastAsia="zh-CN"/>
              </w:rPr>
              <w:t>均不具备得0分</w:t>
            </w:r>
            <w:r>
              <w:rPr>
                <w:rFonts w:hint="eastAsia"/>
                <w:color w:val="auto"/>
                <w:sz w:val="22"/>
                <w:szCs w:val="22"/>
                <w:highlight w:val="none"/>
              </w:rPr>
              <w:t>。</w:t>
            </w:r>
          </w:p>
          <w:p>
            <w:pPr>
              <w:keepNext w:val="0"/>
              <w:keepLines w:val="0"/>
              <w:pageBreakBefore w:val="0"/>
              <w:kinsoku/>
              <w:wordWrap w:val="0"/>
              <w:overflowPunct/>
              <w:topLinePunct w:val="0"/>
              <w:autoSpaceDE/>
              <w:autoSpaceDN/>
              <w:bidi w:val="0"/>
              <w:snapToGrid/>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【注：提供相关的证书扫描件、</w:t>
            </w:r>
            <w:r>
              <w:rPr>
                <w:rFonts w:hint="eastAsia" w:ascii="宋体" w:hAnsi="宋体" w:eastAsia="宋体"/>
                <w:bCs/>
                <w:color w:val="auto"/>
                <w:sz w:val="22"/>
                <w:szCs w:val="22"/>
                <w:highlight w:val="none"/>
                <w:lang w:val="en-US" w:eastAsia="zh-CN"/>
              </w:rPr>
              <w:t>体系认证证书还需提供全国认证认可信息公共服务平台查询结果截图，否则不得分。</w:t>
            </w:r>
            <w:r>
              <w:rPr>
                <w:rFonts w:hint="eastAsia" w:ascii="宋体" w:hAnsi="宋体" w:eastAsia="宋体"/>
                <w:bCs/>
                <w:color w:val="auto"/>
                <w:sz w:val="22"/>
                <w:szCs w:val="22"/>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color w:val="auto"/>
                <w:sz w:val="22"/>
                <w:szCs w:val="22"/>
                <w:highlight w:val="none"/>
              </w:rPr>
            </w:pPr>
            <w:r>
              <w:rPr>
                <w:rFonts w:hint="eastAsia" w:ascii="宋体" w:hAnsi="宋体"/>
                <w:color w:val="auto"/>
                <w:sz w:val="22"/>
                <w:szCs w:val="22"/>
                <w:highlight w:val="none"/>
              </w:rPr>
              <w:t>3</w:t>
            </w:r>
          </w:p>
        </w:tc>
        <w:tc>
          <w:tcPr>
            <w:tcW w:w="1575"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类似项目业绩</w:t>
            </w:r>
          </w:p>
        </w:tc>
        <w:tc>
          <w:tcPr>
            <w:tcW w:w="802"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0-1分</w:t>
            </w:r>
          </w:p>
        </w:tc>
        <w:tc>
          <w:tcPr>
            <w:tcW w:w="6829"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eastAsia="宋体"/>
                <w:bCs/>
                <w:color w:val="auto"/>
                <w:sz w:val="22"/>
                <w:szCs w:val="22"/>
                <w:highlight w:val="none"/>
                <w:lang w:val="en-US" w:eastAsia="zh-CN"/>
              </w:rPr>
              <w:t>独立</w:t>
            </w:r>
            <w:r>
              <w:rPr>
                <w:rFonts w:hint="eastAsia" w:ascii="宋体" w:hAnsi="宋体"/>
                <w:bCs/>
                <w:color w:val="auto"/>
                <w:sz w:val="22"/>
                <w:szCs w:val="22"/>
                <w:highlight w:val="none"/>
                <w:lang w:val="en-US" w:eastAsia="zh-CN"/>
              </w:rPr>
              <w:t>完成过</w:t>
            </w:r>
            <w:r>
              <w:rPr>
                <w:rFonts w:hint="eastAsia" w:ascii="宋体" w:hAnsi="宋体" w:eastAsia="宋体"/>
                <w:bCs/>
                <w:color w:val="auto"/>
                <w:sz w:val="22"/>
                <w:szCs w:val="22"/>
                <w:highlight w:val="none"/>
                <w:lang w:val="en-US" w:eastAsia="zh-CN"/>
              </w:rPr>
              <w:t>的房屋建筑（不含厂房）</w:t>
            </w:r>
            <w:r>
              <w:rPr>
                <w:rFonts w:hint="eastAsia" w:ascii="宋体" w:hAnsi="宋体"/>
                <w:bCs/>
                <w:color w:val="auto"/>
                <w:sz w:val="22"/>
                <w:szCs w:val="22"/>
                <w:highlight w:val="none"/>
                <w:lang w:val="en-US" w:eastAsia="zh-CN"/>
              </w:rPr>
              <w:t>全过程工程咨询</w:t>
            </w:r>
            <w:r>
              <w:rPr>
                <w:rFonts w:hint="eastAsia" w:ascii="宋体" w:hAnsi="宋体" w:eastAsia="宋体"/>
                <w:bCs/>
                <w:color w:val="auto"/>
                <w:sz w:val="22"/>
                <w:szCs w:val="22"/>
                <w:highlight w:val="none"/>
                <w:lang w:val="en-US" w:eastAsia="zh-CN"/>
              </w:rPr>
              <w:t>服务</w:t>
            </w:r>
            <w:r>
              <w:rPr>
                <w:rFonts w:hint="eastAsia" w:ascii="宋体" w:hAnsi="宋体" w:eastAsia="宋体"/>
                <w:bCs/>
                <w:color w:val="auto"/>
                <w:sz w:val="22"/>
                <w:szCs w:val="22"/>
                <w:highlight w:val="none"/>
              </w:rPr>
              <w:t>项目</w:t>
            </w:r>
            <w:r>
              <w:rPr>
                <w:rFonts w:hint="eastAsia" w:ascii="宋体" w:hAnsi="宋体" w:eastAsia="宋体"/>
                <w:bCs/>
                <w:color w:val="auto"/>
                <w:sz w:val="22"/>
                <w:szCs w:val="22"/>
                <w:highlight w:val="none"/>
                <w:lang w:val="en-US" w:eastAsia="zh-CN"/>
              </w:rPr>
              <w:t>的</w:t>
            </w:r>
            <w:r>
              <w:rPr>
                <w:rFonts w:hint="eastAsia" w:ascii="宋体" w:hAnsi="宋体" w:eastAsia="宋体"/>
                <w:bCs/>
                <w:color w:val="auto"/>
                <w:sz w:val="22"/>
                <w:szCs w:val="22"/>
                <w:highlight w:val="none"/>
              </w:rPr>
              <w:t>每个得</w:t>
            </w:r>
            <w:r>
              <w:rPr>
                <w:rFonts w:hint="eastAsia" w:ascii="宋体" w:hAnsi="宋体"/>
                <w:bCs/>
                <w:color w:val="auto"/>
                <w:sz w:val="22"/>
                <w:szCs w:val="22"/>
                <w:highlight w:val="none"/>
                <w:lang w:val="en-US" w:eastAsia="zh-CN"/>
              </w:rPr>
              <w:t>1</w:t>
            </w:r>
            <w:r>
              <w:rPr>
                <w:rFonts w:hint="eastAsia" w:ascii="宋体" w:hAnsi="宋体" w:eastAsia="宋体"/>
                <w:bCs/>
                <w:color w:val="auto"/>
                <w:sz w:val="22"/>
                <w:szCs w:val="22"/>
                <w:highlight w:val="none"/>
              </w:rPr>
              <w:t>分，此项满分</w:t>
            </w:r>
            <w:r>
              <w:rPr>
                <w:rFonts w:hint="eastAsia" w:ascii="宋体" w:hAnsi="宋体" w:eastAsia="宋体"/>
                <w:bCs/>
                <w:color w:val="auto"/>
                <w:sz w:val="22"/>
                <w:szCs w:val="22"/>
                <w:highlight w:val="none"/>
                <w:lang w:val="en-US" w:eastAsia="zh-CN"/>
              </w:rPr>
              <w:t>1</w:t>
            </w:r>
            <w:r>
              <w:rPr>
                <w:rFonts w:hint="eastAsia" w:ascii="宋体" w:hAnsi="宋体" w:eastAsia="宋体"/>
                <w:bCs/>
                <w:color w:val="auto"/>
                <w:sz w:val="22"/>
                <w:szCs w:val="22"/>
                <w:highlight w:val="none"/>
              </w:rPr>
              <w:t>分。</w:t>
            </w:r>
          </w:p>
          <w:p>
            <w:pPr>
              <w:keepNext w:val="0"/>
              <w:keepLines w:val="0"/>
              <w:pageBreakBefore w:val="0"/>
              <w:kinsoku/>
              <w:wordWrap w:val="0"/>
              <w:overflowPunct/>
              <w:topLinePunct w:val="0"/>
              <w:autoSpaceDE/>
              <w:autoSpaceDN/>
              <w:bidi w:val="0"/>
              <w:snapToGrid/>
              <w:rPr>
                <w:rFonts w:hint="eastAsia" w:ascii="宋体" w:hAnsi="宋体" w:eastAsia="宋体"/>
                <w:bCs/>
                <w:color w:val="auto"/>
                <w:sz w:val="22"/>
                <w:szCs w:val="22"/>
                <w:highlight w:val="none"/>
              </w:rPr>
            </w:pPr>
            <w:r>
              <w:rPr>
                <w:rFonts w:hint="eastAsia" w:ascii="宋体" w:hAnsi="宋体" w:eastAsia="宋体"/>
                <w:bCs/>
                <w:color w:val="auto"/>
                <w:sz w:val="22"/>
                <w:szCs w:val="22"/>
                <w:highlight w:val="none"/>
              </w:rPr>
              <w:t>【注：投标文件中提供中标通知书、合同</w:t>
            </w:r>
            <w:r>
              <w:rPr>
                <w:rFonts w:hint="eastAsia" w:ascii="宋体" w:hAnsi="宋体"/>
                <w:bCs/>
                <w:color w:val="auto"/>
                <w:sz w:val="22"/>
                <w:szCs w:val="22"/>
                <w:highlight w:val="none"/>
                <w:lang w:val="en-US" w:eastAsia="zh-CN"/>
              </w:rPr>
              <w:t>及竣工验收报告</w:t>
            </w:r>
            <w:r>
              <w:rPr>
                <w:rFonts w:hint="eastAsia" w:ascii="宋体" w:hAnsi="宋体" w:eastAsia="宋体"/>
                <w:bCs/>
                <w:color w:val="auto"/>
                <w:sz w:val="22"/>
                <w:szCs w:val="22"/>
                <w:highlight w:val="none"/>
              </w:rPr>
              <w:t>加盖投标单位公章。全过程工程咨询</w:t>
            </w:r>
            <w:r>
              <w:rPr>
                <w:rFonts w:hint="eastAsia" w:ascii="宋体" w:hAnsi="宋体" w:eastAsia="宋体"/>
                <w:bCs/>
                <w:color w:val="auto"/>
                <w:sz w:val="22"/>
                <w:szCs w:val="22"/>
                <w:highlight w:val="none"/>
                <w:lang w:val="en-US" w:eastAsia="zh-CN"/>
              </w:rPr>
              <w:t>服务</w:t>
            </w:r>
            <w:r>
              <w:rPr>
                <w:rFonts w:hint="eastAsia" w:ascii="宋体" w:hAnsi="宋体" w:eastAsia="宋体"/>
                <w:bCs/>
                <w:color w:val="auto"/>
                <w:sz w:val="22"/>
                <w:szCs w:val="22"/>
                <w:highlight w:val="none"/>
              </w:rPr>
              <w:t>合同内容中至少包含</w:t>
            </w:r>
            <w:r>
              <w:rPr>
                <w:rFonts w:hint="eastAsia" w:ascii="宋体" w:hAnsi="宋体"/>
                <w:bCs/>
                <w:color w:val="auto"/>
                <w:sz w:val="22"/>
                <w:szCs w:val="22"/>
                <w:highlight w:val="none"/>
                <w:lang w:val="en-US" w:eastAsia="zh-CN"/>
              </w:rPr>
              <w:t>编制工程量清单或招标控制价编制或审核或施工阶段全过程造价控制或竣工结算审核</w:t>
            </w:r>
            <w:r>
              <w:rPr>
                <w:rFonts w:hint="eastAsia" w:ascii="宋体" w:hAnsi="宋体" w:eastAsia="宋体"/>
                <w:bCs/>
                <w:color w:val="auto"/>
                <w:sz w:val="22"/>
                <w:szCs w:val="22"/>
                <w:highlight w:val="none"/>
                <w:lang w:eastAsia="zh-CN"/>
              </w:rPr>
              <w:t>。</w:t>
            </w:r>
            <w:r>
              <w:rPr>
                <w:rFonts w:hint="eastAsia" w:ascii="宋体" w:hAnsi="宋体"/>
                <w:bCs/>
                <w:color w:val="auto"/>
                <w:sz w:val="22"/>
                <w:szCs w:val="22"/>
                <w:highlight w:val="none"/>
                <w:lang w:val="en-US" w:eastAsia="zh-CN"/>
              </w:rPr>
              <w:t>企业业绩可以和项目负责人业绩重复。】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18"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color w:val="auto"/>
                <w:sz w:val="22"/>
                <w:szCs w:val="22"/>
                <w:highlight w:val="none"/>
              </w:rPr>
            </w:pPr>
            <w:r>
              <w:rPr>
                <w:rFonts w:hint="eastAsia" w:ascii="宋体" w:hAnsi="宋体"/>
                <w:color w:val="auto"/>
                <w:sz w:val="22"/>
                <w:szCs w:val="22"/>
                <w:highlight w:val="none"/>
              </w:rPr>
              <w:t>4</w:t>
            </w:r>
          </w:p>
        </w:tc>
        <w:tc>
          <w:tcPr>
            <w:tcW w:w="1575"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企业获奖情况</w:t>
            </w:r>
          </w:p>
        </w:tc>
        <w:tc>
          <w:tcPr>
            <w:tcW w:w="802" w:type="dxa"/>
            <w:vAlign w:val="center"/>
          </w:tcPr>
          <w:p>
            <w:pPr>
              <w:keepNext w:val="0"/>
              <w:keepLines w:val="0"/>
              <w:pageBreakBefore w:val="0"/>
              <w:kinsoku/>
              <w:wordWrap w:val="0"/>
              <w:overflowPunct/>
              <w:topLinePunct w:val="0"/>
              <w:autoSpaceDE/>
              <w:autoSpaceDN/>
              <w:bidi w:val="0"/>
              <w:snapToGrid/>
              <w:rPr>
                <w:rFonts w:hint="eastAsia" w:ascii="宋体" w:hAnsi="宋体"/>
                <w:bCs/>
                <w:color w:val="auto"/>
                <w:sz w:val="22"/>
                <w:szCs w:val="22"/>
                <w:highlight w:val="none"/>
              </w:rPr>
            </w:pPr>
            <w:r>
              <w:rPr>
                <w:rFonts w:hint="eastAsia" w:ascii="宋体" w:hAnsi="宋体"/>
                <w:bCs/>
                <w:color w:val="auto"/>
                <w:sz w:val="22"/>
                <w:szCs w:val="22"/>
                <w:highlight w:val="none"/>
              </w:rPr>
              <w:t>0-7分</w:t>
            </w:r>
          </w:p>
        </w:tc>
        <w:tc>
          <w:tcPr>
            <w:tcW w:w="6829" w:type="dxa"/>
            <w:vAlign w:val="center"/>
          </w:tcPr>
          <w:p>
            <w:pPr>
              <w:keepNext w:val="0"/>
              <w:keepLines w:val="0"/>
              <w:pageBreakBefore w:val="0"/>
              <w:kinsoku/>
              <w:wordWrap w:val="0"/>
              <w:overflowPunct/>
              <w:topLinePunct w:val="0"/>
              <w:autoSpaceDE/>
              <w:autoSpaceDN/>
              <w:bidi w:val="0"/>
              <w:snapToGrid/>
              <w:rPr>
                <w:rFonts w:hint="default" w:ascii="宋体" w:hAnsi="宋体"/>
                <w:bCs/>
                <w:color w:val="auto"/>
                <w:kern w:val="0"/>
                <w:sz w:val="22"/>
                <w:szCs w:val="22"/>
                <w:highlight w:val="none"/>
                <w:lang w:val="en-US" w:eastAsia="zh-CN"/>
              </w:rPr>
            </w:pPr>
            <w:r>
              <w:rPr>
                <w:rFonts w:hint="eastAsia" w:ascii="宋体" w:hAnsi="宋体"/>
                <w:bCs/>
                <w:color w:val="auto"/>
                <w:kern w:val="0"/>
                <w:sz w:val="22"/>
                <w:szCs w:val="22"/>
                <w:highlight w:val="none"/>
                <w:lang w:val="en-US" w:eastAsia="zh-CN"/>
              </w:rPr>
              <w:t>根据投标人的企业荣誉、奖项等情况，进行评审；贴合采购需求的得5-7分；基本贴合采购需求的得2-5分；部分贴合采购需求的得0-2分；</w:t>
            </w:r>
          </w:p>
          <w:p>
            <w:pPr>
              <w:keepNext w:val="0"/>
              <w:keepLines w:val="0"/>
              <w:pageBreakBefore w:val="0"/>
              <w:kinsoku/>
              <w:wordWrap w:val="0"/>
              <w:overflowPunct/>
              <w:topLinePunct w:val="0"/>
              <w:autoSpaceDE/>
              <w:autoSpaceDN/>
              <w:bidi w:val="0"/>
              <w:snapToGrid/>
              <w:rPr>
                <w:rFonts w:hint="eastAsia" w:ascii="宋体" w:hAnsi="宋体"/>
                <w:bCs/>
                <w:color w:val="auto"/>
                <w:kern w:val="0"/>
                <w:sz w:val="22"/>
                <w:szCs w:val="22"/>
                <w:highlight w:val="none"/>
              </w:rPr>
            </w:pPr>
            <w:r>
              <w:rPr>
                <w:rFonts w:hint="eastAsia" w:ascii="宋体" w:hAnsi="宋体"/>
                <w:bCs/>
                <w:color w:val="auto"/>
                <w:kern w:val="0"/>
                <w:sz w:val="22"/>
                <w:szCs w:val="22"/>
                <w:highlight w:val="none"/>
              </w:rPr>
              <w:t>【注：需提供获奖证书或获奖文件</w:t>
            </w:r>
            <w:r>
              <w:rPr>
                <w:rFonts w:hint="eastAsia" w:ascii="宋体" w:hAnsi="宋体"/>
                <w:bCs/>
                <w:color w:val="auto"/>
                <w:kern w:val="0"/>
                <w:sz w:val="22"/>
                <w:szCs w:val="22"/>
                <w:highlight w:val="none"/>
                <w:lang w:eastAsia="zh-CN"/>
              </w:rPr>
              <w:t>、</w:t>
            </w:r>
            <w:r>
              <w:rPr>
                <w:rFonts w:hint="eastAsia" w:ascii="宋体" w:hAnsi="宋体"/>
                <w:bCs/>
                <w:color w:val="auto"/>
                <w:kern w:val="0"/>
                <w:sz w:val="22"/>
                <w:szCs w:val="22"/>
                <w:highlight w:val="none"/>
                <w:lang w:val="en-US" w:eastAsia="zh-CN"/>
              </w:rPr>
              <w:t>竣工验收报告扫描件（须体现投标人名称），加盖投标人公章，</w:t>
            </w:r>
            <w:r>
              <w:rPr>
                <w:rFonts w:hint="eastAsia" w:ascii="宋体" w:hAnsi="宋体"/>
                <w:bCs/>
                <w:color w:val="auto"/>
                <w:kern w:val="0"/>
                <w:sz w:val="22"/>
                <w:szCs w:val="22"/>
                <w:highlight w:val="none"/>
              </w:rPr>
              <w:t>否则不计分。</w:t>
            </w:r>
            <w:r>
              <w:rPr>
                <w:rFonts w:hint="eastAsia" w:ascii="宋体" w:hAnsi="宋体"/>
                <w:bCs/>
                <w:color w:val="auto"/>
                <w:kern w:val="0"/>
                <w:sz w:val="22"/>
                <w:szCs w:val="22"/>
                <w:highlight w:val="none"/>
                <w:lang w:val="en-US" w:eastAsia="zh-CN"/>
              </w:rPr>
              <w:t>相同项目仅计取最高分。</w:t>
            </w:r>
            <w:r>
              <w:rPr>
                <w:rFonts w:hint="eastAsia" w:ascii="宋体" w:hAnsi="宋体"/>
                <w:bCs/>
                <w:color w:val="auto"/>
                <w:kern w:val="0"/>
                <w:sz w:val="22"/>
                <w:szCs w:val="22"/>
                <w:highlight w:val="none"/>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5</w:t>
            </w:r>
          </w:p>
        </w:tc>
        <w:tc>
          <w:tcPr>
            <w:tcW w:w="1575" w:type="dxa"/>
            <w:vAlign w:val="center"/>
          </w:tcPr>
          <w:p>
            <w:pPr>
              <w:keepNext w:val="0"/>
              <w:keepLines w:val="0"/>
              <w:pageBreakBefore w:val="0"/>
              <w:widowControl/>
              <w:kinsoku/>
              <w:wordWrap w:val="0"/>
              <w:overflowPunct/>
              <w:topLinePunct w:val="0"/>
              <w:autoSpaceDE/>
              <w:autoSpaceDN/>
              <w:bidi w:val="0"/>
              <w:snapToGrid/>
              <w:spacing w:line="360" w:lineRule="auto"/>
              <w:jc w:val="center"/>
              <w:rPr>
                <w:rFonts w:hint="eastAsia" w:ascii="宋体" w:hAnsi="宋体"/>
                <w:color w:val="auto"/>
                <w:sz w:val="22"/>
                <w:szCs w:val="22"/>
                <w:highlight w:val="none"/>
              </w:rPr>
            </w:pPr>
            <w:r>
              <w:rPr>
                <w:rFonts w:hint="eastAsia" w:ascii="宋体" w:hAnsi="宋体"/>
                <w:color w:val="auto"/>
                <w:sz w:val="22"/>
                <w:szCs w:val="22"/>
                <w:highlight w:val="none"/>
              </w:rPr>
              <w:t>综合管控</w:t>
            </w:r>
            <w:r>
              <w:rPr>
                <w:rFonts w:hint="eastAsia" w:ascii="宋体" w:hAnsi="宋体"/>
                <w:color w:val="auto"/>
                <w:sz w:val="22"/>
                <w:szCs w:val="22"/>
                <w:highlight w:val="none"/>
                <w:lang w:eastAsia="zh-CN"/>
              </w:rPr>
              <w:t>方案</w:t>
            </w:r>
          </w:p>
        </w:tc>
        <w:tc>
          <w:tcPr>
            <w:tcW w:w="802" w:type="dxa"/>
            <w:vAlign w:val="center"/>
          </w:tcPr>
          <w:p>
            <w:pPr>
              <w:keepNext w:val="0"/>
              <w:keepLines w:val="0"/>
              <w:pageBreakBefore w:val="0"/>
              <w:kinsoku/>
              <w:wordWrap w:val="0"/>
              <w:overflowPunct/>
              <w:topLinePunct w:val="0"/>
              <w:autoSpaceDE/>
              <w:autoSpaceDN/>
              <w:bidi w:val="0"/>
              <w:snapToGrid/>
              <w:spacing w:line="280" w:lineRule="exact"/>
              <w:jc w:val="center"/>
              <w:rPr>
                <w:rFonts w:hint="eastAsia" w:ascii="宋体" w:hAnsi="宋体"/>
                <w:color w:val="auto"/>
                <w:sz w:val="22"/>
                <w:szCs w:val="22"/>
                <w:highlight w:val="none"/>
              </w:rPr>
            </w:pPr>
            <w:r>
              <w:rPr>
                <w:rFonts w:hint="eastAsia" w:ascii="宋体" w:hAnsi="宋体"/>
                <w:color w:val="auto"/>
                <w:sz w:val="22"/>
                <w:szCs w:val="22"/>
                <w:highlight w:val="none"/>
              </w:rPr>
              <w:t>0-</w:t>
            </w:r>
            <w:r>
              <w:rPr>
                <w:rFonts w:hint="eastAsia" w:ascii="宋体" w:hAnsi="宋体"/>
                <w:color w:val="auto"/>
                <w:sz w:val="22"/>
                <w:szCs w:val="22"/>
                <w:highlight w:val="none"/>
                <w:lang w:val="en-US" w:eastAsia="zh-CN"/>
              </w:rPr>
              <w:t>7</w:t>
            </w:r>
            <w:r>
              <w:rPr>
                <w:rFonts w:hint="eastAsia" w:ascii="宋体" w:hAnsi="宋体"/>
                <w:color w:val="auto"/>
                <w:sz w:val="22"/>
                <w:szCs w:val="22"/>
                <w:highlight w:val="none"/>
              </w:rPr>
              <w:t>分</w:t>
            </w:r>
          </w:p>
        </w:tc>
        <w:tc>
          <w:tcPr>
            <w:tcW w:w="6829" w:type="dxa"/>
            <w:vAlign w:val="center"/>
          </w:tcPr>
          <w:p>
            <w:pPr>
              <w:keepNext w:val="0"/>
              <w:keepLines w:val="0"/>
              <w:pageBreakBefore w:val="0"/>
              <w:kinsoku/>
              <w:wordWrap w:val="0"/>
              <w:overflowPunct/>
              <w:topLinePunct w:val="0"/>
              <w:autoSpaceDE/>
              <w:autoSpaceDN/>
              <w:bidi w:val="0"/>
              <w:snapToGrid/>
              <w:spacing w:line="280" w:lineRule="exact"/>
              <w:rPr>
                <w:rFonts w:hint="eastAsia" w:ascii="宋体" w:hAnsi="宋体"/>
                <w:color w:val="auto"/>
                <w:kern w:val="0"/>
                <w:sz w:val="22"/>
                <w:szCs w:val="22"/>
                <w:highlight w:val="none"/>
              </w:rPr>
            </w:pPr>
            <w:r>
              <w:rPr>
                <w:rFonts w:hint="eastAsia" w:ascii="宋体" w:hAnsi="宋体"/>
                <w:color w:val="auto"/>
                <w:kern w:val="0"/>
                <w:sz w:val="22"/>
                <w:szCs w:val="22"/>
                <w:highlight w:val="none"/>
              </w:rPr>
              <w:t>根据投标人提供的综合组织方案，对</w:t>
            </w:r>
            <w:r>
              <w:rPr>
                <w:rFonts w:hint="eastAsia" w:ascii="宋体" w:hAnsi="宋体"/>
                <w:color w:val="auto"/>
                <w:kern w:val="0"/>
                <w:sz w:val="22"/>
                <w:szCs w:val="22"/>
                <w:highlight w:val="none"/>
                <w:lang w:val="en-US" w:eastAsia="zh-CN"/>
              </w:rPr>
              <w:t>项目管理</w:t>
            </w:r>
            <w:r>
              <w:rPr>
                <w:rFonts w:hint="eastAsia" w:ascii="宋体" w:hAnsi="宋体"/>
                <w:color w:val="auto"/>
                <w:kern w:val="0"/>
                <w:sz w:val="22"/>
                <w:szCs w:val="22"/>
                <w:highlight w:val="none"/>
              </w:rPr>
              <w:t>综合组织的完整性及合理性进行评审；综合组织方案表述全面、准确、考虑周全的得</w:t>
            </w:r>
            <w:r>
              <w:rPr>
                <w:rFonts w:hint="eastAsia" w:ascii="宋体" w:hAnsi="宋体"/>
                <w:color w:val="auto"/>
                <w:kern w:val="0"/>
                <w:sz w:val="22"/>
                <w:szCs w:val="22"/>
                <w:highlight w:val="none"/>
                <w:lang w:val="en-US" w:eastAsia="zh-CN"/>
              </w:rPr>
              <w:t>5-7</w:t>
            </w:r>
            <w:r>
              <w:rPr>
                <w:rFonts w:hint="eastAsia" w:ascii="宋体" w:hAnsi="宋体"/>
                <w:color w:val="auto"/>
                <w:kern w:val="0"/>
                <w:sz w:val="22"/>
                <w:szCs w:val="22"/>
                <w:highlight w:val="none"/>
              </w:rPr>
              <w:t>分；综合组织方案表述</w:t>
            </w:r>
            <w:r>
              <w:rPr>
                <w:rFonts w:hint="eastAsia" w:ascii="宋体" w:hAnsi="宋体"/>
                <w:color w:val="auto"/>
                <w:kern w:val="0"/>
                <w:sz w:val="22"/>
                <w:szCs w:val="22"/>
                <w:highlight w:val="none"/>
                <w:lang w:val="en-US" w:eastAsia="zh-CN"/>
              </w:rPr>
              <w:t>基本</w:t>
            </w:r>
            <w:r>
              <w:rPr>
                <w:rFonts w:hint="eastAsia" w:ascii="宋体" w:hAnsi="宋体"/>
                <w:color w:val="auto"/>
                <w:kern w:val="0"/>
                <w:sz w:val="22"/>
                <w:szCs w:val="22"/>
                <w:highlight w:val="none"/>
              </w:rPr>
              <w:t>全面、准确、考虑周全的得</w:t>
            </w:r>
            <w:r>
              <w:rPr>
                <w:rFonts w:hint="eastAsia" w:ascii="宋体" w:hAnsi="宋体"/>
                <w:color w:val="auto"/>
                <w:kern w:val="0"/>
                <w:sz w:val="22"/>
                <w:szCs w:val="22"/>
                <w:highlight w:val="none"/>
                <w:lang w:val="en-US" w:eastAsia="zh-CN"/>
              </w:rPr>
              <w:t>2-5</w:t>
            </w:r>
            <w:r>
              <w:rPr>
                <w:rFonts w:hint="eastAsia" w:ascii="宋体" w:hAnsi="宋体"/>
                <w:color w:val="auto"/>
                <w:kern w:val="0"/>
                <w:sz w:val="22"/>
                <w:szCs w:val="22"/>
                <w:highlight w:val="none"/>
              </w:rPr>
              <w:t>分；综合组织表述</w:t>
            </w:r>
            <w:r>
              <w:rPr>
                <w:rFonts w:hint="eastAsia" w:ascii="宋体" w:hAnsi="宋体"/>
                <w:color w:val="auto"/>
                <w:kern w:val="0"/>
                <w:sz w:val="22"/>
                <w:szCs w:val="22"/>
                <w:highlight w:val="none"/>
                <w:lang w:val="en-US" w:eastAsia="zh-CN"/>
              </w:rPr>
              <w:t>基本</w:t>
            </w:r>
            <w:r>
              <w:rPr>
                <w:rFonts w:hint="eastAsia" w:ascii="宋体" w:hAnsi="宋体"/>
                <w:color w:val="auto"/>
                <w:kern w:val="0"/>
                <w:sz w:val="22"/>
                <w:szCs w:val="22"/>
                <w:highlight w:val="none"/>
              </w:rPr>
              <w:t>全面、准确、考虑</w:t>
            </w:r>
            <w:r>
              <w:rPr>
                <w:rFonts w:hint="eastAsia" w:ascii="宋体" w:hAnsi="宋体"/>
                <w:color w:val="auto"/>
                <w:kern w:val="0"/>
                <w:sz w:val="22"/>
                <w:szCs w:val="22"/>
                <w:highlight w:val="none"/>
                <w:lang w:val="en-US" w:eastAsia="zh-CN"/>
              </w:rPr>
              <w:t>部分</w:t>
            </w:r>
            <w:r>
              <w:rPr>
                <w:rFonts w:hint="eastAsia" w:ascii="宋体" w:hAnsi="宋体"/>
                <w:color w:val="auto"/>
                <w:kern w:val="0"/>
                <w:sz w:val="22"/>
                <w:szCs w:val="22"/>
                <w:highlight w:val="none"/>
              </w:rPr>
              <w:t>周全的得</w:t>
            </w:r>
            <w:r>
              <w:rPr>
                <w:rFonts w:hint="eastAsia" w:ascii="宋体" w:hAnsi="宋体"/>
                <w:color w:val="auto"/>
                <w:kern w:val="0"/>
                <w:sz w:val="22"/>
                <w:szCs w:val="22"/>
                <w:highlight w:val="none"/>
                <w:lang w:val="en-US" w:eastAsia="zh-CN"/>
              </w:rPr>
              <w:t>0-2</w:t>
            </w:r>
            <w:r>
              <w:rPr>
                <w:rFonts w:hint="eastAsia" w:ascii="宋体" w:hAnsi="宋体"/>
                <w:color w:val="auto"/>
                <w:kern w:val="0"/>
                <w:sz w:val="22"/>
                <w:szCs w:val="22"/>
                <w:highlight w:val="no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6</w:t>
            </w:r>
          </w:p>
        </w:tc>
        <w:tc>
          <w:tcPr>
            <w:tcW w:w="1575" w:type="dxa"/>
            <w:vAlign w:val="center"/>
          </w:tcPr>
          <w:p>
            <w:pPr>
              <w:pStyle w:val="76"/>
              <w:keepNext w:val="0"/>
              <w:keepLines w:val="0"/>
              <w:pageBreakBefore w:val="0"/>
              <w:kinsoku/>
              <w:wordWrap w:val="0"/>
              <w:overflowPunct/>
              <w:topLinePunct w:val="0"/>
              <w:autoSpaceDE/>
              <w:autoSpaceDN/>
              <w:bidi w:val="0"/>
              <w:snapToGrid/>
              <w:spacing w:after="0" w:line="360" w:lineRule="auto"/>
              <w:jc w:val="both"/>
              <w:rPr>
                <w:rFonts w:hint="eastAsia"/>
                <w:color w:val="auto"/>
                <w:highlight w:val="none"/>
                <w:lang w:val="en-US" w:eastAsia="zh-CN"/>
              </w:rPr>
            </w:pPr>
            <w:r>
              <w:rPr>
                <w:rFonts w:hint="eastAsia" w:ascii="宋体" w:hAnsi="宋体" w:eastAsia="宋体" w:cs="Times New Roman"/>
                <w:color w:val="auto"/>
                <w:kern w:val="2"/>
                <w:sz w:val="22"/>
                <w:szCs w:val="22"/>
                <w:highlight w:val="none"/>
                <w:u w:val="none"/>
                <w:shd w:val="clear"/>
                <w:lang w:val="en-US" w:eastAsia="zh-CN" w:bidi="ar-SA"/>
              </w:rPr>
              <w:t>质量、进度、安全、文明、投资成本管控方案</w:t>
            </w:r>
          </w:p>
        </w:tc>
        <w:tc>
          <w:tcPr>
            <w:tcW w:w="802" w:type="dxa"/>
            <w:vAlign w:val="center"/>
          </w:tcPr>
          <w:p>
            <w:pPr>
              <w:keepNext w:val="0"/>
              <w:keepLines w:val="0"/>
              <w:pageBreakBefore w:val="0"/>
              <w:kinsoku/>
              <w:wordWrap w:val="0"/>
              <w:overflowPunct/>
              <w:topLinePunct w:val="0"/>
              <w:autoSpaceDE/>
              <w:autoSpaceDN/>
              <w:bidi w:val="0"/>
              <w:snapToGrid/>
              <w:spacing w:line="280" w:lineRule="exact"/>
              <w:jc w:val="center"/>
              <w:rPr>
                <w:rFonts w:hint="eastAsia" w:ascii="宋体" w:hAnsi="宋体"/>
                <w:color w:val="auto"/>
                <w:sz w:val="22"/>
                <w:szCs w:val="22"/>
                <w:highlight w:val="none"/>
              </w:rPr>
            </w:pPr>
            <w:r>
              <w:rPr>
                <w:rFonts w:hint="eastAsia" w:ascii="宋体" w:hAnsi="宋体"/>
                <w:color w:val="auto"/>
                <w:sz w:val="22"/>
                <w:szCs w:val="22"/>
                <w:highlight w:val="none"/>
              </w:rPr>
              <w:t>0-7分</w:t>
            </w:r>
          </w:p>
        </w:tc>
        <w:tc>
          <w:tcPr>
            <w:tcW w:w="6829" w:type="dxa"/>
            <w:vAlign w:val="center"/>
          </w:tcPr>
          <w:p>
            <w:pPr>
              <w:keepNext w:val="0"/>
              <w:keepLines w:val="0"/>
              <w:pageBreakBefore w:val="0"/>
              <w:kinsoku/>
              <w:wordWrap w:val="0"/>
              <w:overflowPunct/>
              <w:topLinePunct w:val="0"/>
              <w:autoSpaceDE/>
              <w:autoSpaceDN/>
              <w:bidi w:val="0"/>
              <w:snapToGrid/>
              <w:spacing w:line="28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根据投标人提供的针对本项目的</w:t>
            </w:r>
            <w:r>
              <w:rPr>
                <w:rFonts w:hint="eastAsia" w:ascii="宋体" w:hAnsi="宋体" w:eastAsia="宋体"/>
                <w:color w:val="auto"/>
                <w:sz w:val="22"/>
                <w:szCs w:val="22"/>
                <w:highlight w:val="none"/>
                <w:lang w:val="en-US" w:eastAsia="zh-CN"/>
              </w:rPr>
              <w:t>质量、进度、安全、文明、投资</w:t>
            </w:r>
            <w:r>
              <w:rPr>
                <w:rFonts w:hint="eastAsia" w:ascii="宋体" w:hAnsi="宋体" w:eastAsia="宋体"/>
                <w:color w:val="auto"/>
                <w:sz w:val="22"/>
                <w:szCs w:val="22"/>
                <w:highlight w:val="none"/>
              </w:rPr>
              <w:t>管控工作方案合理性、科学性进行评审；</w:t>
            </w:r>
            <w:r>
              <w:rPr>
                <w:rFonts w:hint="eastAsia" w:ascii="宋体" w:hAnsi="宋体" w:eastAsia="宋体"/>
                <w:color w:val="auto"/>
                <w:sz w:val="22"/>
                <w:szCs w:val="22"/>
                <w:highlight w:val="none"/>
                <w:lang w:val="en-US" w:eastAsia="zh-CN"/>
              </w:rPr>
              <w:t>质量、进度、安全、文明、投资</w:t>
            </w:r>
            <w:r>
              <w:rPr>
                <w:rFonts w:hint="eastAsia" w:ascii="宋体" w:hAnsi="宋体" w:eastAsia="宋体"/>
                <w:color w:val="auto"/>
                <w:sz w:val="22"/>
                <w:szCs w:val="22"/>
                <w:highlight w:val="none"/>
              </w:rPr>
              <w:t>管控方案描述合理、科学切实可行的得</w:t>
            </w:r>
            <w:r>
              <w:rPr>
                <w:rFonts w:hint="eastAsia" w:ascii="宋体" w:hAnsi="宋体" w:eastAsia="宋体"/>
                <w:color w:val="auto"/>
                <w:sz w:val="22"/>
                <w:szCs w:val="22"/>
                <w:highlight w:val="none"/>
                <w:lang w:val="en-US" w:eastAsia="zh-CN"/>
              </w:rPr>
              <w:t>5-7</w:t>
            </w:r>
            <w:r>
              <w:rPr>
                <w:rFonts w:hint="eastAsia" w:ascii="宋体" w:hAnsi="宋体" w:eastAsia="宋体"/>
                <w:color w:val="auto"/>
                <w:sz w:val="22"/>
                <w:szCs w:val="22"/>
                <w:highlight w:val="none"/>
              </w:rPr>
              <w:t>分；</w:t>
            </w:r>
            <w:r>
              <w:rPr>
                <w:rFonts w:hint="eastAsia" w:ascii="宋体" w:hAnsi="宋体" w:eastAsia="宋体"/>
                <w:color w:val="auto"/>
                <w:sz w:val="22"/>
                <w:szCs w:val="22"/>
                <w:highlight w:val="none"/>
                <w:lang w:val="en-US" w:eastAsia="zh-CN"/>
              </w:rPr>
              <w:t>质量、进度、安全、文明、投资</w:t>
            </w:r>
            <w:r>
              <w:rPr>
                <w:rFonts w:hint="eastAsia" w:ascii="宋体" w:hAnsi="宋体" w:eastAsia="宋体"/>
                <w:color w:val="auto"/>
                <w:sz w:val="22"/>
                <w:szCs w:val="22"/>
                <w:highlight w:val="none"/>
              </w:rPr>
              <w:t>管控方案</w:t>
            </w:r>
            <w:r>
              <w:rPr>
                <w:rFonts w:hint="eastAsia" w:ascii="宋体" w:hAnsi="宋体" w:eastAsia="宋体"/>
                <w:color w:val="auto"/>
                <w:sz w:val="22"/>
                <w:szCs w:val="22"/>
                <w:highlight w:val="none"/>
                <w:lang w:val="en-US" w:eastAsia="zh-CN"/>
              </w:rPr>
              <w:t>基本</w:t>
            </w:r>
            <w:r>
              <w:rPr>
                <w:rFonts w:hint="eastAsia" w:ascii="宋体" w:hAnsi="宋体" w:eastAsia="宋体"/>
                <w:color w:val="auto"/>
                <w:sz w:val="22"/>
                <w:szCs w:val="22"/>
                <w:highlight w:val="none"/>
              </w:rPr>
              <w:t>合理可行的得</w:t>
            </w: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lang w:val="en-US" w:eastAsia="zh-CN"/>
              </w:rPr>
              <w:t>-5</w:t>
            </w:r>
            <w:r>
              <w:rPr>
                <w:rFonts w:hint="eastAsia" w:ascii="宋体" w:hAnsi="宋体" w:eastAsia="宋体"/>
                <w:color w:val="auto"/>
                <w:sz w:val="22"/>
                <w:szCs w:val="22"/>
                <w:highlight w:val="none"/>
              </w:rPr>
              <w:t>分；</w:t>
            </w:r>
            <w:r>
              <w:rPr>
                <w:rFonts w:hint="eastAsia" w:ascii="宋体" w:hAnsi="宋体" w:eastAsia="宋体"/>
                <w:color w:val="auto"/>
                <w:sz w:val="22"/>
                <w:szCs w:val="22"/>
                <w:highlight w:val="none"/>
                <w:lang w:val="en-US" w:eastAsia="zh-CN"/>
              </w:rPr>
              <w:t>质量、进度、安全、文明、投资</w:t>
            </w:r>
            <w:r>
              <w:rPr>
                <w:rFonts w:hint="eastAsia" w:ascii="宋体" w:hAnsi="宋体" w:eastAsia="宋体"/>
                <w:color w:val="auto"/>
                <w:sz w:val="22"/>
                <w:szCs w:val="22"/>
                <w:highlight w:val="none"/>
              </w:rPr>
              <w:t>管控方案</w:t>
            </w:r>
            <w:r>
              <w:rPr>
                <w:rFonts w:hint="eastAsia" w:ascii="宋体" w:hAnsi="宋体" w:eastAsia="宋体"/>
                <w:color w:val="auto"/>
                <w:sz w:val="22"/>
                <w:szCs w:val="22"/>
                <w:highlight w:val="none"/>
                <w:lang w:val="en-US" w:eastAsia="zh-CN"/>
              </w:rPr>
              <w:t>部分</w:t>
            </w:r>
            <w:r>
              <w:rPr>
                <w:rFonts w:hint="eastAsia" w:ascii="宋体" w:hAnsi="宋体" w:eastAsia="宋体"/>
                <w:color w:val="auto"/>
                <w:sz w:val="22"/>
                <w:szCs w:val="22"/>
                <w:highlight w:val="none"/>
              </w:rPr>
              <w:t>合理可行的得</w:t>
            </w:r>
            <w:r>
              <w:rPr>
                <w:rFonts w:hint="eastAsia" w:ascii="宋体" w:hAnsi="宋体" w:eastAsia="宋体"/>
                <w:color w:val="auto"/>
                <w:sz w:val="22"/>
                <w:szCs w:val="22"/>
                <w:highlight w:val="none"/>
                <w:lang w:val="en-US" w:eastAsia="zh-CN"/>
              </w:rPr>
              <w:t>0-</w:t>
            </w:r>
            <w:r>
              <w:rPr>
                <w:rFonts w:hint="eastAsia" w:ascii="宋体" w:hAnsi="宋体"/>
                <w:color w:val="auto"/>
                <w:sz w:val="22"/>
                <w:szCs w:val="22"/>
                <w:highlight w:val="none"/>
                <w:lang w:val="en-US" w:eastAsia="zh-CN"/>
              </w:rPr>
              <w:t>2</w:t>
            </w:r>
            <w:r>
              <w:rPr>
                <w:rFonts w:hint="eastAsia" w:ascii="宋体" w:hAnsi="宋体" w:eastAsia="宋体"/>
                <w:color w:val="auto"/>
                <w:sz w:val="22"/>
                <w:szCs w:val="22"/>
                <w:highlight w:val="no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7</w:t>
            </w:r>
          </w:p>
        </w:tc>
        <w:tc>
          <w:tcPr>
            <w:tcW w:w="1575" w:type="dxa"/>
            <w:vAlign w:val="center"/>
          </w:tcPr>
          <w:p>
            <w:pPr>
              <w:keepNext w:val="0"/>
              <w:keepLines w:val="0"/>
              <w:pageBreakBefore w:val="0"/>
              <w:kinsoku/>
              <w:wordWrap w:val="0"/>
              <w:overflowPunct/>
              <w:topLinePunct w:val="0"/>
              <w:autoSpaceDE/>
              <w:autoSpaceDN/>
              <w:bidi w:val="0"/>
              <w:snapToGrid/>
              <w:rPr>
                <w:rFonts w:hint="eastAsia" w:ascii="宋体" w:hAnsi="宋体"/>
                <w:color w:val="auto"/>
                <w:sz w:val="22"/>
                <w:szCs w:val="22"/>
                <w:highlight w:val="none"/>
              </w:rPr>
            </w:pPr>
            <w:r>
              <w:rPr>
                <w:rFonts w:hint="eastAsia" w:ascii="宋体" w:hAnsi="宋体"/>
                <w:color w:val="auto"/>
                <w:sz w:val="22"/>
                <w:szCs w:val="22"/>
                <w:highlight w:val="none"/>
              </w:rPr>
              <w:t>信息、合同管控及组织协调</w:t>
            </w:r>
            <w:r>
              <w:rPr>
                <w:rFonts w:hint="eastAsia" w:ascii="宋体" w:hAnsi="宋体"/>
                <w:color w:val="auto"/>
                <w:sz w:val="22"/>
                <w:szCs w:val="22"/>
                <w:highlight w:val="none"/>
                <w:lang w:eastAsia="zh-CN"/>
              </w:rPr>
              <w:t>方案</w:t>
            </w:r>
          </w:p>
        </w:tc>
        <w:tc>
          <w:tcPr>
            <w:tcW w:w="802" w:type="dxa"/>
            <w:vAlign w:val="center"/>
          </w:tcPr>
          <w:p>
            <w:pPr>
              <w:keepNext w:val="0"/>
              <w:keepLines w:val="0"/>
              <w:pageBreakBefore w:val="0"/>
              <w:kinsoku/>
              <w:wordWrap w:val="0"/>
              <w:overflowPunct/>
              <w:topLinePunct w:val="0"/>
              <w:autoSpaceDE/>
              <w:autoSpaceDN/>
              <w:bidi w:val="0"/>
              <w:snapToGrid/>
              <w:spacing w:line="280" w:lineRule="exact"/>
              <w:jc w:val="center"/>
              <w:rPr>
                <w:rFonts w:hint="eastAsia" w:ascii="宋体" w:hAnsi="宋体"/>
                <w:color w:val="auto"/>
                <w:sz w:val="22"/>
                <w:szCs w:val="22"/>
                <w:highlight w:val="none"/>
              </w:rPr>
            </w:pPr>
            <w:r>
              <w:rPr>
                <w:rFonts w:hint="eastAsia" w:ascii="宋体" w:hAnsi="宋体"/>
                <w:color w:val="auto"/>
                <w:sz w:val="22"/>
                <w:szCs w:val="22"/>
                <w:highlight w:val="none"/>
              </w:rPr>
              <w:t>0-</w:t>
            </w:r>
            <w:r>
              <w:rPr>
                <w:rFonts w:hint="eastAsia" w:ascii="宋体" w:hAnsi="宋体"/>
                <w:color w:val="auto"/>
                <w:sz w:val="22"/>
                <w:szCs w:val="22"/>
                <w:highlight w:val="none"/>
                <w:lang w:val="en-US" w:eastAsia="zh-CN"/>
              </w:rPr>
              <w:t>7</w:t>
            </w:r>
            <w:r>
              <w:rPr>
                <w:rFonts w:hint="eastAsia" w:ascii="宋体" w:hAnsi="宋体"/>
                <w:color w:val="auto"/>
                <w:sz w:val="22"/>
                <w:szCs w:val="22"/>
                <w:highlight w:val="none"/>
              </w:rPr>
              <w:t>分</w:t>
            </w:r>
          </w:p>
        </w:tc>
        <w:tc>
          <w:tcPr>
            <w:tcW w:w="6829" w:type="dxa"/>
            <w:vAlign w:val="center"/>
          </w:tcPr>
          <w:p>
            <w:pPr>
              <w:keepNext w:val="0"/>
              <w:keepLines w:val="0"/>
              <w:pageBreakBefore w:val="0"/>
              <w:kinsoku/>
              <w:wordWrap w:val="0"/>
              <w:overflowPunct/>
              <w:topLinePunct w:val="0"/>
              <w:autoSpaceDE/>
              <w:autoSpaceDN/>
              <w:bidi w:val="0"/>
              <w:snapToGrid/>
              <w:spacing w:line="280" w:lineRule="exact"/>
              <w:rPr>
                <w:rFonts w:hint="eastAsia" w:ascii="宋体" w:hAnsi="宋体" w:eastAsia="宋体"/>
                <w:color w:val="auto"/>
                <w:sz w:val="22"/>
                <w:szCs w:val="22"/>
                <w:highlight w:val="none"/>
              </w:rPr>
            </w:pPr>
            <w:r>
              <w:rPr>
                <w:rFonts w:hint="eastAsia" w:ascii="宋体" w:hAnsi="宋体" w:eastAsia="宋体"/>
                <w:color w:val="auto"/>
                <w:sz w:val="22"/>
                <w:szCs w:val="22"/>
                <w:highlight w:val="none"/>
              </w:rPr>
              <w:t>根据投标人提供的针对本项目的对信息、合同管理及组织协调工作方案合理性、科学性进行评审；信息、合同管理及组织协调内容表述清晰、有条理</w:t>
            </w:r>
            <w:r>
              <w:rPr>
                <w:rFonts w:hint="eastAsia" w:ascii="宋体" w:hAnsi="宋体" w:eastAsia="宋体"/>
                <w:color w:val="auto"/>
                <w:sz w:val="22"/>
                <w:szCs w:val="22"/>
                <w:highlight w:val="none"/>
                <w:lang w:eastAsia="zh-CN"/>
              </w:rPr>
              <w:t>的、</w:t>
            </w:r>
            <w:r>
              <w:rPr>
                <w:rFonts w:hint="eastAsia" w:ascii="宋体" w:hAnsi="宋体" w:eastAsia="宋体"/>
                <w:color w:val="auto"/>
                <w:sz w:val="22"/>
                <w:szCs w:val="22"/>
                <w:highlight w:val="none"/>
              </w:rPr>
              <w:t>合理</w:t>
            </w:r>
            <w:r>
              <w:rPr>
                <w:rFonts w:hint="eastAsia" w:ascii="宋体" w:hAnsi="宋体" w:eastAsia="宋体"/>
                <w:color w:val="auto"/>
                <w:sz w:val="22"/>
                <w:szCs w:val="22"/>
                <w:highlight w:val="none"/>
                <w:lang w:eastAsia="zh-CN"/>
              </w:rPr>
              <w:t>的</w:t>
            </w:r>
            <w:r>
              <w:rPr>
                <w:rFonts w:hint="eastAsia" w:ascii="宋体" w:hAnsi="宋体" w:eastAsia="宋体"/>
                <w:color w:val="auto"/>
                <w:sz w:val="22"/>
                <w:szCs w:val="22"/>
                <w:highlight w:val="none"/>
              </w:rPr>
              <w:t>、切实可行的得</w:t>
            </w:r>
            <w:r>
              <w:rPr>
                <w:rFonts w:hint="eastAsia" w:ascii="宋体" w:hAnsi="宋体"/>
                <w:color w:val="auto"/>
                <w:sz w:val="22"/>
                <w:szCs w:val="22"/>
                <w:highlight w:val="none"/>
                <w:lang w:val="en-US" w:eastAsia="zh-CN"/>
              </w:rPr>
              <w:t>5-7</w:t>
            </w:r>
            <w:r>
              <w:rPr>
                <w:rFonts w:hint="eastAsia" w:ascii="宋体" w:hAnsi="宋体" w:eastAsia="宋体"/>
                <w:color w:val="auto"/>
                <w:sz w:val="22"/>
                <w:szCs w:val="22"/>
                <w:highlight w:val="none"/>
              </w:rPr>
              <w:t>分；信息、合同管理及组织协调内容表述</w:t>
            </w:r>
            <w:r>
              <w:rPr>
                <w:rFonts w:hint="eastAsia" w:ascii="宋体" w:hAnsi="宋体" w:eastAsia="宋体"/>
                <w:color w:val="auto"/>
                <w:sz w:val="22"/>
                <w:szCs w:val="22"/>
                <w:highlight w:val="none"/>
                <w:lang w:val="en-US" w:eastAsia="zh-CN"/>
              </w:rPr>
              <w:t>基本</w:t>
            </w:r>
            <w:r>
              <w:rPr>
                <w:rFonts w:hint="eastAsia" w:ascii="宋体" w:hAnsi="宋体" w:eastAsia="宋体"/>
                <w:color w:val="auto"/>
                <w:sz w:val="22"/>
                <w:szCs w:val="22"/>
                <w:highlight w:val="none"/>
              </w:rPr>
              <w:t>清晰、合理、可行的得</w:t>
            </w:r>
            <w:r>
              <w:rPr>
                <w:rFonts w:hint="eastAsia" w:ascii="宋体" w:hAnsi="宋体"/>
                <w:color w:val="auto"/>
                <w:sz w:val="22"/>
                <w:szCs w:val="22"/>
                <w:highlight w:val="none"/>
                <w:lang w:val="en-US" w:eastAsia="zh-CN"/>
              </w:rPr>
              <w:t>2-5</w:t>
            </w:r>
            <w:r>
              <w:rPr>
                <w:rFonts w:hint="eastAsia" w:ascii="宋体" w:hAnsi="宋体" w:eastAsia="宋体"/>
                <w:color w:val="auto"/>
                <w:sz w:val="22"/>
                <w:szCs w:val="22"/>
                <w:highlight w:val="none"/>
              </w:rPr>
              <w:t>分；信息、合同管理及组织协调内容表述</w:t>
            </w:r>
            <w:r>
              <w:rPr>
                <w:rFonts w:hint="eastAsia" w:ascii="宋体" w:hAnsi="宋体" w:eastAsia="宋体"/>
                <w:color w:val="auto"/>
                <w:sz w:val="22"/>
                <w:szCs w:val="22"/>
                <w:highlight w:val="none"/>
                <w:lang w:val="en-US" w:eastAsia="zh-CN"/>
              </w:rPr>
              <w:t>基本</w:t>
            </w:r>
            <w:r>
              <w:rPr>
                <w:rFonts w:hint="eastAsia" w:ascii="宋体" w:hAnsi="宋体" w:eastAsia="宋体"/>
                <w:color w:val="auto"/>
                <w:sz w:val="22"/>
                <w:szCs w:val="22"/>
                <w:highlight w:val="none"/>
              </w:rPr>
              <w:t>清晰、合理、可行的得</w:t>
            </w:r>
            <w:r>
              <w:rPr>
                <w:rFonts w:hint="eastAsia" w:ascii="宋体" w:hAnsi="宋体"/>
                <w:color w:val="auto"/>
                <w:sz w:val="22"/>
                <w:szCs w:val="22"/>
                <w:highlight w:val="none"/>
                <w:lang w:val="en-US" w:eastAsia="zh-CN"/>
              </w:rPr>
              <w:t>0-2</w:t>
            </w:r>
            <w:r>
              <w:rPr>
                <w:rFonts w:hint="eastAsia" w:ascii="宋体" w:hAnsi="宋体" w:eastAsia="宋体"/>
                <w:color w:val="auto"/>
                <w:sz w:val="22"/>
                <w:szCs w:val="22"/>
                <w:highlight w:val="no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8</w:t>
            </w:r>
          </w:p>
        </w:tc>
        <w:tc>
          <w:tcPr>
            <w:tcW w:w="1575" w:type="dxa"/>
            <w:vAlign w:val="center"/>
          </w:tcPr>
          <w:p>
            <w:pPr>
              <w:keepNext w:val="0"/>
              <w:keepLines w:val="0"/>
              <w:pageBreakBefore w:val="0"/>
              <w:kinsoku/>
              <w:wordWrap w:val="0"/>
              <w:overflowPunct/>
              <w:topLinePunct w:val="0"/>
              <w:autoSpaceDE/>
              <w:autoSpaceDN/>
              <w:bidi w:val="0"/>
              <w:snapToGrid/>
              <w:rPr>
                <w:rFonts w:hint="eastAsia" w:ascii="宋体" w:hAnsi="宋体"/>
                <w:color w:val="auto"/>
                <w:sz w:val="22"/>
                <w:szCs w:val="22"/>
                <w:highlight w:val="none"/>
              </w:rPr>
            </w:pPr>
            <w:r>
              <w:rPr>
                <w:rFonts w:hint="eastAsia" w:ascii="宋体" w:hAnsi="宋体"/>
                <w:color w:val="auto"/>
                <w:sz w:val="22"/>
                <w:szCs w:val="22"/>
                <w:highlight w:val="none"/>
              </w:rPr>
              <w:t>风险管控</w:t>
            </w:r>
            <w:r>
              <w:rPr>
                <w:rFonts w:hint="eastAsia" w:ascii="宋体" w:hAnsi="宋体"/>
                <w:color w:val="auto"/>
                <w:sz w:val="22"/>
                <w:szCs w:val="22"/>
                <w:highlight w:val="none"/>
                <w:lang w:eastAsia="zh-CN"/>
              </w:rPr>
              <w:t>方案</w:t>
            </w:r>
          </w:p>
        </w:tc>
        <w:tc>
          <w:tcPr>
            <w:tcW w:w="802" w:type="dxa"/>
            <w:vAlign w:val="center"/>
          </w:tcPr>
          <w:p>
            <w:pPr>
              <w:keepNext w:val="0"/>
              <w:keepLines w:val="0"/>
              <w:pageBreakBefore w:val="0"/>
              <w:kinsoku/>
              <w:wordWrap w:val="0"/>
              <w:overflowPunct/>
              <w:topLinePunct w:val="0"/>
              <w:autoSpaceDE/>
              <w:autoSpaceDN/>
              <w:bidi w:val="0"/>
              <w:snapToGrid/>
              <w:spacing w:line="280" w:lineRule="exact"/>
              <w:jc w:val="center"/>
              <w:rPr>
                <w:rFonts w:hint="eastAsia" w:ascii="宋体" w:hAnsi="宋体"/>
                <w:color w:val="auto"/>
                <w:sz w:val="22"/>
                <w:szCs w:val="22"/>
                <w:highlight w:val="none"/>
              </w:rPr>
            </w:pPr>
            <w:r>
              <w:rPr>
                <w:rFonts w:hint="eastAsia" w:ascii="宋体" w:hAnsi="宋体"/>
                <w:color w:val="auto"/>
                <w:sz w:val="22"/>
                <w:szCs w:val="22"/>
                <w:highlight w:val="none"/>
              </w:rPr>
              <w:t>0-</w:t>
            </w:r>
            <w:r>
              <w:rPr>
                <w:rFonts w:hint="eastAsia" w:ascii="宋体" w:hAnsi="宋体"/>
                <w:color w:val="auto"/>
                <w:sz w:val="22"/>
                <w:szCs w:val="22"/>
                <w:highlight w:val="none"/>
                <w:lang w:val="en-US" w:eastAsia="zh-CN"/>
              </w:rPr>
              <w:t>7</w:t>
            </w:r>
            <w:r>
              <w:rPr>
                <w:rFonts w:hint="eastAsia" w:ascii="宋体" w:hAnsi="宋体"/>
                <w:color w:val="auto"/>
                <w:sz w:val="22"/>
                <w:szCs w:val="22"/>
                <w:highlight w:val="none"/>
              </w:rPr>
              <w:t>分</w:t>
            </w:r>
          </w:p>
        </w:tc>
        <w:tc>
          <w:tcPr>
            <w:tcW w:w="6829" w:type="dxa"/>
            <w:vAlign w:val="center"/>
          </w:tcPr>
          <w:p>
            <w:pPr>
              <w:keepNext w:val="0"/>
              <w:keepLines w:val="0"/>
              <w:pageBreakBefore w:val="0"/>
              <w:kinsoku/>
              <w:wordWrap w:val="0"/>
              <w:overflowPunct/>
              <w:topLinePunct w:val="0"/>
              <w:autoSpaceDE/>
              <w:autoSpaceDN/>
              <w:bidi w:val="0"/>
              <w:snapToGrid/>
              <w:spacing w:line="280" w:lineRule="exact"/>
              <w:ind w:firstLine="220" w:firstLineChars="100"/>
              <w:rPr>
                <w:rFonts w:hint="eastAsia" w:ascii="宋体" w:hAnsi="宋体"/>
                <w:color w:val="auto"/>
                <w:kern w:val="0"/>
                <w:sz w:val="22"/>
                <w:szCs w:val="22"/>
                <w:highlight w:val="none"/>
              </w:rPr>
            </w:pPr>
            <w:r>
              <w:rPr>
                <w:rFonts w:hint="eastAsia" w:ascii="宋体" w:hAnsi="宋体"/>
                <w:color w:val="auto"/>
                <w:kern w:val="0"/>
                <w:sz w:val="22"/>
                <w:szCs w:val="22"/>
                <w:highlight w:val="none"/>
              </w:rPr>
              <w:t>根据投标人提供的针对本项目风险管控工作方案的合理性、科学性进行评审；风险管控方案管控理念、思路、表述清晰的得</w:t>
            </w:r>
            <w:r>
              <w:rPr>
                <w:rFonts w:hint="eastAsia" w:ascii="宋体" w:hAnsi="宋体"/>
                <w:color w:val="auto"/>
                <w:kern w:val="0"/>
                <w:sz w:val="22"/>
                <w:szCs w:val="22"/>
                <w:highlight w:val="none"/>
                <w:lang w:val="en-US" w:eastAsia="zh-CN"/>
              </w:rPr>
              <w:t>5-7</w:t>
            </w:r>
            <w:r>
              <w:rPr>
                <w:rFonts w:hint="eastAsia" w:ascii="宋体" w:hAnsi="宋体"/>
                <w:color w:val="auto"/>
                <w:kern w:val="0"/>
                <w:sz w:val="22"/>
                <w:szCs w:val="22"/>
                <w:highlight w:val="none"/>
              </w:rPr>
              <w:t>分；风险管控方案管控理念、思路、表述</w:t>
            </w:r>
            <w:r>
              <w:rPr>
                <w:rFonts w:hint="eastAsia" w:ascii="宋体" w:hAnsi="宋体"/>
                <w:color w:val="auto"/>
                <w:kern w:val="0"/>
                <w:sz w:val="22"/>
                <w:szCs w:val="22"/>
                <w:highlight w:val="none"/>
                <w:lang w:val="en-US" w:eastAsia="zh-CN"/>
              </w:rPr>
              <w:t>基本</w:t>
            </w:r>
            <w:r>
              <w:rPr>
                <w:rFonts w:hint="eastAsia" w:ascii="宋体" w:hAnsi="宋体"/>
                <w:color w:val="auto"/>
                <w:kern w:val="0"/>
                <w:sz w:val="22"/>
                <w:szCs w:val="22"/>
                <w:highlight w:val="none"/>
              </w:rPr>
              <w:t>清晰的得</w:t>
            </w:r>
            <w:r>
              <w:rPr>
                <w:rFonts w:hint="eastAsia" w:ascii="宋体" w:hAnsi="宋体"/>
                <w:color w:val="auto"/>
                <w:kern w:val="0"/>
                <w:sz w:val="22"/>
                <w:szCs w:val="22"/>
                <w:highlight w:val="none"/>
                <w:lang w:val="en-US" w:eastAsia="zh-CN"/>
              </w:rPr>
              <w:t>2-5</w:t>
            </w:r>
            <w:r>
              <w:rPr>
                <w:rFonts w:hint="eastAsia" w:ascii="宋体" w:hAnsi="宋体"/>
                <w:color w:val="auto"/>
                <w:kern w:val="0"/>
                <w:sz w:val="22"/>
                <w:szCs w:val="22"/>
                <w:highlight w:val="none"/>
              </w:rPr>
              <w:t>分；风险管控方案管控理念、思路、表述</w:t>
            </w:r>
            <w:r>
              <w:rPr>
                <w:rFonts w:hint="eastAsia" w:ascii="宋体" w:hAnsi="宋体"/>
                <w:color w:val="auto"/>
                <w:kern w:val="0"/>
                <w:sz w:val="22"/>
                <w:szCs w:val="22"/>
                <w:highlight w:val="none"/>
                <w:lang w:val="en-US" w:eastAsia="zh-CN"/>
              </w:rPr>
              <w:t>部分</w:t>
            </w:r>
            <w:r>
              <w:rPr>
                <w:rFonts w:hint="eastAsia" w:ascii="宋体" w:hAnsi="宋体"/>
                <w:color w:val="auto"/>
                <w:kern w:val="0"/>
                <w:sz w:val="22"/>
                <w:szCs w:val="22"/>
                <w:highlight w:val="none"/>
              </w:rPr>
              <w:t>清晰的得</w:t>
            </w:r>
            <w:r>
              <w:rPr>
                <w:rFonts w:hint="eastAsia" w:ascii="宋体" w:hAnsi="宋体"/>
                <w:color w:val="auto"/>
                <w:kern w:val="0"/>
                <w:sz w:val="22"/>
                <w:szCs w:val="22"/>
                <w:highlight w:val="none"/>
                <w:lang w:val="en-US" w:eastAsia="zh-CN"/>
              </w:rPr>
              <w:t>0-2</w:t>
            </w:r>
            <w:r>
              <w:rPr>
                <w:rFonts w:hint="eastAsia" w:ascii="宋体" w:hAnsi="宋体"/>
                <w:color w:val="auto"/>
                <w:kern w:val="0"/>
                <w:sz w:val="22"/>
                <w:szCs w:val="22"/>
                <w:highlight w:val="none"/>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44" w:type="dxa"/>
            <w:vAlign w:val="center"/>
          </w:tcPr>
          <w:p>
            <w:pPr>
              <w:keepNext w:val="0"/>
              <w:keepLines w:val="0"/>
              <w:pageBreakBefore w:val="0"/>
              <w:kinsoku/>
              <w:wordWrap w:val="0"/>
              <w:overflowPunct/>
              <w:topLinePunct w:val="0"/>
              <w:autoSpaceDE/>
              <w:autoSpaceDN/>
              <w:bidi w:val="0"/>
              <w:snapToGrid/>
              <w:jc w:val="center"/>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9</w:t>
            </w:r>
          </w:p>
        </w:tc>
        <w:tc>
          <w:tcPr>
            <w:tcW w:w="1575" w:type="dxa"/>
            <w:vAlign w:val="center"/>
          </w:tcPr>
          <w:p>
            <w:pPr>
              <w:keepNext w:val="0"/>
              <w:keepLines w:val="0"/>
              <w:pageBreakBefore w:val="0"/>
              <w:kinsoku/>
              <w:wordWrap w:val="0"/>
              <w:overflowPunct/>
              <w:topLinePunct w:val="0"/>
              <w:autoSpaceDE/>
              <w:autoSpaceDN/>
              <w:bidi w:val="0"/>
              <w:snapToGrid/>
              <w:rPr>
                <w:rFonts w:hint="eastAsia" w:ascii="宋体" w:hAnsi="宋体"/>
                <w:color w:val="auto"/>
                <w:sz w:val="22"/>
                <w:szCs w:val="22"/>
                <w:highlight w:val="none"/>
              </w:rPr>
            </w:pPr>
            <w:r>
              <w:rPr>
                <w:rFonts w:hint="eastAsia" w:ascii="宋体" w:hAnsi="宋体"/>
                <w:color w:val="auto"/>
                <w:sz w:val="22"/>
                <w:szCs w:val="22"/>
                <w:highlight w:val="none"/>
              </w:rPr>
              <w:t>案例分析</w:t>
            </w:r>
          </w:p>
        </w:tc>
        <w:tc>
          <w:tcPr>
            <w:tcW w:w="802" w:type="dxa"/>
            <w:vAlign w:val="center"/>
          </w:tcPr>
          <w:p>
            <w:pPr>
              <w:keepNext w:val="0"/>
              <w:keepLines w:val="0"/>
              <w:pageBreakBefore w:val="0"/>
              <w:kinsoku/>
              <w:wordWrap w:val="0"/>
              <w:overflowPunct/>
              <w:topLinePunct w:val="0"/>
              <w:autoSpaceDE/>
              <w:autoSpaceDN/>
              <w:bidi w:val="0"/>
              <w:snapToGrid/>
              <w:spacing w:line="280" w:lineRule="exact"/>
              <w:jc w:val="center"/>
              <w:rPr>
                <w:rFonts w:hint="eastAsia" w:ascii="宋体" w:hAnsi="宋体"/>
                <w:color w:val="auto"/>
                <w:sz w:val="22"/>
                <w:szCs w:val="22"/>
                <w:highlight w:val="none"/>
              </w:rPr>
            </w:pPr>
            <w:r>
              <w:rPr>
                <w:rFonts w:hint="eastAsia" w:ascii="宋体" w:hAnsi="宋体"/>
                <w:color w:val="auto"/>
                <w:sz w:val="22"/>
                <w:szCs w:val="22"/>
                <w:highlight w:val="none"/>
              </w:rPr>
              <w:t>0-1</w:t>
            </w:r>
            <w:r>
              <w:rPr>
                <w:rFonts w:hint="eastAsia" w:ascii="宋体" w:hAnsi="宋体"/>
                <w:color w:val="auto"/>
                <w:sz w:val="22"/>
                <w:szCs w:val="22"/>
                <w:highlight w:val="none"/>
                <w:lang w:val="en-US" w:eastAsia="zh-CN"/>
              </w:rPr>
              <w:t>6</w:t>
            </w:r>
            <w:r>
              <w:rPr>
                <w:rFonts w:hint="eastAsia" w:ascii="宋体" w:hAnsi="宋体"/>
                <w:color w:val="auto"/>
                <w:sz w:val="22"/>
                <w:szCs w:val="22"/>
                <w:highlight w:val="none"/>
              </w:rPr>
              <w:t>分</w:t>
            </w:r>
          </w:p>
        </w:tc>
        <w:tc>
          <w:tcPr>
            <w:tcW w:w="6829" w:type="dxa"/>
            <w:vAlign w:val="center"/>
          </w:tcPr>
          <w:p>
            <w:pPr>
              <w:keepNext w:val="0"/>
              <w:keepLines w:val="0"/>
              <w:pageBreakBefore w:val="0"/>
              <w:kinsoku/>
              <w:wordWrap w:val="0"/>
              <w:overflowPunct/>
              <w:topLinePunct w:val="0"/>
              <w:autoSpaceDE/>
              <w:autoSpaceDN/>
              <w:bidi w:val="0"/>
              <w:snapToGrid/>
              <w:spacing w:line="280" w:lineRule="exact"/>
              <w:ind w:firstLine="220" w:firstLineChars="100"/>
              <w:rPr>
                <w:rFonts w:hint="eastAsia" w:ascii="宋体" w:hAnsi="宋体"/>
                <w:color w:val="auto"/>
                <w:sz w:val="22"/>
                <w:szCs w:val="22"/>
                <w:highlight w:val="none"/>
              </w:rPr>
            </w:pPr>
            <w:r>
              <w:rPr>
                <w:rFonts w:hint="eastAsia" w:ascii="宋体" w:hAnsi="宋体"/>
                <w:color w:val="auto"/>
                <w:sz w:val="22"/>
                <w:szCs w:val="22"/>
                <w:highlight w:val="none"/>
              </w:rPr>
              <w:t>投标人提供本单位1个及以上</w:t>
            </w:r>
            <w:r>
              <w:rPr>
                <w:rFonts w:hint="eastAsia" w:ascii="宋体" w:hAnsi="宋体"/>
                <w:color w:val="auto"/>
                <w:sz w:val="22"/>
                <w:szCs w:val="22"/>
                <w:highlight w:val="none"/>
                <w:lang w:val="en-US" w:eastAsia="zh-CN"/>
              </w:rPr>
              <w:t>独立完成（已竣工）的</w:t>
            </w:r>
            <w:r>
              <w:rPr>
                <w:rFonts w:hint="eastAsia" w:ascii="宋体" w:hAnsi="宋体"/>
                <w:bCs/>
                <w:color w:val="auto"/>
                <w:kern w:val="0"/>
                <w:sz w:val="22"/>
                <w:szCs w:val="22"/>
                <w:highlight w:val="none"/>
                <w:lang w:val="en-US" w:eastAsia="zh-CN"/>
              </w:rPr>
              <w:t>房屋建筑类（不含厂房）</w:t>
            </w:r>
            <w:r>
              <w:rPr>
                <w:rFonts w:hint="eastAsia" w:ascii="宋体" w:hAnsi="宋体"/>
                <w:color w:val="auto"/>
                <w:sz w:val="22"/>
                <w:szCs w:val="22"/>
                <w:highlight w:val="none"/>
              </w:rPr>
              <w:t>全过程工程咨询服务为案例，案例分析全过程工程咨询服务，工作内容至少包括</w:t>
            </w:r>
            <w:r>
              <w:rPr>
                <w:rFonts w:hint="eastAsia" w:ascii="宋体" w:hAnsi="宋体"/>
                <w:color w:val="auto"/>
                <w:sz w:val="22"/>
                <w:szCs w:val="22"/>
                <w:highlight w:val="none"/>
                <w:lang w:val="en-US" w:eastAsia="zh-CN"/>
              </w:rPr>
              <w:t>项目管理、</w:t>
            </w:r>
            <w:r>
              <w:rPr>
                <w:rFonts w:hint="eastAsia" w:ascii="宋体" w:hAnsi="宋体"/>
                <w:color w:val="auto"/>
                <w:sz w:val="22"/>
                <w:szCs w:val="22"/>
                <w:highlight w:val="none"/>
              </w:rPr>
              <w:t xml:space="preserve">造价咨询； </w:t>
            </w:r>
          </w:p>
          <w:p>
            <w:pPr>
              <w:keepNext w:val="0"/>
              <w:keepLines w:val="0"/>
              <w:pageBreakBefore w:val="0"/>
              <w:kinsoku/>
              <w:wordWrap w:val="0"/>
              <w:overflowPunct/>
              <w:topLinePunct w:val="0"/>
              <w:autoSpaceDE/>
              <w:autoSpaceDN/>
              <w:bidi w:val="0"/>
              <w:snapToGrid/>
              <w:spacing w:line="280" w:lineRule="exact"/>
              <w:rPr>
                <w:rFonts w:hint="eastAsia" w:ascii="宋体" w:hAnsi="宋体"/>
                <w:color w:val="auto"/>
                <w:sz w:val="22"/>
                <w:szCs w:val="22"/>
                <w:highlight w:val="none"/>
              </w:rPr>
            </w:pPr>
            <w:r>
              <w:rPr>
                <w:rFonts w:hint="eastAsia" w:ascii="宋体" w:hAnsi="宋体"/>
                <w:color w:val="auto"/>
                <w:sz w:val="22"/>
                <w:szCs w:val="22"/>
                <w:highlight w:val="none"/>
              </w:rPr>
              <w:t xml:space="preserve">案例分析中还应包含以下内容： </w:t>
            </w:r>
          </w:p>
          <w:p>
            <w:pPr>
              <w:keepNext w:val="0"/>
              <w:keepLines w:val="0"/>
              <w:pageBreakBefore w:val="0"/>
              <w:kinsoku/>
              <w:wordWrap w:val="0"/>
              <w:overflowPunct/>
              <w:topLinePunct w:val="0"/>
              <w:autoSpaceDE/>
              <w:autoSpaceDN/>
              <w:bidi w:val="0"/>
              <w:snapToGrid/>
              <w:spacing w:line="280" w:lineRule="exact"/>
              <w:rPr>
                <w:rFonts w:hint="eastAsia" w:ascii="宋体" w:hAnsi="宋体"/>
                <w:color w:val="auto"/>
                <w:sz w:val="22"/>
                <w:szCs w:val="22"/>
                <w:highlight w:val="none"/>
              </w:rPr>
            </w:pPr>
            <w:r>
              <w:rPr>
                <w:rFonts w:hint="eastAsia" w:ascii="宋体" w:hAnsi="宋体"/>
                <w:color w:val="auto"/>
                <w:sz w:val="22"/>
                <w:szCs w:val="22"/>
                <w:highlight w:val="none"/>
              </w:rPr>
              <w:t>1、</w:t>
            </w:r>
            <w:r>
              <w:rPr>
                <w:rFonts w:hint="eastAsia" w:ascii="宋体" w:hAnsi="宋体"/>
                <w:color w:val="auto"/>
                <w:sz w:val="22"/>
                <w:szCs w:val="22"/>
                <w:highlight w:val="none"/>
                <w:lang w:val="en-US" w:eastAsia="zh-CN"/>
              </w:rPr>
              <w:t>项目管理</w:t>
            </w:r>
            <w:r>
              <w:rPr>
                <w:rFonts w:hint="eastAsia" w:ascii="宋体" w:hAnsi="宋体"/>
                <w:color w:val="auto"/>
                <w:sz w:val="22"/>
                <w:szCs w:val="22"/>
                <w:highlight w:val="none"/>
              </w:rPr>
              <w:t xml:space="preserve">案例工作程序； </w:t>
            </w:r>
          </w:p>
          <w:p>
            <w:pPr>
              <w:keepNext w:val="0"/>
              <w:keepLines w:val="0"/>
              <w:pageBreakBefore w:val="0"/>
              <w:kinsoku/>
              <w:wordWrap w:val="0"/>
              <w:overflowPunct/>
              <w:topLinePunct w:val="0"/>
              <w:autoSpaceDE/>
              <w:autoSpaceDN/>
              <w:bidi w:val="0"/>
              <w:snapToGrid/>
              <w:spacing w:line="280" w:lineRule="exact"/>
              <w:rPr>
                <w:rFonts w:hint="eastAsia" w:ascii="宋体" w:hAnsi="宋体"/>
                <w:color w:val="auto"/>
                <w:sz w:val="22"/>
                <w:szCs w:val="22"/>
                <w:highlight w:val="none"/>
              </w:rPr>
            </w:pPr>
            <w:r>
              <w:rPr>
                <w:rFonts w:hint="eastAsia" w:ascii="宋体" w:hAnsi="宋体"/>
                <w:color w:val="auto"/>
                <w:sz w:val="22"/>
                <w:szCs w:val="22"/>
                <w:highlight w:val="none"/>
              </w:rPr>
              <w:t>2、</w:t>
            </w:r>
            <w:r>
              <w:rPr>
                <w:rFonts w:hint="eastAsia" w:ascii="宋体" w:hAnsi="宋体"/>
                <w:color w:val="auto"/>
                <w:sz w:val="22"/>
                <w:szCs w:val="22"/>
                <w:highlight w:val="none"/>
                <w:lang w:val="en-US" w:eastAsia="zh-CN"/>
              </w:rPr>
              <w:t>项目管理</w:t>
            </w:r>
            <w:r>
              <w:rPr>
                <w:rFonts w:hint="eastAsia" w:ascii="宋体" w:hAnsi="宋体"/>
                <w:color w:val="auto"/>
                <w:sz w:val="22"/>
                <w:szCs w:val="22"/>
                <w:highlight w:val="none"/>
              </w:rPr>
              <w:t xml:space="preserve">案例问题预防及处理措施； </w:t>
            </w:r>
          </w:p>
          <w:p>
            <w:pPr>
              <w:keepNext w:val="0"/>
              <w:keepLines w:val="0"/>
              <w:pageBreakBefore w:val="0"/>
              <w:kinsoku/>
              <w:wordWrap w:val="0"/>
              <w:overflowPunct/>
              <w:topLinePunct w:val="0"/>
              <w:autoSpaceDE/>
              <w:autoSpaceDN/>
              <w:bidi w:val="0"/>
              <w:snapToGrid/>
              <w:spacing w:line="280" w:lineRule="exact"/>
              <w:rPr>
                <w:rFonts w:hint="eastAsia" w:ascii="宋体" w:hAnsi="宋体"/>
                <w:color w:val="auto"/>
                <w:sz w:val="22"/>
                <w:szCs w:val="22"/>
                <w:highlight w:val="none"/>
              </w:rPr>
            </w:pPr>
            <w:r>
              <w:rPr>
                <w:rFonts w:hint="eastAsia" w:ascii="宋体" w:hAnsi="宋体"/>
                <w:color w:val="auto"/>
                <w:sz w:val="22"/>
                <w:szCs w:val="22"/>
                <w:highlight w:val="none"/>
              </w:rPr>
              <w:t>3、</w:t>
            </w:r>
            <w:r>
              <w:rPr>
                <w:rFonts w:hint="eastAsia" w:ascii="宋体" w:hAnsi="宋体"/>
                <w:color w:val="auto"/>
                <w:sz w:val="22"/>
                <w:szCs w:val="22"/>
                <w:highlight w:val="none"/>
                <w:lang w:val="en-US" w:eastAsia="zh-CN"/>
              </w:rPr>
              <w:t>项目管理</w:t>
            </w:r>
            <w:r>
              <w:rPr>
                <w:rFonts w:hint="eastAsia" w:ascii="宋体" w:hAnsi="宋体"/>
                <w:color w:val="auto"/>
                <w:sz w:val="22"/>
                <w:szCs w:val="22"/>
                <w:highlight w:val="none"/>
              </w:rPr>
              <w:t xml:space="preserve">案例管理创新。 </w:t>
            </w:r>
          </w:p>
          <w:p>
            <w:pPr>
              <w:keepNext w:val="0"/>
              <w:keepLines w:val="0"/>
              <w:pageBreakBefore w:val="0"/>
              <w:kinsoku/>
              <w:wordWrap w:val="0"/>
              <w:overflowPunct/>
              <w:topLinePunct w:val="0"/>
              <w:autoSpaceDE/>
              <w:autoSpaceDN/>
              <w:bidi w:val="0"/>
              <w:snapToGrid/>
              <w:spacing w:line="280" w:lineRule="exact"/>
              <w:ind w:firstLine="220" w:firstLineChars="100"/>
              <w:rPr>
                <w:rFonts w:hint="eastAsia" w:ascii="宋体" w:hAnsi="宋体"/>
                <w:color w:val="auto"/>
                <w:sz w:val="22"/>
                <w:szCs w:val="22"/>
                <w:highlight w:val="none"/>
              </w:rPr>
            </w:pPr>
            <w:r>
              <w:rPr>
                <w:rFonts w:hint="eastAsia" w:ascii="宋体" w:hAnsi="宋体"/>
                <w:color w:val="auto"/>
                <w:sz w:val="22"/>
                <w:szCs w:val="22"/>
                <w:highlight w:val="none"/>
              </w:rPr>
              <w:t>根据投标人提供的案例分析及资料进行评审</w:t>
            </w:r>
            <w:r>
              <w:rPr>
                <w:rFonts w:hint="eastAsia" w:ascii="宋体" w:hAnsi="宋体"/>
                <w:color w:val="auto"/>
                <w:sz w:val="22"/>
                <w:szCs w:val="22"/>
                <w:highlight w:val="none"/>
                <w:lang w:eastAsia="zh-CN"/>
              </w:rPr>
              <w:t>，</w:t>
            </w:r>
            <w:r>
              <w:rPr>
                <w:rFonts w:hint="eastAsia" w:ascii="宋体" w:hAnsi="宋体"/>
                <w:color w:val="auto"/>
                <w:sz w:val="22"/>
                <w:szCs w:val="22"/>
                <w:highlight w:val="none"/>
                <w:lang w:val="en-US" w:eastAsia="zh-CN"/>
              </w:rPr>
              <w:t>内容先进可行的得10-16分，基本合理可行的得5-10分，部分合理可行的得0-5分。</w:t>
            </w:r>
          </w:p>
        </w:tc>
      </w:tr>
    </w:tbl>
    <w:p>
      <w:pPr>
        <w:pStyle w:val="24"/>
        <w:snapToGrid w:val="0"/>
        <w:spacing w:line="380" w:lineRule="exact"/>
        <w:rPr>
          <w:rFonts w:hint="eastAsia" w:hAnsi="宋体"/>
          <w:color w:val="auto"/>
          <w:szCs w:val="22"/>
          <w:highlight w:val="none"/>
        </w:rPr>
      </w:pPr>
      <w:r>
        <w:rPr>
          <w:rFonts w:hint="eastAsia" w:hAnsi="宋体"/>
          <w:color w:val="auto"/>
          <w:szCs w:val="22"/>
          <w:highlight w:val="none"/>
        </w:rPr>
        <w:t>三、说明</w:t>
      </w:r>
    </w:p>
    <w:p>
      <w:pPr>
        <w:snapToGrid w:val="0"/>
        <w:spacing w:line="380" w:lineRule="exact"/>
        <w:ind w:firstLine="420" w:firstLineChars="200"/>
        <w:rPr>
          <w:rFonts w:hint="eastAsia" w:ascii="宋体" w:hAnsi="宋体"/>
          <w:color w:val="auto"/>
          <w:szCs w:val="22"/>
          <w:highlight w:val="none"/>
        </w:rPr>
      </w:pPr>
      <w:r>
        <w:rPr>
          <w:rFonts w:hint="eastAsia" w:ascii="宋体" w:hAnsi="宋体"/>
          <w:color w:val="auto"/>
          <w:szCs w:val="22"/>
          <w:highlight w:val="none"/>
        </w:rPr>
        <w:t>1、每个供应商最终得分=技术资信部分分值（所有评标委员会评分的算术平均值，四舍五入后保留小数点两位小数）＋商务报价部分分值。</w:t>
      </w:r>
    </w:p>
    <w:p>
      <w:pPr>
        <w:snapToGrid w:val="0"/>
        <w:spacing w:line="380" w:lineRule="exact"/>
        <w:ind w:firstLine="420" w:firstLineChars="200"/>
        <w:rPr>
          <w:rFonts w:hint="eastAsia" w:ascii="宋体"/>
          <w:color w:val="auto"/>
          <w:szCs w:val="22"/>
          <w:highlight w:val="none"/>
        </w:rPr>
      </w:pPr>
      <w:r>
        <w:rPr>
          <w:rFonts w:hint="eastAsia" w:ascii="宋体"/>
          <w:color w:val="auto"/>
          <w:szCs w:val="22"/>
          <w:highlight w:val="none"/>
        </w:rPr>
        <w:t>2、评标委员会推荐得分最高的供应商为成交供应商（如果得分相同则按报价从低到高顺序依次推荐为成交供应商）；如果得分相同，以报价低的优先；报价也相同，以抽签决定，并编写采购报告。</w:t>
      </w:r>
    </w:p>
    <w:p>
      <w:pPr>
        <w:snapToGrid w:val="0"/>
        <w:spacing w:line="380" w:lineRule="exact"/>
        <w:ind w:firstLine="420"/>
        <w:rPr>
          <w:rFonts w:hint="eastAsia" w:ascii="宋体" w:hAnsi="宋体"/>
          <w:color w:val="auto"/>
          <w:szCs w:val="22"/>
          <w:highlight w:val="none"/>
        </w:rPr>
      </w:pPr>
      <w:r>
        <w:rPr>
          <w:rFonts w:hint="eastAsia" w:ascii="宋体" w:hAnsi="宋体"/>
          <w:color w:val="auto"/>
          <w:szCs w:val="22"/>
          <w:highlight w:val="none"/>
        </w:rPr>
        <w:t>3、所有分值计算保留小数点后两位，小数点后三位四舍五入。</w:t>
      </w:r>
    </w:p>
    <w:p>
      <w:pPr>
        <w:snapToGrid w:val="0"/>
        <w:spacing w:line="380" w:lineRule="exact"/>
        <w:ind w:firstLine="420"/>
        <w:rPr>
          <w:rFonts w:hint="eastAsia" w:ascii="宋体"/>
          <w:color w:val="auto"/>
          <w:szCs w:val="22"/>
          <w:highlight w:val="none"/>
        </w:rPr>
      </w:pPr>
      <w:r>
        <w:rPr>
          <w:rFonts w:hint="eastAsia" w:ascii="宋体"/>
          <w:color w:val="auto"/>
          <w:szCs w:val="22"/>
          <w:highlight w:val="none"/>
        </w:rPr>
        <w:t>4、评标过程中遇到特殊情况，由评标委员会遵循公开、公正原则，采取投票方式按照少数服从多数原则决定。</w:t>
      </w:r>
    </w:p>
    <w:p>
      <w:pPr>
        <w:snapToGrid w:val="0"/>
        <w:spacing w:line="380" w:lineRule="exact"/>
        <w:ind w:firstLine="420"/>
        <w:rPr>
          <w:rFonts w:ascii="方正小标宋简体" w:hAnsi="方正小标宋简体" w:eastAsia="方正小标宋简体"/>
          <w:color w:val="auto"/>
          <w:sz w:val="32"/>
          <w:szCs w:val="32"/>
          <w:highlight w:val="none"/>
        </w:rPr>
      </w:pPr>
      <w:r>
        <w:rPr>
          <w:rFonts w:hint="eastAsia" w:ascii="宋体"/>
          <w:color w:val="auto"/>
          <w:szCs w:val="22"/>
          <w:highlight w:val="none"/>
        </w:rPr>
        <w:t>参见本招标文件第三部分：“供应商须知” 中的相关内容，未尽事宜按有关法律规定处理。</w:t>
      </w:r>
    </w:p>
    <w:p>
      <w:pPr>
        <w:pStyle w:val="72"/>
        <w:widowControl w:val="0"/>
        <w:snapToGrid w:val="0"/>
        <w:spacing w:line="480" w:lineRule="exact"/>
        <w:rPr>
          <w:rFonts w:ascii="方正小标宋简体" w:hAnsi="方正小标宋简体" w:eastAsia="方正小标宋简体"/>
          <w:color w:val="auto"/>
          <w:sz w:val="32"/>
          <w:szCs w:val="32"/>
          <w:highlight w:val="none"/>
        </w:rPr>
      </w:pPr>
    </w:p>
    <w:p>
      <w:pPr>
        <w:pStyle w:val="72"/>
        <w:widowControl w:val="0"/>
        <w:snapToGrid w:val="0"/>
        <w:spacing w:line="480" w:lineRule="exact"/>
        <w:ind w:firstLine="2560" w:firstLineChars="800"/>
        <w:rPr>
          <w:rFonts w:ascii="方正小标宋简体" w:hAnsi="方正小标宋简体" w:eastAsia="方正小标宋简体"/>
          <w:color w:val="auto"/>
          <w:sz w:val="32"/>
          <w:szCs w:val="32"/>
          <w:highlight w:val="none"/>
        </w:rPr>
      </w:pPr>
      <w:r>
        <w:rPr>
          <w:rFonts w:ascii="方正小标宋简体" w:hAnsi="方正小标宋简体" w:eastAsia="方正小标宋简体"/>
          <w:color w:val="auto"/>
          <w:sz w:val="32"/>
          <w:szCs w:val="32"/>
          <w:highlight w:val="none"/>
        </w:rPr>
        <w:t>国企采购活动现场确认声明书</w:t>
      </w:r>
    </w:p>
    <w:p>
      <w:pPr>
        <w:pStyle w:val="72"/>
        <w:widowControl w:val="0"/>
        <w:snapToGrid w:val="0"/>
        <w:spacing w:line="480" w:lineRule="exact"/>
        <w:jc w:val="both"/>
        <w:rPr>
          <w:rFonts w:ascii="仿宋" w:hAnsi="仿宋"/>
          <w:color w:val="auto"/>
          <w:kern w:val="0"/>
          <w:szCs w:val="21"/>
          <w:highlight w:val="none"/>
          <w:u w:val="single"/>
        </w:rPr>
      </w:pPr>
      <w:r>
        <w:rPr>
          <w:rFonts w:ascii="仿宋" w:hAnsi="仿宋"/>
          <w:color w:val="auto"/>
          <w:kern w:val="0"/>
          <w:szCs w:val="21"/>
          <w:highlight w:val="none"/>
          <w:u w:val="single"/>
        </w:rPr>
        <w:t>浙江品信工程项目管理有限公司（采购组织机构名称）</w:t>
      </w:r>
      <w:r>
        <w:rPr>
          <w:rFonts w:ascii="仿宋" w:hAnsi="仿宋"/>
          <w:color w:val="auto"/>
          <w:kern w:val="0"/>
          <w:szCs w:val="21"/>
          <w:highlight w:val="none"/>
        </w:rPr>
        <w:t>：</w:t>
      </w:r>
    </w:p>
    <w:p>
      <w:pPr>
        <w:pStyle w:val="72"/>
        <w:widowControl w:val="0"/>
        <w:snapToGrid w:val="0"/>
        <w:spacing w:line="480" w:lineRule="exact"/>
        <w:ind w:firstLine="444" w:firstLineChars="200"/>
        <w:jc w:val="both"/>
        <w:rPr>
          <w:rFonts w:hAnsi="宋体"/>
          <w:color w:val="auto"/>
          <w:spacing w:val="6"/>
          <w:szCs w:val="21"/>
          <w:highlight w:val="none"/>
          <w:u w:val="single"/>
        </w:rPr>
      </w:pPr>
      <w:r>
        <w:rPr>
          <w:rFonts w:hAnsi="宋体"/>
          <w:color w:val="auto"/>
          <w:spacing w:val="6"/>
          <w:szCs w:val="21"/>
          <w:highlight w:val="none"/>
          <w:u w:val="single"/>
        </w:rPr>
        <w:t>本人经由                            （单位）负责人        （姓名）合法授权参加</w:t>
      </w:r>
      <w:r>
        <w:rPr>
          <w:rFonts w:hint="eastAsia" w:hAnsi="宋体"/>
          <w:color w:val="auto"/>
          <w:spacing w:val="6"/>
          <w:szCs w:val="21"/>
          <w:highlight w:val="none"/>
          <w:u w:val="single"/>
          <w:lang w:eastAsia="zh-CN"/>
        </w:rPr>
        <w:t>平阳县瑞苍高速公路平阳段工程萧江镇淡浦安置地块（凤头B-15、凤头B-25）全过程咨询服务</w:t>
      </w:r>
      <w:r>
        <w:rPr>
          <w:rFonts w:hAnsi="宋体"/>
          <w:color w:val="auto"/>
          <w:spacing w:val="6"/>
          <w:szCs w:val="21"/>
          <w:highlight w:val="none"/>
          <w:u w:val="single"/>
        </w:rPr>
        <w:t>（采购编号：）</w:t>
      </w:r>
      <w:r>
        <w:rPr>
          <w:rFonts w:hAnsi="宋体"/>
          <w:color w:val="auto"/>
          <w:spacing w:val="6"/>
          <w:szCs w:val="21"/>
          <w:highlight w:val="none"/>
        </w:rPr>
        <w:t xml:space="preserve">国企采购活动，经与本单位法人代表（负责人）联系确认，现就有关公平竞争事项郑重声明如下： </w:t>
      </w:r>
    </w:p>
    <w:p>
      <w:pPr>
        <w:pStyle w:val="65"/>
        <w:widowControl/>
        <w:numPr>
          <w:ilvl w:val="0"/>
          <w:numId w:val="17"/>
        </w:numPr>
        <w:snapToGrid w:val="0"/>
        <w:spacing w:line="480" w:lineRule="exact"/>
        <w:ind w:firstLine="396" w:firstLineChars="189"/>
        <w:rPr>
          <w:rFonts w:ascii="宋体" w:hAnsi="宋体"/>
          <w:color w:val="auto"/>
          <w:kern w:val="0"/>
          <w:szCs w:val="21"/>
          <w:highlight w:val="none"/>
        </w:rPr>
      </w:pPr>
      <w:r>
        <w:rPr>
          <w:rFonts w:ascii="宋体" w:hAnsi="宋体"/>
          <w:color w:val="auto"/>
          <w:kern w:val="0"/>
          <w:szCs w:val="21"/>
          <w:highlight w:val="none"/>
        </w:rPr>
        <w:t>本单位与采购人之间 □不存在利害关系 □存在下列利害关系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65"/>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A.投资关系    B.行政隶属关系    C.业务指导关系</w:t>
      </w:r>
    </w:p>
    <w:p>
      <w:pPr>
        <w:pStyle w:val="65"/>
        <w:widowControl/>
        <w:snapToGrid w:val="0"/>
        <w:spacing w:line="480" w:lineRule="exact"/>
        <w:rPr>
          <w:rFonts w:ascii="宋体" w:hAnsi="宋体"/>
          <w:color w:val="auto"/>
          <w:kern w:val="0"/>
          <w:szCs w:val="21"/>
          <w:highlight w:val="none"/>
        </w:rPr>
      </w:pPr>
      <w:r>
        <w:rPr>
          <w:rFonts w:ascii="宋体" w:hAnsi="宋体"/>
          <w:color w:val="auto"/>
          <w:kern w:val="0"/>
          <w:szCs w:val="21"/>
          <w:highlight w:val="none"/>
        </w:rPr>
        <w:t xml:space="preserve">  D.其他可能</w:t>
      </w:r>
      <w:r>
        <w:rPr>
          <w:rFonts w:ascii="宋体" w:hAnsi="宋体"/>
          <w:color w:val="auto"/>
          <w:szCs w:val="21"/>
          <w:highlight w:val="none"/>
        </w:rPr>
        <w:t>影响采购公正的</w:t>
      </w:r>
      <w:r>
        <w:rPr>
          <w:rFonts w:ascii="宋体" w:hAnsi="宋体"/>
          <w:color w:val="auto"/>
          <w:kern w:val="0"/>
          <w:szCs w:val="21"/>
          <w:highlight w:val="none"/>
        </w:rPr>
        <w:t>利害关系</w:t>
      </w:r>
      <w:r>
        <w:rPr>
          <w:rFonts w:ascii="宋体" w:hAnsi="宋体"/>
          <w:color w:val="auto"/>
          <w:kern w:val="0"/>
          <w:szCs w:val="21"/>
          <w:highlight w:val="none"/>
          <w:u w:val="single"/>
        </w:rPr>
        <w:t xml:space="preserve">（如有，请如实说明）                 </w:t>
      </w:r>
      <w:r>
        <w:rPr>
          <w:rFonts w:ascii="宋体" w:hAnsi="宋体"/>
          <w:color w:val="auto"/>
          <w:kern w:val="0"/>
          <w:szCs w:val="21"/>
          <w:highlight w:val="none"/>
        </w:rPr>
        <w:t>。</w:t>
      </w:r>
    </w:p>
    <w:p>
      <w:pPr>
        <w:pStyle w:val="65"/>
        <w:widowControl/>
        <w:snapToGrid w:val="0"/>
        <w:spacing w:line="480" w:lineRule="exact"/>
        <w:rPr>
          <w:rFonts w:ascii="宋体" w:hAnsi="宋体"/>
          <w:color w:val="auto"/>
          <w:spacing w:val="6"/>
          <w:szCs w:val="21"/>
          <w:highlight w:val="none"/>
        </w:rPr>
      </w:pPr>
      <w:r>
        <w:rPr>
          <w:rFonts w:ascii="宋体" w:hAnsi="宋体"/>
          <w:color w:val="auto"/>
          <w:spacing w:val="6"/>
          <w:szCs w:val="21"/>
          <w:highlight w:val="none"/>
        </w:rPr>
        <w:t xml:space="preserve">  二、</w:t>
      </w:r>
      <w:r>
        <w:rPr>
          <w:rFonts w:ascii="宋体" w:hAnsi="宋体"/>
          <w:color w:val="auto"/>
          <w:kern w:val="0"/>
          <w:szCs w:val="21"/>
          <w:highlight w:val="none"/>
        </w:rPr>
        <w:t>现已清楚知道参加本项目采购活动的其他所有供应商名称，本单位 □与其他所有供应商之间均不存在利害关系 □与</w:t>
      </w:r>
      <w:r>
        <w:rPr>
          <w:rFonts w:ascii="宋体" w:hAnsi="宋体"/>
          <w:color w:val="auto"/>
          <w:kern w:val="0"/>
          <w:szCs w:val="21"/>
          <w:highlight w:val="none"/>
          <w:u w:val="single"/>
        </w:rPr>
        <w:t xml:space="preserve">           （供应商名称）</w:t>
      </w:r>
      <w:r>
        <w:rPr>
          <w:rFonts w:ascii="宋体" w:hAnsi="宋体"/>
          <w:color w:val="auto"/>
          <w:kern w:val="0"/>
          <w:szCs w:val="21"/>
          <w:highlight w:val="none"/>
        </w:rPr>
        <w:t>之间存在下列利害关系</w:t>
      </w:r>
      <w:r>
        <w:rPr>
          <w:rFonts w:ascii="宋体" w:hAnsi="宋体"/>
          <w:color w:val="auto"/>
          <w:kern w:val="0"/>
          <w:szCs w:val="21"/>
          <w:highlight w:val="none"/>
          <w:u w:val="single"/>
        </w:rPr>
        <w:t xml:space="preserve">          </w:t>
      </w:r>
      <w:r>
        <w:rPr>
          <w:rFonts w:ascii="宋体" w:hAnsi="宋体"/>
          <w:color w:val="auto"/>
          <w:kern w:val="0"/>
          <w:szCs w:val="21"/>
          <w:highlight w:val="none"/>
        </w:rPr>
        <w:t>：</w:t>
      </w:r>
    </w:p>
    <w:p>
      <w:pPr>
        <w:pStyle w:val="7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A.法定代表人或负责人或实际控制人是同一人</w:t>
      </w:r>
    </w:p>
    <w:p>
      <w:pPr>
        <w:pStyle w:val="7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B.法定代表人或负责人或实际控制人是夫妻关系</w:t>
      </w:r>
    </w:p>
    <w:p>
      <w:pPr>
        <w:pStyle w:val="7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C.法定代表人或负责人或实际控制人是直系血亲关系</w:t>
      </w:r>
    </w:p>
    <w:p>
      <w:pPr>
        <w:pStyle w:val="7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D.法定代表人或负责人或实际控制人存在三代以内旁系血亲关系</w:t>
      </w:r>
    </w:p>
    <w:p>
      <w:pPr>
        <w:pStyle w:val="7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E.法定代表人或负责人或实际控制人存在近姻亲关系</w:t>
      </w:r>
    </w:p>
    <w:p>
      <w:pPr>
        <w:pStyle w:val="7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F.法定代表人或负责人或实际控制人存在股份控制或实际控制关系</w:t>
      </w:r>
    </w:p>
    <w:p>
      <w:pPr>
        <w:pStyle w:val="72"/>
        <w:widowControl w:val="0"/>
        <w:snapToGrid w:val="0"/>
        <w:spacing w:line="480" w:lineRule="exact"/>
        <w:jc w:val="both"/>
        <w:outlineLvl w:val="0"/>
        <w:rPr>
          <w:rFonts w:ascii="仿宋" w:hAnsi="仿宋"/>
          <w:color w:val="auto"/>
          <w:kern w:val="0"/>
          <w:szCs w:val="21"/>
          <w:highlight w:val="none"/>
        </w:rPr>
      </w:pPr>
      <w:r>
        <w:rPr>
          <w:rFonts w:ascii="仿宋" w:hAnsi="仿宋"/>
          <w:color w:val="auto"/>
          <w:kern w:val="0"/>
          <w:szCs w:val="21"/>
          <w:highlight w:val="none"/>
        </w:rPr>
        <w:t xml:space="preserve">  G.存在共同直接或间接投资设立子公司、联营企业和合营企业情况</w:t>
      </w:r>
    </w:p>
    <w:p>
      <w:pPr>
        <w:pStyle w:val="72"/>
        <w:widowControl w:val="0"/>
        <w:snapToGrid w:val="0"/>
        <w:spacing w:line="480" w:lineRule="exact"/>
        <w:jc w:val="both"/>
        <w:rPr>
          <w:rFonts w:ascii="仿宋" w:hAnsi="仿宋"/>
          <w:color w:val="auto"/>
          <w:kern w:val="0"/>
          <w:szCs w:val="21"/>
          <w:highlight w:val="none"/>
        </w:rPr>
      </w:pPr>
      <w:r>
        <w:rPr>
          <w:rFonts w:ascii="仿宋" w:hAnsi="仿宋"/>
          <w:color w:val="auto"/>
          <w:kern w:val="0"/>
          <w:szCs w:val="21"/>
          <w:highlight w:val="none"/>
        </w:rPr>
        <w:t xml:space="preserve">  H.存在分级代理或代销关系、同一生产制造商关系、</w:t>
      </w:r>
      <w:r>
        <w:rPr>
          <w:rFonts w:ascii="仿宋" w:hAnsi="仿宋"/>
          <w:color w:val="auto"/>
          <w:szCs w:val="21"/>
          <w:highlight w:val="none"/>
        </w:rPr>
        <w:t>管理关系、重要业务（占主营业务收入50%以上）或重要财务往来关系（如融资）等其他实质性控制关系</w:t>
      </w:r>
    </w:p>
    <w:p>
      <w:pPr>
        <w:pStyle w:val="72"/>
        <w:widowControl w:val="0"/>
        <w:snapToGrid w:val="0"/>
        <w:spacing w:line="480" w:lineRule="exact"/>
        <w:jc w:val="both"/>
        <w:rPr>
          <w:rFonts w:ascii="仿宋" w:hAnsi="仿宋"/>
          <w:color w:val="auto"/>
          <w:szCs w:val="21"/>
          <w:highlight w:val="none"/>
        </w:rPr>
      </w:pPr>
      <w:r>
        <w:rPr>
          <w:rFonts w:ascii="仿宋" w:hAnsi="仿宋"/>
          <w:color w:val="auto"/>
          <w:szCs w:val="21"/>
          <w:highlight w:val="none"/>
        </w:rPr>
        <w:t xml:space="preserve">    I</w:t>
      </w:r>
      <w:r>
        <w:rPr>
          <w:rFonts w:ascii="仿宋" w:hAnsi="仿宋"/>
          <w:color w:val="auto"/>
          <w:kern w:val="0"/>
          <w:szCs w:val="21"/>
          <w:highlight w:val="none"/>
        </w:rPr>
        <w:t>.</w:t>
      </w:r>
      <w:r>
        <w:rPr>
          <w:rFonts w:ascii="仿宋" w:hAnsi="仿宋"/>
          <w:color w:val="auto"/>
          <w:szCs w:val="21"/>
          <w:highlight w:val="none"/>
        </w:rPr>
        <w:t>其他利害关系情况</w:t>
      </w:r>
      <w:r>
        <w:rPr>
          <w:rFonts w:ascii="仿宋" w:hAnsi="仿宋"/>
          <w:color w:val="auto"/>
          <w:szCs w:val="21"/>
          <w:highlight w:val="none"/>
          <w:u w:val="single"/>
        </w:rPr>
        <w:t xml:space="preserve">                              </w:t>
      </w:r>
      <w:r>
        <w:rPr>
          <w:rFonts w:ascii="仿宋" w:hAnsi="仿宋"/>
          <w:color w:val="auto"/>
          <w:kern w:val="0"/>
          <w:szCs w:val="21"/>
          <w:highlight w:val="none"/>
        </w:rPr>
        <w:t>。</w:t>
      </w:r>
    </w:p>
    <w:p>
      <w:pPr>
        <w:pStyle w:val="65"/>
        <w:widowControl/>
        <w:numPr>
          <w:ilvl w:val="0"/>
          <w:numId w:val="18"/>
        </w:numPr>
        <w:snapToGrid w:val="0"/>
        <w:spacing w:line="480" w:lineRule="exact"/>
        <w:ind w:firstLine="396" w:firstLineChars="189"/>
        <w:rPr>
          <w:rFonts w:ascii="仿宋" w:hAnsi="仿宋"/>
          <w:color w:val="auto"/>
          <w:szCs w:val="21"/>
          <w:highlight w:val="none"/>
        </w:rPr>
      </w:pPr>
      <w:r>
        <w:rPr>
          <w:rFonts w:ascii="仿宋" w:hAnsi="仿宋"/>
          <w:color w:val="auto"/>
          <w:szCs w:val="21"/>
          <w:highlight w:val="none"/>
        </w:rPr>
        <w:t>现已清楚知道并</w:t>
      </w:r>
      <w:r>
        <w:rPr>
          <w:rFonts w:ascii="仿宋" w:hAnsi="仿宋"/>
          <w:color w:val="auto"/>
          <w:kern w:val="0"/>
          <w:szCs w:val="21"/>
          <w:highlight w:val="none"/>
        </w:rPr>
        <w:t>严格遵守国企采购法律法规和现场纪律。</w:t>
      </w:r>
    </w:p>
    <w:p>
      <w:pPr>
        <w:pStyle w:val="65"/>
        <w:widowControl/>
        <w:numPr>
          <w:ilvl w:val="0"/>
          <w:numId w:val="18"/>
        </w:numPr>
        <w:snapToGrid w:val="0"/>
        <w:spacing w:line="480" w:lineRule="exact"/>
        <w:ind w:firstLine="396" w:firstLineChars="189"/>
        <w:rPr>
          <w:rFonts w:ascii="仿宋" w:hAnsi="仿宋"/>
          <w:color w:val="auto"/>
          <w:kern w:val="0"/>
          <w:szCs w:val="21"/>
          <w:highlight w:val="none"/>
        </w:rPr>
      </w:pPr>
      <w:r>
        <w:rPr>
          <w:rFonts w:ascii="仿宋" w:hAnsi="仿宋"/>
          <w:color w:val="auto"/>
          <w:kern w:val="0"/>
          <w:szCs w:val="21"/>
          <w:highlight w:val="none"/>
        </w:rPr>
        <w:t>我发现</w:t>
      </w:r>
      <w:r>
        <w:rPr>
          <w:rFonts w:ascii="仿宋" w:hAnsi="仿宋"/>
          <w:color w:val="auto"/>
          <w:kern w:val="0"/>
          <w:szCs w:val="21"/>
          <w:highlight w:val="none"/>
          <w:u w:val="single"/>
        </w:rPr>
        <w:t xml:space="preserve">                    </w:t>
      </w:r>
      <w:r>
        <w:rPr>
          <w:rFonts w:ascii="仿宋" w:hAnsi="仿宋"/>
          <w:color w:val="auto"/>
          <w:kern w:val="0"/>
          <w:szCs w:val="21"/>
          <w:highlight w:val="none"/>
        </w:rPr>
        <w:t>供应商之间存在或可能存在上述第二条第</w:t>
      </w:r>
      <w:r>
        <w:rPr>
          <w:rFonts w:ascii="仿宋" w:hAnsi="仿宋"/>
          <w:color w:val="auto"/>
          <w:kern w:val="0"/>
          <w:szCs w:val="21"/>
          <w:highlight w:val="none"/>
          <w:u w:val="single"/>
        </w:rPr>
        <w:t xml:space="preserve">        </w:t>
      </w:r>
      <w:r>
        <w:rPr>
          <w:rFonts w:ascii="仿宋" w:hAnsi="仿宋"/>
          <w:color w:val="auto"/>
          <w:kern w:val="0"/>
          <w:szCs w:val="21"/>
          <w:highlight w:val="none"/>
        </w:rPr>
        <w:t>项利害关系</w:t>
      </w:r>
    </w:p>
    <w:p>
      <w:pPr>
        <w:pStyle w:val="72"/>
        <w:widowControl w:val="0"/>
        <w:snapToGrid w:val="0"/>
        <w:spacing w:line="480" w:lineRule="exact"/>
        <w:ind w:firstLine="5040" w:firstLineChars="2400"/>
        <w:jc w:val="both"/>
        <w:rPr>
          <w:rFonts w:ascii="仿宋" w:hAnsi="仿宋"/>
          <w:color w:val="auto"/>
          <w:szCs w:val="21"/>
          <w:highlight w:val="none"/>
        </w:rPr>
      </w:pPr>
      <w:r>
        <w:rPr>
          <w:rFonts w:ascii="仿宋" w:hAnsi="仿宋"/>
          <w:color w:val="auto"/>
          <w:szCs w:val="21"/>
          <w:highlight w:val="none"/>
        </w:rPr>
        <w:t>（供应商代表签名）</w:t>
      </w:r>
    </w:p>
    <w:p>
      <w:pPr>
        <w:pStyle w:val="72"/>
        <w:widowControl w:val="0"/>
        <w:snapToGrid w:val="0"/>
        <w:spacing w:line="480" w:lineRule="exact"/>
        <w:ind w:firstLine="420" w:firstLineChars="200"/>
        <w:jc w:val="both"/>
        <w:rPr>
          <w:rFonts w:ascii="仿宋" w:hAnsi="仿宋"/>
          <w:color w:val="auto"/>
          <w:szCs w:val="21"/>
          <w:highlight w:val="none"/>
        </w:rPr>
      </w:pPr>
      <w:r>
        <w:rPr>
          <w:rFonts w:ascii="仿宋" w:hAnsi="仿宋"/>
          <w:color w:val="auto"/>
          <w:szCs w:val="21"/>
          <w:highlight w:val="none"/>
        </w:rPr>
        <w:t xml:space="preserve">                                              年  月   日</w:t>
      </w:r>
    </w:p>
    <w:p>
      <w:pPr>
        <w:snapToGrid w:val="0"/>
        <w:ind w:firstLine="442" w:firstLineChars="200"/>
        <w:rPr>
          <w:rFonts w:ascii="宋体" w:hAnsi="宋体"/>
          <w:b/>
          <w:bCs/>
          <w:color w:val="auto"/>
          <w:sz w:val="22"/>
          <w:highlight w:val="none"/>
        </w:rPr>
      </w:pPr>
    </w:p>
    <w:p>
      <w:pPr>
        <w:snapToGrid w:val="0"/>
        <w:ind w:firstLine="442" w:firstLineChars="200"/>
        <w:rPr>
          <w:rFonts w:hint="eastAsia" w:ascii="宋体" w:hAnsi="宋体"/>
          <w:b/>
          <w:bCs/>
          <w:color w:val="auto"/>
          <w:sz w:val="22"/>
          <w:highlight w:val="none"/>
        </w:rPr>
      </w:pPr>
      <w:r>
        <w:rPr>
          <w:rFonts w:hint="eastAsia" w:ascii="宋体" w:hAnsi="宋体"/>
          <w:b/>
          <w:bCs/>
          <w:color w:val="auto"/>
          <w:sz w:val="22"/>
          <w:highlight w:val="none"/>
        </w:rPr>
        <w:t>注：投标文件解密结束后，各投标供应商签署《国企采购活动现场确认声明书》，并在15分钟内以扫描件方式发送至代理机构邮箱：</w:t>
      </w:r>
      <w:r>
        <w:rPr>
          <w:rFonts w:hint="eastAsia" w:ascii="宋体" w:hAnsi="宋体"/>
          <w:b/>
          <w:bCs/>
          <w:color w:val="auto"/>
          <w:sz w:val="22"/>
          <w:highlight w:val="none"/>
          <w:lang w:eastAsia="zh-CN"/>
        </w:rPr>
        <w:t>976229703@qq.com</w:t>
      </w:r>
      <w:r>
        <w:rPr>
          <w:rFonts w:hint="eastAsia" w:ascii="宋体" w:hAnsi="宋体"/>
          <w:b/>
          <w:bCs/>
          <w:color w:val="auto"/>
          <w:sz w:val="22"/>
          <w:highlight w:val="none"/>
        </w:rPr>
        <w:t>。</w:t>
      </w:r>
    </w:p>
    <w:p>
      <w:pPr>
        <w:pStyle w:val="55"/>
        <w:rPr>
          <w:color w:val="auto"/>
          <w:highlight w:val="none"/>
        </w:rPr>
      </w:pPr>
    </w:p>
    <w:p>
      <w:pPr>
        <w:pStyle w:val="23"/>
        <w:spacing w:before="120" w:after="120"/>
        <w:rPr>
          <w:color w:val="auto"/>
          <w:highlight w:val="none"/>
        </w:rPr>
        <w:sectPr>
          <w:pgSz w:w="11907" w:h="16840"/>
          <w:pgMar w:top="1440" w:right="1106" w:bottom="1440" w:left="1157" w:header="720" w:footer="720" w:gutter="0"/>
          <w:cols w:space="720" w:num="1"/>
          <w:docGrid w:linePitch="312" w:charSpace="0"/>
        </w:sectPr>
      </w:pPr>
    </w:p>
    <w:p>
      <w:pPr>
        <w:jc w:val="center"/>
        <w:rPr>
          <w:rFonts w:hint="eastAsia" w:ascii="宋体" w:hAnsi="宋体"/>
          <w:b/>
          <w:bCs/>
          <w:color w:val="auto"/>
          <w:sz w:val="44"/>
          <w:szCs w:val="44"/>
          <w:highlight w:val="none"/>
        </w:rPr>
      </w:pPr>
      <w:r>
        <w:rPr>
          <w:rFonts w:hint="eastAsia" w:ascii="宋体" w:hAnsi="宋体"/>
          <w:b/>
          <w:bCs/>
          <w:color w:val="auto"/>
          <w:sz w:val="44"/>
          <w:szCs w:val="44"/>
          <w:highlight w:val="none"/>
        </w:rPr>
        <w:t>质疑函范本</w:t>
      </w:r>
    </w:p>
    <w:p>
      <w:pPr>
        <w:snapToGrid w:val="0"/>
        <w:spacing w:before="240" w:line="360" w:lineRule="auto"/>
        <w:rPr>
          <w:rFonts w:hint="eastAsia" w:ascii="宋体" w:hAnsi="宋体"/>
          <w:bCs/>
          <w:color w:val="auto"/>
          <w:szCs w:val="21"/>
          <w:highlight w:val="none"/>
        </w:rPr>
      </w:pPr>
      <w:r>
        <w:rPr>
          <w:rFonts w:hint="eastAsia" w:ascii="宋体" w:hAnsi="宋体"/>
          <w:bCs/>
          <w:color w:val="auto"/>
          <w:szCs w:val="21"/>
          <w:highlight w:val="none"/>
        </w:rPr>
        <w:t>一、质疑供应商基本信息</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质疑供应商：</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地址：</w:t>
      </w:r>
      <w:r>
        <w:rPr>
          <w:rFonts w:hint="eastAsia" w:ascii="宋体" w:hAnsi="宋体"/>
          <w:color w:val="auto"/>
          <w:szCs w:val="21"/>
          <w:highlight w:val="none"/>
          <w:u w:val="dotted"/>
        </w:rPr>
        <w:t xml:space="preserve">                          </w:t>
      </w:r>
      <w:r>
        <w:rPr>
          <w:rFonts w:hint="eastAsia" w:ascii="宋体" w:hAnsi="宋体"/>
          <w:color w:val="auto"/>
          <w:szCs w:val="21"/>
          <w:highlight w:val="none"/>
        </w:rPr>
        <w:t>邮编：</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联系人：</w:t>
      </w:r>
      <w:r>
        <w:rPr>
          <w:rFonts w:hint="eastAsia" w:ascii="宋体" w:hAnsi="宋体"/>
          <w:color w:val="auto"/>
          <w:szCs w:val="21"/>
          <w:highlight w:val="none"/>
          <w:u w:val="dotted"/>
        </w:rPr>
        <w:t xml:space="preserve">                      </w:t>
      </w:r>
      <w:r>
        <w:rPr>
          <w:rFonts w:hint="eastAsia" w:ascii="宋体" w:hAnsi="宋体"/>
          <w:color w:val="auto"/>
          <w:szCs w:val="21"/>
          <w:highlight w:val="none"/>
        </w:rPr>
        <w:t>联系电话：</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授权代表：</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联系电话：</w:t>
      </w:r>
      <w:r>
        <w:rPr>
          <w:rFonts w:hint="eastAsia" w:ascii="宋体" w:hAnsi="宋体"/>
          <w:color w:val="auto"/>
          <w:szCs w:val="21"/>
          <w:highlight w:val="none"/>
          <w:u w:val="dotted"/>
        </w:rPr>
        <w:t xml:space="preserve">                                           </w:t>
      </w:r>
      <w:r>
        <w:rPr>
          <w:rFonts w:hint="eastAsia" w:ascii="宋体" w:hAnsi="宋体"/>
          <w:color w:val="auto"/>
          <w:szCs w:val="21"/>
          <w:highlight w:val="none"/>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 xml:space="preserve">地址： </w:t>
      </w:r>
      <w:r>
        <w:rPr>
          <w:rFonts w:hint="eastAsia" w:ascii="宋体" w:hAnsi="宋体"/>
          <w:color w:val="auto"/>
          <w:szCs w:val="21"/>
          <w:highlight w:val="none"/>
          <w:u w:val="dotted"/>
        </w:rPr>
        <w:t xml:space="preserve">                        </w:t>
      </w:r>
      <w:r>
        <w:rPr>
          <w:rFonts w:hint="eastAsia" w:ascii="宋体" w:hAnsi="宋体"/>
          <w:color w:val="auto"/>
          <w:szCs w:val="21"/>
          <w:highlight w:val="none"/>
        </w:rPr>
        <w:t>邮编：</w:t>
      </w:r>
      <w:r>
        <w:rPr>
          <w:rFonts w:hint="eastAsia" w:ascii="宋体" w:hAnsi="宋体"/>
          <w:color w:val="auto"/>
          <w:szCs w:val="21"/>
          <w:highlight w:val="none"/>
          <w:u w:val="dotted"/>
        </w:rPr>
        <w:t xml:space="preserve">                                                </w:t>
      </w:r>
    </w:p>
    <w:p>
      <w:pPr>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二、质疑项目基本情况</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质疑项目的名称：</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质疑项目的编号：</w:t>
      </w:r>
      <w:r>
        <w:rPr>
          <w:rFonts w:hint="eastAsia" w:ascii="宋体" w:hAnsi="宋体"/>
          <w:color w:val="auto"/>
          <w:szCs w:val="21"/>
          <w:highlight w:val="none"/>
          <w:u w:val="dotted"/>
        </w:rPr>
        <w:t xml:space="preserve">               </w:t>
      </w:r>
      <w:r>
        <w:rPr>
          <w:rFonts w:hint="eastAsia" w:ascii="宋体" w:hAnsi="宋体"/>
          <w:color w:val="auto"/>
          <w:szCs w:val="21"/>
          <w:highlight w:val="none"/>
        </w:rPr>
        <w:t>包号：</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采购人名称：</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采购文件获取日期：</w:t>
      </w:r>
      <w:r>
        <w:rPr>
          <w:rFonts w:hint="eastAsia" w:ascii="宋体" w:hAnsi="宋体"/>
          <w:color w:val="auto"/>
          <w:szCs w:val="21"/>
          <w:highlight w:val="none"/>
          <w:u w:val="dotted"/>
        </w:rPr>
        <w:t xml:space="preserve">                                           </w:t>
      </w:r>
    </w:p>
    <w:p>
      <w:pPr>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三、质疑事项具体内容</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质疑事项1：</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事实依据：</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u w:val="dotted"/>
        </w:rPr>
      </w:pP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法律依据：</w:t>
      </w: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u w:val="dotted"/>
        </w:rPr>
      </w:pPr>
      <w:r>
        <w:rPr>
          <w:rFonts w:hint="eastAsia" w:ascii="宋体" w:hAnsi="宋体"/>
          <w:color w:val="auto"/>
          <w:szCs w:val="21"/>
          <w:highlight w:val="none"/>
          <w:u w:val="dotted"/>
        </w:rPr>
        <w:t xml:space="preserve">                                                     </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质疑事项2</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w:t>
      </w:r>
    </w:p>
    <w:p>
      <w:pPr>
        <w:snapToGrid w:val="0"/>
        <w:spacing w:line="360" w:lineRule="auto"/>
        <w:rPr>
          <w:rFonts w:ascii="宋体" w:hAnsi="宋体"/>
          <w:color w:val="auto"/>
          <w:szCs w:val="21"/>
          <w:highlight w:val="none"/>
        </w:rPr>
      </w:pPr>
    </w:p>
    <w:p>
      <w:pPr>
        <w:snapToGrid w:val="0"/>
        <w:spacing w:line="360" w:lineRule="auto"/>
        <w:rPr>
          <w:rFonts w:hint="eastAsia" w:ascii="宋体" w:hAnsi="宋体"/>
          <w:bCs/>
          <w:color w:val="auto"/>
          <w:szCs w:val="21"/>
          <w:highlight w:val="none"/>
        </w:rPr>
      </w:pPr>
      <w:r>
        <w:rPr>
          <w:rFonts w:hint="eastAsia" w:ascii="宋体" w:hAnsi="宋体"/>
          <w:bCs/>
          <w:color w:val="auto"/>
          <w:szCs w:val="21"/>
          <w:highlight w:val="none"/>
        </w:rPr>
        <w:t>四、与质疑事项相关的质疑请求</w:t>
      </w:r>
    </w:p>
    <w:p>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请求：</w:t>
      </w:r>
      <w:r>
        <w:rPr>
          <w:rFonts w:hint="eastAsia" w:ascii="宋体" w:hAnsi="宋体"/>
          <w:color w:val="auto"/>
          <w:szCs w:val="21"/>
          <w:highlight w:val="none"/>
          <w:u w:val="dotted"/>
        </w:rPr>
        <w:t xml:space="preserve">                                               </w:t>
      </w:r>
    </w:p>
    <w:p>
      <w:pPr>
        <w:rPr>
          <w:rFonts w:hint="eastAsia" w:ascii="宋体" w:hAnsi="宋体"/>
          <w:color w:val="auto"/>
          <w:szCs w:val="21"/>
          <w:highlight w:val="none"/>
        </w:rPr>
      </w:pPr>
      <w:r>
        <w:rPr>
          <w:rFonts w:hint="eastAsia" w:ascii="宋体" w:hAnsi="宋体"/>
          <w:color w:val="auto"/>
          <w:szCs w:val="21"/>
          <w:highlight w:val="none"/>
        </w:rPr>
        <w:t xml:space="preserve">签字(签章)：                   公章：                      </w:t>
      </w:r>
    </w:p>
    <w:p>
      <w:pPr>
        <w:rPr>
          <w:rFonts w:hint="eastAsia" w:ascii="宋体" w:hAnsi="宋体"/>
          <w:color w:val="auto"/>
          <w:szCs w:val="21"/>
          <w:highlight w:val="none"/>
        </w:rPr>
      </w:pPr>
      <w:r>
        <w:rPr>
          <w:rFonts w:hint="eastAsia" w:ascii="宋体" w:hAnsi="宋体"/>
          <w:color w:val="auto"/>
          <w:szCs w:val="21"/>
          <w:highlight w:val="none"/>
        </w:rPr>
        <w:t xml:space="preserve">日期：    </w:t>
      </w:r>
    </w:p>
    <w:p>
      <w:pPr>
        <w:rPr>
          <w:rFonts w:hint="eastAsia" w:ascii="宋体" w:hAnsi="宋体"/>
          <w:b/>
          <w:color w:val="auto"/>
          <w:szCs w:val="21"/>
          <w:highlight w:val="none"/>
        </w:rPr>
      </w:pPr>
      <w:r>
        <w:rPr>
          <w:rFonts w:hint="eastAsia" w:ascii="宋体" w:hAnsi="宋体"/>
          <w:b/>
          <w:color w:val="auto"/>
          <w:szCs w:val="21"/>
          <w:highlight w:val="none"/>
        </w:rPr>
        <w:t>质疑函制作说明：</w:t>
      </w:r>
    </w:p>
    <w:p>
      <w:pPr>
        <w:widowControl/>
        <w:ind w:firstLine="420" w:firstLineChars="200"/>
        <w:jc w:val="left"/>
        <w:rPr>
          <w:rFonts w:hint="eastAsia" w:ascii="宋体" w:hAnsi="宋体"/>
          <w:color w:val="auto"/>
          <w:szCs w:val="21"/>
          <w:highlight w:val="none"/>
        </w:rPr>
      </w:pPr>
      <w:r>
        <w:rPr>
          <w:rFonts w:hint="eastAsia" w:ascii="宋体" w:hAnsi="宋体"/>
          <w:color w:val="auto"/>
          <w:szCs w:val="21"/>
          <w:highlight w:val="none"/>
        </w:rPr>
        <w:t>1.供应商提出质疑时，应提交质疑函和必要的证明材料。</w:t>
      </w:r>
    </w:p>
    <w:p>
      <w:pPr>
        <w:widowControl/>
        <w:ind w:firstLine="420" w:firstLineChars="200"/>
        <w:jc w:val="left"/>
        <w:rPr>
          <w:rFonts w:hint="eastAsia" w:ascii="宋体" w:hAnsi="宋体"/>
          <w:color w:val="auto"/>
          <w:szCs w:val="21"/>
          <w:highlight w:val="none"/>
        </w:rPr>
      </w:pPr>
      <w:r>
        <w:rPr>
          <w:rFonts w:hint="eastAsia" w:ascii="宋体" w:hAnsi="宋体"/>
          <w:color w:val="auto"/>
          <w:szCs w:val="21"/>
          <w:highlight w:val="none"/>
        </w:rPr>
        <w:t>2.质疑供应商若委托代理人进行质疑的，质疑函应按要求列明“授权代表”的有关内容，并在附件中提交由质疑</w:t>
      </w:r>
      <w:r>
        <w:rPr>
          <w:rFonts w:hint="eastAsia" w:ascii="宋体" w:hAnsi="宋体"/>
          <w:color w:val="auto"/>
          <w:kern w:val="0"/>
          <w:szCs w:val="21"/>
          <w:highlight w:val="none"/>
        </w:rPr>
        <w:t>供应商签署的授权委托书。授权委托书应载明代理人的姓名或者名称、代理事项、具体权限、期限和相关事项。</w:t>
      </w:r>
    </w:p>
    <w:p>
      <w:pPr>
        <w:widowControl/>
        <w:ind w:firstLine="420" w:firstLineChars="200"/>
        <w:jc w:val="left"/>
        <w:rPr>
          <w:rFonts w:hint="eastAsia" w:ascii="宋体" w:hAnsi="宋体"/>
          <w:color w:val="auto"/>
          <w:szCs w:val="21"/>
          <w:highlight w:val="none"/>
        </w:rPr>
      </w:pPr>
      <w:r>
        <w:rPr>
          <w:rFonts w:hint="eastAsia" w:ascii="宋体" w:hAnsi="宋体"/>
          <w:color w:val="auto"/>
          <w:szCs w:val="21"/>
          <w:highlight w:val="none"/>
        </w:rPr>
        <w:t>3.质疑供应商若对项目的某一分包进行质疑，质疑函中应列明具体分包号。</w:t>
      </w:r>
    </w:p>
    <w:p>
      <w:pPr>
        <w:widowControl/>
        <w:ind w:firstLine="420" w:firstLineChars="200"/>
        <w:jc w:val="left"/>
        <w:rPr>
          <w:rFonts w:hint="eastAsia" w:ascii="宋体" w:hAnsi="宋体"/>
          <w:color w:val="auto"/>
          <w:szCs w:val="21"/>
          <w:highlight w:val="none"/>
        </w:rPr>
      </w:pPr>
      <w:r>
        <w:rPr>
          <w:rFonts w:hint="eastAsia" w:ascii="宋体" w:hAnsi="宋体"/>
          <w:color w:val="auto"/>
          <w:szCs w:val="21"/>
          <w:highlight w:val="none"/>
        </w:rPr>
        <w:t>4.质疑函的质疑事项应具体、明确，并有必要的事实依据和法律依据。</w:t>
      </w:r>
    </w:p>
    <w:p>
      <w:pPr>
        <w:widowControl/>
        <w:ind w:firstLine="420" w:firstLineChars="200"/>
        <w:jc w:val="left"/>
        <w:rPr>
          <w:rFonts w:hint="eastAsia" w:ascii="宋体" w:hAnsi="宋体"/>
          <w:color w:val="auto"/>
          <w:szCs w:val="21"/>
          <w:highlight w:val="none"/>
        </w:rPr>
      </w:pPr>
      <w:r>
        <w:rPr>
          <w:rFonts w:hint="eastAsia" w:ascii="宋体" w:hAnsi="宋体"/>
          <w:color w:val="auto"/>
          <w:szCs w:val="21"/>
          <w:highlight w:val="none"/>
        </w:rPr>
        <w:t>5.质疑函的质疑请求应与质疑事项相关。</w:t>
      </w:r>
    </w:p>
    <w:p>
      <w:pPr>
        <w:widowControl/>
        <w:ind w:firstLine="420" w:firstLineChars="200"/>
        <w:jc w:val="left"/>
        <w:rPr>
          <w:rFonts w:hint="eastAsia" w:ascii="宋体" w:hAnsi="宋体"/>
          <w:color w:val="auto"/>
          <w:szCs w:val="21"/>
          <w:highlight w:val="none"/>
        </w:rPr>
      </w:pPr>
      <w:r>
        <w:rPr>
          <w:rFonts w:hint="eastAsia" w:ascii="宋体" w:hAnsi="宋体"/>
          <w:color w:val="auto"/>
          <w:szCs w:val="21"/>
          <w:highlight w:val="none"/>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Arial (W1)">
    <w:altName w:val="Arial"/>
    <w:panose1 w:val="00000000000000000000"/>
    <w:charset w:val="00"/>
    <w:family w:val="auto"/>
    <w:pitch w:val="default"/>
    <w:sig w:usb0="00000000" w:usb1="00000000" w:usb2="00000008" w:usb3="00000000" w:csb0="000001F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lear" w:pos="4153"/>
        <w:tab w:val="clear" w:pos="8306"/>
      </w:tabs>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2049"/>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p/>
                      </w:txbxContent>
                    </wps:txbx>
                    <wps:bodyPr rot="0" vert="horz" wrap="square" lIns="91440" tIns="45720" rIns="91440" bIns="45720" anchor="t" anchorCtr="0"/>
                  </wps:wsp>
                </a:graphicData>
              </a:graphic>
            </wp:anchor>
          </w:drawing>
        </mc:Choice>
        <mc:Fallback>
          <w:pict>
            <v:rect id="_x0000_s2049"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jKjB97oBAACGAwAADgAAAAAAAAABACAAAAAiAQAAZHJzL2Uyb0RvYy54bWxQSwUGAAAA&#10;AAYABgBZAQAATgUAAAAA&#10;">
              <v:fill on="f" focussize="0,0"/>
              <v:stroke on="f"/>
              <v:imagedata o:title=""/>
              <o:lock v:ext="edit" aspectratio="f"/>
              <v:textbo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lear" w:pos="4153"/>
        <w:tab w:val="clear" w:pos="8306"/>
      </w:tabs>
      <w:jc w:val="right"/>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2050"/>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p/>
                      </w:txbxContent>
                    </wps:txbx>
                    <wps:bodyPr rot="0" vert="horz" wrap="square" lIns="91440" tIns="45720" rIns="91440" bIns="45720" anchor="t" anchorCtr="0"/>
                  </wps:wsp>
                </a:graphicData>
              </a:graphic>
            </wp:anchor>
          </w:drawing>
        </mc:Choice>
        <mc:Fallback>
          <w:pict>
            <v:rect id="_x0000_s2050"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cUFBaLoBAACGAwAADgAAAAAAAAABACAAAAAiAQAAZHJzL2Uyb0RvYy54bWxQSwUGAAAA&#10;AAYABgBZAQAATgUAAAAA&#10;">
              <v:fill on="f" focussize="0,0"/>
              <v:stroke on="f"/>
              <v:imagedata o:title=""/>
              <o:lock v:ext="edit" aspectratio="f"/>
              <v:textbo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27</w:t>
                    </w:r>
                    <w:r>
                      <w:rPr>
                        <w:rFonts w:hint="eastAsia"/>
                        <w:sz w:val="18"/>
                      </w:rPr>
                      <w:fldChar w:fldCharType="end"/>
                    </w:r>
                  </w:p>
                  <w:p/>
                </w:txbxContent>
              </v:textbox>
            </v:rect>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lear" w:pos="4153"/>
        <w:tab w:val="clear" w:pos="8306"/>
      </w:tabs>
      <w:jc w:val="right"/>
      <w:rPr>
        <w:sz w:val="24"/>
      </w:rPr>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2051"/>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26</w:t>
                          </w:r>
                          <w:r>
                            <w:rPr>
                              <w:rFonts w:hint="eastAsia"/>
                              <w:sz w:val="18"/>
                            </w:rPr>
                            <w:fldChar w:fldCharType="end"/>
                          </w:r>
                        </w:p>
                        <w:p/>
                      </w:txbxContent>
                    </wps:txbx>
                    <wps:bodyPr rot="0" vert="horz" wrap="square" lIns="91440" tIns="45720" rIns="91440" bIns="45720" anchor="t" anchorCtr="0"/>
                  </wps:wsp>
                </a:graphicData>
              </a:graphic>
            </wp:anchor>
          </w:drawing>
        </mc:Choice>
        <mc:Fallback>
          <w:pict>
            <v:rect id="_x0000_s2051"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xs8E0wAAAAUBAAAPAAAAAAAAAAEAIAAAACIAAABkcnMvZG93bnJldi54bWxQSwECFAAUAAAA&#10;CACHTuJAW06G+boBAACGAwAADgAAAAAAAAABACAAAAAiAQAAZHJzL2Uyb0RvYy54bWxQSwUGAAAA&#10;AAYABgBZAQAATgUAAAAA&#10;">
              <v:fill on="f" focussize="0,0"/>
              <v:stroke on="f"/>
              <v:imagedata o:title=""/>
              <o:lock v:ext="edit" aspectratio="f"/>
              <v:textbo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26</w:t>
                    </w:r>
                    <w:r>
                      <w:rPr>
                        <w:rFonts w:hint="eastAsia"/>
                        <w:sz w:val="18"/>
                      </w:rPr>
                      <w:fldChar w:fldCharType="end"/>
                    </w:r>
                  </w:p>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lear" w:pos="4153"/>
        <w:tab w:val="clear" w:pos="8306"/>
      </w:tabs>
      <w:jc w:val="right"/>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2056"/>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pPr>
                            <w:pStyle w:val="30"/>
                            <w:tabs>
                              <w:tab w:val="clear" w:pos="4153"/>
                              <w:tab w:val="clear" w:pos="8306"/>
                            </w:tabs>
                          </w:pPr>
                          <w:r>
                            <w:fldChar w:fldCharType="begin"/>
                          </w:r>
                          <w:r>
                            <w:rPr>
                              <w:rStyle w:val="42"/>
                            </w:rPr>
                            <w:instrText xml:space="preserve">PAGE  </w:instrText>
                          </w:r>
                          <w:r>
                            <w:fldChar w:fldCharType="separate"/>
                          </w:r>
                          <w:r>
                            <w:rPr>
                              <w:rStyle w:val="42"/>
                            </w:rPr>
                            <w:t>34</w:t>
                          </w:r>
                          <w:r>
                            <w:fldChar w:fldCharType="end"/>
                          </w:r>
                        </w:p>
                        <w:p/>
                      </w:txbxContent>
                    </wps:txbx>
                    <wps:bodyPr rot="0" vert="horz" wrap="square" lIns="91440" tIns="45720" rIns="91440" bIns="45720" anchor="t" anchorCtr="0"/>
                  </wps:wsp>
                </a:graphicData>
              </a:graphic>
            </wp:anchor>
          </w:drawing>
        </mc:Choice>
        <mc:Fallback>
          <w:pict>
            <v:rect id="_x0000_s2056"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A4qYqG7AQAAhgMAAA4AAAAAAAAAAQAgAAAAIgEAAGRycy9lMm9Eb2MueG1sUEsFBgAA&#10;AAAGAAYAWQEAAE8FAAAAAA==&#10;">
              <v:fill on="f" focussize="0,0"/>
              <v:stroke on="f"/>
              <v:imagedata o:title=""/>
              <o:lock v:ext="edit" aspectratio="f"/>
              <v:textbox>
                <w:txbxContent>
                  <w:p>
                    <w:pPr>
                      <w:pStyle w:val="30"/>
                      <w:tabs>
                        <w:tab w:val="clear" w:pos="4153"/>
                        <w:tab w:val="clear" w:pos="8306"/>
                      </w:tabs>
                    </w:pPr>
                    <w:r>
                      <w:fldChar w:fldCharType="begin"/>
                    </w:r>
                    <w:r>
                      <w:rPr>
                        <w:rStyle w:val="42"/>
                      </w:rPr>
                      <w:instrText xml:space="preserve">PAGE  </w:instrText>
                    </w:r>
                    <w:r>
                      <w:fldChar w:fldCharType="separate"/>
                    </w:r>
                    <w:r>
                      <w:rPr>
                        <w:rStyle w:val="42"/>
                      </w:rPr>
                      <w:t>34</w:t>
                    </w:r>
                    <w:r>
                      <w:fldChar w:fldCharType="end"/>
                    </w:r>
                  </w:p>
                  <w:p/>
                </w:txbxContent>
              </v:textbox>
            </v:rect>
          </w:pict>
        </mc:Fallback>
      </mc:AlternateContent>
    </w:r>
    <w:r>
      <mc:AlternateContent>
        <mc:Choice Requires="wps">
          <w:drawing>
            <wp:anchor distT="0" distB="0" distL="0" distR="0" simplePos="0" relativeHeight="251659264" behindDoc="0" locked="0" layoutInCell="1" allowOverlap="1">
              <wp:simplePos x="0" y="0"/>
              <wp:positionH relativeFrom="column">
                <wp:posOffset>0</wp:posOffset>
              </wp:positionH>
              <wp:positionV relativeFrom="paragraph">
                <wp:posOffset>0</wp:posOffset>
              </wp:positionV>
              <wp:extent cx="5934075" cy="12700"/>
              <wp:effectExtent l="0" t="6350" r="9525" b="9525"/>
              <wp:wrapNone/>
              <wp:docPr id="5" name="_x0000_s2057"/>
              <wp:cNvGraphicFramePr/>
              <a:graphic xmlns:a="http://schemas.openxmlformats.org/drawingml/2006/main">
                <a:graphicData uri="http://schemas.microsoft.com/office/word/2010/wordprocessingShape">
                  <wps:wsp>
                    <wps:cNvCnPr/>
                    <wps:spPr>
                      <a:xfrm flipH="1">
                        <a:off x="66675" y="-35560"/>
                        <a:ext cx="5934075" cy="12700"/>
                      </a:xfrm>
                      <a:prstGeom prst="line">
                        <a:avLst/>
                      </a:prstGeom>
                      <a:ln w="12700">
                        <a:solidFill>
                          <a:prstClr val="white"/>
                        </a:solidFill>
                      </a:ln>
                    </wps:spPr>
                    <wps:bodyPr rot="0" vert="horz" wrap="square" lIns="91440" tIns="45720" rIns="91440" bIns="45720" anchor="t" anchorCtr="0"/>
                  </wps:wsp>
                </a:graphicData>
              </a:graphic>
            </wp:anchor>
          </w:drawing>
        </mc:Choice>
        <mc:Fallback>
          <w:pict>
            <v:line id="_x0000_s2057" o:spid="_x0000_s1026" o:spt="20" style="position:absolute;left:0pt;flip:x;margin-left:0pt;margin-top:0pt;height:1pt;width:467.25pt;z-index:251659264;mso-width-relative:page;mso-height-relative:page;" filled="f" stroked="t" coordsize="21600,21600" o:gfxdata="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F&#10;2dfw1gAAAAMBAAAPAAAAAAAAAAEAIAAAACIAAABkcnMvZG93bnJldi54bWxQSwECFAAUAAAACACH&#10;TuJALo9DMu0BAADWAwAADgAAAAAAAAABACAAAAAlAQAAZHJzL2Uyb0RvYy54bWxQSwUGAAAAAAYA&#10;BgBZAQAAhAUAAAAA&#10;">
              <v:fill on="f" focussize="0,0"/>
              <v:stroke weight="1pt" color="#FFFFFF" joinstyle="round"/>
              <v:imagedata o:title=""/>
              <o:lock v:ext="edit" aspectratio="f"/>
            </v:line>
          </w:pict>
        </mc:Fallback>
      </mc:AlternateContent>
    </w:r>
    <w:r>
      <w:rPr>
        <w:rFonts w:hint="eastAsia"/>
        <w:shd w:val="pct10" w:color="auto" w:fill="FFFFFF"/>
      </w:rPr>
      <w:t>浙江品信工程项目管理有限公司</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tabs>
        <w:tab w:val="clear" w:pos="4153"/>
        <w:tab w:val="clear" w:pos="8306"/>
      </w:tabs>
      <w:jc w:val="right"/>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_x0000_s2052"/>
              <wp:cNvGraphicFramePr/>
              <a:graphic xmlns:a="http://schemas.openxmlformats.org/drawingml/2006/main">
                <a:graphicData uri="http://schemas.microsoft.com/office/word/2010/wordprocessingShape">
                  <wps:wsp>
                    <wps:cNvSpPr/>
                    <wps:spPr>
                      <a:xfrm>
                        <a:off x="0" y="0"/>
                        <a:ext cx="1828800" cy="1828800"/>
                      </a:xfrm>
                      <a:prstGeom prst="rect">
                        <a:avLst/>
                      </a:prstGeom>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54</w:t>
                          </w:r>
                          <w:r>
                            <w:rPr>
                              <w:rFonts w:hint="eastAsia"/>
                              <w:sz w:val="18"/>
                            </w:rPr>
                            <w:fldChar w:fldCharType="end"/>
                          </w:r>
                        </w:p>
                        <w:p/>
                      </w:txbxContent>
                    </wps:txbx>
                    <wps:bodyPr rot="0" vert="horz" wrap="square" lIns="91440" tIns="45720" rIns="91440" bIns="45720" anchor="t" anchorCtr="0"/>
                  </wps:wsp>
                </a:graphicData>
              </a:graphic>
            </wp:anchor>
          </w:drawing>
        </mc:Choice>
        <mc:Fallback>
          <w:pict>
            <v:rect id="_x0000_s2052"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2MbPBNMAAAAFAQAADwAAAAAAAAABACAAAAAiAAAAZHJzL2Rvd25yZXYueG1sUEsBAhQAFAAA&#10;AAgAh07iQGOCBtC7AQAAhgMAAA4AAAAAAAAAAQAgAAAAIgEAAGRycy9lMm9Eb2MueG1sUEsFBgAA&#10;AAAGAAYAWQEAAE8FAAAAAA==&#10;">
              <v:fill on="f" focussize="0,0"/>
              <v:stroke on="f"/>
              <v:imagedata o:title=""/>
              <o:lock v:ext="edit" aspectratio="f"/>
              <v:textbo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54</w:t>
                    </w:r>
                    <w:r>
                      <w:rPr>
                        <w:rFonts w:hint="eastAsia"/>
                        <w:sz w:val="18"/>
                      </w:rPr>
                      <w:fldChar w:fldCharType="end"/>
                    </w:r>
                  </w:p>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000000" w:sz="0" w:space="1"/>
      </w:pBdr>
      <w:shd w:val="clear" w:color="auto" w:fill="FFFFFF"/>
      <w:tabs>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shd w:val="clear" w:color="auto" w:fill="FFFFFF"/>
      <w:tabs>
        <w:tab w:val="clear" w:pos="4153"/>
        <w:tab w:val="clear" w:pos="8306"/>
      </w:tabs>
      <w:jc w:val="both"/>
      <w:rPr>
        <w:rFonts w:hint="eastAsia"/>
        <w:shd w:val="pct10" w:color="auto" w:fill="FFFFFF"/>
      </w:rPr>
    </w:pPr>
    <w:r>
      <w:rPr>
        <w:rFonts w:hint="eastAsia"/>
        <w:shd w:val="pct10" w:color="auto" w:fill="FFFFFF"/>
      </w:rPr>
      <w:t>平阳县国企采购招标文件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bottom w:val="none" w:color="000000" w:sz="0" w:space="1"/>
      </w:pBdr>
      <w:shd w:val="clear" w:color="auto" w:fill="FFFFFF"/>
      <w:tabs>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EB0C43"/>
    <w:multiLevelType w:val="singleLevel"/>
    <w:tmpl w:val="82EB0C43"/>
    <w:lvl w:ilvl="0" w:tentative="0">
      <w:start w:val="1"/>
      <w:numFmt w:val="decimal"/>
      <w:suff w:val="nothing"/>
      <w:lvlText w:val="（%1）"/>
      <w:lvlJc w:val="left"/>
    </w:lvl>
  </w:abstractNum>
  <w:abstractNum w:abstractNumId="1">
    <w:nsid w:val="8E022DD0"/>
    <w:multiLevelType w:val="singleLevel"/>
    <w:tmpl w:val="8E022DD0"/>
    <w:lvl w:ilvl="0" w:tentative="0">
      <w:start w:val="5"/>
      <w:numFmt w:val="chineseCounting"/>
      <w:suff w:val="space"/>
      <w:lvlText w:val="第%1部分"/>
      <w:lvlJc w:val="left"/>
      <w:rPr>
        <w:rFonts w:hint="eastAsia"/>
      </w:rPr>
    </w:lvl>
  </w:abstractNum>
  <w:abstractNum w:abstractNumId="2">
    <w:nsid w:val="9F6E8C2A"/>
    <w:multiLevelType w:val="singleLevel"/>
    <w:tmpl w:val="9F6E8C2A"/>
    <w:lvl w:ilvl="0" w:tentative="0">
      <w:start w:val="5"/>
      <w:numFmt w:val="decimal"/>
      <w:suff w:val="nothing"/>
      <w:lvlText w:val="%1、"/>
      <w:lvlJc w:val="left"/>
      <w:pPr>
        <w:ind w:left="796" w:firstLine="0"/>
      </w:pPr>
    </w:lvl>
  </w:abstractNum>
  <w:abstractNum w:abstractNumId="3">
    <w:nsid w:val="A1CAFB84"/>
    <w:multiLevelType w:val="singleLevel"/>
    <w:tmpl w:val="A1CAFB84"/>
    <w:lvl w:ilvl="0" w:tentative="0">
      <w:start w:val="2"/>
      <w:numFmt w:val="decimal"/>
      <w:suff w:val="nothing"/>
      <w:lvlText w:val="（%1）"/>
      <w:lvlJc w:val="left"/>
    </w:lvl>
  </w:abstractNum>
  <w:abstractNum w:abstractNumId="4">
    <w:nsid w:val="CBC0DC41"/>
    <w:multiLevelType w:val="singleLevel"/>
    <w:tmpl w:val="CBC0DC41"/>
    <w:lvl w:ilvl="0" w:tentative="0">
      <w:start w:val="1"/>
      <w:numFmt w:val="decimal"/>
      <w:lvlText w:val="%1."/>
      <w:lvlJc w:val="left"/>
      <w:pPr>
        <w:tabs>
          <w:tab w:val="left" w:pos="312"/>
        </w:tabs>
      </w:pPr>
    </w:lvl>
  </w:abstractNum>
  <w:abstractNum w:abstractNumId="5">
    <w:nsid w:val="D2E2B05E"/>
    <w:multiLevelType w:val="singleLevel"/>
    <w:tmpl w:val="D2E2B05E"/>
    <w:lvl w:ilvl="0" w:tentative="0">
      <w:start w:val="1"/>
      <w:numFmt w:val="decimal"/>
      <w:suff w:val="space"/>
      <w:lvlText w:val="%1."/>
      <w:lvlJc w:val="left"/>
    </w:lvl>
  </w:abstractNum>
  <w:abstractNum w:abstractNumId="6">
    <w:nsid w:val="D88AD1C3"/>
    <w:multiLevelType w:val="singleLevel"/>
    <w:tmpl w:val="D88AD1C3"/>
    <w:lvl w:ilvl="0" w:tentative="0">
      <w:start w:val="1"/>
      <w:numFmt w:val="decimal"/>
      <w:suff w:val="space"/>
      <w:lvlText w:val="%1."/>
      <w:lvlJc w:val="left"/>
    </w:lvl>
  </w:abstractNum>
  <w:abstractNum w:abstractNumId="7">
    <w:nsid w:val="E7F5B515"/>
    <w:multiLevelType w:val="singleLevel"/>
    <w:tmpl w:val="E7F5B515"/>
    <w:lvl w:ilvl="0" w:tentative="0">
      <w:start w:val="12"/>
      <w:numFmt w:val="decimal"/>
      <w:suff w:val="nothing"/>
      <w:lvlText w:val="%1、"/>
      <w:lvlJc w:val="left"/>
    </w:lvl>
  </w:abstractNum>
  <w:abstractNum w:abstractNumId="8">
    <w:nsid w:val="00000012"/>
    <w:multiLevelType w:val="multilevel"/>
    <w:tmpl w:val="00000012"/>
    <w:lvl w:ilvl="0" w:tentative="0">
      <w:start w:val="1"/>
      <w:numFmt w:val="decimal"/>
      <w:pStyle w:val="82"/>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113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16"/>
    <w:multiLevelType w:val="multilevel"/>
    <w:tmpl w:val="00000016"/>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720"/>
        </w:tabs>
        <w:ind w:left="720" w:hanging="720"/>
      </w:pPr>
      <w:rPr>
        <w:rFonts w:ascii="Arial (W1)" w:hAnsi="Arial (W1)"/>
        <w:b/>
        <w:i w:val="0"/>
        <w:sz w:val="28"/>
      </w:rPr>
    </w:lvl>
    <w:lvl w:ilvl="2" w:tentative="0">
      <w:start w:val="1"/>
      <w:numFmt w:val="decimal"/>
      <w:lvlText w:val="%1.%3."/>
      <w:lvlJc w:val="left"/>
      <w:pPr>
        <w:tabs>
          <w:tab w:val="left" w:pos="720"/>
        </w:tabs>
        <w:ind w:left="720" w:hanging="720"/>
      </w:pPr>
    </w:lvl>
    <w:lvl w:ilvl="3" w:tentative="0">
      <w:start w:val="1"/>
      <w:numFmt w:val="decimal"/>
      <w:lvlText w:val="%1.%3.%4."/>
      <w:lvlJc w:val="left"/>
      <w:pPr>
        <w:tabs>
          <w:tab w:val="left" w:pos="1728"/>
        </w:tabs>
        <w:ind w:left="1728" w:hanging="648"/>
      </w:pPr>
    </w:lvl>
    <w:lvl w:ilvl="4" w:tentative="0">
      <w:start w:val="1"/>
      <w:numFmt w:val="decimal"/>
      <w:lvlText w:val="%1.%2.%3.%4.%5."/>
      <w:lvlJc w:val="left"/>
      <w:pPr>
        <w:tabs>
          <w:tab w:val="left" w:pos="2520"/>
        </w:tabs>
        <w:ind w:left="2232" w:hanging="792"/>
      </w:pPr>
    </w:lvl>
    <w:lvl w:ilvl="5" w:tentative="0">
      <w:start w:val="1"/>
      <w:numFmt w:val="decimal"/>
      <w:lvlText w:val="%1.%2.%3.%4.%5.%6."/>
      <w:lvlJc w:val="left"/>
      <w:pPr>
        <w:tabs>
          <w:tab w:val="left" w:pos="3240"/>
        </w:tabs>
        <w:ind w:left="2736" w:hanging="936"/>
      </w:pPr>
    </w:lvl>
    <w:lvl w:ilvl="6" w:tentative="0">
      <w:start w:val="1"/>
      <w:numFmt w:val="decimal"/>
      <w:lvlText w:val="%1.%2.%3.%4.%5.%6.%7."/>
      <w:lvlJc w:val="left"/>
      <w:pPr>
        <w:tabs>
          <w:tab w:val="left" w:pos="3600"/>
        </w:tabs>
        <w:ind w:left="3240" w:hanging="1080"/>
      </w:pPr>
    </w:lvl>
    <w:lvl w:ilvl="7" w:tentative="0">
      <w:start w:val="1"/>
      <w:numFmt w:val="decimal"/>
      <w:lvlText w:val="%1.%2.%3.%4.%5.%6.%7.%8."/>
      <w:lvlJc w:val="left"/>
      <w:pPr>
        <w:tabs>
          <w:tab w:val="left" w:pos="4320"/>
        </w:tabs>
        <w:ind w:left="3744" w:hanging="1224"/>
      </w:pPr>
    </w:lvl>
    <w:lvl w:ilvl="8" w:tentative="0">
      <w:start w:val="1"/>
      <w:numFmt w:val="decimal"/>
      <w:lvlText w:val="%1.%2.%3.%4.%5.%6.%7.%8.%9."/>
      <w:lvlJc w:val="left"/>
      <w:pPr>
        <w:tabs>
          <w:tab w:val="left" w:pos="5040"/>
        </w:tabs>
        <w:ind w:left="4320" w:hanging="1440"/>
      </w:pPr>
    </w:lvl>
  </w:abstractNum>
  <w:abstractNum w:abstractNumId="10">
    <w:nsid w:val="16451CA2"/>
    <w:multiLevelType w:val="multilevel"/>
    <w:tmpl w:val="16451CA2"/>
    <w:lvl w:ilvl="0" w:tentative="0">
      <w:start w:val="1"/>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1">
    <w:nsid w:val="19DE2C87"/>
    <w:multiLevelType w:val="singleLevel"/>
    <w:tmpl w:val="19DE2C87"/>
    <w:lvl w:ilvl="0" w:tentative="0">
      <w:start w:val="1"/>
      <w:numFmt w:val="decimal"/>
      <w:suff w:val="nothing"/>
      <w:lvlText w:val="（%1）"/>
      <w:lvlJc w:val="left"/>
    </w:lvl>
  </w:abstractNum>
  <w:abstractNum w:abstractNumId="12">
    <w:nsid w:val="3B573334"/>
    <w:multiLevelType w:val="multilevel"/>
    <w:tmpl w:val="3B573334"/>
    <w:lvl w:ilvl="0" w:tentative="0">
      <w:start w:val="1"/>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3">
    <w:nsid w:val="54F403B5"/>
    <w:multiLevelType w:val="singleLevel"/>
    <w:tmpl w:val="54F403B5"/>
    <w:lvl w:ilvl="0" w:tentative="0">
      <w:start w:val="1"/>
      <w:numFmt w:val="chineseCounting"/>
      <w:suff w:val="nothing"/>
      <w:lvlText w:val="%1、"/>
      <w:lvlJc w:val="left"/>
    </w:lvl>
  </w:abstractNum>
  <w:abstractNum w:abstractNumId="14">
    <w:nsid w:val="557FD3DA"/>
    <w:multiLevelType w:val="singleLevel"/>
    <w:tmpl w:val="557FD3DA"/>
    <w:lvl w:ilvl="0" w:tentative="0">
      <w:start w:val="3"/>
      <w:numFmt w:val="chineseCounting"/>
      <w:suff w:val="nothing"/>
      <w:lvlText w:val="%1、"/>
      <w:lvlJc w:val="left"/>
    </w:lvl>
  </w:abstractNum>
  <w:abstractNum w:abstractNumId="15">
    <w:nsid w:val="58C0021A"/>
    <w:multiLevelType w:val="singleLevel"/>
    <w:tmpl w:val="58C0021A"/>
    <w:lvl w:ilvl="0" w:tentative="0">
      <w:start w:val="2"/>
      <w:numFmt w:val="decimal"/>
      <w:suff w:val="nothing"/>
      <w:lvlText w:val="%1、"/>
      <w:lvlJc w:val="left"/>
    </w:lvl>
  </w:abstractNum>
  <w:abstractNum w:abstractNumId="16">
    <w:nsid w:val="5A951B85"/>
    <w:multiLevelType w:val="singleLevel"/>
    <w:tmpl w:val="5A951B85"/>
    <w:lvl w:ilvl="0" w:tentative="0">
      <w:start w:val="2"/>
      <w:numFmt w:val="chineseCounting"/>
      <w:suff w:val="space"/>
      <w:lvlText w:val="第%1部分"/>
      <w:lvlJc w:val="left"/>
    </w:lvl>
  </w:abstractNum>
  <w:abstractNum w:abstractNumId="17">
    <w:nsid w:val="64753AF9"/>
    <w:multiLevelType w:val="multilevel"/>
    <w:tmpl w:val="64753AF9"/>
    <w:lvl w:ilvl="0" w:tentative="0">
      <w:start w:val="1"/>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8"/>
  </w:num>
  <w:num w:numId="2">
    <w:abstractNumId w:val="9"/>
  </w:num>
  <w:num w:numId="3">
    <w:abstractNumId w:val="16"/>
  </w:num>
  <w:num w:numId="4">
    <w:abstractNumId w:val="7"/>
  </w:num>
  <w:num w:numId="5">
    <w:abstractNumId w:val="11"/>
  </w:num>
  <w:num w:numId="6">
    <w:abstractNumId w:val="2"/>
  </w:num>
  <w:num w:numId="7">
    <w:abstractNumId w:val="6"/>
  </w:num>
  <w:num w:numId="8">
    <w:abstractNumId w:val="1"/>
  </w:num>
  <w:num w:numId="9">
    <w:abstractNumId w:val="12"/>
  </w:num>
  <w:num w:numId="10">
    <w:abstractNumId w:val="10"/>
  </w:num>
  <w:num w:numId="11">
    <w:abstractNumId w:val="17"/>
  </w:num>
  <w:num w:numId="12">
    <w:abstractNumId w:val="3"/>
  </w:num>
  <w:num w:numId="13">
    <w:abstractNumId w:val="5"/>
  </w:num>
  <w:num w:numId="14">
    <w:abstractNumId w:val="0"/>
  </w:num>
  <w:num w:numId="15">
    <w:abstractNumId w:val="4"/>
  </w:num>
  <w:num w:numId="16">
    <w:abstractNumId w:val="15"/>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isplayHorizontalDrawingGridEvery w:val="1"/>
  <w:displayVerticalDrawingGridEvery w:val="1"/>
  <w:noPunctuationKerning w:val="1"/>
  <w:compat>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2Y2Y1ZWM4MTg0YzhmNWM2MWMxNTI3OTFlNzM0ZmQifQ=="/>
  </w:docVars>
  <w:rsids>
    <w:rsidRoot w:val="00000000"/>
    <w:rsid w:val="04B52AB7"/>
    <w:rsid w:val="092804D8"/>
    <w:rsid w:val="0C395B9B"/>
    <w:rsid w:val="0F710B37"/>
    <w:rsid w:val="10D63DE3"/>
    <w:rsid w:val="14B35371"/>
    <w:rsid w:val="1508102A"/>
    <w:rsid w:val="1ED407E8"/>
    <w:rsid w:val="30B17E2C"/>
    <w:rsid w:val="3B731701"/>
    <w:rsid w:val="40AB6FD6"/>
    <w:rsid w:val="40C57A68"/>
    <w:rsid w:val="48172087"/>
    <w:rsid w:val="507F1290"/>
    <w:rsid w:val="55C90178"/>
    <w:rsid w:val="56875AE1"/>
    <w:rsid w:val="578941A8"/>
    <w:rsid w:val="5C45364D"/>
    <w:rsid w:val="650F58C1"/>
    <w:rsid w:val="67473665"/>
    <w:rsid w:val="6ABC07FF"/>
    <w:rsid w:val="6CA07618"/>
    <w:rsid w:val="70170E7F"/>
    <w:rsid w:val="73CA63DC"/>
    <w:rsid w:val="7D634EC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60"/>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qFormat/>
    <w:uiPriority w:val="99"/>
    <w:rPr>
      <w:rFonts w:ascii="Arial" w:hAnsi="Arial" w:cs="Times New Roman"/>
      <w:bCs/>
      <w:kern w:val="2"/>
    </w:rPr>
  </w:style>
  <w:style w:type="paragraph" w:styleId="4">
    <w:name w:val="Body Text First Indent"/>
    <w:basedOn w:val="3"/>
    <w:next w:val="5"/>
    <w:qFormat/>
    <w:uiPriority w:val="0"/>
    <w:pPr>
      <w:spacing w:after="120"/>
      <w:ind w:firstLine="420" w:firstLineChars="100"/>
    </w:pPr>
    <w:rPr>
      <w:rFonts w:ascii="Calibri" w:hAnsi="Calibri"/>
      <w:sz w:val="21"/>
      <w:szCs w:val="22"/>
    </w:rPr>
  </w:style>
  <w:style w:type="paragraph" w:styleId="5">
    <w:name w:val="toc 6"/>
    <w:basedOn w:val="1"/>
    <w:next w:val="1"/>
    <w:qFormat/>
    <w:uiPriority w:val="39"/>
    <w:pPr>
      <w:widowControl w:val="0"/>
      <w:ind w:left="840"/>
    </w:pPr>
    <w:rPr>
      <w:rFonts w:ascii="Calibri" w:hAnsi="Calibri" w:cs="Calibri"/>
      <w:kern w:val="2"/>
      <w:sz w:val="20"/>
      <w:szCs w:val="20"/>
    </w:rPr>
  </w:style>
  <w:style w:type="paragraph" w:styleId="6">
    <w:name w:val="Plain Text"/>
    <w:basedOn w:val="1"/>
    <w:next w:val="7"/>
    <w:qFormat/>
    <w:uiPriority w:val="0"/>
    <w:rPr>
      <w:rFonts w:hAnsi="Courier New" w:cs="Times New Roman"/>
      <w:kern w:val="2"/>
      <w:sz w:val="21"/>
      <w:szCs w:val="20"/>
    </w:rPr>
  </w:style>
  <w:style w:type="paragraph" w:styleId="7">
    <w:name w:val="toc 2"/>
    <w:basedOn w:val="1"/>
    <w:next w:val="1"/>
    <w:qFormat/>
    <w:uiPriority w:val="39"/>
    <w:pPr>
      <w:ind w:left="420" w:leftChars="200"/>
    </w:pPr>
    <w:rPr>
      <w:szCs w:val="20"/>
    </w:rPr>
  </w:style>
  <w:style w:type="character" w:styleId="10">
    <w:name w:val="Strong"/>
    <w:basedOn w:val="9"/>
    <w:qFormat/>
    <w:uiPriority w:val="0"/>
    <w:rPr>
      <w:b/>
    </w:rPr>
  </w:style>
  <w:style w:type="paragraph" w:customStyle="1" w:styleId="11">
    <w:name w:val="标题 111"/>
    <w:basedOn w:val="1"/>
    <w:qFormat/>
    <w:uiPriority w:val="0"/>
    <w:pPr>
      <w:keepNext/>
      <w:jc w:val="left"/>
      <w:outlineLvl w:val="0"/>
    </w:pPr>
    <w:rPr>
      <w:rFonts w:ascii="Calibri" w:hAnsi="Calibri"/>
      <w:b/>
      <w:sz w:val="28"/>
    </w:rPr>
  </w:style>
  <w:style w:type="paragraph" w:customStyle="1" w:styleId="12">
    <w:name w:val="标题 21"/>
    <w:basedOn w:val="1"/>
    <w:qFormat/>
    <w:uiPriority w:val="0"/>
    <w:pPr>
      <w:keepNext/>
      <w:keepLines/>
      <w:spacing w:before="260" w:after="260" w:line="416" w:lineRule="auto"/>
      <w:outlineLvl w:val="1"/>
    </w:pPr>
    <w:rPr>
      <w:rFonts w:ascii="Arial" w:hAnsi="Arial" w:eastAsia="黑体"/>
      <w:b/>
      <w:bCs/>
      <w:sz w:val="32"/>
      <w:szCs w:val="32"/>
    </w:rPr>
  </w:style>
  <w:style w:type="paragraph" w:customStyle="1" w:styleId="13">
    <w:name w:val="标题 31"/>
    <w:basedOn w:val="1"/>
    <w:qFormat/>
    <w:uiPriority w:val="0"/>
    <w:pPr>
      <w:keepNext/>
      <w:keepLines/>
      <w:spacing w:before="260" w:after="260" w:line="416" w:lineRule="auto"/>
      <w:outlineLvl w:val="2"/>
    </w:pPr>
    <w:rPr>
      <w:rFonts w:ascii="Calibri" w:hAnsi="Calibri"/>
      <w:b/>
      <w:bCs/>
      <w:sz w:val="32"/>
      <w:szCs w:val="32"/>
    </w:rPr>
  </w:style>
  <w:style w:type="paragraph" w:customStyle="1" w:styleId="14">
    <w:name w:val="标题 41"/>
    <w:basedOn w:val="1"/>
    <w:qFormat/>
    <w:uiPriority w:val="0"/>
    <w:pPr>
      <w:keepNext/>
      <w:keepLines/>
      <w:spacing w:before="280" w:after="290" w:line="376" w:lineRule="auto"/>
      <w:outlineLvl w:val="3"/>
    </w:pPr>
    <w:rPr>
      <w:rFonts w:ascii="Cambria" w:hAnsi="Cambria"/>
      <w:b/>
      <w:bCs/>
      <w:sz w:val="28"/>
      <w:szCs w:val="28"/>
    </w:rPr>
  </w:style>
  <w:style w:type="character" w:customStyle="1" w:styleId="15">
    <w:name w:val="默认段落字体1"/>
    <w:link w:val="1"/>
    <w:qFormat/>
    <w:uiPriority w:val="0"/>
  </w:style>
  <w:style w:type="table" w:customStyle="1" w:styleId="16">
    <w:name w:val="普通表格1"/>
    <w:qFormat/>
    <w:uiPriority w:val="0"/>
  </w:style>
  <w:style w:type="paragraph" w:customStyle="1" w:styleId="17">
    <w:name w:val="正文首行缩进11"/>
    <w:basedOn w:val="1"/>
    <w:qFormat/>
    <w:uiPriority w:val="0"/>
    <w:pPr>
      <w:spacing w:after="120"/>
      <w:ind w:firstLine="420" w:firstLineChars="100"/>
    </w:pPr>
    <w:rPr>
      <w:rFonts w:ascii="Calibri" w:hAnsi="Calibri"/>
      <w:sz w:val="21"/>
      <w:szCs w:val="22"/>
    </w:rPr>
  </w:style>
  <w:style w:type="paragraph" w:customStyle="1" w:styleId="18">
    <w:name w:val="正文缩进1"/>
    <w:basedOn w:val="1"/>
    <w:link w:val="19"/>
    <w:qFormat/>
    <w:uiPriority w:val="0"/>
    <w:pPr>
      <w:ind w:firstLine="420" w:firstLineChars="200"/>
    </w:pPr>
  </w:style>
  <w:style w:type="character" w:customStyle="1" w:styleId="19">
    <w:name w:val="正文缩进 字符"/>
    <w:link w:val="18"/>
    <w:qFormat/>
    <w:uiPriority w:val="0"/>
    <w:rPr>
      <w:kern w:val="2"/>
      <w:sz w:val="21"/>
      <w:szCs w:val="24"/>
    </w:rPr>
  </w:style>
  <w:style w:type="paragraph" w:customStyle="1" w:styleId="20">
    <w:name w:val="批注文字1"/>
    <w:basedOn w:val="1"/>
    <w:qFormat/>
    <w:uiPriority w:val="0"/>
    <w:pPr>
      <w:jc w:val="left"/>
    </w:pPr>
    <w:rPr>
      <w:rFonts w:ascii="Calibri" w:hAnsi="Calibri"/>
      <w:sz w:val="21"/>
      <w:szCs w:val="22"/>
    </w:rPr>
  </w:style>
  <w:style w:type="paragraph" w:customStyle="1" w:styleId="21">
    <w:name w:val="正文文本1"/>
    <w:basedOn w:val="1"/>
    <w:qFormat/>
    <w:uiPriority w:val="0"/>
    <w:rPr>
      <w:rFonts w:ascii="Arial" w:hAnsi="Arial"/>
      <w:bCs/>
      <w:sz w:val="24"/>
    </w:rPr>
  </w:style>
  <w:style w:type="paragraph" w:customStyle="1" w:styleId="22">
    <w:name w:val="正文文本缩进1"/>
    <w:basedOn w:val="1"/>
    <w:qFormat/>
    <w:uiPriority w:val="0"/>
    <w:pPr>
      <w:spacing w:after="120"/>
      <w:ind w:left="420" w:leftChars="200"/>
    </w:pPr>
  </w:style>
  <w:style w:type="paragraph" w:customStyle="1" w:styleId="23">
    <w:name w:val="文本块1"/>
    <w:basedOn w:val="1"/>
    <w:qFormat/>
    <w:uiPriority w:val="0"/>
    <w:pPr>
      <w:spacing w:before="156" w:after="156"/>
      <w:ind w:left="426" w:right="-11" w:hanging="426" w:hangingChars="203"/>
    </w:pPr>
    <w:rPr>
      <w:rFonts w:eastAsia="楷体_GB2312"/>
    </w:rPr>
  </w:style>
  <w:style w:type="paragraph" w:customStyle="1" w:styleId="24">
    <w:name w:val="纯文本111"/>
    <w:basedOn w:val="1"/>
    <w:qFormat/>
    <w:uiPriority w:val="0"/>
    <w:rPr>
      <w:rFonts w:ascii="宋体" w:hAnsi="Courier New"/>
      <w:szCs w:val="20"/>
    </w:rPr>
  </w:style>
  <w:style w:type="paragraph" w:customStyle="1" w:styleId="25">
    <w:name w:val="目录 21"/>
    <w:basedOn w:val="1"/>
    <w:qFormat/>
    <w:uiPriority w:val="0"/>
    <w:pPr>
      <w:ind w:left="420" w:leftChars="200"/>
    </w:pPr>
    <w:rPr>
      <w:szCs w:val="20"/>
    </w:rPr>
  </w:style>
  <w:style w:type="paragraph" w:customStyle="1" w:styleId="26">
    <w:name w:val="日期1"/>
    <w:basedOn w:val="1"/>
    <w:qFormat/>
    <w:uiPriority w:val="0"/>
    <w:pPr>
      <w:ind w:left="100" w:leftChars="2500"/>
    </w:pPr>
    <w:rPr>
      <w:color w:val="000000"/>
      <w:sz w:val="24"/>
    </w:rPr>
  </w:style>
  <w:style w:type="paragraph" w:customStyle="1" w:styleId="27">
    <w:name w:val="正文文本缩进 21"/>
    <w:basedOn w:val="1"/>
    <w:qFormat/>
    <w:uiPriority w:val="0"/>
    <w:pPr>
      <w:widowControl/>
      <w:spacing w:line="480" w:lineRule="atLeast"/>
      <w:ind w:firstLine="480"/>
    </w:pPr>
    <w:rPr>
      <w:rFonts w:ascii="宋体"/>
      <w:kern w:val="0"/>
      <w:sz w:val="24"/>
      <w:szCs w:val="20"/>
    </w:rPr>
  </w:style>
  <w:style w:type="paragraph" w:customStyle="1" w:styleId="28">
    <w:name w:val="批注框文本1"/>
    <w:basedOn w:val="1"/>
    <w:link w:val="29"/>
    <w:qFormat/>
    <w:uiPriority w:val="0"/>
    <w:rPr>
      <w:sz w:val="18"/>
      <w:szCs w:val="18"/>
    </w:rPr>
  </w:style>
  <w:style w:type="character" w:customStyle="1" w:styleId="29">
    <w:name w:val="批注框文本 字符"/>
    <w:link w:val="28"/>
    <w:qFormat/>
    <w:uiPriority w:val="0"/>
    <w:rPr>
      <w:kern w:val="2"/>
      <w:sz w:val="18"/>
      <w:szCs w:val="18"/>
    </w:rPr>
  </w:style>
  <w:style w:type="paragraph" w:customStyle="1" w:styleId="30">
    <w:name w:val="页脚1"/>
    <w:basedOn w:val="1"/>
    <w:qFormat/>
    <w:uiPriority w:val="0"/>
    <w:pPr>
      <w:tabs>
        <w:tab w:val="center" w:pos="4153"/>
        <w:tab w:val="right" w:pos="8306"/>
      </w:tabs>
      <w:snapToGrid w:val="0"/>
      <w:jc w:val="left"/>
    </w:pPr>
    <w:rPr>
      <w:sz w:val="18"/>
      <w:szCs w:val="18"/>
    </w:rPr>
  </w:style>
  <w:style w:type="paragraph" w:customStyle="1" w:styleId="31">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32">
    <w:name w:val="目录 11"/>
    <w:basedOn w:val="1"/>
    <w:qFormat/>
    <w:uiPriority w:val="0"/>
    <w:rPr>
      <w:szCs w:val="20"/>
    </w:rPr>
  </w:style>
  <w:style w:type="paragraph" w:customStyle="1" w:styleId="33">
    <w:name w:val="目录 41"/>
    <w:basedOn w:val="1"/>
    <w:qFormat/>
    <w:uiPriority w:val="0"/>
    <w:pPr>
      <w:widowControl w:val="0"/>
      <w:ind w:left="420"/>
    </w:pPr>
    <w:rPr>
      <w:rFonts w:ascii="Calibri" w:hAnsi="Calibri"/>
      <w:kern w:val="2"/>
      <w:sz w:val="20"/>
      <w:szCs w:val="20"/>
    </w:rPr>
  </w:style>
  <w:style w:type="paragraph" w:customStyle="1" w:styleId="34">
    <w:name w:val="目录 61"/>
    <w:basedOn w:val="1"/>
    <w:qFormat/>
    <w:uiPriority w:val="0"/>
    <w:pPr>
      <w:ind w:left="1400"/>
    </w:pPr>
    <w:rPr>
      <w:rFonts w:ascii="Calibri"/>
      <w:sz w:val="18"/>
      <w:szCs w:val="18"/>
    </w:rPr>
  </w:style>
  <w:style w:type="paragraph" w:customStyle="1" w:styleId="35">
    <w:name w:val="正文文本缩进 31"/>
    <w:basedOn w:val="1"/>
    <w:qFormat/>
    <w:uiPriority w:val="0"/>
    <w:pPr>
      <w:autoSpaceDE w:val="0"/>
      <w:autoSpaceDN w:val="0"/>
      <w:spacing w:line="400" w:lineRule="atLeast"/>
      <w:ind w:firstLine="443" w:firstLineChars="200"/>
    </w:pPr>
    <w:rPr>
      <w:rFonts w:eastAsia="黑体"/>
      <w:color w:val="000000"/>
      <w:sz w:val="24"/>
    </w:rPr>
  </w:style>
  <w:style w:type="paragraph" w:customStyle="1" w:styleId="36">
    <w:name w:val="正文文本 21"/>
    <w:basedOn w:val="1"/>
    <w:qFormat/>
    <w:uiPriority w:val="0"/>
    <w:pPr>
      <w:spacing w:after="120" w:line="480" w:lineRule="auto"/>
    </w:pPr>
  </w:style>
  <w:style w:type="paragraph" w:customStyle="1" w:styleId="37">
    <w:name w:val="普通(网站)1"/>
    <w:basedOn w:val="1"/>
    <w:qFormat/>
    <w:uiPriority w:val="0"/>
    <w:pPr>
      <w:widowControl/>
      <w:spacing w:before="100" w:beforeAutospacing="1" w:after="100" w:afterAutospacing="1"/>
      <w:jc w:val="left"/>
    </w:pPr>
    <w:rPr>
      <w:rFonts w:ascii="Arial" w:hAnsi="Arial"/>
      <w:color w:val="000000"/>
      <w:kern w:val="0"/>
      <w:sz w:val="18"/>
      <w:szCs w:val="18"/>
    </w:rPr>
  </w:style>
  <w:style w:type="paragraph" w:customStyle="1" w:styleId="38">
    <w:name w:val="标题1"/>
    <w:basedOn w:val="1"/>
    <w:qFormat/>
    <w:uiPriority w:val="0"/>
    <w:pPr>
      <w:spacing w:before="240" w:after="60" w:line="460" w:lineRule="exact"/>
      <w:jc w:val="center"/>
      <w:outlineLvl w:val="0"/>
    </w:pPr>
    <w:rPr>
      <w:rFonts w:ascii="Arial" w:hAnsi="Arial"/>
      <w:b/>
      <w:spacing w:val="14"/>
      <w:kern w:val="24"/>
      <w:sz w:val="32"/>
      <w:szCs w:val="20"/>
    </w:rPr>
  </w:style>
  <w:style w:type="paragraph" w:customStyle="1" w:styleId="39">
    <w:name w:val="正文首行缩进 211"/>
    <w:basedOn w:val="22"/>
    <w:qFormat/>
    <w:uiPriority w:val="0"/>
    <w:pPr>
      <w:ind w:firstLine="420" w:firstLineChars="200"/>
    </w:pPr>
  </w:style>
  <w:style w:type="table" w:customStyle="1" w:styleId="40">
    <w:name w:val="网格型1"/>
    <w:basedOn w:val="16"/>
    <w:qFormat/>
    <w:uiPriority w:val="0"/>
    <w:pPr>
      <w:widowControl w:val="0"/>
      <w:jc w:val="both"/>
    </w:pPr>
  </w:style>
  <w:style w:type="character" w:customStyle="1" w:styleId="41">
    <w:name w:val="要点1"/>
    <w:link w:val="1"/>
    <w:qFormat/>
    <w:uiPriority w:val="0"/>
    <w:rPr>
      <w:b/>
      <w:bCs/>
    </w:rPr>
  </w:style>
  <w:style w:type="character" w:customStyle="1" w:styleId="42">
    <w:name w:val="页码1"/>
    <w:link w:val="1"/>
    <w:qFormat/>
    <w:uiPriority w:val="0"/>
  </w:style>
  <w:style w:type="character" w:customStyle="1" w:styleId="43">
    <w:name w:val="已访问的超链接1"/>
    <w:link w:val="1"/>
    <w:qFormat/>
    <w:uiPriority w:val="0"/>
    <w:rPr>
      <w:color w:val="4A4A4A"/>
      <w:u w:val="none"/>
    </w:rPr>
  </w:style>
  <w:style w:type="character" w:customStyle="1" w:styleId="44">
    <w:name w:val="强调1"/>
    <w:link w:val="1"/>
    <w:qFormat/>
    <w:uiPriority w:val="0"/>
  </w:style>
  <w:style w:type="character" w:customStyle="1" w:styleId="45">
    <w:name w:val="HTML 定义1"/>
    <w:link w:val="1"/>
    <w:qFormat/>
    <w:uiPriority w:val="0"/>
  </w:style>
  <w:style w:type="character" w:customStyle="1" w:styleId="46">
    <w:name w:val="HTML 打字机1"/>
    <w:link w:val="1"/>
    <w:qFormat/>
    <w:uiPriority w:val="0"/>
    <w:rPr>
      <w:rFonts w:ascii="monospace" w:hAnsi="monospace" w:eastAsia="monospace"/>
      <w:sz w:val="20"/>
    </w:rPr>
  </w:style>
  <w:style w:type="character" w:customStyle="1" w:styleId="47">
    <w:name w:val="HTML 缩写1"/>
    <w:link w:val="1"/>
    <w:qFormat/>
    <w:uiPriority w:val="0"/>
  </w:style>
  <w:style w:type="character" w:customStyle="1" w:styleId="48">
    <w:name w:val="HTML 变量1"/>
    <w:link w:val="1"/>
    <w:qFormat/>
    <w:uiPriority w:val="0"/>
  </w:style>
  <w:style w:type="character" w:customStyle="1" w:styleId="49">
    <w:name w:val="超链接1"/>
    <w:link w:val="1"/>
    <w:qFormat/>
    <w:uiPriority w:val="0"/>
    <w:rPr>
      <w:color w:val="0000FF"/>
      <w:u w:val="single"/>
    </w:rPr>
  </w:style>
  <w:style w:type="character" w:customStyle="1" w:styleId="50">
    <w:name w:val="HTML 代码1"/>
    <w:link w:val="1"/>
    <w:qFormat/>
    <w:uiPriority w:val="0"/>
    <w:rPr>
      <w:rFonts w:ascii="monospace" w:hAnsi="monospace" w:eastAsia="monospace"/>
      <w:sz w:val="20"/>
    </w:rPr>
  </w:style>
  <w:style w:type="character" w:customStyle="1" w:styleId="51">
    <w:name w:val="批注引用1"/>
    <w:link w:val="1"/>
    <w:qFormat/>
    <w:uiPriority w:val="0"/>
    <w:rPr>
      <w:sz w:val="21"/>
      <w:szCs w:val="21"/>
    </w:rPr>
  </w:style>
  <w:style w:type="character" w:customStyle="1" w:styleId="52">
    <w:name w:val="HTML 引文1"/>
    <w:link w:val="1"/>
    <w:qFormat/>
    <w:uiPriority w:val="0"/>
  </w:style>
  <w:style w:type="character" w:customStyle="1" w:styleId="53">
    <w:name w:val="HTML 键盘1"/>
    <w:link w:val="1"/>
    <w:qFormat/>
    <w:uiPriority w:val="0"/>
    <w:rPr>
      <w:rFonts w:ascii="monospace" w:hAnsi="monospace" w:eastAsia="monospace"/>
      <w:sz w:val="20"/>
    </w:rPr>
  </w:style>
  <w:style w:type="character" w:customStyle="1" w:styleId="54">
    <w:name w:val="HTML 样本1"/>
    <w:link w:val="1"/>
    <w:qFormat/>
    <w:uiPriority w:val="0"/>
    <w:rPr>
      <w:rFonts w:ascii="monospace" w:hAnsi="monospace" w:eastAsia="monospace"/>
    </w:rPr>
  </w:style>
  <w:style w:type="paragraph" w:customStyle="1" w:styleId="55">
    <w:name w:val="表格文字"/>
    <w:basedOn w:val="24"/>
    <w:qFormat/>
    <w:uiPriority w:val="0"/>
    <w:pPr>
      <w:spacing w:line="420" w:lineRule="atLeast"/>
      <w:jc w:val="left"/>
    </w:pPr>
    <w:rPr>
      <w:rFonts w:ascii="Times New Roman" w:hAnsi="Times New Roman"/>
      <w:kern w:val="0"/>
      <w:szCs w:val="24"/>
    </w:rPr>
  </w:style>
  <w:style w:type="character" w:customStyle="1" w:styleId="56">
    <w:name w:val="font41"/>
    <w:basedOn w:val="15"/>
    <w:link w:val="1"/>
    <w:qFormat/>
    <w:uiPriority w:val="0"/>
    <w:rPr>
      <w:rFonts w:hint="eastAsia" w:ascii="宋体" w:hAnsi="宋体" w:eastAsia="宋体"/>
      <w:color w:val="000000"/>
      <w:sz w:val="22"/>
      <w:szCs w:val="22"/>
      <w:u w:val="none"/>
    </w:rPr>
  </w:style>
  <w:style w:type="character" w:customStyle="1" w:styleId="57">
    <w:name w:val="font21"/>
    <w:link w:val="1"/>
    <w:qFormat/>
    <w:uiPriority w:val="0"/>
    <w:rPr>
      <w:rFonts w:ascii="Calibri" w:hAnsi="Calibri"/>
      <w:color w:val="000000"/>
      <w:sz w:val="22"/>
      <w:szCs w:val="22"/>
      <w:u w:val="none"/>
    </w:rPr>
  </w:style>
  <w:style w:type="character" w:customStyle="1" w:styleId="58">
    <w:name w:val="font11"/>
    <w:link w:val="1"/>
    <w:qFormat/>
    <w:uiPriority w:val="0"/>
    <w:rPr>
      <w:rFonts w:ascii="Calibri" w:hAnsi="Calibri"/>
      <w:color w:val="000000"/>
      <w:sz w:val="21"/>
      <w:szCs w:val="21"/>
      <w:u w:val="none"/>
    </w:rPr>
  </w:style>
  <w:style w:type="character" w:customStyle="1" w:styleId="59">
    <w:name w:val="msoins"/>
    <w:link w:val="1"/>
    <w:qFormat/>
    <w:uiPriority w:val="0"/>
  </w:style>
  <w:style w:type="character" w:customStyle="1" w:styleId="60">
    <w:name w:val="font01"/>
    <w:link w:val="1"/>
    <w:qFormat/>
    <w:uiPriority w:val="0"/>
    <w:rPr>
      <w:rFonts w:hint="eastAsia" w:ascii="宋体" w:hAnsi="宋体" w:eastAsia="宋体"/>
      <w:color w:val="000000"/>
      <w:sz w:val="21"/>
      <w:szCs w:val="21"/>
      <w:u w:val="none"/>
    </w:rPr>
  </w:style>
  <w:style w:type="paragraph" w:customStyle="1" w:styleId="61">
    <w:name w:val="列表段落"/>
    <w:basedOn w:val="1"/>
    <w:qFormat/>
    <w:uiPriority w:val="0"/>
    <w:pPr>
      <w:ind w:firstLine="420" w:firstLineChars="200"/>
    </w:pPr>
    <w:rPr>
      <w:rFonts w:ascii="Calibri" w:hAnsi="Calibri"/>
      <w:szCs w:val="22"/>
    </w:rPr>
  </w:style>
  <w:style w:type="paragraph" w:customStyle="1" w:styleId="62">
    <w:name w:val="表内文字"/>
    <w:basedOn w:val="1"/>
    <w:qFormat/>
    <w:uiPriority w:val="0"/>
    <w:pPr>
      <w:spacing w:line="500" w:lineRule="atLeast"/>
      <w:jc w:val="center"/>
    </w:pPr>
    <w:rPr>
      <w:rFonts w:ascii="Arial" w:hAnsi="Arial" w:eastAsia="楷体_GB2312"/>
      <w:sz w:val="28"/>
    </w:rPr>
  </w:style>
  <w:style w:type="paragraph" w:customStyle="1" w:styleId="63">
    <w:name w:val="BodyText1I2"/>
    <w:basedOn w:val="64"/>
    <w:qFormat/>
    <w:uiPriority w:val="0"/>
    <w:pPr>
      <w:ind w:firstLine="420" w:firstLineChars="200"/>
    </w:pPr>
  </w:style>
  <w:style w:type="paragraph" w:customStyle="1" w:styleId="64">
    <w:name w:val="BodyTextIndent"/>
    <w:basedOn w:val="1"/>
    <w:qFormat/>
    <w:uiPriority w:val="0"/>
    <w:pPr>
      <w:spacing w:after="120"/>
      <w:ind w:left="420" w:leftChars="200"/>
    </w:pPr>
    <w:rPr>
      <w:color w:val="000000"/>
    </w:rPr>
  </w:style>
  <w:style w:type="paragraph" w:customStyle="1" w:styleId="65">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6">
    <w:name w:val="列出段落1"/>
    <w:basedOn w:val="1"/>
    <w:qFormat/>
    <w:uiPriority w:val="0"/>
    <w:pPr>
      <w:ind w:firstLine="420" w:firstLineChars="200"/>
    </w:pPr>
  </w:style>
  <w:style w:type="paragraph" w:customStyle="1" w:styleId="67">
    <w:name w:val="zw1"/>
    <w:basedOn w:val="1"/>
    <w:qFormat/>
    <w:uiPriority w:val="0"/>
    <w:pPr>
      <w:spacing w:line="360" w:lineRule="auto"/>
      <w:ind w:firstLine="560" w:firstLineChars="200"/>
    </w:pPr>
    <w:rPr>
      <w:sz w:val="28"/>
      <w:szCs w:val="20"/>
    </w:rPr>
  </w:style>
  <w:style w:type="paragraph" w:customStyle="1" w:styleId="68">
    <w:name w:val="正文首行缩进 21"/>
    <w:basedOn w:val="1"/>
    <w:qFormat/>
    <w:uiPriority w:val="0"/>
    <w:pPr>
      <w:spacing w:after="120"/>
      <w:ind w:left="420" w:leftChars="200" w:firstLine="420"/>
    </w:pPr>
    <w:rPr>
      <w:color w:val="000000"/>
      <w:sz w:val="21"/>
      <w:szCs w:val="21"/>
    </w:rPr>
  </w:style>
  <w:style w:type="paragraph" w:customStyle="1" w:styleId="69">
    <w:name w:val="xl7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Arial Unicode MS" w:hAnsi="Arial Unicode MS"/>
      <w:b/>
      <w:bCs/>
      <w:kern w:val="0"/>
      <w:sz w:val="28"/>
      <w:szCs w:val="28"/>
    </w:rPr>
  </w:style>
  <w:style w:type="paragraph" w:customStyle="1" w:styleId="70">
    <w:name w:val="Table Paragraph"/>
    <w:basedOn w:val="1"/>
    <w:qFormat/>
    <w:uiPriority w:val="0"/>
    <w:rPr>
      <w:rFonts w:ascii="宋体" w:hAnsi="宋体"/>
      <w:lang w:val="zh-CN" w:bidi="zh-CN"/>
    </w:rPr>
  </w:style>
  <w:style w:type="paragraph" w:customStyle="1" w:styleId="71">
    <w:name w:val="正文缩进2"/>
    <w:basedOn w:val="1"/>
    <w:qFormat/>
    <w:uiPriority w:val="0"/>
    <w:pPr>
      <w:spacing w:line="500" w:lineRule="exact"/>
      <w:ind w:firstLine="567"/>
    </w:pPr>
    <w:rPr>
      <w:sz w:val="24"/>
      <w:szCs w:val="20"/>
    </w:rPr>
  </w:style>
  <w:style w:type="paragraph" w:customStyle="1" w:styleId="72">
    <w:name w:val="纯文本1"/>
    <w:qFormat/>
    <w:uiPriority w:val="0"/>
    <w:rPr>
      <w:rFonts w:hint="eastAsia" w:ascii="宋体" w:hAnsi="Courier New" w:eastAsia="宋体" w:cs="Times New Roman"/>
      <w:kern w:val="2"/>
      <w:sz w:val="21"/>
      <w:lang w:val="en-US" w:eastAsia="zh-CN" w:bidi="ar-SA"/>
    </w:rPr>
  </w:style>
  <w:style w:type="paragraph" w:customStyle="1" w:styleId="73">
    <w:name w:val="xl55"/>
    <w:basedOn w:val="1"/>
    <w:qFormat/>
    <w:uiPriority w:val="0"/>
    <w:pPr>
      <w:widowControl/>
      <w:spacing w:before="100" w:beforeAutospacing="1" w:after="100" w:afterAutospacing="1"/>
      <w:jc w:val="center"/>
    </w:pPr>
    <w:rPr>
      <w:rFonts w:ascii="Arial Unicode MS" w:hAnsi="Arial Unicode MS"/>
      <w:kern w:val="0"/>
      <w:sz w:val="24"/>
    </w:rPr>
  </w:style>
  <w:style w:type="paragraph" w:customStyle="1" w:styleId="74">
    <w:name w:val="_Style 12"/>
    <w:basedOn w:val="1"/>
    <w:qFormat/>
    <w:uiPriority w:val="0"/>
    <w:pPr>
      <w:autoSpaceDE/>
      <w:autoSpaceDN/>
      <w:ind w:firstLine="420" w:firstLineChars="200"/>
    </w:pPr>
    <w:rPr>
      <w:rFonts w:ascii="Calibri" w:hAnsi="Calibri" w:eastAsia="宋体"/>
      <w:color w:val="000000"/>
      <w:kern w:val="2"/>
      <w:szCs w:val="22"/>
    </w:rPr>
  </w:style>
  <w:style w:type="paragraph" w:customStyle="1" w:styleId="75">
    <w:name w:val="附表正文"/>
    <w:basedOn w:val="1"/>
    <w:qFormat/>
    <w:uiPriority w:val="0"/>
    <w:pPr>
      <w:widowControl w:val="0"/>
      <w:spacing w:line="400" w:lineRule="exact"/>
      <w:jc w:val="both"/>
    </w:pPr>
    <w:rPr>
      <w:rFonts w:ascii="宋体" w:hAnsi="Calibri"/>
      <w:kern w:val="2"/>
      <w:szCs w:val="22"/>
    </w:rPr>
  </w:style>
  <w:style w:type="paragraph" w:customStyle="1" w:styleId="76">
    <w:name w:val="Body text|1"/>
    <w:basedOn w:val="1"/>
    <w:qFormat/>
    <w:uiPriority w:val="0"/>
    <w:pPr>
      <w:widowControl w:val="0"/>
      <w:shd w:val="clear" w:color="auto" w:fill="auto"/>
      <w:spacing w:after="100"/>
    </w:pPr>
    <w:rPr>
      <w:rFonts w:ascii="宋体" w:hAnsi="宋体" w:eastAsia="宋体"/>
      <w:sz w:val="22"/>
      <w:szCs w:val="22"/>
      <w:u w:val="none"/>
      <w:shd w:val="clear" w:color="auto" w:fill="auto"/>
      <w:lang w:val="zh-TW" w:eastAsia="zh-TW" w:bidi="zh-TW"/>
    </w:rPr>
  </w:style>
  <w:style w:type="paragraph" w:customStyle="1" w:styleId="77">
    <w:name w:val="1"/>
    <w:basedOn w:val="1"/>
    <w:qFormat/>
    <w:uiPriority w:val="0"/>
    <w:rPr>
      <w:szCs w:val="24"/>
    </w:rPr>
  </w:style>
  <w:style w:type="paragraph" w:customStyle="1" w:styleId="78">
    <w:name w:val="正文首行缩进1"/>
    <w:basedOn w:val="1"/>
    <w:qFormat/>
    <w:uiPriority w:val="0"/>
    <w:pPr>
      <w:tabs>
        <w:tab w:val="left" w:pos="574"/>
        <w:tab w:val="left" w:pos="9360"/>
      </w:tabs>
      <w:spacing w:beforeAutospacing="0" w:afterAutospacing="0" w:line="312" w:lineRule="auto"/>
      <w:ind w:firstLine="420"/>
    </w:pPr>
  </w:style>
  <w:style w:type="paragraph" w:customStyle="1" w:styleId="79">
    <w:name w:val="table"/>
    <w:qFormat/>
    <w:uiPriority w:val="0"/>
    <w:pPr>
      <w:framePr w:hSpace="180" w:wrap="around" w:vAnchor="text" w:hAnchor="margin" w:y="1418"/>
      <w:snapToGrid w:val="0"/>
    </w:pPr>
    <w:rPr>
      <w:rFonts w:ascii="宋体" w:hAnsi="Calibri" w:eastAsia="宋体" w:cs="Times New Roman"/>
      <w:kern w:val="2"/>
      <w:sz w:val="24"/>
      <w:szCs w:val="22"/>
      <w:lang w:val="en-US" w:eastAsia="zh-CN" w:bidi="ar-SA"/>
    </w:rPr>
  </w:style>
  <w:style w:type="paragraph" w:customStyle="1" w:styleId="80">
    <w:name w:val="TOC Heading"/>
    <w:basedOn w:val="81"/>
    <w:qFormat/>
    <w:uiPriority w:val="0"/>
    <w:pPr>
      <w:spacing w:before="260" w:beforeAutospacing="0" w:after="260" w:afterAutospacing="0" w:line="413" w:lineRule="auto"/>
      <w:jc w:val="center"/>
    </w:pPr>
    <w:rPr>
      <w:rFonts w:ascii="宋体" w:hAnsi="宋体"/>
      <w:sz w:val="36"/>
      <w:lang w:val="zh-CN"/>
    </w:rPr>
  </w:style>
  <w:style w:type="paragraph" w:customStyle="1" w:styleId="81">
    <w:name w:val="标题 11"/>
    <w:basedOn w:val="1"/>
    <w:qFormat/>
    <w:uiPriority w:val="0"/>
    <w:pPr>
      <w:keepNext/>
      <w:keepLines/>
      <w:spacing w:beforeAutospacing="0" w:afterAutospacing="0" w:line="576" w:lineRule="auto"/>
      <w:outlineLvl w:val="0"/>
    </w:pPr>
    <w:rPr>
      <w:rFonts w:ascii="Calibri" w:hAnsi="Calibri"/>
      <w:b/>
      <w:bCs/>
      <w:kern w:val="44"/>
      <w:sz w:val="44"/>
      <w:szCs w:val="44"/>
    </w:rPr>
  </w:style>
  <w:style w:type="paragraph" w:customStyle="1" w:styleId="82">
    <w:name w:val="附件标题1"/>
    <w:qFormat/>
    <w:uiPriority w:val="0"/>
    <w:pPr>
      <w:numPr>
        <w:ilvl w:val="0"/>
        <w:numId w:val="1"/>
      </w:numPr>
      <w:tabs>
        <w:tab w:val="left" w:pos="1134"/>
      </w:tabs>
      <w:snapToGrid w:val="0"/>
      <w:spacing w:beforeAutospacing="0" w:after="156" w:afterAutospacing="0" w:line="360" w:lineRule="auto"/>
    </w:pPr>
    <w:rPr>
      <w:rFonts w:ascii="宋体" w:hAnsi="宋体" w:eastAsia="宋体" w:cs="Times New Roman"/>
      <w:b/>
      <w:kern w:val="2"/>
      <w:sz w:val="24"/>
      <w:szCs w:val="24"/>
      <w:lang w:val="en-US" w:eastAsia="zh-CN" w:bidi="ar-SA"/>
    </w:rPr>
  </w:style>
  <w:style w:type="paragraph" w:customStyle="1" w:styleId="83">
    <w:name w:val="纯文本11"/>
    <w:basedOn w:val="1"/>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92</Pages>
  <Words>59545</Words>
  <Characters>63496</Characters>
  <Lines>0</Lines>
  <Paragraphs>0</Paragraphs>
  <TotalTime>6</TotalTime>
  <ScaleCrop>false</ScaleCrop>
  <LinksUpToDate>false</LinksUpToDate>
  <CharactersWithSpaces>67398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2023-07-13T00:45:00Z</dcterms:created>
  <dc:creator>吴哈哈</dc:creator>
  <cp:lastModifiedBy>吴哈哈</cp:lastModifiedBy>
  <dcterms:modified xsi:type="dcterms:W3CDTF">2023-09-27T02:18:34Z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D2B17D2613214497B9F1133F2D70C5CE_13</vt:lpwstr>
  </property>
</Properties>
</file>